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footer10.xml" ContentType="application/vnd.openxmlformats-officedocument.wordprocessingml.footer+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header9.xml" ContentType="application/vnd.openxmlformats-officedocument.wordprocessingml.header+xml"/>
  <Override PartName="/word/footer11.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0.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B59B5A" w14:textId="383B6D95" w:rsidR="00013151" w:rsidRDefault="009E270F" w:rsidP="00013151">
      <w:pPr>
        <w:pStyle w:val="Title"/>
        <w:rPr>
          <w:noProof/>
        </w:rPr>
      </w:pPr>
      <w:r>
        <w:rPr>
          <w:noProof/>
        </w:rPr>
        <w:drawing>
          <wp:anchor distT="0" distB="0" distL="114300" distR="114300" simplePos="0" relativeHeight="251667459" behindDoc="0" locked="0" layoutInCell="1" allowOverlap="1" wp14:anchorId="6053D46D" wp14:editId="4C33A6A9">
            <wp:simplePos x="0" y="0"/>
            <wp:positionH relativeFrom="page">
              <wp:align>left</wp:align>
            </wp:positionH>
            <wp:positionV relativeFrom="page">
              <wp:align>top</wp:align>
            </wp:positionV>
            <wp:extent cx="7558768" cy="10692000"/>
            <wp:effectExtent l="0" t="0" r="4445" b="0"/>
            <wp:wrapNone/>
            <wp:docPr id="199104032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040324" name="Picture 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558768" cy="10692000"/>
                    </a:xfrm>
                    <a:prstGeom prst="rect">
                      <a:avLst/>
                    </a:prstGeom>
                  </pic:spPr>
                </pic:pic>
              </a:graphicData>
            </a:graphic>
            <wp14:sizeRelH relativeFrom="page">
              <wp14:pctWidth>0</wp14:pctWidth>
            </wp14:sizeRelH>
            <wp14:sizeRelV relativeFrom="page">
              <wp14:pctHeight>0</wp14:pctHeight>
            </wp14:sizeRelV>
          </wp:anchor>
        </w:drawing>
      </w:r>
      <w:r w:rsidR="00013151">
        <w:rPr>
          <w:noProof/>
        </w:rPr>
        <w:t>The Future of the Early Childhood Education Profession</w:t>
      </w:r>
    </w:p>
    <w:p w14:paraId="45DD09C7" w14:textId="4115999F" w:rsidR="009E270F" w:rsidRDefault="00013151" w:rsidP="00013151">
      <w:pPr>
        <w:pStyle w:val="Subtitle"/>
        <w:rPr>
          <w:noProof/>
        </w:rPr>
        <w:sectPr w:rsidR="009E270F" w:rsidSect="00A2332E">
          <w:footerReference w:type="default" r:id="rId12"/>
          <w:type w:val="continuous"/>
          <w:pgSz w:w="11906" w:h="16838"/>
          <w:pgMar w:top="1440" w:right="1440" w:bottom="1440" w:left="1440" w:header="709" w:footer="709" w:gutter="0"/>
          <w:cols w:space="708"/>
          <w:docGrid w:linePitch="360"/>
        </w:sectPr>
      </w:pPr>
      <w:r>
        <w:rPr>
          <w:noProof/>
        </w:rPr>
        <w:t>Early Childhood Education and Care Workforce Capacity Study</w:t>
      </w:r>
    </w:p>
    <w:p w14:paraId="59E135E9" w14:textId="32C6C567" w:rsidR="009E270F" w:rsidRDefault="009E270F">
      <w:pPr>
        <w:pStyle w:val="TOCHeading"/>
        <w:rPr>
          <w:rFonts w:eastAsiaTheme="minorEastAsia" w:cstheme="minorBidi"/>
          <w:b w:val="0"/>
          <w:bCs/>
          <w:noProof/>
          <w:color w:val="000000" w:themeColor="text1"/>
          <w:sz w:val="22"/>
          <w:szCs w:val="22"/>
          <w:lang w:val="en-AU"/>
        </w:rPr>
        <w:sectPr w:rsidR="009E270F" w:rsidSect="00A2332E">
          <w:pgSz w:w="11906" w:h="16838"/>
          <w:pgMar w:top="1440" w:right="1440" w:bottom="1440" w:left="1440" w:header="709" w:footer="709" w:gutter="0"/>
          <w:cols w:space="708"/>
          <w:docGrid w:linePitch="360"/>
        </w:sectPr>
      </w:pPr>
      <w:r>
        <w:rPr>
          <w:noProof/>
        </w:rPr>
        <w:lastRenderedPageBreak/>
        <mc:AlternateContent>
          <mc:Choice Requires="wps">
            <w:drawing>
              <wp:anchor distT="45720" distB="45720" distL="114300" distR="114300" simplePos="0" relativeHeight="251671555" behindDoc="0" locked="0" layoutInCell="1" allowOverlap="1" wp14:anchorId="0E8FC92D" wp14:editId="44113C12">
                <wp:simplePos x="0" y="0"/>
                <wp:positionH relativeFrom="page">
                  <wp:align>left</wp:align>
                </wp:positionH>
                <wp:positionV relativeFrom="page">
                  <wp:posOffset>7383439</wp:posOffset>
                </wp:positionV>
                <wp:extent cx="5568287" cy="1662545"/>
                <wp:effectExtent l="0" t="0" r="13970" b="13970"/>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287" cy="1662545"/>
                        </a:xfrm>
                        <a:prstGeom prst="rect">
                          <a:avLst/>
                        </a:prstGeom>
                        <a:solidFill>
                          <a:srgbClr val="FFFFFF"/>
                        </a:solidFill>
                        <a:ln w="9525">
                          <a:solidFill>
                            <a:schemeClr val="bg1"/>
                          </a:solidFill>
                          <a:miter lim="800000"/>
                          <a:headEnd/>
                          <a:tailEnd/>
                        </a:ln>
                      </wps:spPr>
                      <wps:txbx>
                        <w:txbxContent>
                          <w:p w14:paraId="306A26BB" w14:textId="77777777" w:rsidR="009E270F" w:rsidRPr="003F2AFB" w:rsidRDefault="009E270F" w:rsidP="003F2AFB">
                            <w:pPr>
                              <w:spacing w:before="360" w:after="240"/>
                              <w:ind w:left="851"/>
                              <w:rPr>
                                <w:b/>
                                <w:bCs/>
                                <w:sz w:val="32"/>
                                <w:szCs w:val="32"/>
                              </w:rPr>
                            </w:pPr>
                            <w:bookmarkStart w:id="0" w:name="_Toc168999090"/>
                            <w:bookmarkStart w:id="1" w:name="_Toc169792722"/>
                            <w:bookmarkStart w:id="2" w:name="_Toc169801638"/>
                            <w:bookmarkStart w:id="3" w:name="_Toc170814323"/>
                            <w:bookmarkStart w:id="4" w:name="_Toc170815458"/>
                            <w:bookmarkStart w:id="5" w:name="_Toc170816559"/>
                            <w:bookmarkStart w:id="6" w:name="_Toc174358529"/>
                            <w:r w:rsidRPr="003F2AFB">
                              <w:rPr>
                                <w:b/>
                                <w:bCs/>
                                <w:sz w:val="32"/>
                                <w:szCs w:val="32"/>
                              </w:rPr>
                              <w:t>Acknowledgement of Country</w:t>
                            </w:r>
                          </w:p>
                          <w:p w14:paraId="7330D0CA" w14:textId="5CBB78AE" w:rsidR="009E270F" w:rsidRDefault="009E270F" w:rsidP="003F2AFB">
                            <w:pPr>
                              <w:ind w:left="851" w:right="567"/>
                            </w:pPr>
                            <w:r w:rsidRPr="003B3580">
                              <w:t>Jobs and Skills Australia acknowledges the Traditional Owners of Country throughout Australia and recognises the continuing connection to lands, waters and communities. We pay our respect to Aboriginal and Torres Strait Islander cultures, and to Elders past and present.</w:t>
                            </w:r>
                            <w:bookmarkEnd w:id="0"/>
                            <w:bookmarkEnd w:id="1"/>
                            <w:bookmarkEnd w:id="2"/>
                            <w:bookmarkEnd w:id="3"/>
                            <w:bookmarkEnd w:id="4"/>
                            <w:bookmarkEnd w:id="5"/>
                            <w:bookmarkEnd w:id="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8FC92D" id="_x0000_t202" coordsize="21600,21600" o:spt="202" path="m,l,21600r21600,l21600,xe">
                <v:stroke joinstyle="miter"/>
                <v:path gradientshapeok="t" o:connecttype="rect"/>
              </v:shapetype>
              <v:shape id="Text Box 2" o:spid="_x0000_s1026" type="#_x0000_t202" alt="&quot;&quot;" style="position:absolute;margin-left:0;margin-top:581.35pt;width:438.45pt;height:130.9pt;z-index:251671555;visibility:visible;mso-wrap-style:square;mso-width-percent:0;mso-height-percent:0;mso-wrap-distance-left:9pt;mso-wrap-distance-top:3.6pt;mso-wrap-distance-right:9pt;mso-wrap-distance-bottom:3.6pt;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" strokecolor="white [3212]">
                <v:textbox>
                  <w:txbxContent>
                    <w:p w14:paraId="306A26BB" w14:textId="77777777" w:rsidR="009E270F" w:rsidRPr="003F2AFB" w:rsidRDefault="009E270F" w:rsidP="003F2AFB">
                      <w:pPr>
                        <w:spacing w:before="360" w:after="240"/>
                        <w:ind w:left="851"/>
                        <w:rPr>
                          <w:b/>
                          <w:bCs/>
                          <w:sz w:val="32"/>
                          <w:szCs w:val="32"/>
                        </w:rPr>
                      </w:pPr>
                      <w:bookmarkStart w:id="7" w:name="_Toc168999090"/>
                      <w:bookmarkStart w:id="8" w:name="_Toc169792722"/>
                      <w:bookmarkStart w:id="9" w:name="_Toc169801638"/>
                      <w:bookmarkStart w:id="10" w:name="_Toc170814323"/>
                      <w:bookmarkStart w:id="11" w:name="_Toc170815458"/>
                      <w:bookmarkStart w:id="12" w:name="_Toc170816559"/>
                      <w:bookmarkStart w:id="13" w:name="_Toc174358529"/>
                      <w:r w:rsidRPr="003F2AFB">
                        <w:rPr>
                          <w:b/>
                          <w:bCs/>
                          <w:sz w:val="32"/>
                          <w:szCs w:val="32"/>
                        </w:rPr>
                        <w:t>Acknowledgement of Country</w:t>
                      </w:r>
                    </w:p>
                    <w:p w14:paraId="7330D0CA" w14:textId="5CBB78AE" w:rsidR="009E270F" w:rsidRDefault="009E270F" w:rsidP="003F2AFB">
                      <w:pPr>
                        <w:ind w:left="851" w:right="567"/>
                      </w:pPr>
                      <w:r w:rsidRPr="003B3580">
                        <w:t>Jobs and Skills Australia acknowledges the Traditional Owners of Country throughout Australia and recognises the continuing connection to lands, waters and communities. We pay our respect to Aboriginal and Torres Strait Islander cultures, and to Elders past and present.</w:t>
                      </w:r>
                      <w:bookmarkEnd w:id="7"/>
                      <w:bookmarkEnd w:id="8"/>
                      <w:bookmarkEnd w:id="9"/>
                      <w:bookmarkEnd w:id="10"/>
                      <w:bookmarkEnd w:id="11"/>
                      <w:bookmarkEnd w:id="12"/>
                      <w:bookmarkEnd w:id="13"/>
                    </w:p>
                  </w:txbxContent>
                </v:textbox>
                <w10:wrap type="square" anchorx="page" anchory="page"/>
              </v:shape>
            </w:pict>
          </mc:Fallback>
        </mc:AlternateContent>
      </w:r>
      <w:r>
        <w:rPr>
          <w:noProof/>
        </w:rPr>
        <w:drawing>
          <wp:anchor distT="0" distB="0" distL="114300" distR="114300" simplePos="0" relativeHeight="251669507" behindDoc="1" locked="1" layoutInCell="1" allowOverlap="0" wp14:anchorId="7723769D" wp14:editId="44281334">
            <wp:simplePos x="0" y="0"/>
            <wp:positionH relativeFrom="page">
              <wp:align>left</wp:align>
            </wp:positionH>
            <wp:positionV relativeFrom="page">
              <wp:align>top</wp:align>
            </wp:positionV>
            <wp:extent cx="7560000" cy="10692000"/>
            <wp:effectExtent l="0" t="0" r="3175" b="0"/>
            <wp:wrapNone/>
            <wp:docPr id="93614142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141427" name="Picture 1">
                      <a:extLst>
                        <a:ext uri="{C183D7F6-B498-43B3-948B-1728B52AA6E4}">
                          <adec:decorative xmlns:adec="http://schemas.microsoft.com/office/drawing/2017/decorative" val="1"/>
                        </a:ext>
                      </a:extLst>
                    </pic:cNvPr>
                    <pic:cNvPicPr/>
                  </pic:nvPicPr>
                  <pic:blipFill>
                    <a:blip r:embed="rId13" cstate="screen">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sdt>
      <w:sdtPr>
        <w:rPr>
          <w:rFonts w:eastAsiaTheme="minorEastAsia" w:cstheme="minorBidi"/>
          <w:b w:val="0"/>
          <w:bCs/>
          <w:noProof/>
          <w:color w:val="000000" w:themeColor="text1"/>
          <w:sz w:val="22"/>
          <w:szCs w:val="22"/>
          <w:lang w:val="en-AU"/>
        </w:rPr>
        <w:id w:val="2147313628"/>
        <w:docPartObj>
          <w:docPartGallery w:val="Table of Contents"/>
          <w:docPartUnique/>
        </w:docPartObj>
      </w:sdtPr>
      <w:sdtEndPr>
        <w:rPr>
          <w:rStyle w:val="Hyperlink"/>
          <w:b/>
          <w:color w:val="auto"/>
          <w:sz w:val="28"/>
          <w:szCs w:val="28"/>
          <w:u w:val="single"/>
        </w:rPr>
      </w:sdtEndPr>
      <w:sdtContent>
        <w:p w14:paraId="1210CC38" w14:textId="12FC0033" w:rsidR="00C10337" w:rsidRDefault="00C10337">
          <w:pPr>
            <w:pStyle w:val="TOCHeading"/>
          </w:pPr>
          <w:r>
            <w:t>Contents</w:t>
          </w:r>
        </w:p>
        <w:p w14:paraId="780837C0" w14:textId="7BA57F43" w:rsidR="00CC67F0" w:rsidRDefault="00CC67F0">
          <w:pPr>
            <w:pStyle w:val="TOC1"/>
            <w:rPr>
              <w:rFonts w:asciiTheme="minorHAnsi" w:eastAsiaTheme="minorEastAsia" w:hAnsiTheme="minorHAnsi"/>
              <w:b w:val="0"/>
              <w:bCs w:val="0"/>
              <w:kern w:val="2"/>
              <w:sz w:val="24"/>
              <w:szCs w:val="24"/>
              <w:lang w:eastAsia="en-AU"/>
              <w14:ligatures w14:val="standardContextual"/>
            </w:rPr>
          </w:pPr>
          <w:r>
            <w:fldChar w:fldCharType="begin"/>
          </w:r>
          <w:r>
            <w:instrText xml:space="preserve"> TOC \o "1-1" \h \z \t "Heading 2,2" </w:instrText>
          </w:r>
          <w:r>
            <w:fldChar w:fldCharType="separate"/>
          </w:r>
          <w:hyperlink w:anchor="_Toc174363681" w:history="1">
            <w:r w:rsidRPr="00147843">
              <w:rPr>
                <w:rStyle w:val="Hyperlink"/>
              </w:rPr>
              <w:t>Glossary</w:t>
            </w:r>
            <w:r>
              <w:rPr>
                <w:webHidden/>
              </w:rPr>
              <w:tab/>
            </w:r>
            <w:r>
              <w:rPr>
                <w:webHidden/>
              </w:rPr>
              <w:fldChar w:fldCharType="begin"/>
            </w:r>
            <w:r>
              <w:rPr>
                <w:webHidden/>
              </w:rPr>
              <w:instrText xml:space="preserve"> PAGEREF _Toc174363681 \h </w:instrText>
            </w:r>
            <w:r>
              <w:rPr>
                <w:webHidden/>
              </w:rPr>
            </w:r>
            <w:r>
              <w:rPr>
                <w:webHidden/>
              </w:rPr>
              <w:fldChar w:fldCharType="separate"/>
            </w:r>
            <w:r w:rsidR="005F18C1">
              <w:rPr>
                <w:webHidden/>
              </w:rPr>
              <w:t>v</w:t>
            </w:r>
            <w:r>
              <w:rPr>
                <w:webHidden/>
              </w:rPr>
              <w:fldChar w:fldCharType="end"/>
            </w:r>
          </w:hyperlink>
        </w:p>
        <w:p w14:paraId="6E4FB8C8" w14:textId="68889A77" w:rsidR="00CC67F0" w:rsidRDefault="00044D83">
          <w:pPr>
            <w:pStyle w:val="TOC1"/>
            <w:rPr>
              <w:rFonts w:asciiTheme="minorHAnsi" w:eastAsiaTheme="minorEastAsia" w:hAnsiTheme="minorHAnsi"/>
              <w:b w:val="0"/>
              <w:bCs w:val="0"/>
              <w:kern w:val="2"/>
              <w:sz w:val="24"/>
              <w:szCs w:val="24"/>
              <w:lang w:eastAsia="en-AU"/>
              <w14:ligatures w14:val="standardContextual"/>
            </w:rPr>
          </w:pPr>
          <w:hyperlink w:anchor="_Toc174363682" w:history="1">
            <w:r w:rsidR="00CC67F0" w:rsidRPr="00147843">
              <w:rPr>
                <w:rStyle w:val="Hyperlink"/>
              </w:rPr>
              <w:t>Commissioner’s Foreword</w:t>
            </w:r>
            <w:r w:rsidR="00CC67F0">
              <w:rPr>
                <w:webHidden/>
              </w:rPr>
              <w:tab/>
            </w:r>
            <w:r w:rsidR="00CC67F0">
              <w:rPr>
                <w:webHidden/>
              </w:rPr>
              <w:fldChar w:fldCharType="begin"/>
            </w:r>
            <w:r w:rsidR="00CC67F0">
              <w:rPr>
                <w:webHidden/>
              </w:rPr>
              <w:instrText xml:space="preserve"> PAGEREF _Toc174363682 \h </w:instrText>
            </w:r>
            <w:r w:rsidR="00CC67F0">
              <w:rPr>
                <w:webHidden/>
              </w:rPr>
            </w:r>
            <w:r w:rsidR="00CC67F0">
              <w:rPr>
                <w:webHidden/>
              </w:rPr>
              <w:fldChar w:fldCharType="separate"/>
            </w:r>
            <w:r w:rsidR="005F18C1">
              <w:rPr>
                <w:webHidden/>
              </w:rPr>
              <w:t>vi</w:t>
            </w:r>
            <w:r w:rsidR="00CC67F0">
              <w:rPr>
                <w:webHidden/>
              </w:rPr>
              <w:fldChar w:fldCharType="end"/>
            </w:r>
          </w:hyperlink>
        </w:p>
        <w:p w14:paraId="0370D090" w14:textId="5B57C534" w:rsidR="00CC67F0" w:rsidRDefault="00044D83">
          <w:pPr>
            <w:pStyle w:val="TOC1"/>
            <w:rPr>
              <w:rFonts w:asciiTheme="minorHAnsi" w:eastAsiaTheme="minorEastAsia" w:hAnsiTheme="minorHAnsi"/>
              <w:b w:val="0"/>
              <w:bCs w:val="0"/>
              <w:kern w:val="2"/>
              <w:sz w:val="24"/>
              <w:szCs w:val="24"/>
              <w:lang w:eastAsia="en-AU"/>
              <w14:ligatures w14:val="standardContextual"/>
            </w:rPr>
          </w:pPr>
          <w:hyperlink w:anchor="_Toc174363683" w:history="1">
            <w:r w:rsidR="00CC67F0" w:rsidRPr="00147843">
              <w:rPr>
                <w:rStyle w:val="Hyperlink"/>
              </w:rPr>
              <w:t>Executive Summary</w:t>
            </w:r>
            <w:r w:rsidR="00CC67F0">
              <w:rPr>
                <w:webHidden/>
              </w:rPr>
              <w:tab/>
            </w:r>
            <w:r w:rsidR="00CC67F0">
              <w:rPr>
                <w:webHidden/>
              </w:rPr>
              <w:fldChar w:fldCharType="begin"/>
            </w:r>
            <w:r w:rsidR="00CC67F0">
              <w:rPr>
                <w:webHidden/>
              </w:rPr>
              <w:instrText xml:space="preserve"> PAGEREF _Toc174363683 \h </w:instrText>
            </w:r>
            <w:r w:rsidR="00CC67F0">
              <w:rPr>
                <w:webHidden/>
              </w:rPr>
            </w:r>
            <w:r w:rsidR="00CC67F0">
              <w:rPr>
                <w:webHidden/>
              </w:rPr>
              <w:fldChar w:fldCharType="separate"/>
            </w:r>
            <w:r w:rsidR="005F18C1">
              <w:rPr>
                <w:webHidden/>
              </w:rPr>
              <w:t>1</w:t>
            </w:r>
            <w:r w:rsidR="00CC67F0">
              <w:rPr>
                <w:webHidden/>
              </w:rPr>
              <w:fldChar w:fldCharType="end"/>
            </w:r>
          </w:hyperlink>
        </w:p>
        <w:p w14:paraId="19FDDA30" w14:textId="022FCF0A"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684" w:history="1">
            <w:r w:rsidR="00CC67F0" w:rsidRPr="00147843">
              <w:rPr>
                <w:rStyle w:val="Hyperlink"/>
              </w:rPr>
              <w:t>What the Study Does</w:t>
            </w:r>
            <w:r w:rsidR="00CC67F0">
              <w:rPr>
                <w:webHidden/>
              </w:rPr>
              <w:tab/>
            </w:r>
            <w:r w:rsidR="00CC67F0">
              <w:rPr>
                <w:webHidden/>
              </w:rPr>
              <w:fldChar w:fldCharType="begin"/>
            </w:r>
            <w:r w:rsidR="00CC67F0">
              <w:rPr>
                <w:webHidden/>
              </w:rPr>
              <w:instrText xml:space="preserve"> PAGEREF _Toc174363684 \h </w:instrText>
            </w:r>
            <w:r w:rsidR="00CC67F0">
              <w:rPr>
                <w:webHidden/>
              </w:rPr>
            </w:r>
            <w:r w:rsidR="00CC67F0">
              <w:rPr>
                <w:webHidden/>
              </w:rPr>
              <w:fldChar w:fldCharType="separate"/>
            </w:r>
            <w:r w:rsidR="005F18C1">
              <w:rPr>
                <w:webHidden/>
              </w:rPr>
              <w:t>1</w:t>
            </w:r>
            <w:r w:rsidR="00CC67F0">
              <w:rPr>
                <w:webHidden/>
              </w:rPr>
              <w:fldChar w:fldCharType="end"/>
            </w:r>
          </w:hyperlink>
        </w:p>
        <w:p w14:paraId="3AA82DEB" w14:textId="7F618F42"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685" w:history="1">
            <w:r w:rsidR="00CC67F0" w:rsidRPr="00147843">
              <w:rPr>
                <w:rStyle w:val="Hyperlink"/>
              </w:rPr>
              <w:t>The Early Childhood Workforce Today</w:t>
            </w:r>
            <w:r w:rsidR="00CC67F0">
              <w:rPr>
                <w:webHidden/>
              </w:rPr>
              <w:tab/>
            </w:r>
            <w:r w:rsidR="00CC67F0">
              <w:rPr>
                <w:webHidden/>
              </w:rPr>
              <w:fldChar w:fldCharType="begin"/>
            </w:r>
            <w:r w:rsidR="00CC67F0">
              <w:rPr>
                <w:webHidden/>
              </w:rPr>
              <w:instrText xml:space="preserve"> PAGEREF _Toc174363685 \h </w:instrText>
            </w:r>
            <w:r w:rsidR="00CC67F0">
              <w:rPr>
                <w:webHidden/>
              </w:rPr>
            </w:r>
            <w:r w:rsidR="00CC67F0">
              <w:rPr>
                <w:webHidden/>
              </w:rPr>
              <w:fldChar w:fldCharType="separate"/>
            </w:r>
            <w:r w:rsidR="005F18C1">
              <w:rPr>
                <w:webHidden/>
              </w:rPr>
              <w:t>4</w:t>
            </w:r>
            <w:r w:rsidR="00CC67F0">
              <w:rPr>
                <w:webHidden/>
              </w:rPr>
              <w:fldChar w:fldCharType="end"/>
            </w:r>
          </w:hyperlink>
        </w:p>
        <w:p w14:paraId="60F658FA" w14:textId="1032B673"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686" w:history="1">
            <w:r w:rsidR="00CC67F0" w:rsidRPr="00147843">
              <w:rPr>
                <w:rStyle w:val="Hyperlink"/>
              </w:rPr>
              <w:t>Future states</w:t>
            </w:r>
            <w:r w:rsidR="00CC67F0">
              <w:rPr>
                <w:webHidden/>
              </w:rPr>
              <w:tab/>
            </w:r>
            <w:r w:rsidR="00CC67F0">
              <w:rPr>
                <w:webHidden/>
              </w:rPr>
              <w:fldChar w:fldCharType="begin"/>
            </w:r>
            <w:r w:rsidR="00CC67F0">
              <w:rPr>
                <w:webHidden/>
              </w:rPr>
              <w:instrText xml:space="preserve"> PAGEREF _Toc174363686 \h </w:instrText>
            </w:r>
            <w:r w:rsidR="00CC67F0">
              <w:rPr>
                <w:webHidden/>
              </w:rPr>
            </w:r>
            <w:r w:rsidR="00CC67F0">
              <w:rPr>
                <w:webHidden/>
              </w:rPr>
              <w:fldChar w:fldCharType="separate"/>
            </w:r>
            <w:r w:rsidR="005F18C1">
              <w:rPr>
                <w:webHidden/>
              </w:rPr>
              <w:t>9</w:t>
            </w:r>
            <w:r w:rsidR="00CC67F0">
              <w:rPr>
                <w:webHidden/>
              </w:rPr>
              <w:fldChar w:fldCharType="end"/>
            </w:r>
          </w:hyperlink>
        </w:p>
        <w:p w14:paraId="65C04908" w14:textId="58012F66"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687" w:history="1">
            <w:r w:rsidR="00CC67F0" w:rsidRPr="00147843">
              <w:rPr>
                <w:rStyle w:val="Hyperlink"/>
              </w:rPr>
              <w:t>Sustainable and ongoing learning and development</w:t>
            </w:r>
            <w:r w:rsidR="00CC67F0">
              <w:rPr>
                <w:webHidden/>
              </w:rPr>
              <w:tab/>
            </w:r>
            <w:r w:rsidR="00CC67F0">
              <w:rPr>
                <w:webHidden/>
              </w:rPr>
              <w:fldChar w:fldCharType="begin"/>
            </w:r>
            <w:r w:rsidR="00CC67F0">
              <w:rPr>
                <w:webHidden/>
              </w:rPr>
              <w:instrText xml:space="preserve"> PAGEREF _Toc174363687 \h </w:instrText>
            </w:r>
            <w:r w:rsidR="00CC67F0">
              <w:rPr>
                <w:webHidden/>
              </w:rPr>
            </w:r>
            <w:r w:rsidR="00CC67F0">
              <w:rPr>
                <w:webHidden/>
              </w:rPr>
              <w:fldChar w:fldCharType="separate"/>
            </w:r>
            <w:r w:rsidR="005F18C1">
              <w:rPr>
                <w:webHidden/>
              </w:rPr>
              <w:t>10</w:t>
            </w:r>
            <w:r w:rsidR="00CC67F0">
              <w:rPr>
                <w:webHidden/>
              </w:rPr>
              <w:fldChar w:fldCharType="end"/>
            </w:r>
          </w:hyperlink>
        </w:p>
        <w:p w14:paraId="1CBEAC6C" w14:textId="2A7C0AB8"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688" w:history="1">
            <w:r w:rsidR="00CC67F0" w:rsidRPr="00147843">
              <w:rPr>
                <w:rStyle w:val="Hyperlink"/>
              </w:rPr>
              <w:t>Strong foundations for rewarding ECEC careers</w:t>
            </w:r>
            <w:r w:rsidR="00CC67F0">
              <w:rPr>
                <w:webHidden/>
              </w:rPr>
              <w:tab/>
            </w:r>
            <w:r w:rsidR="00CC67F0">
              <w:rPr>
                <w:webHidden/>
              </w:rPr>
              <w:fldChar w:fldCharType="begin"/>
            </w:r>
            <w:r w:rsidR="00CC67F0">
              <w:rPr>
                <w:webHidden/>
              </w:rPr>
              <w:instrText xml:space="preserve"> PAGEREF _Toc174363688 \h </w:instrText>
            </w:r>
            <w:r w:rsidR="00CC67F0">
              <w:rPr>
                <w:webHidden/>
              </w:rPr>
            </w:r>
            <w:r w:rsidR="00CC67F0">
              <w:rPr>
                <w:webHidden/>
              </w:rPr>
              <w:fldChar w:fldCharType="separate"/>
            </w:r>
            <w:r w:rsidR="005F18C1">
              <w:rPr>
                <w:webHidden/>
              </w:rPr>
              <w:t>15</w:t>
            </w:r>
            <w:r w:rsidR="00CC67F0">
              <w:rPr>
                <w:webHidden/>
              </w:rPr>
              <w:fldChar w:fldCharType="end"/>
            </w:r>
          </w:hyperlink>
        </w:p>
        <w:p w14:paraId="59E97004" w14:textId="5BCF9653" w:rsidR="00CC67F0" w:rsidRDefault="00044D83">
          <w:pPr>
            <w:pStyle w:val="TOC1"/>
            <w:rPr>
              <w:rFonts w:asciiTheme="minorHAnsi" w:eastAsiaTheme="minorEastAsia" w:hAnsiTheme="minorHAnsi"/>
              <w:b w:val="0"/>
              <w:bCs w:val="0"/>
              <w:kern w:val="2"/>
              <w:sz w:val="24"/>
              <w:szCs w:val="24"/>
              <w:lang w:eastAsia="en-AU"/>
              <w14:ligatures w14:val="standardContextual"/>
            </w:rPr>
          </w:pPr>
          <w:hyperlink w:anchor="_Toc174363689" w:history="1">
            <w:r w:rsidR="00CC67F0" w:rsidRPr="00147843">
              <w:rPr>
                <w:rStyle w:val="Hyperlink"/>
              </w:rPr>
              <w:t>Introduction</w:t>
            </w:r>
            <w:r w:rsidR="00CC67F0">
              <w:rPr>
                <w:webHidden/>
              </w:rPr>
              <w:tab/>
            </w:r>
            <w:r w:rsidR="00CC67F0">
              <w:rPr>
                <w:webHidden/>
              </w:rPr>
              <w:fldChar w:fldCharType="begin"/>
            </w:r>
            <w:r w:rsidR="00CC67F0">
              <w:rPr>
                <w:webHidden/>
              </w:rPr>
              <w:instrText xml:space="preserve"> PAGEREF _Toc174363689 \h </w:instrText>
            </w:r>
            <w:r w:rsidR="00CC67F0">
              <w:rPr>
                <w:webHidden/>
              </w:rPr>
            </w:r>
            <w:r w:rsidR="00CC67F0">
              <w:rPr>
                <w:webHidden/>
              </w:rPr>
              <w:fldChar w:fldCharType="separate"/>
            </w:r>
            <w:r w:rsidR="005F18C1">
              <w:rPr>
                <w:webHidden/>
              </w:rPr>
              <w:t>19</w:t>
            </w:r>
            <w:r w:rsidR="00CC67F0">
              <w:rPr>
                <w:webHidden/>
              </w:rPr>
              <w:fldChar w:fldCharType="end"/>
            </w:r>
          </w:hyperlink>
        </w:p>
        <w:p w14:paraId="6B7B3FEA" w14:textId="78D30BD6"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690" w:history="1">
            <w:r w:rsidR="00CC67F0" w:rsidRPr="00147843">
              <w:rPr>
                <w:rStyle w:val="Hyperlink"/>
              </w:rPr>
              <w:t>The Role of this Study</w:t>
            </w:r>
            <w:r w:rsidR="00CC67F0">
              <w:rPr>
                <w:webHidden/>
              </w:rPr>
              <w:tab/>
            </w:r>
            <w:r w:rsidR="00CC67F0">
              <w:rPr>
                <w:webHidden/>
              </w:rPr>
              <w:fldChar w:fldCharType="begin"/>
            </w:r>
            <w:r w:rsidR="00CC67F0">
              <w:rPr>
                <w:webHidden/>
              </w:rPr>
              <w:instrText xml:space="preserve"> PAGEREF _Toc174363690 \h </w:instrText>
            </w:r>
            <w:r w:rsidR="00CC67F0">
              <w:rPr>
                <w:webHidden/>
              </w:rPr>
            </w:r>
            <w:r w:rsidR="00CC67F0">
              <w:rPr>
                <w:webHidden/>
              </w:rPr>
              <w:fldChar w:fldCharType="separate"/>
            </w:r>
            <w:r w:rsidR="005F18C1">
              <w:rPr>
                <w:webHidden/>
              </w:rPr>
              <w:t>20</w:t>
            </w:r>
            <w:r w:rsidR="00CC67F0">
              <w:rPr>
                <w:webHidden/>
              </w:rPr>
              <w:fldChar w:fldCharType="end"/>
            </w:r>
          </w:hyperlink>
        </w:p>
        <w:p w14:paraId="724FD483" w14:textId="09F7C78C"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691" w:history="1">
            <w:r w:rsidR="00CC67F0" w:rsidRPr="00147843">
              <w:rPr>
                <w:rStyle w:val="Hyperlink"/>
              </w:rPr>
              <w:t>What is a Capacity Study?</w:t>
            </w:r>
            <w:r w:rsidR="00CC67F0">
              <w:rPr>
                <w:webHidden/>
              </w:rPr>
              <w:tab/>
            </w:r>
            <w:r w:rsidR="00CC67F0">
              <w:rPr>
                <w:webHidden/>
              </w:rPr>
              <w:fldChar w:fldCharType="begin"/>
            </w:r>
            <w:r w:rsidR="00CC67F0">
              <w:rPr>
                <w:webHidden/>
              </w:rPr>
              <w:instrText xml:space="preserve"> PAGEREF _Toc174363691 \h </w:instrText>
            </w:r>
            <w:r w:rsidR="00CC67F0">
              <w:rPr>
                <w:webHidden/>
              </w:rPr>
            </w:r>
            <w:r w:rsidR="00CC67F0">
              <w:rPr>
                <w:webHidden/>
              </w:rPr>
              <w:fldChar w:fldCharType="separate"/>
            </w:r>
            <w:r w:rsidR="005F18C1">
              <w:rPr>
                <w:webHidden/>
              </w:rPr>
              <w:t>20</w:t>
            </w:r>
            <w:r w:rsidR="00CC67F0">
              <w:rPr>
                <w:webHidden/>
              </w:rPr>
              <w:fldChar w:fldCharType="end"/>
            </w:r>
          </w:hyperlink>
        </w:p>
        <w:p w14:paraId="7B98A3FE" w14:textId="326EF518"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692" w:history="1">
            <w:r w:rsidR="00CC67F0" w:rsidRPr="00147843">
              <w:rPr>
                <w:rStyle w:val="Hyperlink"/>
              </w:rPr>
              <w:t>The Terms of Reference</w:t>
            </w:r>
            <w:r w:rsidR="00CC67F0">
              <w:rPr>
                <w:webHidden/>
              </w:rPr>
              <w:tab/>
            </w:r>
            <w:r w:rsidR="00CC67F0">
              <w:rPr>
                <w:webHidden/>
              </w:rPr>
              <w:fldChar w:fldCharType="begin"/>
            </w:r>
            <w:r w:rsidR="00CC67F0">
              <w:rPr>
                <w:webHidden/>
              </w:rPr>
              <w:instrText xml:space="preserve"> PAGEREF _Toc174363692 \h </w:instrText>
            </w:r>
            <w:r w:rsidR="00CC67F0">
              <w:rPr>
                <w:webHidden/>
              </w:rPr>
            </w:r>
            <w:r w:rsidR="00CC67F0">
              <w:rPr>
                <w:webHidden/>
              </w:rPr>
              <w:fldChar w:fldCharType="separate"/>
            </w:r>
            <w:r w:rsidR="005F18C1">
              <w:rPr>
                <w:webHidden/>
              </w:rPr>
              <w:t>21</w:t>
            </w:r>
            <w:r w:rsidR="00CC67F0">
              <w:rPr>
                <w:webHidden/>
              </w:rPr>
              <w:fldChar w:fldCharType="end"/>
            </w:r>
          </w:hyperlink>
        </w:p>
        <w:p w14:paraId="29D83199" w14:textId="2E43D1EE"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693" w:history="1">
            <w:r w:rsidR="00CC67F0" w:rsidRPr="00147843">
              <w:rPr>
                <w:rStyle w:val="Hyperlink"/>
              </w:rPr>
              <w:t>The ECEC Sector</w:t>
            </w:r>
            <w:r w:rsidR="00CC67F0">
              <w:rPr>
                <w:webHidden/>
              </w:rPr>
              <w:tab/>
            </w:r>
            <w:r w:rsidR="00CC67F0">
              <w:rPr>
                <w:webHidden/>
              </w:rPr>
              <w:fldChar w:fldCharType="begin"/>
            </w:r>
            <w:r w:rsidR="00CC67F0">
              <w:rPr>
                <w:webHidden/>
              </w:rPr>
              <w:instrText xml:space="preserve"> PAGEREF _Toc174363693 \h </w:instrText>
            </w:r>
            <w:r w:rsidR="00CC67F0">
              <w:rPr>
                <w:webHidden/>
              </w:rPr>
            </w:r>
            <w:r w:rsidR="00CC67F0">
              <w:rPr>
                <w:webHidden/>
              </w:rPr>
              <w:fldChar w:fldCharType="separate"/>
            </w:r>
            <w:r w:rsidR="005F18C1">
              <w:rPr>
                <w:webHidden/>
              </w:rPr>
              <w:t>21</w:t>
            </w:r>
            <w:r w:rsidR="00CC67F0">
              <w:rPr>
                <w:webHidden/>
              </w:rPr>
              <w:fldChar w:fldCharType="end"/>
            </w:r>
          </w:hyperlink>
        </w:p>
        <w:p w14:paraId="65F38AD4" w14:textId="00A901FF"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694" w:history="1">
            <w:r w:rsidR="00CC67F0" w:rsidRPr="00147843">
              <w:rPr>
                <w:rStyle w:val="Hyperlink"/>
              </w:rPr>
              <w:t>Engaging with the Sector</w:t>
            </w:r>
            <w:r w:rsidR="00CC67F0">
              <w:rPr>
                <w:webHidden/>
              </w:rPr>
              <w:tab/>
            </w:r>
            <w:r w:rsidR="00CC67F0">
              <w:rPr>
                <w:webHidden/>
              </w:rPr>
              <w:fldChar w:fldCharType="begin"/>
            </w:r>
            <w:r w:rsidR="00CC67F0">
              <w:rPr>
                <w:webHidden/>
              </w:rPr>
              <w:instrText xml:space="preserve"> PAGEREF _Toc174363694 \h </w:instrText>
            </w:r>
            <w:r w:rsidR="00CC67F0">
              <w:rPr>
                <w:webHidden/>
              </w:rPr>
            </w:r>
            <w:r w:rsidR="00CC67F0">
              <w:rPr>
                <w:webHidden/>
              </w:rPr>
              <w:fldChar w:fldCharType="separate"/>
            </w:r>
            <w:r w:rsidR="005F18C1">
              <w:rPr>
                <w:webHidden/>
              </w:rPr>
              <w:t>28</w:t>
            </w:r>
            <w:r w:rsidR="00CC67F0">
              <w:rPr>
                <w:webHidden/>
              </w:rPr>
              <w:fldChar w:fldCharType="end"/>
            </w:r>
          </w:hyperlink>
        </w:p>
        <w:p w14:paraId="4B21D576" w14:textId="14FFF21B"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695" w:history="1">
            <w:r w:rsidR="00CC67F0" w:rsidRPr="00147843">
              <w:rPr>
                <w:rStyle w:val="Hyperlink"/>
              </w:rPr>
              <w:t>Structure of the Report</w:t>
            </w:r>
            <w:r w:rsidR="00CC67F0">
              <w:rPr>
                <w:webHidden/>
              </w:rPr>
              <w:tab/>
            </w:r>
            <w:r w:rsidR="00CC67F0">
              <w:rPr>
                <w:webHidden/>
              </w:rPr>
              <w:fldChar w:fldCharType="begin"/>
            </w:r>
            <w:r w:rsidR="00CC67F0">
              <w:rPr>
                <w:webHidden/>
              </w:rPr>
              <w:instrText xml:space="preserve"> PAGEREF _Toc174363695 \h </w:instrText>
            </w:r>
            <w:r w:rsidR="00CC67F0">
              <w:rPr>
                <w:webHidden/>
              </w:rPr>
            </w:r>
            <w:r w:rsidR="00CC67F0">
              <w:rPr>
                <w:webHidden/>
              </w:rPr>
              <w:fldChar w:fldCharType="separate"/>
            </w:r>
            <w:r w:rsidR="005F18C1">
              <w:rPr>
                <w:webHidden/>
              </w:rPr>
              <w:t>29</w:t>
            </w:r>
            <w:r w:rsidR="00CC67F0">
              <w:rPr>
                <w:webHidden/>
              </w:rPr>
              <w:fldChar w:fldCharType="end"/>
            </w:r>
          </w:hyperlink>
        </w:p>
        <w:p w14:paraId="6C06DFAA" w14:textId="713C781D" w:rsidR="00CC67F0" w:rsidRDefault="00044D83">
          <w:pPr>
            <w:pStyle w:val="TOC1"/>
            <w:rPr>
              <w:rFonts w:asciiTheme="minorHAnsi" w:eastAsiaTheme="minorEastAsia" w:hAnsiTheme="minorHAnsi"/>
              <w:b w:val="0"/>
              <w:bCs w:val="0"/>
              <w:kern w:val="2"/>
              <w:sz w:val="24"/>
              <w:szCs w:val="24"/>
              <w:lang w:eastAsia="en-AU"/>
              <w14:ligatures w14:val="standardContextual"/>
            </w:rPr>
          </w:pPr>
          <w:hyperlink w:anchor="_Toc174363696" w:history="1">
            <w:r w:rsidR="00CC67F0" w:rsidRPr="00147843">
              <w:rPr>
                <w:rStyle w:val="Hyperlink"/>
              </w:rPr>
              <w:t>Chapter 1: System and Structure</w:t>
            </w:r>
            <w:r w:rsidR="00CC67F0">
              <w:rPr>
                <w:webHidden/>
              </w:rPr>
              <w:tab/>
            </w:r>
            <w:r w:rsidR="00CC67F0">
              <w:rPr>
                <w:webHidden/>
              </w:rPr>
              <w:fldChar w:fldCharType="begin"/>
            </w:r>
            <w:r w:rsidR="00CC67F0">
              <w:rPr>
                <w:webHidden/>
              </w:rPr>
              <w:instrText xml:space="preserve"> PAGEREF _Toc174363696 \h </w:instrText>
            </w:r>
            <w:r w:rsidR="00CC67F0">
              <w:rPr>
                <w:webHidden/>
              </w:rPr>
            </w:r>
            <w:r w:rsidR="00CC67F0">
              <w:rPr>
                <w:webHidden/>
              </w:rPr>
              <w:fldChar w:fldCharType="separate"/>
            </w:r>
            <w:r w:rsidR="005F18C1">
              <w:rPr>
                <w:webHidden/>
              </w:rPr>
              <w:t>30</w:t>
            </w:r>
            <w:r w:rsidR="00CC67F0">
              <w:rPr>
                <w:webHidden/>
              </w:rPr>
              <w:fldChar w:fldCharType="end"/>
            </w:r>
          </w:hyperlink>
        </w:p>
        <w:p w14:paraId="5EBF67C1" w14:textId="17F19BE9"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697" w:history="1">
            <w:r w:rsidR="00CC67F0" w:rsidRPr="00147843">
              <w:rPr>
                <w:rStyle w:val="Hyperlink"/>
              </w:rPr>
              <w:t>Introduction</w:t>
            </w:r>
            <w:r w:rsidR="00CC67F0">
              <w:rPr>
                <w:webHidden/>
              </w:rPr>
              <w:tab/>
            </w:r>
            <w:r w:rsidR="00CC67F0">
              <w:rPr>
                <w:webHidden/>
              </w:rPr>
              <w:fldChar w:fldCharType="begin"/>
            </w:r>
            <w:r w:rsidR="00CC67F0">
              <w:rPr>
                <w:webHidden/>
              </w:rPr>
              <w:instrText xml:space="preserve"> PAGEREF _Toc174363697 \h </w:instrText>
            </w:r>
            <w:r w:rsidR="00CC67F0">
              <w:rPr>
                <w:webHidden/>
              </w:rPr>
            </w:r>
            <w:r w:rsidR="00CC67F0">
              <w:rPr>
                <w:webHidden/>
              </w:rPr>
              <w:fldChar w:fldCharType="separate"/>
            </w:r>
            <w:r w:rsidR="005F18C1">
              <w:rPr>
                <w:webHidden/>
              </w:rPr>
              <w:t>31</w:t>
            </w:r>
            <w:r w:rsidR="00CC67F0">
              <w:rPr>
                <w:webHidden/>
              </w:rPr>
              <w:fldChar w:fldCharType="end"/>
            </w:r>
          </w:hyperlink>
        </w:p>
        <w:p w14:paraId="6FFC3FA3" w14:textId="6040D56C"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698" w:history="1">
            <w:r w:rsidR="00CC67F0" w:rsidRPr="00147843">
              <w:rPr>
                <w:rStyle w:val="Hyperlink"/>
              </w:rPr>
              <w:t>ECEC System Overview</w:t>
            </w:r>
            <w:r w:rsidR="00CC67F0">
              <w:rPr>
                <w:webHidden/>
              </w:rPr>
              <w:tab/>
            </w:r>
            <w:r w:rsidR="00CC67F0">
              <w:rPr>
                <w:webHidden/>
              </w:rPr>
              <w:fldChar w:fldCharType="begin"/>
            </w:r>
            <w:r w:rsidR="00CC67F0">
              <w:rPr>
                <w:webHidden/>
              </w:rPr>
              <w:instrText xml:space="preserve"> PAGEREF _Toc174363698 \h </w:instrText>
            </w:r>
            <w:r w:rsidR="00CC67F0">
              <w:rPr>
                <w:webHidden/>
              </w:rPr>
            </w:r>
            <w:r w:rsidR="00CC67F0">
              <w:rPr>
                <w:webHidden/>
              </w:rPr>
              <w:fldChar w:fldCharType="separate"/>
            </w:r>
            <w:r w:rsidR="005F18C1">
              <w:rPr>
                <w:webHidden/>
              </w:rPr>
              <w:t>31</w:t>
            </w:r>
            <w:r w:rsidR="00CC67F0">
              <w:rPr>
                <w:webHidden/>
              </w:rPr>
              <w:fldChar w:fldCharType="end"/>
            </w:r>
          </w:hyperlink>
        </w:p>
        <w:p w14:paraId="3B2238F7" w14:textId="1EE94EC6"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699" w:history="1">
            <w:r w:rsidR="00CC67F0" w:rsidRPr="00147843">
              <w:rPr>
                <w:rStyle w:val="Hyperlink"/>
              </w:rPr>
              <w:t>Provision of ECEC</w:t>
            </w:r>
            <w:r w:rsidR="00CC67F0">
              <w:rPr>
                <w:webHidden/>
              </w:rPr>
              <w:tab/>
            </w:r>
            <w:r w:rsidR="00CC67F0">
              <w:rPr>
                <w:webHidden/>
              </w:rPr>
              <w:fldChar w:fldCharType="begin"/>
            </w:r>
            <w:r w:rsidR="00CC67F0">
              <w:rPr>
                <w:webHidden/>
              </w:rPr>
              <w:instrText xml:space="preserve"> PAGEREF _Toc174363699 \h </w:instrText>
            </w:r>
            <w:r w:rsidR="00CC67F0">
              <w:rPr>
                <w:webHidden/>
              </w:rPr>
            </w:r>
            <w:r w:rsidR="00CC67F0">
              <w:rPr>
                <w:webHidden/>
              </w:rPr>
              <w:fldChar w:fldCharType="separate"/>
            </w:r>
            <w:r w:rsidR="005F18C1">
              <w:rPr>
                <w:webHidden/>
              </w:rPr>
              <w:t>44</w:t>
            </w:r>
            <w:r w:rsidR="00CC67F0">
              <w:rPr>
                <w:webHidden/>
              </w:rPr>
              <w:fldChar w:fldCharType="end"/>
            </w:r>
          </w:hyperlink>
        </w:p>
        <w:p w14:paraId="2AF0332C" w14:textId="7E0DD285"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700" w:history="1">
            <w:r w:rsidR="00CC67F0" w:rsidRPr="00147843">
              <w:rPr>
                <w:rStyle w:val="Hyperlink"/>
              </w:rPr>
              <w:t>Summary</w:t>
            </w:r>
            <w:r w:rsidR="00CC67F0">
              <w:rPr>
                <w:webHidden/>
              </w:rPr>
              <w:tab/>
            </w:r>
            <w:r w:rsidR="00CC67F0">
              <w:rPr>
                <w:webHidden/>
              </w:rPr>
              <w:fldChar w:fldCharType="begin"/>
            </w:r>
            <w:r w:rsidR="00CC67F0">
              <w:rPr>
                <w:webHidden/>
              </w:rPr>
              <w:instrText xml:space="preserve"> PAGEREF _Toc174363700 \h </w:instrText>
            </w:r>
            <w:r w:rsidR="00CC67F0">
              <w:rPr>
                <w:webHidden/>
              </w:rPr>
            </w:r>
            <w:r w:rsidR="00CC67F0">
              <w:rPr>
                <w:webHidden/>
              </w:rPr>
              <w:fldChar w:fldCharType="separate"/>
            </w:r>
            <w:r w:rsidR="005F18C1">
              <w:rPr>
                <w:webHidden/>
              </w:rPr>
              <w:t>56</w:t>
            </w:r>
            <w:r w:rsidR="00CC67F0">
              <w:rPr>
                <w:webHidden/>
              </w:rPr>
              <w:fldChar w:fldCharType="end"/>
            </w:r>
          </w:hyperlink>
        </w:p>
        <w:p w14:paraId="5BE7F7D9" w14:textId="356E8B22" w:rsidR="00CC67F0" w:rsidRDefault="00044D83">
          <w:pPr>
            <w:pStyle w:val="TOC1"/>
            <w:rPr>
              <w:rFonts w:asciiTheme="minorHAnsi" w:eastAsiaTheme="minorEastAsia" w:hAnsiTheme="minorHAnsi"/>
              <w:b w:val="0"/>
              <w:bCs w:val="0"/>
              <w:kern w:val="2"/>
              <w:sz w:val="24"/>
              <w:szCs w:val="24"/>
              <w:lang w:eastAsia="en-AU"/>
              <w14:ligatures w14:val="standardContextual"/>
            </w:rPr>
          </w:pPr>
          <w:hyperlink w:anchor="_Toc174363701" w:history="1">
            <w:r w:rsidR="00CC67F0" w:rsidRPr="00147843">
              <w:rPr>
                <w:rStyle w:val="Hyperlink"/>
              </w:rPr>
              <w:t>Chapter 2: The ECEC Workforce</w:t>
            </w:r>
            <w:r w:rsidR="00CC67F0">
              <w:rPr>
                <w:webHidden/>
              </w:rPr>
              <w:tab/>
            </w:r>
            <w:r w:rsidR="00CC67F0">
              <w:rPr>
                <w:webHidden/>
              </w:rPr>
              <w:fldChar w:fldCharType="begin"/>
            </w:r>
            <w:r w:rsidR="00CC67F0">
              <w:rPr>
                <w:webHidden/>
              </w:rPr>
              <w:instrText xml:space="preserve"> PAGEREF _Toc174363701 \h </w:instrText>
            </w:r>
            <w:r w:rsidR="00CC67F0">
              <w:rPr>
                <w:webHidden/>
              </w:rPr>
            </w:r>
            <w:r w:rsidR="00CC67F0">
              <w:rPr>
                <w:webHidden/>
              </w:rPr>
              <w:fldChar w:fldCharType="separate"/>
            </w:r>
            <w:r w:rsidR="005F18C1">
              <w:rPr>
                <w:webHidden/>
              </w:rPr>
              <w:t>56</w:t>
            </w:r>
            <w:r w:rsidR="00CC67F0">
              <w:rPr>
                <w:webHidden/>
              </w:rPr>
              <w:fldChar w:fldCharType="end"/>
            </w:r>
          </w:hyperlink>
        </w:p>
        <w:p w14:paraId="6D1C2A01" w14:textId="5CA7DC3C"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702" w:history="1">
            <w:r w:rsidR="00CC67F0" w:rsidRPr="00147843">
              <w:rPr>
                <w:rStyle w:val="Hyperlink"/>
              </w:rPr>
              <w:t>Defining the ECEC Workforce</w:t>
            </w:r>
            <w:r w:rsidR="00CC67F0">
              <w:rPr>
                <w:webHidden/>
              </w:rPr>
              <w:tab/>
            </w:r>
            <w:r w:rsidR="00CC67F0">
              <w:rPr>
                <w:webHidden/>
              </w:rPr>
              <w:fldChar w:fldCharType="begin"/>
            </w:r>
            <w:r w:rsidR="00CC67F0">
              <w:rPr>
                <w:webHidden/>
              </w:rPr>
              <w:instrText xml:space="preserve"> PAGEREF _Toc174363702 \h </w:instrText>
            </w:r>
            <w:r w:rsidR="00CC67F0">
              <w:rPr>
                <w:webHidden/>
              </w:rPr>
            </w:r>
            <w:r w:rsidR="00CC67F0">
              <w:rPr>
                <w:webHidden/>
              </w:rPr>
              <w:fldChar w:fldCharType="separate"/>
            </w:r>
            <w:r w:rsidR="005F18C1">
              <w:rPr>
                <w:webHidden/>
              </w:rPr>
              <w:t>57</w:t>
            </w:r>
            <w:r w:rsidR="00CC67F0">
              <w:rPr>
                <w:webHidden/>
              </w:rPr>
              <w:fldChar w:fldCharType="end"/>
            </w:r>
          </w:hyperlink>
        </w:p>
        <w:p w14:paraId="6C8450F6" w14:textId="0346FE18"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703" w:history="1">
            <w:r w:rsidR="00CC67F0" w:rsidRPr="00147843">
              <w:rPr>
                <w:rStyle w:val="Hyperlink"/>
              </w:rPr>
              <w:t>Characteristics of the ECEC Workforce</w:t>
            </w:r>
            <w:r w:rsidR="00CC67F0">
              <w:rPr>
                <w:webHidden/>
              </w:rPr>
              <w:tab/>
            </w:r>
            <w:r w:rsidR="00CC67F0">
              <w:rPr>
                <w:webHidden/>
              </w:rPr>
              <w:fldChar w:fldCharType="begin"/>
            </w:r>
            <w:r w:rsidR="00CC67F0">
              <w:rPr>
                <w:webHidden/>
              </w:rPr>
              <w:instrText xml:space="preserve"> PAGEREF _Toc174363703 \h </w:instrText>
            </w:r>
            <w:r w:rsidR="00CC67F0">
              <w:rPr>
                <w:webHidden/>
              </w:rPr>
            </w:r>
            <w:r w:rsidR="00CC67F0">
              <w:rPr>
                <w:webHidden/>
              </w:rPr>
              <w:fldChar w:fldCharType="separate"/>
            </w:r>
            <w:r w:rsidR="005F18C1">
              <w:rPr>
                <w:webHidden/>
              </w:rPr>
              <w:t>61</w:t>
            </w:r>
            <w:r w:rsidR="00CC67F0">
              <w:rPr>
                <w:webHidden/>
              </w:rPr>
              <w:fldChar w:fldCharType="end"/>
            </w:r>
          </w:hyperlink>
        </w:p>
        <w:p w14:paraId="2B22DD16" w14:textId="5AD30B18"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704" w:history="1">
            <w:r w:rsidR="00CC67F0" w:rsidRPr="00147843">
              <w:rPr>
                <w:rStyle w:val="Hyperlink"/>
              </w:rPr>
              <w:t>Migration Routes</w:t>
            </w:r>
            <w:r w:rsidR="00CC67F0">
              <w:rPr>
                <w:webHidden/>
              </w:rPr>
              <w:tab/>
            </w:r>
            <w:r w:rsidR="00CC67F0">
              <w:rPr>
                <w:webHidden/>
              </w:rPr>
              <w:fldChar w:fldCharType="begin"/>
            </w:r>
            <w:r w:rsidR="00CC67F0">
              <w:rPr>
                <w:webHidden/>
              </w:rPr>
              <w:instrText xml:space="preserve"> PAGEREF _Toc174363704 \h </w:instrText>
            </w:r>
            <w:r w:rsidR="00CC67F0">
              <w:rPr>
                <w:webHidden/>
              </w:rPr>
            </w:r>
            <w:r w:rsidR="00CC67F0">
              <w:rPr>
                <w:webHidden/>
              </w:rPr>
              <w:fldChar w:fldCharType="separate"/>
            </w:r>
            <w:r w:rsidR="005F18C1">
              <w:rPr>
                <w:webHidden/>
              </w:rPr>
              <w:t>63</w:t>
            </w:r>
            <w:r w:rsidR="00CC67F0">
              <w:rPr>
                <w:webHidden/>
              </w:rPr>
              <w:fldChar w:fldCharType="end"/>
            </w:r>
          </w:hyperlink>
        </w:p>
        <w:p w14:paraId="7388683C" w14:textId="36D155FD"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705" w:history="1">
            <w:r w:rsidR="00CC67F0" w:rsidRPr="00147843">
              <w:rPr>
                <w:rStyle w:val="Hyperlink"/>
              </w:rPr>
              <w:t>Remuneration and Other Employment Conditions</w:t>
            </w:r>
            <w:r w:rsidR="00CC67F0">
              <w:rPr>
                <w:webHidden/>
              </w:rPr>
              <w:tab/>
            </w:r>
            <w:r w:rsidR="00CC67F0">
              <w:rPr>
                <w:webHidden/>
              </w:rPr>
              <w:fldChar w:fldCharType="begin"/>
            </w:r>
            <w:r w:rsidR="00CC67F0">
              <w:rPr>
                <w:webHidden/>
              </w:rPr>
              <w:instrText xml:space="preserve"> PAGEREF _Toc174363705 \h </w:instrText>
            </w:r>
            <w:r w:rsidR="00CC67F0">
              <w:rPr>
                <w:webHidden/>
              </w:rPr>
            </w:r>
            <w:r w:rsidR="00CC67F0">
              <w:rPr>
                <w:webHidden/>
              </w:rPr>
              <w:fldChar w:fldCharType="separate"/>
            </w:r>
            <w:r w:rsidR="005F18C1">
              <w:rPr>
                <w:webHidden/>
              </w:rPr>
              <w:t>67</w:t>
            </w:r>
            <w:r w:rsidR="00CC67F0">
              <w:rPr>
                <w:webHidden/>
              </w:rPr>
              <w:fldChar w:fldCharType="end"/>
            </w:r>
          </w:hyperlink>
        </w:p>
        <w:p w14:paraId="5313BE6E" w14:textId="07C2DEC0"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706" w:history="1">
            <w:r w:rsidR="00CC67F0" w:rsidRPr="00147843">
              <w:rPr>
                <w:rStyle w:val="Hyperlink"/>
              </w:rPr>
              <w:t>Workforce Demand and Hiring Trends</w:t>
            </w:r>
            <w:r w:rsidR="00CC67F0">
              <w:rPr>
                <w:webHidden/>
              </w:rPr>
              <w:tab/>
            </w:r>
            <w:r w:rsidR="00CC67F0">
              <w:rPr>
                <w:webHidden/>
              </w:rPr>
              <w:fldChar w:fldCharType="begin"/>
            </w:r>
            <w:r w:rsidR="00CC67F0">
              <w:rPr>
                <w:webHidden/>
              </w:rPr>
              <w:instrText xml:space="preserve"> PAGEREF _Toc174363706 \h </w:instrText>
            </w:r>
            <w:r w:rsidR="00CC67F0">
              <w:rPr>
                <w:webHidden/>
              </w:rPr>
            </w:r>
            <w:r w:rsidR="00CC67F0">
              <w:rPr>
                <w:webHidden/>
              </w:rPr>
              <w:fldChar w:fldCharType="separate"/>
            </w:r>
            <w:r w:rsidR="005F18C1">
              <w:rPr>
                <w:webHidden/>
              </w:rPr>
              <w:t>80</w:t>
            </w:r>
            <w:r w:rsidR="00CC67F0">
              <w:rPr>
                <w:webHidden/>
              </w:rPr>
              <w:fldChar w:fldCharType="end"/>
            </w:r>
          </w:hyperlink>
        </w:p>
        <w:p w14:paraId="377D6CE2" w14:textId="3BA92739"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707" w:history="1">
            <w:r w:rsidR="00CC67F0" w:rsidRPr="00147843">
              <w:rPr>
                <w:rStyle w:val="Hyperlink"/>
              </w:rPr>
              <w:t>Occupational Flows</w:t>
            </w:r>
            <w:r w:rsidR="00CC67F0">
              <w:rPr>
                <w:webHidden/>
              </w:rPr>
              <w:tab/>
            </w:r>
            <w:r w:rsidR="00CC67F0">
              <w:rPr>
                <w:webHidden/>
              </w:rPr>
              <w:fldChar w:fldCharType="begin"/>
            </w:r>
            <w:r w:rsidR="00CC67F0">
              <w:rPr>
                <w:webHidden/>
              </w:rPr>
              <w:instrText xml:space="preserve"> PAGEREF _Toc174363707 \h </w:instrText>
            </w:r>
            <w:r w:rsidR="00CC67F0">
              <w:rPr>
                <w:webHidden/>
              </w:rPr>
            </w:r>
            <w:r w:rsidR="00CC67F0">
              <w:rPr>
                <w:webHidden/>
              </w:rPr>
              <w:fldChar w:fldCharType="separate"/>
            </w:r>
            <w:r w:rsidR="005F18C1">
              <w:rPr>
                <w:webHidden/>
              </w:rPr>
              <w:t>87</w:t>
            </w:r>
            <w:r w:rsidR="00CC67F0">
              <w:rPr>
                <w:webHidden/>
              </w:rPr>
              <w:fldChar w:fldCharType="end"/>
            </w:r>
          </w:hyperlink>
        </w:p>
        <w:p w14:paraId="61C6FBA8" w14:textId="6F431795"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708" w:history="1">
            <w:r w:rsidR="00CC67F0" w:rsidRPr="00147843">
              <w:rPr>
                <w:rStyle w:val="Hyperlink"/>
              </w:rPr>
              <w:t>Summary</w:t>
            </w:r>
            <w:r w:rsidR="00CC67F0">
              <w:rPr>
                <w:webHidden/>
              </w:rPr>
              <w:tab/>
            </w:r>
            <w:r w:rsidR="00CC67F0">
              <w:rPr>
                <w:webHidden/>
              </w:rPr>
              <w:fldChar w:fldCharType="begin"/>
            </w:r>
            <w:r w:rsidR="00CC67F0">
              <w:rPr>
                <w:webHidden/>
              </w:rPr>
              <w:instrText xml:space="preserve"> PAGEREF _Toc174363708 \h </w:instrText>
            </w:r>
            <w:r w:rsidR="00CC67F0">
              <w:rPr>
                <w:webHidden/>
              </w:rPr>
            </w:r>
            <w:r w:rsidR="00CC67F0">
              <w:rPr>
                <w:webHidden/>
              </w:rPr>
              <w:fldChar w:fldCharType="separate"/>
            </w:r>
            <w:r w:rsidR="005F18C1">
              <w:rPr>
                <w:webHidden/>
              </w:rPr>
              <w:t>91</w:t>
            </w:r>
            <w:r w:rsidR="00CC67F0">
              <w:rPr>
                <w:webHidden/>
              </w:rPr>
              <w:fldChar w:fldCharType="end"/>
            </w:r>
          </w:hyperlink>
        </w:p>
        <w:p w14:paraId="651CDAAD" w14:textId="77777777" w:rsidR="00CC67F0" w:rsidRDefault="00CC67F0">
          <w:pPr>
            <w:rPr>
              <w:rStyle w:val="Hyperlink"/>
              <w:b/>
              <w:bCs/>
              <w:noProof/>
              <w:sz w:val="28"/>
              <w:szCs w:val="28"/>
            </w:rPr>
          </w:pPr>
          <w:r>
            <w:rPr>
              <w:rStyle w:val="Hyperlink"/>
              <w:noProof/>
            </w:rPr>
            <w:br w:type="page"/>
          </w:r>
        </w:p>
        <w:p w14:paraId="29B148E7" w14:textId="41E123B2" w:rsidR="00CC67F0" w:rsidRDefault="00044D83">
          <w:pPr>
            <w:pStyle w:val="TOC1"/>
            <w:rPr>
              <w:rFonts w:asciiTheme="minorHAnsi" w:eastAsiaTheme="minorEastAsia" w:hAnsiTheme="minorHAnsi"/>
              <w:b w:val="0"/>
              <w:bCs w:val="0"/>
              <w:kern w:val="2"/>
              <w:sz w:val="24"/>
              <w:szCs w:val="24"/>
              <w:lang w:eastAsia="en-AU"/>
              <w14:ligatures w14:val="standardContextual"/>
            </w:rPr>
          </w:pPr>
          <w:hyperlink w:anchor="_Toc174363709" w:history="1">
            <w:r w:rsidR="00CC67F0" w:rsidRPr="00147843">
              <w:rPr>
                <w:rStyle w:val="Hyperlink"/>
              </w:rPr>
              <w:t>Chapter 3: Pathways into the ECEC Workforce</w:t>
            </w:r>
            <w:r w:rsidR="00CC67F0">
              <w:rPr>
                <w:webHidden/>
              </w:rPr>
              <w:tab/>
            </w:r>
            <w:r w:rsidR="00CC67F0">
              <w:rPr>
                <w:webHidden/>
              </w:rPr>
              <w:fldChar w:fldCharType="begin"/>
            </w:r>
            <w:r w:rsidR="00CC67F0">
              <w:rPr>
                <w:webHidden/>
              </w:rPr>
              <w:instrText xml:space="preserve"> PAGEREF _Toc174363709 \h </w:instrText>
            </w:r>
            <w:r w:rsidR="00CC67F0">
              <w:rPr>
                <w:webHidden/>
              </w:rPr>
            </w:r>
            <w:r w:rsidR="00CC67F0">
              <w:rPr>
                <w:webHidden/>
              </w:rPr>
              <w:fldChar w:fldCharType="separate"/>
            </w:r>
            <w:r w:rsidR="005F18C1">
              <w:rPr>
                <w:webHidden/>
              </w:rPr>
              <w:t>92</w:t>
            </w:r>
            <w:r w:rsidR="00CC67F0">
              <w:rPr>
                <w:webHidden/>
              </w:rPr>
              <w:fldChar w:fldCharType="end"/>
            </w:r>
          </w:hyperlink>
        </w:p>
        <w:p w14:paraId="11469CD7" w14:textId="635A56C7"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710" w:history="1">
            <w:r w:rsidR="00CC67F0" w:rsidRPr="00147843">
              <w:rPr>
                <w:rStyle w:val="Hyperlink"/>
              </w:rPr>
              <w:t>Qualification Routes for the ECEC Workforce</w:t>
            </w:r>
            <w:r w:rsidR="00CC67F0">
              <w:rPr>
                <w:webHidden/>
              </w:rPr>
              <w:tab/>
            </w:r>
            <w:r w:rsidR="00CC67F0">
              <w:rPr>
                <w:webHidden/>
              </w:rPr>
              <w:fldChar w:fldCharType="begin"/>
            </w:r>
            <w:r w:rsidR="00CC67F0">
              <w:rPr>
                <w:webHidden/>
              </w:rPr>
              <w:instrText xml:space="preserve"> PAGEREF _Toc174363710 \h </w:instrText>
            </w:r>
            <w:r w:rsidR="00CC67F0">
              <w:rPr>
                <w:webHidden/>
              </w:rPr>
            </w:r>
            <w:r w:rsidR="00CC67F0">
              <w:rPr>
                <w:webHidden/>
              </w:rPr>
              <w:fldChar w:fldCharType="separate"/>
            </w:r>
            <w:r w:rsidR="005F18C1">
              <w:rPr>
                <w:webHidden/>
              </w:rPr>
              <w:t>93</w:t>
            </w:r>
            <w:r w:rsidR="00CC67F0">
              <w:rPr>
                <w:webHidden/>
              </w:rPr>
              <w:fldChar w:fldCharType="end"/>
            </w:r>
          </w:hyperlink>
        </w:p>
        <w:p w14:paraId="5CFB8C31" w14:textId="2C916B82"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711" w:history="1">
            <w:r w:rsidR="00CC67F0" w:rsidRPr="00147843">
              <w:rPr>
                <w:rStyle w:val="Hyperlink"/>
              </w:rPr>
              <w:t>Summary</w:t>
            </w:r>
            <w:r w:rsidR="00CC67F0">
              <w:rPr>
                <w:webHidden/>
              </w:rPr>
              <w:tab/>
            </w:r>
            <w:r w:rsidR="00CC67F0">
              <w:rPr>
                <w:webHidden/>
              </w:rPr>
              <w:fldChar w:fldCharType="begin"/>
            </w:r>
            <w:r w:rsidR="00CC67F0">
              <w:rPr>
                <w:webHidden/>
              </w:rPr>
              <w:instrText xml:space="preserve"> PAGEREF _Toc174363711 \h </w:instrText>
            </w:r>
            <w:r w:rsidR="00CC67F0">
              <w:rPr>
                <w:webHidden/>
              </w:rPr>
            </w:r>
            <w:r w:rsidR="00CC67F0">
              <w:rPr>
                <w:webHidden/>
              </w:rPr>
              <w:fldChar w:fldCharType="separate"/>
            </w:r>
            <w:r w:rsidR="005F18C1">
              <w:rPr>
                <w:webHidden/>
              </w:rPr>
              <w:t>109</w:t>
            </w:r>
            <w:r w:rsidR="00CC67F0">
              <w:rPr>
                <w:webHidden/>
              </w:rPr>
              <w:fldChar w:fldCharType="end"/>
            </w:r>
          </w:hyperlink>
        </w:p>
        <w:p w14:paraId="393E1476" w14:textId="6F0E9F13" w:rsidR="00CC67F0" w:rsidRDefault="00044D83">
          <w:pPr>
            <w:pStyle w:val="TOC1"/>
            <w:rPr>
              <w:rFonts w:asciiTheme="minorHAnsi" w:eastAsiaTheme="minorEastAsia" w:hAnsiTheme="minorHAnsi"/>
              <w:b w:val="0"/>
              <w:bCs w:val="0"/>
              <w:kern w:val="2"/>
              <w:sz w:val="24"/>
              <w:szCs w:val="24"/>
              <w:lang w:eastAsia="en-AU"/>
              <w14:ligatures w14:val="standardContextual"/>
            </w:rPr>
          </w:pPr>
          <w:hyperlink w:anchor="_Toc174363712" w:history="1">
            <w:r w:rsidR="00CC67F0" w:rsidRPr="00147843">
              <w:rPr>
                <w:rStyle w:val="Hyperlink"/>
              </w:rPr>
              <w:t>Chapter 4: Future States</w:t>
            </w:r>
            <w:r w:rsidR="00CC67F0">
              <w:rPr>
                <w:webHidden/>
              </w:rPr>
              <w:tab/>
            </w:r>
            <w:r w:rsidR="00CC67F0">
              <w:rPr>
                <w:webHidden/>
              </w:rPr>
              <w:fldChar w:fldCharType="begin"/>
            </w:r>
            <w:r w:rsidR="00CC67F0">
              <w:rPr>
                <w:webHidden/>
              </w:rPr>
              <w:instrText xml:space="preserve"> PAGEREF _Toc174363712 \h </w:instrText>
            </w:r>
            <w:r w:rsidR="00CC67F0">
              <w:rPr>
                <w:webHidden/>
              </w:rPr>
            </w:r>
            <w:r w:rsidR="00CC67F0">
              <w:rPr>
                <w:webHidden/>
              </w:rPr>
              <w:fldChar w:fldCharType="separate"/>
            </w:r>
            <w:r w:rsidR="005F18C1">
              <w:rPr>
                <w:webHidden/>
              </w:rPr>
              <w:t>110</w:t>
            </w:r>
            <w:r w:rsidR="00CC67F0">
              <w:rPr>
                <w:webHidden/>
              </w:rPr>
              <w:fldChar w:fldCharType="end"/>
            </w:r>
          </w:hyperlink>
        </w:p>
        <w:p w14:paraId="1DA3B27C" w14:textId="64ADBA2E"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713" w:history="1">
            <w:r w:rsidR="00CC67F0" w:rsidRPr="00147843">
              <w:rPr>
                <w:rStyle w:val="Hyperlink"/>
              </w:rPr>
              <w:t>Introduction</w:t>
            </w:r>
            <w:r w:rsidR="00CC67F0">
              <w:rPr>
                <w:webHidden/>
              </w:rPr>
              <w:tab/>
            </w:r>
            <w:r w:rsidR="00CC67F0">
              <w:rPr>
                <w:webHidden/>
              </w:rPr>
              <w:fldChar w:fldCharType="begin"/>
            </w:r>
            <w:r w:rsidR="00CC67F0">
              <w:rPr>
                <w:webHidden/>
              </w:rPr>
              <w:instrText xml:space="preserve"> PAGEREF _Toc174363713 \h </w:instrText>
            </w:r>
            <w:r w:rsidR="00CC67F0">
              <w:rPr>
                <w:webHidden/>
              </w:rPr>
            </w:r>
            <w:r w:rsidR="00CC67F0">
              <w:rPr>
                <w:webHidden/>
              </w:rPr>
              <w:fldChar w:fldCharType="separate"/>
            </w:r>
            <w:r w:rsidR="005F18C1">
              <w:rPr>
                <w:webHidden/>
              </w:rPr>
              <w:t>111</w:t>
            </w:r>
            <w:r w:rsidR="00CC67F0">
              <w:rPr>
                <w:webHidden/>
              </w:rPr>
              <w:fldChar w:fldCharType="end"/>
            </w:r>
          </w:hyperlink>
        </w:p>
        <w:p w14:paraId="2C02FAB1" w14:textId="7773FDC6"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714" w:history="1">
            <w:r w:rsidR="00CC67F0" w:rsidRPr="00147843">
              <w:rPr>
                <w:rStyle w:val="Hyperlink"/>
              </w:rPr>
              <w:t>Approach and Assumptions</w:t>
            </w:r>
            <w:r w:rsidR="00CC67F0">
              <w:rPr>
                <w:webHidden/>
              </w:rPr>
              <w:tab/>
            </w:r>
            <w:r w:rsidR="00CC67F0">
              <w:rPr>
                <w:webHidden/>
              </w:rPr>
              <w:fldChar w:fldCharType="begin"/>
            </w:r>
            <w:r w:rsidR="00CC67F0">
              <w:rPr>
                <w:webHidden/>
              </w:rPr>
              <w:instrText xml:space="preserve"> PAGEREF _Toc174363714 \h </w:instrText>
            </w:r>
            <w:r w:rsidR="00CC67F0">
              <w:rPr>
                <w:webHidden/>
              </w:rPr>
            </w:r>
            <w:r w:rsidR="00CC67F0">
              <w:rPr>
                <w:webHidden/>
              </w:rPr>
              <w:fldChar w:fldCharType="separate"/>
            </w:r>
            <w:r w:rsidR="005F18C1">
              <w:rPr>
                <w:webHidden/>
              </w:rPr>
              <w:t>112</w:t>
            </w:r>
            <w:r w:rsidR="00CC67F0">
              <w:rPr>
                <w:webHidden/>
              </w:rPr>
              <w:fldChar w:fldCharType="end"/>
            </w:r>
          </w:hyperlink>
        </w:p>
        <w:p w14:paraId="09582242" w14:textId="7EE0C07D"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715" w:history="1">
            <w:r w:rsidR="00CC67F0" w:rsidRPr="00147843">
              <w:rPr>
                <w:rStyle w:val="Hyperlink"/>
              </w:rPr>
              <w:t>Future Demand</w:t>
            </w:r>
            <w:r w:rsidR="00CC67F0">
              <w:rPr>
                <w:webHidden/>
              </w:rPr>
              <w:tab/>
            </w:r>
            <w:r w:rsidR="00CC67F0">
              <w:rPr>
                <w:webHidden/>
              </w:rPr>
              <w:fldChar w:fldCharType="begin"/>
            </w:r>
            <w:r w:rsidR="00CC67F0">
              <w:rPr>
                <w:webHidden/>
              </w:rPr>
              <w:instrText xml:space="preserve"> PAGEREF _Toc174363715 \h </w:instrText>
            </w:r>
            <w:r w:rsidR="00CC67F0">
              <w:rPr>
                <w:webHidden/>
              </w:rPr>
            </w:r>
            <w:r w:rsidR="00CC67F0">
              <w:rPr>
                <w:webHidden/>
              </w:rPr>
              <w:fldChar w:fldCharType="separate"/>
            </w:r>
            <w:r w:rsidR="005F18C1">
              <w:rPr>
                <w:webHidden/>
              </w:rPr>
              <w:t>118</w:t>
            </w:r>
            <w:r w:rsidR="00CC67F0">
              <w:rPr>
                <w:webHidden/>
              </w:rPr>
              <w:fldChar w:fldCharType="end"/>
            </w:r>
          </w:hyperlink>
        </w:p>
        <w:p w14:paraId="1526FC2C" w14:textId="79B7CFC7"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716" w:history="1">
            <w:r w:rsidR="00CC67F0" w:rsidRPr="00147843">
              <w:rPr>
                <w:rStyle w:val="Hyperlink"/>
              </w:rPr>
              <w:t>Future Workforce Supply and Emerging Gaps</w:t>
            </w:r>
            <w:r w:rsidR="00CC67F0">
              <w:rPr>
                <w:webHidden/>
              </w:rPr>
              <w:tab/>
            </w:r>
            <w:r w:rsidR="00CC67F0">
              <w:rPr>
                <w:webHidden/>
              </w:rPr>
              <w:fldChar w:fldCharType="begin"/>
            </w:r>
            <w:r w:rsidR="00CC67F0">
              <w:rPr>
                <w:webHidden/>
              </w:rPr>
              <w:instrText xml:space="preserve"> PAGEREF _Toc174363716 \h </w:instrText>
            </w:r>
            <w:r w:rsidR="00CC67F0">
              <w:rPr>
                <w:webHidden/>
              </w:rPr>
            </w:r>
            <w:r w:rsidR="00CC67F0">
              <w:rPr>
                <w:webHidden/>
              </w:rPr>
              <w:fldChar w:fldCharType="separate"/>
            </w:r>
            <w:r w:rsidR="005F18C1">
              <w:rPr>
                <w:webHidden/>
              </w:rPr>
              <w:t>122</w:t>
            </w:r>
            <w:r w:rsidR="00CC67F0">
              <w:rPr>
                <w:webHidden/>
              </w:rPr>
              <w:fldChar w:fldCharType="end"/>
            </w:r>
          </w:hyperlink>
        </w:p>
        <w:p w14:paraId="13A4CE52" w14:textId="0BA84355"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717" w:history="1">
            <w:r w:rsidR="00CC67F0" w:rsidRPr="00147843">
              <w:rPr>
                <w:rStyle w:val="Hyperlink"/>
              </w:rPr>
              <w:t>Summary</w:t>
            </w:r>
            <w:r w:rsidR="00CC67F0">
              <w:rPr>
                <w:webHidden/>
              </w:rPr>
              <w:tab/>
            </w:r>
            <w:r w:rsidR="00CC67F0">
              <w:rPr>
                <w:webHidden/>
              </w:rPr>
              <w:fldChar w:fldCharType="begin"/>
            </w:r>
            <w:r w:rsidR="00CC67F0">
              <w:rPr>
                <w:webHidden/>
              </w:rPr>
              <w:instrText xml:space="preserve"> PAGEREF _Toc174363717 \h </w:instrText>
            </w:r>
            <w:r w:rsidR="00CC67F0">
              <w:rPr>
                <w:webHidden/>
              </w:rPr>
            </w:r>
            <w:r w:rsidR="00CC67F0">
              <w:rPr>
                <w:webHidden/>
              </w:rPr>
              <w:fldChar w:fldCharType="separate"/>
            </w:r>
            <w:r w:rsidR="005F18C1">
              <w:rPr>
                <w:webHidden/>
              </w:rPr>
              <w:t>129</w:t>
            </w:r>
            <w:r w:rsidR="00CC67F0">
              <w:rPr>
                <w:webHidden/>
              </w:rPr>
              <w:fldChar w:fldCharType="end"/>
            </w:r>
          </w:hyperlink>
        </w:p>
        <w:p w14:paraId="348BEB51" w14:textId="179FDED4" w:rsidR="00CC67F0" w:rsidRDefault="00044D83">
          <w:pPr>
            <w:pStyle w:val="TOC1"/>
            <w:rPr>
              <w:rFonts w:asciiTheme="minorHAnsi" w:eastAsiaTheme="minorEastAsia" w:hAnsiTheme="minorHAnsi"/>
              <w:b w:val="0"/>
              <w:bCs w:val="0"/>
              <w:kern w:val="2"/>
              <w:sz w:val="24"/>
              <w:szCs w:val="24"/>
              <w:lang w:eastAsia="en-AU"/>
              <w14:ligatures w14:val="standardContextual"/>
            </w:rPr>
          </w:pPr>
          <w:hyperlink w:anchor="_Toc174363718" w:history="1">
            <w:r w:rsidR="00CC67F0" w:rsidRPr="00147843">
              <w:rPr>
                <w:rStyle w:val="Hyperlink"/>
              </w:rPr>
              <w:t>Chapter 5: Sustainable and Ongoing Learning and Development</w:t>
            </w:r>
            <w:r w:rsidR="00CC67F0">
              <w:rPr>
                <w:webHidden/>
              </w:rPr>
              <w:tab/>
            </w:r>
            <w:r w:rsidR="00CC67F0">
              <w:rPr>
                <w:webHidden/>
              </w:rPr>
              <w:fldChar w:fldCharType="begin"/>
            </w:r>
            <w:r w:rsidR="00CC67F0">
              <w:rPr>
                <w:webHidden/>
              </w:rPr>
              <w:instrText xml:space="preserve"> PAGEREF _Toc174363718 \h </w:instrText>
            </w:r>
            <w:r w:rsidR="00CC67F0">
              <w:rPr>
                <w:webHidden/>
              </w:rPr>
            </w:r>
            <w:r w:rsidR="00CC67F0">
              <w:rPr>
                <w:webHidden/>
              </w:rPr>
              <w:fldChar w:fldCharType="separate"/>
            </w:r>
            <w:r w:rsidR="005F18C1">
              <w:rPr>
                <w:webHidden/>
              </w:rPr>
              <w:t>130</w:t>
            </w:r>
            <w:r w:rsidR="00CC67F0">
              <w:rPr>
                <w:webHidden/>
              </w:rPr>
              <w:fldChar w:fldCharType="end"/>
            </w:r>
          </w:hyperlink>
        </w:p>
        <w:p w14:paraId="76CF5FDC" w14:textId="4ADE69CC"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719" w:history="1">
            <w:r w:rsidR="00CC67F0" w:rsidRPr="00147843">
              <w:rPr>
                <w:rStyle w:val="Hyperlink"/>
              </w:rPr>
              <w:t>ECEC - An Applied Vocation</w:t>
            </w:r>
            <w:r w:rsidR="00CC67F0">
              <w:rPr>
                <w:webHidden/>
              </w:rPr>
              <w:tab/>
            </w:r>
            <w:r w:rsidR="00CC67F0">
              <w:rPr>
                <w:webHidden/>
              </w:rPr>
              <w:fldChar w:fldCharType="begin"/>
            </w:r>
            <w:r w:rsidR="00CC67F0">
              <w:rPr>
                <w:webHidden/>
              </w:rPr>
              <w:instrText xml:space="preserve"> PAGEREF _Toc174363719 \h </w:instrText>
            </w:r>
            <w:r w:rsidR="00CC67F0">
              <w:rPr>
                <w:webHidden/>
              </w:rPr>
            </w:r>
            <w:r w:rsidR="00CC67F0">
              <w:rPr>
                <w:webHidden/>
              </w:rPr>
              <w:fldChar w:fldCharType="separate"/>
            </w:r>
            <w:r w:rsidR="005F18C1">
              <w:rPr>
                <w:webHidden/>
              </w:rPr>
              <w:t>132</w:t>
            </w:r>
            <w:r w:rsidR="00CC67F0">
              <w:rPr>
                <w:webHidden/>
              </w:rPr>
              <w:fldChar w:fldCharType="end"/>
            </w:r>
          </w:hyperlink>
        </w:p>
        <w:p w14:paraId="0C9D682C" w14:textId="3EF30C78"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720" w:history="1">
            <w:r w:rsidR="00CC67F0" w:rsidRPr="00147843">
              <w:rPr>
                <w:rStyle w:val="Hyperlink"/>
                <w:lang w:eastAsia="en-AU"/>
              </w:rPr>
              <w:t>Growth in the Workplace</w:t>
            </w:r>
            <w:r w:rsidR="00CC67F0">
              <w:rPr>
                <w:webHidden/>
              </w:rPr>
              <w:tab/>
            </w:r>
            <w:r w:rsidR="00CC67F0">
              <w:rPr>
                <w:webHidden/>
              </w:rPr>
              <w:fldChar w:fldCharType="begin"/>
            </w:r>
            <w:r w:rsidR="00CC67F0">
              <w:rPr>
                <w:webHidden/>
              </w:rPr>
              <w:instrText xml:space="preserve"> PAGEREF _Toc174363720 \h </w:instrText>
            </w:r>
            <w:r w:rsidR="00CC67F0">
              <w:rPr>
                <w:webHidden/>
              </w:rPr>
            </w:r>
            <w:r w:rsidR="00CC67F0">
              <w:rPr>
                <w:webHidden/>
              </w:rPr>
              <w:fldChar w:fldCharType="separate"/>
            </w:r>
            <w:r w:rsidR="005F18C1">
              <w:rPr>
                <w:webHidden/>
              </w:rPr>
              <w:t>150</w:t>
            </w:r>
            <w:r w:rsidR="00CC67F0">
              <w:rPr>
                <w:webHidden/>
              </w:rPr>
              <w:fldChar w:fldCharType="end"/>
            </w:r>
          </w:hyperlink>
        </w:p>
        <w:p w14:paraId="0DB20D2B" w14:textId="5646A789"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721" w:history="1">
            <w:r w:rsidR="00CC67F0" w:rsidRPr="00147843">
              <w:rPr>
                <w:rStyle w:val="Hyperlink"/>
              </w:rPr>
              <w:t>Summary</w:t>
            </w:r>
            <w:r w:rsidR="00CC67F0">
              <w:rPr>
                <w:webHidden/>
              </w:rPr>
              <w:tab/>
            </w:r>
            <w:r w:rsidR="00CC67F0">
              <w:rPr>
                <w:webHidden/>
              </w:rPr>
              <w:fldChar w:fldCharType="begin"/>
            </w:r>
            <w:r w:rsidR="00CC67F0">
              <w:rPr>
                <w:webHidden/>
              </w:rPr>
              <w:instrText xml:space="preserve"> PAGEREF _Toc174363721 \h </w:instrText>
            </w:r>
            <w:r w:rsidR="00CC67F0">
              <w:rPr>
                <w:webHidden/>
              </w:rPr>
            </w:r>
            <w:r w:rsidR="00CC67F0">
              <w:rPr>
                <w:webHidden/>
              </w:rPr>
              <w:fldChar w:fldCharType="separate"/>
            </w:r>
            <w:r w:rsidR="005F18C1">
              <w:rPr>
                <w:webHidden/>
              </w:rPr>
              <w:t>152</w:t>
            </w:r>
            <w:r w:rsidR="00CC67F0">
              <w:rPr>
                <w:webHidden/>
              </w:rPr>
              <w:fldChar w:fldCharType="end"/>
            </w:r>
          </w:hyperlink>
        </w:p>
        <w:p w14:paraId="02AFF268" w14:textId="6A6E8E57" w:rsidR="00CC67F0" w:rsidRDefault="00044D83">
          <w:pPr>
            <w:pStyle w:val="TOC1"/>
            <w:rPr>
              <w:rFonts w:asciiTheme="minorHAnsi" w:eastAsiaTheme="minorEastAsia" w:hAnsiTheme="minorHAnsi"/>
              <w:b w:val="0"/>
              <w:bCs w:val="0"/>
              <w:kern w:val="2"/>
              <w:sz w:val="24"/>
              <w:szCs w:val="24"/>
              <w:lang w:eastAsia="en-AU"/>
              <w14:ligatures w14:val="standardContextual"/>
            </w:rPr>
          </w:pPr>
          <w:hyperlink w:anchor="_Toc174363722" w:history="1">
            <w:r w:rsidR="00CC67F0" w:rsidRPr="00147843">
              <w:rPr>
                <w:rStyle w:val="Hyperlink"/>
              </w:rPr>
              <w:t>Chapter 6: Strong Foundations for Rewarding ECEC Careers</w:t>
            </w:r>
            <w:r w:rsidR="00CC67F0">
              <w:rPr>
                <w:webHidden/>
              </w:rPr>
              <w:tab/>
            </w:r>
            <w:r w:rsidR="00CC67F0">
              <w:rPr>
                <w:webHidden/>
              </w:rPr>
              <w:fldChar w:fldCharType="begin"/>
            </w:r>
            <w:r w:rsidR="00CC67F0">
              <w:rPr>
                <w:webHidden/>
              </w:rPr>
              <w:instrText xml:space="preserve"> PAGEREF _Toc174363722 \h </w:instrText>
            </w:r>
            <w:r w:rsidR="00CC67F0">
              <w:rPr>
                <w:webHidden/>
              </w:rPr>
            </w:r>
            <w:r w:rsidR="00CC67F0">
              <w:rPr>
                <w:webHidden/>
              </w:rPr>
              <w:fldChar w:fldCharType="separate"/>
            </w:r>
            <w:r w:rsidR="005F18C1">
              <w:rPr>
                <w:webHidden/>
              </w:rPr>
              <w:t>153</w:t>
            </w:r>
            <w:r w:rsidR="00CC67F0">
              <w:rPr>
                <w:webHidden/>
              </w:rPr>
              <w:fldChar w:fldCharType="end"/>
            </w:r>
          </w:hyperlink>
        </w:p>
        <w:p w14:paraId="32F333B5" w14:textId="728F1A63"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723" w:history="1">
            <w:r w:rsidR="00CC67F0" w:rsidRPr="00147843">
              <w:rPr>
                <w:rStyle w:val="Hyperlink"/>
                <w:rFonts w:eastAsia="Arial" w:cs="Arial"/>
              </w:rPr>
              <w:t>Pay, Security and Time</w:t>
            </w:r>
            <w:r w:rsidR="00CC67F0">
              <w:rPr>
                <w:webHidden/>
              </w:rPr>
              <w:tab/>
            </w:r>
            <w:r w:rsidR="00CC67F0">
              <w:rPr>
                <w:webHidden/>
              </w:rPr>
              <w:fldChar w:fldCharType="begin"/>
            </w:r>
            <w:r w:rsidR="00CC67F0">
              <w:rPr>
                <w:webHidden/>
              </w:rPr>
              <w:instrText xml:space="preserve"> PAGEREF _Toc174363723 \h </w:instrText>
            </w:r>
            <w:r w:rsidR="00CC67F0">
              <w:rPr>
                <w:webHidden/>
              </w:rPr>
            </w:r>
            <w:r w:rsidR="00CC67F0">
              <w:rPr>
                <w:webHidden/>
              </w:rPr>
              <w:fldChar w:fldCharType="separate"/>
            </w:r>
            <w:r w:rsidR="005F18C1">
              <w:rPr>
                <w:webHidden/>
              </w:rPr>
              <w:t>155</w:t>
            </w:r>
            <w:r w:rsidR="00CC67F0">
              <w:rPr>
                <w:webHidden/>
              </w:rPr>
              <w:fldChar w:fldCharType="end"/>
            </w:r>
          </w:hyperlink>
        </w:p>
        <w:p w14:paraId="37137BE0" w14:textId="1128D1E9"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724" w:history="1">
            <w:r w:rsidR="00CC67F0" w:rsidRPr="00147843">
              <w:rPr>
                <w:rStyle w:val="Hyperlink"/>
              </w:rPr>
              <w:t>Rewarding Passion</w:t>
            </w:r>
            <w:r w:rsidR="00CC67F0">
              <w:rPr>
                <w:webHidden/>
              </w:rPr>
              <w:tab/>
            </w:r>
            <w:r w:rsidR="00CC67F0">
              <w:rPr>
                <w:webHidden/>
              </w:rPr>
              <w:fldChar w:fldCharType="begin"/>
            </w:r>
            <w:r w:rsidR="00CC67F0">
              <w:rPr>
                <w:webHidden/>
              </w:rPr>
              <w:instrText xml:space="preserve"> PAGEREF _Toc174363724 \h </w:instrText>
            </w:r>
            <w:r w:rsidR="00CC67F0">
              <w:rPr>
                <w:webHidden/>
              </w:rPr>
            </w:r>
            <w:r w:rsidR="00CC67F0">
              <w:rPr>
                <w:webHidden/>
              </w:rPr>
              <w:fldChar w:fldCharType="separate"/>
            </w:r>
            <w:r w:rsidR="005F18C1">
              <w:rPr>
                <w:webHidden/>
              </w:rPr>
              <w:t>160</w:t>
            </w:r>
            <w:r w:rsidR="00CC67F0">
              <w:rPr>
                <w:webHidden/>
              </w:rPr>
              <w:fldChar w:fldCharType="end"/>
            </w:r>
          </w:hyperlink>
        </w:p>
        <w:p w14:paraId="0184180C" w14:textId="183929C8"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725" w:history="1">
            <w:r w:rsidR="00CC67F0" w:rsidRPr="00147843">
              <w:rPr>
                <w:rStyle w:val="Hyperlink"/>
              </w:rPr>
              <w:t>ECEC Scopes of Practice</w:t>
            </w:r>
            <w:r w:rsidR="00CC67F0">
              <w:rPr>
                <w:webHidden/>
              </w:rPr>
              <w:tab/>
            </w:r>
            <w:r w:rsidR="00CC67F0">
              <w:rPr>
                <w:webHidden/>
              </w:rPr>
              <w:fldChar w:fldCharType="begin"/>
            </w:r>
            <w:r w:rsidR="00CC67F0">
              <w:rPr>
                <w:webHidden/>
              </w:rPr>
              <w:instrText xml:space="preserve"> PAGEREF _Toc174363725 \h </w:instrText>
            </w:r>
            <w:r w:rsidR="00CC67F0">
              <w:rPr>
                <w:webHidden/>
              </w:rPr>
            </w:r>
            <w:r w:rsidR="00CC67F0">
              <w:rPr>
                <w:webHidden/>
              </w:rPr>
              <w:fldChar w:fldCharType="separate"/>
            </w:r>
            <w:r w:rsidR="005F18C1">
              <w:rPr>
                <w:webHidden/>
              </w:rPr>
              <w:t>164</w:t>
            </w:r>
            <w:r w:rsidR="00CC67F0">
              <w:rPr>
                <w:webHidden/>
              </w:rPr>
              <w:fldChar w:fldCharType="end"/>
            </w:r>
          </w:hyperlink>
        </w:p>
        <w:p w14:paraId="439B2567" w14:textId="1D9F9E45"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726" w:history="1">
            <w:r w:rsidR="00CC67F0" w:rsidRPr="00147843">
              <w:rPr>
                <w:rStyle w:val="Hyperlink"/>
              </w:rPr>
              <w:t>Overcoming Barriers to Job Satisfaction</w:t>
            </w:r>
            <w:r w:rsidR="00CC67F0">
              <w:rPr>
                <w:webHidden/>
              </w:rPr>
              <w:tab/>
            </w:r>
            <w:r w:rsidR="00CC67F0">
              <w:rPr>
                <w:webHidden/>
              </w:rPr>
              <w:fldChar w:fldCharType="begin"/>
            </w:r>
            <w:r w:rsidR="00CC67F0">
              <w:rPr>
                <w:webHidden/>
              </w:rPr>
              <w:instrText xml:space="preserve"> PAGEREF _Toc174363726 \h </w:instrText>
            </w:r>
            <w:r w:rsidR="00CC67F0">
              <w:rPr>
                <w:webHidden/>
              </w:rPr>
            </w:r>
            <w:r w:rsidR="00CC67F0">
              <w:rPr>
                <w:webHidden/>
              </w:rPr>
              <w:fldChar w:fldCharType="separate"/>
            </w:r>
            <w:r w:rsidR="005F18C1">
              <w:rPr>
                <w:webHidden/>
              </w:rPr>
              <w:t>168</w:t>
            </w:r>
            <w:r w:rsidR="00CC67F0">
              <w:rPr>
                <w:webHidden/>
              </w:rPr>
              <w:fldChar w:fldCharType="end"/>
            </w:r>
          </w:hyperlink>
        </w:p>
        <w:p w14:paraId="31F6BE3B" w14:textId="59FB15E8"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727" w:history="1">
            <w:r w:rsidR="00CC67F0" w:rsidRPr="00147843">
              <w:rPr>
                <w:rStyle w:val="Hyperlink"/>
              </w:rPr>
              <w:t>Community Values and Expectations</w:t>
            </w:r>
            <w:r w:rsidR="00CC67F0">
              <w:rPr>
                <w:webHidden/>
              </w:rPr>
              <w:tab/>
            </w:r>
            <w:r w:rsidR="00CC67F0">
              <w:rPr>
                <w:webHidden/>
              </w:rPr>
              <w:fldChar w:fldCharType="begin"/>
            </w:r>
            <w:r w:rsidR="00CC67F0">
              <w:rPr>
                <w:webHidden/>
              </w:rPr>
              <w:instrText xml:space="preserve"> PAGEREF _Toc174363727 \h </w:instrText>
            </w:r>
            <w:r w:rsidR="00CC67F0">
              <w:rPr>
                <w:webHidden/>
              </w:rPr>
            </w:r>
            <w:r w:rsidR="00CC67F0">
              <w:rPr>
                <w:webHidden/>
              </w:rPr>
              <w:fldChar w:fldCharType="separate"/>
            </w:r>
            <w:r w:rsidR="005F18C1">
              <w:rPr>
                <w:webHidden/>
              </w:rPr>
              <w:t>173</w:t>
            </w:r>
            <w:r w:rsidR="00CC67F0">
              <w:rPr>
                <w:webHidden/>
              </w:rPr>
              <w:fldChar w:fldCharType="end"/>
            </w:r>
          </w:hyperlink>
        </w:p>
        <w:p w14:paraId="61ECAC42" w14:textId="40E8A6B9" w:rsidR="00CC67F0" w:rsidRDefault="00044D83">
          <w:pPr>
            <w:pStyle w:val="TOC2"/>
            <w:rPr>
              <w:rFonts w:asciiTheme="minorHAnsi" w:eastAsiaTheme="minorEastAsia" w:hAnsiTheme="minorHAnsi"/>
              <w:color w:val="auto"/>
              <w:kern w:val="2"/>
              <w:sz w:val="24"/>
              <w:szCs w:val="24"/>
              <w:lang w:eastAsia="en-AU"/>
              <w14:ligatures w14:val="standardContextual"/>
            </w:rPr>
          </w:pPr>
          <w:hyperlink w:anchor="_Toc174363728" w:history="1">
            <w:r w:rsidR="00CC67F0" w:rsidRPr="00147843">
              <w:rPr>
                <w:rStyle w:val="Hyperlink"/>
              </w:rPr>
              <w:t>Summary</w:t>
            </w:r>
            <w:r w:rsidR="00CC67F0">
              <w:rPr>
                <w:webHidden/>
              </w:rPr>
              <w:tab/>
            </w:r>
            <w:r w:rsidR="00CC67F0">
              <w:rPr>
                <w:webHidden/>
              </w:rPr>
              <w:fldChar w:fldCharType="begin"/>
            </w:r>
            <w:r w:rsidR="00CC67F0">
              <w:rPr>
                <w:webHidden/>
              </w:rPr>
              <w:instrText xml:space="preserve"> PAGEREF _Toc174363728 \h </w:instrText>
            </w:r>
            <w:r w:rsidR="00CC67F0">
              <w:rPr>
                <w:webHidden/>
              </w:rPr>
            </w:r>
            <w:r w:rsidR="00CC67F0">
              <w:rPr>
                <w:webHidden/>
              </w:rPr>
              <w:fldChar w:fldCharType="separate"/>
            </w:r>
            <w:r w:rsidR="005F18C1">
              <w:rPr>
                <w:webHidden/>
              </w:rPr>
              <w:t>177</w:t>
            </w:r>
            <w:r w:rsidR="00CC67F0">
              <w:rPr>
                <w:webHidden/>
              </w:rPr>
              <w:fldChar w:fldCharType="end"/>
            </w:r>
          </w:hyperlink>
        </w:p>
        <w:p w14:paraId="4F993D1D" w14:textId="0EABBF81" w:rsidR="00CC67F0" w:rsidRDefault="00044D83">
          <w:pPr>
            <w:pStyle w:val="TOC1"/>
            <w:rPr>
              <w:rFonts w:asciiTheme="minorHAnsi" w:eastAsiaTheme="minorEastAsia" w:hAnsiTheme="minorHAnsi"/>
              <w:b w:val="0"/>
              <w:bCs w:val="0"/>
              <w:kern w:val="2"/>
              <w:sz w:val="24"/>
              <w:szCs w:val="24"/>
              <w:lang w:eastAsia="en-AU"/>
              <w14:ligatures w14:val="standardContextual"/>
            </w:rPr>
          </w:pPr>
          <w:hyperlink w:anchor="_Toc174363729" w:history="1">
            <w:r w:rsidR="00CC67F0" w:rsidRPr="00147843">
              <w:rPr>
                <w:rStyle w:val="Hyperlink"/>
              </w:rPr>
              <w:t>Appendices</w:t>
            </w:r>
            <w:r w:rsidR="00CC67F0">
              <w:rPr>
                <w:webHidden/>
              </w:rPr>
              <w:tab/>
            </w:r>
            <w:r w:rsidR="00CC67F0">
              <w:rPr>
                <w:webHidden/>
              </w:rPr>
              <w:fldChar w:fldCharType="begin"/>
            </w:r>
            <w:r w:rsidR="00CC67F0">
              <w:rPr>
                <w:webHidden/>
              </w:rPr>
              <w:instrText xml:space="preserve"> PAGEREF _Toc174363729 \h </w:instrText>
            </w:r>
            <w:r w:rsidR="00CC67F0">
              <w:rPr>
                <w:webHidden/>
              </w:rPr>
            </w:r>
            <w:r w:rsidR="00CC67F0">
              <w:rPr>
                <w:webHidden/>
              </w:rPr>
              <w:fldChar w:fldCharType="separate"/>
            </w:r>
            <w:r w:rsidR="005F18C1">
              <w:rPr>
                <w:webHidden/>
              </w:rPr>
              <w:t>178</w:t>
            </w:r>
            <w:r w:rsidR="00CC67F0">
              <w:rPr>
                <w:webHidden/>
              </w:rPr>
              <w:fldChar w:fldCharType="end"/>
            </w:r>
          </w:hyperlink>
        </w:p>
        <w:p w14:paraId="634D7760" w14:textId="0A66A7A8" w:rsidR="00CC67F0" w:rsidRDefault="00044D83" w:rsidP="00CC67F0">
          <w:pPr>
            <w:pStyle w:val="TOC1"/>
            <w:rPr>
              <w:rFonts w:asciiTheme="minorHAnsi" w:eastAsiaTheme="minorEastAsia" w:hAnsiTheme="minorHAnsi"/>
              <w:kern w:val="2"/>
              <w:sz w:val="24"/>
              <w:szCs w:val="24"/>
              <w:lang w:eastAsia="en-AU"/>
              <w14:ligatures w14:val="standardContextual"/>
            </w:rPr>
          </w:pPr>
          <w:hyperlink w:anchor="_Toc174363734" w:history="1">
            <w:r w:rsidR="00CC67F0" w:rsidRPr="00147843">
              <w:rPr>
                <w:rStyle w:val="Hyperlink"/>
              </w:rPr>
              <w:t>References</w:t>
            </w:r>
            <w:r w:rsidR="00CC67F0">
              <w:rPr>
                <w:webHidden/>
              </w:rPr>
              <w:tab/>
            </w:r>
            <w:r w:rsidR="00CC67F0">
              <w:rPr>
                <w:webHidden/>
              </w:rPr>
              <w:fldChar w:fldCharType="begin"/>
            </w:r>
            <w:r w:rsidR="00CC67F0">
              <w:rPr>
                <w:webHidden/>
              </w:rPr>
              <w:instrText xml:space="preserve"> PAGEREF _Toc174363734 \h </w:instrText>
            </w:r>
            <w:r w:rsidR="00CC67F0">
              <w:rPr>
                <w:webHidden/>
              </w:rPr>
            </w:r>
            <w:r w:rsidR="00CC67F0">
              <w:rPr>
                <w:webHidden/>
              </w:rPr>
              <w:fldChar w:fldCharType="separate"/>
            </w:r>
            <w:r w:rsidR="005F18C1">
              <w:rPr>
                <w:webHidden/>
              </w:rPr>
              <w:t>193</w:t>
            </w:r>
            <w:r w:rsidR="00CC67F0">
              <w:rPr>
                <w:webHidden/>
              </w:rPr>
              <w:fldChar w:fldCharType="end"/>
            </w:r>
          </w:hyperlink>
        </w:p>
        <w:p w14:paraId="2DE98474" w14:textId="2709293E" w:rsidR="00CC67F0" w:rsidRDefault="00044D83" w:rsidP="00CC67F0">
          <w:pPr>
            <w:pStyle w:val="TOC1"/>
            <w:rPr>
              <w:rFonts w:asciiTheme="minorHAnsi" w:eastAsiaTheme="minorEastAsia" w:hAnsiTheme="minorHAnsi"/>
              <w:kern w:val="2"/>
              <w:sz w:val="24"/>
              <w:szCs w:val="24"/>
              <w:lang w:eastAsia="en-AU"/>
              <w14:ligatures w14:val="standardContextual"/>
            </w:rPr>
          </w:pPr>
          <w:hyperlink w:anchor="_Toc174363735" w:history="1">
            <w:r w:rsidR="00CC67F0" w:rsidRPr="00147843">
              <w:rPr>
                <w:rStyle w:val="Hyperlink"/>
              </w:rPr>
              <w:t>Data Sources</w:t>
            </w:r>
            <w:r w:rsidR="00CC67F0">
              <w:rPr>
                <w:webHidden/>
              </w:rPr>
              <w:tab/>
            </w:r>
            <w:r w:rsidR="00CC67F0">
              <w:rPr>
                <w:webHidden/>
              </w:rPr>
              <w:fldChar w:fldCharType="begin"/>
            </w:r>
            <w:r w:rsidR="00CC67F0">
              <w:rPr>
                <w:webHidden/>
              </w:rPr>
              <w:instrText xml:space="preserve"> PAGEREF _Toc174363735 \h </w:instrText>
            </w:r>
            <w:r w:rsidR="00CC67F0">
              <w:rPr>
                <w:webHidden/>
              </w:rPr>
            </w:r>
            <w:r w:rsidR="00CC67F0">
              <w:rPr>
                <w:webHidden/>
              </w:rPr>
              <w:fldChar w:fldCharType="separate"/>
            </w:r>
            <w:r w:rsidR="005F18C1">
              <w:rPr>
                <w:webHidden/>
              </w:rPr>
              <w:t>198</w:t>
            </w:r>
            <w:r w:rsidR="00CC67F0">
              <w:rPr>
                <w:webHidden/>
              </w:rPr>
              <w:fldChar w:fldCharType="end"/>
            </w:r>
          </w:hyperlink>
        </w:p>
        <w:p w14:paraId="29773D6A" w14:textId="340A829E" w:rsidR="00C10337" w:rsidRPr="00BC5742" w:rsidRDefault="00CC67F0" w:rsidP="00BC5742">
          <w:pPr>
            <w:pStyle w:val="TOC1"/>
            <w:rPr>
              <w:rStyle w:val="Hyperlink"/>
              <w:color w:val="auto"/>
              <w:u w:val="none"/>
            </w:rPr>
          </w:pPr>
          <w:r>
            <w:fldChar w:fldCharType="end"/>
          </w:r>
        </w:p>
      </w:sdtContent>
    </w:sdt>
    <w:p w14:paraId="62FD0AE6" w14:textId="31955BAE" w:rsidR="00A81193" w:rsidRDefault="00A81193" w:rsidP="009A729D">
      <w:pPr>
        <w:rPr>
          <w:szCs w:val="32"/>
        </w:rPr>
      </w:pPr>
      <w:r>
        <w:br w:type="page"/>
      </w:r>
    </w:p>
    <w:p w14:paraId="63495163" w14:textId="7DE9B8E4" w:rsidR="681F1BE5" w:rsidRDefault="004E1648" w:rsidP="00A2153C">
      <w:pPr>
        <w:pStyle w:val="Heading1"/>
      </w:pPr>
      <w:bookmarkStart w:id="14" w:name="_Toc174363681"/>
      <w:r w:rsidRPr="00A2153C">
        <w:lastRenderedPageBreak/>
        <w:t>G</w:t>
      </w:r>
      <w:r w:rsidR="681F1BE5" w:rsidRPr="00A2153C">
        <w:t>lossary</w:t>
      </w:r>
      <w:bookmarkEnd w:id="14"/>
    </w:p>
    <w:tbl>
      <w:tblPr>
        <w:tblStyle w:val="TableGrid"/>
        <w:tblW w:w="0" w:type="auto"/>
        <w:tblBorders>
          <w:top w:val="none" w:sz="0" w:space="0" w:color="auto"/>
          <w:left w:val="none" w:sz="0" w:space="0" w:color="auto"/>
          <w:bottom w:val="none" w:sz="0" w:space="0" w:color="auto"/>
          <w:right w:val="none" w:sz="0" w:space="0" w:color="auto"/>
          <w:insideH w:val="single" w:sz="6" w:space="0" w:color="A6A6A6" w:themeColor="background1" w:themeShade="A6"/>
          <w:insideV w:val="none" w:sz="0" w:space="0" w:color="auto"/>
        </w:tblBorders>
        <w:tblLook w:val="04A0" w:firstRow="1" w:lastRow="0" w:firstColumn="1" w:lastColumn="0" w:noHBand="0" w:noVBand="1"/>
      </w:tblPr>
      <w:tblGrid>
        <w:gridCol w:w="1561"/>
        <w:gridCol w:w="7223"/>
      </w:tblGrid>
      <w:tr w:rsidR="681F1BE5" w14:paraId="33B60640" w14:textId="77777777" w:rsidTr="00F07C11">
        <w:trPr>
          <w:trHeight w:val="300"/>
        </w:trPr>
        <w:tc>
          <w:tcPr>
            <w:tcW w:w="1561" w:type="dxa"/>
            <w:shd w:val="clear" w:color="auto" w:fill="E0D1F5" w:themeFill="accent1" w:themeFillTint="33"/>
          </w:tcPr>
          <w:p w14:paraId="05E739D0" w14:textId="77777777" w:rsidR="681F1BE5" w:rsidRPr="00F07C11" w:rsidRDefault="681F1BE5" w:rsidP="00F07C11">
            <w:pPr>
              <w:rPr>
                <w:b/>
                <w:bCs/>
              </w:rPr>
            </w:pPr>
            <w:r w:rsidRPr="00F07C11">
              <w:rPr>
                <w:b/>
                <w:bCs/>
              </w:rPr>
              <w:t>Abbreviation</w:t>
            </w:r>
          </w:p>
        </w:tc>
        <w:tc>
          <w:tcPr>
            <w:tcW w:w="7223" w:type="dxa"/>
            <w:shd w:val="clear" w:color="auto" w:fill="E0D1F5" w:themeFill="accent1" w:themeFillTint="33"/>
          </w:tcPr>
          <w:p w14:paraId="05FC639B" w14:textId="76E83A06" w:rsidR="681F1BE5" w:rsidRPr="00F07C11" w:rsidRDefault="681F1BE5" w:rsidP="00F07C11">
            <w:pPr>
              <w:rPr>
                <w:b/>
                <w:bCs/>
              </w:rPr>
            </w:pPr>
            <w:r w:rsidRPr="00F07C11">
              <w:rPr>
                <w:b/>
                <w:bCs/>
              </w:rPr>
              <w:t>What it stands for</w:t>
            </w:r>
          </w:p>
        </w:tc>
      </w:tr>
      <w:tr w:rsidR="681F1BE5" w14:paraId="2564667E" w14:textId="77777777" w:rsidTr="7D8C0EB5">
        <w:trPr>
          <w:trHeight w:val="20"/>
        </w:trPr>
        <w:tc>
          <w:tcPr>
            <w:tcW w:w="1561" w:type="dxa"/>
          </w:tcPr>
          <w:p w14:paraId="5FBF9523" w14:textId="77777777"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ABS</w:t>
            </w:r>
          </w:p>
        </w:tc>
        <w:tc>
          <w:tcPr>
            <w:tcW w:w="7223" w:type="dxa"/>
          </w:tcPr>
          <w:p w14:paraId="7081F821" w14:textId="2897F1B6"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Australian Bureau of Statistics</w:t>
            </w:r>
          </w:p>
        </w:tc>
      </w:tr>
      <w:tr w:rsidR="681F1BE5" w14:paraId="3E17FEA6" w14:textId="77777777" w:rsidTr="7D8C0EB5">
        <w:trPr>
          <w:trHeight w:val="20"/>
        </w:trPr>
        <w:tc>
          <w:tcPr>
            <w:tcW w:w="1561" w:type="dxa"/>
          </w:tcPr>
          <w:p w14:paraId="51077F2D" w14:textId="2D66F2A9"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ACCC</w:t>
            </w:r>
          </w:p>
        </w:tc>
        <w:tc>
          <w:tcPr>
            <w:tcW w:w="7223" w:type="dxa"/>
          </w:tcPr>
          <w:p w14:paraId="33B91D0A" w14:textId="67A04356"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Australian Competition and Consumer Commission</w:t>
            </w:r>
          </w:p>
        </w:tc>
      </w:tr>
      <w:tr w:rsidR="681F1BE5" w14:paraId="2ED29DB2" w14:textId="77777777" w:rsidTr="7D8C0EB5">
        <w:trPr>
          <w:trHeight w:val="20"/>
        </w:trPr>
        <w:tc>
          <w:tcPr>
            <w:tcW w:w="1561" w:type="dxa"/>
          </w:tcPr>
          <w:p w14:paraId="482B7B9F" w14:textId="28D64F72"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ACCO</w:t>
            </w:r>
          </w:p>
        </w:tc>
        <w:tc>
          <w:tcPr>
            <w:tcW w:w="7223" w:type="dxa"/>
          </w:tcPr>
          <w:p w14:paraId="77CF8243" w14:textId="6ED21DD4"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Aboriginal Community Controlled Organisation</w:t>
            </w:r>
          </w:p>
        </w:tc>
      </w:tr>
      <w:tr w:rsidR="681F1BE5" w14:paraId="3721C042" w14:textId="77777777" w:rsidTr="7D8C0EB5">
        <w:trPr>
          <w:trHeight w:val="20"/>
        </w:trPr>
        <w:tc>
          <w:tcPr>
            <w:tcW w:w="1561" w:type="dxa"/>
          </w:tcPr>
          <w:p w14:paraId="19E8D7D6" w14:textId="621DA85E"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ACECQA</w:t>
            </w:r>
          </w:p>
        </w:tc>
        <w:tc>
          <w:tcPr>
            <w:tcW w:w="7223" w:type="dxa"/>
          </w:tcPr>
          <w:p w14:paraId="463559AE" w14:textId="3F98ECC2"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 xml:space="preserve">Australian Children’s Education and Care Quality Authority </w:t>
            </w:r>
          </w:p>
        </w:tc>
      </w:tr>
      <w:tr w:rsidR="0079443D" w14:paraId="65F097CB" w14:textId="77777777" w:rsidTr="7D8C0EB5">
        <w:trPr>
          <w:trHeight w:val="20"/>
        </w:trPr>
        <w:tc>
          <w:tcPr>
            <w:tcW w:w="1561" w:type="dxa"/>
          </w:tcPr>
          <w:p w14:paraId="29764A9B" w14:textId="2749F97B" w:rsidR="0079443D" w:rsidRPr="00F07C11" w:rsidRDefault="0079443D"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ACFC</w:t>
            </w:r>
          </w:p>
        </w:tc>
        <w:tc>
          <w:tcPr>
            <w:tcW w:w="7223" w:type="dxa"/>
          </w:tcPr>
          <w:p w14:paraId="3A18D6AE" w14:textId="14380369" w:rsidR="0079443D" w:rsidRPr="00F07C11" w:rsidRDefault="0079443D" w:rsidP="00F07C11">
            <w:pPr>
              <w:rPr>
                <w:rFonts w:asciiTheme="minorHAnsi" w:hAnsiTheme="minorHAnsi" w:cstheme="minorHAnsi"/>
                <w:sz w:val="20"/>
                <w:szCs w:val="20"/>
              </w:rPr>
            </w:pPr>
            <w:r w:rsidRPr="00F07C11">
              <w:rPr>
                <w:rFonts w:asciiTheme="minorHAnsi" w:hAnsiTheme="minorHAnsi" w:cstheme="minorHAnsi"/>
                <w:sz w:val="20"/>
                <w:szCs w:val="20"/>
              </w:rPr>
              <w:t>Aboriginal Child and Family Centres</w:t>
            </w:r>
          </w:p>
        </w:tc>
      </w:tr>
      <w:tr w:rsidR="00206E9B" w14:paraId="21DAE877" w14:textId="77777777" w:rsidTr="7D8C0EB5">
        <w:trPr>
          <w:trHeight w:val="20"/>
        </w:trPr>
        <w:tc>
          <w:tcPr>
            <w:tcW w:w="1561" w:type="dxa"/>
          </w:tcPr>
          <w:p w14:paraId="40F1E65E" w14:textId="6E487602" w:rsidR="00206E9B" w:rsidRPr="00F07C11" w:rsidRDefault="002A1D1C"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ACMID</w:t>
            </w:r>
          </w:p>
        </w:tc>
        <w:tc>
          <w:tcPr>
            <w:tcW w:w="7223" w:type="dxa"/>
          </w:tcPr>
          <w:p w14:paraId="1B1F7BBE" w14:textId="33F2E62F" w:rsidR="00206E9B" w:rsidRPr="00F07C11" w:rsidRDefault="002A1D1C" w:rsidP="00F07C11">
            <w:pPr>
              <w:rPr>
                <w:rFonts w:asciiTheme="minorHAnsi" w:hAnsiTheme="minorHAnsi" w:cstheme="minorHAnsi"/>
                <w:sz w:val="20"/>
                <w:szCs w:val="20"/>
              </w:rPr>
            </w:pPr>
            <w:r w:rsidRPr="00F07C11">
              <w:rPr>
                <w:rFonts w:asciiTheme="minorHAnsi" w:hAnsiTheme="minorHAnsi" w:cstheme="minorHAnsi"/>
                <w:sz w:val="20"/>
                <w:szCs w:val="20"/>
              </w:rPr>
              <w:t>Australian Census and Migrants Integrated Dataset</w:t>
            </w:r>
          </w:p>
        </w:tc>
      </w:tr>
      <w:tr w:rsidR="681F1BE5" w14:paraId="05D3E12F" w14:textId="77777777" w:rsidTr="7D8C0EB5">
        <w:trPr>
          <w:trHeight w:val="20"/>
        </w:trPr>
        <w:tc>
          <w:tcPr>
            <w:tcW w:w="1561" w:type="dxa"/>
          </w:tcPr>
          <w:p w14:paraId="253480EC" w14:textId="6D64C3E3"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AITSL</w:t>
            </w:r>
          </w:p>
        </w:tc>
        <w:tc>
          <w:tcPr>
            <w:tcW w:w="7223" w:type="dxa"/>
          </w:tcPr>
          <w:p w14:paraId="61C90822" w14:textId="2EBF7F7F"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Australian Institute for Teaching and School Leadership</w:t>
            </w:r>
          </w:p>
        </w:tc>
      </w:tr>
      <w:tr w:rsidR="681F1BE5" w14:paraId="54B69C23" w14:textId="77777777" w:rsidTr="7D8C0EB5">
        <w:trPr>
          <w:trHeight w:val="20"/>
        </w:trPr>
        <w:tc>
          <w:tcPr>
            <w:tcW w:w="1561" w:type="dxa"/>
          </w:tcPr>
          <w:p w14:paraId="31457AD7" w14:textId="5414FB2D"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AQF</w:t>
            </w:r>
          </w:p>
        </w:tc>
        <w:tc>
          <w:tcPr>
            <w:tcW w:w="7223" w:type="dxa"/>
          </w:tcPr>
          <w:p w14:paraId="611B1AB7" w14:textId="2495AF7E"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Australian Qualifications Framework</w:t>
            </w:r>
          </w:p>
        </w:tc>
      </w:tr>
      <w:tr w:rsidR="681F1BE5" w14:paraId="782F9678" w14:textId="77777777" w:rsidTr="7D8C0EB5">
        <w:trPr>
          <w:trHeight w:val="20"/>
        </w:trPr>
        <w:tc>
          <w:tcPr>
            <w:tcW w:w="1561" w:type="dxa"/>
          </w:tcPr>
          <w:p w14:paraId="3C53D876" w14:textId="67CD287A"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ASQA</w:t>
            </w:r>
          </w:p>
        </w:tc>
        <w:tc>
          <w:tcPr>
            <w:tcW w:w="7223" w:type="dxa"/>
          </w:tcPr>
          <w:p w14:paraId="7825C025" w14:textId="5BDC9FCD"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Australian Skills Quality Authority</w:t>
            </w:r>
          </w:p>
        </w:tc>
      </w:tr>
      <w:tr w:rsidR="681F1BE5" w14:paraId="5AAA07BC" w14:textId="77777777" w:rsidTr="7D8C0EB5">
        <w:trPr>
          <w:trHeight w:val="20"/>
        </w:trPr>
        <w:tc>
          <w:tcPr>
            <w:tcW w:w="1561" w:type="dxa"/>
          </w:tcPr>
          <w:p w14:paraId="7F3202BC" w14:textId="5250BA16"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ATAR</w:t>
            </w:r>
          </w:p>
        </w:tc>
        <w:tc>
          <w:tcPr>
            <w:tcW w:w="7223" w:type="dxa"/>
          </w:tcPr>
          <w:p w14:paraId="27155DAC" w14:textId="709E4107"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Australian Tertiary Admissions Rank</w:t>
            </w:r>
          </w:p>
        </w:tc>
      </w:tr>
      <w:tr w:rsidR="681F1BE5" w14:paraId="2086A243" w14:textId="77777777" w:rsidTr="7D8C0EB5">
        <w:trPr>
          <w:trHeight w:val="20"/>
        </w:trPr>
        <w:tc>
          <w:tcPr>
            <w:tcW w:w="1561" w:type="dxa"/>
          </w:tcPr>
          <w:p w14:paraId="00A10487" w14:textId="391B6BFA"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CALD</w:t>
            </w:r>
          </w:p>
        </w:tc>
        <w:tc>
          <w:tcPr>
            <w:tcW w:w="7223" w:type="dxa"/>
          </w:tcPr>
          <w:p w14:paraId="771D3775" w14:textId="573DD04B"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Culturally and Linguistically Diverse</w:t>
            </w:r>
          </w:p>
        </w:tc>
      </w:tr>
      <w:tr w:rsidR="681F1BE5" w14:paraId="00B67A67" w14:textId="77777777" w:rsidTr="7D8C0EB5">
        <w:trPr>
          <w:trHeight w:val="20"/>
        </w:trPr>
        <w:tc>
          <w:tcPr>
            <w:tcW w:w="1561" w:type="dxa"/>
          </w:tcPr>
          <w:p w14:paraId="59F44D07" w14:textId="4380B413"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CBDC</w:t>
            </w:r>
          </w:p>
        </w:tc>
        <w:tc>
          <w:tcPr>
            <w:tcW w:w="7223" w:type="dxa"/>
          </w:tcPr>
          <w:p w14:paraId="38B2F7B7" w14:textId="7983EEDF"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Centre-Based Day Care</w:t>
            </w:r>
          </w:p>
        </w:tc>
      </w:tr>
      <w:tr w:rsidR="681F1BE5" w14:paraId="7ACA5066" w14:textId="77777777" w:rsidTr="7D8C0EB5">
        <w:trPr>
          <w:trHeight w:val="20"/>
        </w:trPr>
        <w:tc>
          <w:tcPr>
            <w:tcW w:w="1561" w:type="dxa"/>
          </w:tcPr>
          <w:p w14:paraId="050F8ABA" w14:textId="4092B057"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CCS</w:t>
            </w:r>
          </w:p>
        </w:tc>
        <w:tc>
          <w:tcPr>
            <w:tcW w:w="7223" w:type="dxa"/>
          </w:tcPr>
          <w:p w14:paraId="7D3F8E20" w14:textId="6E63A081"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Child Care Subsidy</w:t>
            </w:r>
          </w:p>
        </w:tc>
      </w:tr>
      <w:tr w:rsidR="681F1BE5" w14:paraId="72B3CA26" w14:textId="77777777" w:rsidTr="7D8C0EB5">
        <w:trPr>
          <w:trHeight w:val="20"/>
        </w:trPr>
        <w:tc>
          <w:tcPr>
            <w:tcW w:w="1561" w:type="dxa"/>
          </w:tcPr>
          <w:p w14:paraId="00708A57" w14:textId="5F49CD50"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ANZSCO</w:t>
            </w:r>
          </w:p>
        </w:tc>
        <w:tc>
          <w:tcPr>
            <w:tcW w:w="7223" w:type="dxa"/>
          </w:tcPr>
          <w:p w14:paraId="52126C69" w14:textId="0E239704"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Australian and New Zealand Standard Classification of Occupations</w:t>
            </w:r>
          </w:p>
        </w:tc>
      </w:tr>
      <w:tr w:rsidR="681F1BE5" w14:paraId="3A1BE685" w14:textId="77777777" w:rsidTr="7D8C0EB5">
        <w:trPr>
          <w:trHeight w:val="20"/>
        </w:trPr>
        <w:tc>
          <w:tcPr>
            <w:tcW w:w="1561" w:type="dxa"/>
          </w:tcPr>
          <w:p w14:paraId="27D2CE40" w14:textId="29CF06C7"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ANZSIC</w:t>
            </w:r>
          </w:p>
        </w:tc>
        <w:tc>
          <w:tcPr>
            <w:tcW w:w="7223" w:type="dxa"/>
          </w:tcPr>
          <w:p w14:paraId="0EC1149E" w14:textId="3C56E578"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Australian and New Zealand Standard Industrial Classification</w:t>
            </w:r>
          </w:p>
        </w:tc>
      </w:tr>
      <w:tr w:rsidR="681F1BE5" w14:paraId="037A63EF" w14:textId="77777777" w:rsidTr="7D8C0EB5">
        <w:trPr>
          <w:trHeight w:val="20"/>
        </w:trPr>
        <w:tc>
          <w:tcPr>
            <w:tcW w:w="1561" w:type="dxa"/>
          </w:tcPr>
          <w:p w14:paraId="60BE95E0" w14:textId="0A69A48C"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DAE</w:t>
            </w:r>
          </w:p>
        </w:tc>
        <w:tc>
          <w:tcPr>
            <w:tcW w:w="7223" w:type="dxa"/>
          </w:tcPr>
          <w:p w14:paraId="748BE84D" w14:textId="082F551F"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Deloitte Access Economics</w:t>
            </w:r>
          </w:p>
        </w:tc>
      </w:tr>
      <w:tr w:rsidR="681F1BE5" w14:paraId="5E818DBE" w14:textId="77777777" w:rsidTr="7D8C0EB5">
        <w:trPr>
          <w:trHeight w:val="20"/>
        </w:trPr>
        <w:tc>
          <w:tcPr>
            <w:tcW w:w="1561" w:type="dxa"/>
          </w:tcPr>
          <w:p w14:paraId="457EA9DC" w14:textId="084179FE"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ECEC</w:t>
            </w:r>
          </w:p>
        </w:tc>
        <w:tc>
          <w:tcPr>
            <w:tcW w:w="7223" w:type="dxa"/>
          </w:tcPr>
          <w:p w14:paraId="32C6FC5E" w14:textId="52F1C410"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Early Childhood Education and Care</w:t>
            </w:r>
          </w:p>
        </w:tc>
      </w:tr>
      <w:tr w:rsidR="681F1BE5" w14:paraId="1C3DEF92" w14:textId="77777777" w:rsidTr="7D8C0EB5">
        <w:trPr>
          <w:trHeight w:val="20"/>
        </w:trPr>
        <w:tc>
          <w:tcPr>
            <w:tcW w:w="1561" w:type="dxa"/>
          </w:tcPr>
          <w:p w14:paraId="47FF7196" w14:textId="285735E8"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ECPP</w:t>
            </w:r>
          </w:p>
        </w:tc>
        <w:tc>
          <w:tcPr>
            <w:tcW w:w="7223" w:type="dxa"/>
          </w:tcPr>
          <w:p w14:paraId="5EBC8C81" w14:textId="466C7B0D"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 xml:space="preserve">Early Childhood Care and Development Policy Partnership </w:t>
            </w:r>
          </w:p>
        </w:tc>
      </w:tr>
      <w:tr w:rsidR="681F1BE5" w14:paraId="66E5D841" w14:textId="77777777" w:rsidTr="7D8C0EB5">
        <w:trPr>
          <w:trHeight w:val="20"/>
        </w:trPr>
        <w:tc>
          <w:tcPr>
            <w:tcW w:w="1561" w:type="dxa"/>
          </w:tcPr>
          <w:p w14:paraId="3917826E" w14:textId="43F97C7A" w:rsidR="681F1BE5" w:rsidRPr="00F07C11" w:rsidRDefault="681F1BE5" w:rsidP="00F07C11">
            <w:pPr>
              <w:rPr>
                <w:rFonts w:asciiTheme="minorHAnsi" w:hAnsiTheme="minorHAnsi" w:cstheme="minorHAnsi"/>
                <w:sz w:val="20"/>
                <w:szCs w:val="20"/>
              </w:rPr>
            </w:pPr>
            <w:r w:rsidRPr="00F07C11">
              <w:rPr>
                <w:rFonts w:asciiTheme="minorHAnsi" w:eastAsia="Arial" w:hAnsiTheme="minorHAnsi" w:cstheme="minorHAnsi"/>
                <w:sz w:val="20"/>
                <w:szCs w:val="20"/>
              </w:rPr>
              <w:t>ECT</w:t>
            </w:r>
          </w:p>
        </w:tc>
        <w:tc>
          <w:tcPr>
            <w:tcW w:w="7223" w:type="dxa"/>
          </w:tcPr>
          <w:p w14:paraId="35F21A3D" w14:textId="55291F2C"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Early Childhood (Pre-Primary) Teacher</w:t>
            </w:r>
          </w:p>
        </w:tc>
      </w:tr>
      <w:tr w:rsidR="681F1BE5" w14:paraId="615FEF33" w14:textId="77777777" w:rsidTr="7D8C0EB5">
        <w:trPr>
          <w:trHeight w:val="20"/>
        </w:trPr>
        <w:tc>
          <w:tcPr>
            <w:tcW w:w="1561" w:type="dxa"/>
          </w:tcPr>
          <w:p w14:paraId="55439264" w14:textId="259DC66F"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EYLF</w:t>
            </w:r>
          </w:p>
        </w:tc>
        <w:tc>
          <w:tcPr>
            <w:tcW w:w="7223" w:type="dxa"/>
          </w:tcPr>
          <w:p w14:paraId="4CD6F12F" w14:textId="30D255EF"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Early Years Learning Framework</w:t>
            </w:r>
          </w:p>
        </w:tc>
      </w:tr>
      <w:tr w:rsidR="681F1BE5" w14:paraId="78842914" w14:textId="77777777" w:rsidTr="7D8C0EB5">
        <w:trPr>
          <w:trHeight w:val="20"/>
        </w:trPr>
        <w:tc>
          <w:tcPr>
            <w:tcW w:w="1561" w:type="dxa"/>
          </w:tcPr>
          <w:p w14:paraId="73A33802" w14:textId="103781DA"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FBT</w:t>
            </w:r>
          </w:p>
        </w:tc>
        <w:tc>
          <w:tcPr>
            <w:tcW w:w="7223" w:type="dxa"/>
          </w:tcPr>
          <w:p w14:paraId="3D508F85" w14:textId="3C7D3B5F"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Fringe Benefits Tax</w:t>
            </w:r>
          </w:p>
        </w:tc>
      </w:tr>
      <w:tr w:rsidR="681F1BE5" w14:paraId="1D0D9116" w14:textId="77777777" w:rsidTr="7D8C0EB5">
        <w:trPr>
          <w:trHeight w:val="20"/>
        </w:trPr>
        <w:tc>
          <w:tcPr>
            <w:tcW w:w="1561" w:type="dxa"/>
          </w:tcPr>
          <w:p w14:paraId="271121FB" w14:textId="7156F9AE"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FDC</w:t>
            </w:r>
          </w:p>
        </w:tc>
        <w:tc>
          <w:tcPr>
            <w:tcW w:w="7223" w:type="dxa"/>
          </w:tcPr>
          <w:p w14:paraId="36886693" w14:textId="1FBA1F4F"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Family Day Care</w:t>
            </w:r>
          </w:p>
        </w:tc>
      </w:tr>
      <w:tr w:rsidR="00EC6C3A" w14:paraId="372E8F24" w14:textId="77777777" w:rsidTr="7D8C0EB5">
        <w:trPr>
          <w:trHeight w:val="20"/>
        </w:trPr>
        <w:tc>
          <w:tcPr>
            <w:tcW w:w="1561" w:type="dxa"/>
          </w:tcPr>
          <w:p w14:paraId="577B9322" w14:textId="42486B45" w:rsidR="00EC6C3A" w:rsidRPr="00F07C11" w:rsidRDefault="00EC6C3A"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FTE</w:t>
            </w:r>
          </w:p>
        </w:tc>
        <w:tc>
          <w:tcPr>
            <w:tcW w:w="7223" w:type="dxa"/>
          </w:tcPr>
          <w:p w14:paraId="3AC8749D" w14:textId="19A96993" w:rsidR="00EC6C3A" w:rsidRPr="00F07C11" w:rsidRDefault="00EC6C3A" w:rsidP="00F07C11">
            <w:pPr>
              <w:rPr>
                <w:rFonts w:asciiTheme="minorHAnsi" w:hAnsiTheme="minorHAnsi" w:cstheme="minorHAnsi"/>
                <w:sz w:val="20"/>
                <w:szCs w:val="20"/>
              </w:rPr>
            </w:pPr>
            <w:r w:rsidRPr="00F07C11">
              <w:rPr>
                <w:rFonts w:asciiTheme="minorHAnsi" w:hAnsiTheme="minorHAnsi" w:cstheme="minorHAnsi"/>
                <w:sz w:val="20"/>
                <w:szCs w:val="20"/>
              </w:rPr>
              <w:t>Full-time Equivalent</w:t>
            </w:r>
          </w:p>
        </w:tc>
      </w:tr>
      <w:tr w:rsidR="681F1BE5" w14:paraId="2B09832F" w14:textId="77777777" w:rsidTr="7D8C0EB5">
        <w:trPr>
          <w:trHeight w:val="20"/>
        </w:trPr>
        <w:tc>
          <w:tcPr>
            <w:tcW w:w="1561" w:type="dxa"/>
          </w:tcPr>
          <w:p w14:paraId="536858A0" w14:textId="0D0DAA8F"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FWC</w:t>
            </w:r>
          </w:p>
        </w:tc>
        <w:tc>
          <w:tcPr>
            <w:tcW w:w="7223" w:type="dxa"/>
          </w:tcPr>
          <w:p w14:paraId="69BBAFEC" w14:textId="784265DF"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Fair Work Commission</w:t>
            </w:r>
          </w:p>
        </w:tc>
      </w:tr>
      <w:tr w:rsidR="681F1BE5" w14:paraId="1DDE63CB" w14:textId="77777777" w:rsidTr="7D8C0EB5">
        <w:trPr>
          <w:trHeight w:val="20"/>
        </w:trPr>
        <w:tc>
          <w:tcPr>
            <w:tcW w:w="1561" w:type="dxa"/>
          </w:tcPr>
          <w:p w14:paraId="14F640F0" w14:textId="67540313"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HE</w:t>
            </w:r>
            <w:r w:rsidR="04408453" w:rsidRPr="00F07C11">
              <w:rPr>
                <w:rFonts w:asciiTheme="minorHAnsi" w:eastAsia="Arial" w:hAnsiTheme="minorHAnsi" w:cstheme="minorHAnsi"/>
                <w:sz w:val="20"/>
                <w:szCs w:val="20"/>
              </w:rPr>
              <w:t>I</w:t>
            </w:r>
          </w:p>
        </w:tc>
        <w:tc>
          <w:tcPr>
            <w:tcW w:w="7223" w:type="dxa"/>
          </w:tcPr>
          <w:p w14:paraId="2F296CA4" w14:textId="0FEBC76A"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Higher Education</w:t>
            </w:r>
            <w:r w:rsidR="5F7F8580" w:rsidRPr="00F07C11">
              <w:rPr>
                <w:rFonts w:asciiTheme="minorHAnsi" w:hAnsiTheme="minorHAnsi" w:cstheme="minorHAnsi"/>
                <w:sz w:val="20"/>
                <w:szCs w:val="20"/>
              </w:rPr>
              <w:t xml:space="preserve"> Institutes</w:t>
            </w:r>
          </w:p>
        </w:tc>
      </w:tr>
      <w:tr w:rsidR="681F1BE5" w14:paraId="0692C9E3" w14:textId="77777777" w:rsidTr="7D8C0EB5">
        <w:trPr>
          <w:trHeight w:val="20"/>
        </w:trPr>
        <w:tc>
          <w:tcPr>
            <w:tcW w:w="1561" w:type="dxa"/>
          </w:tcPr>
          <w:p w14:paraId="7831876D" w14:textId="162007BC"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IELTS</w:t>
            </w:r>
          </w:p>
        </w:tc>
        <w:tc>
          <w:tcPr>
            <w:tcW w:w="7223" w:type="dxa"/>
          </w:tcPr>
          <w:p w14:paraId="3F691B53" w14:textId="1FAAFC4C"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International English Language Testing System</w:t>
            </w:r>
          </w:p>
        </w:tc>
      </w:tr>
      <w:tr w:rsidR="681F1BE5" w14:paraId="441A374D" w14:textId="77777777" w:rsidTr="7D8C0EB5">
        <w:trPr>
          <w:trHeight w:val="20"/>
        </w:trPr>
        <w:tc>
          <w:tcPr>
            <w:tcW w:w="1561" w:type="dxa"/>
          </w:tcPr>
          <w:p w14:paraId="6CC0E462" w14:textId="420BDD06"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IHC</w:t>
            </w:r>
          </w:p>
        </w:tc>
        <w:tc>
          <w:tcPr>
            <w:tcW w:w="7223" w:type="dxa"/>
          </w:tcPr>
          <w:p w14:paraId="6205C234" w14:textId="7EEAD51D"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In-Home Care</w:t>
            </w:r>
          </w:p>
        </w:tc>
      </w:tr>
      <w:tr w:rsidR="681F1BE5" w14:paraId="4FF87CDF" w14:textId="77777777" w:rsidTr="7D8C0EB5">
        <w:trPr>
          <w:trHeight w:val="20"/>
        </w:trPr>
        <w:tc>
          <w:tcPr>
            <w:tcW w:w="1561" w:type="dxa"/>
          </w:tcPr>
          <w:p w14:paraId="05E45309" w14:textId="0FFA3F84"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ISP</w:t>
            </w:r>
          </w:p>
        </w:tc>
        <w:tc>
          <w:tcPr>
            <w:tcW w:w="7223" w:type="dxa"/>
          </w:tcPr>
          <w:p w14:paraId="6CBC267E" w14:textId="5AADD9BC"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Inclusion Support Program</w:t>
            </w:r>
          </w:p>
        </w:tc>
      </w:tr>
      <w:tr w:rsidR="681F1BE5" w14:paraId="35B177BE" w14:textId="77777777" w:rsidTr="7D8C0EB5">
        <w:trPr>
          <w:trHeight w:val="20"/>
        </w:trPr>
        <w:tc>
          <w:tcPr>
            <w:tcW w:w="1561" w:type="dxa"/>
          </w:tcPr>
          <w:p w14:paraId="74777C7B" w14:textId="2AEDC60E"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IVI</w:t>
            </w:r>
          </w:p>
        </w:tc>
        <w:tc>
          <w:tcPr>
            <w:tcW w:w="7223" w:type="dxa"/>
          </w:tcPr>
          <w:p w14:paraId="358CF64F" w14:textId="7E53C7E6"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Internet Vacancy Index</w:t>
            </w:r>
          </w:p>
        </w:tc>
      </w:tr>
      <w:tr w:rsidR="681F1BE5" w14:paraId="18AEE9AC" w14:textId="77777777" w:rsidTr="7D8C0EB5">
        <w:trPr>
          <w:trHeight w:val="20"/>
        </w:trPr>
        <w:tc>
          <w:tcPr>
            <w:tcW w:w="1561" w:type="dxa"/>
          </w:tcPr>
          <w:p w14:paraId="69909A38" w14:textId="123D088A"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JSA</w:t>
            </w:r>
          </w:p>
        </w:tc>
        <w:tc>
          <w:tcPr>
            <w:tcW w:w="7223" w:type="dxa"/>
          </w:tcPr>
          <w:p w14:paraId="28D6142C" w14:textId="21468709"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Jobs and Skills Australia</w:t>
            </w:r>
          </w:p>
        </w:tc>
      </w:tr>
      <w:tr w:rsidR="005503E2" w14:paraId="1D55555E" w14:textId="77777777" w:rsidTr="7D8C0EB5">
        <w:trPr>
          <w:trHeight w:val="20"/>
        </w:trPr>
        <w:tc>
          <w:tcPr>
            <w:tcW w:w="1561" w:type="dxa"/>
          </w:tcPr>
          <w:p w14:paraId="4CF0DEC4" w14:textId="35879AB0" w:rsidR="005503E2" w:rsidRPr="00F07C11" w:rsidRDefault="005503E2"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JSC</w:t>
            </w:r>
          </w:p>
        </w:tc>
        <w:tc>
          <w:tcPr>
            <w:tcW w:w="7223" w:type="dxa"/>
          </w:tcPr>
          <w:p w14:paraId="4F9EE21D" w14:textId="6F4ECC89" w:rsidR="005503E2" w:rsidRPr="00F07C11" w:rsidRDefault="005503E2" w:rsidP="00F07C11">
            <w:pPr>
              <w:rPr>
                <w:rFonts w:asciiTheme="minorHAnsi" w:hAnsiTheme="minorHAnsi" w:cstheme="minorHAnsi"/>
                <w:sz w:val="20"/>
                <w:szCs w:val="20"/>
              </w:rPr>
            </w:pPr>
            <w:r w:rsidRPr="00F07C11">
              <w:rPr>
                <w:rFonts w:asciiTheme="minorHAnsi" w:hAnsiTheme="minorHAnsi" w:cstheme="minorHAnsi"/>
                <w:sz w:val="20"/>
                <w:szCs w:val="20"/>
              </w:rPr>
              <w:t>Jobs and Skills Council</w:t>
            </w:r>
          </w:p>
        </w:tc>
      </w:tr>
      <w:tr w:rsidR="681F1BE5" w14:paraId="6CD03B0D" w14:textId="77777777" w:rsidTr="7D8C0EB5">
        <w:trPr>
          <w:trHeight w:val="20"/>
        </w:trPr>
        <w:tc>
          <w:tcPr>
            <w:tcW w:w="1561" w:type="dxa"/>
          </w:tcPr>
          <w:p w14:paraId="6D470D8F" w14:textId="3C14B87C"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NCVER</w:t>
            </w:r>
          </w:p>
        </w:tc>
        <w:tc>
          <w:tcPr>
            <w:tcW w:w="7223" w:type="dxa"/>
          </w:tcPr>
          <w:p w14:paraId="5CFD7DF4" w14:textId="16E42648"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National Centre for Vocational Education Research</w:t>
            </w:r>
          </w:p>
        </w:tc>
      </w:tr>
      <w:tr w:rsidR="681F1BE5" w14:paraId="1D0F1EA0" w14:textId="77777777" w:rsidTr="7D8C0EB5">
        <w:trPr>
          <w:trHeight w:val="20"/>
        </w:trPr>
        <w:tc>
          <w:tcPr>
            <w:tcW w:w="1561" w:type="dxa"/>
          </w:tcPr>
          <w:p w14:paraId="1412164E" w14:textId="7F85A487"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NDIS</w:t>
            </w:r>
          </w:p>
        </w:tc>
        <w:tc>
          <w:tcPr>
            <w:tcW w:w="7223" w:type="dxa"/>
          </w:tcPr>
          <w:p w14:paraId="7BB9D9E4" w14:textId="44C10FC6"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National Disability Insurance Scheme</w:t>
            </w:r>
          </w:p>
        </w:tc>
      </w:tr>
      <w:tr w:rsidR="681F1BE5" w14:paraId="4E20D642" w14:textId="77777777" w:rsidTr="7D8C0EB5">
        <w:trPr>
          <w:trHeight w:val="20"/>
        </w:trPr>
        <w:tc>
          <w:tcPr>
            <w:tcW w:w="1561" w:type="dxa"/>
          </w:tcPr>
          <w:p w14:paraId="752EC32F" w14:textId="3FE44BA1"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NERO</w:t>
            </w:r>
          </w:p>
        </w:tc>
        <w:tc>
          <w:tcPr>
            <w:tcW w:w="7223" w:type="dxa"/>
          </w:tcPr>
          <w:p w14:paraId="54C6E095" w14:textId="5EEA835A"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Nowcast of Employment by Region and Occupation</w:t>
            </w:r>
          </w:p>
        </w:tc>
      </w:tr>
      <w:tr w:rsidR="681F1BE5" w14:paraId="27D2C77A" w14:textId="77777777" w:rsidTr="7D8C0EB5">
        <w:trPr>
          <w:trHeight w:val="20"/>
        </w:trPr>
        <w:tc>
          <w:tcPr>
            <w:tcW w:w="1561" w:type="dxa"/>
          </w:tcPr>
          <w:p w14:paraId="552A528F" w14:textId="1ACDF82D"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NQF</w:t>
            </w:r>
          </w:p>
        </w:tc>
        <w:tc>
          <w:tcPr>
            <w:tcW w:w="7223" w:type="dxa"/>
          </w:tcPr>
          <w:p w14:paraId="70E80C07" w14:textId="4CD49568"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National Quality Framework</w:t>
            </w:r>
          </w:p>
        </w:tc>
      </w:tr>
      <w:tr w:rsidR="681F1BE5" w14:paraId="0B53AA85" w14:textId="77777777" w:rsidTr="7D8C0EB5">
        <w:trPr>
          <w:trHeight w:val="20"/>
        </w:trPr>
        <w:tc>
          <w:tcPr>
            <w:tcW w:w="1561" w:type="dxa"/>
          </w:tcPr>
          <w:p w14:paraId="18BBF1C2" w14:textId="55967484"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NQS</w:t>
            </w:r>
          </w:p>
        </w:tc>
        <w:tc>
          <w:tcPr>
            <w:tcW w:w="7223" w:type="dxa"/>
          </w:tcPr>
          <w:p w14:paraId="1292526F" w14:textId="5B62F175"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National Quality Standard</w:t>
            </w:r>
          </w:p>
        </w:tc>
      </w:tr>
      <w:tr w:rsidR="681F1BE5" w14:paraId="0A198B75" w14:textId="77777777" w:rsidTr="7D8C0EB5">
        <w:trPr>
          <w:trHeight w:val="20"/>
        </w:trPr>
        <w:tc>
          <w:tcPr>
            <w:tcW w:w="1561" w:type="dxa"/>
          </w:tcPr>
          <w:p w14:paraId="5D7D1923" w14:textId="31EEF328"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NWC</w:t>
            </w:r>
          </w:p>
        </w:tc>
        <w:tc>
          <w:tcPr>
            <w:tcW w:w="7223" w:type="dxa"/>
          </w:tcPr>
          <w:p w14:paraId="0DCB41FC" w14:textId="264BA695"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National Workforce Census</w:t>
            </w:r>
          </w:p>
        </w:tc>
      </w:tr>
      <w:tr w:rsidR="681F1BE5" w14:paraId="5AFCAA6D" w14:textId="77777777" w:rsidTr="7D8C0EB5">
        <w:trPr>
          <w:trHeight w:val="20"/>
        </w:trPr>
        <w:tc>
          <w:tcPr>
            <w:tcW w:w="1561" w:type="dxa"/>
          </w:tcPr>
          <w:p w14:paraId="07766A1D" w14:textId="3FC8D743"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OSHC</w:t>
            </w:r>
          </w:p>
        </w:tc>
        <w:tc>
          <w:tcPr>
            <w:tcW w:w="7223" w:type="dxa"/>
          </w:tcPr>
          <w:p w14:paraId="3BA4EB56" w14:textId="24D529F2"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Outside School Hours Care</w:t>
            </w:r>
          </w:p>
        </w:tc>
      </w:tr>
      <w:tr w:rsidR="681F1BE5" w14:paraId="548AB604" w14:textId="77777777" w:rsidTr="7D8C0EB5">
        <w:trPr>
          <w:trHeight w:val="20"/>
        </w:trPr>
        <w:tc>
          <w:tcPr>
            <w:tcW w:w="1561" w:type="dxa"/>
          </w:tcPr>
          <w:p w14:paraId="2F4F0F99" w14:textId="4B57B0D2"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PALM</w:t>
            </w:r>
          </w:p>
        </w:tc>
        <w:tc>
          <w:tcPr>
            <w:tcW w:w="7223" w:type="dxa"/>
          </w:tcPr>
          <w:p w14:paraId="1AB1A697" w14:textId="56F4C43B"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Pacific Australia Labour Mobility</w:t>
            </w:r>
          </w:p>
        </w:tc>
      </w:tr>
      <w:tr w:rsidR="681F1BE5" w14:paraId="300FDB17" w14:textId="77777777" w:rsidTr="7D8C0EB5">
        <w:trPr>
          <w:trHeight w:val="20"/>
        </w:trPr>
        <w:tc>
          <w:tcPr>
            <w:tcW w:w="1561" w:type="dxa"/>
          </w:tcPr>
          <w:p w14:paraId="5F7518F8" w14:textId="78458C9C"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PC</w:t>
            </w:r>
          </w:p>
        </w:tc>
        <w:tc>
          <w:tcPr>
            <w:tcW w:w="7223" w:type="dxa"/>
          </w:tcPr>
          <w:p w14:paraId="732B1052" w14:textId="48E975BE"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Productivity Commission</w:t>
            </w:r>
          </w:p>
        </w:tc>
      </w:tr>
      <w:tr w:rsidR="681F1BE5" w14:paraId="587B1217" w14:textId="77777777" w:rsidTr="7D8C0EB5">
        <w:trPr>
          <w:trHeight w:val="20"/>
        </w:trPr>
        <w:tc>
          <w:tcPr>
            <w:tcW w:w="1561" w:type="dxa"/>
          </w:tcPr>
          <w:p w14:paraId="4A5D848E" w14:textId="7F86886A"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PD</w:t>
            </w:r>
          </w:p>
        </w:tc>
        <w:tc>
          <w:tcPr>
            <w:tcW w:w="7223" w:type="dxa"/>
          </w:tcPr>
          <w:p w14:paraId="4E134616" w14:textId="6B737A4B"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Professional Development</w:t>
            </w:r>
          </w:p>
        </w:tc>
      </w:tr>
      <w:tr w:rsidR="681F1BE5" w14:paraId="264756AB" w14:textId="77777777" w:rsidTr="7D8C0EB5">
        <w:trPr>
          <w:trHeight w:val="20"/>
        </w:trPr>
        <w:tc>
          <w:tcPr>
            <w:tcW w:w="1561" w:type="dxa"/>
          </w:tcPr>
          <w:p w14:paraId="492F03A3" w14:textId="188B41EC"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PLIDA</w:t>
            </w:r>
          </w:p>
        </w:tc>
        <w:tc>
          <w:tcPr>
            <w:tcW w:w="7223" w:type="dxa"/>
          </w:tcPr>
          <w:p w14:paraId="58B2BE56" w14:textId="6418A4D1"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Person Level Integrated Data Asset</w:t>
            </w:r>
          </w:p>
        </w:tc>
      </w:tr>
      <w:tr w:rsidR="681F1BE5" w14:paraId="6FB29DE6" w14:textId="77777777" w:rsidTr="7D8C0EB5">
        <w:trPr>
          <w:trHeight w:val="20"/>
        </w:trPr>
        <w:tc>
          <w:tcPr>
            <w:tcW w:w="1561" w:type="dxa"/>
          </w:tcPr>
          <w:p w14:paraId="055A5A96" w14:textId="542F0037"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RPL</w:t>
            </w:r>
          </w:p>
        </w:tc>
        <w:tc>
          <w:tcPr>
            <w:tcW w:w="7223" w:type="dxa"/>
          </w:tcPr>
          <w:p w14:paraId="53B9D77C" w14:textId="64351319"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Recognition of Prior Learning</w:t>
            </w:r>
          </w:p>
        </w:tc>
      </w:tr>
      <w:tr w:rsidR="681F1BE5" w14:paraId="0EAB08B2" w14:textId="77777777" w:rsidTr="7D8C0EB5">
        <w:trPr>
          <w:trHeight w:val="20"/>
        </w:trPr>
        <w:tc>
          <w:tcPr>
            <w:tcW w:w="1561" w:type="dxa"/>
          </w:tcPr>
          <w:p w14:paraId="46167E92" w14:textId="37E2B868"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RTO</w:t>
            </w:r>
          </w:p>
        </w:tc>
        <w:tc>
          <w:tcPr>
            <w:tcW w:w="7223" w:type="dxa"/>
          </w:tcPr>
          <w:p w14:paraId="1B355AB3" w14:textId="5B6AAC48"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Registered Training Organisation</w:t>
            </w:r>
          </w:p>
        </w:tc>
      </w:tr>
      <w:tr w:rsidR="00F758BF" w14:paraId="6CC049BF" w14:textId="77777777" w:rsidTr="7D8C0EB5">
        <w:trPr>
          <w:trHeight w:val="20"/>
        </w:trPr>
        <w:tc>
          <w:tcPr>
            <w:tcW w:w="1561" w:type="dxa"/>
          </w:tcPr>
          <w:p w14:paraId="2E9F8DC8" w14:textId="475454C9" w:rsidR="00F758BF" w:rsidRPr="00F07C11" w:rsidRDefault="00F758BF"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SPL</w:t>
            </w:r>
          </w:p>
        </w:tc>
        <w:tc>
          <w:tcPr>
            <w:tcW w:w="7223" w:type="dxa"/>
          </w:tcPr>
          <w:p w14:paraId="3A0F01AE" w14:textId="62F84D2D" w:rsidR="00F758BF" w:rsidRPr="00F07C11" w:rsidRDefault="00F758BF" w:rsidP="00F07C11">
            <w:pPr>
              <w:rPr>
                <w:rFonts w:asciiTheme="minorHAnsi" w:hAnsiTheme="minorHAnsi" w:cstheme="minorHAnsi"/>
                <w:sz w:val="20"/>
                <w:szCs w:val="20"/>
              </w:rPr>
            </w:pPr>
            <w:r w:rsidRPr="00F07C11">
              <w:rPr>
                <w:rFonts w:asciiTheme="minorHAnsi" w:hAnsiTheme="minorHAnsi" w:cstheme="minorHAnsi"/>
                <w:sz w:val="20"/>
                <w:szCs w:val="20"/>
              </w:rPr>
              <w:t>Skills Priority List</w:t>
            </w:r>
          </w:p>
        </w:tc>
      </w:tr>
      <w:tr w:rsidR="681F1BE5" w14:paraId="119C20CE" w14:textId="77777777" w:rsidTr="7D8C0EB5">
        <w:trPr>
          <w:trHeight w:val="20"/>
        </w:trPr>
        <w:tc>
          <w:tcPr>
            <w:tcW w:w="1561" w:type="dxa"/>
          </w:tcPr>
          <w:p w14:paraId="052A16E0" w14:textId="76B86975"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 xml:space="preserve">TAFE </w:t>
            </w:r>
          </w:p>
        </w:tc>
        <w:tc>
          <w:tcPr>
            <w:tcW w:w="7223" w:type="dxa"/>
          </w:tcPr>
          <w:p w14:paraId="21DC9628" w14:textId="69191179"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Technical and Further Education</w:t>
            </w:r>
          </w:p>
        </w:tc>
      </w:tr>
      <w:tr w:rsidR="681F1BE5" w14:paraId="03775B31" w14:textId="77777777" w:rsidTr="7D8C0EB5">
        <w:trPr>
          <w:trHeight w:val="20"/>
        </w:trPr>
        <w:tc>
          <w:tcPr>
            <w:tcW w:w="1561" w:type="dxa"/>
          </w:tcPr>
          <w:p w14:paraId="073C375E" w14:textId="1CAA4771"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TEQSA</w:t>
            </w:r>
          </w:p>
        </w:tc>
        <w:tc>
          <w:tcPr>
            <w:tcW w:w="7223" w:type="dxa"/>
          </w:tcPr>
          <w:p w14:paraId="12161833" w14:textId="61F1778C"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Tertiary Education Quality and Standards Agency</w:t>
            </w:r>
          </w:p>
        </w:tc>
      </w:tr>
      <w:tr w:rsidR="681F1BE5" w14:paraId="6B9310A5" w14:textId="77777777" w:rsidTr="7D8C0EB5">
        <w:trPr>
          <w:trHeight w:val="20"/>
        </w:trPr>
        <w:tc>
          <w:tcPr>
            <w:tcW w:w="1561" w:type="dxa"/>
          </w:tcPr>
          <w:p w14:paraId="7E3E1C86" w14:textId="5487A8E1"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ToR</w:t>
            </w:r>
          </w:p>
        </w:tc>
        <w:tc>
          <w:tcPr>
            <w:tcW w:w="7223" w:type="dxa"/>
          </w:tcPr>
          <w:p w14:paraId="18DA4157" w14:textId="3B2F089F"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Terms of Reference</w:t>
            </w:r>
          </w:p>
        </w:tc>
      </w:tr>
      <w:tr w:rsidR="681F1BE5" w14:paraId="70F7217D" w14:textId="77777777" w:rsidTr="7D8C0EB5">
        <w:trPr>
          <w:trHeight w:val="20"/>
        </w:trPr>
        <w:tc>
          <w:tcPr>
            <w:tcW w:w="1561" w:type="dxa"/>
          </w:tcPr>
          <w:p w14:paraId="2F056099" w14:textId="5BF28AF7"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VET</w:t>
            </w:r>
          </w:p>
        </w:tc>
        <w:tc>
          <w:tcPr>
            <w:tcW w:w="7223" w:type="dxa"/>
          </w:tcPr>
          <w:p w14:paraId="3552E934" w14:textId="11CA278D"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Vocational Education and Training</w:t>
            </w:r>
          </w:p>
        </w:tc>
      </w:tr>
      <w:tr w:rsidR="681F1BE5" w14:paraId="4400335E" w14:textId="77777777" w:rsidTr="7D8C0EB5">
        <w:trPr>
          <w:trHeight w:val="20"/>
        </w:trPr>
        <w:tc>
          <w:tcPr>
            <w:tcW w:w="1561" w:type="dxa"/>
          </w:tcPr>
          <w:p w14:paraId="78FEE3DE" w14:textId="2A1BE564" w:rsidR="681F1BE5" w:rsidRPr="00F07C11" w:rsidRDefault="681F1BE5" w:rsidP="00F07C11">
            <w:pPr>
              <w:rPr>
                <w:rFonts w:asciiTheme="minorHAnsi" w:eastAsia="Arial" w:hAnsiTheme="minorHAnsi" w:cstheme="minorHAnsi"/>
                <w:sz w:val="20"/>
                <w:szCs w:val="20"/>
              </w:rPr>
            </w:pPr>
            <w:r w:rsidRPr="00F07C11">
              <w:rPr>
                <w:rFonts w:asciiTheme="minorHAnsi" w:eastAsia="Arial" w:hAnsiTheme="minorHAnsi" w:cstheme="minorHAnsi"/>
                <w:sz w:val="20"/>
                <w:szCs w:val="20"/>
              </w:rPr>
              <w:t>YBFS</w:t>
            </w:r>
          </w:p>
        </w:tc>
        <w:tc>
          <w:tcPr>
            <w:tcW w:w="7223" w:type="dxa"/>
          </w:tcPr>
          <w:p w14:paraId="5D719A72" w14:textId="77777777" w:rsidR="681F1BE5" w:rsidRPr="00F07C11" w:rsidRDefault="681F1BE5" w:rsidP="00F07C11">
            <w:pPr>
              <w:rPr>
                <w:rFonts w:asciiTheme="minorHAnsi" w:hAnsiTheme="minorHAnsi" w:cstheme="minorHAnsi"/>
                <w:sz w:val="20"/>
                <w:szCs w:val="20"/>
              </w:rPr>
            </w:pPr>
            <w:r w:rsidRPr="00F07C11">
              <w:rPr>
                <w:rFonts w:asciiTheme="minorHAnsi" w:hAnsiTheme="minorHAnsi" w:cstheme="minorHAnsi"/>
                <w:sz w:val="20"/>
                <w:szCs w:val="20"/>
              </w:rPr>
              <w:t>Year Before Full-Time Schooling</w:t>
            </w:r>
          </w:p>
        </w:tc>
      </w:tr>
    </w:tbl>
    <w:p w14:paraId="3E0CCF86" w14:textId="73BA07B0" w:rsidR="681F1BE5" w:rsidRDefault="681F1BE5" w:rsidP="00A2153C">
      <w:pPr>
        <w:pStyle w:val="Heading1"/>
      </w:pPr>
      <w:bookmarkStart w:id="15" w:name="_Toc174363682"/>
      <w:r w:rsidRPr="681F1BE5">
        <w:lastRenderedPageBreak/>
        <w:t xml:space="preserve">Commissioner’s </w:t>
      </w:r>
      <w:r w:rsidRPr="00A2153C">
        <w:t>Foreword</w:t>
      </w:r>
      <w:bookmarkEnd w:id="15"/>
    </w:p>
    <w:p w14:paraId="7E3C5FB1" w14:textId="15EDC29D" w:rsidR="681F1BE5" w:rsidRDefault="681F1BE5" w:rsidP="62114248">
      <w:pPr>
        <w:pStyle w:val="paragraph"/>
        <w:spacing w:line="276" w:lineRule="auto"/>
        <w:rPr>
          <w:rFonts w:asciiTheme="majorHAnsi" w:hAnsiTheme="majorHAnsi" w:cstheme="majorBidi"/>
          <w:sz w:val="22"/>
          <w:szCs w:val="22"/>
        </w:rPr>
      </w:pPr>
      <w:r w:rsidRPr="62114248">
        <w:rPr>
          <w:rFonts w:asciiTheme="majorHAnsi" w:hAnsiTheme="majorHAnsi" w:cstheme="majorBidi"/>
          <w:sz w:val="22"/>
          <w:szCs w:val="22"/>
        </w:rPr>
        <w:t xml:space="preserve">I am delighted to present Jobs and Skills Australia’s (JSA) second workforce capacity study, </w:t>
      </w:r>
      <w:r w:rsidRPr="62114248">
        <w:rPr>
          <w:rFonts w:asciiTheme="majorHAnsi" w:hAnsiTheme="majorHAnsi" w:cstheme="majorBidi"/>
          <w:i/>
          <w:iCs/>
          <w:sz w:val="22"/>
          <w:szCs w:val="22"/>
        </w:rPr>
        <w:t>The Future of the Early Childhood</w:t>
      </w:r>
      <w:r w:rsidR="002536FB">
        <w:rPr>
          <w:rFonts w:asciiTheme="majorHAnsi" w:hAnsiTheme="majorHAnsi" w:cstheme="majorBidi"/>
          <w:i/>
          <w:iCs/>
          <w:sz w:val="22"/>
          <w:szCs w:val="22"/>
        </w:rPr>
        <w:t xml:space="preserve"> Education</w:t>
      </w:r>
      <w:r w:rsidRPr="62114248">
        <w:rPr>
          <w:rFonts w:asciiTheme="majorHAnsi" w:hAnsiTheme="majorHAnsi" w:cstheme="majorBidi"/>
          <w:i/>
          <w:iCs/>
          <w:sz w:val="22"/>
          <w:szCs w:val="22"/>
        </w:rPr>
        <w:t xml:space="preserve"> Profession </w:t>
      </w:r>
      <w:r w:rsidRPr="62114248">
        <w:rPr>
          <w:rFonts w:asciiTheme="majorHAnsi" w:hAnsiTheme="majorHAnsi" w:cstheme="majorBidi"/>
        </w:rPr>
        <w:t>(</w:t>
      </w:r>
      <w:r w:rsidRPr="62114248">
        <w:rPr>
          <w:rFonts w:asciiTheme="majorHAnsi" w:hAnsiTheme="majorHAnsi" w:cstheme="majorBidi"/>
          <w:sz w:val="22"/>
          <w:szCs w:val="22"/>
        </w:rPr>
        <w:t>‘the Study’)</w:t>
      </w:r>
      <w:r w:rsidRPr="62114248">
        <w:rPr>
          <w:rFonts w:asciiTheme="majorHAnsi" w:hAnsiTheme="majorHAnsi" w:cstheme="majorBidi"/>
        </w:rPr>
        <w:t>.</w:t>
      </w:r>
      <w:r w:rsidRPr="62114248">
        <w:rPr>
          <w:rFonts w:asciiTheme="majorHAnsi" w:hAnsiTheme="majorHAnsi" w:cstheme="majorBidi"/>
          <w:i/>
          <w:iCs/>
          <w:sz w:val="22"/>
          <w:szCs w:val="22"/>
        </w:rPr>
        <w:t xml:space="preserve"> </w:t>
      </w:r>
      <w:r w:rsidRPr="62114248">
        <w:rPr>
          <w:rFonts w:asciiTheme="majorHAnsi" w:hAnsiTheme="majorHAnsi" w:cstheme="majorBidi"/>
          <w:sz w:val="22"/>
          <w:szCs w:val="22"/>
        </w:rPr>
        <w:t>JSA has undertaken this study at a time of significant</w:t>
      </w:r>
      <w:r w:rsidR="11A6CFA0" w:rsidRPr="62114248">
        <w:rPr>
          <w:rFonts w:asciiTheme="majorHAnsi" w:hAnsiTheme="majorHAnsi" w:cstheme="majorBidi"/>
          <w:sz w:val="22"/>
          <w:szCs w:val="22"/>
        </w:rPr>
        <w:t xml:space="preserve"> </w:t>
      </w:r>
      <w:r w:rsidR="5F357ABF" w:rsidRPr="62114248">
        <w:rPr>
          <w:rFonts w:asciiTheme="majorHAnsi" w:hAnsiTheme="majorHAnsi" w:cstheme="majorBidi"/>
          <w:sz w:val="22"/>
          <w:szCs w:val="22"/>
        </w:rPr>
        <w:t xml:space="preserve">growth and </w:t>
      </w:r>
      <w:r w:rsidRPr="62114248">
        <w:rPr>
          <w:rFonts w:asciiTheme="majorHAnsi" w:hAnsiTheme="majorHAnsi" w:cstheme="majorBidi"/>
          <w:sz w:val="22"/>
          <w:szCs w:val="22"/>
        </w:rPr>
        <w:t xml:space="preserve">reflection for the sector, with the ACCC report, the Productivity Commission </w:t>
      </w:r>
      <w:r w:rsidR="00B0531D">
        <w:rPr>
          <w:rFonts w:asciiTheme="majorHAnsi" w:hAnsiTheme="majorHAnsi" w:cstheme="majorBidi"/>
          <w:sz w:val="22"/>
          <w:szCs w:val="22"/>
        </w:rPr>
        <w:t xml:space="preserve">inquiry </w:t>
      </w:r>
      <w:r w:rsidRPr="62114248">
        <w:rPr>
          <w:rFonts w:asciiTheme="majorHAnsi" w:hAnsiTheme="majorHAnsi" w:cstheme="majorBidi"/>
          <w:sz w:val="22"/>
          <w:szCs w:val="22"/>
        </w:rPr>
        <w:t>and the development of the Early Years Strategy coming after the implementation of the N</w:t>
      </w:r>
      <w:r w:rsidR="68505A0F" w:rsidRPr="62114248">
        <w:rPr>
          <w:rFonts w:asciiTheme="majorHAnsi" w:hAnsiTheme="majorHAnsi" w:cstheme="majorBidi"/>
          <w:sz w:val="22"/>
          <w:szCs w:val="22"/>
        </w:rPr>
        <w:t xml:space="preserve">ational </w:t>
      </w:r>
      <w:r w:rsidRPr="62114248">
        <w:rPr>
          <w:rFonts w:asciiTheme="majorHAnsi" w:hAnsiTheme="majorHAnsi" w:cstheme="majorBidi"/>
          <w:sz w:val="22"/>
          <w:szCs w:val="22"/>
        </w:rPr>
        <w:t>Q</w:t>
      </w:r>
      <w:r w:rsidR="3A7CB6CB" w:rsidRPr="62114248">
        <w:rPr>
          <w:rFonts w:asciiTheme="majorHAnsi" w:hAnsiTheme="majorHAnsi" w:cstheme="majorBidi"/>
          <w:sz w:val="22"/>
          <w:szCs w:val="22"/>
        </w:rPr>
        <w:t xml:space="preserve">uality </w:t>
      </w:r>
      <w:r w:rsidRPr="62114248">
        <w:rPr>
          <w:rFonts w:asciiTheme="majorHAnsi" w:hAnsiTheme="majorHAnsi" w:cstheme="majorBidi"/>
          <w:sz w:val="22"/>
          <w:szCs w:val="22"/>
        </w:rPr>
        <w:t>F</w:t>
      </w:r>
      <w:r w:rsidR="7D3F8DD9" w:rsidRPr="62114248">
        <w:rPr>
          <w:rFonts w:asciiTheme="majorHAnsi" w:hAnsiTheme="majorHAnsi" w:cstheme="majorBidi"/>
          <w:sz w:val="22"/>
          <w:szCs w:val="22"/>
        </w:rPr>
        <w:t>ramework</w:t>
      </w:r>
      <w:r w:rsidRPr="62114248">
        <w:rPr>
          <w:rFonts w:asciiTheme="majorHAnsi" w:hAnsiTheme="majorHAnsi" w:cstheme="majorBidi"/>
          <w:sz w:val="22"/>
          <w:szCs w:val="22"/>
        </w:rPr>
        <w:t xml:space="preserve"> review. High-quality E</w:t>
      </w:r>
      <w:r w:rsidR="63492A36" w:rsidRPr="62114248">
        <w:rPr>
          <w:rFonts w:asciiTheme="majorHAnsi" w:hAnsiTheme="majorHAnsi" w:cstheme="majorBidi"/>
          <w:sz w:val="22"/>
          <w:szCs w:val="22"/>
        </w:rPr>
        <w:t>arly Childhood Education and Care</w:t>
      </w:r>
      <w:r w:rsidRPr="62114248">
        <w:rPr>
          <w:rFonts w:asciiTheme="majorHAnsi" w:hAnsiTheme="majorHAnsi" w:cstheme="majorBidi"/>
          <w:sz w:val="22"/>
          <w:szCs w:val="22"/>
        </w:rPr>
        <w:t xml:space="preserve"> </w:t>
      </w:r>
      <w:r w:rsidR="00B75C54">
        <w:rPr>
          <w:rFonts w:asciiTheme="majorHAnsi" w:hAnsiTheme="majorHAnsi" w:cstheme="majorBidi"/>
          <w:sz w:val="22"/>
          <w:szCs w:val="22"/>
        </w:rPr>
        <w:t xml:space="preserve">(ECEC) </w:t>
      </w:r>
      <w:r w:rsidRPr="62114248">
        <w:rPr>
          <w:rFonts w:asciiTheme="majorHAnsi" w:hAnsiTheme="majorHAnsi" w:cstheme="majorBidi"/>
          <w:sz w:val="22"/>
          <w:szCs w:val="22"/>
        </w:rPr>
        <w:t>depends on the relationships between children and their early childhood educators and teachers</w:t>
      </w:r>
      <w:r w:rsidR="006B1BB7">
        <w:rPr>
          <w:rFonts w:asciiTheme="majorHAnsi" w:hAnsiTheme="majorHAnsi" w:cstheme="majorBidi"/>
          <w:sz w:val="22"/>
          <w:szCs w:val="22"/>
        </w:rPr>
        <w:t>,</w:t>
      </w:r>
      <w:r w:rsidRPr="62114248">
        <w:rPr>
          <w:rFonts w:asciiTheme="majorHAnsi" w:hAnsiTheme="majorHAnsi" w:cstheme="majorBidi"/>
          <w:sz w:val="22"/>
          <w:szCs w:val="22"/>
        </w:rPr>
        <w:t xml:space="preserve"> as affirmed in the Strategy. JSA has undertaken literature and policy reviews, international desktop comparisons, deep data analysis, economic modelling and qualitative analysis of stakeholder submissions and consultations </w:t>
      </w:r>
      <w:proofErr w:type="gramStart"/>
      <w:r w:rsidRPr="62114248">
        <w:rPr>
          <w:rFonts w:asciiTheme="majorHAnsi" w:hAnsiTheme="majorHAnsi" w:cstheme="majorBidi"/>
          <w:sz w:val="22"/>
          <w:szCs w:val="22"/>
        </w:rPr>
        <w:t>in order to</w:t>
      </w:r>
      <w:proofErr w:type="gramEnd"/>
      <w:r w:rsidRPr="62114248">
        <w:rPr>
          <w:rFonts w:asciiTheme="majorHAnsi" w:hAnsiTheme="majorHAnsi" w:cstheme="majorBidi"/>
          <w:sz w:val="22"/>
          <w:szCs w:val="22"/>
        </w:rPr>
        <w:t xml:space="preserve"> deliver 28 findings and 41 recommendations on the future of the ECEC workforce.</w:t>
      </w:r>
    </w:p>
    <w:p w14:paraId="5FD79B60" w14:textId="67038726" w:rsidR="681F1BE5" w:rsidRDefault="63457A60" w:rsidP="62114248">
      <w:pPr>
        <w:pStyle w:val="paragraph"/>
        <w:spacing w:line="276" w:lineRule="auto"/>
        <w:rPr>
          <w:rFonts w:asciiTheme="majorHAnsi" w:hAnsiTheme="majorHAnsi" w:cstheme="majorBidi"/>
          <w:sz w:val="22"/>
          <w:szCs w:val="22"/>
        </w:rPr>
      </w:pPr>
      <w:r w:rsidRPr="62114248">
        <w:rPr>
          <w:rFonts w:asciiTheme="majorHAnsi" w:hAnsiTheme="majorHAnsi" w:cstheme="majorBidi"/>
          <w:sz w:val="22"/>
          <w:szCs w:val="22"/>
        </w:rPr>
        <w:t>The Study highlights the significant workforce growth needed</w:t>
      </w:r>
      <w:r w:rsidR="681F1BE5" w:rsidRPr="62114248">
        <w:rPr>
          <w:rFonts w:asciiTheme="majorHAnsi" w:hAnsiTheme="majorHAnsi" w:cstheme="majorBidi"/>
          <w:sz w:val="22"/>
          <w:szCs w:val="22"/>
        </w:rPr>
        <w:t xml:space="preserve"> to meet the demand for early childhood education. </w:t>
      </w:r>
      <w:r w:rsidR="5CE1D936" w:rsidRPr="62114248">
        <w:rPr>
          <w:rFonts w:asciiTheme="majorHAnsi" w:hAnsiTheme="majorHAnsi" w:cstheme="majorBidi"/>
          <w:sz w:val="22"/>
          <w:szCs w:val="22"/>
        </w:rPr>
        <w:t xml:space="preserve">It is in the sector’s long-term interest that this growth is achieved in an inclusive manner. </w:t>
      </w:r>
    </w:p>
    <w:p w14:paraId="5C68DE71" w14:textId="37AF6772" w:rsidR="681F1BE5" w:rsidRDefault="681F1BE5" w:rsidP="62114248">
      <w:pPr>
        <w:pStyle w:val="paragraph"/>
        <w:spacing w:line="276" w:lineRule="auto"/>
        <w:rPr>
          <w:rFonts w:asciiTheme="majorHAnsi" w:hAnsiTheme="majorHAnsi" w:cstheme="majorBidi"/>
          <w:sz w:val="22"/>
          <w:szCs w:val="22"/>
        </w:rPr>
      </w:pPr>
      <w:r w:rsidRPr="62114248">
        <w:rPr>
          <w:rFonts w:asciiTheme="majorHAnsi" w:hAnsiTheme="majorHAnsi" w:cstheme="majorBidi"/>
          <w:sz w:val="22"/>
          <w:szCs w:val="22"/>
        </w:rPr>
        <w:t xml:space="preserve">Gender equality is a core theme within this Study due to the </w:t>
      </w:r>
      <w:r w:rsidR="00B0531D">
        <w:rPr>
          <w:rFonts w:asciiTheme="majorHAnsi" w:hAnsiTheme="majorHAnsi" w:cstheme="majorBidi"/>
          <w:sz w:val="22"/>
          <w:szCs w:val="22"/>
        </w:rPr>
        <w:t>highly feminised</w:t>
      </w:r>
      <w:r w:rsidRPr="62114248">
        <w:rPr>
          <w:rFonts w:asciiTheme="majorHAnsi" w:hAnsiTheme="majorHAnsi" w:cstheme="majorBidi"/>
          <w:sz w:val="22"/>
          <w:szCs w:val="22"/>
        </w:rPr>
        <w:t xml:space="preserve"> workforce. The National Agreement on </w:t>
      </w:r>
      <w:r w:rsidRPr="62114248">
        <w:rPr>
          <w:rFonts w:asciiTheme="majorHAnsi" w:hAnsiTheme="majorHAnsi" w:cstheme="majorBidi"/>
          <w:i/>
          <w:iCs/>
          <w:sz w:val="22"/>
          <w:szCs w:val="22"/>
        </w:rPr>
        <w:t>Closing the Gap</w:t>
      </w:r>
      <w:r w:rsidRPr="62114248">
        <w:rPr>
          <w:rFonts w:asciiTheme="majorHAnsi" w:hAnsiTheme="majorHAnsi" w:cstheme="majorBidi"/>
          <w:sz w:val="22"/>
          <w:szCs w:val="22"/>
        </w:rPr>
        <w:t xml:space="preserve"> is another major concern within the Study, recognising the importance of</w:t>
      </w:r>
      <w:r w:rsidR="00AE0F2B">
        <w:rPr>
          <w:rFonts w:asciiTheme="majorHAnsi" w:hAnsiTheme="majorHAnsi" w:cstheme="majorBidi"/>
          <w:sz w:val="22"/>
          <w:szCs w:val="22"/>
        </w:rPr>
        <w:t xml:space="preserve"> an</w:t>
      </w:r>
      <w:r w:rsidRPr="62114248">
        <w:rPr>
          <w:rFonts w:asciiTheme="majorHAnsi" w:hAnsiTheme="majorHAnsi" w:cstheme="majorBidi"/>
          <w:sz w:val="22"/>
          <w:szCs w:val="22"/>
        </w:rPr>
        <w:t xml:space="preserve"> early childhood sector which is both culturally safe and responsive to the needs of First Nations staff, families and communities in all service types. The report further strongly supports Aboriginal community control of settings as well as peak First Nations engagement at a strategic level to integrate conceptions of First Nations knowledge, learning and care of Country into all settings.  </w:t>
      </w:r>
    </w:p>
    <w:p w14:paraId="0A276FA6" w14:textId="39F90DC8" w:rsidR="681F1BE5" w:rsidRDefault="681F1BE5" w:rsidP="699B614A">
      <w:pPr>
        <w:pStyle w:val="paragraph"/>
        <w:spacing w:before="0" w:beforeAutospacing="0" w:after="160" w:afterAutospacing="0" w:line="276" w:lineRule="auto"/>
        <w:rPr>
          <w:rFonts w:asciiTheme="majorHAnsi" w:hAnsiTheme="majorHAnsi" w:cstheme="majorBidi"/>
          <w:sz w:val="22"/>
          <w:szCs w:val="22"/>
        </w:rPr>
      </w:pPr>
      <w:r w:rsidRPr="699B614A">
        <w:rPr>
          <w:rFonts w:asciiTheme="majorHAnsi" w:hAnsiTheme="majorHAnsi" w:cstheme="majorBidi"/>
          <w:sz w:val="22"/>
          <w:szCs w:val="22"/>
        </w:rPr>
        <w:t xml:space="preserve">Recognition of the professional orientation of the early childhood workforce is a key contribution of this Study. The varied scopes of practice of educators and </w:t>
      </w:r>
      <w:r w:rsidR="00A73BF0" w:rsidRPr="699B614A">
        <w:rPr>
          <w:rFonts w:asciiTheme="majorHAnsi" w:hAnsiTheme="majorHAnsi" w:cstheme="majorBidi"/>
          <w:sz w:val="22"/>
          <w:szCs w:val="22"/>
        </w:rPr>
        <w:t>e</w:t>
      </w:r>
      <w:r w:rsidRPr="699B614A">
        <w:rPr>
          <w:rFonts w:asciiTheme="majorHAnsi" w:hAnsiTheme="majorHAnsi" w:cstheme="majorBidi"/>
          <w:sz w:val="22"/>
          <w:szCs w:val="22"/>
        </w:rPr>
        <w:t>arly childhood teachers are recognised and valued by the Study, as is the need for specialist skills and adaptability between service types. This Study has continued JSA’s work in delivering its mission of tripartite engagement, partnering with the Jobs and Skills Council responsible for Children’s Education and Care,</w:t>
      </w:r>
      <w:r w:rsidR="7872AA57" w:rsidRPr="699B614A">
        <w:rPr>
          <w:rFonts w:asciiTheme="majorHAnsi" w:hAnsiTheme="majorHAnsi" w:cstheme="majorBidi"/>
          <w:sz w:val="22"/>
          <w:szCs w:val="22"/>
        </w:rPr>
        <w:t xml:space="preserve"> </w:t>
      </w:r>
      <w:r w:rsidRPr="699B614A">
        <w:rPr>
          <w:rFonts w:asciiTheme="majorHAnsi" w:hAnsiTheme="majorHAnsi" w:cstheme="majorBidi"/>
          <w:sz w:val="22"/>
          <w:szCs w:val="22"/>
        </w:rPr>
        <w:t>HumanAbility</w:t>
      </w:r>
      <w:r w:rsidR="738BB81C" w:rsidRPr="699B614A">
        <w:rPr>
          <w:rFonts w:asciiTheme="majorHAnsi" w:hAnsiTheme="majorHAnsi" w:cstheme="majorBidi"/>
          <w:sz w:val="22"/>
          <w:szCs w:val="22"/>
        </w:rPr>
        <w:t xml:space="preserve">. </w:t>
      </w:r>
    </w:p>
    <w:p w14:paraId="16105FC9" w14:textId="027116A9" w:rsidR="681F1BE5" w:rsidRDefault="681F1BE5" w:rsidP="681F1BE5">
      <w:pPr>
        <w:pStyle w:val="paragraph"/>
        <w:spacing w:before="0" w:beforeAutospacing="0" w:after="160" w:afterAutospacing="0" w:line="276" w:lineRule="auto"/>
        <w:rPr>
          <w:rFonts w:asciiTheme="majorHAnsi" w:hAnsiTheme="majorHAnsi" w:cstheme="majorBidi"/>
          <w:sz w:val="18"/>
          <w:szCs w:val="18"/>
        </w:rPr>
      </w:pPr>
      <w:r w:rsidRPr="681F1BE5">
        <w:rPr>
          <w:rFonts w:asciiTheme="majorHAnsi" w:hAnsiTheme="majorHAnsi" w:cstheme="majorBidi"/>
          <w:sz w:val="22"/>
          <w:szCs w:val="22"/>
        </w:rPr>
        <w:t xml:space="preserve">This report is submitted with confidence that the early childhood sector has the potential to grow and develop to meet the needs for all Australian children while appreciating the essential and complex work educators and early childhood teachers provide. </w:t>
      </w:r>
    </w:p>
    <w:p w14:paraId="1D4A6890" w14:textId="0976ECEB" w:rsidR="681F1BE5" w:rsidRDefault="681F1BE5" w:rsidP="681F1BE5">
      <w:pPr>
        <w:spacing w:before="840" w:after="0" w:line="276" w:lineRule="auto"/>
        <w:rPr>
          <w:rStyle w:val="Strong"/>
          <w:rFonts w:cs="Arial"/>
          <w:color w:val="061824"/>
          <w:sz w:val="24"/>
          <w:szCs w:val="24"/>
        </w:rPr>
      </w:pPr>
      <w:r w:rsidRPr="681F1BE5">
        <w:rPr>
          <w:rStyle w:val="Strong"/>
          <w:rFonts w:cs="Arial"/>
          <w:color w:val="061824"/>
          <w:sz w:val="24"/>
          <w:szCs w:val="24"/>
        </w:rPr>
        <w:t>Professor Barney Glover AO</w:t>
      </w:r>
    </w:p>
    <w:p w14:paraId="3ED83D65" w14:textId="326B9EE8" w:rsidR="681F1BE5" w:rsidRDefault="681F1BE5" w:rsidP="681F1BE5">
      <w:pPr>
        <w:spacing w:after="0" w:line="276" w:lineRule="auto"/>
        <w:rPr>
          <w:rStyle w:val="Strong"/>
          <w:rFonts w:cs="Arial"/>
          <w:b w:val="0"/>
          <w:bCs w:val="0"/>
          <w:color w:val="061824"/>
          <w:sz w:val="24"/>
          <w:szCs w:val="24"/>
        </w:rPr>
      </w:pPr>
      <w:r w:rsidRPr="681F1BE5">
        <w:rPr>
          <w:rStyle w:val="Strong"/>
          <w:rFonts w:cs="Arial"/>
          <w:b w:val="0"/>
          <w:bCs w:val="0"/>
          <w:color w:val="061824"/>
          <w:sz w:val="24"/>
          <w:szCs w:val="24"/>
        </w:rPr>
        <w:t>Commissioner</w:t>
      </w:r>
    </w:p>
    <w:p w14:paraId="4E26A913" w14:textId="1651F3CC" w:rsidR="681F1BE5" w:rsidRDefault="681F1BE5" w:rsidP="681F1BE5">
      <w:pPr>
        <w:spacing w:after="240" w:line="276" w:lineRule="auto"/>
        <w:rPr>
          <w:rFonts w:cs="Arial"/>
          <w:b/>
          <w:bCs/>
          <w:sz w:val="24"/>
          <w:szCs w:val="24"/>
        </w:rPr>
      </w:pPr>
      <w:r w:rsidRPr="681F1BE5">
        <w:rPr>
          <w:rStyle w:val="Strong"/>
          <w:rFonts w:cs="Arial"/>
          <w:b w:val="0"/>
          <w:bCs w:val="0"/>
          <w:color w:val="061824"/>
          <w:sz w:val="24"/>
          <w:szCs w:val="24"/>
        </w:rPr>
        <w:t>Jobs and Skills Australia</w:t>
      </w:r>
    </w:p>
    <w:p w14:paraId="108C99AF" w14:textId="6F384A90" w:rsidR="00F07C11" w:rsidRPr="00F07C11" w:rsidRDefault="00F07C11" w:rsidP="00F07C11">
      <w:pPr>
        <w:sectPr w:rsidR="00F07C11" w:rsidRPr="00F07C11" w:rsidSect="00A2332E">
          <w:pgSz w:w="11906" w:h="16838"/>
          <w:pgMar w:top="1440" w:right="1440" w:bottom="1440" w:left="1440" w:header="709" w:footer="709" w:gutter="0"/>
          <w:pgNumType w:fmt="lowerRoman"/>
          <w:cols w:space="708"/>
          <w:docGrid w:linePitch="360"/>
        </w:sectPr>
      </w:pPr>
    </w:p>
    <w:p w14:paraId="14419716" w14:textId="71F8DF44" w:rsidR="00D72814" w:rsidRDefault="00E13A4F" w:rsidP="00A2153C">
      <w:pPr>
        <w:pStyle w:val="Heading1"/>
      </w:pPr>
      <w:bookmarkStart w:id="16" w:name="_Toc174363683"/>
      <w:r>
        <w:lastRenderedPageBreak/>
        <w:t xml:space="preserve">Executive </w:t>
      </w:r>
      <w:r w:rsidRPr="00A2153C">
        <w:t>Summary</w:t>
      </w:r>
      <w:bookmarkEnd w:id="16"/>
    </w:p>
    <w:p w14:paraId="3673297B" w14:textId="77777777" w:rsidR="00CB49CA" w:rsidRDefault="00CB49CA" w:rsidP="00CB49CA">
      <w:r>
        <w:t xml:space="preserve">The Government commissioned Jobs and Skills Australia to undertake a capacity study on the workforce needs for Australia’s Early Childhood Education and Care (ECEC) sector (‘the Study’). The Study has been undertaken in partnership with HumanAbility, the Jobs and Skills Council (JSC) with responsibility for the Children’s Education and Care, Aged Care and Disability Support, Health, Human Services and Sport and Recreation sector. </w:t>
      </w:r>
    </w:p>
    <w:p w14:paraId="7B0B1B76" w14:textId="77777777" w:rsidR="00CB49CA" w:rsidRDefault="00CB49CA" w:rsidP="00A2153C">
      <w:pPr>
        <w:pStyle w:val="Heading2"/>
      </w:pPr>
      <w:bookmarkStart w:id="17" w:name="_Toc174363684"/>
      <w:r>
        <w:t>What the Study Does</w:t>
      </w:r>
      <w:bookmarkEnd w:id="17"/>
      <w:r>
        <w:t xml:space="preserve"> </w:t>
      </w:r>
    </w:p>
    <w:p w14:paraId="74297E84" w14:textId="77777777" w:rsidR="00CB49CA" w:rsidRDefault="00CB49CA" w:rsidP="00CB49CA">
      <w:r>
        <w:t xml:space="preserve">The Study provides critical evidence, insights, and recommendations as appropriate to support current and future workforce planning, including a detailed understanding of the current state and future needs of the sector’s workforce to support the development of Government strategy and vision on early years education and care of Australia’s children. It focuses on ECEC workforce and skills issues, particularly attraction and retention, to complement the broader scope of the other inquiries. </w:t>
      </w:r>
    </w:p>
    <w:p w14:paraId="76E78982" w14:textId="77777777" w:rsidR="00CB49CA" w:rsidRDefault="00CB49CA" w:rsidP="00CB49CA">
      <w:r>
        <w:t xml:space="preserve">The Study also identifies and analyses occupations for each of the different parts of the sector (pre-schools and kindergartens, centre-based day care (CBDC), family day care (FDC), in-home care (IHC), outside school hours care (OSHC), including services delivered through Aboriginal Community Controlled Organisations (ACCOs)), their respective supply and demand factors, and geographical considerations to understand factors that impact training, attracting, and retaining the ECEC workforce. </w:t>
      </w:r>
    </w:p>
    <w:p w14:paraId="2B932E4C" w14:textId="77777777" w:rsidR="00CB49CA" w:rsidRDefault="00CB49CA" w:rsidP="00CB49CA">
      <w:r>
        <w:t xml:space="preserve">The Study has investigated the whole ECEC sector but for analytical ease focused on the two relevant ANZSIC industry groups ‘871 </w:t>
      </w:r>
      <w:r w:rsidRPr="71BF7861">
        <w:rPr>
          <w:i/>
          <w:iCs/>
        </w:rPr>
        <w:t xml:space="preserve">Child Care Services’ </w:t>
      </w:r>
      <w:r>
        <w:t xml:space="preserve">and ‘801 </w:t>
      </w:r>
      <w:r w:rsidRPr="71BF7861">
        <w:rPr>
          <w:i/>
          <w:iCs/>
        </w:rPr>
        <w:t>Preschool Education’</w:t>
      </w:r>
      <w:r w:rsidRPr="71BF7861">
        <w:rPr>
          <w:b/>
          <w:bCs/>
          <w:i/>
          <w:iCs/>
        </w:rPr>
        <w:t xml:space="preserve"> </w:t>
      </w:r>
      <w:r>
        <w:t xml:space="preserve">and eight target ANZSCO Occupations (6-digit level) which were validated by the consultation paper. </w:t>
      </w:r>
    </w:p>
    <w:p w14:paraId="4863ED01" w14:textId="77777777" w:rsidR="00CB49CA" w:rsidRPr="00B30EE5" w:rsidRDefault="00CB49CA" w:rsidP="00CB49CA">
      <w:pPr>
        <w:pStyle w:val="Heading3"/>
      </w:pPr>
      <w:r w:rsidRPr="00B30EE5">
        <w:t xml:space="preserve">Engagement and Research Process </w:t>
      </w:r>
    </w:p>
    <w:p w14:paraId="3C881F92" w14:textId="77777777" w:rsidR="00CB49CA" w:rsidRDefault="00CB49CA" w:rsidP="00CB49CA">
      <w:r>
        <w:t xml:space="preserve">The Terms of Reference (ToRs) for the ECEC Capacity Study were open for consultation in late 2023, approved by the Minister of Skills and Training, the Hon Brendan O’Connor MP and published on 14th February 2024. </w:t>
      </w:r>
    </w:p>
    <w:p w14:paraId="4D300692" w14:textId="77777777" w:rsidR="00CB49CA" w:rsidRDefault="00CB49CA" w:rsidP="00CB49CA">
      <w:r>
        <w:t xml:space="preserve">The Study was overseen by a Steering Group with representatives drawn from the sector, including peak bodies, specialist groups, trade unions and researchers and met formally 5 times between December 2023 and May 2024. The Study’s consultation paper was published on the </w:t>
      </w:r>
      <w:proofErr w:type="gramStart"/>
      <w:r>
        <w:t>20th</w:t>
      </w:r>
      <w:proofErr w:type="gramEnd"/>
      <w:r>
        <w:t xml:space="preserve"> November 2023, with over 50 submissions received. Stakeholder engagement opportunities were held between November 2023 and March 2024, including three online roundtable-style discussions in March 2024. Steering group members provided extensive feedback on modelling of future workforce demand and supply under various scenarios, undertaken by JSA and Deloitte Access Economics (DAE).</w:t>
      </w:r>
    </w:p>
    <w:p w14:paraId="4678E369" w14:textId="77777777" w:rsidR="00CB49CA" w:rsidRDefault="00CB49CA" w:rsidP="00CB49CA">
      <w:r>
        <w:t xml:space="preserve">The Study has been conducted with consideration of the Productivity Commission (PC)’s and Australian Competition and Consumer Commission (ACCC)’s inquiries into the ECEC sector in Australia, and other policy developments. </w:t>
      </w:r>
    </w:p>
    <w:p w14:paraId="26B8FADA" w14:textId="77777777" w:rsidR="00CB49CA" w:rsidRDefault="00CB49CA" w:rsidP="00CB49CA">
      <w:pPr>
        <w:tabs>
          <w:tab w:val="left" w:pos="709"/>
        </w:tabs>
        <w:rPr>
          <w:rFonts w:cs="Arial"/>
        </w:rPr>
      </w:pPr>
      <w:r>
        <w:rPr>
          <w:rFonts w:cs="Arial"/>
        </w:rPr>
        <w:lastRenderedPageBreak/>
        <w:t>JSA</w:t>
      </w:r>
      <w:r w:rsidRPr="0D4192F6">
        <w:rPr>
          <w:rFonts w:cs="Arial"/>
        </w:rPr>
        <w:t xml:space="preserve"> acknowledges the important and widely accepted shift within the ECEC sector to move towards a language of “early education” as opposed to “</w:t>
      </w:r>
      <w:proofErr w:type="gramStart"/>
      <w:r w:rsidRPr="0D4192F6">
        <w:rPr>
          <w:rFonts w:cs="Arial"/>
        </w:rPr>
        <w:t>child care</w:t>
      </w:r>
      <w:proofErr w:type="gramEnd"/>
      <w:r w:rsidRPr="0D4192F6">
        <w:rPr>
          <w:rFonts w:cs="Arial"/>
        </w:rPr>
        <w:t>”. Specifically, ECEC workers are now more properly referred to as “</w:t>
      </w:r>
      <w:r>
        <w:rPr>
          <w:rFonts w:cs="Arial"/>
        </w:rPr>
        <w:t xml:space="preserve">early </w:t>
      </w:r>
      <w:r w:rsidRPr="0D4192F6">
        <w:rPr>
          <w:rFonts w:cs="Arial"/>
        </w:rPr>
        <w:t xml:space="preserve">childhood educators” instead of “child carers” to better reflect their work processes, qualifications and expertise. </w:t>
      </w:r>
      <w:r>
        <w:rPr>
          <w:rFonts w:cs="Arial"/>
        </w:rPr>
        <w:t>However</w:t>
      </w:r>
      <w:r w:rsidRPr="0D4192F6">
        <w:rPr>
          <w:rFonts w:cs="Arial"/>
        </w:rPr>
        <w:t xml:space="preserve">, statistical naming conventions typically </w:t>
      </w:r>
      <w:proofErr w:type="gramStart"/>
      <w:r w:rsidRPr="0D4192F6">
        <w:rPr>
          <w:rFonts w:cs="Arial"/>
        </w:rPr>
        <w:t>lag behind</w:t>
      </w:r>
      <w:proofErr w:type="gramEnd"/>
      <w:r w:rsidRPr="0D4192F6">
        <w:rPr>
          <w:rFonts w:cs="Arial"/>
        </w:rPr>
        <w:t xml:space="preserve"> cultural shifts, and some of the data sources used for this report are only subject to comprehensive review </w:t>
      </w:r>
      <w:r>
        <w:rPr>
          <w:rFonts w:cs="Arial"/>
        </w:rPr>
        <w:t>infrequently</w:t>
      </w:r>
      <w:r w:rsidRPr="0D4192F6">
        <w:rPr>
          <w:rFonts w:cs="Arial"/>
        </w:rPr>
        <w:t xml:space="preserve">. </w:t>
      </w:r>
      <w:r>
        <w:rPr>
          <w:rFonts w:cs="Arial"/>
        </w:rPr>
        <w:t xml:space="preserve">JSA notes that the Australian Bureau of Statistics (ABS) is currently undertaking a comprehensive review of </w:t>
      </w:r>
      <w:r w:rsidRPr="0D4192F6">
        <w:rPr>
          <w:rFonts w:cs="Arial"/>
        </w:rPr>
        <w:t xml:space="preserve">the </w:t>
      </w:r>
      <w:r w:rsidRPr="00CA0B54">
        <w:rPr>
          <w:rFonts w:asciiTheme="majorHAnsi" w:hAnsiTheme="majorHAnsi" w:cstheme="majorHAnsi"/>
          <w14:numForm w14:val="lining"/>
          <w14:numSpacing w14:val="proportional"/>
        </w:rPr>
        <w:t xml:space="preserve">Australian and New Zealand Standard Classification of Occupations </w:t>
      </w:r>
      <w:r>
        <w:rPr>
          <w:rFonts w:asciiTheme="majorHAnsi" w:hAnsiTheme="majorHAnsi" w:cstheme="majorHAnsi"/>
          <w14:numForm w14:val="lining"/>
          <w14:numSpacing w14:val="proportional"/>
        </w:rPr>
        <w:t>(</w:t>
      </w:r>
      <w:r w:rsidRPr="0D4192F6">
        <w:rPr>
          <w:rFonts w:cs="Arial"/>
        </w:rPr>
        <w:t>ANZSCO</w:t>
      </w:r>
      <w:r>
        <w:rPr>
          <w:rFonts w:cs="Arial"/>
        </w:rPr>
        <w:t>), with future changes flagged for occupations relevant to ECEC.</w:t>
      </w:r>
      <w:r w:rsidRPr="0D4192F6">
        <w:rPr>
          <w:rFonts w:cs="Arial"/>
        </w:rPr>
        <w:t xml:space="preserve"> </w:t>
      </w:r>
    </w:p>
    <w:p w14:paraId="217C5085" w14:textId="4FDCFF8B" w:rsidR="00CB49CA" w:rsidRPr="00A20EA3" w:rsidRDefault="00CB49CA" w:rsidP="00CB49CA">
      <w:pPr>
        <w:tabs>
          <w:tab w:val="left" w:pos="709"/>
        </w:tabs>
        <w:rPr>
          <w:rFonts w:asciiTheme="majorHAnsi" w:hAnsiTheme="majorHAnsi"/>
          <w:sz w:val="20"/>
          <w14:numForm w14:val="lining"/>
          <w14:numSpacing w14:val="proportional"/>
        </w:rPr>
      </w:pPr>
      <w:r w:rsidRPr="0D4192F6">
        <w:rPr>
          <w:rFonts w:cs="Arial"/>
        </w:rPr>
        <w:t xml:space="preserve">Throughout this report, terms such as ‘early childhood educators and teachers’ </w:t>
      </w:r>
      <w:r>
        <w:rPr>
          <w:rFonts w:cs="Arial"/>
        </w:rPr>
        <w:t xml:space="preserve">are used </w:t>
      </w:r>
      <w:r w:rsidRPr="0D4192F6">
        <w:rPr>
          <w:rFonts w:cs="Arial"/>
        </w:rPr>
        <w:t>when speaking generally about the workforce. However, to avoid confusion, whe</w:t>
      </w:r>
      <w:r>
        <w:rPr>
          <w:rFonts w:cs="Arial"/>
        </w:rPr>
        <w:t>n</w:t>
      </w:r>
      <w:r w:rsidRPr="0D4192F6">
        <w:rPr>
          <w:rFonts w:cs="Arial"/>
        </w:rPr>
        <w:t xml:space="preserve"> referencing a dataset specifically for accuracy field titles as given by the relevant </w:t>
      </w:r>
      <w:r>
        <w:rPr>
          <w:rFonts w:cs="Arial"/>
        </w:rPr>
        <w:t>classification used in the dataset</w:t>
      </w:r>
      <w:r w:rsidRPr="0D4192F6">
        <w:rPr>
          <w:rFonts w:cs="Arial"/>
        </w:rPr>
        <w:t>, acknowledging that job titles such as ‘Childcare Worker’ are inconsistent with current preferred terminology.</w:t>
      </w:r>
      <w:r w:rsidRPr="0D4192F6">
        <w:rPr>
          <w:rStyle w:val="eop"/>
          <w:rFonts w:cs="Arial"/>
        </w:rPr>
        <w:t> </w:t>
      </w:r>
      <w:r>
        <w:t xml:space="preserve">The report has italicised ANZSCO and </w:t>
      </w:r>
      <w:r w:rsidRPr="42777653">
        <w:rPr>
          <w:rFonts w:asciiTheme="majorHAnsi" w:hAnsiTheme="majorHAnsi" w:cstheme="majorBidi"/>
          <w14:numForm w14:val="lining"/>
          <w14:numSpacing w14:val="proportional"/>
        </w:rPr>
        <w:t>Australian and New Zealand Standard Industrial Classification</w:t>
      </w:r>
      <w:r w:rsidRPr="42777653">
        <w:rPr>
          <w:rFonts w:asciiTheme="majorHAnsi" w:hAnsiTheme="majorHAnsi" w:cstheme="majorBidi"/>
          <w:sz w:val="20"/>
          <w:szCs w:val="20"/>
          <w14:numForm w14:val="lining"/>
          <w14:numSpacing w14:val="proportional"/>
        </w:rPr>
        <w:t xml:space="preserve"> (</w:t>
      </w:r>
      <w:r>
        <w:t>ANZSIC) names throughout to indicate where an official classification has been used</w:t>
      </w:r>
      <w:r w:rsidR="00B75C54">
        <w:t xml:space="preserve">. </w:t>
      </w:r>
      <w:r>
        <w:t>ANZSCO current occupation titles and Preliminary Proposed Changes are shown in Figure 1.</w:t>
      </w:r>
    </w:p>
    <w:p w14:paraId="3929B132" w14:textId="535252F8" w:rsidR="00CB49CA" w:rsidRDefault="00CB49CA" w:rsidP="00CB49CA">
      <w:pPr>
        <w:pStyle w:val="Caption"/>
      </w:pPr>
      <w:r>
        <w:lastRenderedPageBreak/>
        <w:t xml:space="preserve">Figure </w:t>
      </w:r>
      <w:r>
        <w:fldChar w:fldCharType="begin"/>
      </w:r>
      <w:r>
        <w:instrText xml:space="preserve"> SEQ Figure \* ARABIC </w:instrText>
      </w:r>
      <w:r>
        <w:fldChar w:fldCharType="separate"/>
      </w:r>
      <w:r w:rsidR="005F18C1">
        <w:rPr>
          <w:noProof/>
        </w:rPr>
        <w:t>1</w:t>
      </w:r>
      <w:r>
        <w:fldChar w:fldCharType="end"/>
      </w:r>
      <w:r>
        <w:t xml:space="preserve">: </w:t>
      </w:r>
      <w:r w:rsidRPr="009918A3">
        <w:t>Scope of the ECEC Workforce considered for this Study</w:t>
      </w:r>
    </w:p>
    <w:p w14:paraId="0F7F8B75" w14:textId="77777777" w:rsidR="00CB49CA" w:rsidRDefault="00CB49CA" w:rsidP="00A2153C">
      <w:pPr>
        <w:pStyle w:val="NormalWeb"/>
      </w:pPr>
      <w:r>
        <w:rPr>
          <w:noProof/>
        </w:rPr>
        <w:drawing>
          <wp:inline distT="0" distB="0" distL="0" distR="0" wp14:anchorId="1E6D02CD" wp14:editId="0F82DC1C">
            <wp:extent cx="5731200" cy="5601600"/>
            <wp:effectExtent l="0" t="0" r="3175" b="0"/>
            <wp:docPr id="232172316" name="Picture 1" descr="Current Australian and New Zealand Standard Classification of Occupations (anti-clockwise):​&#10;&#10;134111 Child Care Centre Manager​&#10;&#10;421112 Family Day Care Worker​&#10;&#10;421114 Out of School Hours Care Worker​&#10;&#10;422115 Preschool Aide​&#10;&#10;421111 Child Care Worker​&#10;&#10;241111 Early Education (Pre Primary-School) Teacher​&#10;&#10;422111 Aboriginal and Torres Strait Islander Education Worker​&#10;&#10;421113 Nanny​&#10;&#10;​&#10;&#10;Proposed occupation titles (anti-clockwise):​&#10;&#10;Children’s Education and Care Service Director​&#10;&#10;Family Day Care Educator​&#10;&#10;Family Day Care Coordinator​&#10;&#10;Out of School Hours Educator​&#10;&#10;Early Childhood Educator​&#10;&#10;Early Childhood Educator ​&#10;&#10;Early Childhood Education Room L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172316" name="Picture 1" descr="Current Australian and New Zealand Standard Classification of Occupations (anti-clockwise):​&#10;&#10;134111 Child Care Centre Manager​&#10;&#10;421112 Family Day Care Worker​&#10;&#10;421114 Out of School Hours Care Worker​&#10;&#10;422115 Preschool Aide​&#10;&#10;421111 Child Care Worker​&#10;&#10;241111 Early Education (Pre Primary-School) Teacher​&#10;&#10;422111 Aboriginal and Torres Strait Islander Education Worker​&#10;&#10;421113 Nanny​&#10;&#10;​&#10;&#10;Proposed occupation titles (anti-clockwise):​&#10;&#10;Children’s Education and Care Service Director​&#10;&#10;Family Day Care Educator​&#10;&#10;Family Day Care Coordinator​&#10;&#10;Out of School Hours Educator​&#10;&#10;Early Childhood Educator​&#10;&#10;Early Childhood Educator ​&#10;&#10;Early Childhood Education Room Leader​"/>
                    <pic:cNvPicPr/>
                  </pic:nvPicPr>
                  <pic:blipFill>
                    <a:blip r:embed="rId14">
                      <a:extLst>
                        <a:ext uri="{28A0092B-C50C-407E-A947-70E740481C1C}">
                          <a14:useLocalDpi xmlns:a14="http://schemas.microsoft.com/office/drawing/2010/main" val="0"/>
                        </a:ext>
                      </a:extLst>
                    </a:blip>
                    <a:stretch>
                      <a:fillRect/>
                    </a:stretch>
                  </pic:blipFill>
                  <pic:spPr>
                    <a:xfrm>
                      <a:off x="0" y="0"/>
                      <a:ext cx="5731200" cy="5601600"/>
                    </a:xfrm>
                    <a:prstGeom prst="rect">
                      <a:avLst/>
                    </a:prstGeom>
                  </pic:spPr>
                </pic:pic>
              </a:graphicData>
            </a:graphic>
          </wp:inline>
        </w:drawing>
      </w:r>
    </w:p>
    <w:p w14:paraId="7AD2CAF1" w14:textId="18513DEC" w:rsidR="00CB49CA" w:rsidRDefault="00CB49CA" w:rsidP="00A2153C">
      <w:pPr>
        <w:pStyle w:val="Source"/>
      </w:pPr>
      <w:r>
        <w:t>Note: Figure includes current (dark purple) and any currently preliminary proposed (light purple) occupation titles in the Australia and New Zealand Standard Classification of Occupations.</w:t>
      </w:r>
    </w:p>
    <w:p w14:paraId="03C0677B" w14:textId="6C44609E" w:rsidR="00CB49CA" w:rsidRDefault="00CB49CA" w:rsidP="00CB49CA">
      <w:r>
        <w:t xml:space="preserve">Findings have been drafted to align with </w:t>
      </w:r>
      <w:r w:rsidRPr="00B75C54">
        <w:rPr>
          <w:i/>
          <w:iCs/>
        </w:rPr>
        <w:t>Shaping Our Future, The National Children’s Education and Care Workforce Strategy</w:t>
      </w:r>
      <w:r>
        <w:t xml:space="preserve"> (2022-2031); the jurisdictional workforce strategies and the</w:t>
      </w:r>
      <w:r w:rsidRPr="42777653">
        <w:rPr>
          <w:i/>
          <w:iCs/>
        </w:rPr>
        <w:t xml:space="preserve"> Early Childhood Care and Development Sector Strengthening Plan</w:t>
      </w:r>
      <w:r>
        <w:t xml:space="preserve"> related to Priority Reform 2 of </w:t>
      </w:r>
      <w:r w:rsidRPr="42777653">
        <w:rPr>
          <w:i/>
          <w:iCs/>
        </w:rPr>
        <w:t>the National Agreement on Closing the Gap.</w:t>
      </w:r>
      <w:r>
        <w:t xml:space="preserve"> While the </w:t>
      </w:r>
      <w:r w:rsidRPr="42777653">
        <w:rPr>
          <w:i/>
          <w:iCs/>
        </w:rPr>
        <w:t>Shaping Our Future</w:t>
      </w:r>
      <w:r>
        <w:t xml:space="preserve">, </w:t>
      </w:r>
      <w:r w:rsidRPr="42777653">
        <w:rPr>
          <w:i/>
          <w:iCs/>
        </w:rPr>
        <w:t>National Children’s Education and Care Workforce Strategy</w:t>
      </w:r>
      <w:r>
        <w:t xml:space="preserve"> is well received within the sector and has strong intent, the co-owned nature of the strategy means that the implementation accountability is distributed. Ongoing work for coordinated evaluation of the strategy is important and progress is being made.</w:t>
      </w:r>
      <w:r w:rsidRPr="42777653">
        <w:rPr>
          <w:b/>
          <w:bCs/>
        </w:rPr>
        <w:t xml:space="preserve"> </w:t>
      </w:r>
      <w:r>
        <w:t xml:space="preserve">It is also noted that there are existing programs in place as part of work on these strategies that align with this report’s recommendations. </w:t>
      </w:r>
    </w:p>
    <w:p w14:paraId="6B2E33B4" w14:textId="4B4C9178" w:rsidR="00CB49CA" w:rsidRPr="00A2153C" w:rsidRDefault="00CB49CA" w:rsidP="00CB49CA">
      <w:pPr>
        <w:rPr>
          <w:rFonts w:cs="Arial"/>
        </w:rPr>
      </w:pPr>
      <w:r w:rsidRPr="42777653">
        <w:rPr>
          <w:rFonts w:cs="Arial"/>
        </w:rPr>
        <w:t>Jobs and Skills Australia takes care to ensure that all data, figures, and research are true and accurate at the date of publication. Please note however, that they may be subject to change after publication and that changes may be made to the data and the Jobs and Skills Australia website at any time.</w:t>
      </w:r>
    </w:p>
    <w:p w14:paraId="66826A90" w14:textId="77777777" w:rsidR="00CB49CA" w:rsidRDefault="00CB49CA" w:rsidP="00CB49CA">
      <w:pPr>
        <w:pStyle w:val="Heading2"/>
        <w:sectPr w:rsidR="00CB49CA" w:rsidSect="00A2332E">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0" w:footer="539" w:gutter="0"/>
          <w:pgNumType w:start="1"/>
          <w:cols w:space="708"/>
          <w:docGrid w:linePitch="360"/>
        </w:sectPr>
      </w:pPr>
    </w:p>
    <w:p w14:paraId="343EFEFD" w14:textId="77777777" w:rsidR="00CB49CA" w:rsidRDefault="00CB49CA" w:rsidP="00CB49CA">
      <w:pPr>
        <w:pStyle w:val="Heading2"/>
      </w:pPr>
      <w:bookmarkStart w:id="18" w:name="_Toc174363685"/>
      <w:r>
        <w:lastRenderedPageBreak/>
        <w:t>The Early Childhood Workforce Today</w:t>
      </w:r>
      <w:bookmarkEnd w:id="18"/>
    </w:p>
    <w:p w14:paraId="6FC9003B" w14:textId="77777777" w:rsidR="00CB49CA" w:rsidRDefault="00CB49CA" w:rsidP="00CB49CA">
      <w:r>
        <w:t xml:space="preserve">Australia’s early childhood workforce is made up of well over 200,000 individuals. The majority are Early Childhood Educators, including Early Childhood Education Room Leaders, who work directly with children. </w:t>
      </w:r>
      <w:r w:rsidRPr="00B24E9E">
        <w:t>Early Childhood Teachers</w:t>
      </w:r>
      <w:r w:rsidRPr="00B318A1">
        <w:t xml:space="preserve"> and</w:t>
      </w:r>
      <w:r>
        <w:t xml:space="preserve"> Children’s Education and Care Service Directors provide educational and organisational leadership. The sector is also supported by specialised education and care professionals and assistants, and roles such as Administration Assistants, Cooks, and Cleaners. </w:t>
      </w:r>
    </w:p>
    <w:p w14:paraId="0D1ACCDA" w14:textId="77777777" w:rsidR="00CB49CA" w:rsidRPr="00DE636A" w:rsidRDefault="00CB49CA" w:rsidP="00CB49CA">
      <w:r w:rsidRPr="00DE636A">
        <w:t>The ECEC workforce is overwhelmingly female</w:t>
      </w:r>
      <w:r>
        <w:t>,</w:t>
      </w:r>
      <w:r w:rsidRPr="00DE636A">
        <w:t xml:space="preserve"> </w:t>
      </w:r>
      <w:r>
        <w:t>noting</w:t>
      </w:r>
      <w:r w:rsidRPr="00DE636A">
        <w:t xml:space="preserve"> a higher proportion of men working in O</w:t>
      </w:r>
      <w:r>
        <w:t>SHC</w:t>
      </w:r>
      <w:r w:rsidRPr="00DE636A">
        <w:t xml:space="preserve"> settings. The primary caring responsibilities </w:t>
      </w:r>
      <w:r>
        <w:t xml:space="preserve">women carry often </w:t>
      </w:r>
      <w:r w:rsidRPr="00DE636A">
        <w:t>play a part in the staffing arrangements of the sector and flexible work is a key issue.</w:t>
      </w:r>
    </w:p>
    <w:p w14:paraId="58316C95" w14:textId="04CB493F" w:rsidR="00CB49CA" w:rsidRPr="00DE636A" w:rsidRDefault="00CB49CA" w:rsidP="00CB49CA">
      <w:r w:rsidRPr="00DE636A">
        <w:t xml:space="preserve">There are barriers to employment of </w:t>
      </w:r>
      <w:r>
        <w:t>those with caring responsibilities for young children</w:t>
      </w:r>
      <w:r w:rsidRPr="00DE636A">
        <w:t xml:space="preserve">, mothers especially, in ECEC. </w:t>
      </w:r>
      <w:r>
        <w:t>T</w:t>
      </w:r>
      <w:r w:rsidRPr="00DE636A">
        <w:t xml:space="preserve">he rate of return </w:t>
      </w:r>
      <w:r>
        <w:t>to employment</w:t>
      </w:r>
      <w:r w:rsidRPr="00DE636A">
        <w:t xml:space="preserve"> </w:t>
      </w:r>
      <w:r>
        <w:t>following</w:t>
      </w:r>
      <w:r w:rsidRPr="00DE636A">
        <w:t xml:space="preserve"> </w:t>
      </w:r>
      <w:r>
        <w:t xml:space="preserve">birth of first child (70% for </w:t>
      </w:r>
      <w:r w:rsidRPr="00B24E9E">
        <w:rPr>
          <w:i/>
          <w:iCs/>
        </w:rPr>
        <w:t>Child carers</w:t>
      </w:r>
      <w:r>
        <w:t>)</w:t>
      </w:r>
      <w:r w:rsidRPr="00DE636A">
        <w:t xml:space="preserve"> is </w:t>
      </w:r>
      <w:r>
        <w:t>lower</w:t>
      </w:r>
      <w:r w:rsidRPr="00DE636A">
        <w:t xml:space="preserve"> than for occupations</w:t>
      </w:r>
      <w:r>
        <w:t xml:space="preserve"> such as </w:t>
      </w:r>
      <w:r w:rsidRPr="00B24E9E">
        <w:rPr>
          <w:i/>
          <w:iCs/>
        </w:rPr>
        <w:t>Aged and disabled carers</w:t>
      </w:r>
      <w:r>
        <w:t xml:space="preserve"> (76%), and </w:t>
      </w:r>
      <w:r w:rsidRPr="00B24E9E">
        <w:rPr>
          <w:i/>
          <w:iCs/>
        </w:rPr>
        <w:t>General clerks</w:t>
      </w:r>
      <w:r>
        <w:t xml:space="preserve"> (78%). However, women in ECEC occupations return to employment in the sector at slightly higher levels than </w:t>
      </w:r>
      <w:r w:rsidRPr="00B24E9E">
        <w:rPr>
          <w:i/>
          <w:iCs/>
        </w:rPr>
        <w:t>Hairdressers</w:t>
      </w:r>
      <w:r>
        <w:t xml:space="preserve">, </w:t>
      </w:r>
      <w:r w:rsidRPr="00B24E9E">
        <w:rPr>
          <w:i/>
          <w:iCs/>
        </w:rPr>
        <w:t>Waiters</w:t>
      </w:r>
      <w:r>
        <w:t xml:space="preserve">, </w:t>
      </w:r>
      <w:r w:rsidRPr="00B24E9E">
        <w:rPr>
          <w:i/>
          <w:iCs/>
        </w:rPr>
        <w:t>Beauty therapists</w:t>
      </w:r>
      <w:r>
        <w:t xml:space="preserve">, and </w:t>
      </w:r>
      <w:r w:rsidRPr="00B24E9E">
        <w:rPr>
          <w:i/>
          <w:iCs/>
        </w:rPr>
        <w:t>Sales</w:t>
      </w:r>
      <w:r>
        <w:t xml:space="preserve"> </w:t>
      </w:r>
      <w:r w:rsidRPr="00B24E9E">
        <w:rPr>
          <w:i/>
          <w:iCs/>
        </w:rPr>
        <w:t>assistants</w:t>
      </w:r>
      <w:r>
        <w:t>.</w:t>
      </w:r>
    </w:p>
    <w:p w14:paraId="7B1F8277" w14:textId="77777777" w:rsidR="00CB49CA" w:rsidRPr="00DE636A" w:rsidRDefault="00CB49CA" w:rsidP="00CB49CA">
      <w:r w:rsidRPr="00DE636A">
        <w:t xml:space="preserve">The sector’s age </w:t>
      </w:r>
      <w:r>
        <w:t>distribution</w:t>
      </w:r>
      <w:r w:rsidRPr="00DE636A">
        <w:t xml:space="preserve"> is </w:t>
      </w:r>
      <w:proofErr w:type="gramStart"/>
      <w:r w:rsidRPr="00DE636A">
        <w:t>similar to</w:t>
      </w:r>
      <w:proofErr w:type="gramEnd"/>
      <w:r w:rsidRPr="00DE636A">
        <w:t xml:space="preserve"> all occupations but varies significantly by service type with educators, particularly those working in O</w:t>
      </w:r>
      <w:r>
        <w:t>SH</w:t>
      </w:r>
      <w:r w:rsidRPr="00DE636A">
        <w:t>C</w:t>
      </w:r>
      <w:r>
        <w:t>,</w:t>
      </w:r>
      <w:r w:rsidRPr="00DE636A">
        <w:t xml:space="preserve"> younger than the general labour force, with FDC educators having an older age profile. </w:t>
      </w:r>
    </w:p>
    <w:p w14:paraId="02DD167B" w14:textId="77777777" w:rsidR="00CB49CA" w:rsidRPr="00DE636A" w:rsidRDefault="00CB49CA" w:rsidP="00CB49CA">
      <w:r>
        <w:t xml:space="preserve">The representation of First Nations individuals is greater in the ECEC workforce, relative to all occupations, as noted in table 1 below, and on par across all focus ECEC occupations with the broader population. However, First Nations people are not as well represented across the more highly remunerated occupations in the sector. </w:t>
      </w:r>
    </w:p>
    <w:p w14:paraId="76B41AE9" w14:textId="77777777" w:rsidR="00CB49CA" w:rsidRPr="00DE636A" w:rsidRDefault="00CB49CA" w:rsidP="00CB49CA">
      <w:r w:rsidRPr="00DE636A">
        <w:t xml:space="preserve">In the ECEC workforce there is a higher proportion of people born overseas than for all occupations, with 4 in 10 FDC educators born overseas and a higher proportion of people who have a main language other than English at home. </w:t>
      </w:r>
    </w:p>
    <w:p w14:paraId="76795F9E" w14:textId="77777777" w:rsidR="00CB49CA" w:rsidRPr="00DE636A" w:rsidRDefault="00CB49CA" w:rsidP="00CB49CA">
      <w:proofErr w:type="gramStart"/>
      <w:r w:rsidRPr="00DE636A">
        <w:t>The majority of</w:t>
      </w:r>
      <w:proofErr w:type="gramEnd"/>
      <w:r w:rsidRPr="00DE636A">
        <w:t xml:space="preserve"> the workforce were Australian citizens at the time of the last census, but there is considerable variation by occupation, including between educators in different service types. Many temporary ECEC staff are on study visas with relatively few coming through temporary skilled visa categories. </w:t>
      </w:r>
    </w:p>
    <w:p w14:paraId="295634CC" w14:textId="77777777" w:rsidR="00CB49CA" w:rsidRPr="00DE636A" w:rsidRDefault="00CB49CA" w:rsidP="00CB49CA">
      <w:r w:rsidRPr="00DE636A">
        <w:t>There are fewer people with disabilit</w:t>
      </w:r>
      <w:r>
        <w:t>y</w:t>
      </w:r>
      <w:r>
        <w:rPr>
          <w:rStyle w:val="FootnoteReference"/>
        </w:rPr>
        <w:footnoteReference w:id="2"/>
      </w:r>
      <w:r w:rsidRPr="00DE636A">
        <w:t xml:space="preserve"> in the ECEC workforce than the general population but a slightly higher proportion of staff with a long-term health condition. </w:t>
      </w:r>
    </w:p>
    <w:p w14:paraId="6B344E73" w14:textId="77777777" w:rsidR="00CB49CA" w:rsidRDefault="00CB49CA" w:rsidP="00CB49CA">
      <w:pPr>
        <w:rPr>
          <w:b/>
          <w:bCs/>
          <w:sz w:val="18"/>
          <w:szCs w:val="18"/>
        </w:rPr>
      </w:pPr>
      <w:r>
        <w:br w:type="page"/>
      </w:r>
    </w:p>
    <w:p w14:paraId="50B27189" w14:textId="3E2E5E7E" w:rsidR="00CB49CA" w:rsidRDefault="00CB49CA" w:rsidP="00CB49CA">
      <w:pPr>
        <w:pStyle w:val="Caption"/>
      </w:pPr>
      <w:r>
        <w:lastRenderedPageBreak/>
        <w:t xml:space="preserve">Table </w:t>
      </w:r>
      <w:r>
        <w:fldChar w:fldCharType="begin"/>
      </w:r>
      <w:r>
        <w:instrText>SEQ Table \* ARABIC</w:instrText>
      </w:r>
      <w:r>
        <w:fldChar w:fldCharType="separate"/>
      </w:r>
      <w:r w:rsidR="005F18C1">
        <w:rPr>
          <w:noProof/>
        </w:rPr>
        <w:t>1</w:t>
      </w:r>
      <w:r>
        <w:fldChar w:fldCharType="end"/>
      </w:r>
      <w:r>
        <w:t>: Selected characteristics by ANZSCO Unit Group, 2021</w:t>
      </w:r>
    </w:p>
    <w:tbl>
      <w:tblPr>
        <w:tblStyle w:val="JSATable1"/>
        <w:tblW w:w="9138" w:type="dxa"/>
        <w:tblLook w:val="04A0" w:firstRow="1" w:lastRow="0" w:firstColumn="1" w:lastColumn="0" w:noHBand="0" w:noVBand="1"/>
      </w:tblPr>
      <w:tblGrid>
        <w:gridCol w:w="2668"/>
        <w:gridCol w:w="784"/>
        <w:gridCol w:w="893"/>
        <w:gridCol w:w="940"/>
        <w:gridCol w:w="961"/>
        <w:gridCol w:w="1464"/>
        <w:gridCol w:w="1428"/>
      </w:tblGrid>
      <w:tr w:rsidR="00CB49CA" w14:paraId="4790082B" w14:textId="77777777" w:rsidTr="00581A3D">
        <w:trPr>
          <w:cnfStyle w:val="100000000000" w:firstRow="1" w:lastRow="0" w:firstColumn="0" w:lastColumn="0" w:oddVBand="0" w:evenVBand="0" w:oddHBand="0" w:evenHBand="0" w:firstRowFirstColumn="0" w:firstRowLastColumn="0" w:lastRowFirstColumn="0" w:lastRowLastColumn="0"/>
          <w:trHeight w:val="340"/>
        </w:trPr>
        <w:tc>
          <w:tcPr>
            <w:tcW w:w="2912" w:type="dxa"/>
          </w:tcPr>
          <w:p w14:paraId="68BA7400" w14:textId="77777777" w:rsidR="00CB49CA" w:rsidRDefault="00CB49CA" w:rsidP="00581A3D">
            <w:pPr>
              <w:rPr>
                <w:b/>
                <w:bCs/>
                <w:sz w:val="20"/>
                <w:szCs w:val="20"/>
              </w:rPr>
            </w:pPr>
          </w:p>
        </w:tc>
        <w:tc>
          <w:tcPr>
            <w:tcW w:w="784" w:type="dxa"/>
          </w:tcPr>
          <w:p w14:paraId="54011F08" w14:textId="77777777" w:rsidR="00CB49CA" w:rsidRPr="00F07C11" w:rsidRDefault="00CB49CA" w:rsidP="00F07C11">
            <w:pPr>
              <w:pStyle w:val="Tableheader"/>
              <w:rPr>
                <w:szCs w:val="20"/>
              </w:rPr>
            </w:pPr>
            <w:r w:rsidRPr="00F07C11">
              <w:rPr>
                <w:szCs w:val="20"/>
              </w:rPr>
              <w:t>4211</w:t>
            </w:r>
          </w:p>
          <w:p w14:paraId="4A10597C" w14:textId="77777777" w:rsidR="00CB49CA" w:rsidRDefault="00CB49CA" w:rsidP="00F07C11">
            <w:pPr>
              <w:pStyle w:val="Tableheader"/>
              <w:rPr>
                <w:sz w:val="14"/>
                <w:szCs w:val="14"/>
              </w:rPr>
            </w:pPr>
            <w:r w:rsidRPr="0F918DD9">
              <w:rPr>
                <w:sz w:val="14"/>
                <w:szCs w:val="14"/>
              </w:rPr>
              <w:t>Child Carers</w:t>
            </w:r>
          </w:p>
        </w:tc>
        <w:tc>
          <w:tcPr>
            <w:tcW w:w="784" w:type="dxa"/>
          </w:tcPr>
          <w:p w14:paraId="7045D33E" w14:textId="77777777" w:rsidR="00CB49CA" w:rsidRPr="00F07C11" w:rsidRDefault="00CB49CA" w:rsidP="00F07C11">
            <w:pPr>
              <w:pStyle w:val="Tableheader"/>
              <w:rPr>
                <w:szCs w:val="20"/>
              </w:rPr>
            </w:pPr>
            <w:r w:rsidRPr="00F07C11">
              <w:rPr>
                <w:szCs w:val="20"/>
              </w:rPr>
              <w:t>4221</w:t>
            </w:r>
          </w:p>
          <w:p w14:paraId="41C5F2A0" w14:textId="77777777" w:rsidR="00CB49CA" w:rsidRDefault="00CB49CA" w:rsidP="00F07C11">
            <w:pPr>
              <w:pStyle w:val="Tableheader"/>
            </w:pPr>
            <w:r w:rsidRPr="0F918DD9">
              <w:rPr>
                <w:sz w:val="14"/>
                <w:szCs w:val="14"/>
              </w:rPr>
              <w:t>Education Aides</w:t>
            </w:r>
          </w:p>
        </w:tc>
        <w:tc>
          <w:tcPr>
            <w:tcW w:w="945" w:type="dxa"/>
          </w:tcPr>
          <w:p w14:paraId="61F9BCC3" w14:textId="77777777" w:rsidR="00CB49CA" w:rsidRDefault="00CB49CA" w:rsidP="00F07C11">
            <w:pPr>
              <w:pStyle w:val="Tableheader"/>
              <w:rPr>
                <w:szCs w:val="20"/>
              </w:rPr>
            </w:pPr>
            <w:r w:rsidRPr="00F07C11">
              <w:rPr>
                <w:szCs w:val="20"/>
              </w:rPr>
              <w:t xml:space="preserve">2411 </w:t>
            </w:r>
            <w:r w:rsidRPr="0F918DD9">
              <w:rPr>
                <w:sz w:val="14"/>
                <w:szCs w:val="14"/>
              </w:rPr>
              <w:t>Early Childhood (Pre-primary School) Teachers</w:t>
            </w:r>
          </w:p>
        </w:tc>
        <w:tc>
          <w:tcPr>
            <w:tcW w:w="975" w:type="dxa"/>
          </w:tcPr>
          <w:p w14:paraId="44CB8079" w14:textId="77777777" w:rsidR="00CB49CA" w:rsidRPr="00F07C11" w:rsidRDefault="00CB49CA" w:rsidP="00F07C11">
            <w:pPr>
              <w:pStyle w:val="Tableheader"/>
              <w:rPr>
                <w:szCs w:val="20"/>
              </w:rPr>
            </w:pPr>
            <w:r w:rsidRPr="00F07C11">
              <w:rPr>
                <w:szCs w:val="20"/>
              </w:rPr>
              <w:t>1341</w:t>
            </w:r>
          </w:p>
          <w:p w14:paraId="4E0C708E" w14:textId="77777777" w:rsidR="00CB49CA" w:rsidRDefault="00CB49CA" w:rsidP="00F07C11">
            <w:pPr>
              <w:pStyle w:val="Tableheader"/>
              <w:rPr>
                <w:szCs w:val="20"/>
              </w:rPr>
            </w:pPr>
            <w:bookmarkStart w:id="19" w:name="_Int_hGREbMgd"/>
            <w:r>
              <w:rPr>
                <w:sz w:val="14"/>
                <w:szCs w:val="14"/>
              </w:rPr>
              <w:t>Child Care</w:t>
            </w:r>
            <w:bookmarkEnd w:id="19"/>
            <w:r>
              <w:rPr>
                <w:sz w:val="14"/>
                <w:szCs w:val="14"/>
              </w:rPr>
              <w:t xml:space="preserve"> Centre Managers</w:t>
            </w:r>
          </w:p>
        </w:tc>
        <w:tc>
          <w:tcPr>
            <w:tcW w:w="1470" w:type="dxa"/>
          </w:tcPr>
          <w:p w14:paraId="4E46E62E" w14:textId="77777777" w:rsidR="00CB49CA" w:rsidRPr="00F07C11" w:rsidRDefault="00CB49CA" w:rsidP="00F07C11">
            <w:pPr>
              <w:pStyle w:val="Tableheader"/>
            </w:pPr>
            <w:r w:rsidRPr="00F07C11">
              <w:t>Total ECEC Occupations</w:t>
            </w:r>
          </w:p>
        </w:tc>
        <w:tc>
          <w:tcPr>
            <w:tcW w:w="1268" w:type="dxa"/>
          </w:tcPr>
          <w:p w14:paraId="10F95073" w14:textId="77777777" w:rsidR="00CB49CA" w:rsidRPr="00F07C11" w:rsidRDefault="00CB49CA" w:rsidP="00F07C11">
            <w:pPr>
              <w:pStyle w:val="Tableheader"/>
            </w:pPr>
            <w:r w:rsidRPr="00F07C11">
              <w:t>All Occupations</w:t>
            </w:r>
          </w:p>
        </w:tc>
      </w:tr>
      <w:tr w:rsidR="00CB49CA" w14:paraId="5EC0F63E" w14:textId="77777777" w:rsidTr="00581A3D">
        <w:trPr>
          <w:trHeight w:val="230"/>
        </w:trPr>
        <w:tc>
          <w:tcPr>
            <w:tcW w:w="2912" w:type="dxa"/>
          </w:tcPr>
          <w:p w14:paraId="7B9642E4" w14:textId="77777777" w:rsidR="00CB49CA" w:rsidRDefault="00CB49CA" w:rsidP="00581A3D">
            <w:pPr>
              <w:pStyle w:val="paragraph"/>
              <w:spacing w:before="0" w:beforeAutospacing="0" w:after="0" w:afterAutospacing="0"/>
              <w:rPr>
                <w:rStyle w:val="eop"/>
                <w:rFonts w:ascii="Arial" w:eastAsiaTheme="majorEastAsia" w:hAnsi="Arial" w:cs="Arial"/>
                <w:sz w:val="20"/>
                <w:szCs w:val="20"/>
              </w:rPr>
            </w:pPr>
            <w:r>
              <w:rPr>
                <w:rStyle w:val="eop"/>
                <w:rFonts w:ascii="Arial" w:eastAsiaTheme="majorEastAsia" w:hAnsi="Arial" w:cs="Arial"/>
                <w:sz w:val="20"/>
                <w:szCs w:val="20"/>
              </w:rPr>
              <w:t>Median</w:t>
            </w:r>
            <w:r w:rsidRPr="47A02361">
              <w:rPr>
                <w:rStyle w:val="eop"/>
                <w:rFonts w:ascii="Arial" w:eastAsiaTheme="majorEastAsia" w:hAnsi="Arial" w:cs="Arial"/>
                <w:sz w:val="20"/>
                <w:szCs w:val="20"/>
              </w:rPr>
              <w:t xml:space="preserve"> age</w:t>
            </w:r>
          </w:p>
        </w:tc>
        <w:tc>
          <w:tcPr>
            <w:tcW w:w="784" w:type="dxa"/>
            <w:vAlign w:val="center"/>
          </w:tcPr>
          <w:p w14:paraId="4E912CE6" w14:textId="77777777" w:rsidR="00CB49CA"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34</w:t>
            </w:r>
          </w:p>
        </w:tc>
        <w:tc>
          <w:tcPr>
            <w:tcW w:w="784" w:type="dxa"/>
            <w:vAlign w:val="center"/>
          </w:tcPr>
          <w:p w14:paraId="32744800" w14:textId="77777777" w:rsidR="00CB49CA"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47A02361">
              <w:rPr>
                <w:rStyle w:val="eop"/>
                <w:rFonts w:ascii="Arial" w:eastAsiaTheme="majorEastAsia" w:hAnsi="Arial" w:cs="Arial"/>
                <w:sz w:val="20"/>
                <w:szCs w:val="20"/>
              </w:rPr>
              <w:t>4</w:t>
            </w:r>
            <w:r>
              <w:rPr>
                <w:rStyle w:val="eop"/>
                <w:rFonts w:ascii="Arial" w:eastAsiaTheme="majorEastAsia" w:hAnsi="Arial" w:cs="Arial"/>
                <w:sz w:val="20"/>
                <w:szCs w:val="20"/>
              </w:rPr>
              <w:t>5</w:t>
            </w:r>
          </w:p>
        </w:tc>
        <w:tc>
          <w:tcPr>
            <w:tcW w:w="945" w:type="dxa"/>
            <w:vAlign w:val="center"/>
          </w:tcPr>
          <w:p w14:paraId="31FAF6AD" w14:textId="77777777" w:rsidR="00CB49CA"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40</w:t>
            </w:r>
          </w:p>
        </w:tc>
        <w:tc>
          <w:tcPr>
            <w:tcW w:w="975" w:type="dxa"/>
            <w:vAlign w:val="center"/>
          </w:tcPr>
          <w:p w14:paraId="03D61A0D" w14:textId="77777777" w:rsidR="00CB49CA"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41</w:t>
            </w:r>
          </w:p>
        </w:tc>
        <w:tc>
          <w:tcPr>
            <w:tcW w:w="1470" w:type="dxa"/>
            <w:vAlign w:val="center"/>
          </w:tcPr>
          <w:p w14:paraId="47B217F9" w14:textId="77777777" w:rsidR="00CB49CA"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47A02361">
              <w:rPr>
                <w:rStyle w:val="eop"/>
                <w:rFonts w:ascii="Arial" w:eastAsiaTheme="majorEastAsia" w:hAnsi="Arial" w:cs="Arial"/>
                <w:sz w:val="20"/>
                <w:szCs w:val="20"/>
              </w:rPr>
              <w:t>3</w:t>
            </w:r>
            <w:r>
              <w:rPr>
                <w:rStyle w:val="eop"/>
                <w:rFonts w:ascii="Arial" w:eastAsiaTheme="majorEastAsia" w:hAnsi="Arial" w:cs="Arial"/>
                <w:sz w:val="20"/>
                <w:szCs w:val="20"/>
              </w:rPr>
              <w:t>7</w:t>
            </w:r>
            <w:r w:rsidRPr="47A02361">
              <w:rPr>
                <w:rStyle w:val="eop"/>
                <w:rFonts w:ascii="Arial" w:eastAsiaTheme="majorEastAsia" w:hAnsi="Arial" w:cs="Arial"/>
                <w:sz w:val="20"/>
                <w:szCs w:val="20"/>
              </w:rPr>
              <w:t>.</w:t>
            </w:r>
            <w:r>
              <w:rPr>
                <w:rStyle w:val="eop"/>
                <w:rFonts w:ascii="Arial" w:eastAsiaTheme="majorEastAsia" w:hAnsi="Arial" w:cs="Arial"/>
                <w:sz w:val="20"/>
                <w:szCs w:val="20"/>
              </w:rPr>
              <w:t>9</w:t>
            </w:r>
          </w:p>
        </w:tc>
        <w:tc>
          <w:tcPr>
            <w:tcW w:w="1268" w:type="dxa"/>
            <w:vAlign w:val="center"/>
          </w:tcPr>
          <w:p w14:paraId="164E8E97" w14:textId="77777777" w:rsidR="00CB49CA" w:rsidRPr="00FE55C5" w:rsidRDefault="00CB49CA" w:rsidP="00581A3D">
            <w:pPr>
              <w:pStyle w:val="paragraph"/>
              <w:spacing w:before="0" w:beforeAutospacing="0" w:after="0" w:afterAutospacing="0"/>
              <w:jc w:val="center"/>
              <w:rPr>
                <w:rStyle w:val="eop"/>
                <w:rFonts w:ascii="Arial" w:eastAsiaTheme="majorEastAsia" w:hAnsi="Arial" w:cs="Arial"/>
                <w:b/>
                <w:bCs/>
                <w:sz w:val="20"/>
                <w:szCs w:val="20"/>
              </w:rPr>
            </w:pPr>
            <w:r w:rsidRPr="00FE55C5">
              <w:rPr>
                <w:rStyle w:val="eop"/>
                <w:rFonts w:ascii="Arial" w:eastAsiaTheme="majorEastAsia" w:hAnsi="Arial" w:cs="Arial"/>
                <w:b/>
                <w:bCs/>
                <w:sz w:val="20"/>
                <w:szCs w:val="20"/>
              </w:rPr>
              <w:t>39.9</w:t>
            </w:r>
          </w:p>
        </w:tc>
      </w:tr>
      <w:tr w:rsidR="00CB49CA" w14:paraId="2F5595BD" w14:textId="77777777" w:rsidTr="00581A3D">
        <w:trPr>
          <w:cnfStyle w:val="000000010000" w:firstRow="0" w:lastRow="0" w:firstColumn="0" w:lastColumn="0" w:oddVBand="0" w:evenVBand="0" w:oddHBand="0" w:evenHBand="1" w:firstRowFirstColumn="0" w:firstRowLastColumn="0" w:lastRowFirstColumn="0" w:lastRowLastColumn="0"/>
          <w:trHeight w:val="232"/>
        </w:trPr>
        <w:tc>
          <w:tcPr>
            <w:tcW w:w="2912" w:type="dxa"/>
          </w:tcPr>
          <w:p w14:paraId="2BB39BFD" w14:textId="77777777" w:rsidR="00CB49CA" w:rsidRDefault="00CB49CA" w:rsidP="00581A3D">
            <w:pPr>
              <w:pStyle w:val="paragraph"/>
              <w:spacing w:before="0" w:beforeAutospacing="0" w:after="0" w:afterAutospacing="0"/>
              <w:rPr>
                <w:rStyle w:val="eop"/>
                <w:rFonts w:ascii="Arial" w:eastAsiaTheme="majorEastAsia" w:hAnsi="Arial" w:cs="Arial"/>
                <w:sz w:val="20"/>
                <w:szCs w:val="20"/>
              </w:rPr>
            </w:pPr>
            <w:r w:rsidRPr="47A02361">
              <w:rPr>
                <w:rStyle w:val="eop"/>
                <w:rFonts w:ascii="Arial" w:eastAsiaTheme="majorEastAsia" w:hAnsi="Arial" w:cs="Arial"/>
                <w:sz w:val="20"/>
                <w:szCs w:val="20"/>
              </w:rPr>
              <w:t>Female (%)</w:t>
            </w:r>
          </w:p>
        </w:tc>
        <w:tc>
          <w:tcPr>
            <w:tcW w:w="784" w:type="dxa"/>
            <w:vAlign w:val="center"/>
          </w:tcPr>
          <w:p w14:paraId="24740F3B" w14:textId="77777777" w:rsidR="00CB49CA"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47A02361">
              <w:rPr>
                <w:rStyle w:val="eop"/>
                <w:rFonts w:ascii="Arial" w:eastAsiaTheme="majorEastAsia" w:hAnsi="Arial" w:cs="Arial"/>
                <w:sz w:val="20"/>
                <w:szCs w:val="20"/>
              </w:rPr>
              <w:t>95.6%</w:t>
            </w:r>
          </w:p>
        </w:tc>
        <w:tc>
          <w:tcPr>
            <w:tcW w:w="784" w:type="dxa"/>
            <w:vAlign w:val="center"/>
          </w:tcPr>
          <w:p w14:paraId="13790781" w14:textId="77777777" w:rsidR="00CB49CA"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47A02361">
              <w:rPr>
                <w:rStyle w:val="eop"/>
                <w:rFonts w:ascii="Arial" w:eastAsiaTheme="majorEastAsia" w:hAnsi="Arial" w:cs="Arial"/>
                <w:sz w:val="20"/>
                <w:szCs w:val="20"/>
              </w:rPr>
              <w:t>88.5%</w:t>
            </w:r>
          </w:p>
        </w:tc>
        <w:tc>
          <w:tcPr>
            <w:tcW w:w="945" w:type="dxa"/>
            <w:vAlign w:val="center"/>
          </w:tcPr>
          <w:p w14:paraId="252194C4" w14:textId="77777777" w:rsidR="00CB49CA"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47A02361">
              <w:rPr>
                <w:rStyle w:val="eop"/>
                <w:rFonts w:ascii="Arial" w:eastAsiaTheme="majorEastAsia" w:hAnsi="Arial" w:cs="Arial"/>
                <w:sz w:val="20"/>
                <w:szCs w:val="20"/>
              </w:rPr>
              <w:t>97.6%</w:t>
            </w:r>
          </w:p>
        </w:tc>
        <w:tc>
          <w:tcPr>
            <w:tcW w:w="975" w:type="dxa"/>
            <w:vAlign w:val="center"/>
          </w:tcPr>
          <w:p w14:paraId="1454DFD3" w14:textId="77777777" w:rsidR="00CB49CA"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47A02361">
              <w:rPr>
                <w:rStyle w:val="eop"/>
                <w:rFonts w:ascii="Arial" w:eastAsiaTheme="majorEastAsia" w:hAnsi="Arial" w:cs="Arial"/>
                <w:sz w:val="20"/>
                <w:szCs w:val="20"/>
              </w:rPr>
              <w:t>91.8%</w:t>
            </w:r>
          </w:p>
        </w:tc>
        <w:tc>
          <w:tcPr>
            <w:tcW w:w="1470" w:type="dxa"/>
            <w:vAlign w:val="center"/>
          </w:tcPr>
          <w:p w14:paraId="171B531C" w14:textId="77777777" w:rsidR="00CB49CA"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47A02361">
              <w:rPr>
                <w:rStyle w:val="eop"/>
                <w:rFonts w:ascii="Arial" w:eastAsiaTheme="majorEastAsia" w:hAnsi="Arial" w:cs="Arial"/>
                <w:sz w:val="20"/>
                <w:szCs w:val="20"/>
              </w:rPr>
              <w:t>93.3%</w:t>
            </w:r>
          </w:p>
        </w:tc>
        <w:tc>
          <w:tcPr>
            <w:tcW w:w="1268" w:type="dxa"/>
            <w:vAlign w:val="center"/>
          </w:tcPr>
          <w:p w14:paraId="0E500828" w14:textId="77777777" w:rsidR="00CB49CA" w:rsidRPr="00FE55C5" w:rsidRDefault="00CB49CA" w:rsidP="00581A3D">
            <w:pPr>
              <w:pStyle w:val="paragraph"/>
              <w:spacing w:before="0" w:beforeAutospacing="0" w:after="0" w:afterAutospacing="0"/>
              <w:jc w:val="center"/>
              <w:rPr>
                <w:rStyle w:val="eop"/>
                <w:rFonts w:ascii="Arial" w:eastAsiaTheme="majorEastAsia" w:hAnsi="Arial" w:cs="Arial"/>
                <w:b/>
                <w:bCs/>
                <w:sz w:val="20"/>
                <w:szCs w:val="20"/>
              </w:rPr>
            </w:pPr>
            <w:r>
              <w:rPr>
                <w:rStyle w:val="eop"/>
                <w:rFonts w:ascii="Arial" w:eastAsiaTheme="majorEastAsia" w:hAnsi="Arial" w:cs="Arial"/>
                <w:b/>
                <w:bCs/>
                <w:sz w:val="20"/>
                <w:szCs w:val="20"/>
              </w:rPr>
              <w:t>48.6</w:t>
            </w:r>
            <w:r w:rsidRPr="00FE55C5">
              <w:rPr>
                <w:rStyle w:val="eop"/>
                <w:rFonts w:ascii="Arial" w:eastAsiaTheme="majorEastAsia" w:hAnsi="Arial" w:cs="Arial"/>
                <w:b/>
                <w:bCs/>
                <w:sz w:val="20"/>
                <w:szCs w:val="20"/>
              </w:rPr>
              <w:t>%</w:t>
            </w:r>
          </w:p>
        </w:tc>
      </w:tr>
      <w:tr w:rsidR="00CB49CA" w14:paraId="03EC7074" w14:textId="77777777" w:rsidTr="00581A3D">
        <w:trPr>
          <w:trHeight w:val="230"/>
        </w:trPr>
        <w:tc>
          <w:tcPr>
            <w:tcW w:w="2912" w:type="dxa"/>
          </w:tcPr>
          <w:p w14:paraId="015E37C6" w14:textId="77777777" w:rsidR="00CB49CA" w:rsidRDefault="00CB49CA" w:rsidP="00581A3D">
            <w:pPr>
              <w:pStyle w:val="paragraph"/>
              <w:spacing w:before="0" w:beforeAutospacing="0" w:after="0" w:afterAutospacing="0"/>
              <w:rPr>
                <w:rStyle w:val="eop"/>
                <w:rFonts w:ascii="Arial" w:eastAsiaTheme="majorEastAsia" w:hAnsi="Arial" w:cs="Arial"/>
                <w:sz w:val="20"/>
                <w:szCs w:val="20"/>
              </w:rPr>
            </w:pPr>
            <w:r w:rsidRPr="47A02361">
              <w:rPr>
                <w:rStyle w:val="eop"/>
                <w:rFonts w:ascii="Arial" w:eastAsiaTheme="majorEastAsia" w:hAnsi="Arial" w:cs="Arial"/>
                <w:sz w:val="20"/>
                <w:szCs w:val="20"/>
              </w:rPr>
              <w:t>Aboriginal and/or Torres Strait Islander (%)</w:t>
            </w:r>
          </w:p>
        </w:tc>
        <w:tc>
          <w:tcPr>
            <w:tcW w:w="784" w:type="dxa"/>
            <w:vAlign w:val="center"/>
          </w:tcPr>
          <w:p w14:paraId="168E5EAE" w14:textId="77777777" w:rsidR="00CB49CA"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47A02361">
              <w:rPr>
                <w:rStyle w:val="eop"/>
                <w:rFonts w:ascii="Arial" w:eastAsiaTheme="majorEastAsia" w:hAnsi="Arial" w:cs="Arial"/>
                <w:sz w:val="20"/>
                <w:szCs w:val="20"/>
              </w:rPr>
              <w:t>2.9%</w:t>
            </w:r>
          </w:p>
        </w:tc>
        <w:tc>
          <w:tcPr>
            <w:tcW w:w="784" w:type="dxa"/>
            <w:vAlign w:val="center"/>
          </w:tcPr>
          <w:p w14:paraId="6ED2F215" w14:textId="77777777" w:rsidR="00CB49CA"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47A02361">
              <w:rPr>
                <w:rStyle w:val="eop"/>
                <w:rFonts w:ascii="Arial" w:eastAsiaTheme="majorEastAsia" w:hAnsi="Arial" w:cs="Arial"/>
                <w:sz w:val="20"/>
                <w:szCs w:val="20"/>
              </w:rPr>
              <w:t>5.7%</w:t>
            </w:r>
          </w:p>
        </w:tc>
        <w:tc>
          <w:tcPr>
            <w:tcW w:w="945" w:type="dxa"/>
            <w:vAlign w:val="center"/>
          </w:tcPr>
          <w:p w14:paraId="2D9DEFCD" w14:textId="77777777" w:rsidR="00CB49CA"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47A02361">
              <w:rPr>
                <w:rStyle w:val="eop"/>
                <w:rFonts w:ascii="Arial" w:eastAsiaTheme="majorEastAsia" w:hAnsi="Arial" w:cs="Arial"/>
                <w:sz w:val="20"/>
                <w:szCs w:val="20"/>
              </w:rPr>
              <w:t>1.7%</w:t>
            </w:r>
          </w:p>
        </w:tc>
        <w:tc>
          <w:tcPr>
            <w:tcW w:w="975" w:type="dxa"/>
            <w:vAlign w:val="center"/>
          </w:tcPr>
          <w:p w14:paraId="1F055761" w14:textId="77777777" w:rsidR="00CB49CA"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47A02361">
              <w:rPr>
                <w:rStyle w:val="eop"/>
                <w:rFonts w:ascii="Arial" w:eastAsiaTheme="majorEastAsia" w:hAnsi="Arial" w:cs="Arial"/>
                <w:sz w:val="20"/>
                <w:szCs w:val="20"/>
              </w:rPr>
              <w:t>2.5%</w:t>
            </w:r>
          </w:p>
        </w:tc>
        <w:tc>
          <w:tcPr>
            <w:tcW w:w="1470" w:type="dxa"/>
            <w:vAlign w:val="center"/>
          </w:tcPr>
          <w:p w14:paraId="2AF5D7CA" w14:textId="77777777" w:rsidR="00CB49CA"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47A02361">
              <w:rPr>
                <w:rStyle w:val="eop"/>
                <w:rFonts w:ascii="Arial" w:eastAsiaTheme="majorEastAsia" w:hAnsi="Arial" w:cs="Arial"/>
                <w:sz w:val="20"/>
                <w:szCs w:val="20"/>
              </w:rPr>
              <w:t>3.7%</w:t>
            </w:r>
          </w:p>
        </w:tc>
        <w:tc>
          <w:tcPr>
            <w:tcW w:w="1268" w:type="dxa"/>
            <w:vAlign w:val="center"/>
          </w:tcPr>
          <w:p w14:paraId="34643906" w14:textId="77777777" w:rsidR="00CB49CA" w:rsidRPr="00FE55C5" w:rsidRDefault="00CB49CA" w:rsidP="00581A3D">
            <w:pPr>
              <w:pStyle w:val="paragraph"/>
              <w:spacing w:before="0" w:beforeAutospacing="0" w:after="0" w:afterAutospacing="0"/>
              <w:jc w:val="center"/>
              <w:rPr>
                <w:rStyle w:val="eop"/>
                <w:rFonts w:ascii="Arial" w:eastAsiaTheme="majorEastAsia" w:hAnsi="Arial" w:cs="Arial"/>
                <w:b/>
                <w:bCs/>
                <w:sz w:val="20"/>
                <w:szCs w:val="20"/>
              </w:rPr>
            </w:pPr>
            <w:r w:rsidRPr="00FE55C5">
              <w:rPr>
                <w:rStyle w:val="eop"/>
                <w:rFonts w:ascii="Arial" w:eastAsiaTheme="majorEastAsia" w:hAnsi="Arial" w:cs="Arial"/>
                <w:b/>
                <w:bCs/>
                <w:sz w:val="20"/>
                <w:szCs w:val="20"/>
              </w:rPr>
              <w:t>1.7%</w:t>
            </w:r>
          </w:p>
        </w:tc>
      </w:tr>
      <w:tr w:rsidR="00CB49CA" w14:paraId="525D3CCB" w14:textId="77777777" w:rsidTr="00581A3D">
        <w:trPr>
          <w:cnfStyle w:val="000000010000" w:firstRow="0" w:lastRow="0" w:firstColumn="0" w:lastColumn="0" w:oddVBand="0" w:evenVBand="0" w:oddHBand="0" w:evenHBand="1" w:firstRowFirstColumn="0" w:firstRowLastColumn="0" w:lastRowFirstColumn="0" w:lastRowLastColumn="0"/>
          <w:trHeight w:val="230"/>
        </w:trPr>
        <w:tc>
          <w:tcPr>
            <w:tcW w:w="2912" w:type="dxa"/>
          </w:tcPr>
          <w:p w14:paraId="20A2BA61" w14:textId="77777777" w:rsidR="00CB49CA" w:rsidRDefault="00CB49CA" w:rsidP="00581A3D">
            <w:pPr>
              <w:pStyle w:val="paragraph"/>
              <w:spacing w:before="0" w:beforeAutospacing="0" w:after="0" w:afterAutospacing="0"/>
              <w:rPr>
                <w:rStyle w:val="eop"/>
                <w:rFonts w:ascii="Arial" w:eastAsiaTheme="majorEastAsia" w:hAnsi="Arial" w:cs="Arial"/>
                <w:sz w:val="20"/>
                <w:szCs w:val="20"/>
              </w:rPr>
            </w:pPr>
            <w:r w:rsidRPr="47A02361">
              <w:rPr>
                <w:rStyle w:val="eop"/>
                <w:rFonts w:ascii="Arial" w:eastAsiaTheme="majorEastAsia" w:hAnsi="Arial" w:cs="Arial"/>
                <w:sz w:val="20"/>
                <w:szCs w:val="20"/>
              </w:rPr>
              <w:t xml:space="preserve">Has a </w:t>
            </w:r>
            <w:r w:rsidRPr="7E9BFE88">
              <w:rPr>
                <w:rStyle w:val="eop"/>
                <w:rFonts w:ascii="Arial" w:eastAsiaTheme="majorEastAsia" w:hAnsi="Arial" w:cs="Arial"/>
                <w:sz w:val="20"/>
                <w:szCs w:val="20"/>
              </w:rPr>
              <w:t>Certificate</w:t>
            </w:r>
            <w:r w:rsidRPr="47A02361">
              <w:rPr>
                <w:rStyle w:val="eop"/>
                <w:rFonts w:ascii="Arial" w:eastAsiaTheme="majorEastAsia" w:hAnsi="Arial" w:cs="Arial"/>
                <w:sz w:val="20"/>
                <w:szCs w:val="20"/>
              </w:rPr>
              <w:t xml:space="preserve"> III and above (%)</w:t>
            </w:r>
          </w:p>
        </w:tc>
        <w:tc>
          <w:tcPr>
            <w:tcW w:w="784" w:type="dxa"/>
            <w:vAlign w:val="center"/>
          </w:tcPr>
          <w:p w14:paraId="1DD4E379" w14:textId="77777777" w:rsidR="00CB49CA"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47A02361">
              <w:rPr>
                <w:rStyle w:val="eop"/>
                <w:rFonts w:ascii="Arial" w:eastAsiaTheme="majorEastAsia" w:hAnsi="Arial" w:cs="Arial"/>
                <w:sz w:val="20"/>
                <w:szCs w:val="20"/>
              </w:rPr>
              <w:t>79.1%</w:t>
            </w:r>
          </w:p>
        </w:tc>
        <w:tc>
          <w:tcPr>
            <w:tcW w:w="784" w:type="dxa"/>
            <w:vAlign w:val="center"/>
          </w:tcPr>
          <w:p w14:paraId="0B275055" w14:textId="77777777" w:rsidR="00CB49CA"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47A02361">
              <w:rPr>
                <w:rStyle w:val="eop"/>
                <w:rFonts w:ascii="Arial" w:eastAsiaTheme="majorEastAsia" w:hAnsi="Arial" w:cs="Arial"/>
                <w:sz w:val="20"/>
                <w:szCs w:val="20"/>
              </w:rPr>
              <w:t>71.3%</w:t>
            </w:r>
          </w:p>
        </w:tc>
        <w:tc>
          <w:tcPr>
            <w:tcW w:w="945" w:type="dxa"/>
            <w:vAlign w:val="center"/>
          </w:tcPr>
          <w:p w14:paraId="7E418945" w14:textId="77777777" w:rsidR="00CB49CA"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47A02361">
              <w:rPr>
                <w:rStyle w:val="eop"/>
                <w:rFonts w:ascii="Arial" w:eastAsiaTheme="majorEastAsia" w:hAnsi="Arial" w:cs="Arial"/>
                <w:sz w:val="20"/>
                <w:szCs w:val="20"/>
              </w:rPr>
              <w:t>95.6%</w:t>
            </w:r>
          </w:p>
        </w:tc>
        <w:tc>
          <w:tcPr>
            <w:tcW w:w="975" w:type="dxa"/>
            <w:vAlign w:val="center"/>
          </w:tcPr>
          <w:p w14:paraId="333C0557" w14:textId="77777777" w:rsidR="00CB49CA"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47A02361">
              <w:rPr>
                <w:rStyle w:val="eop"/>
                <w:rFonts w:ascii="Arial" w:eastAsiaTheme="majorEastAsia" w:hAnsi="Arial" w:cs="Arial"/>
                <w:sz w:val="20"/>
                <w:szCs w:val="20"/>
              </w:rPr>
              <w:t>93.1%</w:t>
            </w:r>
          </w:p>
        </w:tc>
        <w:tc>
          <w:tcPr>
            <w:tcW w:w="1470" w:type="dxa"/>
            <w:vAlign w:val="center"/>
          </w:tcPr>
          <w:p w14:paraId="20A5BC64" w14:textId="77777777" w:rsidR="00CB49CA"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47A02361">
              <w:rPr>
                <w:rStyle w:val="eop"/>
                <w:rFonts w:ascii="Arial" w:eastAsiaTheme="majorEastAsia" w:hAnsi="Arial" w:cs="Arial"/>
                <w:sz w:val="20"/>
                <w:szCs w:val="20"/>
              </w:rPr>
              <w:t>78.7%</w:t>
            </w:r>
          </w:p>
        </w:tc>
        <w:tc>
          <w:tcPr>
            <w:tcW w:w="1268" w:type="dxa"/>
            <w:vAlign w:val="center"/>
          </w:tcPr>
          <w:p w14:paraId="1138FD61" w14:textId="77777777" w:rsidR="00CB49CA" w:rsidRPr="00FE55C5" w:rsidRDefault="00CB49CA" w:rsidP="00581A3D">
            <w:pPr>
              <w:pStyle w:val="paragraph"/>
              <w:spacing w:before="0" w:beforeAutospacing="0" w:after="0" w:afterAutospacing="0"/>
              <w:jc w:val="center"/>
              <w:rPr>
                <w:rStyle w:val="eop"/>
                <w:rFonts w:ascii="Arial" w:eastAsiaTheme="majorEastAsia" w:hAnsi="Arial" w:cs="Arial"/>
                <w:b/>
                <w:bCs/>
                <w:sz w:val="20"/>
                <w:szCs w:val="20"/>
              </w:rPr>
            </w:pPr>
            <w:r w:rsidRPr="00FE55C5">
              <w:rPr>
                <w:rStyle w:val="eop"/>
                <w:rFonts w:ascii="Arial" w:eastAsiaTheme="majorEastAsia" w:hAnsi="Arial" w:cs="Arial"/>
                <w:b/>
                <w:bCs/>
                <w:sz w:val="20"/>
                <w:szCs w:val="20"/>
              </w:rPr>
              <w:t>66.1%</w:t>
            </w:r>
          </w:p>
        </w:tc>
      </w:tr>
      <w:tr w:rsidR="00CB49CA" w14:paraId="67D55E3E" w14:textId="77777777" w:rsidTr="00581A3D">
        <w:trPr>
          <w:trHeight w:val="230"/>
        </w:trPr>
        <w:tc>
          <w:tcPr>
            <w:tcW w:w="2912" w:type="dxa"/>
          </w:tcPr>
          <w:p w14:paraId="5DF20752" w14:textId="77777777" w:rsidR="00CB49CA" w:rsidRDefault="00CB49CA" w:rsidP="00581A3D">
            <w:pPr>
              <w:pStyle w:val="paragraph"/>
              <w:spacing w:before="0" w:beforeAutospacing="0" w:after="0" w:afterAutospacing="0"/>
              <w:rPr>
                <w:rStyle w:val="eop"/>
                <w:rFonts w:ascii="Arial" w:eastAsiaTheme="majorEastAsia" w:hAnsi="Arial" w:cs="Arial"/>
                <w:sz w:val="20"/>
                <w:szCs w:val="20"/>
              </w:rPr>
            </w:pPr>
            <w:r w:rsidRPr="47A02361">
              <w:rPr>
                <w:rStyle w:val="eop"/>
                <w:rFonts w:ascii="Arial" w:eastAsiaTheme="majorEastAsia" w:hAnsi="Arial" w:cs="Arial"/>
                <w:sz w:val="20"/>
                <w:szCs w:val="20"/>
              </w:rPr>
              <w:t>Born overseas (%)</w:t>
            </w:r>
          </w:p>
        </w:tc>
        <w:tc>
          <w:tcPr>
            <w:tcW w:w="784" w:type="dxa"/>
            <w:vAlign w:val="center"/>
          </w:tcPr>
          <w:p w14:paraId="290FAAE2" w14:textId="77777777" w:rsidR="00CB49CA"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47A02361">
              <w:rPr>
                <w:rStyle w:val="eop"/>
                <w:rFonts w:ascii="Arial" w:eastAsiaTheme="majorEastAsia" w:hAnsi="Arial" w:cs="Arial"/>
                <w:sz w:val="20"/>
                <w:szCs w:val="20"/>
              </w:rPr>
              <w:t>37.4%</w:t>
            </w:r>
          </w:p>
        </w:tc>
        <w:tc>
          <w:tcPr>
            <w:tcW w:w="784" w:type="dxa"/>
            <w:vAlign w:val="center"/>
          </w:tcPr>
          <w:p w14:paraId="591B6EA0" w14:textId="77777777" w:rsidR="00CB49CA"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47A02361">
              <w:rPr>
                <w:rStyle w:val="eop"/>
                <w:rFonts w:ascii="Arial" w:eastAsiaTheme="majorEastAsia" w:hAnsi="Arial" w:cs="Arial"/>
                <w:sz w:val="20"/>
                <w:szCs w:val="20"/>
              </w:rPr>
              <w:t>20.8%</w:t>
            </w:r>
          </w:p>
        </w:tc>
        <w:tc>
          <w:tcPr>
            <w:tcW w:w="945" w:type="dxa"/>
            <w:vAlign w:val="center"/>
          </w:tcPr>
          <w:p w14:paraId="0C6FD7C1" w14:textId="77777777" w:rsidR="00CB49CA"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47A02361">
              <w:rPr>
                <w:rStyle w:val="eop"/>
                <w:rFonts w:ascii="Arial" w:eastAsiaTheme="majorEastAsia" w:hAnsi="Arial" w:cs="Arial"/>
                <w:sz w:val="20"/>
                <w:szCs w:val="20"/>
              </w:rPr>
              <w:t>29.0%</w:t>
            </w:r>
          </w:p>
        </w:tc>
        <w:tc>
          <w:tcPr>
            <w:tcW w:w="975" w:type="dxa"/>
            <w:vAlign w:val="center"/>
          </w:tcPr>
          <w:p w14:paraId="39B4C29B" w14:textId="77777777" w:rsidR="00CB49CA"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47A02361">
              <w:rPr>
                <w:rStyle w:val="eop"/>
                <w:rFonts w:ascii="Arial" w:eastAsiaTheme="majorEastAsia" w:hAnsi="Arial" w:cs="Arial"/>
                <w:sz w:val="20"/>
                <w:szCs w:val="20"/>
              </w:rPr>
              <w:t>25.9%</w:t>
            </w:r>
          </w:p>
        </w:tc>
        <w:tc>
          <w:tcPr>
            <w:tcW w:w="1470" w:type="dxa"/>
            <w:vAlign w:val="center"/>
          </w:tcPr>
          <w:p w14:paraId="669A96B0" w14:textId="77777777" w:rsidR="00CB49CA"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47A02361">
              <w:rPr>
                <w:rStyle w:val="eop"/>
                <w:rFonts w:ascii="Arial" w:eastAsiaTheme="majorEastAsia" w:hAnsi="Arial" w:cs="Arial"/>
                <w:sz w:val="20"/>
                <w:szCs w:val="20"/>
              </w:rPr>
              <w:t>30.5%</w:t>
            </w:r>
          </w:p>
        </w:tc>
        <w:tc>
          <w:tcPr>
            <w:tcW w:w="1268" w:type="dxa"/>
            <w:vAlign w:val="center"/>
          </w:tcPr>
          <w:p w14:paraId="5393CABC" w14:textId="77777777" w:rsidR="00CB49CA" w:rsidRPr="00FE55C5" w:rsidRDefault="00CB49CA" w:rsidP="00581A3D">
            <w:pPr>
              <w:pStyle w:val="paragraph"/>
              <w:spacing w:before="0" w:beforeAutospacing="0" w:after="0" w:afterAutospacing="0"/>
              <w:jc w:val="center"/>
              <w:rPr>
                <w:rStyle w:val="eop"/>
                <w:rFonts w:ascii="Arial" w:eastAsiaTheme="majorEastAsia" w:hAnsi="Arial" w:cs="Arial"/>
                <w:b/>
                <w:bCs/>
                <w:sz w:val="20"/>
                <w:szCs w:val="20"/>
              </w:rPr>
            </w:pPr>
            <w:r w:rsidRPr="00FE55C5">
              <w:rPr>
                <w:rStyle w:val="eop"/>
                <w:rFonts w:ascii="Arial" w:eastAsiaTheme="majorEastAsia" w:hAnsi="Arial" w:cs="Arial"/>
                <w:b/>
                <w:bCs/>
                <w:sz w:val="20"/>
                <w:szCs w:val="20"/>
              </w:rPr>
              <w:t>28.5%</w:t>
            </w:r>
          </w:p>
        </w:tc>
      </w:tr>
      <w:tr w:rsidR="00CB49CA" w14:paraId="7B6D4744" w14:textId="77777777" w:rsidTr="00581A3D">
        <w:trPr>
          <w:cnfStyle w:val="000000010000" w:firstRow="0" w:lastRow="0" w:firstColumn="0" w:lastColumn="0" w:oddVBand="0" w:evenVBand="0" w:oddHBand="0" w:evenHBand="1" w:firstRowFirstColumn="0" w:firstRowLastColumn="0" w:lastRowFirstColumn="0" w:lastRowLastColumn="0"/>
          <w:trHeight w:val="230"/>
        </w:trPr>
        <w:tc>
          <w:tcPr>
            <w:tcW w:w="2912" w:type="dxa"/>
          </w:tcPr>
          <w:p w14:paraId="7F8D6974" w14:textId="77777777" w:rsidR="00CB49CA" w:rsidRDefault="00CB49CA" w:rsidP="00581A3D">
            <w:pPr>
              <w:pStyle w:val="paragraph"/>
              <w:spacing w:before="0" w:beforeAutospacing="0" w:after="0" w:afterAutospacing="0"/>
              <w:rPr>
                <w:rStyle w:val="eop"/>
                <w:rFonts w:ascii="Arial" w:eastAsiaTheme="majorEastAsia" w:hAnsi="Arial" w:cs="Arial"/>
                <w:sz w:val="20"/>
                <w:szCs w:val="20"/>
              </w:rPr>
            </w:pPr>
            <w:r w:rsidRPr="47A02361">
              <w:rPr>
                <w:rStyle w:val="eop"/>
                <w:rFonts w:ascii="Arial" w:eastAsiaTheme="majorEastAsia" w:hAnsi="Arial" w:cs="Arial"/>
                <w:sz w:val="20"/>
                <w:szCs w:val="20"/>
              </w:rPr>
              <w:t>Main language spoken other than English (%)</w:t>
            </w:r>
          </w:p>
        </w:tc>
        <w:tc>
          <w:tcPr>
            <w:tcW w:w="784" w:type="dxa"/>
            <w:vAlign w:val="center"/>
          </w:tcPr>
          <w:p w14:paraId="6F138DC9" w14:textId="77777777" w:rsidR="00CB49CA"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47A02361">
              <w:rPr>
                <w:rStyle w:val="eop"/>
                <w:rFonts w:ascii="Arial" w:eastAsiaTheme="majorEastAsia" w:hAnsi="Arial" w:cs="Arial"/>
                <w:sz w:val="20"/>
                <w:szCs w:val="20"/>
              </w:rPr>
              <w:t>31.4%</w:t>
            </w:r>
          </w:p>
        </w:tc>
        <w:tc>
          <w:tcPr>
            <w:tcW w:w="784" w:type="dxa"/>
            <w:vAlign w:val="center"/>
          </w:tcPr>
          <w:p w14:paraId="5C334198" w14:textId="77777777" w:rsidR="00CB49CA"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47A02361">
              <w:rPr>
                <w:rStyle w:val="eop"/>
                <w:rFonts w:ascii="Arial" w:eastAsiaTheme="majorEastAsia" w:hAnsi="Arial" w:cs="Arial"/>
                <w:sz w:val="20"/>
                <w:szCs w:val="20"/>
              </w:rPr>
              <w:t>12.9%</w:t>
            </w:r>
          </w:p>
        </w:tc>
        <w:tc>
          <w:tcPr>
            <w:tcW w:w="945" w:type="dxa"/>
            <w:vAlign w:val="center"/>
          </w:tcPr>
          <w:p w14:paraId="35683B83" w14:textId="77777777" w:rsidR="00CB49CA"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47A02361">
              <w:rPr>
                <w:rStyle w:val="eop"/>
                <w:rFonts w:ascii="Arial" w:eastAsiaTheme="majorEastAsia" w:hAnsi="Arial" w:cs="Arial"/>
                <w:sz w:val="20"/>
                <w:szCs w:val="20"/>
              </w:rPr>
              <w:t>21.7%</w:t>
            </w:r>
          </w:p>
        </w:tc>
        <w:tc>
          <w:tcPr>
            <w:tcW w:w="975" w:type="dxa"/>
            <w:vAlign w:val="center"/>
          </w:tcPr>
          <w:p w14:paraId="7ABFDB84" w14:textId="77777777" w:rsidR="00CB49CA"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47A02361">
              <w:rPr>
                <w:rStyle w:val="eop"/>
                <w:rFonts w:ascii="Arial" w:eastAsiaTheme="majorEastAsia" w:hAnsi="Arial" w:cs="Arial"/>
                <w:sz w:val="20"/>
                <w:szCs w:val="20"/>
              </w:rPr>
              <w:t>17.0%</w:t>
            </w:r>
          </w:p>
        </w:tc>
        <w:tc>
          <w:tcPr>
            <w:tcW w:w="1470" w:type="dxa"/>
            <w:vAlign w:val="center"/>
          </w:tcPr>
          <w:p w14:paraId="2D55495F" w14:textId="77777777" w:rsidR="00CB49CA"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47A02361">
              <w:rPr>
                <w:rStyle w:val="eop"/>
                <w:rFonts w:ascii="Arial" w:eastAsiaTheme="majorEastAsia" w:hAnsi="Arial" w:cs="Arial"/>
                <w:sz w:val="20"/>
                <w:szCs w:val="20"/>
              </w:rPr>
              <w:t>23.6%</w:t>
            </w:r>
          </w:p>
        </w:tc>
        <w:tc>
          <w:tcPr>
            <w:tcW w:w="1268" w:type="dxa"/>
            <w:vAlign w:val="center"/>
          </w:tcPr>
          <w:p w14:paraId="3BEC8313" w14:textId="77777777" w:rsidR="00CB49CA" w:rsidRPr="00C63FE0" w:rsidRDefault="00CB49CA" w:rsidP="00581A3D">
            <w:pPr>
              <w:pStyle w:val="paragraph"/>
              <w:spacing w:before="0" w:beforeAutospacing="0" w:after="0" w:afterAutospacing="0"/>
              <w:jc w:val="center"/>
              <w:rPr>
                <w:rStyle w:val="eop"/>
                <w:rFonts w:ascii="Arial" w:eastAsiaTheme="majorEastAsia" w:hAnsi="Arial" w:cs="Arial"/>
                <w:b/>
                <w:bCs/>
                <w:sz w:val="20"/>
                <w:szCs w:val="20"/>
              </w:rPr>
            </w:pPr>
            <w:r w:rsidRPr="00C63FE0">
              <w:rPr>
                <w:rStyle w:val="eop"/>
                <w:rFonts w:ascii="Arial" w:eastAsiaTheme="majorEastAsia" w:hAnsi="Arial" w:cs="Arial"/>
                <w:b/>
                <w:bCs/>
                <w:sz w:val="20"/>
                <w:szCs w:val="20"/>
              </w:rPr>
              <w:t>21.3%</w:t>
            </w:r>
          </w:p>
        </w:tc>
      </w:tr>
      <w:tr w:rsidR="00CB49CA" w14:paraId="402A759D" w14:textId="77777777" w:rsidTr="00581A3D">
        <w:trPr>
          <w:trHeight w:val="230"/>
        </w:trPr>
        <w:tc>
          <w:tcPr>
            <w:tcW w:w="2912" w:type="dxa"/>
          </w:tcPr>
          <w:p w14:paraId="2A53F3F7" w14:textId="77777777" w:rsidR="00CB49CA" w:rsidRDefault="00CB49CA" w:rsidP="00581A3D">
            <w:pPr>
              <w:pStyle w:val="paragraph"/>
              <w:spacing w:before="0" w:beforeAutospacing="0" w:after="0" w:afterAutospacing="0"/>
              <w:rPr>
                <w:rStyle w:val="eop"/>
                <w:rFonts w:ascii="Arial" w:eastAsiaTheme="majorEastAsia" w:hAnsi="Arial" w:cs="Arial"/>
                <w:sz w:val="20"/>
                <w:szCs w:val="20"/>
              </w:rPr>
            </w:pPr>
            <w:r w:rsidRPr="47A02361">
              <w:rPr>
                <w:rStyle w:val="eop"/>
                <w:rFonts w:ascii="Arial" w:eastAsiaTheme="majorEastAsia" w:hAnsi="Arial" w:cs="Arial"/>
                <w:sz w:val="20"/>
                <w:szCs w:val="20"/>
              </w:rPr>
              <w:t>Has a long-term health condition (%)</w:t>
            </w:r>
          </w:p>
        </w:tc>
        <w:tc>
          <w:tcPr>
            <w:tcW w:w="784" w:type="dxa"/>
            <w:vAlign w:val="center"/>
          </w:tcPr>
          <w:p w14:paraId="71C312BC" w14:textId="77777777" w:rsidR="00CB49CA"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47A02361">
              <w:rPr>
                <w:rStyle w:val="eop"/>
                <w:rFonts w:ascii="Arial" w:eastAsiaTheme="majorEastAsia" w:hAnsi="Arial" w:cs="Arial"/>
                <w:sz w:val="20"/>
                <w:szCs w:val="20"/>
              </w:rPr>
              <w:t>30.5%</w:t>
            </w:r>
          </w:p>
        </w:tc>
        <w:tc>
          <w:tcPr>
            <w:tcW w:w="784" w:type="dxa"/>
            <w:vAlign w:val="center"/>
          </w:tcPr>
          <w:p w14:paraId="63B2A57D" w14:textId="77777777" w:rsidR="00CB49CA"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47A02361">
              <w:rPr>
                <w:rStyle w:val="eop"/>
                <w:rFonts w:ascii="Arial" w:eastAsiaTheme="majorEastAsia" w:hAnsi="Arial" w:cs="Arial"/>
                <w:sz w:val="20"/>
                <w:szCs w:val="20"/>
              </w:rPr>
              <w:t>36.7%</w:t>
            </w:r>
          </w:p>
        </w:tc>
        <w:tc>
          <w:tcPr>
            <w:tcW w:w="945" w:type="dxa"/>
            <w:vAlign w:val="center"/>
          </w:tcPr>
          <w:p w14:paraId="57839B87" w14:textId="77777777" w:rsidR="00CB49CA"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47A02361">
              <w:rPr>
                <w:rStyle w:val="eop"/>
                <w:rFonts w:ascii="Arial" w:eastAsiaTheme="majorEastAsia" w:hAnsi="Arial" w:cs="Arial"/>
                <w:sz w:val="20"/>
                <w:szCs w:val="20"/>
              </w:rPr>
              <w:t>36.4%</w:t>
            </w:r>
          </w:p>
        </w:tc>
        <w:tc>
          <w:tcPr>
            <w:tcW w:w="975" w:type="dxa"/>
            <w:vAlign w:val="center"/>
          </w:tcPr>
          <w:p w14:paraId="6EF27231" w14:textId="77777777" w:rsidR="00CB49CA"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47A02361">
              <w:rPr>
                <w:rStyle w:val="eop"/>
                <w:rFonts w:ascii="Arial" w:eastAsiaTheme="majorEastAsia" w:hAnsi="Arial" w:cs="Arial"/>
                <w:sz w:val="20"/>
                <w:szCs w:val="20"/>
              </w:rPr>
              <w:t>32.4%</w:t>
            </w:r>
          </w:p>
        </w:tc>
        <w:tc>
          <w:tcPr>
            <w:tcW w:w="1470" w:type="dxa"/>
            <w:vAlign w:val="center"/>
          </w:tcPr>
          <w:p w14:paraId="6613AE12" w14:textId="77777777" w:rsidR="00CB49CA" w:rsidRDefault="00CB49CA" w:rsidP="00581A3D">
            <w:pPr>
              <w:pStyle w:val="paragraph"/>
              <w:keepNext/>
              <w:spacing w:before="0" w:beforeAutospacing="0" w:after="0" w:afterAutospacing="0"/>
              <w:jc w:val="center"/>
              <w:rPr>
                <w:rStyle w:val="eop"/>
                <w:rFonts w:ascii="Arial" w:eastAsiaTheme="majorEastAsia" w:hAnsi="Arial" w:cs="Arial"/>
                <w:sz w:val="20"/>
                <w:szCs w:val="20"/>
              </w:rPr>
            </w:pPr>
            <w:r w:rsidRPr="47A02361">
              <w:rPr>
                <w:rStyle w:val="eop"/>
                <w:rFonts w:ascii="Arial" w:eastAsiaTheme="majorEastAsia" w:hAnsi="Arial" w:cs="Arial"/>
                <w:sz w:val="20"/>
                <w:szCs w:val="20"/>
              </w:rPr>
              <w:t>33.0%</w:t>
            </w:r>
          </w:p>
        </w:tc>
        <w:tc>
          <w:tcPr>
            <w:tcW w:w="1268" w:type="dxa"/>
            <w:vAlign w:val="center"/>
          </w:tcPr>
          <w:p w14:paraId="1C09D483" w14:textId="77777777" w:rsidR="00CB49CA" w:rsidRPr="009B4E3E" w:rsidRDefault="00CB49CA" w:rsidP="00581A3D">
            <w:pPr>
              <w:pStyle w:val="paragraph"/>
              <w:keepNext/>
              <w:spacing w:before="0" w:beforeAutospacing="0" w:after="0" w:afterAutospacing="0"/>
              <w:jc w:val="center"/>
              <w:rPr>
                <w:rStyle w:val="eop"/>
                <w:rFonts w:ascii="Arial" w:eastAsiaTheme="majorEastAsia" w:hAnsi="Arial" w:cs="Arial"/>
                <w:sz w:val="20"/>
                <w:szCs w:val="20"/>
              </w:rPr>
            </w:pPr>
            <w:r w:rsidRPr="00FE55C5">
              <w:rPr>
                <w:rStyle w:val="eop"/>
                <w:rFonts w:ascii="Arial" w:eastAsiaTheme="majorEastAsia" w:hAnsi="Arial" w:cs="Arial"/>
                <w:b/>
                <w:bCs/>
                <w:sz w:val="20"/>
                <w:szCs w:val="20"/>
              </w:rPr>
              <w:t>28.6</w:t>
            </w:r>
            <w:r w:rsidRPr="009B4E3E">
              <w:rPr>
                <w:rStyle w:val="eop"/>
                <w:rFonts w:ascii="Arial" w:eastAsiaTheme="majorEastAsia" w:hAnsi="Arial" w:cs="Arial"/>
                <w:sz w:val="20"/>
                <w:szCs w:val="20"/>
              </w:rPr>
              <w:t>%</w:t>
            </w:r>
          </w:p>
        </w:tc>
      </w:tr>
    </w:tbl>
    <w:p w14:paraId="37EEE193" w14:textId="77777777" w:rsidR="00CB49CA" w:rsidRPr="00790513" w:rsidRDefault="00CB49CA" w:rsidP="00CB49CA">
      <w:pPr>
        <w:pStyle w:val="Source"/>
      </w:pPr>
      <w:r w:rsidRPr="00790513">
        <w:t>Source</w:t>
      </w:r>
      <w:r>
        <w:t>:</w:t>
      </w:r>
      <w:r w:rsidRPr="00790513">
        <w:t xml:space="preserve"> ABS Census of Population and Housing, 2021, TableBuilder</w:t>
      </w:r>
      <w:r>
        <w:br/>
        <w:t xml:space="preserve">Note: Please see Figure 1 above for details of occupations included within each ANZSCO Unit Group. </w:t>
      </w:r>
    </w:p>
    <w:p w14:paraId="6250A090" w14:textId="77777777" w:rsidR="00CB49CA" w:rsidRPr="00E94915" w:rsidRDefault="00CB49CA" w:rsidP="00CB49CA">
      <w:pPr>
        <w:rPr>
          <w:rFonts w:cs="Arial"/>
          <w:b/>
          <w:bCs/>
          <w:i/>
          <w:iCs/>
        </w:rPr>
      </w:pPr>
      <w:r>
        <w:t xml:space="preserve">The ECEC workforce is </w:t>
      </w:r>
      <w:r w:rsidRPr="00E94915">
        <w:t>overwhelmingly reliant on the</w:t>
      </w:r>
      <w:r>
        <w:t xml:space="preserve"> relevant</w:t>
      </w:r>
      <w:r w:rsidRPr="00E94915">
        <w:t xml:space="preserve"> Award</w:t>
      </w:r>
      <w:r>
        <w:rPr>
          <w:rStyle w:val="FootnoteReference"/>
        </w:rPr>
        <w:footnoteReference w:id="3"/>
      </w:r>
      <w:r w:rsidRPr="00E94915">
        <w:t xml:space="preserve"> for pay and working conditions</w:t>
      </w:r>
      <w:r>
        <w:t>,</w:t>
      </w:r>
      <w:r w:rsidRPr="00E94915">
        <w:t xml:space="preserve"> with fewer workers on collective agreements than in </w:t>
      </w:r>
      <w:r w:rsidRPr="00B24E9E">
        <w:t xml:space="preserve">other </w:t>
      </w:r>
      <w:r w:rsidRPr="00E94915">
        <w:t xml:space="preserve">education sectors. </w:t>
      </w:r>
      <w:r w:rsidRPr="00B24E9E">
        <w:t>In May 2023,</w:t>
      </w:r>
      <w:r w:rsidRPr="00E94915">
        <w:t xml:space="preserve"> educators (</w:t>
      </w:r>
      <w:r w:rsidRPr="00D32FC9">
        <w:rPr>
          <w:i/>
          <w:iCs/>
        </w:rPr>
        <w:t>Child Carers</w:t>
      </w:r>
      <w:r w:rsidRPr="00E94915">
        <w:t xml:space="preserve"> 4211) </w:t>
      </w:r>
      <w:r w:rsidRPr="00B24E9E">
        <w:t xml:space="preserve">had similar average weekly ordinary time earnings </w:t>
      </w:r>
      <w:r w:rsidRPr="00E94915">
        <w:t xml:space="preserve">to </w:t>
      </w:r>
      <w:r w:rsidRPr="00E94915">
        <w:rPr>
          <w:i/>
          <w:iCs/>
        </w:rPr>
        <w:t xml:space="preserve">Aged and Disabled Carers </w:t>
      </w:r>
      <w:r w:rsidRPr="00E94915">
        <w:t xml:space="preserve">despite working around five additional hours per week, and ECEC staff earn casual loading less frequently than care sector workers. </w:t>
      </w:r>
      <w:r w:rsidRPr="00B24E9E">
        <w:t>When comparing the earnings of educators (</w:t>
      </w:r>
      <w:r w:rsidRPr="00B24E9E">
        <w:rPr>
          <w:i/>
          <w:iCs/>
        </w:rPr>
        <w:t>4211</w:t>
      </w:r>
      <w:r w:rsidRPr="00B24E9E">
        <w:t xml:space="preserve">) to other occupations, both male and female educators had lower average weekly earnings than </w:t>
      </w:r>
      <w:r w:rsidRPr="00E94915">
        <w:rPr>
          <w:i/>
          <w:iCs/>
        </w:rPr>
        <w:t xml:space="preserve">Storepersons </w:t>
      </w:r>
      <w:r w:rsidRPr="00B24E9E">
        <w:t>(7411)</w:t>
      </w:r>
      <w:r w:rsidRPr="00E94915">
        <w:rPr>
          <w:i/>
          <w:iCs/>
        </w:rPr>
        <w:t xml:space="preserve"> </w:t>
      </w:r>
      <w:r w:rsidRPr="00B24E9E">
        <w:t>and</w:t>
      </w:r>
      <w:r w:rsidRPr="00E94915">
        <w:rPr>
          <w:i/>
          <w:iCs/>
        </w:rPr>
        <w:t xml:space="preserve"> General Clerks </w:t>
      </w:r>
      <w:r w:rsidRPr="00B24E9E">
        <w:t>(5311) despite requiring much higher levels of qualification and significantly lower average weekly earnings than</w:t>
      </w:r>
      <w:r w:rsidRPr="00E94915">
        <w:rPr>
          <w:i/>
          <w:iCs/>
        </w:rPr>
        <w:t xml:space="preserve"> Security Officers and Guards </w:t>
      </w:r>
      <w:r w:rsidRPr="00B24E9E">
        <w:t>(4422),</w:t>
      </w:r>
      <w:r w:rsidRPr="00E94915">
        <w:rPr>
          <w:i/>
          <w:iCs/>
        </w:rPr>
        <w:t xml:space="preserve"> Truck Drivers </w:t>
      </w:r>
      <w:r w:rsidRPr="00B24E9E">
        <w:t>(7331),</w:t>
      </w:r>
      <w:r w:rsidRPr="00E94915">
        <w:rPr>
          <w:i/>
          <w:iCs/>
        </w:rPr>
        <w:t xml:space="preserve"> Motor Mechanics </w:t>
      </w:r>
      <w:r w:rsidRPr="00B24E9E">
        <w:t>(3213) despite similar qualification requirements.</w:t>
      </w:r>
    </w:p>
    <w:p w14:paraId="4A2C9E30" w14:textId="77777777" w:rsidR="00CB49CA" w:rsidRDefault="00CB49CA" w:rsidP="00CB49CA">
      <w:r w:rsidRPr="00C63FE0">
        <w:rPr>
          <w:i/>
          <w:iCs/>
        </w:rPr>
        <w:t>Early Childhood Teachers</w:t>
      </w:r>
      <w:r w:rsidRPr="00DE636A">
        <w:t xml:space="preserve"> earn substantially less than </w:t>
      </w:r>
      <w:r w:rsidRPr="00DE636A">
        <w:rPr>
          <w:i/>
          <w:iCs/>
        </w:rPr>
        <w:t>Primary School Teachers</w:t>
      </w:r>
      <w:r w:rsidRPr="00DE636A">
        <w:t xml:space="preserve">, despite </w:t>
      </w:r>
      <w:r>
        <w:t xml:space="preserve">the </w:t>
      </w:r>
      <w:r w:rsidRPr="00DE636A">
        <w:t>prevalence of dual qualification</w:t>
      </w:r>
      <w:r>
        <w:t>,</w:t>
      </w:r>
      <w:r w:rsidRPr="00DE636A">
        <w:t xml:space="preserve"> and this is intensified for those not working in Preschool settings. Managers in the ECEC industry</w:t>
      </w:r>
      <w:r>
        <w:t xml:space="preserve"> typically</w:t>
      </w:r>
      <w:r w:rsidRPr="00DE636A">
        <w:t xml:space="preserve"> earn less than those in the Health and Welfare Service industry and substantially less than senior staff in other education sectors such as Principals.</w:t>
      </w:r>
      <w:r w:rsidRPr="00921C02">
        <w:t xml:space="preserve"> </w:t>
      </w:r>
    </w:p>
    <w:p w14:paraId="2CBD642A" w14:textId="77777777" w:rsidR="00CB49CA" w:rsidRDefault="00CB49CA" w:rsidP="00CB49CA">
      <w:pPr>
        <w:rPr>
          <w:b/>
          <w:bCs/>
          <w:sz w:val="18"/>
          <w:szCs w:val="18"/>
        </w:rPr>
      </w:pPr>
      <w:bookmarkStart w:id="20" w:name="_Ref158112098"/>
      <w:r>
        <w:br w:type="page"/>
      </w:r>
    </w:p>
    <w:p w14:paraId="78B87918" w14:textId="7825665F" w:rsidR="00CB49CA" w:rsidRDefault="00CB49CA" w:rsidP="00CB49CA">
      <w:pPr>
        <w:pStyle w:val="Caption"/>
      </w:pPr>
      <w:r>
        <w:lastRenderedPageBreak/>
        <w:t xml:space="preserve">Table </w:t>
      </w:r>
      <w:r>
        <w:fldChar w:fldCharType="begin"/>
      </w:r>
      <w:r>
        <w:instrText>SEQ Table \* ARABIC</w:instrText>
      </w:r>
      <w:r>
        <w:fldChar w:fldCharType="separate"/>
      </w:r>
      <w:r w:rsidR="005F18C1">
        <w:rPr>
          <w:noProof/>
        </w:rPr>
        <w:t>2</w:t>
      </w:r>
      <w:r>
        <w:fldChar w:fldCharType="end"/>
      </w:r>
      <w:bookmarkEnd w:id="20"/>
      <w:r>
        <w:t>: Employment conditions by occupation, 2023</w:t>
      </w:r>
    </w:p>
    <w:tbl>
      <w:tblPr>
        <w:tblStyle w:val="JSATable1"/>
        <w:tblW w:w="9639" w:type="dxa"/>
        <w:tblLayout w:type="fixed"/>
        <w:tblLook w:val="04A0" w:firstRow="1" w:lastRow="0" w:firstColumn="1" w:lastColumn="0" w:noHBand="0" w:noVBand="1"/>
      </w:tblPr>
      <w:tblGrid>
        <w:gridCol w:w="1377"/>
        <w:gridCol w:w="1377"/>
        <w:gridCol w:w="1377"/>
        <w:gridCol w:w="1377"/>
        <w:gridCol w:w="1377"/>
        <w:gridCol w:w="1377"/>
        <w:gridCol w:w="1377"/>
      </w:tblGrid>
      <w:tr w:rsidR="00CB49CA" w14:paraId="52D2ED0A" w14:textId="77777777" w:rsidTr="00581A3D">
        <w:trPr>
          <w:cnfStyle w:val="100000000000" w:firstRow="1" w:lastRow="0" w:firstColumn="0" w:lastColumn="0" w:oddVBand="0" w:evenVBand="0" w:oddHBand="0" w:evenHBand="0" w:firstRowFirstColumn="0" w:firstRowLastColumn="0" w:lastRowFirstColumn="0" w:lastRowLastColumn="0"/>
          <w:trHeight w:val="340"/>
          <w:tblHeader/>
        </w:trPr>
        <w:tc>
          <w:tcPr>
            <w:tcW w:w="1377" w:type="dxa"/>
          </w:tcPr>
          <w:p w14:paraId="580A85C1" w14:textId="77777777" w:rsidR="00CB49CA" w:rsidRDefault="00CB49CA" w:rsidP="00F07C11">
            <w:pPr>
              <w:pStyle w:val="Tableheader"/>
            </w:pPr>
          </w:p>
        </w:tc>
        <w:tc>
          <w:tcPr>
            <w:tcW w:w="1377" w:type="dxa"/>
          </w:tcPr>
          <w:p w14:paraId="26BA16A8" w14:textId="77777777" w:rsidR="00CB49CA" w:rsidRDefault="00CB49CA" w:rsidP="00F07C11">
            <w:pPr>
              <w:pStyle w:val="Tableheader"/>
              <w:rPr>
                <w:sz w:val="14"/>
                <w:szCs w:val="14"/>
              </w:rPr>
            </w:pPr>
            <w:r w:rsidRPr="0F918DD9">
              <w:t>4211</w:t>
            </w:r>
          </w:p>
          <w:p w14:paraId="4C03E0D4" w14:textId="77777777" w:rsidR="00CB49CA" w:rsidRDefault="00CB49CA" w:rsidP="00F07C11">
            <w:pPr>
              <w:pStyle w:val="Tableheader"/>
              <w:rPr>
                <w:sz w:val="14"/>
                <w:szCs w:val="14"/>
              </w:rPr>
            </w:pPr>
            <w:r w:rsidRPr="0F918DD9">
              <w:rPr>
                <w:sz w:val="14"/>
                <w:szCs w:val="14"/>
              </w:rPr>
              <w:t>Child Carers</w:t>
            </w:r>
          </w:p>
        </w:tc>
        <w:tc>
          <w:tcPr>
            <w:tcW w:w="1377" w:type="dxa"/>
          </w:tcPr>
          <w:p w14:paraId="4BD50EE4" w14:textId="77777777" w:rsidR="00CB49CA" w:rsidRDefault="00CB49CA" w:rsidP="00F07C11">
            <w:pPr>
              <w:pStyle w:val="Tableheader"/>
            </w:pPr>
            <w:r w:rsidRPr="0F918DD9">
              <w:t>4221</w:t>
            </w:r>
          </w:p>
          <w:p w14:paraId="47A90D8E" w14:textId="77777777" w:rsidR="00CB49CA" w:rsidRDefault="00CB49CA" w:rsidP="00F07C11">
            <w:pPr>
              <w:pStyle w:val="Tableheader"/>
            </w:pPr>
            <w:r w:rsidRPr="0F918DD9">
              <w:rPr>
                <w:sz w:val="14"/>
                <w:szCs w:val="14"/>
              </w:rPr>
              <w:t>Education Aides</w:t>
            </w:r>
          </w:p>
        </w:tc>
        <w:tc>
          <w:tcPr>
            <w:tcW w:w="1377" w:type="dxa"/>
          </w:tcPr>
          <w:p w14:paraId="3B79DA6D" w14:textId="77777777" w:rsidR="00CB49CA" w:rsidRDefault="00CB49CA" w:rsidP="00F07C11">
            <w:pPr>
              <w:pStyle w:val="Tableheader"/>
            </w:pPr>
            <w:r w:rsidRPr="0F918DD9">
              <w:t>2411</w:t>
            </w:r>
          </w:p>
          <w:p w14:paraId="4CBD5945" w14:textId="77777777" w:rsidR="00CB49CA" w:rsidRDefault="00CB49CA" w:rsidP="00F07C11">
            <w:pPr>
              <w:pStyle w:val="Tableheader"/>
            </w:pPr>
            <w:r w:rsidRPr="0F918DD9">
              <w:rPr>
                <w:sz w:val="14"/>
                <w:szCs w:val="14"/>
              </w:rPr>
              <w:t>Early Childhood (Pre-primary School) Teachers</w:t>
            </w:r>
          </w:p>
        </w:tc>
        <w:tc>
          <w:tcPr>
            <w:tcW w:w="1377" w:type="dxa"/>
          </w:tcPr>
          <w:p w14:paraId="17168575" w14:textId="77777777" w:rsidR="00CB49CA" w:rsidRDefault="00CB49CA" w:rsidP="00F07C11">
            <w:pPr>
              <w:pStyle w:val="Tableheader"/>
            </w:pPr>
            <w:r w:rsidRPr="0F918DD9">
              <w:t>1341</w:t>
            </w:r>
          </w:p>
          <w:p w14:paraId="560AA7BA" w14:textId="77777777" w:rsidR="00CB49CA" w:rsidRDefault="00CB49CA" w:rsidP="00F07C11">
            <w:pPr>
              <w:pStyle w:val="Tableheader"/>
            </w:pPr>
            <w:r>
              <w:rPr>
                <w:sz w:val="14"/>
                <w:szCs w:val="14"/>
              </w:rPr>
              <w:t>Child Care Centre Managers</w:t>
            </w:r>
          </w:p>
        </w:tc>
        <w:tc>
          <w:tcPr>
            <w:tcW w:w="1377" w:type="dxa"/>
          </w:tcPr>
          <w:p w14:paraId="71D17CAF" w14:textId="77777777" w:rsidR="00CB49CA" w:rsidRPr="00851E33" w:rsidRDefault="00CB49CA" w:rsidP="00F07C11">
            <w:pPr>
              <w:pStyle w:val="Tableheader"/>
            </w:pPr>
            <w:r w:rsidRPr="00851E33">
              <w:t>T</w:t>
            </w:r>
            <w:r w:rsidRPr="00B24E9E">
              <w:t>otal ECEC Occ</w:t>
            </w:r>
            <w:r>
              <w:t>s.</w:t>
            </w:r>
          </w:p>
        </w:tc>
        <w:tc>
          <w:tcPr>
            <w:tcW w:w="1377" w:type="dxa"/>
          </w:tcPr>
          <w:p w14:paraId="0CA937EB" w14:textId="77777777" w:rsidR="00CB49CA" w:rsidRPr="00B24E9E" w:rsidRDefault="00CB49CA" w:rsidP="00F07C11">
            <w:pPr>
              <w:pStyle w:val="Tableheader"/>
            </w:pPr>
            <w:r w:rsidRPr="00B24E9E">
              <w:t>All Occs</w:t>
            </w:r>
            <w:r>
              <w:t>.</w:t>
            </w:r>
          </w:p>
        </w:tc>
      </w:tr>
      <w:tr w:rsidR="00CB49CA" w14:paraId="42562991" w14:textId="77777777" w:rsidTr="00581A3D">
        <w:trPr>
          <w:trHeight w:val="230"/>
        </w:trPr>
        <w:tc>
          <w:tcPr>
            <w:tcW w:w="1377" w:type="dxa"/>
          </w:tcPr>
          <w:p w14:paraId="00DC7B18" w14:textId="77777777" w:rsidR="00CB49CA" w:rsidRPr="00B24E9E" w:rsidRDefault="00CB49CA" w:rsidP="00581A3D">
            <w:pPr>
              <w:pStyle w:val="paragraph"/>
              <w:spacing w:before="0" w:beforeAutospacing="0" w:after="0" w:afterAutospacing="0"/>
              <w:rPr>
                <w:rStyle w:val="eop"/>
                <w:rFonts w:ascii="Arial" w:eastAsiaTheme="majorEastAsia" w:hAnsi="Arial" w:cs="Arial"/>
                <w:sz w:val="18"/>
                <w:szCs w:val="18"/>
                <w:vertAlign w:val="superscript"/>
              </w:rPr>
            </w:pPr>
            <w:r w:rsidRPr="00B24E9E">
              <w:rPr>
                <w:rStyle w:val="eop"/>
                <w:rFonts w:ascii="Arial" w:eastAsiaTheme="majorEastAsia" w:hAnsi="Arial" w:cs="Arial"/>
                <w:sz w:val="18"/>
                <w:szCs w:val="18"/>
              </w:rPr>
              <w:t>Average hours</w:t>
            </w:r>
            <w:r w:rsidRPr="00B24E9E">
              <w:rPr>
                <w:rStyle w:val="eop"/>
                <w:rFonts w:ascii="Arial" w:eastAsiaTheme="majorEastAsia" w:hAnsi="Arial" w:cs="Arial"/>
                <w:sz w:val="18"/>
                <w:szCs w:val="18"/>
                <w:vertAlign w:val="superscript"/>
              </w:rPr>
              <w:t>1</w:t>
            </w:r>
          </w:p>
        </w:tc>
        <w:tc>
          <w:tcPr>
            <w:tcW w:w="1377" w:type="dxa"/>
            <w:vAlign w:val="center"/>
          </w:tcPr>
          <w:p w14:paraId="256AEEC2"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25.7</w:t>
            </w:r>
          </w:p>
        </w:tc>
        <w:tc>
          <w:tcPr>
            <w:tcW w:w="1377" w:type="dxa"/>
            <w:vAlign w:val="center"/>
          </w:tcPr>
          <w:p w14:paraId="1256544F"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22.7</w:t>
            </w:r>
          </w:p>
        </w:tc>
        <w:tc>
          <w:tcPr>
            <w:tcW w:w="1377" w:type="dxa"/>
            <w:vAlign w:val="center"/>
          </w:tcPr>
          <w:p w14:paraId="14ED12C9"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24.6</w:t>
            </w:r>
          </w:p>
        </w:tc>
        <w:tc>
          <w:tcPr>
            <w:tcW w:w="1377" w:type="dxa"/>
            <w:vAlign w:val="center"/>
          </w:tcPr>
          <w:p w14:paraId="65F66E10"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32.7</w:t>
            </w:r>
          </w:p>
        </w:tc>
        <w:tc>
          <w:tcPr>
            <w:tcW w:w="1377" w:type="dxa"/>
            <w:vAlign w:val="center"/>
          </w:tcPr>
          <w:p w14:paraId="39E9577B" w14:textId="77777777" w:rsidR="00CB49CA" w:rsidRPr="00497C57"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24.9</w:t>
            </w:r>
          </w:p>
        </w:tc>
        <w:tc>
          <w:tcPr>
            <w:tcW w:w="1377" w:type="dxa"/>
            <w:vAlign w:val="center"/>
          </w:tcPr>
          <w:p w14:paraId="47CDEEFD" w14:textId="77777777" w:rsidR="00CB49CA" w:rsidRPr="00497C57"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30.5</w:t>
            </w:r>
          </w:p>
        </w:tc>
      </w:tr>
      <w:tr w:rsidR="00CB49CA" w14:paraId="630CBE82" w14:textId="77777777" w:rsidTr="00581A3D">
        <w:trPr>
          <w:cnfStyle w:val="000000010000" w:firstRow="0" w:lastRow="0" w:firstColumn="0" w:lastColumn="0" w:oddVBand="0" w:evenVBand="0" w:oddHBand="0" w:evenHBand="1" w:firstRowFirstColumn="0" w:firstRowLastColumn="0" w:lastRowFirstColumn="0" w:lastRowLastColumn="0"/>
          <w:trHeight w:val="232"/>
        </w:trPr>
        <w:tc>
          <w:tcPr>
            <w:tcW w:w="1377" w:type="dxa"/>
          </w:tcPr>
          <w:p w14:paraId="7E85685A" w14:textId="77777777" w:rsidR="00CB49CA" w:rsidRPr="00B24E9E" w:rsidRDefault="00CB49CA" w:rsidP="00581A3D">
            <w:pPr>
              <w:pStyle w:val="paragraph"/>
              <w:spacing w:before="0" w:beforeAutospacing="0" w:after="0" w:afterAutospacing="0"/>
              <w:rPr>
                <w:rStyle w:val="eop"/>
                <w:rFonts w:ascii="Arial" w:eastAsiaTheme="majorEastAsia" w:hAnsi="Arial" w:cs="Arial"/>
                <w:sz w:val="18"/>
                <w:szCs w:val="18"/>
                <w:vertAlign w:val="superscript"/>
              </w:rPr>
            </w:pPr>
            <w:r w:rsidRPr="00B24E9E">
              <w:rPr>
                <w:rStyle w:val="eop"/>
                <w:rFonts w:ascii="Arial" w:eastAsiaTheme="majorEastAsia" w:hAnsi="Arial" w:cs="Arial"/>
                <w:sz w:val="18"/>
                <w:szCs w:val="18"/>
              </w:rPr>
              <w:t>Average weekly earnings</w:t>
            </w:r>
            <w:r w:rsidRPr="00B24E9E">
              <w:rPr>
                <w:rStyle w:val="eop"/>
                <w:rFonts w:ascii="Arial" w:eastAsiaTheme="majorEastAsia" w:hAnsi="Arial" w:cs="Arial"/>
                <w:sz w:val="18"/>
                <w:szCs w:val="18"/>
                <w:vertAlign w:val="superscript"/>
              </w:rPr>
              <w:t>1</w:t>
            </w:r>
          </w:p>
        </w:tc>
        <w:tc>
          <w:tcPr>
            <w:tcW w:w="1377" w:type="dxa"/>
            <w:vAlign w:val="center"/>
          </w:tcPr>
          <w:p w14:paraId="5F014C3D"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$758.7</w:t>
            </w:r>
          </w:p>
        </w:tc>
        <w:tc>
          <w:tcPr>
            <w:tcW w:w="1377" w:type="dxa"/>
            <w:vAlign w:val="center"/>
          </w:tcPr>
          <w:p w14:paraId="4FD6B0A0"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$752.3</w:t>
            </w:r>
          </w:p>
        </w:tc>
        <w:tc>
          <w:tcPr>
            <w:tcW w:w="1377" w:type="dxa"/>
            <w:vAlign w:val="center"/>
          </w:tcPr>
          <w:p w14:paraId="7A42DC9D"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$1094.7</w:t>
            </w:r>
          </w:p>
        </w:tc>
        <w:tc>
          <w:tcPr>
            <w:tcW w:w="1377" w:type="dxa"/>
            <w:vAlign w:val="center"/>
          </w:tcPr>
          <w:p w14:paraId="721661DA"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$1374.0</w:t>
            </w:r>
          </w:p>
        </w:tc>
        <w:tc>
          <w:tcPr>
            <w:tcW w:w="1377" w:type="dxa"/>
            <w:vAlign w:val="center"/>
          </w:tcPr>
          <w:p w14:paraId="5FB4DAE9" w14:textId="77777777" w:rsidR="00CB49CA" w:rsidRPr="00497C57"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$816.4</w:t>
            </w:r>
          </w:p>
        </w:tc>
        <w:tc>
          <w:tcPr>
            <w:tcW w:w="1377" w:type="dxa"/>
            <w:vAlign w:val="center"/>
          </w:tcPr>
          <w:p w14:paraId="383EFA15" w14:textId="77777777" w:rsidR="00CB49CA" w:rsidRPr="00497C57"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$1439.1</w:t>
            </w:r>
          </w:p>
        </w:tc>
      </w:tr>
      <w:tr w:rsidR="00CB49CA" w14:paraId="50C0A60B" w14:textId="77777777" w:rsidTr="00581A3D">
        <w:trPr>
          <w:trHeight w:val="230"/>
        </w:trPr>
        <w:tc>
          <w:tcPr>
            <w:tcW w:w="1377" w:type="dxa"/>
          </w:tcPr>
          <w:p w14:paraId="7AF57AFB" w14:textId="77777777" w:rsidR="00CB49CA" w:rsidRPr="00B24E9E" w:rsidRDefault="00CB49CA" w:rsidP="00581A3D">
            <w:pPr>
              <w:pStyle w:val="paragraph"/>
              <w:spacing w:before="0" w:beforeAutospacing="0" w:after="0" w:afterAutospacing="0"/>
              <w:rPr>
                <w:rStyle w:val="eop"/>
                <w:rFonts w:ascii="Arial" w:eastAsiaTheme="majorEastAsia" w:hAnsi="Arial" w:cs="Arial"/>
                <w:sz w:val="18"/>
                <w:szCs w:val="18"/>
              </w:rPr>
            </w:pPr>
            <w:r w:rsidRPr="00B24E9E">
              <w:rPr>
                <w:rStyle w:val="eop"/>
                <w:rFonts w:ascii="Arial" w:eastAsiaTheme="majorEastAsia" w:hAnsi="Arial" w:cs="Arial"/>
                <w:sz w:val="18"/>
                <w:szCs w:val="18"/>
              </w:rPr>
              <w:t>Union Membership</w:t>
            </w:r>
            <w:r w:rsidRPr="00B24E9E">
              <w:rPr>
                <w:rStyle w:val="eop"/>
                <w:rFonts w:ascii="Arial" w:eastAsiaTheme="majorEastAsia" w:hAnsi="Arial" w:cs="Arial"/>
                <w:sz w:val="18"/>
                <w:szCs w:val="18"/>
                <w:vertAlign w:val="superscript"/>
              </w:rPr>
              <w:t xml:space="preserve">2 </w:t>
            </w:r>
          </w:p>
        </w:tc>
        <w:tc>
          <w:tcPr>
            <w:tcW w:w="1377" w:type="dxa"/>
            <w:vAlign w:val="center"/>
          </w:tcPr>
          <w:p w14:paraId="367BF5C1"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4.8%</w:t>
            </w:r>
          </w:p>
        </w:tc>
        <w:tc>
          <w:tcPr>
            <w:tcW w:w="1377" w:type="dxa"/>
            <w:vAlign w:val="center"/>
          </w:tcPr>
          <w:p w14:paraId="4C8FCFA5"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32.5%</w:t>
            </w:r>
          </w:p>
        </w:tc>
        <w:tc>
          <w:tcPr>
            <w:tcW w:w="1377" w:type="dxa"/>
            <w:vAlign w:val="center"/>
          </w:tcPr>
          <w:p w14:paraId="441DC150"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7.0%</w:t>
            </w:r>
          </w:p>
        </w:tc>
        <w:tc>
          <w:tcPr>
            <w:tcW w:w="1377" w:type="dxa"/>
            <w:vAlign w:val="center"/>
          </w:tcPr>
          <w:p w14:paraId="448DE1C5"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13.0%</w:t>
            </w:r>
          </w:p>
        </w:tc>
        <w:tc>
          <w:tcPr>
            <w:tcW w:w="1377" w:type="dxa"/>
            <w:vAlign w:val="center"/>
          </w:tcPr>
          <w:p w14:paraId="121B15E4"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15.1%</w:t>
            </w:r>
          </w:p>
        </w:tc>
        <w:tc>
          <w:tcPr>
            <w:tcW w:w="1377" w:type="dxa"/>
            <w:vAlign w:val="center"/>
          </w:tcPr>
          <w:p w14:paraId="34237EB5"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11.6%</w:t>
            </w:r>
          </w:p>
        </w:tc>
      </w:tr>
      <w:tr w:rsidR="00CB49CA" w14:paraId="690569F5" w14:textId="77777777" w:rsidTr="00581A3D">
        <w:trPr>
          <w:cnfStyle w:val="000000010000" w:firstRow="0" w:lastRow="0" w:firstColumn="0" w:lastColumn="0" w:oddVBand="0" w:evenVBand="0" w:oddHBand="0" w:evenHBand="1" w:firstRowFirstColumn="0" w:firstRowLastColumn="0" w:lastRowFirstColumn="0" w:lastRowLastColumn="0"/>
          <w:trHeight w:val="230"/>
        </w:trPr>
        <w:tc>
          <w:tcPr>
            <w:tcW w:w="1377" w:type="dxa"/>
          </w:tcPr>
          <w:p w14:paraId="09AEC7FF" w14:textId="77777777" w:rsidR="00CB49CA" w:rsidRPr="00B24E9E" w:rsidRDefault="00CB49CA" w:rsidP="00581A3D">
            <w:pPr>
              <w:pStyle w:val="paragraph"/>
              <w:spacing w:before="0" w:beforeAutospacing="0" w:after="0" w:afterAutospacing="0"/>
              <w:rPr>
                <w:rStyle w:val="eop"/>
                <w:rFonts w:ascii="Arial" w:eastAsiaTheme="majorEastAsia" w:hAnsi="Arial" w:cs="Arial"/>
                <w:sz w:val="18"/>
                <w:szCs w:val="18"/>
                <w:vertAlign w:val="superscript"/>
              </w:rPr>
            </w:pPr>
            <w:r w:rsidRPr="00B24E9E">
              <w:rPr>
                <w:rStyle w:val="eop"/>
                <w:rFonts w:ascii="Arial" w:eastAsiaTheme="majorEastAsia" w:hAnsi="Arial" w:cs="Arial"/>
                <w:sz w:val="18"/>
                <w:szCs w:val="18"/>
              </w:rPr>
              <w:t>Has a second job</w:t>
            </w:r>
            <w:r w:rsidRPr="00B24E9E">
              <w:rPr>
                <w:rStyle w:val="eop"/>
                <w:rFonts w:ascii="Arial" w:eastAsiaTheme="majorEastAsia" w:hAnsi="Arial" w:cs="Arial"/>
                <w:sz w:val="18"/>
                <w:szCs w:val="18"/>
                <w:vertAlign w:val="superscript"/>
              </w:rPr>
              <w:t>2</w:t>
            </w:r>
          </w:p>
        </w:tc>
        <w:tc>
          <w:tcPr>
            <w:tcW w:w="1377" w:type="dxa"/>
            <w:vAlign w:val="center"/>
          </w:tcPr>
          <w:p w14:paraId="113B2681"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40A44BC2">
              <w:rPr>
                <w:rStyle w:val="eop"/>
                <w:rFonts w:ascii="Arial" w:eastAsiaTheme="majorEastAsia" w:hAnsi="Arial" w:cs="Arial"/>
                <w:sz w:val="20"/>
                <w:szCs w:val="20"/>
              </w:rPr>
              <w:t>6.8</w:t>
            </w:r>
            <w:r>
              <w:rPr>
                <w:rStyle w:val="eop"/>
                <w:rFonts w:ascii="Arial" w:eastAsiaTheme="majorEastAsia" w:hAnsi="Arial" w:cs="Arial"/>
                <w:sz w:val="20"/>
                <w:szCs w:val="20"/>
              </w:rPr>
              <w:t>%</w:t>
            </w:r>
          </w:p>
        </w:tc>
        <w:tc>
          <w:tcPr>
            <w:tcW w:w="1377" w:type="dxa"/>
            <w:vAlign w:val="center"/>
          </w:tcPr>
          <w:p w14:paraId="2540E46D"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0C371F38">
              <w:rPr>
                <w:rStyle w:val="eop"/>
                <w:rFonts w:ascii="Arial" w:eastAsiaTheme="majorEastAsia" w:hAnsi="Arial" w:cs="Arial"/>
                <w:sz w:val="20"/>
                <w:szCs w:val="20"/>
              </w:rPr>
              <w:t>12.9</w:t>
            </w:r>
            <w:r>
              <w:rPr>
                <w:rStyle w:val="eop"/>
                <w:rFonts w:ascii="Arial" w:eastAsiaTheme="majorEastAsia" w:hAnsi="Arial" w:cs="Arial"/>
                <w:sz w:val="20"/>
                <w:szCs w:val="20"/>
              </w:rPr>
              <w:t>%</w:t>
            </w:r>
          </w:p>
        </w:tc>
        <w:tc>
          <w:tcPr>
            <w:tcW w:w="1377" w:type="dxa"/>
            <w:vAlign w:val="center"/>
          </w:tcPr>
          <w:p w14:paraId="458800F7"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7E7A1229">
              <w:rPr>
                <w:rStyle w:val="eop"/>
                <w:rFonts w:ascii="Arial" w:eastAsiaTheme="majorEastAsia" w:hAnsi="Arial" w:cs="Arial"/>
                <w:sz w:val="20"/>
                <w:szCs w:val="20"/>
              </w:rPr>
              <w:t>10.4</w:t>
            </w:r>
            <w:r>
              <w:rPr>
                <w:rStyle w:val="eop"/>
                <w:rFonts w:ascii="Arial" w:eastAsiaTheme="majorEastAsia" w:hAnsi="Arial" w:cs="Arial"/>
                <w:sz w:val="20"/>
                <w:szCs w:val="20"/>
              </w:rPr>
              <w:t>%</w:t>
            </w:r>
          </w:p>
        </w:tc>
        <w:tc>
          <w:tcPr>
            <w:tcW w:w="1377" w:type="dxa"/>
            <w:vAlign w:val="center"/>
          </w:tcPr>
          <w:p w14:paraId="0D99D5A1"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sidRPr="7E7A1229">
              <w:rPr>
                <w:rStyle w:val="eop"/>
                <w:rFonts w:ascii="Arial" w:eastAsiaTheme="majorEastAsia" w:hAnsi="Arial" w:cs="Arial"/>
                <w:sz w:val="20"/>
                <w:szCs w:val="20"/>
              </w:rPr>
              <w:t>6</w:t>
            </w:r>
            <w:r w:rsidRPr="5F72119C">
              <w:rPr>
                <w:rStyle w:val="eop"/>
                <w:rFonts w:ascii="Arial" w:eastAsiaTheme="majorEastAsia" w:hAnsi="Arial" w:cs="Arial"/>
                <w:sz w:val="20"/>
                <w:szCs w:val="20"/>
              </w:rPr>
              <w:t>.6</w:t>
            </w:r>
            <w:r>
              <w:rPr>
                <w:rStyle w:val="eop"/>
                <w:rFonts w:ascii="Arial" w:eastAsiaTheme="majorEastAsia" w:hAnsi="Arial" w:cs="Arial"/>
                <w:sz w:val="20"/>
                <w:szCs w:val="20"/>
              </w:rPr>
              <w:t>%</w:t>
            </w:r>
          </w:p>
        </w:tc>
        <w:tc>
          <w:tcPr>
            <w:tcW w:w="1377" w:type="dxa"/>
            <w:vAlign w:val="center"/>
          </w:tcPr>
          <w:p w14:paraId="61A5496B"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9.</w:t>
            </w:r>
            <w:r w:rsidRPr="5F72119C">
              <w:rPr>
                <w:rStyle w:val="eop"/>
                <w:rFonts w:ascii="Arial" w:eastAsiaTheme="majorEastAsia" w:hAnsi="Arial" w:cs="Arial"/>
                <w:sz w:val="20"/>
                <w:szCs w:val="20"/>
              </w:rPr>
              <w:t>2</w:t>
            </w:r>
            <w:r>
              <w:rPr>
                <w:rStyle w:val="eop"/>
                <w:rFonts w:ascii="Arial" w:eastAsiaTheme="majorEastAsia" w:hAnsi="Arial" w:cs="Arial"/>
                <w:sz w:val="20"/>
                <w:szCs w:val="20"/>
              </w:rPr>
              <w:t>%</w:t>
            </w:r>
          </w:p>
        </w:tc>
        <w:tc>
          <w:tcPr>
            <w:tcW w:w="1377" w:type="dxa"/>
            <w:vAlign w:val="center"/>
          </w:tcPr>
          <w:p w14:paraId="1CFE7619"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6.</w:t>
            </w:r>
            <w:r w:rsidRPr="0D959B3C">
              <w:rPr>
                <w:rStyle w:val="eop"/>
                <w:rFonts w:ascii="Arial" w:eastAsiaTheme="majorEastAsia" w:hAnsi="Arial" w:cs="Arial"/>
                <w:sz w:val="20"/>
                <w:szCs w:val="20"/>
              </w:rPr>
              <w:t>8</w:t>
            </w:r>
            <w:r>
              <w:rPr>
                <w:rStyle w:val="eop"/>
                <w:rFonts w:ascii="Arial" w:eastAsiaTheme="majorEastAsia" w:hAnsi="Arial" w:cs="Arial"/>
                <w:sz w:val="20"/>
                <w:szCs w:val="20"/>
              </w:rPr>
              <w:t>%</w:t>
            </w:r>
          </w:p>
        </w:tc>
      </w:tr>
      <w:tr w:rsidR="00CB49CA" w14:paraId="3CC05EF0" w14:textId="77777777" w:rsidTr="00581A3D">
        <w:trPr>
          <w:trHeight w:val="230"/>
        </w:trPr>
        <w:tc>
          <w:tcPr>
            <w:tcW w:w="1377" w:type="dxa"/>
          </w:tcPr>
          <w:p w14:paraId="0FBEC3C8" w14:textId="77777777" w:rsidR="00CB49CA" w:rsidRPr="00B24E9E" w:rsidRDefault="00CB49CA" w:rsidP="00581A3D">
            <w:pPr>
              <w:pStyle w:val="paragraph"/>
              <w:spacing w:before="0" w:beforeAutospacing="0" w:after="0" w:afterAutospacing="0"/>
              <w:rPr>
                <w:rStyle w:val="eop"/>
                <w:rFonts w:ascii="Arial" w:eastAsiaTheme="majorEastAsia" w:hAnsi="Arial" w:cs="Arial"/>
                <w:sz w:val="18"/>
                <w:szCs w:val="18"/>
                <w:vertAlign w:val="superscript"/>
              </w:rPr>
            </w:pPr>
            <w:r w:rsidRPr="00B24E9E">
              <w:rPr>
                <w:rStyle w:val="eop"/>
                <w:rFonts w:ascii="Arial" w:eastAsiaTheme="majorEastAsia" w:hAnsi="Arial" w:cs="Arial"/>
                <w:sz w:val="18"/>
                <w:szCs w:val="18"/>
              </w:rPr>
              <w:t>Fixed term employment</w:t>
            </w:r>
            <w:r w:rsidRPr="00B24E9E">
              <w:rPr>
                <w:rStyle w:val="eop"/>
                <w:rFonts w:ascii="Arial" w:eastAsiaTheme="majorEastAsia" w:hAnsi="Arial" w:cs="Arial"/>
                <w:sz w:val="18"/>
                <w:szCs w:val="18"/>
                <w:vertAlign w:val="superscript"/>
              </w:rPr>
              <w:t>3</w:t>
            </w:r>
          </w:p>
        </w:tc>
        <w:tc>
          <w:tcPr>
            <w:tcW w:w="1377" w:type="dxa"/>
            <w:vAlign w:val="center"/>
          </w:tcPr>
          <w:p w14:paraId="24699917"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2.4%</w:t>
            </w:r>
          </w:p>
        </w:tc>
        <w:tc>
          <w:tcPr>
            <w:tcW w:w="1377" w:type="dxa"/>
            <w:vAlign w:val="center"/>
          </w:tcPr>
          <w:p w14:paraId="0222BB23"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29.8%</w:t>
            </w:r>
          </w:p>
        </w:tc>
        <w:tc>
          <w:tcPr>
            <w:tcW w:w="1377" w:type="dxa"/>
            <w:vAlign w:val="center"/>
          </w:tcPr>
          <w:p w14:paraId="0971CE89"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4.0%</w:t>
            </w:r>
          </w:p>
        </w:tc>
        <w:tc>
          <w:tcPr>
            <w:tcW w:w="1377" w:type="dxa"/>
            <w:vAlign w:val="center"/>
          </w:tcPr>
          <w:p w14:paraId="6E0D26AD"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0.0%</w:t>
            </w:r>
          </w:p>
        </w:tc>
        <w:tc>
          <w:tcPr>
            <w:tcW w:w="1377" w:type="dxa"/>
            <w:vAlign w:val="center"/>
          </w:tcPr>
          <w:p w14:paraId="0991A192"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12.5%</w:t>
            </w:r>
          </w:p>
        </w:tc>
        <w:tc>
          <w:tcPr>
            <w:tcW w:w="1377" w:type="dxa"/>
            <w:vAlign w:val="center"/>
          </w:tcPr>
          <w:p w14:paraId="32F0036E"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4.7%</w:t>
            </w:r>
          </w:p>
        </w:tc>
      </w:tr>
      <w:tr w:rsidR="00CB49CA" w14:paraId="09FF18C1" w14:textId="77777777" w:rsidTr="00581A3D">
        <w:trPr>
          <w:cnfStyle w:val="000000010000" w:firstRow="0" w:lastRow="0" w:firstColumn="0" w:lastColumn="0" w:oddVBand="0" w:evenVBand="0" w:oddHBand="0" w:evenHBand="1" w:firstRowFirstColumn="0" w:firstRowLastColumn="0" w:lastRowFirstColumn="0" w:lastRowLastColumn="0"/>
          <w:trHeight w:val="230"/>
        </w:trPr>
        <w:tc>
          <w:tcPr>
            <w:tcW w:w="1377" w:type="dxa"/>
          </w:tcPr>
          <w:p w14:paraId="3B06FE12" w14:textId="77777777" w:rsidR="00CB49CA" w:rsidRPr="00B24E9E" w:rsidRDefault="00CB49CA" w:rsidP="00581A3D">
            <w:pPr>
              <w:pStyle w:val="paragraph"/>
              <w:spacing w:before="0" w:beforeAutospacing="0" w:after="0" w:afterAutospacing="0"/>
              <w:rPr>
                <w:rStyle w:val="eop"/>
                <w:rFonts w:ascii="Arial" w:eastAsiaTheme="majorEastAsia" w:hAnsi="Arial" w:cs="Arial"/>
                <w:sz w:val="18"/>
                <w:szCs w:val="18"/>
                <w:vertAlign w:val="superscript"/>
              </w:rPr>
            </w:pPr>
            <w:r w:rsidRPr="00B24E9E">
              <w:rPr>
                <w:rStyle w:val="eop"/>
                <w:rFonts w:ascii="Arial" w:eastAsiaTheme="majorEastAsia" w:hAnsi="Arial" w:cs="Arial"/>
                <w:sz w:val="18"/>
                <w:szCs w:val="18"/>
              </w:rPr>
              <w:t>Casual employment</w:t>
            </w:r>
            <w:r w:rsidRPr="00B24E9E">
              <w:rPr>
                <w:rStyle w:val="eop"/>
                <w:rFonts w:ascii="Arial" w:eastAsiaTheme="majorEastAsia" w:hAnsi="Arial" w:cs="Arial"/>
                <w:sz w:val="18"/>
                <w:szCs w:val="18"/>
                <w:vertAlign w:val="superscript"/>
              </w:rPr>
              <w:t>3</w:t>
            </w:r>
          </w:p>
        </w:tc>
        <w:tc>
          <w:tcPr>
            <w:tcW w:w="1377" w:type="dxa"/>
            <w:vAlign w:val="center"/>
          </w:tcPr>
          <w:p w14:paraId="164DCD10"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30.2%</w:t>
            </w:r>
          </w:p>
        </w:tc>
        <w:tc>
          <w:tcPr>
            <w:tcW w:w="1377" w:type="dxa"/>
            <w:vAlign w:val="center"/>
          </w:tcPr>
          <w:p w14:paraId="41C08E18"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14.5%</w:t>
            </w:r>
          </w:p>
        </w:tc>
        <w:tc>
          <w:tcPr>
            <w:tcW w:w="1377" w:type="dxa"/>
            <w:vAlign w:val="center"/>
          </w:tcPr>
          <w:p w14:paraId="1317F9CD"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8.9%</w:t>
            </w:r>
          </w:p>
        </w:tc>
        <w:tc>
          <w:tcPr>
            <w:tcW w:w="1377" w:type="dxa"/>
            <w:vAlign w:val="center"/>
          </w:tcPr>
          <w:p w14:paraId="19D6E11A"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0.0%</w:t>
            </w:r>
          </w:p>
        </w:tc>
        <w:tc>
          <w:tcPr>
            <w:tcW w:w="1377" w:type="dxa"/>
            <w:vAlign w:val="center"/>
          </w:tcPr>
          <w:p w14:paraId="63865BB0"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21.2%</w:t>
            </w:r>
          </w:p>
        </w:tc>
        <w:tc>
          <w:tcPr>
            <w:tcW w:w="1377" w:type="dxa"/>
            <w:vAlign w:val="center"/>
          </w:tcPr>
          <w:p w14:paraId="34786673"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21.9%</w:t>
            </w:r>
          </w:p>
        </w:tc>
      </w:tr>
      <w:tr w:rsidR="00CB49CA" w14:paraId="34DD521B" w14:textId="77777777" w:rsidTr="00581A3D">
        <w:trPr>
          <w:trHeight w:val="230"/>
        </w:trPr>
        <w:tc>
          <w:tcPr>
            <w:tcW w:w="1377" w:type="dxa"/>
          </w:tcPr>
          <w:p w14:paraId="1A6568D3" w14:textId="77777777" w:rsidR="00CB49CA" w:rsidRPr="00B24E9E" w:rsidRDefault="00CB49CA" w:rsidP="00581A3D">
            <w:pPr>
              <w:pStyle w:val="paragraph"/>
              <w:spacing w:before="0" w:beforeAutospacing="0" w:after="0" w:afterAutospacing="0"/>
              <w:rPr>
                <w:rStyle w:val="eop"/>
                <w:rFonts w:ascii="Arial" w:eastAsiaTheme="majorEastAsia" w:hAnsi="Arial" w:cs="Arial"/>
                <w:sz w:val="18"/>
                <w:szCs w:val="18"/>
                <w:vertAlign w:val="superscript"/>
              </w:rPr>
            </w:pPr>
            <w:r w:rsidRPr="00B24E9E">
              <w:rPr>
                <w:rStyle w:val="eop"/>
                <w:rFonts w:ascii="Arial" w:eastAsiaTheme="majorEastAsia" w:hAnsi="Arial" w:cs="Arial"/>
                <w:sz w:val="18"/>
                <w:szCs w:val="18"/>
              </w:rPr>
              <w:t>Paid award only</w:t>
            </w:r>
            <w:r w:rsidRPr="00B24E9E">
              <w:rPr>
                <w:rStyle w:val="eop"/>
                <w:rFonts w:ascii="Arial" w:eastAsiaTheme="majorEastAsia" w:hAnsi="Arial" w:cs="Arial"/>
                <w:sz w:val="18"/>
                <w:szCs w:val="18"/>
                <w:vertAlign w:val="superscript"/>
              </w:rPr>
              <w:t>3</w:t>
            </w:r>
          </w:p>
        </w:tc>
        <w:tc>
          <w:tcPr>
            <w:tcW w:w="1377" w:type="dxa"/>
            <w:vAlign w:val="center"/>
          </w:tcPr>
          <w:p w14:paraId="3F732FC8"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70.1%</w:t>
            </w:r>
          </w:p>
        </w:tc>
        <w:tc>
          <w:tcPr>
            <w:tcW w:w="1377" w:type="dxa"/>
            <w:vAlign w:val="center"/>
          </w:tcPr>
          <w:p w14:paraId="40FCF049"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3.7%</w:t>
            </w:r>
          </w:p>
        </w:tc>
        <w:tc>
          <w:tcPr>
            <w:tcW w:w="1377" w:type="dxa"/>
            <w:vAlign w:val="center"/>
          </w:tcPr>
          <w:p w14:paraId="429AF830"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29.0%</w:t>
            </w:r>
          </w:p>
        </w:tc>
        <w:tc>
          <w:tcPr>
            <w:tcW w:w="1377" w:type="dxa"/>
            <w:vAlign w:val="center"/>
          </w:tcPr>
          <w:p w14:paraId="4E3010D8"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15.9%</w:t>
            </w:r>
          </w:p>
        </w:tc>
        <w:tc>
          <w:tcPr>
            <w:tcW w:w="1377" w:type="dxa"/>
            <w:vAlign w:val="center"/>
          </w:tcPr>
          <w:p w14:paraId="25030C48" w14:textId="77777777" w:rsidR="00CB49CA" w:rsidRPr="00E74648" w:rsidRDefault="00CB49CA" w:rsidP="00581A3D">
            <w:pPr>
              <w:pStyle w:val="paragraph"/>
              <w:keepNext/>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39.8%</w:t>
            </w:r>
          </w:p>
        </w:tc>
        <w:tc>
          <w:tcPr>
            <w:tcW w:w="1377" w:type="dxa"/>
            <w:vAlign w:val="center"/>
          </w:tcPr>
          <w:p w14:paraId="00FAE985" w14:textId="77777777" w:rsidR="00CB49CA" w:rsidRPr="00E74648" w:rsidRDefault="00CB49CA" w:rsidP="00581A3D">
            <w:pPr>
              <w:pStyle w:val="paragraph"/>
              <w:keepNext/>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23.2%</w:t>
            </w:r>
          </w:p>
        </w:tc>
      </w:tr>
      <w:tr w:rsidR="00CB49CA" w14:paraId="3E3DE557" w14:textId="77777777" w:rsidTr="00581A3D">
        <w:trPr>
          <w:cnfStyle w:val="000000010000" w:firstRow="0" w:lastRow="0" w:firstColumn="0" w:lastColumn="0" w:oddVBand="0" w:evenVBand="0" w:oddHBand="0" w:evenHBand="1" w:firstRowFirstColumn="0" w:firstRowLastColumn="0" w:lastRowFirstColumn="0" w:lastRowLastColumn="0"/>
          <w:trHeight w:val="230"/>
        </w:trPr>
        <w:tc>
          <w:tcPr>
            <w:tcW w:w="1377" w:type="dxa"/>
          </w:tcPr>
          <w:p w14:paraId="29A3B7E5" w14:textId="77777777" w:rsidR="00CB49CA" w:rsidRPr="00B24E9E" w:rsidRDefault="00CB49CA" w:rsidP="00581A3D">
            <w:pPr>
              <w:pStyle w:val="paragraph"/>
              <w:spacing w:before="0" w:beforeAutospacing="0" w:after="0" w:afterAutospacing="0"/>
              <w:rPr>
                <w:rStyle w:val="eop"/>
                <w:rFonts w:ascii="Arial" w:eastAsiaTheme="majorEastAsia" w:hAnsi="Arial" w:cs="Arial"/>
                <w:sz w:val="18"/>
                <w:szCs w:val="18"/>
                <w:vertAlign w:val="superscript"/>
              </w:rPr>
            </w:pPr>
            <w:r w:rsidRPr="00B24E9E">
              <w:rPr>
                <w:rStyle w:val="eop"/>
                <w:rFonts w:ascii="Arial" w:eastAsiaTheme="majorEastAsia" w:hAnsi="Arial" w:cs="Arial"/>
                <w:sz w:val="18"/>
                <w:szCs w:val="18"/>
              </w:rPr>
              <w:t>Paid collective agreement</w:t>
            </w:r>
            <w:r w:rsidRPr="00B24E9E">
              <w:rPr>
                <w:rStyle w:val="eop"/>
                <w:rFonts w:ascii="Arial" w:eastAsiaTheme="majorEastAsia" w:hAnsi="Arial" w:cs="Arial"/>
                <w:sz w:val="18"/>
                <w:szCs w:val="18"/>
                <w:vertAlign w:val="superscript"/>
              </w:rPr>
              <w:t>3</w:t>
            </w:r>
          </w:p>
        </w:tc>
        <w:tc>
          <w:tcPr>
            <w:tcW w:w="1377" w:type="dxa"/>
            <w:vAlign w:val="center"/>
          </w:tcPr>
          <w:p w14:paraId="08D28242"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11.7%</w:t>
            </w:r>
          </w:p>
        </w:tc>
        <w:tc>
          <w:tcPr>
            <w:tcW w:w="1377" w:type="dxa"/>
            <w:vAlign w:val="center"/>
          </w:tcPr>
          <w:p w14:paraId="0EDBC056"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86.7%</w:t>
            </w:r>
          </w:p>
        </w:tc>
        <w:tc>
          <w:tcPr>
            <w:tcW w:w="1377" w:type="dxa"/>
            <w:vAlign w:val="center"/>
          </w:tcPr>
          <w:p w14:paraId="1F6E4E5E"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54.6%</w:t>
            </w:r>
          </w:p>
        </w:tc>
        <w:tc>
          <w:tcPr>
            <w:tcW w:w="1377" w:type="dxa"/>
            <w:vAlign w:val="center"/>
          </w:tcPr>
          <w:p w14:paraId="65C120EF"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14.9%</w:t>
            </w:r>
          </w:p>
        </w:tc>
        <w:tc>
          <w:tcPr>
            <w:tcW w:w="1377" w:type="dxa"/>
            <w:vAlign w:val="center"/>
          </w:tcPr>
          <w:p w14:paraId="3D195C89" w14:textId="77777777" w:rsidR="00CB49CA" w:rsidRPr="00E74648" w:rsidRDefault="00CB49CA" w:rsidP="00581A3D">
            <w:pPr>
              <w:pStyle w:val="paragraph"/>
              <w:keepNext/>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42.8%</w:t>
            </w:r>
          </w:p>
        </w:tc>
        <w:tc>
          <w:tcPr>
            <w:tcW w:w="1377" w:type="dxa"/>
            <w:vAlign w:val="center"/>
          </w:tcPr>
          <w:p w14:paraId="10FFBE8D" w14:textId="77777777" w:rsidR="00CB49CA" w:rsidRPr="00E74648" w:rsidRDefault="00CB49CA" w:rsidP="00581A3D">
            <w:pPr>
              <w:pStyle w:val="paragraph"/>
              <w:keepNext/>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34.0%</w:t>
            </w:r>
          </w:p>
        </w:tc>
      </w:tr>
      <w:tr w:rsidR="00CB49CA" w14:paraId="7C3ACE49" w14:textId="77777777" w:rsidTr="00581A3D">
        <w:trPr>
          <w:trHeight w:val="230"/>
        </w:trPr>
        <w:tc>
          <w:tcPr>
            <w:tcW w:w="1377" w:type="dxa"/>
          </w:tcPr>
          <w:p w14:paraId="67940455" w14:textId="77777777" w:rsidR="00CB49CA" w:rsidRPr="00B24E9E" w:rsidRDefault="00CB49CA" w:rsidP="00581A3D">
            <w:pPr>
              <w:pStyle w:val="paragraph"/>
              <w:spacing w:before="0" w:beforeAutospacing="0" w:after="0" w:afterAutospacing="0"/>
              <w:rPr>
                <w:rStyle w:val="eop"/>
                <w:rFonts w:ascii="Arial" w:eastAsiaTheme="majorEastAsia" w:hAnsi="Arial" w:cs="Arial"/>
                <w:sz w:val="18"/>
                <w:szCs w:val="18"/>
                <w:vertAlign w:val="superscript"/>
              </w:rPr>
            </w:pPr>
            <w:r w:rsidRPr="00B24E9E">
              <w:rPr>
                <w:rStyle w:val="eop"/>
                <w:rFonts w:ascii="Arial" w:eastAsiaTheme="majorEastAsia" w:hAnsi="Arial" w:cs="Arial"/>
                <w:sz w:val="18"/>
                <w:szCs w:val="18"/>
              </w:rPr>
              <w:t>Paid individual arrangement</w:t>
            </w:r>
            <w:r w:rsidRPr="00B24E9E">
              <w:rPr>
                <w:rStyle w:val="eop"/>
                <w:rFonts w:ascii="Arial" w:eastAsiaTheme="majorEastAsia" w:hAnsi="Arial" w:cs="Arial"/>
                <w:sz w:val="18"/>
                <w:szCs w:val="18"/>
                <w:vertAlign w:val="superscript"/>
              </w:rPr>
              <w:t>3</w:t>
            </w:r>
          </w:p>
        </w:tc>
        <w:tc>
          <w:tcPr>
            <w:tcW w:w="1377" w:type="dxa"/>
            <w:vAlign w:val="center"/>
          </w:tcPr>
          <w:p w14:paraId="347726E4"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17.8%</w:t>
            </w:r>
          </w:p>
        </w:tc>
        <w:tc>
          <w:tcPr>
            <w:tcW w:w="1377" w:type="dxa"/>
            <w:vAlign w:val="center"/>
          </w:tcPr>
          <w:p w14:paraId="5A1BD5E3"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9.2%</w:t>
            </w:r>
          </w:p>
        </w:tc>
        <w:tc>
          <w:tcPr>
            <w:tcW w:w="1377" w:type="dxa"/>
            <w:vAlign w:val="center"/>
          </w:tcPr>
          <w:p w14:paraId="78E9563B"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13.2%</w:t>
            </w:r>
          </w:p>
        </w:tc>
        <w:tc>
          <w:tcPr>
            <w:tcW w:w="1377" w:type="dxa"/>
            <w:vAlign w:val="center"/>
          </w:tcPr>
          <w:p w14:paraId="2A9DFD70" w14:textId="77777777" w:rsidR="00CB49CA" w:rsidRPr="00E74648" w:rsidRDefault="00CB49CA" w:rsidP="00581A3D">
            <w:pPr>
              <w:pStyle w:val="paragraph"/>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44.9%</w:t>
            </w:r>
          </w:p>
        </w:tc>
        <w:tc>
          <w:tcPr>
            <w:tcW w:w="1377" w:type="dxa"/>
            <w:vAlign w:val="center"/>
          </w:tcPr>
          <w:p w14:paraId="0A1069AA" w14:textId="77777777" w:rsidR="00CB49CA" w:rsidRPr="00E74648" w:rsidRDefault="00CB49CA" w:rsidP="00581A3D">
            <w:pPr>
              <w:pStyle w:val="paragraph"/>
              <w:keepNext/>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16.0%</w:t>
            </w:r>
          </w:p>
        </w:tc>
        <w:tc>
          <w:tcPr>
            <w:tcW w:w="1377" w:type="dxa"/>
            <w:vAlign w:val="center"/>
          </w:tcPr>
          <w:p w14:paraId="32B2462C" w14:textId="77777777" w:rsidR="00CB49CA" w:rsidRPr="00E74648" w:rsidRDefault="00CB49CA" w:rsidP="00581A3D">
            <w:pPr>
              <w:pStyle w:val="paragraph"/>
              <w:keepNext/>
              <w:spacing w:before="0" w:beforeAutospacing="0" w:after="0" w:afterAutospacing="0"/>
              <w:jc w:val="center"/>
              <w:rPr>
                <w:rStyle w:val="eop"/>
                <w:rFonts w:ascii="Arial" w:eastAsiaTheme="majorEastAsia" w:hAnsi="Arial" w:cs="Arial"/>
                <w:sz w:val="20"/>
                <w:szCs w:val="20"/>
              </w:rPr>
            </w:pPr>
            <w:r>
              <w:rPr>
                <w:rStyle w:val="eop"/>
                <w:rFonts w:ascii="Arial" w:eastAsiaTheme="majorEastAsia" w:hAnsi="Arial" w:cs="Arial"/>
                <w:sz w:val="20"/>
                <w:szCs w:val="20"/>
              </w:rPr>
              <w:t>38.7%</w:t>
            </w:r>
          </w:p>
        </w:tc>
      </w:tr>
    </w:tbl>
    <w:p w14:paraId="7708D195" w14:textId="77777777" w:rsidR="00CB49CA" w:rsidRPr="00945BF1" w:rsidRDefault="00CB49CA" w:rsidP="00CB49CA">
      <w:pPr>
        <w:pStyle w:val="Source"/>
      </w:pPr>
      <w:r>
        <w:t>Sources:</w:t>
      </w:r>
      <w:r>
        <w:br/>
        <w:t xml:space="preserve">(1) </w:t>
      </w:r>
      <w:r w:rsidRPr="00260DF4">
        <w:t>ABS</w:t>
      </w:r>
      <w:r>
        <w:t xml:space="preserve"> (2023),</w:t>
      </w:r>
      <w:r w:rsidRPr="00260DF4">
        <w:t xml:space="preserve"> Employee Earnings and Hours, TableBuilder</w:t>
      </w:r>
      <w:r>
        <w:t>, ordinary time</w:t>
      </w:r>
      <w:r>
        <w:br/>
        <w:t xml:space="preserve">(2) </w:t>
      </w:r>
      <w:r w:rsidRPr="00260DF4">
        <w:t>ABS</w:t>
      </w:r>
      <w:r>
        <w:t xml:space="preserve"> (2023),</w:t>
      </w:r>
      <w:r w:rsidRPr="00260DF4">
        <w:t xml:space="preserve"> Characteristics of Employment, TableBuilder</w:t>
      </w:r>
      <w:r>
        <w:br/>
        <w:t>(3) ABS (2023), Employee Earnings and Hours, TableBuilder</w:t>
      </w:r>
    </w:p>
    <w:p w14:paraId="285D4621" w14:textId="77777777" w:rsidR="00CB49CA" w:rsidRPr="00572DC0" w:rsidRDefault="00CB49CA" w:rsidP="00CB49CA">
      <w:r>
        <w:t xml:space="preserve">The sector’s overall regulatory framework has been designed to promote quality education and care. Regulations do add to supply pressures, but funding constraints, increasing service demand, and a tight labour market are also contributing to current workforce pressures. The National Quality Framework (NQF) provides the workforce with an essential quality standard to assure children’s safety and quality early learning. </w:t>
      </w:r>
      <w:r w:rsidRPr="00C63FE0">
        <w:rPr>
          <w:i/>
          <w:iCs/>
        </w:rPr>
        <w:t>Shaping Our Future</w:t>
      </w:r>
      <w:r>
        <w:t>,</w:t>
      </w:r>
      <w:r w:rsidRPr="00C63FE0">
        <w:rPr>
          <w:i/>
          <w:iCs/>
        </w:rPr>
        <w:t xml:space="preserve"> </w:t>
      </w:r>
      <w:r>
        <w:t xml:space="preserve">and its linked jurisdictionally based ECEC workforce strategies, provide a strong basis for further development and professionalism of this critical education sector. The Early Years Learning Framework (EYLF) provides a robust base for training and development in the sector which underpins initial ECEC education in Australia and educators should be supported to engage with it in ongoing training and development. </w:t>
      </w:r>
    </w:p>
    <w:p w14:paraId="1D58235A" w14:textId="77777777" w:rsidR="00CB49CA" w:rsidRPr="00572DC0" w:rsidRDefault="00CB49CA" w:rsidP="00CB49CA">
      <w:r>
        <w:t xml:space="preserve">Average wages in the ECEC sector are currently lower than in </w:t>
      </w:r>
      <w:proofErr w:type="gramStart"/>
      <w:r>
        <w:t>a number of</w:t>
      </w:r>
      <w:proofErr w:type="gramEnd"/>
      <w:r>
        <w:t xml:space="preserve"> related sectors, as noted above, and occupations for both Early Childhood Educators and </w:t>
      </w:r>
      <w:r w:rsidRPr="00C63FE0">
        <w:rPr>
          <w:i/>
          <w:iCs/>
        </w:rPr>
        <w:t>Early Childhood Teachers</w:t>
      </w:r>
      <w:r>
        <w:t xml:space="preserve">. Various processes are underway through the Fair Work Commission (FWC) to consider wage increases for workers in the sector (apart from standalone Preschools, where higher rates currently apply). Stakeholders universally report workforce strain, exacerbated by high levels of recruitment activity driven by growth and turnover which impacts service delivery capability and </w:t>
      </w:r>
      <w:r w:rsidRPr="00647ED6">
        <w:t xml:space="preserve">pressures quality. </w:t>
      </w:r>
      <w:r>
        <w:t>T</w:t>
      </w:r>
      <w:r w:rsidRPr="00B24E9E">
        <w:t>here are relatively</w:t>
      </w:r>
      <w:r w:rsidRPr="00CD32B2">
        <w:t xml:space="preserve"> high </w:t>
      </w:r>
      <w:r w:rsidRPr="00B24E9E">
        <w:t xml:space="preserve">rates of work-related </w:t>
      </w:r>
      <w:r w:rsidRPr="00CD32B2">
        <w:t xml:space="preserve">injuries </w:t>
      </w:r>
      <w:r w:rsidRPr="00B24E9E">
        <w:t xml:space="preserve">in </w:t>
      </w:r>
      <w:r w:rsidRPr="00CD32B2">
        <w:t>ECEC</w:t>
      </w:r>
      <w:r w:rsidRPr="00647ED6">
        <w:t xml:space="preserve"> </w:t>
      </w:r>
      <w:r w:rsidRPr="00CD32B2">
        <w:t xml:space="preserve">which can </w:t>
      </w:r>
      <w:r>
        <w:t xml:space="preserve">further </w:t>
      </w:r>
      <w:r w:rsidRPr="00CD32B2">
        <w:t>contribute to worker attrition</w:t>
      </w:r>
      <w:r w:rsidRPr="00B24E9E">
        <w:t xml:space="preserve">. The rate of </w:t>
      </w:r>
      <w:r w:rsidRPr="00CD32B2">
        <w:t xml:space="preserve">serious </w:t>
      </w:r>
      <w:r w:rsidRPr="00B24E9E">
        <w:t xml:space="preserve">injury claims in the Childcare Services </w:t>
      </w:r>
      <w:r w:rsidRPr="00CD32B2">
        <w:t xml:space="preserve">industry group </w:t>
      </w:r>
      <w:r w:rsidRPr="00B24E9E">
        <w:t xml:space="preserve">(ANZSIC </w:t>
      </w:r>
      <w:r>
        <w:t>871</w:t>
      </w:r>
      <w:r w:rsidRPr="00B24E9E">
        <w:t xml:space="preserve">) </w:t>
      </w:r>
      <w:r w:rsidRPr="00CD32B2">
        <w:t>in 2021-22</w:t>
      </w:r>
      <w:r>
        <w:t>p</w:t>
      </w:r>
      <w:r>
        <w:rPr>
          <w:rStyle w:val="FootnoteReference"/>
        </w:rPr>
        <w:footnoteReference w:id="4"/>
      </w:r>
      <w:r w:rsidRPr="00B24E9E">
        <w:t xml:space="preserve"> </w:t>
      </w:r>
      <w:r>
        <w:t xml:space="preserve">(Safe Work Australia NDS for Compensation-based Statistics) </w:t>
      </w:r>
      <w:r w:rsidRPr="00B24E9E">
        <w:t>was 14.2 claims per million hours worked</w:t>
      </w:r>
      <w:r>
        <w:t>,</w:t>
      </w:r>
      <w:r w:rsidRPr="00B24E9E">
        <w:t xml:space="preserve"> compared to 6.5 claims per million hours worked in all industries.</w:t>
      </w:r>
      <w:r>
        <w:t xml:space="preserve"> These reports are corroborated by JSA evidence of high and increasing vacancy rates since 2015 and </w:t>
      </w:r>
      <w:r>
        <w:lastRenderedPageBreak/>
        <w:t>stakeholder reports of recruitment difficulty. These workforce pressures impact staff remaining in the sector through workload strain and stress in roles, significant out of paid hours working, including collaborative working such as evening unpaid meetings. There has been a large increase in the reliance on trainees to meet demand for new Early Childhood Educators, relying on the ‘actively working towards a qualification’ provision in the regulations. High reliance on trainees impacts the quality and amount of contact time that can be provided by the trainees and the experienced staff supervising them.</w:t>
      </w:r>
    </w:p>
    <w:p w14:paraId="5950F27C" w14:textId="77777777" w:rsidR="00CB49CA" w:rsidRDefault="00CB49CA" w:rsidP="00CB49CA">
      <w:r>
        <w:t>Consultation showed</w:t>
      </w:r>
      <w:r w:rsidRPr="00572DC0">
        <w:t xml:space="preserve"> strong community feeling of unmet demand for ECEC services which is linked anecdotally to workforce shortages</w:t>
      </w:r>
      <w:r>
        <w:t>. Unmet demand is felt p</w:t>
      </w:r>
      <w:r w:rsidRPr="00572DC0">
        <w:t>articularly within regional and remote areas which impact wider labour force participation, specifically</w:t>
      </w:r>
      <w:r>
        <w:t xml:space="preserve"> the participation</w:t>
      </w:r>
      <w:r w:rsidRPr="00572DC0">
        <w:t xml:space="preserve"> of primary carers who are overwhelmingly female. </w:t>
      </w:r>
      <w:r>
        <w:t>T</w:t>
      </w:r>
      <w:r w:rsidRPr="00572DC0">
        <w:t xml:space="preserve">his is supported by the analysis of </w:t>
      </w:r>
      <w:r>
        <w:t>Child Care Subsidy</w:t>
      </w:r>
      <w:r w:rsidRPr="00572DC0">
        <w:t xml:space="preserve"> </w:t>
      </w:r>
      <w:r>
        <w:t xml:space="preserve">(CCS) </w:t>
      </w:r>
      <w:r w:rsidRPr="00572DC0">
        <w:t xml:space="preserve">and </w:t>
      </w:r>
      <w:r w:rsidRPr="009A1A7B">
        <w:t xml:space="preserve">Early Childhood Education and Care </w:t>
      </w:r>
      <w:r>
        <w:t>National Workforce Census</w:t>
      </w:r>
      <w:r w:rsidRPr="00572DC0">
        <w:t xml:space="preserve"> </w:t>
      </w:r>
      <w:r>
        <w:t xml:space="preserve">(NWC) </w:t>
      </w:r>
      <w:r w:rsidRPr="00572DC0">
        <w:t xml:space="preserve">data, while noting that </w:t>
      </w:r>
      <w:r>
        <w:t xml:space="preserve">it </w:t>
      </w:r>
      <w:r w:rsidRPr="00572DC0">
        <w:t>also shows some pockets of underutilised capacity.</w:t>
      </w:r>
      <w:r>
        <w:t xml:space="preserve"> </w:t>
      </w:r>
    </w:p>
    <w:p w14:paraId="11736122" w14:textId="77777777" w:rsidR="00CB49CA" w:rsidRPr="00A3582F" w:rsidRDefault="00CB49CA" w:rsidP="00CB49CA">
      <w:pPr>
        <w:rPr>
          <w:highlight w:val="yellow"/>
        </w:rPr>
      </w:pPr>
      <w:r w:rsidRPr="00CB61B5">
        <w:t xml:space="preserve">Modelling indicates that there is a current shortfall of around </w:t>
      </w:r>
      <w:r>
        <w:t xml:space="preserve">21,000 </w:t>
      </w:r>
      <w:r w:rsidRPr="00CB61B5">
        <w:t xml:space="preserve">qualified ECEC professionals needed to meet existing demand and support more sustainable working conditions. An additional </w:t>
      </w:r>
      <w:r>
        <w:t xml:space="preserve">18,000 </w:t>
      </w:r>
      <w:r w:rsidRPr="00CB61B5">
        <w:t xml:space="preserve">qualified ECEC </w:t>
      </w:r>
      <w:r>
        <w:t xml:space="preserve">staff </w:t>
      </w:r>
      <w:r w:rsidRPr="00CB61B5">
        <w:t xml:space="preserve">would be required to meet estimated unmet demand in services not yet established. Finally, </w:t>
      </w:r>
      <w:r>
        <w:t>over</w:t>
      </w:r>
      <w:r w:rsidRPr="00CB61B5">
        <w:t xml:space="preserve"> 18,</w:t>
      </w:r>
      <w:r>
        <w:t>0</w:t>
      </w:r>
      <w:r w:rsidRPr="00CB61B5">
        <w:t xml:space="preserve">00 </w:t>
      </w:r>
      <w:r>
        <w:t xml:space="preserve">staff </w:t>
      </w:r>
      <w:r w:rsidRPr="00CB61B5">
        <w:t>would be required to full</w:t>
      </w:r>
      <w:r>
        <w:t>y</w:t>
      </w:r>
      <w:r w:rsidRPr="00CB61B5">
        <w:t xml:space="preserve"> realise CCS changes and expanded preschool policies. </w:t>
      </w:r>
    </w:p>
    <w:p w14:paraId="1261FFEA" w14:textId="77777777" w:rsidR="00CB49CA" w:rsidRPr="00A50343" w:rsidRDefault="00CB49CA" w:rsidP="00CB49CA">
      <w:pPr>
        <w:pStyle w:val="ListParagraph"/>
        <w:numPr>
          <w:ilvl w:val="0"/>
          <w:numId w:val="2"/>
        </w:numPr>
        <w:tabs>
          <w:tab w:val="clear" w:pos="357"/>
        </w:tabs>
        <w:rPr>
          <w:b/>
          <w:bCs/>
          <w:color w:val="441170" w:themeColor="text2"/>
        </w:rPr>
      </w:pPr>
      <w:r>
        <w:rPr>
          <w:b/>
          <w:bCs/>
          <w:color w:val="441170" w:themeColor="text2"/>
        </w:rPr>
        <w:t xml:space="preserve">Current workforce levels are not sustainable to even meet current levels of demand </w:t>
      </w:r>
      <w:proofErr w:type="gramStart"/>
      <w:r w:rsidRPr="71BF7861">
        <w:rPr>
          <w:b/>
          <w:bCs/>
          <w:color w:val="441170" w:themeColor="text2"/>
        </w:rPr>
        <w:t>taking into account</w:t>
      </w:r>
      <w:proofErr w:type="gramEnd"/>
      <w:r w:rsidRPr="71BF7861">
        <w:rPr>
          <w:b/>
          <w:bCs/>
          <w:color w:val="441170" w:themeColor="text2"/>
        </w:rPr>
        <w:t xml:space="preserve"> numerous factors including:</w:t>
      </w:r>
    </w:p>
    <w:p w14:paraId="54A36E14" w14:textId="77777777" w:rsidR="00CB49CA" w:rsidRPr="00A50343" w:rsidRDefault="00CB49CA" w:rsidP="00CB49CA">
      <w:pPr>
        <w:pStyle w:val="ListParagraph"/>
        <w:numPr>
          <w:ilvl w:val="0"/>
          <w:numId w:val="3"/>
        </w:numPr>
        <w:tabs>
          <w:tab w:val="clear" w:pos="357"/>
        </w:tabs>
        <w:rPr>
          <w:b/>
          <w:bCs/>
          <w:color w:val="441170" w:themeColor="text2"/>
        </w:rPr>
      </w:pPr>
      <w:r w:rsidRPr="00A50343">
        <w:rPr>
          <w:b/>
          <w:bCs/>
          <w:color w:val="441170" w:themeColor="text2"/>
        </w:rPr>
        <w:t xml:space="preserve">Evidence of overtime being worked </w:t>
      </w:r>
    </w:p>
    <w:p w14:paraId="1CC2C657" w14:textId="77777777" w:rsidR="00CB49CA" w:rsidRPr="00A50343" w:rsidRDefault="00CB49CA" w:rsidP="00CB49CA">
      <w:pPr>
        <w:pStyle w:val="ListParagraph"/>
        <w:numPr>
          <w:ilvl w:val="0"/>
          <w:numId w:val="3"/>
        </w:numPr>
        <w:tabs>
          <w:tab w:val="clear" w:pos="357"/>
        </w:tabs>
        <w:rPr>
          <w:b/>
          <w:bCs/>
          <w:color w:val="441170" w:themeColor="text2"/>
        </w:rPr>
      </w:pPr>
      <w:r w:rsidRPr="00A50343">
        <w:rPr>
          <w:b/>
          <w:bCs/>
          <w:color w:val="441170" w:themeColor="text2"/>
        </w:rPr>
        <w:t>Insufficient provision for ongoing professional development</w:t>
      </w:r>
    </w:p>
    <w:p w14:paraId="773FBF9C" w14:textId="77777777" w:rsidR="00CB49CA" w:rsidRPr="00A50343" w:rsidRDefault="00CB49CA" w:rsidP="00CB49CA">
      <w:pPr>
        <w:pStyle w:val="ListParagraph"/>
        <w:numPr>
          <w:ilvl w:val="0"/>
          <w:numId w:val="3"/>
        </w:numPr>
        <w:tabs>
          <w:tab w:val="clear" w:pos="357"/>
        </w:tabs>
        <w:rPr>
          <w:b/>
          <w:bCs/>
          <w:color w:val="441170" w:themeColor="text2"/>
        </w:rPr>
      </w:pPr>
      <w:r>
        <w:rPr>
          <w:b/>
          <w:bCs/>
          <w:color w:val="441170" w:themeColor="text2"/>
        </w:rPr>
        <w:t>I</w:t>
      </w:r>
      <w:r w:rsidRPr="00A50343">
        <w:rPr>
          <w:b/>
          <w:bCs/>
          <w:color w:val="441170" w:themeColor="text2"/>
        </w:rPr>
        <w:t>ncreasing reliance on trainees to meet workforce requirements, given their 20% allocation of paid work time for off-the-job learning</w:t>
      </w:r>
    </w:p>
    <w:p w14:paraId="63A6B2DD" w14:textId="77777777" w:rsidR="00CB49CA" w:rsidRPr="00A17B0C" w:rsidRDefault="00CB49CA" w:rsidP="00CB49CA">
      <w:pPr>
        <w:pStyle w:val="ListParagraph"/>
        <w:numPr>
          <w:ilvl w:val="0"/>
          <w:numId w:val="3"/>
        </w:numPr>
        <w:tabs>
          <w:tab w:val="clear" w:pos="357"/>
        </w:tabs>
        <w:rPr>
          <w:b/>
          <w:bCs/>
          <w:color w:val="441170" w:themeColor="text2"/>
        </w:rPr>
      </w:pPr>
      <w:r w:rsidRPr="00A17B0C">
        <w:rPr>
          <w:b/>
          <w:bCs/>
          <w:color w:val="441170" w:themeColor="text2"/>
        </w:rPr>
        <w:t>Time spent by more established staff recruiting and onboarding new staff and providing on the job supervision to trainees.</w:t>
      </w:r>
      <w:r>
        <w:rPr>
          <w:b/>
          <w:bCs/>
          <w:color w:val="441170" w:themeColor="text2"/>
        </w:rPr>
        <w:t xml:space="preserve"> </w:t>
      </w:r>
      <w:r w:rsidRPr="00A17B0C">
        <w:rPr>
          <w:b/>
          <w:bCs/>
          <w:color w:val="441170" w:themeColor="text2"/>
        </w:rPr>
        <w:t>T</w:t>
      </w:r>
      <w:r w:rsidRPr="00A17B0C">
        <w:rPr>
          <w:b/>
          <w:color w:val="441170" w:themeColor="text2"/>
        </w:rPr>
        <w:t xml:space="preserve">he high and increasing use of waivers </w:t>
      </w:r>
      <w:r>
        <w:rPr>
          <w:b/>
          <w:color w:val="441170" w:themeColor="text2"/>
        </w:rPr>
        <w:t xml:space="preserve">by services </w:t>
      </w:r>
      <w:r w:rsidRPr="00A17B0C">
        <w:rPr>
          <w:b/>
          <w:color w:val="441170" w:themeColor="text2"/>
        </w:rPr>
        <w:t>not meeting National Regulations regarding staffing arrangements</w:t>
      </w:r>
      <w:r w:rsidRPr="00A17B0C">
        <w:rPr>
          <w:rFonts w:ascii="Segoe UI" w:eastAsia="Segoe UI" w:hAnsi="Segoe UI" w:cs="Segoe UI"/>
          <w:color w:val="333333"/>
          <w:sz w:val="18"/>
          <w:szCs w:val="18"/>
        </w:rPr>
        <w:t>.</w:t>
      </w:r>
      <w:r w:rsidRPr="00A17B0C">
        <w:rPr>
          <w:b/>
          <w:bCs/>
          <w:color w:val="441170" w:themeColor="text2"/>
        </w:rPr>
        <w:t xml:space="preserve"> </w:t>
      </w:r>
    </w:p>
    <w:p w14:paraId="0D28B768" w14:textId="77777777" w:rsidR="00CB49CA" w:rsidRPr="00A50343" w:rsidRDefault="00CB49CA" w:rsidP="00CB49CA">
      <w:r>
        <w:t xml:space="preserve">Worker screening (e.g. WWCC/WWVP) and child safety regulatory requirements have an impact on workforce recruitment practices. However, it is important to consider any efforts to grow the workforce in balance with ensuring the safety of children and suitability of workers particularly </w:t>
      </w:r>
      <w:proofErr w:type="gramStart"/>
      <w:r>
        <w:t>in light of</w:t>
      </w:r>
      <w:proofErr w:type="gramEnd"/>
      <w:r>
        <w:t xml:space="preserve"> the review of Child Safety Arrangements under the NQF </w:t>
      </w:r>
      <w:r w:rsidRPr="009645B5">
        <w:t>and outcomes of the 2023 Ministerial Forum on Child Safety.</w:t>
      </w:r>
      <w:r>
        <w:t xml:space="preserve"> </w:t>
      </w:r>
      <w:r w:rsidRPr="00524480">
        <w:t>The National Strategy to Prevent and Respond to Child Sexual Abuse 2021-2030 highlights the key role of organisations in providing services to children and young people in a child safe way, which includes implementing the National Principles for Child Safe Organisations and enhancing national arrangements for information sharing.</w:t>
      </w:r>
      <w:r>
        <w:t xml:space="preserve"> </w:t>
      </w:r>
      <w:r w:rsidRPr="00A50343">
        <w:t>Regulatory differences across jurisdictions (States and Territories)</w:t>
      </w:r>
      <w:r>
        <w:t xml:space="preserve"> and </w:t>
      </w:r>
      <w:r w:rsidRPr="00A50343">
        <w:t>service types (e.g. CBDC, FDC, O</w:t>
      </w:r>
      <w:r>
        <w:t>SHC</w:t>
      </w:r>
      <w:r w:rsidRPr="00A50343">
        <w:t xml:space="preserve"> &amp; preschool</w:t>
      </w:r>
      <w:r>
        <w:t>/kindergarten</w:t>
      </w:r>
      <w:r w:rsidRPr="00A50343">
        <w:t>) impact movement interstate and equity of esteem</w:t>
      </w:r>
      <w:r>
        <w:t xml:space="preserve"> </w:t>
      </w:r>
      <w:r w:rsidRPr="00A50343">
        <w:t xml:space="preserve">in an increasingly nationalised system and cause barriers for sharing of good practice, resources and training. </w:t>
      </w:r>
    </w:p>
    <w:p w14:paraId="6E10D291" w14:textId="77777777" w:rsidR="00CB49CA" w:rsidRDefault="00CB49CA" w:rsidP="00CB49CA">
      <w:r w:rsidRPr="00A50343">
        <w:t xml:space="preserve">Noting proposed changes to ANZSCO </w:t>
      </w:r>
      <w:r>
        <w:t>occupation</w:t>
      </w:r>
      <w:r w:rsidRPr="00A50343">
        <w:t xml:space="preserve"> classifications, current role descriptions do not capture the work required and performed in ECEC. </w:t>
      </w:r>
      <w:r>
        <w:t>Clear understanding of roles</w:t>
      </w:r>
      <w:r w:rsidRPr="00A50343">
        <w:t xml:space="preserve"> is particularly important in providing appropriate training and professional development that ensures ECEC staff and centre managers are providing the services communities and families need. </w:t>
      </w:r>
    </w:p>
    <w:p w14:paraId="166AF0F3" w14:textId="77777777" w:rsidR="00CB49CA" w:rsidRPr="000F77BE" w:rsidRDefault="00CB49CA" w:rsidP="00CB49CA">
      <w:r w:rsidRPr="00A50343">
        <w:t xml:space="preserve">The NWC provides an important insight on the ECEC workforce but could be further strengthened with alignment to </w:t>
      </w:r>
      <w:r w:rsidRPr="00C63FE0">
        <w:rPr>
          <w:i/>
          <w:iCs/>
        </w:rPr>
        <w:t>Shaping Our Future</w:t>
      </w:r>
      <w:r w:rsidRPr="00A50343">
        <w:t xml:space="preserve">, reporting on service profile as well as </w:t>
      </w:r>
      <w:r w:rsidRPr="00A50343">
        <w:lastRenderedPageBreak/>
        <w:t>individual educator, more attentiveness to roles, hours worked, including at multiple services and study engagement of staff. There would be benefits should the NWC be able to be completed by individual educators and staff not just the service manager.</w:t>
      </w:r>
    </w:p>
    <w:p w14:paraId="1FAA5FE3" w14:textId="77777777" w:rsidR="00CB49CA" w:rsidRDefault="00CB49CA" w:rsidP="00CB49CA">
      <w:pPr>
        <w:pStyle w:val="Finding"/>
        <w:numPr>
          <w:ilvl w:val="0"/>
          <w:numId w:val="2"/>
        </w:numPr>
        <w:ind w:left="454" w:hanging="454"/>
      </w:pPr>
      <w:r w:rsidRPr="00A20EA3">
        <w:t xml:space="preserve">Data gaps and inconsistencies constrain effective workforce planning. This includes difficulty capturing the extent of unmet service demand, inconsistencies in scope and estimates between the National Workforce Census (NWC) and Australian Bureau of Statistics Labour Force Survey and other collections, and insufficient data on the First Nations ECEC workforce. </w:t>
      </w:r>
    </w:p>
    <w:tbl>
      <w:tblPr>
        <w:tblStyle w:val="BoxStyle"/>
        <w:tblW w:w="0" w:type="auto"/>
        <w:tblLook w:val="0620" w:firstRow="1" w:lastRow="0" w:firstColumn="0" w:lastColumn="0" w:noHBand="1" w:noVBand="1"/>
      </w:tblPr>
      <w:tblGrid>
        <w:gridCol w:w="9016"/>
      </w:tblGrid>
      <w:tr w:rsidR="00500EB9" w14:paraId="350378DE" w14:textId="77777777" w:rsidTr="009042F4">
        <w:tc>
          <w:tcPr>
            <w:tcW w:w="9016" w:type="dxa"/>
          </w:tcPr>
          <w:p w14:paraId="3AAADAA5" w14:textId="77777777" w:rsidR="00500EB9" w:rsidRDefault="00500EB9" w:rsidP="00500EB9">
            <w:pPr>
              <w:pStyle w:val="BoxHeading"/>
            </w:pPr>
            <w:bookmarkStart w:id="21" w:name="_Hlk174100545"/>
            <w:r w:rsidRPr="00500EB9">
              <w:t>CAMEO: Chelsea and Shelly, Room leaders</w:t>
            </w:r>
          </w:p>
          <w:p w14:paraId="58569EA7" w14:textId="77777777" w:rsidR="00500EB9" w:rsidRDefault="00500EB9" w:rsidP="00A2153C">
            <w:pPr>
              <w:spacing w:after="160" w:line="259" w:lineRule="auto"/>
            </w:pPr>
            <w:r>
              <w:t>Chelsea and Shelly were at different stages in their lives when they both applied to be trainees at Jenny’s Early Learning Centres in Bendigo, Victoria. Chelsea was 17 when she finished high school and began her traineeship at Jenny’s ELC, five years later Chelsea is a room leader loving her work. In contrast, Shelly was aged 46 when she left her career in sewing at a factory to undertake a traineeship. Shelly’s former workmates “thought [she] was crazy to switch jobs”, however ten years later, Shelly is also a room leader and is happy she didn’t take that advice.</w:t>
            </w:r>
          </w:p>
          <w:p w14:paraId="1DA09867" w14:textId="1C0A229E" w:rsidR="00500EB9" w:rsidRPr="00500EB9" w:rsidRDefault="00500EB9" w:rsidP="00500EB9">
            <w:pPr>
              <w:pStyle w:val="Source"/>
              <w:rPr>
                <w:caps/>
                <w:color w:val="6929C4" w:themeColor="accent1"/>
                <w:sz w:val="26"/>
                <w:szCs w:val="26"/>
              </w:rPr>
            </w:pPr>
            <w:r>
              <w:rPr>
                <w:noProof/>
              </w:rPr>
              <w:t xml:space="preserve">Source: Department of Education, (2023), </w:t>
            </w:r>
            <w:r w:rsidRPr="00EC0658">
              <w:rPr>
                <w:i/>
                <w:iCs/>
                <w:noProof/>
              </w:rPr>
              <w:t>Case study: Jenny’s Early Learning Centres</w:t>
            </w:r>
            <w:r>
              <w:rPr>
                <w:noProof/>
              </w:rPr>
              <w:t xml:space="preserve">, Australian Government, </w:t>
            </w:r>
            <w:hyperlink r:id="rId21" w:history="1">
              <w:r w:rsidRPr="006A0DA4">
                <w:rPr>
                  <w:rStyle w:val="Hyperlink"/>
                </w:rPr>
                <w:t>https://www.education.gov.au/early-childhood/case-studies/case-study-jennys-early-learning-centres</w:t>
              </w:r>
            </w:hyperlink>
            <w:r>
              <w:t xml:space="preserve">. </w:t>
            </w:r>
          </w:p>
        </w:tc>
      </w:tr>
      <w:bookmarkEnd w:id="21"/>
    </w:tbl>
    <w:p w14:paraId="6CE56570" w14:textId="77777777" w:rsidR="009E270F" w:rsidRDefault="009E270F" w:rsidP="009E270F"/>
    <w:tbl>
      <w:tblPr>
        <w:tblStyle w:val="BoxStyle"/>
        <w:tblW w:w="0" w:type="auto"/>
        <w:tblLook w:val="0620" w:firstRow="1" w:lastRow="0" w:firstColumn="0" w:lastColumn="0" w:noHBand="1" w:noVBand="1"/>
      </w:tblPr>
      <w:tblGrid>
        <w:gridCol w:w="9016"/>
      </w:tblGrid>
      <w:tr w:rsidR="00500EB9" w14:paraId="294FAA7C" w14:textId="77777777" w:rsidTr="005D67F5">
        <w:tc>
          <w:tcPr>
            <w:tcW w:w="9016" w:type="dxa"/>
          </w:tcPr>
          <w:p w14:paraId="04FE8528" w14:textId="7A3781CB" w:rsidR="00500EB9" w:rsidRDefault="00500EB9" w:rsidP="00DE0591">
            <w:pPr>
              <w:pStyle w:val="BoxHeading"/>
            </w:pPr>
            <w:r w:rsidRPr="00500EB9">
              <w:t>CAMEO: Melissa Harpur, Early Childhood Teacher</w:t>
            </w:r>
          </w:p>
          <w:p w14:paraId="4E70514C" w14:textId="77777777" w:rsidR="00500EB9" w:rsidRDefault="00500EB9" w:rsidP="00A2153C">
            <w:pPr>
              <w:spacing w:after="160" w:line="259" w:lineRule="auto"/>
            </w:pPr>
            <w:r>
              <w:t>Melissa’s journey to becoming an Early Childhood Teacher began when she completed her diploma at TAFE and gained a position at a local preschool. With support from the preschool, Melissa enrolled in the Bachelor of Education the Early Years where she was partnered with mentor ‘Aunty’ Deb Wray from the Woolyungah Indigenous Centre for additional support. In her final year of study, Melissa undertook practical experience at an early learning centre where she grew in confidence. Melissa now works as an Early Childhood Teacher at this centre and collaborates with other services in playgroups for Aboriginal children and families.</w:t>
            </w:r>
          </w:p>
          <w:p w14:paraId="45EBB35D" w14:textId="77777777" w:rsidR="00500EB9" w:rsidRDefault="00500EB9" w:rsidP="00A2153C">
            <w:pPr>
              <w:spacing w:after="160" w:line="259" w:lineRule="auto"/>
            </w:pPr>
            <w:r>
              <w:t>Melissa enjoys her career but finds it very busy. Nevertheless, she finds it interesting and has plans for further training in the field. In 2023 Melissa was undertaking further training at TAFE and plans to study a Master of Special Education with a focus on First Nations perspectives in the early childhood sector.</w:t>
            </w:r>
          </w:p>
          <w:p w14:paraId="43B8F304" w14:textId="17DCD1A1" w:rsidR="00500EB9" w:rsidRPr="00500EB9" w:rsidRDefault="00500EB9" w:rsidP="00500EB9">
            <w:pPr>
              <w:pStyle w:val="Source"/>
              <w:rPr>
                <w:caps/>
                <w:color w:val="6929C4" w:themeColor="accent1"/>
                <w:sz w:val="26"/>
                <w:szCs w:val="26"/>
              </w:rPr>
            </w:pPr>
            <w:r>
              <w:rPr>
                <w:noProof/>
              </w:rPr>
              <w:t xml:space="preserve">Source: My Future, (2024), </w:t>
            </w:r>
            <w:r w:rsidRPr="00434D43">
              <w:rPr>
                <w:i/>
                <w:iCs/>
                <w:noProof/>
              </w:rPr>
              <w:t>Early Childhood Educator addresses her future</w:t>
            </w:r>
            <w:r>
              <w:rPr>
                <w:noProof/>
              </w:rPr>
              <w:t xml:space="preserve">, My Future, </w:t>
            </w:r>
            <w:hyperlink r:id="rId22" w:history="1">
              <w:r w:rsidRPr="00760FE7">
                <w:rPr>
                  <w:rStyle w:val="Hyperlink"/>
                </w:rPr>
                <w:t>https://myfuture.edu.au/career-stories/details/early-childhood-educator-addresses-her-future</w:t>
              </w:r>
            </w:hyperlink>
            <w:r w:rsidRPr="00760FE7">
              <w:t xml:space="preserve">. </w:t>
            </w:r>
          </w:p>
        </w:tc>
      </w:tr>
    </w:tbl>
    <w:p w14:paraId="0226E612" w14:textId="77777777" w:rsidR="00F07C11" w:rsidRDefault="00F07C11" w:rsidP="00F07C11"/>
    <w:p w14:paraId="3A2DC59E" w14:textId="77777777" w:rsidR="00F07C11" w:rsidRDefault="00F07C11">
      <w:pPr>
        <w:rPr>
          <w:rFonts w:eastAsiaTheme="majorEastAsia" w:cstheme="majorBidi"/>
          <w:b/>
          <w:sz w:val="44"/>
          <w:szCs w:val="26"/>
        </w:rPr>
      </w:pPr>
      <w:r>
        <w:br w:type="page"/>
      </w:r>
    </w:p>
    <w:p w14:paraId="74822FF2" w14:textId="2954EDA6" w:rsidR="00CB49CA" w:rsidRPr="005E491D" w:rsidRDefault="00CB49CA" w:rsidP="00CB49CA">
      <w:pPr>
        <w:pStyle w:val="Heading2"/>
      </w:pPr>
      <w:bookmarkStart w:id="22" w:name="_Toc174363686"/>
      <w:r w:rsidRPr="005E491D">
        <w:lastRenderedPageBreak/>
        <w:t>Future states</w:t>
      </w:r>
      <w:bookmarkEnd w:id="22"/>
    </w:p>
    <w:p w14:paraId="41765970" w14:textId="77777777" w:rsidR="00CB49CA" w:rsidRDefault="00CB49CA" w:rsidP="00CB49CA">
      <w:pPr>
        <w:rPr>
          <w:b/>
          <w:bCs/>
        </w:rPr>
      </w:pPr>
      <w:r>
        <w:t xml:space="preserve">Modelling commissioned by JSA looked at the likely future demand for early childhood services over the next ten years. The modelling took into account current levels of unmet demand (for children already accessing services only), future population growth and changes in the participation rate, and the commitments that have been made to expand preschool access for </w:t>
      </w:r>
      <w:proofErr w:type="gramStart"/>
      <w:r>
        <w:t>3 and 4 year olds</w:t>
      </w:r>
      <w:proofErr w:type="gramEnd"/>
      <w:r>
        <w:t>.</w:t>
      </w:r>
    </w:p>
    <w:p w14:paraId="745207B5" w14:textId="77777777" w:rsidR="00CB49CA" w:rsidRPr="006B6A3C" w:rsidRDefault="00CB49CA" w:rsidP="00CB49CA">
      <w:pPr>
        <w:pStyle w:val="Finding"/>
        <w:numPr>
          <w:ilvl w:val="0"/>
          <w:numId w:val="2"/>
        </w:numPr>
        <w:ind w:left="454" w:hanging="454"/>
      </w:pPr>
      <w:r>
        <w:t>To meet p</w:t>
      </w:r>
      <w:r w:rsidRPr="006B6A3C">
        <w:t>rojected national population growth increases (</w:t>
      </w:r>
      <w:r w:rsidRPr="000F77BE">
        <w:t>1.3</w:t>
      </w:r>
      <w:r w:rsidRPr="006B6A3C">
        <w:t xml:space="preserve"> </w:t>
      </w:r>
      <w:r>
        <w:t xml:space="preserve">per cent </w:t>
      </w:r>
      <w:r w:rsidRPr="006B6A3C">
        <w:t>per year) and increased female participation in the workforce, the ECEC workforce will need to grow by around 1.5</w:t>
      </w:r>
      <w:r>
        <w:t xml:space="preserve"> per cent</w:t>
      </w:r>
      <w:r w:rsidRPr="006B6A3C">
        <w:t xml:space="preserve"> per year by 2034 to service the increase in demand. </w:t>
      </w:r>
    </w:p>
    <w:p w14:paraId="09FEABC9" w14:textId="77777777" w:rsidR="00CB49CA" w:rsidRPr="000F77BE" w:rsidRDefault="00CB49CA" w:rsidP="00CB49CA">
      <w:pPr>
        <w:pStyle w:val="Finding"/>
        <w:numPr>
          <w:ilvl w:val="0"/>
          <w:numId w:val="2"/>
        </w:numPr>
        <w:ind w:left="454" w:hanging="454"/>
        <w:rPr>
          <w:i/>
        </w:rPr>
      </w:pPr>
      <w:r>
        <w:t>The current ECEC workforce would likely need to grow by an extra 8 per cent to satisfy current estimated unmet demand for early childhood services and another 8 per cent to meet unmet demand for qualified workers</w:t>
      </w:r>
      <w:r w:rsidRPr="000F77BE">
        <w:rPr>
          <w:i/>
        </w:rPr>
        <w:t xml:space="preserve">. </w:t>
      </w:r>
    </w:p>
    <w:p w14:paraId="0A10E968" w14:textId="77777777" w:rsidR="00CB49CA" w:rsidRPr="004E0F63" w:rsidRDefault="00CB49CA" w:rsidP="00CB49CA">
      <w:pPr>
        <w:pStyle w:val="Finding"/>
        <w:numPr>
          <w:ilvl w:val="0"/>
          <w:numId w:val="2"/>
        </w:numPr>
        <w:ind w:left="454" w:hanging="454"/>
      </w:pPr>
      <w:proofErr w:type="gramStart"/>
      <w:r>
        <w:t>In order to</w:t>
      </w:r>
      <w:proofErr w:type="gramEnd"/>
      <w:r>
        <w:t xml:space="preserve"> meet the various policies already committed to by Commonwealth, State and Territory governments, the ECEC workforce will likely need to increase by an annual average growth rate of </w:t>
      </w:r>
      <w:r w:rsidRPr="000F77BE">
        <w:t>1.9</w:t>
      </w:r>
      <w:r>
        <w:t xml:space="preserve"> per cent per year overall and by 3.2 per cent per year for Early Childhood Teachers.</w:t>
      </w:r>
    </w:p>
    <w:p w14:paraId="45D6F4C7" w14:textId="77777777" w:rsidR="00CB49CA" w:rsidRDefault="00CB49CA" w:rsidP="00CB49CA">
      <w:r>
        <w:t xml:space="preserve">There is evidence that further expanding access to early childhood education to a universal model of up to 30 hours per week, including universal preschool for </w:t>
      </w:r>
      <w:proofErr w:type="gramStart"/>
      <w:r>
        <w:t>3 and 4 year olds</w:t>
      </w:r>
      <w:proofErr w:type="gramEnd"/>
      <w:r>
        <w:t xml:space="preserve">, could deliver substantial benefits for child development, social inclusion and long-term skills growth, as well as women’s labour force participation. Achieving this secular increase in access would add to the scale of future workforce demand. </w:t>
      </w:r>
    </w:p>
    <w:p w14:paraId="62794065" w14:textId="77777777" w:rsidR="00CB49CA" w:rsidRPr="00A50343" w:rsidRDefault="00CB49CA" w:rsidP="00CB49CA">
      <w:pPr>
        <w:pStyle w:val="Finding"/>
        <w:numPr>
          <w:ilvl w:val="0"/>
          <w:numId w:val="2"/>
        </w:numPr>
        <w:ind w:left="454" w:hanging="454"/>
      </w:pPr>
      <w:r>
        <w:t xml:space="preserve">To implement universal access and universal preschool for </w:t>
      </w:r>
      <w:proofErr w:type="gramStart"/>
      <w:r>
        <w:t>3 and 4 year olds</w:t>
      </w:r>
      <w:proofErr w:type="gramEnd"/>
      <w:r>
        <w:t xml:space="preserve"> and up to 30 hours per week over three days of ECEC to be available to all children, the ECEC workforce will likely need to grow by 3.0 per cent per year with Early Childhood teachers needing to grow by 5.4 per cent per year.</w:t>
      </w:r>
    </w:p>
    <w:p w14:paraId="60A8552E" w14:textId="77777777" w:rsidR="00CB49CA" w:rsidRPr="00991D76" w:rsidRDefault="00CB49CA" w:rsidP="00CB49CA">
      <w:r>
        <w:t xml:space="preserve">Attention therefore needs to turn to the likely future supply of </w:t>
      </w:r>
      <w:r w:rsidRPr="000F77BE">
        <w:rPr>
          <w:i/>
        </w:rPr>
        <w:t>Early Childhood Educators</w:t>
      </w:r>
      <w:r>
        <w:t xml:space="preserve"> and </w:t>
      </w:r>
      <w:r w:rsidRPr="00C63FE0">
        <w:rPr>
          <w:i/>
          <w:iCs/>
        </w:rPr>
        <w:t>Early Childhood Teachers</w:t>
      </w:r>
      <w:r>
        <w:t xml:space="preserve">. Aggregate supply is expected to increase by </w:t>
      </w:r>
      <w:r w:rsidRPr="000F77BE">
        <w:t>2.0</w:t>
      </w:r>
      <w:r>
        <w:t xml:space="preserve">% per year over the next 10 years. The biggest contributions to supply growth are expected to come from ‘movements between </w:t>
      </w:r>
      <w:proofErr w:type="gramStart"/>
      <w:r>
        <w:t>occupations’</w:t>
      </w:r>
      <w:proofErr w:type="gramEnd"/>
      <w:r>
        <w:t xml:space="preserve"> and Vocational Education and Training (VET) completions. </w:t>
      </w:r>
    </w:p>
    <w:p w14:paraId="34D8B488" w14:textId="77777777" w:rsidR="00CB49CA" w:rsidRDefault="00CB49CA" w:rsidP="00CB49CA">
      <w:pPr>
        <w:pStyle w:val="Finding"/>
        <w:numPr>
          <w:ilvl w:val="0"/>
          <w:numId w:val="2"/>
        </w:numPr>
        <w:ind w:left="454" w:hanging="454"/>
      </w:pPr>
      <w:r>
        <w:t xml:space="preserve">If current pay and conditions are maintained the sector will need to draw in aggregate supply for </w:t>
      </w:r>
      <w:r w:rsidRPr="379DB112">
        <w:rPr>
          <w:i/>
          <w:iCs/>
        </w:rPr>
        <w:t xml:space="preserve">Child Care Workers </w:t>
      </w:r>
      <w:r>
        <w:t xml:space="preserve">from outside the labour force, requiring extra training effort and time and exacerbating existing workforce pressures. In 2034, the </w:t>
      </w:r>
      <w:r w:rsidRPr="379DB112">
        <w:rPr>
          <w:i/>
          <w:iCs/>
        </w:rPr>
        <w:t>Early Childhood (Pre-primary School) Teacher</w:t>
      </w:r>
      <w:r>
        <w:t xml:space="preserve"> occupation is expected to continue to record a shortfall in staff. </w:t>
      </w:r>
    </w:p>
    <w:p w14:paraId="789291AE" w14:textId="77777777" w:rsidR="00CB49CA" w:rsidRPr="008437FD" w:rsidRDefault="00CB49CA" w:rsidP="00CB49CA">
      <w:pPr>
        <w:pStyle w:val="Finding"/>
        <w:numPr>
          <w:ilvl w:val="0"/>
          <w:numId w:val="2"/>
        </w:numPr>
        <w:ind w:left="454" w:hanging="454"/>
        <w:rPr>
          <w:rFonts w:eastAsia="Arial" w:cs="Arial"/>
          <w:i/>
          <w:iCs/>
        </w:rPr>
      </w:pPr>
      <w:r>
        <w:t xml:space="preserve">When examined at the regional (SA4) level workforce shortages are apparent in </w:t>
      </w:r>
      <w:r w:rsidRPr="000F77BE">
        <w:t>most</w:t>
      </w:r>
      <w:r>
        <w:t xml:space="preserve"> regions across major cities, regional and remote Australia and are forecast to persist over the next ten years. </w:t>
      </w:r>
      <w:r w:rsidRPr="379DB112">
        <w:rPr>
          <w:rFonts w:eastAsia="Arial" w:cs="Arial"/>
        </w:rPr>
        <w:t xml:space="preserve"> </w:t>
      </w:r>
    </w:p>
    <w:p w14:paraId="29EBBCF8" w14:textId="77777777" w:rsidR="00CB49CA" w:rsidRDefault="00CB49CA" w:rsidP="00CB49CA"/>
    <w:p w14:paraId="53BD3A34" w14:textId="77777777" w:rsidR="00CB49CA" w:rsidRDefault="00CB49CA" w:rsidP="00CB49CA">
      <w:pPr>
        <w:rPr>
          <w:rFonts w:eastAsiaTheme="majorEastAsia" w:cstheme="majorBidi"/>
          <w:b/>
          <w:sz w:val="32"/>
          <w:szCs w:val="26"/>
        </w:rPr>
      </w:pPr>
      <w:r>
        <w:br w:type="page"/>
      </w:r>
    </w:p>
    <w:p w14:paraId="1D6EBB01" w14:textId="77777777" w:rsidR="00CB49CA" w:rsidRPr="005E491D" w:rsidRDefault="00CB49CA" w:rsidP="00CB49CA">
      <w:pPr>
        <w:pStyle w:val="Heading2"/>
      </w:pPr>
      <w:bookmarkStart w:id="23" w:name="_Toc174363687"/>
      <w:r w:rsidRPr="005E491D">
        <w:lastRenderedPageBreak/>
        <w:t>Sustainable and ongoing learning and development</w:t>
      </w:r>
      <w:bookmarkEnd w:id="23"/>
      <w:r w:rsidRPr="005E491D">
        <w:t xml:space="preserve">  </w:t>
      </w:r>
    </w:p>
    <w:p w14:paraId="3C08CE3C" w14:textId="77777777" w:rsidR="00CB49CA" w:rsidRDefault="00CB49CA" w:rsidP="00CB49CA">
      <w:r>
        <w:t>In submissions and through roundtable discussions, stakeholders affirmed their commitment to improving and sustaining quality education and care, their support for the current NQF settings as the means for achieving that, and the importance of a close relationship with the education and training system in delivering and maintaining a skilled workforce.</w:t>
      </w:r>
    </w:p>
    <w:p w14:paraId="38DCA877" w14:textId="77777777" w:rsidR="00CB49CA" w:rsidRDefault="00CB49CA" w:rsidP="00CB49CA">
      <w:r>
        <w:t>Broadly, the existing qualifications and delivery mechanisms continue to serve the sector well but there are some tensions and gaps relating to</w:t>
      </w:r>
    </w:p>
    <w:p w14:paraId="0437C0D0" w14:textId="77777777" w:rsidR="00CB49CA" w:rsidRDefault="00CB49CA" w:rsidP="00CB49CA">
      <w:pPr>
        <w:pStyle w:val="ListParagraph"/>
        <w:numPr>
          <w:ilvl w:val="0"/>
          <w:numId w:val="3"/>
        </w:numPr>
        <w:tabs>
          <w:tab w:val="clear" w:pos="357"/>
        </w:tabs>
      </w:pPr>
      <w:r>
        <w:t>The appropriate content for the Certificate III in Early Childhood Education and Care as the bedrock qualification</w:t>
      </w:r>
    </w:p>
    <w:p w14:paraId="69ECAE65" w14:textId="77777777" w:rsidR="00CB49CA" w:rsidRDefault="00CB49CA" w:rsidP="00CB49CA">
      <w:pPr>
        <w:pStyle w:val="ListParagraph"/>
        <w:numPr>
          <w:ilvl w:val="0"/>
          <w:numId w:val="3"/>
        </w:numPr>
        <w:tabs>
          <w:tab w:val="clear" w:pos="357"/>
        </w:tabs>
      </w:pPr>
      <w:r>
        <w:t>Opportunities for students and workers to enter the sector in supporting roles (e.g. excluded from ratios) without undertaking the Certificate III</w:t>
      </w:r>
    </w:p>
    <w:p w14:paraId="37EB59CB" w14:textId="77777777" w:rsidR="00CB49CA" w:rsidRDefault="00CB49CA" w:rsidP="00CB49CA">
      <w:pPr>
        <w:pStyle w:val="ListParagraph"/>
        <w:numPr>
          <w:ilvl w:val="0"/>
          <w:numId w:val="3"/>
        </w:numPr>
        <w:tabs>
          <w:tab w:val="clear" w:pos="357"/>
        </w:tabs>
      </w:pPr>
      <w:r>
        <w:t>The strain arising from a large increase in Certificate III traineeships to meet workforce demand</w:t>
      </w:r>
    </w:p>
    <w:p w14:paraId="5AE0994F" w14:textId="77777777" w:rsidR="00CB49CA" w:rsidRDefault="00CB49CA" w:rsidP="00CB49CA">
      <w:pPr>
        <w:pStyle w:val="ListParagraph"/>
        <w:numPr>
          <w:ilvl w:val="0"/>
          <w:numId w:val="3"/>
        </w:numPr>
        <w:tabs>
          <w:tab w:val="clear" w:pos="357"/>
        </w:tabs>
      </w:pPr>
      <w:r>
        <w:t>Enrolment arrangements for the Diploma of Early Childhood Education and Care that may be too strict</w:t>
      </w:r>
    </w:p>
    <w:p w14:paraId="7566605C" w14:textId="77777777" w:rsidR="00CB49CA" w:rsidRDefault="00CB49CA" w:rsidP="00CB49CA">
      <w:pPr>
        <w:pStyle w:val="ListParagraph"/>
        <w:numPr>
          <w:ilvl w:val="0"/>
          <w:numId w:val="3"/>
        </w:numPr>
        <w:tabs>
          <w:tab w:val="clear" w:pos="357"/>
        </w:tabs>
      </w:pPr>
      <w:r>
        <w:t>Accessibility of work placements without financial support for VET and higher education students (or being able to count current employment towards placements)</w:t>
      </w:r>
    </w:p>
    <w:p w14:paraId="738BA281" w14:textId="77777777" w:rsidR="00CB49CA" w:rsidRDefault="00CB49CA" w:rsidP="00CB49CA">
      <w:pPr>
        <w:pStyle w:val="ListParagraph"/>
        <w:numPr>
          <w:ilvl w:val="0"/>
          <w:numId w:val="3"/>
        </w:numPr>
        <w:tabs>
          <w:tab w:val="clear" w:pos="357"/>
        </w:tabs>
      </w:pPr>
      <w:r>
        <w:t xml:space="preserve">A lack of flexibility to recognise the potential for professionals with alternative qualifications to substitute for </w:t>
      </w:r>
      <w:r w:rsidRPr="00C63FE0">
        <w:t xml:space="preserve">Early Childhood Teachers </w:t>
      </w:r>
      <w:r>
        <w:t>where there is already at least one ECT employed in the service</w:t>
      </w:r>
    </w:p>
    <w:p w14:paraId="4EE61D15" w14:textId="77777777" w:rsidR="00CB49CA" w:rsidRDefault="00CB49CA" w:rsidP="00CB49CA">
      <w:pPr>
        <w:pStyle w:val="ListParagraph"/>
        <w:numPr>
          <w:ilvl w:val="0"/>
          <w:numId w:val="3"/>
        </w:numPr>
        <w:tabs>
          <w:tab w:val="clear" w:pos="357"/>
        </w:tabs>
      </w:pPr>
      <w:r>
        <w:t>Access to funded training for international students</w:t>
      </w:r>
    </w:p>
    <w:p w14:paraId="6CF68FF5" w14:textId="77777777" w:rsidR="00CB49CA" w:rsidRDefault="00CB49CA" w:rsidP="00CB49CA">
      <w:r>
        <w:t xml:space="preserve">There is also an opportunity to foster a more supportive environment to assist more First Nations Australians to complete qualifications. These concerns could be alleviated by taking an orientation to sustainable and ongoing learning and development and are further explored in findings and recommendations outlined in this section. </w:t>
      </w:r>
    </w:p>
    <w:p w14:paraId="49FDA855" w14:textId="77777777" w:rsidR="00CB49CA" w:rsidRPr="00870C20" w:rsidRDefault="00CB49CA" w:rsidP="00CB49CA">
      <w:pPr>
        <w:pStyle w:val="Finding"/>
        <w:numPr>
          <w:ilvl w:val="0"/>
          <w:numId w:val="2"/>
        </w:numPr>
        <w:ind w:left="454" w:hanging="454"/>
      </w:pPr>
      <w:r>
        <w:t xml:space="preserve">Developing the ECEC profession and assuring high quality workforce practice is linked to high quality qualifications delivery and assessment and availability of ongoing professional development, including relating to child safety.  </w:t>
      </w:r>
    </w:p>
    <w:p w14:paraId="232FA850" w14:textId="77777777" w:rsidR="00CB49CA" w:rsidRPr="003C3081" w:rsidRDefault="00CB49CA" w:rsidP="00A2153C">
      <w:pPr>
        <w:pStyle w:val="ListParagraph"/>
      </w:pPr>
      <w:r w:rsidRPr="00416D64">
        <w:t>Services and ECEC workers delivering high quality ECEC, quality assessments, and improved professional development are identified</w:t>
      </w:r>
      <w:r>
        <w:t>,</w:t>
      </w:r>
      <w:r w:rsidRPr="00416D64">
        <w:t xml:space="preserve"> and their practices disseminated across the sector. Pathways </w:t>
      </w:r>
      <w:r>
        <w:t>could</w:t>
      </w:r>
      <w:r w:rsidRPr="00416D64">
        <w:t xml:space="preserve"> </w:t>
      </w:r>
      <w:r>
        <w:t xml:space="preserve">potentially </w:t>
      </w:r>
      <w:r w:rsidRPr="00416D64">
        <w:t xml:space="preserve">include through the </w:t>
      </w:r>
      <w:r>
        <w:t xml:space="preserve">proposed </w:t>
      </w:r>
      <w:r w:rsidRPr="00416D64">
        <w:t>Shaping our Future national professional practice network, or through development of additional recognition and incentive tools by governments.</w:t>
      </w:r>
    </w:p>
    <w:p w14:paraId="7658B9F5" w14:textId="77777777" w:rsidR="00CB49CA" w:rsidRPr="00A50343" w:rsidRDefault="00CB49CA" w:rsidP="00F07C11">
      <w:pPr>
        <w:pStyle w:val="Finding"/>
        <w:keepNext/>
        <w:keepLines/>
        <w:numPr>
          <w:ilvl w:val="0"/>
          <w:numId w:val="2"/>
        </w:numPr>
        <w:ind w:left="454" w:hanging="454"/>
      </w:pPr>
      <w:r>
        <w:lastRenderedPageBreak/>
        <w:t xml:space="preserve">The Certificate III ECEC is the bedrock workforce qualification across service types. However, there is a widespread concern across the ECEC sector that the current content of Certificate III ECEC is too complex and broadly focused. Current delivery methods of the Certificate III ECEC also contribute to making success in ECEC more difficult for some cohorts, including delivery in schools. The block-mode delivery requiring intensive focus away from family or community, and for those with differing levels of literacy.   </w:t>
      </w:r>
    </w:p>
    <w:p w14:paraId="44E2F559" w14:textId="77777777" w:rsidR="00CB49CA" w:rsidRPr="00F47D66" w:rsidRDefault="00CB49CA" w:rsidP="00286274">
      <w:pPr>
        <w:pStyle w:val="ListParagraph"/>
      </w:pPr>
      <w:r>
        <w:t xml:space="preserve">HumanAbility to review the current content of the Certificate III in Early Childhood Education and Care, in collaboration with States and Territories, to identify opportunities to reduce the complexity of the learning outcomes, without detracting from quality. </w:t>
      </w:r>
    </w:p>
    <w:p w14:paraId="51EB2F39" w14:textId="77777777" w:rsidR="00CB49CA" w:rsidRPr="00F47D66" w:rsidRDefault="00CB49CA" w:rsidP="00286274">
      <w:pPr>
        <w:pStyle w:val="ListParagraph"/>
      </w:pPr>
      <w:r w:rsidRPr="005462A3">
        <w:t>HumanAbility to consider how the national training system can better support more graduated pathways into Early Childhood Educator roles. Education and Training Providers should work with Governments to continue to develop and fund programs that will provide an accessible pathway into Early Childhood Educator roles by:</w:t>
      </w:r>
    </w:p>
    <w:p w14:paraId="467F7A05" w14:textId="77777777" w:rsidR="00CB49CA" w:rsidRPr="003C3081" w:rsidRDefault="00CB49CA" w:rsidP="00BD1A65">
      <w:pPr>
        <w:pStyle w:val="ListParagraph"/>
        <w:numPr>
          <w:ilvl w:val="0"/>
          <w:numId w:val="7"/>
        </w:numPr>
        <w:tabs>
          <w:tab w:val="clear" w:pos="357"/>
        </w:tabs>
        <w:ind w:left="1431"/>
        <w:rPr>
          <w:i w:val="0"/>
          <w:iCs w:val="0"/>
        </w:rPr>
      </w:pPr>
      <w:r w:rsidRPr="003C3081">
        <w:t>encouraging development of pre-employment programs</w:t>
      </w:r>
      <w:r>
        <w:t>.</w:t>
      </w:r>
    </w:p>
    <w:p w14:paraId="2378E344" w14:textId="77777777" w:rsidR="00CB49CA" w:rsidRPr="003C3081" w:rsidRDefault="00CB49CA" w:rsidP="00BD1A65">
      <w:pPr>
        <w:pStyle w:val="ListParagraph"/>
        <w:numPr>
          <w:ilvl w:val="0"/>
          <w:numId w:val="7"/>
        </w:numPr>
        <w:tabs>
          <w:tab w:val="clear" w:pos="357"/>
        </w:tabs>
        <w:ind w:left="1431"/>
        <w:rPr>
          <w:i w:val="0"/>
          <w:iCs w:val="0"/>
        </w:rPr>
      </w:pPr>
      <w:r w:rsidRPr="003C3081">
        <w:t xml:space="preserve">assessing the appropriateness of SkillSets for different service types where the full qualification is not nationally mandated for workforce (particularly </w:t>
      </w:r>
      <w:r>
        <w:t>OSHC</w:t>
      </w:r>
      <w:r w:rsidRPr="003C3081">
        <w:t>) including review</w:t>
      </w:r>
      <w:r>
        <w:t>ing</w:t>
      </w:r>
      <w:r w:rsidRPr="003C3081">
        <w:t xml:space="preserve"> existing OSHC SkillSets.</w:t>
      </w:r>
    </w:p>
    <w:p w14:paraId="6FB36C2F" w14:textId="77777777" w:rsidR="00CB49CA" w:rsidRPr="003C3081" w:rsidRDefault="00CB49CA" w:rsidP="00BD1A65">
      <w:pPr>
        <w:pStyle w:val="ListParagraph"/>
        <w:numPr>
          <w:ilvl w:val="0"/>
          <w:numId w:val="7"/>
        </w:numPr>
        <w:tabs>
          <w:tab w:val="clear" w:pos="357"/>
        </w:tabs>
        <w:ind w:left="1431"/>
        <w:rPr>
          <w:i w:val="0"/>
          <w:iCs w:val="0"/>
        </w:rPr>
      </w:pPr>
      <w:r w:rsidRPr="003C3081">
        <w:t xml:space="preserve">incentivising the development </w:t>
      </w:r>
      <w:r>
        <w:t xml:space="preserve">of </w:t>
      </w:r>
      <w:r w:rsidRPr="003C3081">
        <w:t xml:space="preserve">resources to support </w:t>
      </w:r>
      <w:r>
        <w:t xml:space="preserve">high quality </w:t>
      </w:r>
      <w:r w:rsidRPr="003C3081">
        <w:t xml:space="preserve">simulated training and assessment before on the job placement. </w:t>
      </w:r>
    </w:p>
    <w:p w14:paraId="514A4806" w14:textId="26607655" w:rsidR="00CB49CA" w:rsidRPr="003C3081" w:rsidRDefault="00CB49CA" w:rsidP="00286274">
      <w:pPr>
        <w:pStyle w:val="ListParagraph"/>
      </w:pPr>
      <w:r>
        <w:t xml:space="preserve">Governments should support completions of ECEC qualifications in school-based apprenticeships and traineeships to ensure sustainability and drive access. As a senior secondary pathway alternative, consider supporting the further development of a taster skillset designed to be delivered in VET in schools and other settings with explicit arrangements with RTOs and ECEC providers that support the student to complete the </w:t>
      </w:r>
      <w:r w:rsidR="005A7D57">
        <w:rPr>
          <w:rFonts w:cs="Arial"/>
        </w:rPr>
        <w:t>Certificate III in Early Childhood Education and Care</w:t>
      </w:r>
      <w:r>
        <w:t xml:space="preserve">.  </w:t>
      </w:r>
      <w:r w:rsidRPr="003C3081">
        <w:t xml:space="preserve">  </w:t>
      </w:r>
    </w:p>
    <w:p w14:paraId="29B9FF40" w14:textId="77777777" w:rsidR="00CB49CA" w:rsidRDefault="00CB49CA" w:rsidP="00CB49CA">
      <w:pPr>
        <w:pStyle w:val="Finding"/>
        <w:numPr>
          <w:ilvl w:val="0"/>
          <w:numId w:val="2"/>
        </w:numPr>
        <w:ind w:left="454" w:hanging="454"/>
      </w:pPr>
      <w:r>
        <w:t>Traineeships form a critical part of the workforce pipeline and should offer a well-supported way to earn and learn. In an expanding system, new trainees are very important, but the recent, very large influx of traineeships (doubling since 2020) has produced a bottleneck for senior staffing in terms of meeting regulatory compliance and on-the-job mentorship.</w:t>
      </w:r>
    </w:p>
    <w:p w14:paraId="5F81F165" w14:textId="77777777" w:rsidR="00CB49CA" w:rsidRPr="003C3081" w:rsidRDefault="00CB49CA" w:rsidP="00286274">
      <w:pPr>
        <w:pStyle w:val="ListParagraph"/>
      </w:pPr>
      <w:r w:rsidRPr="0094735E">
        <w:t>The sector should systematically recognise the role of senior and experienced staff in supporting trainee induction, development, assessment and mentoring</w:t>
      </w:r>
      <w:r>
        <w:t>. C</w:t>
      </w:r>
      <w:r w:rsidRPr="0094735E">
        <w:t>lassification arrangements and role descriptions (including in any relevant Award review) and in allocation of non-contact time</w:t>
      </w:r>
      <w:r>
        <w:t xml:space="preserve"> is also in scope</w:t>
      </w:r>
      <w:r w:rsidRPr="0094735E">
        <w:t>.</w:t>
      </w:r>
      <w:r w:rsidRPr="003C3081">
        <w:t xml:space="preserve"> </w:t>
      </w:r>
    </w:p>
    <w:p w14:paraId="1716A3E8" w14:textId="77777777" w:rsidR="00CB49CA" w:rsidRPr="00726BE7" w:rsidRDefault="00CB49CA" w:rsidP="00CB49CA">
      <w:pPr>
        <w:pStyle w:val="Finding"/>
        <w:numPr>
          <w:ilvl w:val="0"/>
          <w:numId w:val="2"/>
        </w:numPr>
        <w:ind w:left="454" w:hanging="454"/>
      </w:pPr>
      <w:r>
        <w:t xml:space="preserve">The role of Diploma qualified educators is the fulcrum of the long day care setting and Diploma enrolments have fallen in recent years. A contributing factor is that the Diploma entry requirement of a completed Certificate III ECEC within the two most recent training packages, and the minimal pay increase associated with the higher qualification, has discouraged Diploma enrolments since 2021.  </w:t>
      </w:r>
    </w:p>
    <w:p w14:paraId="5A9ACA8E" w14:textId="5D7EA358" w:rsidR="00CB49CA" w:rsidRDefault="00CB49CA" w:rsidP="00286274">
      <w:pPr>
        <w:pStyle w:val="ListParagraph"/>
      </w:pPr>
      <w:r>
        <w:t xml:space="preserve">States and Territories should examine ways to support enrolments in ECEC Diploma courses, including by not limiting the time since completing the </w:t>
      </w:r>
      <w:r w:rsidR="005A7D57" w:rsidRPr="005A7D57">
        <w:t xml:space="preserve">Certificate III in Early Childhood Education and Care </w:t>
      </w:r>
      <w:r>
        <w:t>which allows for staff currently working in the sector to access funding.</w:t>
      </w:r>
    </w:p>
    <w:p w14:paraId="7F598A2A" w14:textId="77777777" w:rsidR="00CB49CA" w:rsidRDefault="00CB49CA" w:rsidP="00F07C11">
      <w:pPr>
        <w:pStyle w:val="ListParagraph"/>
        <w:keepLines/>
        <w:ind w:left="1077" w:hanging="357"/>
      </w:pPr>
      <w:r>
        <w:lastRenderedPageBreak/>
        <w:t xml:space="preserve">HumanAbility </w:t>
      </w:r>
      <w:r w:rsidRPr="00C91D2E">
        <w:t>should review training package arrangements to ensure</w:t>
      </w:r>
      <w:r>
        <w:t xml:space="preserve"> they are</w:t>
      </w:r>
      <w:r w:rsidRPr="00C91D2E">
        <w:t xml:space="preserve"> fit for purpose. Further considerations could include developing a bridging course for the current Diploma ECEC targeted at educators returning to the sector who already hold a recognised ECEC qualification but have not worked in the system for several years, or potentially expanded to those transitioning from adjacent sectors.</w:t>
      </w:r>
      <w:r>
        <w:t xml:space="preserve"> </w:t>
      </w:r>
    </w:p>
    <w:p w14:paraId="5D38709D" w14:textId="77777777" w:rsidR="00CB49CA" w:rsidRPr="00A50343" w:rsidRDefault="00CB49CA" w:rsidP="00CB49CA">
      <w:pPr>
        <w:pStyle w:val="Finding"/>
        <w:numPr>
          <w:ilvl w:val="0"/>
          <w:numId w:val="2"/>
        </w:numPr>
        <w:ind w:left="454" w:hanging="454"/>
      </w:pPr>
      <w:r>
        <w:t xml:space="preserve">Many students enrolled in ECEC courses also work in the sector. However, outside formal traineeships employment experience only in specific situations counts towards their qualification, raising concerns about placement poverty. This places pressure on the system of placements, where there are significant hours required in both VET and higher education ECEC qualifications. This may also place significant financial strain on students, noting current plans to introduce paid placements for higher education students. </w:t>
      </w:r>
    </w:p>
    <w:p w14:paraId="594526FA" w14:textId="77777777" w:rsidR="00CB49CA" w:rsidRDefault="00CB49CA" w:rsidP="00A261E4">
      <w:pPr>
        <w:pStyle w:val="ListParagraph"/>
      </w:pPr>
      <w:r>
        <w:t>To support an ongoing pipeline of well qualified workers completing qualifications in a timely fashion, there should be consideration of f</w:t>
      </w:r>
      <w:r w:rsidRPr="004E6DB3">
        <w:t xml:space="preserve">inancial investment in </w:t>
      </w:r>
      <w:r>
        <w:t>‘</w:t>
      </w:r>
      <w:r w:rsidRPr="004E6DB3">
        <w:t>wrap-around support</w:t>
      </w:r>
      <w:r>
        <w:t>’</w:t>
      </w:r>
      <w:r w:rsidRPr="004E6DB3">
        <w:t xml:space="preserve"> for existing educators to attain</w:t>
      </w:r>
      <w:r w:rsidRPr="002E5642">
        <w:t xml:space="preserve"> highe</w:t>
      </w:r>
      <w:r>
        <w:t xml:space="preserve">r qualifications e.g. paid study leave and the negotiation of study calendars and assessment that fit in with workplace needs. </w:t>
      </w:r>
    </w:p>
    <w:p w14:paraId="4CF52CE5" w14:textId="5C0E52EF" w:rsidR="00CB49CA" w:rsidRDefault="00CB49CA" w:rsidP="00A261E4">
      <w:pPr>
        <w:pStyle w:val="ListParagraph"/>
      </w:pPr>
      <w:r>
        <w:t xml:space="preserve">In order to support the career progression of people with primary carer responsibilities, training providers in VET and higher education </w:t>
      </w:r>
      <w:proofErr w:type="gramStart"/>
      <w:r>
        <w:t>should  have</w:t>
      </w:r>
      <w:proofErr w:type="gramEnd"/>
      <w:r>
        <w:t xml:space="preserve"> explicit strategies for the inclusion of parents in key ECEC courses. This includes ensuring there are processes in place to identify the cultural and family needs of the learner cohort and </w:t>
      </w:r>
      <w:r w:rsidR="00D80651">
        <w:t>e</w:t>
      </w:r>
      <w:r>
        <w:t xml:space="preserve">nsuring reasonable access to support services including for the education and care of children and other supports for parents such as scheduling for training, placements and assessment with consideration to cultural and family needs. </w:t>
      </w:r>
    </w:p>
    <w:p w14:paraId="74C8327E" w14:textId="77777777" w:rsidR="00CB49CA" w:rsidRDefault="00CB49CA" w:rsidP="00CB49CA">
      <w:pPr>
        <w:pStyle w:val="Finding"/>
        <w:numPr>
          <w:ilvl w:val="0"/>
          <w:numId w:val="2"/>
        </w:numPr>
        <w:ind w:left="454" w:hanging="454"/>
      </w:pPr>
      <w:r>
        <w:t xml:space="preserve">A key issue contributing to the shortage of </w:t>
      </w:r>
      <w:r w:rsidRPr="379DB112">
        <w:rPr>
          <w:i/>
          <w:iCs/>
        </w:rPr>
        <w:t>Early Childhood Teachers</w:t>
      </w:r>
      <w:r>
        <w:t xml:space="preserve"> is leaks in the pipeline from dual accredited degree courses. Education providers frequently offer Early Childhood and Primary School training as a combined course. There are significant sectoral concerns particularly with crowded curriculum in dual accredited accelerated courses and in the 0-12 years accredited routes. The ECEC sector may be less served by shared training, since graduates are more likely to seek work in schools, typically offering better pay and working conditions which makes the sector less competitive.</w:t>
      </w:r>
    </w:p>
    <w:p w14:paraId="3F45FBCB" w14:textId="77777777" w:rsidR="00CB49CA" w:rsidRDefault="00CB49CA" w:rsidP="00A261E4">
      <w:pPr>
        <w:pStyle w:val="ListParagraph"/>
      </w:pPr>
      <w:r w:rsidRPr="00C67C2D">
        <w:t>Governments</w:t>
      </w:r>
      <w:r>
        <w:t xml:space="preserve"> should seek to improve completions in ECEC by: </w:t>
      </w:r>
    </w:p>
    <w:p w14:paraId="7AD96380" w14:textId="77777777" w:rsidR="00CB49CA" w:rsidRPr="00DF6C14" w:rsidRDefault="00CB49CA" w:rsidP="00BD1A65">
      <w:pPr>
        <w:pStyle w:val="ListParagraph"/>
        <w:numPr>
          <w:ilvl w:val="0"/>
          <w:numId w:val="11"/>
        </w:numPr>
        <w:tabs>
          <w:tab w:val="clear" w:pos="357"/>
        </w:tabs>
        <w:rPr>
          <w:i w:val="0"/>
          <w:iCs w:val="0"/>
        </w:rPr>
      </w:pPr>
      <w:r w:rsidRPr="71BF7861">
        <w:t xml:space="preserve">continuing to support paid placements within ECEC with </w:t>
      </w:r>
      <w:r>
        <w:t xml:space="preserve">potential </w:t>
      </w:r>
      <w:r w:rsidRPr="71BF7861">
        <w:t xml:space="preserve">outcome measures relating to time spent work in the sector or in regional or remote settings. </w:t>
      </w:r>
    </w:p>
    <w:p w14:paraId="00CB0DA8" w14:textId="77777777" w:rsidR="00CB49CA" w:rsidRPr="00DF6C14" w:rsidRDefault="00CB49CA" w:rsidP="00BD1A65">
      <w:pPr>
        <w:pStyle w:val="ListParagraph"/>
        <w:numPr>
          <w:ilvl w:val="0"/>
          <w:numId w:val="11"/>
        </w:numPr>
        <w:tabs>
          <w:tab w:val="clear" w:pos="357"/>
        </w:tabs>
        <w:rPr>
          <w:i w:val="0"/>
          <w:iCs w:val="0"/>
        </w:rPr>
      </w:pPr>
      <w:r w:rsidRPr="00DF6C14">
        <w:t>s</w:t>
      </w:r>
      <w:r>
        <w:t>coping</w:t>
      </w:r>
      <w:r w:rsidRPr="00DF6C14">
        <w:t xml:space="preserve"> career changer accelerated programs for ECTs aimed at those working in related sectors with some educational or development </w:t>
      </w:r>
      <w:r>
        <w:t>expertise</w:t>
      </w:r>
      <w:r w:rsidRPr="00DF6C14">
        <w:t xml:space="preserve">. </w:t>
      </w:r>
    </w:p>
    <w:p w14:paraId="08D785BB" w14:textId="77777777" w:rsidR="00CB49CA" w:rsidRPr="00DF6C14" w:rsidRDefault="00CB49CA" w:rsidP="00BD1A65">
      <w:pPr>
        <w:pStyle w:val="ListParagraph"/>
        <w:numPr>
          <w:ilvl w:val="0"/>
          <w:numId w:val="11"/>
        </w:numPr>
        <w:tabs>
          <w:tab w:val="clear" w:pos="357"/>
        </w:tabs>
        <w:rPr>
          <w:i w:val="0"/>
          <w:iCs w:val="0"/>
        </w:rPr>
      </w:pPr>
      <w:r w:rsidRPr="00DF6C14">
        <w:t xml:space="preserve">reconsidering any arrangements within the Higher Education Loan Program that create inequity between universities and other institutes of higher education, incentivising students to enrol in one over the other. </w:t>
      </w:r>
    </w:p>
    <w:p w14:paraId="4F32040A" w14:textId="77777777" w:rsidR="00CB49CA" w:rsidRDefault="00CB49CA" w:rsidP="00AF58B3">
      <w:pPr>
        <w:pStyle w:val="ListParagraph"/>
      </w:pPr>
      <w:r w:rsidRPr="00C67C2D">
        <w:t>Accreditation authorities and education and training providers</w:t>
      </w:r>
      <w:r>
        <w:t xml:space="preserve"> to consider: </w:t>
      </w:r>
    </w:p>
    <w:p w14:paraId="4CD1E64F" w14:textId="77777777" w:rsidR="00CB49CA" w:rsidRPr="00726BE7" w:rsidRDefault="00CB49CA" w:rsidP="00BD1A65">
      <w:pPr>
        <w:pStyle w:val="ListParagraph"/>
        <w:numPr>
          <w:ilvl w:val="0"/>
          <w:numId w:val="8"/>
        </w:numPr>
        <w:tabs>
          <w:tab w:val="clear" w:pos="357"/>
        </w:tabs>
        <w:rPr>
          <w:i w:val="0"/>
          <w:iCs w:val="0"/>
        </w:rPr>
      </w:pPr>
      <w:r w:rsidRPr="00726BE7">
        <w:t>accreditation of exit awards, particularly higher education diploma level qualifications after the first year to recognise partial/progress completion of bachelor’s degree at AQF Level 5 as equivalent to a Diploma.</w:t>
      </w:r>
    </w:p>
    <w:p w14:paraId="2B7D51CC" w14:textId="053D1687" w:rsidR="00CB49CA" w:rsidRPr="00726BE7" w:rsidRDefault="00CB49CA" w:rsidP="00BD1A65">
      <w:pPr>
        <w:pStyle w:val="ListParagraph"/>
        <w:numPr>
          <w:ilvl w:val="0"/>
          <w:numId w:val="8"/>
        </w:numPr>
        <w:tabs>
          <w:tab w:val="clear" w:pos="357"/>
        </w:tabs>
        <w:rPr>
          <w:i w:val="0"/>
          <w:iCs w:val="0"/>
        </w:rPr>
      </w:pPr>
      <w:r w:rsidRPr="00726BE7">
        <w:lastRenderedPageBreak/>
        <w:t xml:space="preserve">investigation of space in higher education programming to enable a </w:t>
      </w:r>
      <w:r w:rsidR="005A7D57" w:rsidRPr="005A7D57">
        <w:t>Certificate III in Early Childhood Education and Care</w:t>
      </w:r>
      <w:r w:rsidRPr="00726BE7">
        <w:t xml:space="preserve"> to be undertaken alongside Tertiary Primary School Teaching study in a concurrent mode, using RPL or similar. </w:t>
      </w:r>
    </w:p>
    <w:p w14:paraId="01B7C492" w14:textId="77777777" w:rsidR="00CB49CA" w:rsidRDefault="00CB49CA" w:rsidP="00AF58B3">
      <w:pPr>
        <w:pStyle w:val="ListParagraph"/>
      </w:pPr>
      <w:r>
        <w:t xml:space="preserve">Noting the importance of child safety within the context of teacher registration, progress national teacher registration alignment to enable movement between jurisdictions of qualified ECTs and for teachers from other sectors willing to upskill with ECEC qualifications. Continue to support refinements in overseas assessment recognition of ECT courses. </w:t>
      </w:r>
    </w:p>
    <w:p w14:paraId="01FCD721" w14:textId="77777777" w:rsidR="00CB49CA" w:rsidRPr="00BF5FD3" w:rsidRDefault="00CB49CA" w:rsidP="00AF58B3">
      <w:pPr>
        <w:pStyle w:val="ListParagraph"/>
        <w:rPr>
          <w:sz w:val="18"/>
          <w:szCs w:val="18"/>
        </w:rPr>
      </w:pPr>
      <w:r>
        <w:t xml:space="preserve">In meeting and filling persistent and ongoing workforce shortages for </w:t>
      </w:r>
      <w:r w:rsidRPr="00D5170B">
        <w:t xml:space="preserve">ECTs, </w:t>
      </w:r>
      <w:r w:rsidRPr="00B24E9E">
        <w:t>ACECQA and</w:t>
      </w:r>
      <w:r w:rsidRPr="00D5170B">
        <w:t xml:space="preserve"> </w:t>
      </w:r>
      <w:r w:rsidRPr="00B24E9E">
        <w:t>jurisdictions</w:t>
      </w:r>
      <w:r w:rsidRPr="00D5170B">
        <w:t xml:space="preserve"> </w:t>
      </w:r>
      <w:r>
        <w:t>c</w:t>
      </w:r>
      <w:r w:rsidRPr="00D5170B">
        <w:t>ould</w:t>
      </w:r>
      <w:r>
        <w:t xml:space="preserve"> consider reviewing the definition of</w:t>
      </w:r>
      <w:r w:rsidRPr="00D5170B">
        <w:t xml:space="preserve"> a ‘suitably qualified person’ </w:t>
      </w:r>
      <w:r>
        <w:t xml:space="preserve">including </w:t>
      </w:r>
      <w:r w:rsidRPr="00D5170B">
        <w:t>the</w:t>
      </w:r>
      <w:r>
        <w:t xml:space="preserve"> potential, possible temporary, </w:t>
      </w:r>
      <w:r w:rsidRPr="00D5170B">
        <w:t>inclusion</w:t>
      </w:r>
      <w:r>
        <w:t xml:space="preserve"> of other non-teaching degrees which provide a sound foundation for Early Childhood Teacher capabilities. </w:t>
      </w:r>
    </w:p>
    <w:p w14:paraId="5BD5C868" w14:textId="77777777" w:rsidR="00CB49CA" w:rsidRPr="007E5AB6" w:rsidRDefault="00CB49CA" w:rsidP="00CB49CA">
      <w:pPr>
        <w:pStyle w:val="Finding"/>
        <w:numPr>
          <w:ilvl w:val="0"/>
          <w:numId w:val="2"/>
        </w:numPr>
        <w:ind w:left="454" w:hanging="454"/>
      </w:pPr>
      <w:r>
        <w:t xml:space="preserve">International students have been a recently increasing cohort, particularly in early childhood teaching courses, it is important to ensure that supports are in place to support them and their workplaces. </w:t>
      </w:r>
    </w:p>
    <w:p w14:paraId="33763031" w14:textId="77777777" w:rsidR="00CB49CA" w:rsidRPr="00A3558C" w:rsidRDefault="00CB49CA" w:rsidP="006B58D3">
      <w:pPr>
        <w:pStyle w:val="ListParagraph"/>
      </w:pPr>
      <w:r>
        <w:t xml:space="preserve">TEQSA and ASQA should ensure education and training providers have plans for the protection of international students in settings to prevent misunderstandings of employment arrangements including hours of work and duties. </w:t>
      </w:r>
    </w:p>
    <w:p w14:paraId="5823A802" w14:textId="77777777" w:rsidR="00CB49CA" w:rsidRPr="00A3558C" w:rsidRDefault="00CB49CA" w:rsidP="006B58D3">
      <w:pPr>
        <w:pStyle w:val="ListParagraph"/>
      </w:pPr>
      <w:r w:rsidRPr="00A3558C">
        <w:t>Higher education institutions may consider whether the Professional IELTS</w:t>
      </w:r>
      <w:r>
        <w:rPr>
          <w:rStyle w:val="FootnoteReference"/>
        </w:rPr>
        <w:footnoteReference w:id="5"/>
      </w:r>
      <w:r w:rsidRPr="00A3558C">
        <w:t xml:space="preserve"> is more appropriate tha</w:t>
      </w:r>
      <w:r>
        <w:t>n</w:t>
      </w:r>
      <w:r w:rsidRPr="00A3558C">
        <w:t xml:space="preserve"> the Academic IELTS for Early Childhood Education courses.</w:t>
      </w:r>
    </w:p>
    <w:p w14:paraId="6AF13741" w14:textId="77777777" w:rsidR="00CB49CA" w:rsidRPr="00A3558C" w:rsidRDefault="00CB49CA" w:rsidP="00AF58B3">
      <w:pPr>
        <w:pStyle w:val="ListParagraph"/>
      </w:pPr>
      <w:r>
        <w:t xml:space="preserve">Higher education institutions should ensure that progress assessment protocols within accredited courses particularly for newly arrived international students are robust to enable students to have time to settle into their new national contexts and professional identities before placements. ACECQA should continue to offer eLearning induction materials provided as part of Shaping our Future.  </w:t>
      </w:r>
    </w:p>
    <w:p w14:paraId="42E1B359" w14:textId="77777777" w:rsidR="00CB49CA" w:rsidRDefault="00CB49CA" w:rsidP="00CB49CA">
      <w:pPr>
        <w:pStyle w:val="Finding"/>
        <w:numPr>
          <w:ilvl w:val="0"/>
          <w:numId w:val="2"/>
        </w:numPr>
        <w:ind w:left="454" w:hanging="454"/>
        <w:rPr>
          <w:rFonts w:eastAsia="Arial" w:cs="Arial"/>
        </w:rPr>
      </w:pPr>
      <w:r>
        <w:t>First Nations leadership of education and training providers has been shown to make a significant difference to access and success of First Nations students. However, there are relatively few Aboriginal Community Controlled education and training providers delivering ECEC qualifications for First Nations Australians</w:t>
      </w:r>
      <w:r w:rsidRPr="379DB112">
        <w:rPr>
          <w:rFonts w:eastAsia="Arial" w:cs="Arial"/>
        </w:rPr>
        <w:t>. For these and other reasons the First Nations community may be poorly served by education and training pathways into ECEC, particularly for higher education routes including relating to curriculum, assessment and delivery arrangements.</w:t>
      </w:r>
    </w:p>
    <w:p w14:paraId="67AA2530" w14:textId="77777777" w:rsidR="00CB49CA" w:rsidRDefault="00CB49CA" w:rsidP="00632AB1">
      <w:pPr>
        <w:pStyle w:val="ListParagraph"/>
      </w:pPr>
      <w:r>
        <w:t xml:space="preserve">Governments examine the viability of current funding arrangements for ACCO led registered training organisations (RTOs) and higher education providers in supporting Aboriginal and Torres Strait Islanders to gain ECEC qualifications. </w:t>
      </w:r>
    </w:p>
    <w:p w14:paraId="056183B3" w14:textId="77777777" w:rsidR="00CB49CA" w:rsidRDefault="00CB49CA" w:rsidP="00632AB1">
      <w:pPr>
        <w:pStyle w:val="ListParagraph"/>
      </w:pPr>
      <w:r>
        <w:t>Ensure that all education providers have strategies e.g. reconciliation action plans, including explicit engagement with culturally safe, appropriate and responsive curriculum, assessment and delivery arrangements.</w:t>
      </w:r>
    </w:p>
    <w:p w14:paraId="090614AA" w14:textId="77777777" w:rsidR="00CB49CA" w:rsidRPr="00312568" w:rsidRDefault="00CB49CA" w:rsidP="00F07C11">
      <w:pPr>
        <w:pStyle w:val="Finding"/>
        <w:keepLines/>
        <w:numPr>
          <w:ilvl w:val="0"/>
          <w:numId w:val="2"/>
        </w:numPr>
        <w:ind w:left="454" w:hanging="454"/>
      </w:pPr>
      <w:r>
        <w:lastRenderedPageBreak/>
        <w:t xml:space="preserve">There is not sufficient First Nations curriculum coverage in either Certificate III or Diploma ECEC and higher education qualifications, including relating to cultural safety. The current unit (CHCECE054) offered within the ECEC Training Package is not sufficient for Aboriginal and Torres Strait Islander learners to engage with culture within an early learning education context. </w:t>
      </w:r>
    </w:p>
    <w:p w14:paraId="49537ECC" w14:textId="77777777" w:rsidR="00CB49CA" w:rsidRDefault="00CB49CA" w:rsidP="00965BD6">
      <w:pPr>
        <w:pStyle w:val="ListParagraph"/>
      </w:pPr>
      <w:r>
        <w:t>HumanAbility should encourage the development of units in the ECEC training package that extend cultural knowledge and Indigenous knowledges. Higher education providers should establish teacher education programs that recognise, enable and celebrate First Nations ways of learning and being.</w:t>
      </w:r>
    </w:p>
    <w:p w14:paraId="23342510" w14:textId="77777777" w:rsidR="00CB49CA" w:rsidRDefault="00CB49CA" w:rsidP="00965BD6">
      <w:pPr>
        <w:pStyle w:val="ListParagraph"/>
      </w:pPr>
      <w:r>
        <w:t>Recognise and explore the importance of cultural knowledge in the ECEC workforce through prioritised inclusion in enterprise agreements.</w:t>
      </w:r>
    </w:p>
    <w:p w14:paraId="6EAE0678" w14:textId="77777777" w:rsidR="00CB49CA" w:rsidRDefault="00CB49CA" w:rsidP="00CB49CA">
      <w:pPr>
        <w:pStyle w:val="Finding"/>
        <w:numPr>
          <w:ilvl w:val="0"/>
          <w:numId w:val="2"/>
        </w:numPr>
        <w:ind w:left="454" w:hanging="454"/>
      </w:pPr>
      <w:r>
        <w:t xml:space="preserve">Many new ECEC educators are working towards qualifications. It helps the sector to count these workers in compliance with regulatory requirements. However, this may place some in senior positions without sufficient preparation. </w:t>
      </w:r>
    </w:p>
    <w:p w14:paraId="253B2A79" w14:textId="77777777" w:rsidR="00CB49CA" w:rsidRDefault="00CB49CA" w:rsidP="00965BD6">
      <w:pPr>
        <w:pStyle w:val="ListParagraph"/>
      </w:pPr>
      <w:r>
        <w:t>Provide advice – and establish a link to support the provision of – guidance to education and training providers around satisfactory progress to support ECEC service-based assessment of staff meeting working towards requirements.</w:t>
      </w:r>
    </w:p>
    <w:p w14:paraId="69D9279D" w14:textId="77777777" w:rsidR="00CB49CA" w:rsidRDefault="00CB49CA" w:rsidP="00965BD6">
      <w:pPr>
        <w:pStyle w:val="ListParagraph"/>
      </w:pPr>
      <w:r>
        <w:t xml:space="preserve">Employers to allow for ongoing professional development for all staff through investigating the impact of closure days or paid backfill. This includes for meeting compliance requirements including medical training such as First Aid, CPR, Anaphylaxis and support to facilitate child safety. Also consider the funding of professional support coordinators with remit to </w:t>
      </w:r>
      <w:proofErr w:type="gramStart"/>
      <w:r>
        <w:t>take into account</w:t>
      </w:r>
      <w:proofErr w:type="gramEnd"/>
      <w:r>
        <w:t xml:space="preserve"> specific community and regional needs.</w:t>
      </w:r>
    </w:p>
    <w:p w14:paraId="4AD1B310" w14:textId="77777777" w:rsidR="00CB49CA" w:rsidRDefault="00CB49CA" w:rsidP="00CB49CA">
      <w:pPr>
        <w:pStyle w:val="Finding"/>
        <w:numPr>
          <w:ilvl w:val="0"/>
          <w:numId w:val="2"/>
        </w:numPr>
        <w:ind w:left="454" w:hanging="454"/>
      </w:pPr>
      <w:r>
        <w:t xml:space="preserve">Across ECEC training pathways there is in practice little recognition of prior learning (RPL) and experience. This intersects with problems with credit transfer, RPL and advanced standing in educational settings. It also fails to acknowledge learning that has taken place in workplaces and other settings impeding ECEC qualification uptake and completion.   </w:t>
      </w:r>
    </w:p>
    <w:p w14:paraId="69CF3E68" w14:textId="77777777" w:rsidR="00CB49CA" w:rsidRDefault="00CB49CA" w:rsidP="00511ADA">
      <w:pPr>
        <w:pStyle w:val="ListParagraph"/>
      </w:pPr>
      <w:r>
        <w:t xml:space="preserve">Regulators and HumanAbility should consider qualification protocol changes to incentivise quality RPL and investigate system wide protocols for evidencing experiential learning and facilitating advanced standing for higher education and credit transfer for VET. </w:t>
      </w:r>
    </w:p>
    <w:p w14:paraId="4E9A1491" w14:textId="77777777" w:rsidR="00CB49CA" w:rsidRPr="00726BE7" w:rsidRDefault="00CB49CA" w:rsidP="00BD1A65">
      <w:pPr>
        <w:pStyle w:val="ListParagraph"/>
        <w:numPr>
          <w:ilvl w:val="0"/>
          <w:numId w:val="9"/>
        </w:numPr>
        <w:tabs>
          <w:tab w:val="clear" w:pos="357"/>
        </w:tabs>
        <w:rPr>
          <w:i w:val="0"/>
          <w:iCs w:val="0"/>
        </w:rPr>
      </w:pPr>
      <w:r w:rsidRPr="71BF7861">
        <w:t>Clarifying RPL protocols for the existing ECEC workforce and for those wishing to re-engage with the ECEC sector to make RPL more accessible to staff.</w:t>
      </w:r>
    </w:p>
    <w:p w14:paraId="0813D107" w14:textId="77777777" w:rsidR="00CB49CA" w:rsidRPr="00870C20" w:rsidRDefault="00CB49CA" w:rsidP="00BD1A65">
      <w:pPr>
        <w:pStyle w:val="ListParagraph"/>
        <w:numPr>
          <w:ilvl w:val="0"/>
          <w:numId w:val="9"/>
        </w:numPr>
        <w:tabs>
          <w:tab w:val="clear" w:pos="357"/>
        </w:tabs>
        <w:rPr>
          <w:i w:val="0"/>
          <w:iCs w:val="0"/>
        </w:rPr>
      </w:pPr>
      <w:r w:rsidRPr="71BF7861">
        <w:t>Investing in</w:t>
      </w:r>
      <w:r>
        <w:t xml:space="preserve"> ECEC</w:t>
      </w:r>
      <w:r w:rsidRPr="71BF7861">
        <w:t xml:space="preserve"> training package specific toolkits which support the processing of RPL within RTOs combined with </w:t>
      </w:r>
      <w:r>
        <w:t>assurance</w:t>
      </w:r>
      <w:r w:rsidRPr="71BF7861">
        <w:t xml:space="preserve"> of compliance with RTO Standards for RTOs offering RPL and credit transfer. </w:t>
      </w:r>
    </w:p>
    <w:tbl>
      <w:tblPr>
        <w:tblStyle w:val="BoxStyle"/>
        <w:tblW w:w="0" w:type="auto"/>
        <w:tblLook w:val="0620" w:firstRow="1" w:lastRow="0" w:firstColumn="0" w:lastColumn="0" w:noHBand="1" w:noVBand="1"/>
      </w:tblPr>
      <w:tblGrid>
        <w:gridCol w:w="9016"/>
      </w:tblGrid>
      <w:tr w:rsidR="00500EB9" w14:paraId="0F1DEBBB" w14:textId="77777777" w:rsidTr="005D67F5">
        <w:tc>
          <w:tcPr>
            <w:tcW w:w="9016" w:type="dxa"/>
          </w:tcPr>
          <w:p w14:paraId="5BC8EB60" w14:textId="79DC20AB" w:rsidR="00500EB9" w:rsidRDefault="00500EB9" w:rsidP="00DE0591">
            <w:pPr>
              <w:pStyle w:val="BoxHeading"/>
            </w:pPr>
            <w:bookmarkStart w:id="24" w:name="_Hlk174100706"/>
            <w:r w:rsidRPr="00500EB9">
              <w:lastRenderedPageBreak/>
              <w:t xml:space="preserve">CAMEO: </w:t>
            </w:r>
            <w:r w:rsidR="00FD6537">
              <w:t>Marcquis</w:t>
            </w:r>
            <w:r w:rsidRPr="00500EB9">
              <w:t xml:space="preserve"> Hepburn, Early Childhood Educator</w:t>
            </w:r>
          </w:p>
          <w:p w14:paraId="4D374FC9" w14:textId="45AF9DF7" w:rsidR="00500EB9" w:rsidRPr="00A2153C" w:rsidRDefault="00FD6537" w:rsidP="00A2153C">
            <w:pPr>
              <w:spacing w:after="160" w:line="259" w:lineRule="auto"/>
            </w:pPr>
            <w:r>
              <w:t>Marcquis</w:t>
            </w:r>
            <w:r w:rsidR="00500EB9" w:rsidRPr="00A2153C">
              <w:t xml:space="preserve">, an Early Childhood Educator, acknowledges that the support of colleagues and mentors helped him achieve the Illawarra and Shoalhaven Child Care Trainee of the Year. In a female dominated sector, </w:t>
            </w:r>
            <w:r>
              <w:t>Marcquis</w:t>
            </w:r>
            <w:r w:rsidR="00500EB9" w:rsidRPr="00A2153C">
              <w:t xml:space="preserve"> encourages males to enter the sector to facilitate learning and development in children. Marcquis is passionate about ECEC and plans to undertake a university degree in early childhood. In the future, Marcquis sees himself directing his own centre and would like to specialise in education and care for children with additional needs. </w:t>
            </w:r>
          </w:p>
          <w:p w14:paraId="5DFCA5CA" w14:textId="52E1B354" w:rsidR="00500EB9" w:rsidRPr="00A2153C" w:rsidRDefault="00500EB9" w:rsidP="00A2153C">
            <w:pPr>
              <w:spacing w:after="160" w:line="259" w:lineRule="auto"/>
            </w:pPr>
            <w:r w:rsidRPr="00A2153C">
              <w:t>“</w:t>
            </w:r>
            <w:r w:rsidR="00FD6537">
              <w:t>Marcquis</w:t>
            </w:r>
            <w:r w:rsidRPr="00A2153C">
              <w:t xml:space="preserve"> supports networking in the </w:t>
            </w:r>
            <w:proofErr w:type="gramStart"/>
            <w:r w:rsidRPr="00A2153C">
              <w:t>child care</w:t>
            </w:r>
            <w:proofErr w:type="gramEnd"/>
            <w:r w:rsidRPr="00A2153C">
              <w:t xml:space="preserve"> and early learning sector and emphasises the importance of attending courses and conferences with other early childhood educators to ensure a streamlined approach to children’s development needs.”</w:t>
            </w:r>
          </w:p>
          <w:p w14:paraId="39E130E7" w14:textId="0F6B9F9A" w:rsidR="00500EB9" w:rsidRPr="00500EB9" w:rsidRDefault="00500EB9" w:rsidP="00DE0591">
            <w:pPr>
              <w:pStyle w:val="Source"/>
              <w:rPr>
                <w:caps/>
                <w:color w:val="6929C4" w:themeColor="accent1"/>
                <w:sz w:val="26"/>
                <w:szCs w:val="26"/>
              </w:rPr>
            </w:pPr>
            <w:r>
              <w:rPr>
                <w:noProof/>
              </w:rPr>
              <w:t xml:space="preserve">Source: My Future, (2024), </w:t>
            </w:r>
            <w:r>
              <w:rPr>
                <w:i/>
                <w:iCs/>
                <w:noProof/>
              </w:rPr>
              <w:t>Early childhood educator celebrates the small steps</w:t>
            </w:r>
            <w:r>
              <w:rPr>
                <w:noProof/>
              </w:rPr>
              <w:t xml:space="preserve">, My Future, </w:t>
            </w:r>
            <w:hyperlink r:id="rId23" w:history="1">
              <w:r w:rsidRPr="006A0DA4">
                <w:rPr>
                  <w:rStyle w:val="Hyperlink"/>
                  <w:noProof/>
                </w:rPr>
                <w:t>https://myfuture.edu.au/career-stories/details/early-childhood-educator-celebrates-the-small-steps</w:t>
              </w:r>
            </w:hyperlink>
            <w:r>
              <w:rPr>
                <w:noProof/>
              </w:rPr>
              <w:t>.</w:t>
            </w:r>
          </w:p>
        </w:tc>
      </w:tr>
      <w:bookmarkEnd w:id="24"/>
    </w:tbl>
    <w:p w14:paraId="7B469E8E" w14:textId="77777777" w:rsidR="00CB49CA" w:rsidRPr="00726BE7" w:rsidRDefault="00CB49CA" w:rsidP="00CB49CA"/>
    <w:p w14:paraId="5AB441FA" w14:textId="77777777" w:rsidR="00CB49CA" w:rsidRPr="005E491D" w:rsidRDefault="00CB49CA" w:rsidP="00CB49CA">
      <w:pPr>
        <w:pStyle w:val="Heading2"/>
      </w:pPr>
      <w:bookmarkStart w:id="25" w:name="_Toc174363688"/>
      <w:r w:rsidRPr="005E491D">
        <w:t>Strong foundations for rewarding ECEC careers</w:t>
      </w:r>
      <w:bookmarkEnd w:id="25"/>
      <w:r w:rsidRPr="005E491D">
        <w:t xml:space="preserve">  </w:t>
      </w:r>
    </w:p>
    <w:p w14:paraId="5053ED6F" w14:textId="77777777" w:rsidR="00CB49CA" w:rsidRDefault="00CB49CA" w:rsidP="00CB49CA">
      <w:r>
        <w:t>A fundamental barrier for many people looking to build a successful career in ECEC is the low levels of remuneration. Avenues to improve remuneration levels would improve the attractiveness of ECEC, improve retention and promote more career progression. Other issues that detract from successful careers include:</w:t>
      </w:r>
    </w:p>
    <w:p w14:paraId="3EC89E74" w14:textId="77777777" w:rsidR="00CB49CA" w:rsidRDefault="00CB49CA" w:rsidP="00BD1A65">
      <w:pPr>
        <w:pStyle w:val="ListParagraph"/>
        <w:numPr>
          <w:ilvl w:val="0"/>
          <w:numId w:val="6"/>
        </w:numPr>
        <w:tabs>
          <w:tab w:val="clear" w:pos="357"/>
        </w:tabs>
      </w:pPr>
      <w:r>
        <w:t>The low pay rate premium for Diploma-qualified staff relative to Certificate III-qualified staff</w:t>
      </w:r>
    </w:p>
    <w:p w14:paraId="3173ADE5" w14:textId="77777777" w:rsidR="00CB49CA" w:rsidRDefault="00CB49CA" w:rsidP="00BD1A65">
      <w:pPr>
        <w:pStyle w:val="ListParagraph"/>
        <w:numPr>
          <w:ilvl w:val="0"/>
          <w:numId w:val="6"/>
        </w:numPr>
        <w:tabs>
          <w:tab w:val="clear" w:pos="357"/>
        </w:tabs>
      </w:pPr>
      <w:r>
        <w:t>Low recognition and absence of funding for specialised roles, particularly to support more inclusive education and care settings</w:t>
      </w:r>
    </w:p>
    <w:p w14:paraId="3DE2F74B" w14:textId="77777777" w:rsidR="00CB49CA" w:rsidRDefault="00CB49CA" w:rsidP="00BD1A65">
      <w:pPr>
        <w:pStyle w:val="ListParagraph"/>
        <w:numPr>
          <w:ilvl w:val="0"/>
          <w:numId w:val="6"/>
        </w:numPr>
        <w:tabs>
          <w:tab w:val="clear" w:pos="357"/>
        </w:tabs>
      </w:pPr>
      <w:r>
        <w:t>Demands placed upon Centre Directors, without adequate options for training and support</w:t>
      </w:r>
    </w:p>
    <w:p w14:paraId="4735CE90" w14:textId="77777777" w:rsidR="00CB49CA" w:rsidRDefault="00CB49CA" w:rsidP="00BD1A65">
      <w:pPr>
        <w:pStyle w:val="ListParagraph"/>
        <w:numPr>
          <w:ilvl w:val="0"/>
          <w:numId w:val="6"/>
        </w:numPr>
        <w:tabs>
          <w:tab w:val="clear" w:pos="357"/>
        </w:tabs>
      </w:pPr>
      <w:r>
        <w:t>Barriers for migrants from progressing to more senior roles</w:t>
      </w:r>
    </w:p>
    <w:p w14:paraId="76424DBD" w14:textId="77777777" w:rsidR="00CB49CA" w:rsidRDefault="00CB49CA" w:rsidP="00BD1A65">
      <w:pPr>
        <w:pStyle w:val="ListParagraph"/>
        <w:numPr>
          <w:ilvl w:val="0"/>
          <w:numId w:val="6"/>
        </w:numPr>
        <w:tabs>
          <w:tab w:val="clear" w:pos="357"/>
        </w:tabs>
      </w:pPr>
      <w:r>
        <w:t>Support for First Nations workers, both in ACCOs and other service settings.</w:t>
      </w:r>
    </w:p>
    <w:p w14:paraId="68AD4D49" w14:textId="77777777" w:rsidR="00CB49CA" w:rsidRDefault="00CB49CA" w:rsidP="00CB49CA">
      <w:r>
        <w:t xml:space="preserve">Overall, these issues could be progressed by re-examining roles within ECEC using a scopes of practice approach and are further explored in findings and recommendations outlined in this section. </w:t>
      </w:r>
    </w:p>
    <w:p w14:paraId="5B7ACCA6" w14:textId="77777777" w:rsidR="00CB49CA" w:rsidRPr="004E6DB3" w:rsidRDefault="00CB49CA" w:rsidP="00CB49CA">
      <w:pPr>
        <w:pStyle w:val="Finding"/>
        <w:numPr>
          <w:ilvl w:val="0"/>
          <w:numId w:val="2"/>
        </w:numPr>
        <w:ind w:left="454" w:hanging="454"/>
      </w:pPr>
      <w:r>
        <w:t xml:space="preserve">ECEC remuneration is low compared to other competing occupations, which presents a significant disincentive to entry and accelerates attrition. </w:t>
      </w:r>
    </w:p>
    <w:p w14:paraId="1109E20F" w14:textId="77777777" w:rsidR="00CB49CA" w:rsidRPr="00E65A08" w:rsidRDefault="00CB49CA" w:rsidP="00604B28">
      <w:pPr>
        <w:pStyle w:val="ListParagraph"/>
      </w:pPr>
      <w:r>
        <w:t xml:space="preserve">Wage rates in awards and enterprise agreements should be as competitive as possible, particularly for ECTs with respect to primary school teachers and Early Childhood Educators with respect to other VET-trained occupations in the care and administrative sectors. </w:t>
      </w:r>
    </w:p>
    <w:p w14:paraId="4332268D" w14:textId="77777777" w:rsidR="00CB49CA" w:rsidRDefault="00CB49CA" w:rsidP="00604B28">
      <w:pPr>
        <w:pStyle w:val="ListParagraph"/>
      </w:pPr>
      <w:r>
        <w:lastRenderedPageBreak/>
        <w:t xml:space="preserve">Governments should contribute funding to drive long-term wage growth for ECEC workers. </w:t>
      </w:r>
    </w:p>
    <w:p w14:paraId="75FDC589" w14:textId="77777777" w:rsidR="00CB49CA" w:rsidRDefault="00CB49CA" w:rsidP="00511ADA">
      <w:pPr>
        <w:pStyle w:val="ListParagraph"/>
      </w:pPr>
      <w:r>
        <w:t xml:space="preserve">Consider a campaign to ensure new and existing staff are aware of their pay and condition entitlements.  </w:t>
      </w:r>
    </w:p>
    <w:p w14:paraId="23902291" w14:textId="77777777" w:rsidR="00CB49CA" w:rsidRPr="004E6DB3" w:rsidRDefault="00CB49CA" w:rsidP="00CB49CA">
      <w:pPr>
        <w:pStyle w:val="Finding"/>
        <w:numPr>
          <w:ilvl w:val="0"/>
          <w:numId w:val="2"/>
        </w:numPr>
        <w:ind w:left="454" w:hanging="454"/>
      </w:pPr>
      <w:r>
        <w:t>The rewards for further study, especially wages at Award Rates between Certificate III and Diploma ECEC are insufficient for many ECEC staff to find motivating. One key consequence is that this impedes pathways into middle leadership in the sector.</w:t>
      </w:r>
    </w:p>
    <w:p w14:paraId="6B8AC9A6" w14:textId="77777777" w:rsidR="00CB49CA" w:rsidRDefault="00CB49CA" w:rsidP="00604B28">
      <w:pPr>
        <w:pStyle w:val="ListParagraph"/>
      </w:pPr>
      <w:r>
        <w:t>As part of any award review, consider the levels of remuneration provided to Diploma-qualified educators working in room leader positions, Educational Leaders, middle leaders, workplace assessors, mentors and other specialised roles as a matter of temporary or permanent career progression.</w:t>
      </w:r>
    </w:p>
    <w:p w14:paraId="4666CF41" w14:textId="77777777" w:rsidR="00CB49CA" w:rsidRDefault="00CB49CA" w:rsidP="00CB49CA">
      <w:pPr>
        <w:pStyle w:val="Finding"/>
        <w:numPr>
          <w:ilvl w:val="0"/>
          <w:numId w:val="2"/>
        </w:numPr>
        <w:ind w:left="454" w:hanging="454"/>
      </w:pPr>
      <w:r>
        <w:t xml:space="preserve">A key barrier to workforce entry and retention is that ECEC workplaces may be located at a considerable distance from workers’ homes, including in metropolitan settings where there is lack of affordable housing where there is the highest density of service provision. </w:t>
      </w:r>
    </w:p>
    <w:p w14:paraId="7129C475" w14:textId="77777777" w:rsidR="00CB49CA" w:rsidRPr="00D61A58" w:rsidRDefault="00CB49CA" w:rsidP="00604B28">
      <w:pPr>
        <w:pStyle w:val="ListParagraph"/>
        <w:rPr>
          <w:sz w:val="18"/>
          <w:szCs w:val="18"/>
        </w:rPr>
      </w:pPr>
      <w:r>
        <w:t xml:space="preserve">Improve the attractiveness of ECEC work by considering the provision of employee incentives. This could further enable employers to offer benefits to employees who have barriers to return – in particular for transport for </w:t>
      </w:r>
      <w:proofErr w:type="gramStart"/>
      <w:r>
        <w:t>hard to reach</w:t>
      </w:r>
      <w:proofErr w:type="gramEnd"/>
      <w:r>
        <w:t xml:space="preserve"> services in regional or high-cost areas and subsidy of ECEC for their own children. </w:t>
      </w:r>
    </w:p>
    <w:p w14:paraId="6A62A028" w14:textId="77777777" w:rsidR="00CB49CA" w:rsidRDefault="00CB49CA" w:rsidP="00604B28">
      <w:pPr>
        <w:pStyle w:val="ListParagraph"/>
      </w:pPr>
      <w:r>
        <w:t>Incentivise and promote rostering and staffing arrangements that provide flexibility, with options considered including four-day work week or a nine-day fortnight to enable ECEC staff to better manage work-life balance, stress and workload.</w:t>
      </w:r>
    </w:p>
    <w:p w14:paraId="64A70ED9" w14:textId="77777777" w:rsidR="00CB49CA" w:rsidRDefault="00CB49CA" w:rsidP="00CB49CA">
      <w:pPr>
        <w:pStyle w:val="Finding"/>
        <w:numPr>
          <w:ilvl w:val="0"/>
          <w:numId w:val="2"/>
        </w:numPr>
        <w:ind w:left="454" w:hanging="454"/>
      </w:pPr>
      <w:r>
        <w:t>ECEC requires staff who are skilled in a wide range of specialisations. However, the ways that ECEC careers are currently structured offer relatively few opportunities for specialised roles. The inability to specialise causes gaps in provision and career progression opportunities for ECEC staff and can be contrasted against other sectors.</w:t>
      </w:r>
    </w:p>
    <w:p w14:paraId="77F17F62" w14:textId="77777777" w:rsidR="00CB49CA" w:rsidRDefault="00CB49CA" w:rsidP="00604B28">
      <w:pPr>
        <w:pStyle w:val="ListParagraph"/>
      </w:pPr>
      <w:r>
        <w:t xml:space="preserve">Governments should consider how funding might be made available to support educators to meet identified needs, including: </w:t>
      </w:r>
    </w:p>
    <w:p w14:paraId="06B0C9AB" w14:textId="77777777" w:rsidR="00CB49CA" w:rsidRPr="00664185" w:rsidRDefault="00CB49CA" w:rsidP="00BD1A65">
      <w:pPr>
        <w:pStyle w:val="ListParagraph"/>
        <w:numPr>
          <w:ilvl w:val="0"/>
          <w:numId w:val="10"/>
        </w:numPr>
        <w:tabs>
          <w:tab w:val="clear" w:pos="357"/>
        </w:tabs>
        <w:ind w:left="1251"/>
        <w:rPr>
          <w:i w:val="0"/>
          <w:iCs w:val="0"/>
        </w:rPr>
      </w:pPr>
      <w:r w:rsidRPr="00664185">
        <w:t xml:space="preserve">appropriate funding for subsidised supervision sessions for senior staff in regional and remote locations with a Child Behaviour Specialist or Psychologist to debrief and discuss children’s educational concerns. </w:t>
      </w:r>
    </w:p>
    <w:p w14:paraId="47354A5C" w14:textId="77777777" w:rsidR="00CB49CA" w:rsidRPr="00664185" w:rsidRDefault="00CB49CA" w:rsidP="00BD1A65">
      <w:pPr>
        <w:pStyle w:val="ListParagraph"/>
        <w:numPr>
          <w:ilvl w:val="0"/>
          <w:numId w:val="10"/>
        </w:numPr>
        <w:tabs>
          <w:tab w:val="clear" w:pos="357"/>
        </w:tabs>
        <w:ind w:left="1251"/>
        <w:rPr>
          <w:i w:val="0"/>
          <w:iCs w:val="0"/>
        </w:rPr>
      </w:pPr>
      <w:r w:rsidRPr="00664185">
        <w:t xml:space="preserve">investment in evidence-informed trauma resources and trauma informed training for educators, to support children with additional needs. </w:t>
      </w:r>
    </w:p>
    <w:p w14:paraId="62728FD3" w14:textId="77777777" w:rsidR="00CB49CA" w:rsidRPr="00664185" w:rsidRDefault="00CB49CA" w:rsidP="00BD1A65">
      <w:pPr>
        <w:pStyle w:val="ListParagraph"/>
        <w:numPr>
          <w:ilvl w:val="0"/>
          <w:numId w:val="10"/>
        </w:numPr>
        <w:tabs>
          <w:tab w:val="clear" w:pos="357"/>
        </w:tabs>
        <w:ind w:left="1251"/>
        <w:rPr>
          <w:i w:val="0"/>
          <w:iCs w:val="0"/>
        </w:rPr>
      </w:pPr>
      <w:r w:rsidRPr="00664185">
        <w:t>resources and training to support early years educators in implementation of the NDIS recommendations in relation to identification of children’s developmental needs and establishing inclusive educational and care settings.</w:t>
      </w:r>
    </w:p>
    <w:p w14:paraId="60047AC6" w14:textId="77777777" w:rsidR="00CB49CA" w:rsidRDefault="00CB49CA" w:rsidP="00604B28">
      <w:pPr>
        <w:pStyle w:val="ListParagraph"/>
      </w:pPr>
      <w:r>
        <w:t>HumanAbility to consider specialisation pathways within the Certificate III ECEC and Diploma ECEC to serve different service types particularly IHC, OSHC and FDC delivery. This could include identifying alternative existing units that could support inclusive education for different identified needs and particularly for First Nations children.</w:t>
      </w:r>
    </w:p>
    <w:p w14:paraId="26E6F811" w14:textId="77777777" w:rsidR="00CB49CA" w:rsidRDefault="00CB49CA" w:rsidP="00F07C11">
      <w:pPr>
        <w:pStyle w:val="Finding"/>
        <w:keepLines/>
        <w:numPr>
          <w:ilvl w:val="0"/>
          <w:numId w:val="2"/>
        </w:numPr>
        <w:ind w:left="454" w:hanging="454"/>
      </w:pPr>
      <w:r>
        <w:lastRenderedPageBreak/>
        <w:t>ECEC staff report a lack of leadership structure and capacity with the sector which often results in administrative overload — including complying with regulation and managing parent expectations — which is a psychosocial hazard that detracts from job satisfaction and drives attrition.</w:t>
      </w:r>
    </w:p>
    <w:p w14:paraId="05C75A81" w14:textId="77777777" w:rsidR="00CB49CA" w:rsidRDefault="00CB49CA" w:rsidP="00604B28">
      <w:pPr>
        <w:pStyle w:val="ListParagraph"/>
      </w:pPr>
      <w:r>
        <w:t>HumanAbility to consider sectoral need for ECEC use of leadership skillsets, micro credentials or similar, including reviewing previous usage of advanced diploma leadership qualifications that were specific to children’s education and care, or the development of elective units in current leadership and management qualifications.</w:t>
      </w:r>
    </w:p>
    <w:p w14:paraId="4BE7AE6D" w14:textId="77777777" w:rsidR="00CB49CA" w:rsidRDefault="00CB49CA" w:rsidP="00604B28">
      <w:pPr>
        <w:pStyle w:val="ListParagraph"/>
      </w:pPr>
      <w:r>
        <w:t xml:space="preserve">Ensure that employer guidance and education is improved on WHS duties and obligations to eliminate or minimise psychosocial hazards (and any other hazard) so far as is reasonably practicable, and all ECEC staff are provided access to a </w:t>
      </w:r>
      <w:proofErr w:type="gramStart"/>
      <w:r>
        <w:t>high quality</w:t>
      </w:r>
      <w:proofErr w:type="gramEnd"/>
      <w:r>
        <w:t xml:space="preserve"> Employee Assistance Program to support their wellbeing.</w:t>
      </w:r>
    </w:p>
    <w:p w14:paraId="121B61D8" w14:textId="77777777" w:rsidR="00CB49CA" w:rsidRDefault="00CB49CA" w:rsidP="00CB49CA">
      <w:pPr>
        <w:pStyle w:val="Finding"/>
        <w:numPr>
          <w:ilvl w:val="0"/>
          <w:numId w:val="2"/>
        </w:numPr>
        <w:ind w:left="454" w:hanging="454"/>
      </w:pPr>
      <w:r>
        <w:t xml:space="preserve">There are straightforward routes for new migrants to complete entry level qualifications. However, migrant ECEC staff often face </w:t>
      </w:r>
      <w:proofErr w:type="gramStart"/>
      <w:r>
        <w:t>particular barriers</w:t>
      </w:r>
      <w:proofErr w:type="gramEnd"/>
      <w:r>
        <w:t>, including funding, to their career development in Australia.</w:t>
      </w:r>
    </w:p>
    <w:p w14:paraId="3F855191" w14:textId="77777777" w:rsidR="00CB49CA" w:rsidRPr="00E56213" w:rsidRDefault="00CB49CA" w:rsidP="00604B28">
      <w:pPr>
        <w:pStyle w:val="ListParagraph"/>
      </w:pPr>
      <w:r>
        <w:t>States and Territories should review arrangements for course fee rates for international students working within services while studying.</w:t>
      </w:r>
    </w:p>
    <w:p w14:paraId="7897070E" w14:textId="77777777" w:rsidR="00CB49CA" w:rsidRDefault="00CB49CA" w:rsidP="00604B28">
      <w:pPr>
        <w:pStyle w:val="ListParagraph"/>
      </w:pPr>
      <w:r>
        <w:t>As part of the Migration Strategy implementation, relevant parties should consider Early Childhood Educator (421111) &amp; Teacher (241111) roles for eligibility in employer sponsored skilled visa programs, with broad consultation across the ECEC sector.</w:t>
      </w:r>
    </w:p>
    <w:p w14:paraId="1659CD6D" w14:textId="77777777" w:rsidR="00CB49CA" w:rsidRDefault="00CB49CA" w:rsidP="00CB49CA">
      <w:pPr>
        <w:pStyle w:val="Finding"/>
        <w:numPr>
          <w:ilvl w:val="0"/>
          <w:numId w:val="2"/>
        </w:numPr>
        <w:ind w:left="454" w:hanging="454"/>
      </w:pPr>
      <w:r>
        <w:t xml:space="preserve">There is increased demand for early childhood education that appropriately serves diverse families and their communities including CALD </w:t>
      </w:r>
      <w:proofErr w:type="gramStart"/>
      <w:r>
        <w:t>communities,  regional</w:t>
      </w:r>
      <w:proofErr w:type="gramEnd"/>
      <w:r>
        <w:t xml:space="preserve"> and remote areas, for neurodiverse children and those with disabilities.  </w:t>
      </w:r>
    </w:p>
    <w:p w14:paraId="0E2A9230" w14:textId="77777777" w:rsidR="00CB49CA" w:rsidRDefault="00CB49CA" w:rsidP="00301771">
      <w:pPr>
        <w:pStyle w:val="ListParagraph"/>
      </w:pPr>
      <w:r>
        <w:t>All governments to explore in shared guidance and resources including to support early years educators in identification of children’s developmental needs and establishing inclusive care settings.</w:t>
      </w:r>
    </w:p>
    <w:p w14:paraId="1236E8C6" w14:textId="65554D67" w:rsidR="00CB49CA" w:rsidRDefault="00CB49CA" w:rsidP="00301771">
      <w:pPr>
        <w:pStyle w:val="ListParagraph"/>
      </w:pPr>
      <w:r>
        <w:t>The Department of Education and state and territory departments support the development and implementation of innovative solutions or incentives to staffing issues of identified need, including programs that provide financial and mentoring support to members of communities with specific needs to enter the ECEC workforce.</w:t>
      </w:r>
    </w:p>
    <w:p w14:paraId="5F8CA348" w14:textId="77777777" w:rsidR="00CB49CA" w:rsidRDefault="00CB49CA" w:rsidP="00CB49CA">
      <w:pPr>
        <w:pStyle w:val="Finding"/>
        <w:numPr>
          <w:ilvl w:val="0"/>
          <w:numId w:val="2"/>
        </w:numPr>
        <w:ind w:left="454" w:hanging="454"/>
      </w:pPr>
      <w:r>
        <w:t xml:space="preserve">The presence of First Nations staff within early childhood settings is critical for promoting participation, growth and development of First Nations children. While there are a number of Aboriginal Community Controlled Organisations involved in the delivery of ECEC, well-supported, culturally safe opportunities for First Nations ECEC staff in non ACCO settings are less embedded in the ECEC </w:t>
      </w:r>
      <w:proofErr w:type="gramStart"/>
      <w:r>
        <w:t>sector</w:t>
      </w:r>
      <w:proofErr w:type="gramEnd"/>
      <w:r>
        <w:t xml:space="preserve"> and these opportunities should be assured. Appropriate and culturally safe service provision requires more specialised roles, especially for First Nations children. </w:t>
      </w:r>
    </w:p>
    <w:p w14:paraId="3160F991" w14:textId="77777777" w:rsidR="00CB49CA" w:rsidRDefault="00CB49CA" w:rsidP="00301771">
      <w:pPr>
        <w:pStyle w:val="ListParagraph"/>
      </w:pPr>
      <w:r>
        <w:t>Education Ministers should incentivise and include an explicit focus on Aboriginal and Torres Strait Islander Workforce both within ACCOs and across mainstream services and investigate sustainable funding for ACCOs.</w:t>
      </w:r>
    </w:p>
    <w:p w14:paraId="7053058A" w14:textId="77777777" w:rsidR="00CB49CA" w:rsidRDefault="00CB49CA" w:rsidP="00F07C11">
      <w:pPr>
        <w:pStyle w:val="ListParagraph"/>
        <w:keepLines/>
        <w:ind w:left="1077" w:hanging="357"/>
      </w:pPr>
      <w:r>
        <w:lastRenderedPageBreak/>
        <w:t xml:space="preserve">Governments should formalise a process for ensuring ECEC sector is given adequate guidance from </w:t>
      </w:r>
      <w:r w:rsidRPr="000A4172">
        <w:t>First Nations peak bodies and representatives</w:t>
      </w:r>
      <w:r>
        <w:t xml:space="preserve"> on strategies to promote the employment, cultural safety and support of First Nations peoples working in the sector. </w:t>
      </w:r>
    </w:p>
    <w:p w14:paraId="3C08857B" w14:textId="77777777" w:rsidR="00CB49CA" w:rsidRDefault="00CB49CA" w:rsidP="00CB49CA">
      <w:pPr>
        <w:pStyle w:val="Finding"/>
        <w:numPr>
          <w:ilvl w:val="0"/>
          <w:numId w:val="2"/>
        </w:numPr>
        <w:ind w:left="454" w:hanging="454"/>
      </w:pPr>
      <w:r>
        <w:t xml:space="preserve">Scopes of practice are a valuable concept for workforce development. The roles, regulations and hierarchies that govern the ECEC workforce have a significant impact on staffing and their ability to deliver services that serve the needs of families and their communities. </w:t>
      </w:r>
    </w:p>
    <w:p w14:paraId="2DF58D63" w14:textId="77777777" w:rsidR="00CB49CA" w:rsidRPr="00A77F69" w:rsidRDefault="00CB49CA" w:rsidP="00604B28">
      <w:pPr>
        <w:pStyle w:val="ListParagraph"/>
      </w:pPr>
      <w:r>
        <w:t xml:space="preserve">The Australian Government should develop a national information resource to promote ECEC career and training pathways and attract new entrants from school leavers and people seeking career changing opportunities. This should include strategies to boost the diversity of the ECEC workforce and align to the </w:t>
      </w:r>
      <w:hyperlink r:id="rId24">
        <w:r>
          <w:t>Early Childhood Care and Development Sector Strengthening Plan</w:t>
        </w:r>
      </w:hyperlink>
      <w:r>
        <w:t xml:space="preserve"> with increased education, training and recruitment of First Nations professionals as a priority.</w:t>
      </w:r>
    </w:p>
    <w:p w14:paraId="403DD04D" w14:textId="77777777" w:rsidR="00CB49CA" w:rsidRPr="00825DE4" w:rsidRDefault="00CB49CA" w:rsidP="00604B28">
      <w:pPr>
        <w:pStyle w:val="ListParagraph"/>
      </w:pPr>
      <w:r>
        <w:t xml:space="preserve">Multiple parties should review the role of supernumerary staff (excluded from ratio and not responsible for supervising children) for administrative support and other roles. Gaps could be identified for any positions which are not recognised and considered through industrial instruments for administrative educational support roles to be created in the ECEC sector. A particular focus may also be to scope resources that services can use to support the creation of specialised administration support roles. </w:t>
      </w:r>
    </w:p>
    <w:tbl>
      <w:tblPr>
        <w:tblStyle w:val="BoxStyle"/>
        <w:tblW w:w="0" w:type="auto"/>
        <w:tblLook w:val="0620" w:firstRow="1" w:lastRow="0" w:firstColumn="0" w:lastColumn="0" w:noHBand="1" w:noVBand="1"/>
      </w:tblPr>
      <w:tblGrid>
        <w:gridCol w:w="9016"/>
      </w:tblGrid>
      <w:tr w:rsidR="00500EB9" w14:paraId="4BA2E641" w14:textId="77777777" w:rsidTr="005D67F5">
        <w:tc>
          <w:tcPr>
            <w:tcW w:w="9016" w:type="dxa"/>
          </w:tcPr>
          <w:p w14:paraId="216F7A58" w14:textId="61555D75" w:rsidR="00500EB9" w:rsidRDefault="00500EB9" w:rsidP="00DE0591">
            <w:pPr>
              <w:pStyle w:val="BoxHeading"/>
            </w:pPr>
            <w:r w:rsidRPr="00500EB9">
              <w:t>CAMEO: Krista Lynch, Centre Manager</w:t>
            </w:r>
          </w:p>
          <w:p w14:paraId="24FBFBDE" w14:textId="77777777" w:rsidR="00500EB9" w:rsidRPr="00A2153C" w:rsidRDefault="00500EB9" w:rsidP="00A2153C">
            <w:pPr>
              <w:spacing w:after="160" w:line="259" w:lineRule="auto"/>
            </w:pPr>
            <w:r w:rsidRPr="00A2153C">
              <w:t>Proud Kamilaroi woman Krista is a qualified Early Childhood Educator and leader in Tamworth NSW. Krista has completed a Certificate III and Diploma in Early Childhood Education and Care which has enabled her to lead several centres in northwest NSW. Through additional training and study, Krista was able to work her way up from room leader to centre manager and is now an area manager travelling across centres in NSW.</w:t>
            </w:r>
          </w:p>
          <w:p w14:paraId="71FA3B80" w14:textId="77777777" w:rsidR="00500EB9" w:rsidRPr="00A2153C" w:rsidRDefault="00500EB9" w:rsidP="00A2153C">
            <w:pPr>
              <w:spacing w:after="160" w:line="259" w:lineRule="auto"/>
            </w:pPr>
            <w:r w:rsidRPr="00A2153C">
              <w:t xml:space="preserve">While Krista has completed four TAFE courses, Krista “loved being able to study while gaining on the job experience in early childhood education” and strongly encourages other First Nations People to consider a career in ECEC. Krista </w:t>
            </w:r>
            <w:proofErr w:type="gramStart"/>
            <w:r w:rsidRPr="00A2153C">
              <w:t>says</w:t>
            </w:r>
            <w:proofErr w:type="gramEnd"/>
            <w:r w:rsidRPr="00A2153C">
              <w:t xml:space="preserve"> “On the job learning is a great way for mob to earn and learn” and allows you to pass on cultural knowledge and practice to future leaders.</w:t>
            </w:r>
          </w:p>
          <w:p w14:paraId="3740CA6F" w14:textId="2D8A50D2" w:rsidR="00500EB9" w:rsidRPr="00500EB9" w:rsidRDefault="00500EB9" w:rsidP="00500EB9">
            <w:pPr>
              <w:pStyle w:val="Source"/>
              <w:rPr>
                <w:caps/>
                <w:color w:val="6929C4" w:themeColor="accent1"/>
                <w:sz w:val="26"/>
                <w:szCs w:val="26"/>
              </w:rPr>
            </w:pPr>
            <w:r>
              <w:rPr>
                <w:noProof/>
              </w:rPr>
              <w:t xml:space="preserve">Source: Your Career, (2023), </w:t>
            </w:r>
            <w:r w:rsidRPr="009968D7">
              <w:rPr>
                <w:i/>
                <w:iCs/>
                <w:noProof/>
              </w:rPr>
              <w:t>Krista's path to a successful career in early education</w:t>
            </w:r>
            <w:r>
              <w:rPr>
                <w:noProof/>
              </w:rPr>
              <w:t xml:space="preserve">, Australian Government, </w:t>
            </w:r>
            <w:hyperlink r:id="rId25" w:history="1">
              <w:r w:rsidRPr="006A0DA4">
                <w:rPr>
                  <w:rStyle w:val="Hyperlink"/>
                  <w:noProof/>
                </w:rPr>
                <w:t>https://www.yourcareer.gov.au/resources/case-studies/krista-lynch</w:t>
              </w:r>
            </w:hyperlink>
            <w:r>
              <w:rPr>
                <w:noProof/>
              </w:rPr>
              <w:t xml:space="preserve">.  </w:t>
            </w:r>
          </w:p>
        </w:tc>
      </w:tr>
    </w:tbl>
    <w:p w14:paraId="557A403B" w14:textId="77777777" w:rsidR="004A6BF1" w:rsidRDefault="004A6BF1" w:rsidP="00C17D9C">
      <w:pPr>
        <w:sectPr w:rsidR="004A6BF1" w:rsidSect="00A2332E">
          <w:headerReference w:type="even" r:id="rId26"/>
          <w:headerReference w:type="default" r:id="rId27"/>
          <w:footerReference w:type="even" r:id="rId28"/>
          <w:headerReference w:type="first" r:id="rId29"/>
          <w:footerReference w:type="first" r:id="rId30"/>
          <w:pgSz w:w="11906" w:h="16838" w:code="9"/>
          <w:pgMar w:top="1440" w:right="1440" w:bottom="1440" w:left="1440" w:header="0" w:footer="709" w:gutter="0"/>
          <w:cols w:space="708"/>
          <w:docGrid w:linePitch="360"/>
        </w:sectPr>
      </w:pPr>
    </w:p>
    <w:p w14:paraId="2BDC543C" w14:textId="77777777" w:rsidR="004A6BF1" w:rsidRPr="004A6BF1" w:rsidRDefault="004A6BF1" w:rsidP="004A6BF1">
      <w:r w:rsidRPr="004A6BF1">
        <w:rPr>
          <w:noProof/>
        </w:rPr>
        <w:lastRenderedPageBreak/>
        <w:drawing>
          <wp:anchor distT="0" distB="0" distL="114300" distR="114300" simplePos="0" relativeHeight="251675651" behindDoc="0" locked="0" layoutInCell="1" allowOverlap="1" wp14:anchorId="689F3A08" wp14:editId="3F822185">
            <wp:simplePos x="0" y="0"/>
            <wp:positionH relativeFrom="page">
              <wp:align>left</wp:align>
            </wp:positionH>
            <wp:positionV relativeFrom="page">
              <wp:align>top</wp:align>
            </wp:positionV>
            <wp:extent cx="7560000" cy="10692000"/>
            <wp:effectExtent l="0" t="0" r="3175" b="0"/>
            <wp:wrapNone/>
            <wp:docPr id="56794770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947701" name="Picture 1">
                      <a:extLst>
                        <a:ext uri="{C183D7F6-B498-43B3-948B-1728B52AA6E4}">
                          <adec:decorative xmlns:adec="http://schemas.microsoft.com/office/drawing/2017/decorative" val="1"/>
                        </a:ext>
                      </a:extLst>
                    </pic:cNvPr>
                    <pic:cNvPicPr/>
                  </pic:nvPicPr>
                  <pic:blipFill>
                    <a:blip r:embed="rId3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3E9846A8" w14:textId="77777777" w:rsidR="004A6BF1" w:rsidRPr="004A6BF1" w:rsidRDefault="004A6BF1" w:rsidP="00F47B0F">
      <w:pPr>
        <w:pStyle w:val="Heading1"/>
      </w:pPr>
      <w:bookmarkStart w:id="26" w:name="_Toc174363689"/>
      <w:r w:rsidRPr="004A6BF1">
        <w:t>Introduction</w:t>
      </w:r>
      <w:bookmarkEnd w:id="26"/>
    </w:p>
    <w:p w14:paraId="72DB7218" w14:textId="77777777" w:rsidR="004A6BF1" w:rsidRPr="004A6BF1" w:rsidRDefault="004A6BF1" w:rsidP="004A6BF1">
      <w:pPr>
        <w:widowControl w:val="0"/>
        <w:autoSpaceDE w:val="0"/>
        <w:autoSpaceDN w:val="0"/>
        <w:spacing w:before="509" w:after="0" w:line="240" w:lineRule="auto"/>
        <w:ind w:left="283" w:right="283"/>
        <w:rPr>
          <w:rFonts w:eastAsia="Arial" w:cs="Arial"/>
          <w:color w:val="auto"/>
          <w:sz w:val="32"/>
          <w:szCs w:val="32"/>
          <w14:numForm w14:val="lining"/>
          <w14:numSpacing w14:val="proportional"/>
        </w:rPr>
      </w:pPr>
    </w:p>
    <w:p w14:paraId="67B50577" w14:textId="77777777" w:rsidR="004A6BF1" w:rsidRPr="004A6BF1" w:rsidRDefault="004A6BF1" w:rsidP="004A6BF1">
      <w:r w:rsidRPr="004A6BF1">
        <w:rPr>
          <w:noProof/>
        </w:rPr>
        <mc:AlternateContent>
          <mc:Choice Requires="wps">
            <w:drawing>
              <wp:anchor distT="0" distB="0" distL="114300" distR="114300" simplePos="0" relativeHeight="251673603" behindDoc="0" locked="0" layoutInCell="1" allowOverlap="1" wp14:anchorId="7E4CB245" wp14:editId="5F6001CB">
                <wp:simplePos x="0" y="0"/>
                <wp:positionH relativeFrom="column">
                  <wp:posOffset>-914400</wp:posOffset>
                </wp:positionH>
                <wp:positionV relativeFrom="page">
                  <wp:posOffset>10850880</wp:posOffset>
                </wp:positionV>
                <wp:extent cx="7559675" cy="5259705"/>
                <wp:effectExtent l="0" t="0" r="3175" b="0"/>
                <wp:wrapNone/>
                <wp:docPr id="3" name="Freeform: Shap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5259705"/>
                        </a:xfrm>
                        <a:custGeom>
                          <a:avLst/>
                          <a:gdLst/>
                          <a:ahLst/>
                          <a:cxnLst/>
                          <a:rect l="l" t="t" r="r" b="b"/>
                          <a:pathLst>
                            <a:path w="7560309" h="5259705">
                              <a:moveTo>
                                <a:pt x="7559992" y="0"/>
                              </a:moveTo>
                              <a:lnTo>
                                <a:pt x="0" y="0"/>
                              </a:lnTo>
                              <a:lnTo>
                                <a:pt x="0" y="5259603"/>
                              </a:lnTo>
                              <a:lnTo>
                                <a:pt x="7559992" y="5259603"/>
                              </a:lnTo>
                              <a:lnTo>
                                <a:pt x="7559992" y="0"/>
                              </a:lnTo>
                              <a:close/>
                            </a:path>
                          </a:pathLst>
                        </a:custGeom>
                        <a:solidFill>
                          <a:srgbClr val="D2DE5A"/>
                        </a:solidFill>
                      </wps:spPr>
                      <wps:txbx>
                        <w:txbxContent>
                          <w:p w14:paraId="564070D0" w14:textId="77777777" w:rsidR="004A6BF1" w:rsidRPr="002F7925" w:rsidRDefault="004A6BF1" w:rsidP="004A6BF1">
                            <w:pPr>
                              <w:spacing w:before="1200" w:after="0" w:line="240" w:lineRule="auto"/>
                              <w:ind w:left="1417"/>
                              <w:rPr>
                                <w:spacing w:val="-5"/>
                                <w:sz w:val="72"/>
                                <w14:numForm w14:val="lining"/>
                                <w14:numSpacing w14:val="proportional"/>
                              </w:rPr>
                            </w:pPr>
                            <w:r w:rsidRPr="002F7925">
                              <w:rPr>
                                <w:sz w:val="72"/>
                                <w14:numForm w14:val="lining"/>
                                <w14:numSpacing w14:val="proportional"/>
                              </w:rPr>
                              <w:t xml:space="preserve">Chapter </w:t>
                            </w:r>
                            <w:r w:rsidRPr="002F7925">
                              <w:rPr>
                                <w:spacing w:val="-5"/>
                                <w:sz w:val="72"/>
                                <w14:numForm w14:val="lining"/>
                                <w14:numSpacing w14:val="proportional"/>
                              </w:rPr>
                              <w:t>1</w:t>
                            </w:r>
                          </w:p>
                          <w:p w14:paraId="0134BEFF" w14:textId="77777777" w:rsidR="004A6BF1" w:rsidRPr="002F7925" w:rsidRDefault="004A6BF1" w:rsidP="004A6BF1">
                            <w:pPr>
                              <w:spacing w:after="0" w:line="240" w:lineRule="auto"/>
                              <w:ind w:left="1417"/>
                              <w:rPr>
                                <w:b/>
                                <w:bCs/>
                                <w:sz w:val="92"/>
                                <w:szCs w:val="92"/>
                                <w14:numForm w14:val="lining"/>
                                <w14:numSpacing w14:val="proportional"/>
                              </w:rPr>
                            </w:pPr>
                            <w:r w:rsidRPr="002F7925">
                              <w:rPr>
                                <w:b/>
                                <w:bCs/>
                                <w:sz w:val="92"/>
                                <w:szCs w:val="92"/>
                                <w14:numForm w14:val="lining"/>
                                <w14:numSpacing w14:val="proportional"/>
                              </w:rPr>
                              <w:t>The</w:t>
                            </w:r>
                            <w:r w:rsidRPr="002F7925">
                              <w:rPr>
                                <w:b/>
                                <w:bCs/>
                                <w:spacing w:val="-2"/>
                                <w:sz w:val="92"/>
                                <w:szCs w:val="92"/>
                                <w14:numForm w14:val="lining"/>
                                <w14:numSpacing w14:val="proportional"/>
                              </w:rPr>
                              <w:t xml:space="preserve"> study</w:t>
                            </w:r>
                          </w:p>
                          <w:p w14:paraId="5F8FF189" w14:textId="77777777" w:rsidR="004A6BF1" w:rsidRPr="002F7925" w:rsidRDefault="004A6BF1" w:rsidP="004A6BF1">
                            <w:pPr>
                              <w:pStyle w:val="BodyText"/>
                              <w:spacing w:before="509"/>
                              <w:ind w:left="1417"/>
                              <w:rPr>
                                <w14:numForm w14:val="lining"/>
                                <w14:numSpacing w14:val="proportional"/>
                              </w:rPr>
                            </w:pPr>
                            <w:r w:rsidRPr="002F7925">
                              <w:rPr>
                                <w14:numForm w14:val="lining"/>
                                <w14:numSpacing w14:val="proportional"/>
                              </w:rPr>
                              <w:t>Provides the study’s purpose, approach and contextual information.</w:t>
                            </w:r>
                            <w:r w:rsidRPr="002F7925">
                              <w:rPr>
                                <w:spacing w:val="-6"/>
                                <w14:numForm w14:val="lining"/>
                                <w14:numSpacing w14:val="proportional"/>
                              </w:rPr>
                              <w:t xml:space="preserve"> </w:t>
                            </w:r>
                            <w:r w:rsidRPr="002F7925">
                              <w:rPr>
                                <w14:numForm w14:val="lining"/>
                                <w14:numSpacing w14:val="proportional"/>
                              </w:rPr>
                              <w:t>Outlines</w:t>
                            </w:r>
                            <w:r w:rsidRPr="002F7925">
                              <w:rPr>
                                <w:spacing w:val="-6"/>
                                <w14:numForm w14:val="lining"/>
                                <w14:numSpacing w14:val="proportional"/>
                              </w:rPr>
                              <w:t xml:space="preserve"> </w:t>
                            </w:r>
                            <w:r w:rsidRPr="002F7925">
                              <w:rPr>
                                <w14:numForm w14:val="lining"/>
                                <w14:numSpacing w14:val="proportional"/>
                              </w:rPr>
                              <w:t>the</w:t>
                            </w:r>
                            <w:r w:rsidRPr="002F7925">
                              <w:rPr>
                                <w:spacing w:val="-6"/>
                                <w14:numForm w14:val="lining"/>
                                <w14:numSpacing w14:val="proportional"/>
                              </w:rPr>
                              <w:t xml:space="preserve"> </w:t>
                            </w:r>
                            <w:r w:rsidRPr="002F7925">
                              <w:rPr>
                                <w14:numForm w14:val="lining"/>
                                <w14:numSpacing w14:val="proportional"/>
                              </w:rPr>
                              <w:t>domestic</w:t>
                            </w:r>
                            <w:r w:rsidRPr="002F7925">
                              <w:rPr>
                                <w:spacing w:val="-6"/>
                                <w14:numForm w14:val="lining"/>
                                <w14:numSpacing w14:val="proportional"/>
                              </w:rPr>
                              <w:t xml:space="preserve"> </w:t>
                            </w:r>
                            <w:r w:rsidRPr="002F7925">
                              <w:rPr>
                                <w14:numForm w14:val="lining"/>
                                <w14:numSpacing w14:val="proportional"/>
                              </w:rPr>
                              <w:t>and</w:t>
                            </w:r>
                            <w:r w:rsidRPr="002F7925">
                              <w:rPr>
                                <w:spacing w:val="-6"/>
                                <w14:numForm w14:val="lining"/>
                                <w14:numSpacing w14:val="proportional"/>
                              </w:rPr>
                              <w:t xml:space="preserve"> </w:t>
                            </w:r>
                            <w:r w:rsidRPr="002F7925">
                              <w:rPr>
                                <w14:numForm w14:val="lining"/>
                                <w14:numSpacing w14:val="proportional"/>
                              </w:rPr>
                              <w:t>international</w:t>
                            </w:r>
                            <w:r w:rsidRPr="002F7925">
                              <w:rPr>
                                <w:spacing w:val="-6"/>
                                <w14:numForm w14:val="lining"/>
                                <w14:numSpacing w14:val="proportional"/>
                              </w:rPr>
                              <w:t xml:space="preserve"> </w:t>
                            </w:r>
                            <w:r w:rsidRPr="002F7925">
                              <w:rPr>
                                <w14:numForm w14:val="lining"/>
                                <w14:numSpacing w14:val="proportional"/>
                              </w:rPr>
                              <w:t>policies driving the energy transition.</w:t>
                            </w:r>
                          </w:p>
                          <w:p w14:paraId="3031F7C1" w14:textId="77777777" w:rsidR="004A6BF1" w:rsidRDefault="004A6BF1" w:rsidP="004A6BF1">
                            <w:pPr>
                              <w:jc w:val="center"/>
                            </w:pPr>
                          </w:p>
                        </w:txbxContent>
                      </wps:txbx>
                      <wps:bodyPr wrap="square" lIns="0" tIns="0" rIns="0" bIns="0" rtlCol="0">
                        <a:prstTxWarp prst="textNoShape">
                          <a:avLst/>
                        </a:prstTxWarp>
                        <a:noAutofit/>
                      </wps:bodyPr>
                    </wps:wsp>
                  </a:graphicData>
                </a:graphic>
              </wp:anchor>
            </w:drawing>
          </mc:Choice>
          <mc:Fallback>
            <w:pict>
              <v:shape w14:anchorId="7E4CB245" id="Freeform: Shape 3" o:spid="_x0000_s1027" alt="&quot;&quot;" style="position:absolute;margin-left:-1in;margin-top:854.4pt;width:595.25pt;height:414.15pt;z-index:251673603;visibility:visible;mso-wrap-style:square;mso-wrap-distance-left:9pt;mso-wrap-distance-top:0;mso-wrap-distance-right:9pt;mso-wrap-distance-bottom:0;mso-position-horizontal:absolute;mso-position-horizontal-relative:text;mso-position-vertical:absolute;mso-position-vertical-relative:page;v-text-anchor:top" coordsize="7560309,52597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" adj="-11796480,,5400" path="m7559992,l,,,5259603r7559992,l7559992,xe" fillcolor="#d2de5a" stroked="f">
                <v:stroke joinstyle="miter"/>
                <v:formulas/>
                <v:path arrowok="t" o:connecttype="custom" textboxrect="0,0,7560309,5259705"/>
                <v:textbox inset="0,0,0,0">
                  <w:txbxContent>
                    <w:p w14:paraId="564070D0" w14:textId="77777777" w:rsidR="004A6BF1" w:rsidRPr="002F7925" w:rsidRDefault="004A6BF1" w:rsidP="004A6BF1">
                      <w:pPr>
                        <w:spacing w:before="1200" w:after="0" w:line="240" w:lineRule="auto"/>
                        <w:ind w:left="1417"/>
                        <w:rPr>
                          <w:spacing w:val="-5"/>
                          <w:sz w:val="72"/>
                          <w14:numForm w14:val="lining"/>
                          <w14:numSpacing w14:val="proportional"/>
                        </w:rPr>
                      </w:pPr>
                      <w:r w:rsidRPr="002F7925">
                        <w:rPr>
                          <w:sz w:val="72"/>
                          <w14:numForm w14:val="lining"/>
                          <w14:numSpacing w14:val="proportional"/>
                        </w:rPr>
                        <w:t xml:space="preserve">Chapter </w:t>
                      </w:r>
                      <w:r w:rsidRPr="002F7925">
                        <w:rPr>
                          <w:spacing w:val="-5"/>
                          <w:sz w:val="72"/>
                          <w14:numForm w14:val="lining"/>
                          <w14:numSpacing w14:val="proportional"/>
                        </w:rPr>
                        <w:t>1</w:t>
                      </w:r>
                    </w:p>
                    <w:p w14:paraId="0134BEFF" w14:textId="77777777" w:rsidR="004A6BF1" w:rsidRPr="002F7925" w:rsidRDefault="004A6BF1" w:rsidP="004A6BF1">
                      <w:pPr>
                        <w:spacing w:after="0" w:line="240" w:lineRule="auto"/>
                        <w:ind w:left="1417"/>
                        <w:rPr>
                          <w:b/>
                          <w:bCs/>
                          <w:sz w:val="92"/>
                          <w:szCs w:val="92"/>
                          <w14:numForm w14:val="lining"/>
                          <w14:numSpacing w14:val="proportional"/>
                        </w:rPr>
                      </w:pPr>
                      <w:r w:rsidRPr="002F7925">
                        <w:rPr>
                          <w:b/>
                          <w:bCs/>
                          <w:sz w:val="92"/>
                          <w:szCs w:val="92"/>
                          <w14:numForm w14:val="lining"/>
                          <w14:numSpacing w14:val="proportional"/>
                        </w:rPr>
                        <w:t>The</w:t>
                      </w:r>
                      <w:r w:rsidRPr="002F7925">
                        <w:rPr>
                          <w:b/>
                          <w:bCs/>
                          <w:spacing w:val="-2"/>
                          <w:sz w:val="92"/>
                          <w:szCs w:val="92"/>
                          <w14:numForm w14:val="lining"/>
                          <w14:numSpacing w14:val="proportional"/>
                        </w:rPr>
                        <w:t xml:space="preserve"> study</w:t>
                      </w:r>
                    </w:p>
                    <w:p w14:paraId="5F8FF189" w14:textId="77777777" w:rsidR="004A6BF1" w:rsidRPr="002F7925" w:rsidRDefault="004A6BF1" w:rsidP="004A6BF1">
                      <w:pPr>
                        <w:pStyle w:val="BodyText"/>
                        <w:spacing w:before="509"/>
                        <w:ind w:left="1417"/>
                        <w:rPr>
                          <w14:numForm w14:val="lining"/>
                          <w14:numSpacing w14:val="proportional"/>
                        </w:rPr>
                      </w:pPr>
                      <w:r w:rsidRPr="002F7925">
                        <w:rPr>
                          <w14:numForm w14:val="lining"/>
                          <w14:numSpacing w14:val="proportional"/>
                        </w:rPr>
                        <w:t>Provides the study’s purpose, approach and contextual information.</w:t>
                      </w:r>
                      <w:r w:rsidRPr="002F7925">
                        <w:rPr>
                          <w:spacing w:val="-6"/>
                          <w14:numForm w14:val="lining"/>
                          <w14:numSpacing w14:val="proportional"/>
                        </w:rPr>
                        <w:t xml:space="preserve"> </w:t>
                      </w:r>
                      <w:r w:rsidRPr="002F7925">
                        <w:rPr>
                          <w14:numForm w14:val="lining"/>
                          <w14:numSpacing w14:val="proportional"/>
                        </w:rPr>
                        <w:t>Outlines</w:t>
                      </w:r>
                      <w:r w:rsidRPr="002F7925">
                        <w:rPr>
                          <w:spacing w:val="-6"/>
                          <w14:numForm w14:val="lining"/>
                          <w14:numSpacing w14:val="proportional"/>
                        </w:rPr>
                        <w:t xml:space="preserve"> </w:t>
                      </w:r>
                      <w:r w:rsidRPr="002F7925">
                        <w:rPr>
                          <w14:numForm w14:val="lining"/>
                          <w14:numSpacing w14:val="proportional"/>
                        </w:rPr>
                        <w:t>the</w:t>
                      </w:r>
                      <w:r w:rsidRPr="002F7925">
                        <w:rPr>
                          <w:spacing w:val="-6"/>
                          <w14:numForm w14:val="lining"/>
                          <w14:numSpacing w14:val="proportional"/>
                        </w:rPr>
                        <w:t xml:space="preserve"> </w:t>
                      </w:r>
                      <w:r w:rsidRPr="002F7925">
                        <w:rPr>
                          <w14:numForm w14:val="lining"/>
                          <w14:numSpacing w14:val="proportional"/>
                        </w:rPr>
                        <w:t>domestic</w:t>
                      </w:r>
                      <w:r w:rsidRPr="002F7925">
                        <w:rPr>
                          <w:spacing w:val="-6"/>
                          <w14:numForm w14:val="lining"/>
                          <w14:numSpacing w14:val="proportional"/>
                        </w:rPr>
                        <w:t xml:space="preserve"> </w:t>
                      </w:r>
                      <w:r w:rsidRPr="002F7925">
                        <w:rPr>
                          <w14:numForm w14:val="lining"/>
                          <w14:numSpacing w14:val="proportional"/>
                        </w:rPr>
                        <w:t>and</w:t>
                      </w:r>
                      <w:r w:rsidRPr="002F7925">
                        <w:rPr>
                          <w:spacing w:val="-6"/>
                          <w14:numForm w14:val="lining"/>
                          <w14:numSpacing w14:val="proportional"/>
                        </w:rPr>
                        <w:t xml:space="preserve"> </w:t>
                      </w:r>
                      <w:r w:rsidRPr="002F7925">
                        <w:rPr>
                          <w14:numForm w14:val="lining"/>
                          <w14:numSpacing w14:val="proportional"/>
                        </w:rPr>
                        <w:t>international</w:t>
                      </w:r>
                      <w:r w:rsidRPr="002F7925">
                        <w:rPr>
                          <w:spacing w:val="-6"/>
                          <w14:numForm w14:val="lining"/>
                          <w14:numSpacing w14:val="proportional"/>
                        </w:rPr>
                        <w:t xml:space="preserve"> </w:t>
                      </w:r>
                      <w:r w:rsidRPr="002F7925">
                        <w:rPr>
                          <w14:numForm w14:val="lining"/>
                          <w14:numSpacing w14:val="proportional"/>
                        </w:rPr>
                        <w:t>policies driving the energy transition.</w:t>
                      </w:r>
                    </w:p>
                    <w:p w14:paraId="3031F7C1" w14:textId="77777777" w:rsidR="004A6BF1" w:rsidRDefault="004A6BF1" w:rsidP="004A6BF1">
                      <w:pPr>
                        <w:jc w:val="center"/>
                      </w:pPr>
                    </w:p>
                  </w:txbxContent>
                </v:textbox>
                <w10:wrap anchory="page"/>
              </v:shape>
            </w:pict>
          </mc:Fallback>
        </mc:AlternateContent>
      </w:r>
      <w:r w:rsidRPr="004A6BF1">
        <w:br w:type="page"/>
      </w:r>
    </w:p>
    <w:p w14:paraId="269FA516" w14:textId="77777777" w:rsidR="004A6BF1" w:rsidRPr="004A6BF1" w:rsidRDefault="004A6BF1" w:rsidP="00F47B0F">
      <w:pPr>
        <w:pStyle w:val="Heading2"/>
      </w:pPr>
      <w:bookmarkStart w:id="27" w:name="_Toc174363690"/>
      <w:r w:rsidRPr="004A6BF1">
        <w:lastRenderedPageBreak/>
        <w:t>The Role of this Study</w:t>
      </w:r>
      <w:bookmarkEnd w:id="27"/>
    </w:p>
    <w:p w14:paraId="558D0453" w14:textId="77777777" w:rsidR="004A6BF1" w:rsidRPr="004A6BF1" w:rsidRDefault="004A6BF1" w:rsidP="004A6BF1">
      <w:r w:rsidRPr="004A6BF1">
        <w:t xml:space="preserve">Australian Governments, at both the national and state/territory levels, have recognised the importance of quality early childhood education and care (ECEC) to our current and future productivity and wellbeing, as well as to tackling disadvantage in our society.  </w:t>
      </w:r>
    </w:p>
    <w:p w14:paraId="1DEBBAFF" w14:textId="77777777" w:rsidR="004A6BF1" w:rsidRPr="004A6BF1" w:rsidRDefault="004A6BF1" w:rsidP="004A6BF1">
      <w:r w:rsidRPr="004A6BF1">
        <w:t xml:space="preserve">Ambitious policies are already in train to expand early childhood education and care, including work towards universal access and extending the reach of free preschool in many states and territories. </w:t>
      </w:r>
    </w:p>
    <w:p w14:paraId="7771901E" w14:textId="77777777" w:rsidR="004A6BF1" w:rsidRPr="004A6BF1" w:rsidRDefault="004A6BF1" w:rsidP="004A6BF1">
      <w:r w:rsidRPr="004A6BF1">
        <w:t>Expanding access to ECEC services will require a larger ECEC workforce. As a human-centred activity, opportunities to automate or completely replace ECEC staff with technology rarely exist – and quality ECEC requires staff to be well trained. In particular, expanding preschool access will mean more early childhood teachers are needed relative to other ECEC educators.</w:t>
      </w:r>
    </w:p>
    <w:p w14:paraId="5AB2B3AD" w14:textId="77777777" w:rsidR="004A6BF1" w:rsidRPr="004A6BF1" w:rsidRDefault="004A6BF1" w:rsidP="004A6BF1">
      <w:r w:rsidRPr="004A6BF1">
        <w:t>Yet the system is already experiencing shortages. The sector is characterised by low wages relative to comparable occupations and sectors. There are also system settings undermining job satisfaction, career progression opportunities, and cultural and gender inclusion, which affect the sector’s ability to attract and retain staff.</w:t>
      </w:r>
    </w:p>
    <w:p w14:paraId="14A3D987" w14:textId="77777777" w:rsidR="004A6BF1" w:rsidRPr="004A6BF1" w:rsidRDefault="004A6BF1" w:rsidP="004A6BF1">
      <w:r w:rsidRPr="004A6BF1">
        <w:t>This Study expands on the existing evidence, identifying concrete measures that can help the sector build a more sustainable workforce that can attract and retain the additional workers it requires.</w:t>
      </w:r>
    </w:p>
    <w:p w14:paraId="6CDCD62C" w14:textId="77777777" w:rsidR="004A6BF1" w:rsidRPr="004A6BF1" w:rsidRDefault="004A6BF1" w:rsidP="004A6BF1">
      <w:r w:rsidRPr="004A6BF1">
        <w:t>This Study achieves this by looking at both the individual and holistic components of the ECEC workforce, the training pathways through VET and higher education, the influence of the regulatory framework on training arrangements and workloads, and the funding and industrial relations settings as the principal determinants of wage levels in the sector. It further considers attrition factors, including burnout, lack of career prospects, and the workforce strain.</w:t>
      </w:r>
    </w:p>
    <w:p w14:paraId="6F1156C9" w14:textId="77777777" w:rsidR="004A6BF1" w:rsidRPr="004A6BF1" w:rsidRDefault="004A6BF1" w:rsidP="00F47B0F">
      <w:pPr>
        <w:pStyle w:val="Heading2"/>
      </w:pPr>
      <w:bookmarkStart w:id="28" w:name="_Toc174363691"/>
      <w:r w:rsidRPr="004A6BF1">
        <w:t>What is a Capacity Study?</w:t>
      </w:r>
      <w:bookmarkEnd w:id="28"/>
    </w:p>
    <w:p w14:paraId="073B4027" w14:textId="77777777" w:rsidR="004A6BF1" w:rsidRPr="004A6BF1" w:rsidRDefault="004A6BF1" w:rsidP="004A6BF1">
      <w:r w:rsidRPr="004A6BF1">
        <w:t>Jobs and Skills Australia (JSA)’s capacity studies assess the current and future demand for, and supply of, labour and skills in critical areas of the economy. They also make recommendations on how the current and future skills and workforce needs can be met, within set time, resource and legislative constraints and government objectives.</w:t>
      </w:r>
    </w:p>
    <w:p w14:paraId="0718D7A3" w14:textId="77777777" w:rsidR="004A6BF1" w:rsidRPr="004A6BF1" w:rsidRDefault="004A6BF1" w:rsidP="004A6BF1">
      <w:r w:rsidRPr="004A6BF1">
        <w:t>JSA has established an ongoing capacity study function to:</w:t>
      </w:r>
    </w:p>
    <w:p w14:paraId="5F1535EB" w14:textId="77777777" w:rsidR="004A6BF1" w:rsidRPr="004A6BF1" w:rsidRDefault="004A6BF1" w:rsidP="004A6BF1">
      <w:pPr>
        <w:numPr>
          <w:ilvl w:val="0"/>
          <w:numId w:val="1"/>
        </w:numPr>
        <w:spacing w:line="240" w:lineRule="atLeast"/>
        <w:rPr>
          <w:rFonts w:eastAsia="SimSun" w:cs="Times New Roman"/>
          <w:spacing w:val="-1"/>
          <w:szCs w:val="20"/>
          <w:lang w:val="en-GB" w:eastAsia="en-GB"/>
        </w:rPr>
      </w:pPr>
      <w:r w:rsidRPr="004A6BF1">
        <w:rPr>
          <w:rFonts w:eastAsia="SimSun" w:cs="Times New Roman"/>
          <w:spacing w:val="-1"/>
          <w:szCs w:val="20"/>
          <w:lang w:val="en-GB" w:eastAsia="en-GB"/>
        </w:rPr>
        <w:t>bring together subject matter experts, data specialists and people with stakeholder engagement expertise</w:t>
      </w:r>
    </w:p>
    <w:p w14:paraId="4BC270EE" w14:textId="77777777" w:rsidR="004A6BF1" w:rsidRPr="004A6BF1" w:rsidRDefault="004A6BF1" w:rsidP="004A6BF1">
      <w:pPr>
        <w:numPr>
          <w:ilvl w:val="0"/>
          <w:numId w:val="1"/>
        </w:numPr>
        <w:spacing w:line="240" w:lineRule="atLeast"/>
        <w:rPr>
          <w:rFonts w:eastAsia="SimSun" w:cs="Times New Roman"/>
          <w:spacing w:val="-1"/>
          <w:szCs w:val="20"/>
          <w:lang w:val="en-GB" w:eastAsia="en-GB"/>
        </w:rPr>
      </w:pPr>
      <w:r w:rsidRPr="004A6BF1">
        <w:rPr>
          <w:rFonts w:eastAsia="SimSun" w:cs="Times New Roman"/>
          <w:spacing w:val="-1"/>
          <w:szCs w:val="20"/>
          <w:lang w:val="en-GB" w:eastAsia="en-GB"/>
        </w:rPr>
        <w:t>be informed by project Steering Groups, with key stakeholders directly represented</w:t>
      </w:r>
    </w:p>
    <w:p w14:paraId="7D733E43" w14:textId="77777777" w:rsidR="004A6BF1" w:rsidRPr="004A6BF1" w:rsidRDefault="004A6BF1" w:rsidP="004A6BF1">
      <w:pPr>
        <w:numPr>
          <w:ilvl w:val="0"/>
          <w:numId w:val="1"/>
        </w:numPr>
        <w:spacing w:line="240" w:lineRule="atLeast"/>
        <w:rPr>
          <w:rFonts w:eastAsia="SimSun" w:cs="Times New Roman"/>
          <w:spacing w:val="-1"/>
          <w:szCs w:val="20"/>
          <w:lang w:val="en-GB" w:eastAsia="en-GB"/>
        </w:rPr>
      </w:pPr>
      <w:r w:rsidRPr="004A6BF1">
        <w:rPr>
          <w:rFonts w:eastAsia="SimSun" w:cs="Times New Roman"/>
          <w:spacing w:val="-1"/>
          <w:szCs w:val="20"/>
          <w:lang w:val="en-GB" w:eastAsia="en-GB"/>
        </w:rPr>
        <w:t>provide a detailed assessment of labour and skills supply and demand, employment arrangements, and education, training, and migration pathways</w:t>
      </w:r>
    </w:p>
    <w:p w14:paraId="49288E72" w14:textId="77777777" w:rsidR="004A6BF1" w:rsidRPr="004A6BF1" w:rsidRDefault="004A6BF1" w:rsidP="004A6BF1">
      <w:pPr>
        <w:numPr>
          <w:ilvl w:val="0"/>
          <w:numId w:val="1"/>
        </w:numPr>
        <w:spacing w:line="240" w:lineRule="atLeast"/>
        <w:rPr>
          <w:rFonts w:eastAsia="SimSun" w:cs="Times New Roman"/>
          <w:spacing w:val="-1"/>
          <w:szCs w:val="20"/>
          <w:lang w:val="en-GB" w:eastAsia="en-GB"/>
        </w:rPr>
      </w:pPr>
      <w:r w:rsidRPr="004A6BF1">
        <w:rPr>
          <w:rFonts w:eastAsia="SimSun" w:cs="Times New Roman"/>
          <w:spacing w:val="-1"/>
          <w:szCs w:val="20"/>
          <w:lang w:val="en-GB" w:eastAsia="en-GB"/>
        </w:rPr>
        <w:t>produce long-term modelling of future workforce demand and supply.</w:t>
      </w:r>
    </w:p>
    <w:p w14:paraId="33ED79DD" w14:textId="77777777" w:rsidR="004A6BF1" w:rsidRPr="004A6BF1" w:rsidRDefault="004A6BF1" w:rsidP="00F47B0F">
      <w:pPr>
        <w:pStyle w:val="Heading2"/>
      </w:pPr>
      <w:bookmarkStart w:id="29" w:name="_Toc174363692"/>
      <w:r w:rsidRPr="004A6BF1">
        <w:lastRenderedPageBreak/>
        <w:t>The Terms of Reference</w:t>
      </w:r>
      <w:bookmarkEnd w:id="29"/>
    </w:p>
    <w:p w14:paraId="3868F3F2" w14:textId="77777777" w:rsidR="004A6BF1" w:rsidRPr="004A6BF1" w:rsidRDefault="004A6BF1" w:rsidP="004A6BF1">
      <w:r w:rsidRPr="004A6BF1">
        <w:t xml:space="preserve">The Study’s Terms of Reference (ToRs) were developed following robust internal and external consultation. Designed to avoid duplication and to complement current inquiries being undertaken by the Productivity Commission and the Australian Competition and Consumer Commission (ACCC), a key focus of the Study’s ToRs is to ensure stakeholder insights are </w:t>
      </w:r>
      <w:proofErr w:type="gramStart"/>
      <w:r w:rsidRPr="004A6BF1">
        <w:t>taken into account</w:t>
      </w:r>
      <w:proofErr w:type="gramEnd"/>
      <w:r w:rsidRPr="004A6BF1">
        <w:t xml:space="preserve">. This ensures the Study has a transparent scope and delivers findings which add to the skills and workforce research and planning landscape. Terms of Reference were opened for comment on Friday 27 October 2023 and received over 30 submissions. </w:t>
      </w:r>
    </w:p>
    <w:p w14:paraId="2D634A88" w14:textId="77777777" w:rsidR="004A6BF1" w:rsidRPr="004A6BF1" w:rsidRDefault="004A6BF1" w:rsidP="004A6BF1">
      <w:r w:rsidRPr="004A6BF1">
        <w:t>The complete terms of reference are included at Appendix A. Broadly the ToRs required the study to:</w:t>
      </w:r>
    </w:p>
    <w:p w14:paraId="552EFF0C" w14:textId="77777777" w:rsidR="004A6BF1" w:rsidRPr="004A6BF1" w:rsidRDefault="004A6BF1" w:rsidP="004A6BF1">
      <w:pPr>
        <w:numPr>
          <w:ilvl w:val="0"/>
          <w:numId w:val="1"/>
        </w:numPr>
        <w:spacing w:line="240" w:lineRule="atLeast"/>
        <w:rPr>
          <w:rFonts w:eastAsia="SimSun" w:cs="Times New Roman"/>
          <w:spacing w:val="-1"/>
          <w:szCs w:val="20"/>
          <w:lang w:val="en-GB" w:eastAsia="en-GB"/>
        </w:rPr>
      </w:pPr>
      <w:r w:rsidRPr="004A6BF1">
        <w:rPr>
          <w:rFonts w:eastAsia="SimSun" w:cs="Times New Roman"/>
          <w:spacing w:val="-1"/>
          <w:szCs w:val="20"/>
          <w:lang w:val="en-GB" w:eastAsia="en-GB"/>
        </w:rPr>
        <w:t>Examine the characteristics of the current ECEC workforce and employment settings.</w:t>
      </w:r>
    </w:p>
    <w:p w14:paraId="06FB5FAE" w14:textId="77777777" w:rsidR="004A6BF1" w:rsidRPr="004A6BF1" w:rsidRDefault="004A6BF1" w:rsidP="004A6BF1">
      <w:pPr>
        <w:numPr>
          <w:ilvl w:val="0"/>
          <w:numId w:val="1"/>
        </w:numPr>
        <w:spacing w:line="240" w:lineRule="atLeast"/>
        <w:rPr>
          <w:rFonts w:eastAsia="SimSun" w:cs="Times New Roman"/>
          <w:spacing w:val="-1"/>
          <w:szCs w:val="20"/>
          <w:lang w:val="en-GB" w:eastAsia="en-GB"/>
        </w:rPr>
      </w:pPr>
      <w:r w:rsidRPr="004A6BF1">
        <w:rPr>
          <w:rFonts w:eastAsia="SimSun" w:cs="Times New Roman"/>
          <w:spacing w:val="-1"/>
          <w:szCs w:val="20"/>
          <w:lang w:val="en-GB" w:eastAsia="en-GB"/>
        </w:rPr>
        <w:t>Assess the current training and migration pipelines for supplying ECEC workforce.</w:t>
      </w:r>
    </w:p>
    <w:p w14:paraId="74925466" w14:textId="77777777" w:rsidR="004A6BF1" w:rsidRPr="004A6BF1" w:rsidRDefault="004A6BF1" w:rsidP="004A6BF1">
      <w:pPr>
        <w:numPr>
          <w:ilvl w:val="0"/>
          <w:numId w:val="1"/>
        </w:numPr>
        <w:spacing w:line="240" w:lineRule="atLeast"/>
        <w:rPr>
          <w:rFonts w:eastAsia="SimSun" w:cs="Times New Roman"/>
          <w:spacing w:val="-1"/>
          <w:szCs w:val="20"/>
          <w:lang w:val="en-GB" w:eastAsia="en-GB"/>
        </w:rPr>
      </w:pPr>
      <w:r w:rsidRPr="004A6BF1">
        <w:rPr>
          <w:rFonts w:eastAsia="SimSun" w:cs="Times New Roman"/>
          <w:spacing w:val="-1"/>
          <w:szCs w:val="20"/>
          <w:lang w:val="en-GB" w:eastAsia="en-GB"/>
        </w:rPr>
        <w:t>Estimate future demand of the ECEC workforce based on unmet and proposed service demand estimates and compare this with expected supply.</w:t>
      </w:r>
    </w:p>
    <w:p w14:paraId="2CBCC41E" w14:textId="77777777" w:rsidR="004A6BF1" w:rsidRPr="004A6BF1" w:rsidRDefault="004A6BF1" w:rsidP="004A6BF1">
      <w:pPr>
        <w:numPr>
          <w:ilvl w:val="0"/>
          <w:numId w:val="1"/>
        </w:numPr>
        <w:spacing w:line="240" w:lineRule="atLeast"/>
        <w:rPr>
          <w:rFonts w:eastAsia="SimSun" w:cs="Times New Roman"/>
          <w:spacing w:val="-1"/>
          <w:szCs w:val="20"/>
          <w:lang w:val="en-GB" w:eastAsia="en-GB"/>
        </w:rPr>
      </w:pPr>
      <w:r w:rsidRPr="004A6BF1">
        <w:rPr>
          <w:rFonts w:eastAsia="SimSun" w:cs="Times New Roman"/>
          <w:spacing w:val="-1"/>
          <w:szCs w:val="20"/>
          <w:lang w:val="en-GB" w:eastAsia="en-GB"/>
        </w:rPr>
        <w:t>Consider the diversity of the current ECEC workforce and what changes could support greater workforce participation and career progression, particularly for First Nations Australians.</w:t>
      </w:r>
    </w:p>
    <w:p w14:paraId="60BC7E80" w14:textId="77777777" w:rsidR="004A6BF1" w:rsidRPr="004A6BF1" w:rsidRDefault="004A6BF1" w:rsidP="00F47B0F">
      <w:pPr>
        <w:pStyle w:val="Heading2"/>
      </w:pPr>
      <w:bookmarkStart w:id="30" w:name="_Toc174363693"/>
      <w:r w:rsidRPr="004A6BF1">
        <w:t>The ECEC Sector</w:t>
      </w:r>
      <w:bookmarkEnd w:id="30"/>
    </w:p>
    <w:p w14:paraId="3A4DD8E8" w14:textId="77777777" w:rsidR="004A6BF1" w:rsidRPr="004A6BF1" w:rsidRDefault="004A6BF1" w:rsidP="00F47B0F">
      <w:pPr>
        <w:pStyle w:val="Heading3"/>
        <w:rPr>
          <w:bCs/>
        </w:rPr>
      </w:pPr>
      <w:r w:rsidRPr="004A6BF1">
        <w:t>Importance and Purpose of the Sector</w:t>
      </w:r>
    </w:p>
    <w:p w14:paraId="5786FF0B" w14:textId="77777777" w:rsidR="004A6BF1" w:rsidRPr="004A6BF1" w:rsidRDefault="004A6BF1" w:rsidP="004A6BF1">
      <w:r w:rsidRPr="004A6BF1">
        <w:t xml:space="preserve">The ECEC sector plays a critical role in the development of children and in enabling parents’ and carers’ workforce participation. The ECEC sector shares responsibility for a child’s first 1000 days, the time between conception and 2 years of age that is critical for children’s body and brain development.  </w:t>
      </w:r>
    </w:p>
    <w:p w14:paraId="70F31CC3" w14:textId="77777777" w:rsidR="004A6BF1" w:rsidRPr="004A6BF1" w:rsidRDefault="004A6BF1" w:rsidP="004A6BF1">
      <w:r w:rsidRPr="004A6BF1">
        <w:t>ECEC provides educational and developmental support for children aged 0 to 12 years through a variety of settings. In 2022, 1.3 million children attended ECEC services approved for Child Care Subsidy (CCS) and 550,000 children attended a preschool program (Productivity Commission [PC], 2023b). Centre-based day care (CBDC) (61.5%) and outside school hours care (OSHC) (36.6%) were the main services accessed with a small proportion attending family day care (FDC) (6.4%) and in-home care (IHC) (0.2%) (PC, 2023b).</w:t>
      </w:r>
    </w:p>
    <w:p w14:paraId="39A367E4" w14:textId="77777777" w:rsidR="004A6BF1" w:rsidRPr="004A6BF1" w:rsidRDefault="004A6BF1" w:rsidP="004A6BF1">
      <w:r w:rsidRPr="004A6BF1">
        <w:t>Access to ECEC services has improved participation in the labour force, particularly for women. The participation rate of women with children aged under 15 increased from 65% to 75% between 2009 and 2021 (PC, 2023c). Additionally, the proportion of persons aged 15 years and over not in the labour force mainly due to childcare service-related reasons fell from 40.5% in 2015 to 28.1% in 2022 (PC, 2023b).</w:t>
      </w:r>
    </w:p>
    <w:p w14:paraId="4CD563D4" w14:textId="77777777" w:rsidR="004A6BF1" w:rsidRPr="004A6BF1" w:rsidRDefault="004A6BF1" w:rsidP="004A6BF1">
      <w:r w:rsidRPr="004A6BF1">
        <w:t xml:space="preserve">While accessibility to ECEC services has improved over time, supply shortages of </w:t>
      </w:r>
      <w:proofErr w:type="gramStart"/>
      <w:r w:rsidRPr="004A6BF1">
        <w:t>particular occupations</w:t>
      </w:r>
      <w:proofErr w:type="gramEnd"/>
      <w:r w:rsidRPr="004A6BF1">
        <w:t xml:space="preserve"> have been identified. Early Childhood Educator roles and Early Childhood </w:t>
      </w:r>
      <w:r w:rsidRPr="004A6BF1">
        <w:lastRenderedPageBreak/>
        <w:t xml:space="preserve">Teacher roles </w:t>
      </w:r>
      <w:proofErr w:type="gramStart"/>
      <w:r w:rsidRPr="004A6BF1">
        <w:t>in particular were</w:t>
      </w:r>
      <w:proofErr w:type="gramEnd"/>
      <w:r w:rsidRPr="004A6BF1">
        <w:t xml:space="preserve"> in widespread shortage in 2023, and shortages in ECEC occupations have become more widespread since 2021 (JSA Skills Priority List, 2024). </w:t>
      </w:r>
    </w:p>
    <w:p w14:paraId="3163993A" w14:textId="77777777" w:rsidR="004A6BF1" w:rsidRPr="004A6BF1" w:rsidRDefault="004A6BF1" w:rsidP="004A6BF1">
      <w:r w:rsidRPr="004A6BF1">
        <w:t>There is also a widening accessibility gap across Australia with the number of places available declining by remoteness area. In major capital cities, there were 391 approved CBDC and FDC places per 1000 children compared to 212 places in remote and 166 in very remote Australia (ACCC, 2024).</w:t>
      </w:r>
    </w:p>
    <w:tbl>
      <w:tblPr>
        <w:tblStyle w:val="BoxStyle"/>
        <w:tblW w:w="0" w:type="auto"/>
        <w:tblLook w:val="0620" w:firstRow="1" w:lastRow="0" w:firstColumn="0" w:lastColumn="0" w:noHBand="1" w:noVBand="1"/>
      </w:tblPr>
      <w:tblGrid>
        <w:gridCol w:w="9016"/>
      </w:tblGrid>
      <w:tr w:rsidR="004A6BF1" w:rsidRPr="004A6BF1" w14:paraId="5F129F18" w14:textId="77777777" w:rsidTr="005D67F5">
        <w:tc>
          <w:tcPr>
            <w:tcW w:w="9016" w:type="dxa"/>
          </w:tcPr>
          <w:p w14:paraId="54FA1E69" w14:textId="77777777" w:rsidR="004A6BF1" w:rsidRPr="004A6BF1" w:rsidRDefault="004A6BF1" w:rsidP="004A6BF1">
            <w:pPr>
              <w:spacing w:line="259" w:lineRule="auto"/>
              <w:rPr>
                <w:rFonts w:eastAsiaTheme="majorEastAsia" w:cstheme="majorBidi"/>
                <w:b/>
                <w:color w:val="441170" w:themeColor="text2"/>
                <w:sz w:val="32"/>
                <w:szCs w:val="24"/>
              </w:rPr>
            </w:pPr>
            <w:bookmarkStart w:id="31" w:name="_Hlk174102236"/>
            <w:r w:rsidRPr="004A6BF1">
              <w:rPr>
                <w:rFonts w:eastAsiaTheme="majorEastAsia" w:cstheme="majorBidi"/>
                <w:b/>
                <w:color w:val="441170" w:themeColor="text2"/>
                <w:sz w:val="32"/>
                <w:szCs w:val="24"/>
              </w:rPr>
              <w:t>CASE STUDY – Thriving Futures: Empowering regional and remote communities</w:t>
            </w:r>
          </w:p>
          <w:p w14:paraId="1A6D81E8" w14:textId="77777777" w:rsidR="004A6BF1" w:rsidRPr="004A6BF1" w:rsidRDefault="004A6BF1" w:rsidP="004A6BF1">
            <w:pPr>
              <w:spacing w:before="120" w:after="120"/>
            </w:pPr>
            <w:r w:rsidRPr="004A6BF1">
              <w:t>Thriving Futures is a workforce development program focused on continuing and initial professional development for educators that was first launched in 2020 in the Pilbara region in Western Australia. This has since expanded to the Goldfield region (WA) and Roxby Downs (South Australia). Philanthropically funded, this program was launched to address ongoing shortages in regional and remote communities, offering wage supplements and financial incentives as well as professional development and mentoring. Thriving Futures is available for qualified ECEC educators and anyone looking to start a career in ECEC. The mentor team at Thriving Futures provide ongoing phone and online support as well as face-to-face consultations throughout the year.</w:t>
            </w:r>
          </w:p>
          <w:p w14:paraId="761D5A00" w14:textId="77777777" w:rsidR="004A6BF1" w:rsidRPr="004A6BF1" w:rsidRDefault="004A6BF1" w:rsidP="00846EE4">
            <w:pPr>
              <w:pStyle w:val="Source"/>
              <w:rPr>
                <w:noProof/>
              </w:rPr>
            </w:pPr>
            <w:r w:rsidRPr="004A6BF1">
              <w:rPr>
                <w:noProof/>
              </w:rPr>
              <w:t xml:space="preserve">Source: </w:t>
            </w:r>
            <w:r w:rsidRPr="004A6BF1">
              <w:t>Thriving</w:t>
            </w:r>
            <w:r w:rsidRPr="004A6BF1">
              <w:rPr>
                <w:noProof/>
              </w:rPr>
              <w:t xml:space="preserve"> Futures, (n.d.), </w:t>
            </w:r>
            <w:r w:rsidRPr="004A6BF1">
              <w:rPr>
                <w:i/>
                <w:iCs/>
                <w:noProof/>
              </w:rPr>
              <w:t>The Thriving Futures Project</w:t>
            </w:r>
            <w:r w:rsidRPr="004A6BF1">
              <w:rPr>
                <w:noProof/>
              </w:rPr>
              <w:t xml:space="preserve">, </w:t>
            </w:r>
            <w:hyperlink r:id="rId32" w:history="1">
              <w:r w:rsidRPr="004A6BF1">
                <w:rPr>
                  <w:noProof/>
                  <w:color w:val="215E9E" w:themeColor="hyperlink"/>
                  <w:u w:val="single"/>
                </w:rPr>
                <w:t>https://thrivingfutures.org.au/about-us/our-project/</w:t>
              </w:r>
            </w:hyperlink>
            <w:r w:rsidRPr="004A6BF1">
              <w:rPr>
                <w:noProof/>
                <w:u w:val="single"/>
              </w:rPr>
              <w:t>.</w:t>
            </w:r>
          </w:p>
        </w:tc>
      </w:tr>
      <w:bookmarkEnd w:id="31"/>
    </w:tbl>
    <w:p w14:paraId="686E478A" w14:textId="77777777" w:rsidR="004A6BF1" w:rsidRPr="004A6BF1" w:rsidRDefault="004A6BF1" w:rsidP="004A6BF1"/>
    <w:p w14:paraId="69BB6195" w14:textId="77777777" w:rsidR="004A6BF1" w:rsidRPr="004A6BF1" w:rsidRDefault="004A6BF1" w:rsidP="00F47B0F">
      <w:pPr>
        <w:pStyle w:val="Heading3"/>
      </w:pPr>
      <w:r w:rsidRPr="004A6BF1">
        <w:t>First Nations ECEC Provision</w:t>
      </w:r>
    </w:p>
    <w:p w14:paraId="549B72E9" w14:textId="6F305CBB" w:rsidR="004A6BF1" w:rsidRPr="004A6BF1" w:rsidRDefault="004A6BF1" w:rsidP="004A6BF1">
      <w:r w:rsidRPr="004A6BF1">
        <w:t>In July 2020, the Coalition of Aboriginal and Torres Strait Islander Peak Organisations and all Australian Governments agreed on a National Agreement on Closing the Gap to tackle entrenched inequality faced by First Nations people and to ensure their life outcomes are equal to all Australians (Closing the Gap, 2020a). There are 19 targets across a variety of areas, including two targets related to early childhood (Closing the Gap, 2020b).</w:t>
      </w:r>
    </w:p>
    <w:p w14:paraId="6A94300E" w14:textId="2D625331" w:rsidR="004A6BF1" w:rsidRPr="004A6BF1" w:rsidRDefault="005D67F5" w:rsidP="004A6BF1">
      <w:pPr>
        <w:spacing w:after="0" w:line="240" w:lineRule="auto"/>
        <w:jc w:val="center"/>
        <w:textAlignment w:val="baseline"/>
        <w:rPr>
          <w:rFonts w:ascii="Segoe UI" w:eastAsia="Times New Roman" w:hAnsi="Segoe UI" w:cs="Segoe UI"/>
          <w:sz w:val="18"/>
          <w:szCs w:val="18"/>
          <w:lang w:eastAsia="en-AU"/>
        </w:rPr>
      </w:pPr>
      <w:r w:rsidRPr="004A6BF1">
        <w:rPr>
          <w:rFonts w:ascii="Segoe UI" w:eastAsia="Times New Roman" w:hAnsi="Segoe UI" w:cs="Segoe UI"/>
          <w:noProof/>
          <w:sz w:val="16"/>
          <w:szCs w:val="16"/>
          <w:lang w:eastAsia="en-AU"/>
        </w:rPr>
        <w:drawing>
          <wp:inline distT="0" distB="0" distL="0" distR="0" wp14:anchorId="301E4FF3" wp14:editId="1EDD155A">
            <wp:extent cx="4485005" cy="2431415"/>
            <wp:effectExtent l="57150" t="38100" r="10795" b="83185"/>
            <wp:docPr id="1271883211" name="Diagram 1" descr="This figure describes the two Closing the Gap targets related to early childhood.​&#10;&#10;​&#10;&#10;Target 3 Children are engaged in high quality, culturally appropriate early childhood education in their early years. By 2025, increase the proportion of Aboriginal and Torres Strait Islander children in Year Before Full-time Schooling (YBFS) early childhood education to 95%. ​&#10;&#10;​&#10;&#10;Target 4 Children thrive in their early years. By 2031, increase the proportion of Aboriginal and Torres Strait Islander children assessed as developmentally on track in all five domains of the Australian Early Development Census (AEDC) to 55%. ​">
              <a:extLst xmlns:a="http://schemas.openxmlformats.org/drawingml/2006/main">
                <a:ext uri="{FF2B5EF4-FFF2-40B4-BE49-F238E27FC236}">
                  <a16:creationId xmlns:a16="http://schemas.microsoft.com/office/drawing/2014/main" id="{716E0783-1E06-BDF5-1885-54BE0D3F91DA}"/>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52047A01" w14:textId="77777777" w:rsidR="004A6BF1" w:rsidRPr="004A6BF1" w:rsidRDefault="004A6BF1" w:rsidP="00887E52">
      <w:pPr>
        <w:pStyle w:val="Source"/>
        <w:rPr>
          <w:u w:val="single"/>
        </w:rPr>
      </w:pPr>
      <w:r w:rsidRPr="004A6BF1">
        <w:rPr>
          <w:rFonts w:eastAsia="Times New Roman"/>
          <w:lang w:eastAsia="en-AU"/>
        </w:rPr>
        <w:t xml:space="preserve">Source: </w:t>
      </w:r>
      <w:r w:rsidRPr="004A6BF1">
        <w:t xml:space="preserve">Closing the Gap. </w:t>
      </w:r>
      <w:r w:rsidRPr="004A6BF1">
        <w:rPr>
          <w:i/>
          <w:iCs/>
        </w:rPr>
        <w:t>National Agreement on Closing the Gap</w:t>
      </w:r>
      <w:r w:rsidRPr="004A6BF1">
        <w:t>. Australian Government. (2020a).</w:t>
      </w:r>
    </w:p>
    <w:p w14:paraId="14D99848" w14:textId="77777777" w:rsidR="004A6BF1" w:rsidRPr="004A6BF1" w:rsidRDefault="004A6BF1" w:rsidP="004A6BF1">
      <w:r w:rsidRPr="004A6BF1">
        <w:lastRenderedPageBreak/>
        <w:t>Australian Governments are working together, along with the ECEC sector, to support these targets by introducing several initiatives, including:</w:t>
      </w:r>
    </w:p>
    <w:p w14:paraId="7AB3D0AE" w14:textId="77777777" w:rsidR="004A6BF1" w:rsidRPr="004A6BF1" w:rsidRDefault="004A6BF1" w:rsidP="004A6BF1">
      <w:pPr>
        <w:numPr>
          <w:ilvl w:val="0"/>
          <w:numId w:val="1"/>
        </w:numPr>
        <w:spacing w:line="240" w:lineRule="atLeast"/>
        <w:rPr>
          <w:rFonts w:eastAsia="SimSun" w:cs="Times New Roman"/>
          <w:spacing w:val="-1"/>
          <w:szCs w:val="20"/>
          <w:lang w:val="en-GB" w:eastAsia="en-GB"/>
        </w:rPr>
      </w:pPr>
      <w:r w:rsidRPr="004A6BF1">
        <w:rPr>
          <w:rFonts w:eastAsia="SimSun" w:cs="Times New Roman"/>
          <w:spacing w:val="-1"/>
          <w:szCs w:val="20"/>
          <w:lang w:val="en-GB" w:eastAsia="en-GB"/>
        </w:rPr>
        <w:t xml:space="preserve">Mainstream initiatives, such as </w:t>
      </w:r>
      <w:r w:rsidRPr="004A6BF1">
        <w:rPr>
          <w:rFonts w:eastAsia="SimSun" w:cs="Times New Roman"/>
          <w:i/>
          <w:iCs/>
          <w:spacing w:val="-1"/>
          <w:szCs w:val="20"/>
          <w:lang w:val="en-GB" w:eastAsia="en-GB"/>
        </w:rPr>
        <w:t>The Cheaper Child Care Packages</w:t>
      </w:r>
      <w:r w:rsidRPr="004A6BF1">
        <w:rPr>
          <w:rFonts w:eastAsia="SimSun" w:cs="Times New Roman"/>
          <w:spacing w:val="-1"/>
          <w:szCs w:val="20"/>
          <w:lang w:val="en-GB" w:eastAsia="en-GB"/>
        </w:rPr>
        <w:t xml:space="preserve"> (includes changes to the activity test for First Nations Families).</w:t>
      </w:r>
    </w:p>
    <w:p w14:paraId="5F598AD6" w14:textId="77777777" w:rsidR="004A6BF1" w:rsidRPr="004A6BF1" w:rsidRDefault="004A6BF1" w:rsidP="004A6BF1">
      <w:pPr>
        <w:numPr>
          <w:ilvl w:val="0"/>
          <w:numId w:val="1"/>
        </w:numPr>
        <w:spacing w:line="240" w:lineRule="atLeast"/>
        <w:rPr>
          <w:rFonts w:eastAsia="SimSun" w:cs="Times New Roman"/>
          <w:spacing w:val="-1"/>
          <w:szCs w:val="20"/>
          <w:lang w:val="en-GB" w:eastAsia="en-GB"/>
        </w:rPr>
      </w:pPr>
      <w:r w:rsidRPr="004A6BF1">
        <w:rPr>
          <w:rFonts w:eastAsia="SimSun" w:cs="Times New Roman"/>
          <w:i/>
          <w:iCs/>
          <w:spacing w:val="-1"/>
          <w:szCs w:val="20"/>
          <w:lang w:val="en-GB" w:eastAsia="en-GB"/>
        </w:rPr>
        <w:t>The Early Childhood Care and Development Policy Partnerships (ECPP) -</w:t>
      </w:r>
      <w:r w:rsidRPr="004A6BF1">
        <w:rPr>
          <w:rFonts w:eastAsia="SimSun" w:cs="Times New Roman"/>
          <w:spacing w:val="-1"/>
          <w:szCs w:val="20"/>
          <w:lang w:val="en-GB" w:eastAsia="en-GB"/>
        </w:rPr>
        <w:t xml:space="preserve"> a $10.2 million partnership between Australian and Jurisdictional governments and First Nations representatives. </w:t>
      </w:r>
    </w:p>
    <w:p w14:paraId="093015AD" w14:textId="77777777" w:rsidR="004A6BF1" w:rsidRPr="004A6BF1" w:rsidRDefault="004A6BF1" w:rsidP="004A6BF1">
      <w:pPr>
        <w:numPr>
          <w:ilvl w:val="0"/>
          <w:numId w:val="1"/>
        </w:numPr>
        <w:spacing w:line="240" w:lineRule="atLeast"/>
        <w:rPr>
          <w:rFonts w:eastAsia="SimSun" w:cs="Times New Roman"/>
          <w:spacing w:val="-1"/>
          <w:szCs w:val="20"/>
          <w:lang w:val="en-GB" w:eastAsia="en-GB"/>
        </w:rPr>
      </w:pPr>
      <w:r w:rsidRPr="004A6BF1">
        <w:rPr>
          <w:rFonts w:eastAsia="SimSun" w:cs="Times New Roman"/>
          <w:i/>
          <w:iCs/>
          <w:spacing w:val="-1"/>
          <w:szCs w:val="20"/>
          <w:lang w:val="en-GB" w:eastAsia="en-GB"/>
        </w:rPr>
        <w:t>Connected Beginnings</w:t>
      </w:r>
      <w:r w:rsidRPr="004A6BF1">
        <w:rPr>
          <w:rFonts w:eastAsia="SimSun" w:cs="Times New Roman"/>
          <w:spacing w:val="-1"/>
          <w:szCs w:val="20"/>
          <w:lang w:val="en-GB" w:eastAsia="en-GB"/>
        </w:rPr>
        <w:t xml:space="preserve"> which improve education, health and development outcomes for First Nations children.</w:t>
      </w:r>
    </w:p>
    <w:p w14:paraId="14BC50D6" w14:textId="77777777" w:rsidR="004A6BF1" w:rsidRPr="004A6BF1" w:rsidRDefault="004A6BF1" w:rsidP="004A6BF1">
      <w:pPr>
        <w:numPr>
          <w:ilvl w:val="0"/>
          <w:numId w:val="1"/>
        </w:numPr>
        <w:spacing w:line="240" w:lineRule="atLeast"/>
        <w:rPr>
          <w:rFonts w:eastAsia="SimSun" w:cs="Times New Roman"/>
          <w:spacing w:val="-1"/>
          <w:szCs w:val="20"/>
          <w:lang w:val="en-GB" w:eastAsia="en-GB"/>
        </w:rPr>
      </w:pPr>
      <w:r w:rsidRPr="004A6BF1">
        <w:rPr>
          <w:rFonts w:eastAsia="SimSun" w:cs="Times New Roman"/>
          <w:i/>
          <w:iCs/>
          <w:spacing w:val="-1"/>
          <w:szCs w:val="20"/>
          <w:lang w:val="en-GB" w:eastAsia="en-GB"/>
        </w:rPr>
        <w:t>Community Child Care Fund Restricted Grant Program</w:t>
      </w:r>
      <w:r w:rsidRPr="004A6BF1">
        <w:rPr>
          <w:rFonts w:eastAsia="SimSun" w:cs="Times New Roman"/>
          <w:spacing w:val="-1"/>
          <w:szCs w:val="20"/>
          <w:lang w:val="en-GB" w:eastAsia="en-GB"/>
        </w:rPr>
        <w:t xml:space="preserve"> which improves accessibility of services in disadvantaged and vulnerable communities (PC, 2023a).</w:t>
      </w:r>
    </w:p>
    <w:p w14:paraId="1775E40E" w14:textId="77777777" w:rsidR="004A6BF1" w:rsidRPr="004A6BF1" w:rsidRDefault="004A6BF1" w:rsidP="004A6BF1">
      <w:r w:rsidRPr="004A6BF1">
        <w:t>The</w:t>
      </w:r>
      <w:r w:rsidRPr="004A6BF1">
        <w:rPr>
          <w:i/>
          <w:iCs/>
        </w:rPr>
        <w:t xml:space="preserve"> Early Years Strategy (2023-2034)</w:t>
      </w:r>
      <w:r w:rsidRPr="004A6BF1">
        <w:t xml:space="preserve"> aims to improve wellbeing outcomes for all children in Australia aged 0-5 years. The strategy places importance on children and families, with a strong emphasis on making services culturally safe and ensuring connection to a child’s own culture, language, beliefs and identity are supported. This includes ensuring First Nations children have a strong connection to their own cultural identity and that their culture and knowledge is acknowledged and respected. While the strategy is predominately aimed at the children, it also </w:t>
      </w:r>
      <w:proofErr w:type="gramStart"/>
      <w:r w:rsidRPr="004A6BF1">
        <w:t>recognise</w:t>
      </w:r>
      <w:proofErr w:type="gramEnd"/>
      <w:r w:rsidRPr="004A6BF1">
        <w:t xml:space="preserve"> the importance of having a quality and stable ECEC workforce to meet the needs of children and their families (Department of Social Services, 2023).</w:t>
      </w:r>
    </w:p>
    <w:tbl>
      <w:tblPr>
        <w:tblStyle w:val="BoxStyle"/>
        <w:tblW w:w="0" w:type="auto"/>
        <w:tblLook w:val="0620" w:firstRow="1" w:lastRow="0" w:firstColumn="0" w:lastColumn="0" w:noHBand="1" w:noVBand="1"/>
      </w:tblPr>
      <w:tblGrid>
        <w:gridCol w:w="9016"/>
      </w:tblGrid>
      <w:tr w:rsidR="004A6BF1" w:rsidRPr="004A6BF1" w14:paraId="53B77C7A" w14:textId="77777777" w:rsidTr="005D67F5">
        <w:tc>
          <w:tcPr>
            <w:tcW w:w="9016" w:type="dxa"/>
          </w:tcPr>
          <w:p w14:paraId="20BABD69" w14:textId="77777777" w:rsidR="004A6BF1" w:rsidRPr="004A6BF1" w:rsidRDefault="004A6BF1" w:rsidP="004A6BF1">
            <w:pPr>
              <w:spacing w:before="120" w:after="120"/>
              <w:rPr>
                <w:rFonts w:eastAsiaTheme="majorEastAsia" w:cstheme="majorBidi"/>
                <w:b/>
                <w:color w:val="441170" w:themeColor="text2"/>
                <w:sz w:val="32"/>
                <w:szCs w:val="24"/>
              </w:rPr>
            </w:pPr>
            <w:r w:rsidRPr="004A6BF1">
              <w:rPr>
                <w:rFonts w:eastAsiaTheme="majorEastAsia" w:cstheme="majorBidi"/>
                <w:b/>
                <w:color w:val="441170" w:themeColor="text2"/>
                <w:sz w:val="32"/>
                <w:szCs w:val="24"/>
              </w:rPr>
              <w:t>CASE STUDY – Engaging the local community in remote Western Australia</w:t>
            </w:r>
          </w:p>
          <w:p w14:paraId="37013432" w14:textId="77777777" w:rsidR="004A6BF1" w:rsidRPr="004A6BF1" w:rsidRDefault="004A6BF1" w:rsidP="004A6BF1">
            <w:pPr>
              <w:spacing w:before="120" w:after="120"/>
            </w:pPr>
            <w:r w:rsidRPr="004A6BF1">
              <w:t>In Western Australia, the Baya Gawiy Children and Family Centre has implemented the ‘Flooding the Floor’ strategy. This strategy brings locals from all language groups to participate in informal work experience. The centre offers trauma-informed courses aligned to a healing model from proud Bunuba woman, June Oscar AO. This provides culturally safe and quality education and care to the local children and encourages workforce participation in the community. While this activity is not included in the educator to child ratios, it does allow for more storytelling, culture and language work with the children. Alongside this the centre maintains a 1:3 educator to child ratio to support the high needs of some of the children in their care.</w:t>
            </w:r>
          </w:p>
          <w:p w14:paraId="443C2DD7" w14:textId="77777777" w:rsidR="004A6BF1" w:rsidRPr="004A6BF1" w:rsidRDefault="004A6BF1" w:rsidP="00887E52">
            <w:pPr>
              <w:pStyle w:val="Source"/>
              <w:rPr>
                <w:noProof/>
              </w:rPr>
            </w:pPr>
            <w:r w:rsidRPr="004A6BF1">
              <w:t>Submission 32 - Regional Development Australia (RDA) Kimberley</w:t>
            </w:r>
          </w:p>
        </w:tc>
      </w:tr>
    </w:tbl>
    <w:p w14:paraId="412F3953" w14:textId="77777777" w:rsidR="004A6BF1" w:rsidRPr="004A6BF1" w:rsidRDefault="004A6BF1" w:rsidP="004A6BF1"/>
    <w:p w14:paraId="4BB6F94C" w14:textId="77777777" w:rsidR="004A6BF1" w:rsidRPr="004A6BF1" w:rsidRDefault="004A6BF1" w:rsidP="004A6BF1">
      <w:pPr>
        <w:rPr>
          <w:rFonts w:eastAsiaTheme="majorEastAsia" w:cstheme="majorBidi"/>
          <w:b/>
          <w:sz w:val="32"/>
          <w:szCs w:val="24"/>
        </w:rPr>
      </w:pPr>
      <w:r w:rsidRPr="004A6BF1">
        <w:br w:type="page"/>
      </w:r>
    </w:p>
    <w:p w14:paraId="4586B1C6" w14:textId="77777777" w:rsidR="004A6BF1" w:rsidRPr="004A6BF1" w:rsidRDefault="004A6BF1" w:rsidP="00F47B0F">
      <w:pPr>
        <w:pStyle w:val="Heading3"/>
      </w:pPr>
      <w:r w:rsidRPr="004A6BF1">
        <w:lastRenderedPageBreak/>
        <w:t>Description of ECEC Sector</w:t>
      </w:r>
    </w:p>
    <w:p w14:paraId="5B5ED89D" w14:textId="77777777" w:rsidR="004A6BF1" w:rsidRPr="004A6BF1" w:rsidRDefault="004A6BF1" w:rsidP="004A6BF1">
      <w:pPr>
        <w:keepNext/>
      </w:pPr>
      <w:r w:rsidRPr="004A6BF1">
        <w:fldChar w:fldCharType="begin" w:fldLock="1"/>
      </w:r>
      <w:r w:rsidRPr="004A6BF1">
        <w:instrText xml:space="preserve"> REF _Ref169160447 \h </w:instrText>
      </w:r>
      <w:r w:rsidRPr="004A6BF1">
        <w:fldChar w:fldCharType="separate"/>
      </w:r>
      <w:r w:rsidRPr="004A6BF1">
        <w:t xml:space="preserve">Table </w:t>
      </w:r>
      <w:r w:rsidRPr="004A6BF1">
        <w:rPr>
          <w:noProof/>
        </w:rPr>
        <w:t>1</w:t>
      </w:r>
      <w:r w:rsidRPr="004A6BF1">
        <w:fldChar w:fldCharType="end"/>
      </w:r>
      <w:r w:rsidRPr="004A6BF1">
        <w:t xml:space="preserve"> provides an overview of ECEC services in Australia that are in scope for the Study. </w:t>
      </w:r>
    </w:p>
    <w:p w14:paraId="60A8D726" w14:textId="0FD8CF71" w:rsidR="004A6BF1" w:rsidRPr="004A6BF1" w:rsidRDefault="004A6BF1" w:rsidP="00887E52">
      <w:pPr>
        <w:pStyle w:val="Caption"/>
      </w:pPr>
      <w:bookmarkStart w:id="32" w:name="_Ref169160447"/>
      <w:r w:rsidRPr="004A6BF1">
        <w:t xml:space="preserve">Table </w:t>
      </w:r>
      <w:bookmarkEnd w:id="32"/>
      <w:r w:rsidR="004351CB">
        <w:fldChar w:fldCharType="begin"/>
      </w:r>
      <w:r w:rsidR="004351CB">
        <w:instrText xml:space="preserve"> SEQ Table \* ARABIC \r 1 </w:instrText>
      </w:r>
      <w:r w:rsidR="004351CB">
        <w:fldChar w:fldCharType="separate"/>
      </w:r>
      <w:r w:rsidR="005F18C1">
        <w:rPr>
          <w:noProof/>
        </w:rPr>
        <w:t>1</w:t>
      </w:r>
      <w:r w:rsidR="004351CB">
        <w:fldChar w:fldCharType="end"/>
      </w:r>
      <w:r w:rsidRPr="004A6BF1">
        <w:t xml:space="preserve"> Sector overview</w:t>
      </w:r>
    </w:p>
    <w:tbl>
      <w:tblPr>
        <w:tblW w:w="0" w:type="auto"/>
        <w:tblLayout w:type="fixed"/>
        <w:tblCellMar>
          <w:left w:w="0" w:type="dxa"/>
          <w:right w:w="0" w:type="dxa"/>
        </w:tblCellMar>
        <w:tblLook w:val="0420" w:firstRow="1" w:lastRow="0" w:firstColumn="0" w:lastColumn="0" w:noHBand="0" w:noVBand="1"/>
      </w:tblPr>
      <w:tblGrid>
        <w:gridCol w:w="1801"/>
        <w:gridCol w:w="1801"/>
        <w:gridCol w:w="1801"/>
        <w:gridCol w:w="1801"/>
        <w:gridCol w:w="1802"/>
      </w:tblGrid>
      <w:tr w:rsidR="004A6BF1" w:rsidRPr="004A6BF1" w14:paraId="6A08F2A4" w14:textId="77777777" w:rsidTr="005F6ADC">
        <w:trPr>
          <w:trHeight w:val="521"/>
        </w:trPr>
        <w:tc>
          <w:tcPr>
            <w:tcW w:w="1801"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B0985"/>
            <w:tcMar>
              <w:top w:w="26" w:type="dxa"/>
              <w:left w:w="52" w:type="dxa"/>
              <w:bottom w:w="26" w:type="dxa"/>
              <w:right w:w="52" w:type="dxa"/>
            </w:tcMar>
            <w:hideMark/>
          </w:tcPr>
          <w:p w14:paraId="4852BE05" w14:textId="77777777" w:rsidR="004A6BF1" w:rsidRPr="004A6BF1" w:rsidRDefault="004A6BF1" w:rsidP="004A6BF1">
            <w:pPr>
              <w:jc w:val="center"/>
              <w:rPr>
                <w:color w:val="FFFFFF" w:themeColor="background1"/>
                <w:sz w:val="18"/>
                <w:szCs w:val="18"/>
              </w:rPr>
            </w:pPr>
            <w:r w:rsidRPr="004A6BF1">
              <w:rPr>
                <w:b/>
                <w:bCs/>
                <w:color w:val="FFFFFF" w:themeColor="background1"/>
                <w:sz w:val="18"/>
                <w:szCs w:val="18"/>
              </w:rPr>
              <w:t>CBDC (0-6 years)</w:t>
            </w:r>
          </w:p>
        </w:tc>
        <w:tc>
          <w:tcPr>
            <w:tcW w:w="1801"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B0985"/>
            <w:tcMar>
              <w:top w:w="15" w:type="dxa"/>
              <w:left w:w="39" w:type="dxa"/>
              <w:bottom w:w="0" w:type="dxa"/>
              <w:right w:w="39" w:type="dxa"/>
            </w:tcMar>
            <w:hideMark/>
          </w:tcPr>
          <w:p w14:paraId="2950B144" w14:textId="77777777" w:rsidR="004A6BF1" w:rsidRPr="004A6BF1" w:rsidRDefault="004A6BF1" w:rsidP="004A6BF1">
            <w:pPr>
              <w:jc w:val="center"/>
              <w:rPr>
                <w:color w:val="FFFFFF" w:themeColor="background1"/>
                <w:sz w:val="18"/>
                <w:szCs w:val="18"/>
              </w:rPr>
            </w:pPr>
            <w:r w:rsidRPr="004A6BF1">
              <w:rPr>
                <w:b/>
                <w:bCs/>
                <w:color w:val="FFFFFF" w:themeColor="background1"/>
                <w:sz w:val="18"/>
                <w:szCs w:val="18"/>
              </w:rPr>
              <w:t>FDC (0-12 years)</w:t>
            </w:r>
          </w:p>
        </w:tc>
        <w:tc>
          <w:tcPr>
            <w:tcW w:w="1801"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B0985"/>
            <w:tcMar>
              <w:top w:w="15" w:type="dxa"/>
              <w:left w:w="39" w:type="dxa"/>
              <w:bottom w:w="0" w:type="dxa"/>
              <w:right w:w="39" w:type="dxa"/>
            </w:tcMar>
            <w:hideMark/>
          </w:tcPr>
          <w:p w14:paraId="17AD4350" w14:textId="77777777" w:rsidR="004A6BF1" w:rsidRPr="004A6BF1" w:rsidRDefault="004A6BF1" w:rsidP="004A6BF1">
            <w:pPr>
              <w:jc w:val="center"/>
              <w:rPr>
                <w:color w:val="FFFFFF" w:themeColor="background1"/>
                <w:sz w:val="18"/>
                <w:szCs w:val="18"/>
              </w:rPr>
            </w:pPr>
            <w:r w:rsidRPr="004A6BF1">
              <w:rPr>
                <w:b/>
                <w:bCs/>
                <w:color w:val="FFFFFF" w:themeColor="background1"/>
                <w:sz w:val="18"/>
                <w:szCs w:val="18"/>
              </w:rPr>
              <w:t>IHC (0-12 years)</w:t>
            </w:r>
          </w:p>
        </w:tc>
        <w:tc>
          <w:tcPr>
            <w:tcW w:w="1801"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B0985"/>
            <w:tcMar>
              <w:top w:w="15" w:type="dxa"/>
              <w:left w:w="39" w:type="dxa"/>
              <w:bottom w:w="0" w:type="dxa"/>
              <w:right w:w="39" w:type="dxa"/>
            </w:tcMar>
            <w:hideMark/>
          </w:tcPr>
          <w:p w14:paraId="6CFC2415" w14:textId="77777777" w:rsidR="004A6BF1" w:rsidRPr="004A6BF1" w:rsidRDefault="004A6BF1" w:rsidP="004A6BF1">
            <w:pPr>
              <w:jc w:val="center"/>
              <w:rPr>
                <w:color w:val="FFFFFF" w:themeColor="background1"/>
                <w:sz w:val="18"/>
                <w:szCs w:val="18"/>
              </w:rPr>
            </w:pPr>
            <w:r w:rsidRPr="004A6BF1">
              <w:rPr>
                <w:b/>
                <w:bCs/>
                <w:color w:val="FFFFFF" w:themeColor="background1"/>
                <w:sz w:val="18"/>
                <w:szCs w:val="18"/>
              </w:rPr>
              <w:t>Preschool (3-5 years)</w:t>
            </w:r>
          </w:p>
        </w:tc>
        <w:tc>
          <w:tcPr>
            <w:tcW w:w="1802"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B0985"/>
            <w:tcMar>
              <w:top w:w="15" w:type="dxa"/>
              <w:left w:w="39" w:type="dxa"/>
              <w:bottom w:w="0" w:type="dxa"/>
              <w:right w:w="39" w:type="dxa"/>
            </w:tcMar>
            <w:hideMark/>
          </w:tcPr>
          <w:p w14:paraId="20013989" w14:textId="77777777" w:rsidR="004A6BF1" w:rsidRPr="004A6BF1" w:rsidRDefault="004A6BF1" w:rsidP="004A6BF1">
            <w:pPr>
              <w:jc w:val="center"/>
              <w:rPr>
                <w:color w:val="FFFFFF" w:themeColor="background1"/>
                <w:sz w:val="18"/>
                <w:szCs w:val="18"/>
              </w:rPr>
            </w:pPr>
            <w:r w:rsidRPr="004A6BF1">
              <w:rPr>
                <w:b/>
                <w:bCs/>
                <w:color w:val="FFFFFF" w:themeColor="background1"/>
                <w:sz w:val="18"/>
                <w:szCs w:val="18"/>
              </w:rPr>
              <w:t>OSHC (5-12 years)</w:t>
            </w:r>
          </w:p>
        </w:tc>
      </w:tr>
      <w:tr w:rsidR="004A6BF1" w:rsidRPr="004A6BF1" w14:paraId="31540ED3" w14:textId="77777777" w:rsidTr="005F6ADC">
        <w:trPr>
          <w:trHeight w:val="1690"/>
        </w:trPr>
        <w:tc>
          <w:tcPr>
            <w:tcW w:w="1801"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CCD9"/>
            <w:tcMar>
              <w:top w:w="15" w:type="dxa"/>
              <w:left w:w="39" w:type="dxa"/>
              <w:bottom w:w="0" w:type="dxa"/>
              <w:right w:w="39" w:type="dxa"/>
            </w:tcMar>
            <w:hideMark/>
          </w:tcPr>
          <w:p w14:paraId="74516E6B" w14:textId="77777777" w:rsidR="004A6BF1" w:rsidRPr="004A6BF1" w:rsidRDefault="004A6BF1" w:rsidP="004A6BF1">
            <w:pPr>
              <w:numPr>
                <w:ilvl w:val="0"/>
                <w:numId w:val="12"/>
              </w:numPr>
              <w:tabs>
                <w:tab w:val="num" w:pos="720"/>
              </w:tabs>
              <w:spacing w:after="0"/>
              <w:rPr>
                <w:sz w:val="18"/>
                <w:szCs w:val="18"/>
              </w:rPr>
            </w:pPr>
            <w:r w:rsidRPr="004A6BF1">
              <w:rPr>
                <w:sz w:val="18"/>
                <w:szCs w:val="18"/>
              </w:rPr>
              <w:t>Education and care services other than FDC (National Regulations).</w:t>
            </w:r>
          </w:p>
          <w:p w14:paraId="7305EDD6" w14:textId="77777777" w:rsidR="004A6BF1" w:rsidRPr="004A6BF1" w:rsidRDefault="004A6BF1" w:rsidP="004A6BF1">
            <w:pPr>
              <w:numPr>
                <w:ilvl w:val="0"/>
                <w:numId w:val="12"/>
              </w:numPr>
              <w:tabs>
                <w:tab w:val="num" w:pos="720"/>
              </w:tabs>
              <w:spacing w:after="0"/>
              <w:rPr>
                <w:sz w:val="18"/>
                <w:szCs w:val="18"/>
              </w:rPr>
            </w:pPr>
            <w:r w:rsidRPr="004A6BF1">
              <w:rPr>
                <w:sz w:val="18"/>
                <w:szCs w:val="18"/>
              </w:rPr>
              <w:t>Includes most long day care, preschool and OSHC that are delivered at a centre.</w:t>
            </w:r>
          </w:p>
        </w:tc>
        <w:tc>
          <w:tcPr>
            <w:tcW w:w="1801"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CCD9"/>
            <w:tcMar>
              <w:top w:w="15" w:type="dxa"/>
              <w:left w:w="39" w:type="dxa"/>
              <w:bottom w:w="0" w:type="dxa"/>
              <w:right w:w="39" w:type="dxa"/>
            </w:tcMar>
            <w:hideMark/>
          </w:tcPr>
          <w:p w14:paraId="45822B65" w14:textId="77777777" w:rsidR="004A6BF1" w:rsidRPr="004A6BF1" w:rsidRDefault="004A6BF1" w:rsidP="004A6BF1">
            <w:pPr>
              <w:numPr>
                <w:ilvl w:val="0"/>
                <w:numId w:val="12"/>
              </w:numPr>
              <w:spacing w:after="0"/>
              <w:contextualSpacing/>
              <w:rPr>
                <w:sz w:val="18"/>
                <w:szCs w:val="18"/>
              </w:rPr>
            </w:pPr>
            <w:r w:rsidRPr="004A6BF1">
              <w:rPr>
                <w:sz w:val="18"/>
                <w:szCs w:val="18"/>
              </w:rPr>
              <w:t>Education and care service delivered through two or more educators at an FDC residence or another approved venue (National Law).</w:t>
            </w:r>
          </w:p>
          <w:p w14:paraId="2DC796E3" w14:textId="77777777" w:rsidR="004A6BF1" w:rsidRPr="004A6BF1" w:rsidRDefault="004A6BF1" w:rsidP="004A6BF1">
            <w:pPr>
              <w:numPr>
                <w:ilvl w:val="0"/>
                <w:numId w:val="12"/>
              </w:numPr>
              <w:spacing w:after="0"/>
              <w:contextualSpacing/>
              <w:rPr>
                <w:sz w:val="18"/>
                <w:szCs w:val="18"/>
              </w:rPr>
            </w:pPr>
            <w:r w:rsidRPr="004A6BF1">
              <w:rPr>
                <w:sz w:val="18"/>
                <w:szCs w:val="18"/>
              </w:rPr>
              <w:t>FDC services operate from two or more residences (National Law).</w:t>
            </w:r>
          </w:p>
        </w:tc>
        <w:tc>
          <w:tcPr>
            <w:tcW w:w="1801"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CCD9"/>
            <w:tcMar>
              <w:top w:w="15" w:type="dxa"/>
              <w:left w:w="39" w:type="dxa"/>
              <w:bottom w:w="0" w:type="dxa"/>
              <w:right w:w="39" w:type="dxa"/>
            </w:tcMar>
            <w:hideMark/>
          </w:tcPr>
          <w:p w14:paraId="5CF44A18" w14:textId="77777777" w:rsidR="004A6BF1" w:rsidRPr="004A6BF1" w:rsidRDefault="004A6BF1" w:rsidP="004A6BF1">
            <w:pPr>
              <w:numPr>
                <w:ilvl w:val="0"/>
                <w:numId w:val="13"/>
              </w:numPr>
              <w:tabs>
                <w:tab w:val="num" w:pos="720"/>
              </w:tabs>
              <w:spacing w:after="0"/>
              <w:rPr>
                <w:sz w:val="18"/>
                <w:szCs w:val="18"/>
              </w:rPr>
            </w:pPr>
            <w:r w:rsidRPr="004A6BF1">
              <w:rPr>
                <w:sz w:val="18"/>
                <w:szCs w:val="18"/>
              </w:rPr>
              <w:t>Flexible form of education and care provided in the child’s home.</w:t>
            </w:r>
          </w:p>
          <w:p w14:paraId="22CB6D70" w14:textId="77777777" w:rsidR="004A6BF1" w:rsidRPr="004A6BF1" w:rsidRDefault="004A6BF1" w:rsidP="004A6BF1">
            <w:pPr>
              <w:numPr>
                <w:ilvl w:val="0"/>
                <w:numId w:val="13"/>
              </w:numPr>
              <w:tabs>
                <w:tab w:val="num" w:pos="720"/>
              </w:tabs>
              <w:spacing w:after="0"/>
              <w:rPr>
                <w:sz w:val="18"/>
                <w:szCs w:val="18"/>
              </w:rPr>
            </w:pPr>
            <w:r w:rsidRPr="004A6BF1">
              <w:rPr>
                <w:sz w:val="18"/>
                <w:szCs w:val="18"/>
              </w:rPr>
              <w:t xml:space="preserve">Restricted to families unable to access other services. </w:t>
            </w:r>
          </w:p>
        </w:tc>
        <w:tc>
          <w:tcPr>
            <w:tcW w:w="1801"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CCD9"/>
            <w:tcMar>
              <w:top w:w="15" w:type="dxa"/>
              <w:left w:w="39" w:type="dxa"/>
              <w:bottom w:w="0" w:type="dxa"/>
              <w:right w:w="39" w:type="dxa"/>
            </w:tcMar>
            <w:hideMark/>
          </w:tcPr>
          <w:p w14:paraId="713218AF" w14:textId="77777777" w:rsidR="004A6BF1" w:rsidRPr="004A6BF1" w:rsidRDefault="004A6BF1" w:rsidP="004A6BF1">
            <w:pPr>
              <w:numPr>
                <w:ilvl w:val="0"/>
                <w:numId w:val="13"/>
              </w:numPr>
              <w:spacing w:after="0"/>
              <w:contextualSpacing/>
              <w:rPr>
                <w:sz w:val="18"/>
                <w:szCs w:val="18"/>
              </w:rPr>
            </w:pPr>
            <w:r w:rsidRPr="004A6BF1">
              <w:rPr>
                <w:sz w:val="18"/>
                <w:szCs w:val="18"/>
              </w:rPr>
              <w:t xml:space="preserve">Delivered by a qualified teacher, preschools </w:t>
            </w:r>
            <w:proofErr w:type="gramStart"/>
            <w:r w:rsidRPr="004A6BF1">
              <w:rPr>
                <w:sz w:val="18"/>
                <w:szCs w:val="18"/>
              </w:rPr>
              <w:t>provides</w:t>
            </w:r>
            <w:proofErr w:type="gramEnd"/>
            <w:r w:rsidRPr="004A6BF1">
              <w:rPr>
                <w:sz w:val="18"/>
                <w:szCs w:val="18"/>
              </w:rPr>
              <w:t xml:space="preserve"> an early childhood education program, often on a sessional basis in a dedicated service.</w:t>
            </w:r>
          </w:p>
          <w:p w14:paraId="29E9D7DA" w14:textId="77777777" w:rsidR="004A6BF1" w:rsidRPr="004A6BF1" w:rsidRDefault="004A6BF1" w:rsidP="004A6BF1">
            <w:pPr>
              <w:numPr>
                <w:ilvl w:val="0"/>
                <w:numId w:val="13"/>
              </w:numPr>
              <w:spacing w:after="0"/>
              <w:contextualSpacing/>
              <w:rPr>
                <w:rFonts w:asciiTheme="majorHAnsi" w:hAnsiTheme="majorHAnsi" w:cstheme="majorHAnsi"/>
                <w:sz w:val="18"/>
                <w:szCs w:val="18"/>
              </w:rPr>
            </w:pPr>
            <w:r w:rsidRPr="004A6BF1">
              <w:rPr>
                <w:sz w:val="18"/>
                <w:szCs w:val="18"/>
              </w:rPr>
              <w:t>Alternative names include kindergarten, pre-preparatory and reception.</w:t>
            </w:r>
          </w:p>
        </w:tc>
        <w:tc>
          <w:tcPr>
            <w:tcW w:w="1802"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CCD9"/>
            <w:tcMar>
              <w:top w:w="15" w:type="dxa"/>
              <w:left w:w="39" w:type="dxa"/>
              <w:bottom w:w="0" w:type="dxa"/>
              <w:right w:w="39" w:type="dxa"/>
            </w:tcMar>
            <w:hideMark/>
          </w:tcPr>
          <w:p w14:paraId="0B0A9DCA" w14:textId="77777777" w:rsidR="004A6BF1" w:rsidRPr="004A6BF1" w:rsidRDefault="004A6BF1" w:rsidP="004A6BF1">
            <w:pPr>
              <w:numPr>
                <w:ilvl w:val="0"/>
                <w:numId w:val="13"/>
              </w:numPr>
              <w:spacing w:after="0"/>
              <w:contextualSpacing/>
              <w:rPr>
                <w:sz w:val="18"/>
                <w:szCs w:val="18"/>
              </w:rPr>
            </w:pPr>
            <w:r w:rsidRPr="004A6BF1">
              <w:rPr>
                <w:sz w:val="18"/>
                <w:szCs w:val="18"/>
              </w:rPr>
              <w:t>Provides care before and after school hours and during school holidays (vacation care) and on pupil-free days.</w:t>
            </w:r>
          </w:p>
        </w:tc>
      </w:tr>
      <w:tr w:rsidR="004A6BF1" w:rsidRPr="004A6BF1" w14:paraId="4AE2FDB1" w14:textId="77777777" w:rsidTr="005F6ADC">
        <w:trPr>
          <w:trHeight w:val="233"/>
        </w:trPr>
        <w:tc>
          <w:tcPr>
            <w:tcW w:w="9006" w:type="dxa"/>
            <w:gridSpan w:val="5"/>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7ED"/>
            <w:tcMar>
              <w:top w:w="15" w:type="dxa"/>
              <w:left w:w="39" w:type="dxa"/>
              <w:bottom w:w="0" w:type="dxa"/>
              <w:right w:w="39" w:type="dxa"/>
            </w:tcMar>
            <w:hideMark/>
          </w:tcPr>
          <w:p w14:paraId="00C97039" w14:textId="77777777" w:rsidR="004A6BF1" w:rsidRPr="004A6BF1" w:rsidRDefault="004A6BF1" w:rsidP="004A6BF1">
            <w:pPr>
              <w:jc w:val="center"/>
              <w:rPr>
                <w:b/>
                <w:sz w:val="18"/>
                <w:szCs w:val="18"/>
                <w:vertAlign w:val="superscript"/>
              </w:rPr>
            </w:pPr>
            <w:r w:rsidRPr="004A6BF1">
              <w:rPr>
                <w:b/>
                <w:bCs/>
                <w:sz w:val="18"/>
                <w:szCs w:val="18"/>
              </w:rPr>
              <w:t>Main provider types (2023)</w:t>
            </w:r>
            <w:r w:rsidRPr="004A6BF1">
              <w:rPr>
                <w:b/>
                <w:bCs/>
                <w:sz w:val="18"/>
                <w:szCs w:val="18"/>
                <w:vertAlign w:val="superscript"/>
              </w:rPr>
              <w:t>1</w:t>
            </w:r>
          </w:p>
        </w:tc>
      </w:tr>
      <w:tr w:rsidR="004A6BF1" w:rsidRPr="004A6BF1" w14:paraId="58B35E51" w14:textId="77777777" w:rsidTr="005F6ADC">
        <w:trPr>
          <w:trHeight w:val="20"/>
        </w:trPr>
        <w:tc>
          <w:tcPr>
            <w:tcW w:w="18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CCD9"/>
            <w:tcMar>
              <w:top w:w="15" w:type="dxa"/>
              <w:left w:w="39" w:type="dxa"/>
              <w:bottom w:w="0" w:type="dxa"/>
              <w:right w:w="39" w:type="dxa"/>
            </w:tcMar>
            <w:hideMark/>
          </w:tcPr>
          <w:p w14:paraId="012B57FB" w14:textId="77777777" w:rsidR="004A6BF1" w:rsidRPr="004A6BF1" w:rsidRDefault="004A6BF1" w:rsidP="004A6BF1">
            <w:pPr>
              <w:numPr>
                <w:ilvl w:val="0"/>
                <w:numId w:val="14"/>
              </w:numPr>
              <w:spacing w:after="0"/>
              <w:rPr>
                <w:sz w:val="18"/>
                <w:szCs w:val="18"/>
              </w:rPr>
            </w:pPr>
            <w:r w:rsidRPr="004A6BF1">
              <w:rPr>
                <w:sz w:val="18"/>
                <w:szCs w:val="18"/>
              </w:rPr>
              <w:t>Private for profit</w:t>
            </w:r>
            <w:r w:rsidRPr="004A6BF1">
              <w:rPr>
                <w:sz w:val="18"/>
                <w:szCs w:val="18"/>
                <w:vertAlign w:val="superscript"/>
              </w:rPr>
              <w:t xml:space="preserve"> </w:t>
            </w:r>
            <w:r w:rsidRPr="004A6BF1">
              <w:rPr>
                <w:sz w:val="18"/>
                <w:szCs w:val="18"/>
              </w:rPr>
              <w:t>(68%)</w:t>
            </w:r>
          </w:p>
          <w:p w14:paraId="76DAED9B" w14:textId="77777777" w:rsidR="004A6BF1" w:rsidRPr="004A6BF1" w:rsidRDefault="004A6BF1" w:rsidP="004A6BF1">
            <w:pPr>
              <w:numPr>
                <w:ilvl w:val="0"/>
                <w:numId w:val="14"/>
              </w:numPr>
              <w:spacing w:after="0"/>
              <w:rPr>
                <w:sz w:val="18"/>
                <w:szCs w:val="18"/>
              </w:rPr>
            </w:pPr>
            <w:r w:rsidRPr="004A6BF1">
              <w:rPr>
                <w:sz w:val="18"/>
                <w:szCs w:val="18"/>
              </w:rPr>
              <w:t>Not for profit</w:t>
            </w:r>
            <w:bookmarkStart w:id="33" w:name="_Ref166839230"/>
            <w:r w:rsidRPr="004A6BF1">
              <w:rPr>
                <w:sz w:val="18"/>
                <w:szCs w:val="18"/>
                <w:vertAlign w:val="superscript"/>
              </w:rPr>
              <w:footnoteReference w:id="6"/>
            </w:r>
            <w:bookmarkEnd w:id="33"/>
            <w:r w:rsidRPr="004A6BF1">
              <w:rPr>
                <w:sz w:val="18"/>
                <w:szCs w:val="18"/>
                <w:vertAlign w:val="superscript"/>
              </w:rPr>
              <w:t xml:space="preserve"> </w:t>
            </w:r>
            <w:r w:rsidRPr="004A6BF1">
              <w:rPr>
                <w:sz w:val="18"/>
                <w:szCs w:val="18"/>
              </w:rPr>
              <w:t>(26%)</w:t>
            </w:r>
          </w:p>
          <w:p w14:paraId="47DA40B4" w14:textId="77777777" w:rsidR="004A6BF1" w:rsidRPr="004A6BF1" w:rsidRDefault="004A6BF1" w:rsidP="004A6BF1">
            <w:pPr>
              <w:numPr>
                <w:ilvl w:val="0"/>
                <w:numId w:val="14"/>
              </w:numPr>
              <w:spacing w:after="0"/>
              <w:rPr>
                <w:sz w:val="18"/>
                <w:szCs w:val="18"/>
              </w:rPr>
            </w:pPr>
            <w:r w:rsidRPr="004A6BF1">
              <w:rPr>
                <w:sz w:val="18"/>
                <w:szCs w:val="18"/>
              </w:rPr>
              <w:t>State/Territory &amp; Local Gov. managed (4%)</w:t>
            </w:r>
          </w:p>
          <w:p w14:paraId="1AF12644" w14:textId="77777777" w:rsidR="004A6BF1" w:rsidRPr="004A6BF1" w:rsidRDefault="004A6BF1" w:rsidP="004A6BF1">
            <w:pPr>
              <w:numPr>
                <w:ilvl w:val="0"/>
                <w:numId w:val="14"/>
              </w:numPr>
              <w:spacing w:after="0"/>
              <w:rPr>
                <w:sz w:val="18"/>
                <w:szCs w:val="18"/>
              </w:rPr>
            </w:pPr>
            <w:r w:rsidRPr="004A6BF1">
              <w:rPr>
                <w:sz w:val="18"/>
                <w:szCs w:val="18"/>
              </w:rPr>
              <w:t>Other schools</w:t>
            </w:r>
            <w:bookmarkStart w:id="34" w:name="_Ref167292906"/>
            <w:r w:rsidRPr="004A6BF1">
              <w:rPr>
                <w:sz w:val="18"/>
                <w:szCs w:val="18"/>
                <w:vertAlign w:val="superscript"/>
              </w:rPr>
              <w:footnoteReference w:id="7"/>
            </w:r>
            <w:bookmarkEnd w:id="34"/>
            <w:r w:rsidRPr="004A6BF1">
              <w:rPr>
                <w:sz w:val="18"/>
                <w:szCs w:val="18"/>
              </w:rPr>
              <w:t xml:space="preserve"> (3%)</w:t>
            </w:r>
          </w:p>
        </w:tc>
        <w:tc>
          <w:tcPr>
            <w:tcW w:w="18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CCD9"/>
            <w:tcMar>
              <w:top w:w="15" w:type="dxa"/>
              <w:left w:w="39" w:type="dxa"/>
              <w:bottom w:w="0" w:type="dxa"/>
              <w:right w:w="39" w:type="dxa"/>
            </w:tcMar>
            <w:hideMark/>
          </w:tcPr>
          <w:p w14:paraId="3055AF42" w14:textId="77777777" w:rsidR="004A6BF1" w:rsidRPr="004A6BF1" w:rsidRDefault="004A6BF1" w:rsidP="004A6BF1">
            <w:pPr>
              <w:numPr>
                <w:ilvl w:val="0"/>
                <w:numId w:val="14"/>
              </w:numPr>
              <w:spacing w:after="0"/>
              <w:rPr>
                <w:sz w:val="18"/>
                <w:szCs w:val="18"/>
              </w:rPr>
            </w:pPr>
            <w:r w:rsidRPr="004A6BF1">
              <w:rPr>
                <w:sz w:val="18"/>
                <w:szCs w:val="18"/>
              </w:rPr>
              <w:t>Private for profit (60%)</w:t>
            </w:r>
          </w:p>
          <w:p w14:paraId="6231456D" w14:textId="4CB0FCB7" w:rsidR="004A6BF1" w:rsidRPr="004A6BF1" w:rsidRDefault="004A6BF1" w:rsidP="004A6BF1">
            <w:pPr>
              <w:numPr>
                <w:ilvl w:val="0"/>
                <w:numId w:val="14"/>
              </w:numPr>
              <w:spacing w:after="0"/>
              <w:rPr>
                <w:sz w:val="18"/>
                <w:szCs w:val="18"/>
              </w:rPr>
            </w:pPr>
            <w:r w:rsidRPr="004A6BF1">
              <w:rPr>
                <w:sz w:val="18"/>
                <w:szCs w:val="18"/>
              </w:rPr>
              <w:t>Not for profit</w:t>
            </w:r>
            <w:r w:rsidRPr="004A6BF1">
              <w:rPr>
                <w:sz w:val="18"/>
                <w:szCs w:val="18"/>
                <w:vertAlign w:val="superscript"/>
              </w:rPr>
              <w:fldChar w:fldCharType="begin"/>
            </w:r>
            <w:r w:rsidRPr="004A6BF1">
              <w:rPr>
                <w:sz w:val="18"/>
                <w:szCs w:val="18"/>
                <w:vertAlign w:val="superscript"/>
              </w:rPr>
              <w:instrText xml:space="preserve"> NOTEREF _Ref166839230 \h  \* MERGEFORMAT </w:instrText>
            </w:r>
            <w:r w:rsidRPr="004A6BF1">
              <w:rPr>
                <w:sz w:val="18"/>
                <w:szCs w:val="18"/>
                <w:vertAlign w:val="superscript"/>
              </w:rPr>
            </w:r>
            <w:r w:rsidRPr="004A6BF1">
              <w:rPr>
                <w:sz w:val="18"/>
                <w:szCs w:val="18"/>
                <w:vertAlign w:val="superscript"/>
              </w:rPr>
              <w:fldChar w:fldCharType="separate"/>
            </w:r>
            <w:r w:rsidR="005F18C1">
              <w:rPr>
                <w:sz w:val="18"/>
                <w:szCs w:val="18"/>
                <w:vertAlign w:val="superscript"/>
              </w:rPr>
              <w:t>5</w:t>
            </w:r>
            <w:r w:rsidRPr="004A6BF1">
              <w:rPr>
                <w:sz w:val="18"/>
                <w:szCs w:val="18"/>
                <w:vertAlign w:val="superscript"/>
              </w:rPr>
              <w:fldChar w:fldCharType="end"/>
            </w:r>
            <w:r w:rsidRPr="004A6BF1">
              <w:rPr>
                <w:sz w:val="18"/>
                <w:szCs w:val="18"/>
                <w:vertAlign w:val="superscript"/>
              </w:rPr>
              <w:t xml:space="preserve"> </w:t>
            </w:r>
            <w:r w:rsidRPr="004A6BF1">
              <w:rPr>
                <w:sz w:val="18"/>
                <w:szCs w:val="18"/>
              </w:rPr>
              <w:t>(25%)</w:t>
            </w:r>
          </w:p>
          <w:p w14:paraId="17414742" w14:textId="77777777" w:rsidR="004A6BF1" w:rsidRPr="004A6BF1" w:rsidRDefault="004A6BF1" w:rsidP="004A6BF1">
            <w:pPr>
              <w:numPr>
                <w:ilvl w:val="0"/>
                <w:numId w:val="14"/>
              </w:numPr>
              <w:spacing w:after="0"/>
              <w:rPr>
                <w:sz w:val="18"/>
                <w:szCs w:val="18"/>
              </w:rPr>
            </w:pPr>
            <w:r w:rsidRPr="004A6BF1">
              <w:rPr>
                <w:sz w:val="18"/>
                <w:szCs w:val="18"/>
              </w:rPr>
              <w:t>State/Territory &amp; Local Gov. managed (16%)</w:t>
            </w:r>
          </w:p>
        </w:tc>
        <w:tc>
          <w:tcPr>
            <w:tcW w:w="18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CCD9"/>
            <w:tcMar>
              <w:top w:w="15" w:type="dxa"/>
              <w:left w:w="39" w:type="dxa"/>
              <w:bottom w:w="0" w:type="dxa"/>
              <w:right w:w="39" w:type="dxa"/>
            </w:tcMar>
            <w:hideMark/>
          </w:tcPr>
          <w:p w14:paraId="3E576E97" w14:textId="77777777" w:rsidR="004A6BF1" w:rsidRPr="004A6BF1" w:rsidRDefault="004A6BF1" w:rsidP="004A6BF1">
            <w:pPr>
              <w:spacing w:after="0"/>
              <w:rPr>
                <w:sz w:val="18"/>
                <w:szCs w:val="18"/>
              </w:rPr>
            </w:pPr>
            <w:r w:rsidRPr="004A6BF1">
              <w:rPr>
                <w:sz w:val="18"/>
                <w:szCs w:val="18"/>
              </w:rPr>
              <w:t>n/a</w:t>
            </w:r>
          </w:p>
        </w:tc>
        <w:tc>
          <w:tcPr>
            <w:tcW w:w="18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CCD9"/>
            <w:tcMar>
              <w:top w:w="15" w:type="dxa"/>
              <w:left w:w="39" w:type="dxa"/>
              <w:bottom w:w="0" w:type="dxa"/>
              <w:right w:w="39" w:type="dxa"/>
            </w:tcMar>
            <w:hideMark/>
          </w:tcPr>
          <w:p w14:paraId="3B3A78DD" w14:textId="5AB587B7" w:rsidR="004A6BF1" w:rsidRPr="004A6BF1" w:rsidRDefault="004A6BF1" w:rsidP="004A6BF1">
            <w:pPr>
              <w:numPr>
                <w:ilvl w:val="0"/>
                <w:numId w:val="15"/>
              </w:numPr>
              <w:spacing w:after="0"/>
              <w:rPr>
                <w:sz w:val="18"/>
                <w:szCs w:val="18"/>
              </w:rPr>
            </w:pPr>
            <w:r w:rsidRPr="004A6BF1">
              <w:rPr>
                <w:sz w:val="18"/>
                <w:szCs w:val="18"/>
              </w:rPr>
              <w:t>Not for profit</w:t>
            </w:r>
            <w:r w:rsidRPr="004A6BF1">
              <w:rPr>
                <w:sz w:val="18"/>
                <w:szCs w:val="18"/>
                <w:vertAlign w:val="superscript"/>
              </w:rPr>
              <w:fldChar w:fldCharType="begin"/>
            </w:r>
            <w:r w:rsidRPr="004A6BF1">
              <w:rPr>
                <w:sz w:val="18"/>
                <w:szCs w:val="18"/>
                <w:vertAlign w:val="superscript"/>
              </w:rPr>
              <w:instrText xml:space="preserve"> NOTEREF _Ref166839230 \h  \* MERGEFORMAT </w:instrText>
            </w:r>
            <w:r w:rsidRPr="004A6BF1">
              <w:rPr>
                <w:sz w:val="18"/>
                <w:szCs w:val="18"/>
                <w:vertAlign w:val="superscript"/>
              </w:rPr>
            </w:r>
            <w:r w:rsidRPr="004A6BF1">
              <w:rPr>
                <w:sz w:val="18"/>
                <w:szCs w:val="18"/>
                <w:vertAlign w:val="superscript"/>
              </w:rPr>
              <w:fldChar w:fldCharType="separate"/>
            </w:r>
            <w:r w:rsidR="005F18C1">
              <w:rPr>
                <w:sz w:val="18"/>
                <w:szCs w:val="18"/>
                <w:vertAlign w:val="superscript"/>
              </w:rPr>
              <w:t>5</w:t>
            </w:r>
            <w:r w:rsidRPr="004A6BF1">
              <w:rPr>
                <w:sz w:val="18"/>
                <w:szCs w:val="18"/>
                <w:vertAlign w:val="superscript"/>
              </w:rPr>
              <w:fldChar w:fldCharType="end"/>
            </w:r>
            <w:r w:rsidRPr="004A6BF1">
              <w:rPr>
                <w:sz w:val="18"/>
                <w:szCs w:val="18"/>
              </w:rPr>
              <w:t xml:space="preserve"> (60%) </w:t>
            </w:r>
          </w:p>
          <w:p w14:paraId="4D3B803D" w14:textId="77777777" w:rsidR="004A6BF1" w:rsidRPr="004A6BF1" w:rsidRDefault="004A6BF1" w:rsidP="004A6BF1">
            <w:pPr>
              <w:numPr>
                <w:ilvl w:val="0"/>
                <w:numId w:val="15"/>
              </w:numPr>
              <w:spacing w:after="0"/>
              <w:rPr>
                <w:sz w:val="18"/>
                <w:szCs w:val="18"/>
              </w:rPr>
            </w:pPr>
            <w:r w:rsidRPr="004A6BF1">
              <w:rPr>
                <w:sz w:val="18"/>
                <w:szCs w:val="18"/>
              </w:rPr>
              <w:t xml:space="preserve">State/Territory &amp; Local Gov (22%)  </w:t>
            </w:r>
          </w:p>
          <w:p w14:paraId="7EB388B6" w14:textId="77777777" w:rsidR="004A6BF1" w:rsidRPr="004A6BF1" w:rsidRDefault="004A6BF1" w:rsidP="004A6BF1">
            <w:pPr>
              <w:numPr>
                <w:ilvl w:val="0"/>
                <w:numId w:val="15"/>
              </w:numPr>
              <w:spacing w:after="0"/>
              <w:rPr>
                <w:sz w:val="18"/>
                <w:szCs w:val="18"/>
              </w:rPr>
            </w:pPr>
            <w:r w:rsidRPr="004A6BF1">
              <w:rPr>
                <w:sz w:val="18"/>
                <w:szCs w:val="18"/>
              </w:rPr>
              <w:t>Government schools (11%)</w:t>
            </w:r>
          </w:p>
          <w:p w14:paraId="4890A52E" w14:textId="74EE0B03" w:rsidR="004A6BF1" w:rsidRPr="004A6BF1" w:rsidRDefault="004A6BF1" w:rsidP="004A6BF1">
            <w:pPr>
              <w:numPr>
                <w:ilvl w:val="0"/>
                <w:numId w:val="15"/>
              </w:numPr>
              <w:spacing w:after="0"/>
              <w:rPr>
                <w:sz w:val="18"/>
                <w:szCs w:val="18"/>
              </w:rPr>
            </w:pPr>
            <w:r w:rsidRPr="004A6BF1">
              <w:rPr>
                <w:sz w:val="18"/>
                <w:szCs w:val="18"/>
              </w:rPr>
              <w:t>Other schools</w:t>
            </w:r>
            <w:r w:rsidRPr="004A6BF1">
              <w:rPr>
                <w:sz w:val="18"/>
                <w:szCs w:val="18"/>
                <w:vertAlign w:val="superscript"/>
              </w:rPr>
              <w:fldChar w:fldCharType="begin"/>
            </w:r>
            <w:r w:rsidRPr="004A6BF1">
              <w:rPr>
                <w:sz w:val="18"/>
                <w:szCs w:val="18"/>
                <w:vertAlign w:val="superscript"/>
              </w:rPr>
              <w:instrText xml:space="preserve"> NOTEREF _Ref167292906 \h  \* MERGEFORMAT </w:instrText>
            </w:r>
            <w:r w:rsidRPr="004A6BF1">
              <w:rPr>
                <w:sz w:val="18"/>
                <w:szCs w:val="18"/>
                <w:vertAlign w:val="superscript"/>
              </w:rPr>
            </w:r>
            <w:r w:rsidRPr="004A6BF1">
              <w:rPr>
                <w:sz w:val="18"/>
                <w:szCs w:val="18"/>
                <w:vertAlign w:val="superscript"/>
              </w:rPr>
              <w:fldChar w:fldCharType="separate"/>
            </w:r>
            <w:r w:rsidR="005F18C1">
              <w:rPr>
                <w:sz w:val="18"/>
                <w:szCs w:val="18"/>
                <w:vertAlign w:val="superscript"/>
              </w:rPr>
              <w:t>6</w:t>
            </w:r>
            <w:r w:rsidRPr="004A6BF1">
              <w:rPr>
                <w:sz w:val="18"/>
                <w:szCs w:val="18"/>
                <w:vertAlign w:val="superscript"/>
              </w:rPr>
              <w:fldChar w:fldCharType="end"/>
            </w:r>
            <w:r w:rsidRPr="004A6BF1">
              <w:rPr>
                <w:sz w:val="18"/>
                <w:szCs w:val="18"/>
                <w:vertAlign w:val="superscript"/>
              </w:rPr>
              <w:fldChar w:fldCharType="begin"/>
            </w:r>
            <w:r w:rsidRPr="004A6BF1">
              <w:rPr>
                <w:sz w:val="18"/>
                <w:szCs w:val="18"/>
                <w:vertAlign w:val="superscript"/>
              </w:rPr>
              <w:instrText xml:space="preserve"> NOTEREF _Ref167292906 \h  \* MERGEFORMAT </w:instrText>
            </w:r>
            <w:r w:rsidRPr="004A6BF1">
              <w:rPr>
                <w:sz w:val="18"/>
                <w:szCs w:val="18"/>
                <w:vertAlign w:val="superscript"/>
              </w:rPr>
            </w:r>
            <w:r w:rsidRPr="004A6BF1">
              <w:rPr>
                <w:sz w:val="18"/>
                <w:szCs w:val="18"/>
                <w:vertAlign w:val="superscript"/>
              </w:rPr>
              <w:fldChar w:fldCharType="separate"/>
            </w:r>
            <w:r w:rsidR="005F18C1">
              <w:rPr>
                <w:sz w:val="18"/>
                <w:szCs w:val="18"/>
                <w:vertAlign w:val="superscript"/>
              </w:rPr>
              <w:t>6</w:t>
            </w:r>
            <w:r w:rsidRPr="004A6BF1">
              <w:rPr>
                <w:sz w:val="18"/>
                <w:szCs w:val="18"/>
                <w:vertAlign w:val="superscript"/>
              </w:rPr>
              <w:fldChar w:fldCharType="end"/>
            </w:r>
            <w:r w:rsidRPr="004A6BF1">
              <w:rPr>
                <w:sz w:val="18"/>
                <w:szCs w:val="18"/>
              </w:rPr>
              <w:t xml:space="preserve"> (7%)</w:t>
            </w:r>
          </w:p>
        </w:tc>
        <w:tc>
          <w:tcPr>
            <w:tcW w:w="180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CCD9"/>
            <w:tcMar>
              <w:top w:w="15" w:type="dxa"/>
              <w:left w:w="39" w:type="dxa"/>
              <w:bottom w:w="0" w:type="dxa"/>
              <w:right w:w="39" w:type="dxa"/>
            </w:tcMar>
            <w:hideMark/>
          </w:tcPr>
          <w:p w14:paraId="701DA150" w14:textId="77777777" w:rsidR="004A6BF1" w:rsidRPr="004A6BF1" w:rsidRDefault="004A6BF1" w:rsidP="004A6BF1">
            <w:pPr>
              <w:numPr>
                <w:ilvl w:val="0"/>
                <w:numId w:val="15"/>
              </w:numPr>
              <w:spacing w:after="0"/>
              <w:rPr>
                <w:sz w:val="18"/>
                <w:szCs w:val="18"/>
              </w:rPr>
            </w:pPr>
            <w:r w:rsidRPr="004A6BF1">
              <w:rPr>
                <w:sz w:val="18"/>
                <w:szCs w:val="18"/>
              </w:rPr>
              <w:t>Private for profit (48%)</w:t>
            </w:r>
          </w:p>
          <w:p w14:paraId="3BC25E78" w14:textId="2D9735A6" w:rsidR="004A6BF1" w:rsidRPr="004A6BF1" w:rsidRDefault="004A6BF1" w:rsidP="004A6BF1">
            <w:pPr>
              <w:numPr>
                <w:ilvl w:val="0"/>
                <w:numId w:val="15"/>
              </w:numPr>
              <w:spacing w:after="0"/>
              <w:rPr>
                <w:sz w:val="18"/>
                <w:szCs w:val="18"/>
              </w:rPr>
            </w:pPr>
            <w:r w:rsidRPr="004A6BF1">
              <w:rPr>
                <w:sz w:val="18"/>
                <w:szCs w:val="18"/>
              </w:rPr>
              <w:t>Not for profit</w:t>
            </w:r>
            <w:r w:rsidRPr="004A6BF1">
              <w:rPr>
                <w:sz w:val="18"/>
                <w:szCs w:val="18"/>
                <w:vertAlign w:val="superscript"/>
              </w:rPr>
              <w:fldChar w:fldCharType="begin"/>
            </w:r>
            <w:r w:rsidRPr="004A6BF1">
              <w:rPr>
                <w:sz w:val="18"/>
                <w:szCs w:val="18"/>
                <w:vertAlign w:val="superscript"/>
              </w:rPr>
              <w:instrText xml:space="preserve"> NOTEREF _Ref166839230 \h  \* MERGEFORMAT </w:instrText>
            </w:r>
            <w:r w:rsidRPr="004A6BF1">
              <w:rPr>
                <w:sz w:val="18"/>
                <w:szCs w:val="18"/>
                <w:vertAlign w:val="superscript"/>
              </w:rPr>
            </w:r>
            <w:r w:rsidRPr="004A6BF1">
              <w:rPr>
                <w:sz w:val="18"/>
                <w:szCs w:val="18"/>
                <w:vertAlign w:val="superscript"/>
              </w:rPr>
              <w:fldChar w:fldCharType="separate"/>
            </w:r>
            <w:r w:rsidR="005F18C1">
              <w:rPr>
                <w:sz w:val="18"/>
                <w:szCs w:val="18"/>
                <w:vertAlign w:val="superscript"/>
              </w:rPr>
              <w:t>5</w:t>
            </w:r>
            <w:r w:rsidRPr="004A6BF1">
              <w:rPr>
                <w:sz w:val="18"/>
                <w:szCs w:val="18"/>
                <w:vertAlign w:val="superscript"/>
              </w:rPr>
              <w:fldChar w:fldCharType="end"/>
            </w:r>
            <w:r w:rsidRPr="004A6BF1">
              <w:rPr>
                <w:sz w:val="18"/>
                <w:szCs w:val="18"/>
                <w:vertAlign w:val="superscript"/>
              </w:rPr>
              <w:t xml:space="preserve"> </w:t>
            </w:r>
            <w:r w:rsidRPr="004A6BF1">
              <w:rPr>
                <w:sz w:val="18"/>
                <w:szCs w:val="18"/>
              </w:rPr>
              <w:t>(34%)</w:t>
            </w:r>
          </w:p>
          <w:p w14:paraId="2AAEE45B" w14:textId="77777777" w:rsidR="004A6BF1" w:rsidRPr="004A6BF1" w:rsidRDefault="004A6BF1" w:rsidP="004A6BF1">
            <w:pPr>
              <w:numPr>
                <w:ilvl w:val="0"/>
                <w:numId w:val="15"/>
              </w:numPr>
              <w:spacing w:after="0"/>
              <w:rPr>
                <w:sz w:val="18"/>
                <w:szCs w:val="18"/>
              </w:rPr>
            </w:pPr>
            <w:r w:rsidRPr="004A6BF1">
              <w:rPr>
                <w:sz w:val="18"/>
                <w:szCs w:val="18"/>
              </w:rPr>
              <w:t>Government schools (8%)</w:t>
            </w:r>
          </w:p>
          <w:p w14:paraId="127B4AD5" w14:textId="4CEA150E" w:rsidR="004A6BF1" w:rsidRPr="004A6BF1" w:rsidRDefault="004A6BF1" w:rsidP="004A6BF1">
            <w:pPr>
              <w:numPr>
                <w:ilvl w:val="0"/>
                <w:numId w:val="15"/>
              </w:numPr>
              <w:spacing w:after="0"/>
              <w:rPr>
                <w:sz w:val="18"/>
                <w:szCs w:val="18"/>
              </w:rPr>
            </w:pPr>
            <w:r w:rsidRPr="004A6BF1">
              <w:rPr>
                <w:sz w:val="18"/>
                <w:szCs w:val="18"/>
              </w:rPr>
              <w:t>Other schools</w:t>
            </w:r>
            <w:r w:rsidRPr="004A6BF1">
              <w:rPr>
                <w:sz w:val="18"/>
                <w:szCs w:val="18"/>
                <w:vertAlign w:val="superscript"/>
              </w:rPr>
              <w:fldChar w:fldCharType="begin"/>
            </w:r>
            <w:r w:rsidRPr="004A6BF1">
              <w:rPr>
                <w:sz w:val="18"/>
                <w:szCs w:val="18"/>
                <w:vertAlign w:val="superscript"/>
              </w:rPr>
              <w:instrText xml:space="preserve"> NOTEREF _Ref167292906 \h  \* MERGEFORMAT </w:instrText>
            </w:r>
            <w:r w:rsidRPr="004A6BF1">
              <w:rPr>
                <w:sz w:val="18"/>
                <w:szCs w:val="18"/>
                <w:vertAlign w:val="superscript"/>
              </w:rPr>
            </w:r>
            <w:r w:rsidRPr="004A6BF1">
              <w:rPr>
                <w:sz w:val="18"/>
                <w:szCs w:val="18"/>
                <w:vertAlign w:val="superscript"/>
              </w:rPr>
              <w:fldChar w:fldCharType="separate"/>
            </w:r>
            <w:r w:rsidR="005F18C1">
              <w:rPr>
                <w:sz w:val="18"/>
                <w:szCs w:val="18"/>
                <w:vertAlign w:val="superscript"/>
              </w:rPr>
              <w:t>6</w:t>
            </w:r>
            <w:r w:rsidRPr="004A6BF1">
              <w:rPr>
                <w:sz w:val="18"/>
                <w:szCs w:val="18"/>
                <w:vertAlign w:val="superscript"/>
              </w:rPr>
              <w:fldChar w:fldCharType="end"/>
            </w:r>
            <w:r w:rsidRPr="004A6BF1">
              <w:rPr>
                <w:sz w:val="18"/>
                <w:szCs w:val="18"/>
                <w:vertAlign w:val="superscript"/>
              </w:rPr>
              <w:fldChar w:fldCharType="begin"/>
            </w:r>
            <w:r w:rsidRPr="004A6BF1">
              <w:rPr>
                <w:sz w:val="18"/>
                <w:szCs w:val="18"/>
                <w:vertAlign w:val="superscript"/>
              </w:rPr>
              <w:instrText xml:space="preserve"> NOTEREF _Ref167292906 \h  \* MERGEFORMAT </w:instrText>
            </w:r>
            <w:r w:rsidRPr="004A6BF1">
              <w:rPr>
                <w:sz w:val="18"/>
                <w:szCs w:val="18"/>
                <w:vertAlign w:val="superscript"/>
              </w:rPr>
            </w:r>
            <w:r w:rsidRPr="004A6BF1">
              <w:rPr>
                <w:sz w:val="18"/>
                <w:szCs w:val="18"/>
                <w:vertAlign w:val="superscript"/>
              </w:rPr>
              <w:fldChar w:fldCharType="separate"/>
            </w:r>
            <w:r w:rsidR="005F18C1">
              <w:rPr>
                <w:sz w:val="18"/>
                <w:szCs w:val="18"/>
                <w:vertAlign w:val="superscript"/>
              </w:rPr>
              <w:t>6</w:t>
            </w:r>
            <w:r w:rsidRPr="004A6BF1">
              <w:rPr>
                <w:sz w:val="18"/>
                <w:szCs w:val="18"/>
                <w:vertAlign w:val="superscript"/>
              </w:rPr>
              <w:fldChar w:fldCharType="end"/>
            </w:r>
            <w:r w:rsidRPr="004A6BF1">
              <w:rPr>
                <w:sz w:val="18"/>
                <w:szCs w:val="18"/>
              </w:rPr>
              <w:t xml:space="preserve"> (7%)</w:t>
            </w:r>
          </w:p>
          <w:p w14:paraId="1EF283B4" w14:textId="77777777" w:rsidR="004A6BF1" w:rsidRPr="004A6BF1" w:rsidRDefault="004A6BF1" w:rsidP="004A6BF1">
            <w:pPr>
              <w:numPr>
                <w:ilvl w:val="0"/>
                <w:numId w:val="15"/>
              </w:numPr>
              <w:spacing w:after="0"/>
              <w:rPr>
                <w:sz w:val="18"/>
                <w:szCs w:val="18"/>
              </w:rPr>
            </w:pPr>
            <w:r w:rsidRPr="004A6BF1">
              <w:rPr>
                <w:sz w:val="18"/>
                <w:szCs w:val="18"/>
              </w:rPr>
              <w:t>State/Territory &amp; Local gov. managed (3%)</w:t>
            </w:r>
          </w:p>
        </w:tc>
      </w:tr>
      <w:tr w:rsidR="004A6BF1" w:rsidRPr="004A6BF1" w14:paraId="5B69BF95" w14:textId="77777777" w:rsidTr="005F6ADC">
        <w:trPr>
          <w:trHeight w:val="20"/>
        </w:trPr>
        <w:tc>
          <w:tcPr>
            <w:tcW w:w="9006" w:type="dxa"/>
            <w:gridSpan w:val="5"/>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7ED"/>
            <w:tcMar>
              <w:top w:w="15" w:type="dxa"/>
              <w:left w:w="39" w:type="dxa"/>
              <w:bottom w:w="0" w:type="dxa"/>
              <w:right w:w="39" w:type="dxa"/>
            </w:tcMar>
            <w:hideMark/>
          </w:tcPr>
          <w:p w14:paraId="74361FAA" w14:textId="77777777" w:rsidR="004A6BF1" w:rsidRPr="004A6BF1" w:rsidRDefault="004A6BF1" w:rsidP="004A6BF1">
            <w:pPr>
              <w:jc w:val="center"/>
              <w:rPr>
                <w:b/>
                <w:sz w:val="18"/>
                <w:szCs w:val="18"/>
                <w:vertAlign w:val="superscript"/>
              </w:rPr>
            </w:pPr>
            <w:r w:rsidRPr="004A6BF1">
              <w:rPr>
                <w:b/>
                <w:bCs/>
                <w:sz w:val="18"/>
                <w:szCs w:val="18"/>
              </w:rPr>
              <w:t>Number of children attending (2022)</w:t>
            </w:r>
          </w:p>
        </w:tc>
      </w:tr>
      <w:tr w:rsidR="004A6BF1" w:rsidRPr="004A6BF1" w14:paraId="4BC642BC" w14:textId="77777777" w:rsidTr="005F6ADC">
        <w:trPr>
          <w:trHeight w:val="20"/>
        </w:trPr>
        <w:tc>
          <w:tcPr>
            <w:tcW w:w="18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CCD9"/>
            <w:tcMar>
              <w:top w:w="15" w:type="dxa"/>
              <w:left w:w="39" w:type="dxa"/>
              <w:bottom w:w="0" w:type="dxa"/>
              <w:right w:w="39" w:type="dxa"/>
            </w:tcMar>
            <w:hideMark/>
          </w:tcPr>
          <w:p w14:paraId="02E796AB" w14:textId="77777777" w:rsidR="004A6BF1" w:rsidRPr="004A6BF1" w:rsidRDefault="004A6BF1" w:rsidP="004A6BF1">
            <w:pPr>
              <w:rPr>
                <w:sz w:val="18"/>
                <w:szCs w:val="18"/>
              </w:rPr>
            </w:pPr>
            <w:r w:rsidRPr="004A6BF1">
              <w:rPr>
                <w:sz w:val="18"/>
                <w:szCs w:val="18"/>
              </w:rPr>
              <w:t>818,310</w:t>
            </w:r>
          </w:p>
        </w:tc>
        <w:tc>
          <w:tcPr>
            <w:tcW w:w="18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CCD9"/>
            <w:tcMar>
              <w:top w:w="15" w:type="dxa"/>
              <w:left w:w="39" w:type="dxa"/>
              <w:bottom w:w="0" w:type="dxa"/>
              <w:right w:w="39" w:type="dxa"/>
            </w:tcMar>
            <w:hideMark/>
          </w:tcPr>
          <w:p w14:paraId="098BC1F1" w14:textId="77777777" w:rsidR="004A6BF1" w:rsidRPr="004A6BF1" w:rsidRDefault="004A6BF1" w:rsidP="004A6BF1">
            <w:pPr>
              <w:rPr>
                <w:sz w:val="18"/>
                <w:szCs w:val="18"/>
              </w:rPr>
            </w:pPr>
            <w:r w:rsidRPr="004A6BF1">
              <w:rPr>
                <w:sz w:val="18"/>
                <w:szCs w:val="18"/>
              </w:rPr>
              <w:t>85,622</w:t>
            </w:r>
          </w:p>
        </w:tc>
        <w:tc>
          <w:tcPr>
            <w:tcW w:w="18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CCD9"/>
            <w:tcMar>
              <w:top w:w="15" w:type="dxa"/>
              <w:left w:w="39" w:type="dxa"/>
              <w:bottom w:w="0" w:type="dxa"/>
              <w:right w:w="39" w:type="dxa"/>
            </w:tcMar>
            <w:hideMark/>
          </w:tcPr>
          <w:p w14:paraId="519BE749" w14:textId="77777777" w:rsidR="004A6BF1" w:rsidRPr="004A6BF1" w:rsidRDefault="004A6BF1" w:rsidP="004A6BF1">
            <w:pPr>
              <w:rPr>
                <w:sz w:val="18"/>
                <w:szCs w:val="18"/>
              </w:rPr>
            </w:pPr>
            <w:r w:rsidRPr="004A6BF1">
              <w:rPr>
                <w:sz w:val="18"/>
                <w:szCs w:val="18"/>
              </w:rPr>
              <w:t>2,283</w:t>
            </w:r>
          </w:p>
        </w:tc>
        <w:tc>
          <w:tcPr>
            <w:tcW w:w="18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CCD9"/>
            <w:tcMar>
              <w:top w:w="15" w:type="dxa"/>
              <w:left w:w="39" w:type="dxa"/>
              <w:bottom w:w="0" w:type="dxa"/>
              <w:right w:w="39" w:type="dxa"/>
            </w:tcMar>
            <w:hideMark/>
          </w:tcPr>
          <w:p w14:paraId="6504B6D9" w14:textId="77777777" w:rsidR="004A6BF1" w:rsidRPr="004A6BF1" w:rsidRDefault="004A6BF1" w:rsidP="004A6BF1">
            <w:pPr>
              <w:rPr>
                <w:sz w:val="18"/>
                <w:szCs w:val="18"/>
                <w:vertAlign w:val="superscript"/>
              </w:rPr>
            </w:pPr>
            <w:r w:rsidRPr="004A6BF1">
              <w:rPr>
                <w:sz w:val="18"/>
                <w:szCs w:val="18"/>
              </w:rPr>
              <w:t>553,542</w:t>
            </w:r>
            <w:r w:rsidRPr="004A6BF1">
              <w:rPr>
                <w:sz w:val="18"/>
                <w:szCs w:val="18"/>
                <w:vertAlign w:val="superscript"/>
              </w:rPr>
              <w:footnoteReference w:id="8"/>
            </w:r>
          </w:p>
        </w:tc>
        <w:tc>
          <w:tcPr>
            <w:tcW w:w="180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CCD9"/>
            <w:tcMar>
              <w:top w:w="15" w:type="dxa"/>
              <w:left w:w="39" w:type="dxa"/>
              <w:bottom w:w="0" w:type="dxa"/>
              <w:right w:w="39" w:type="dxa"/>
            </w:tcMar>
            <w:hideMark/>
          </w:tcPr>
          <w:p w14:paraId="00E77D80" w14:textId="77777777" w:rsidR="004A6BF1" w:rsidRPr="004A6BF1" w:rsidRDefault="004A6BF1" w:rsidP="004A6BF1">
            <w:pPr>
              <w:rPr>
                <w:sz w:val="18"/>
                <w:szCs w:val="18"/>
              </w:rPr>
            </w:pPr>
            <w:r w:rsidRPr="004A6BF1">
              <w:rPr>
                <w:sz w:val="18"/>
                <w:szCs w:val="18"/>
              </w:rPr>
              <w:t>486,310</w:t>
            </w:r>
          </w:p>
        </w:tc>
      </w:tr>
      <w:tr w:rsidR="004A6BF1" w:rsidRPr="004A6BF1" w14:paraId="2A2488A8" w14:textId="77777777" w:rsidTr="005F6ADC">
        <w:trPr>
          <w:trHeight w:val="20"/>
        </w:trPr>
        <w:tc>
          <w:tcPr>
            <w:tcW w:w="9006" w:type="dxa"/>
            <w:gridSpan w:val="5"/>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7ED"/>
            <w:tcMar>
              <w:top w:w="15" w:type="dxa"/>
              <w:left w:w="39" w:type="dxa"/>
              <w:bottom w:w="0" w:type="dxa"/>
              <w:right w:w="39" w:type="dxa"/>
            </w:tcMar>
            <w:hideMark/>
          </w:tcPr>
          <w:p w14:paraId="0FFAF8B9" w14:textId="77777777" w:rsidR="004A6BF1" w:rsidRPr="004A6BF1" w:rsidRDefault="004A6BF1" w:rsidP="004A6BF1">
            <w:pPr>
              <w:jc w:val="center"/>
              <w:rPr>
                <w:sz w:val="18"/>
                <w:szCs w:val="18"/>
              </w:rPr>
            </w:pPr>
            <w:r w:rsidRPr="004A6BF1">
              <w:rPr>
                <w:b/>
                <w:bCs/>
                <w:sz w:val="18"/>
                <w:szCs w:val="18"/>
              </w:rPr>
              <w:t>Number of services (2023)</w:t>
            </w:r>
            <w:r w:rsidRPr="004A6BF1">
              <w:rPr>
                <w:b/>
                <w:bCs/>
                <w:sz w:val="18"/>
                <w:szCs w:val="18"/>
                <w:vertAlign w:val="superscript"/>
              </w:rPr>
              <w:t>1</w:t>
            </w:r>
          </w:p>
        </w:tc>
      </w:tr>
      <w:tr w:rsidR="004A6BF1" w:rsidRPr="004A6BF1" w14:paraId="5368F598" w14:textId="77777777" w:rsidTr="005F6ADC">
        <w:trPr>
          <w:trHeight w:val="20"/>
        </w:trPr>
        <w:tc>
          <w:tcPr>
            <w:tcW w:w="18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CCD9"/>
            <w:tcMar>
              <w:top w:w="15" w:type="dxa"/>
              <w:left w:w="39" w:type="dxa"/>
              <w:bottom w:w="0" w:type="dxa"/>
              <w:right w:w="39" w:type="dxa"/>
            </w:tcMar>
            <w:hideMark/>
          </w:tcPr>
          <w:p w14:paraId="569B5864" w14:textId="77777777" w:rsidR="004A6BF1" w:rsidRPr="004A6BF1" w:rsidRDefault="004A6BF1" w:rsidP="004A6BF1">
            <w:pPr>
              <w:rPr>
                <w:sz w:val="18"/>
                <w:szCs w:val="18"/>
              </w:rPr>
            </w:pPr>
            <w:r w:rsidRPr="004A6BF1">
              <w:rPr>
                <w:sz w:val="18"/>
                <w:szCs w:val="18"/>
              </w:rPr>
              <w:t>8,747</w:t>
            </w:r>
            <w:r w:rsidRPr="004A6BF1">
              <w:rPr>
                <w:sz w:val="18"/>
                <w:szCs w:val="18"/>
                <w:vertAlign w:val="superscript"/>
              </w:rPr>
              <w:t>2</w:t>
            </w:r>
          </w:p>
        </w:tc>
        <w:tc>
          <w:tcPr>
            <w:tcW w:w="18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CCD9"/>
            <w:tcMar>
              <w:top w:w="15" w:type="dxa"/>
              <w:left w:w="39" w:type="dxa"/>
              <w:bottom w:w="0" w:type="dxa"/>
              <w:right w:w="39" w:type="dxa"/>
            </w:tcMar>
            <w:hideMark/>
          </w:tcPr>
          <w:p w14:paraId="209AD97C" w14:textId="77777777" w:rsidR="004A6BF1" w:rsidRPr="004A6BF1" w:rsidRDefault="004A6BF1" w:rsidP="004A6BF1">
            <w:pPr>
              <w:rPr>
                <w:sz w:val="18"/>
                <w:szCs w:val="18"/>
              </w:rPr>
            </w:pPr>
            <w:r w:rsidRPr="004A6BF1">
              <w:rPr>
                <w:sz w:val="18"/>
                <w:szCs w:val="18"/>
              </w:rPr>
              <w:t>429</w:t>
            </w:r>
          </w:p>
        </w:tc>
        <w:tc>
          <w:tcPr>
            <w:tcW w:w="18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CCD9"/>
            <w:tcMar>
              <w:top w:w="15" w:type="dxa"/>
              <w:left w:w="39" w:type="dxa"/>
              <w:bottom w:w="0" w:type="dxa"/>
              <w:right w:w="39" w:type="dxa"/>
            </w:tcMar>
            <w:hideMark/>
          </w:tcPr>
          <w:p w14:paraId="6F9625C3" w14:textId="77777777" w:rsidR="004A6BF1" w:rsidRPr="004A6BF1" w:rsidRDefault="004A6BF1" w:rsidP="004A6BF1">
            <w:pPr>
              <w:rPr>
                <w:sz w:val="18"/>
                <w:szCs w:val="18"/>
              </w:rPr>
            </w:pPr>
            <w:r w:rsidRPr="004A6BF1">
              <w:rPr>
                <w:sz w:val="18"/>
                <w:szCs w:val="18"/>
              </w:rPr>
              <w:t>37</w:t>
            </w:r>
            <w:r w:rsidRPr="004A6BF1">
              <w:rPr>
                <w:sz w:val="18"/>
                <w:szCs w:val="18"/>
                <w:vertAlign w:val="superscript"/>
              </w:rPr>
              <w:t>2</w:t>
            </w:r>
          </w:p>
        </w:tc>
        <w:tc>
          <w:tcPr>
            <w:tcW w:w="18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CCD9"/>
            <w:tcMar>
              <w:top w:w="15" w:type="dxa"/>
              <w:left w:w="39" w:type="dxa"/>
              <w:bottom w:w="0" w:type="dxa"/>
              <w:right w:w="39" w:type="dxa"/>
            </w:tcMar>
            <w:hideMark/>
          </w:tcPr>
          <w:p w14:paraId="6E33A120" w14:textId="77777777" w:rsidR="004A6BF1" w:rsidRPr="004A6BF1" w:rsidRDefault="004A6BF1" w:rsidP="004A6BF1">
            <w:pPr>
              <w:rPr>
                <w:sz w:val="18"/>
                <w:szCs w:val="18"/>
              </w:rPr>
            </w:pPr>
            <w:r w:rsidRPr="004A6BF1">
              <w:rPr>
                <w:sz w:val="18"/>
                <w:szCs w:val="18"/>
              </w:rPr>
              <w:t>3,051</w:t>
            </w:r>
          </w:p>
        </w:tc>
        <w:tc>
          <w:tcPr>
            <w:tcW w:w="180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CCD9"/>
            <w:tcMar>
              <w:top w:w="15" w:type="dxa"/>
              <w:left w:w="39" w:type="dxa"/>
              <w:bottom w:w="0" w:type="dxa"/>
              <w:right w:w="39" w:type="dxa"/>
            </w:tcMar>
            <w:hideMark/>
          </w:tcPr>
          <w:p w14:paraId="4DB9290F" w14:textId="77777777" w:rsidR="004A6BF1" w:rsidRPr="004A6BF1" w:rsidRDefault="004A6BF1" w:rsidP="004A6BF1">
            <w:pPr>
              <w:rPr>
                <w:sz w:val="18"/>
                <w:szCs w:val="18"/>
              </w:rPr>
            </w:pPr>
            <w:r w:rsidRPr="004A6BF1">
              <w:rPr>
                <w:sz w:val="18"/>
                <w:szCs w:val="18"/>
              </w:rPr>
              <w:t>4,984</w:t>
            </w:r>
          </w:p>
        </w:tc>
      </w:tr>
    </w:tbl>
    <w:p w14:paraId="7CA2BD8E" w14:textId="77777777" w:rsidR="004A6BF1" w:rsidRPr="004A6BF1" w:rsidRDefault="004A6BF1" w:rsidP="00887E52">
      <w:pPr>
        <w:pStyle w:val="Source"/>
      </w:pPr>
      <w:r w:rsidRPr="004A6BF1">
        <w:t xml:space="preserve">Sources: </w:t>
      </w:r>
      <w:r w:rsidRPr="004A6BF1">
        <w:br/>
        <w:t xml:space="preserve">1. Data as </w:t>
      </w:r>
      <w:proofErr w:type="gramStart"/>
      <w:r w:rsidRPr="004A6BF1">
        <w:t>at</w:t>
      </w:r>
      <w:proofErr w:type="gramEnd"/>
      <w:r w:rsidRPr="004A6BF1">
        <w:t xml:space="preserve"> 1 January 2024. Australian Children’s Education and Care Quality Authority. </w:t>
      </w:r>
      <w:r w:rsidRPr="004A6BF1">
        <w:rPr>
          <w:i/>
          <w:iCs/>
        </w:rPr>
        <w:t>NQF Snapshot: Q4 2023</w:t>
      </w:r>
      <w:r w:rsidRPr="004A6BF1">
        <w:t xml:space="preserve">. </w:t>
      </w:r>
    </w:p>
    <w:p w14:paraId="0A4EDBA9" w14:textId="77777777" w:rsidR="004A6BF1" w:rsidRPr="004A6BF1" w:rsidRDefault="004A6BF1" w:rsidP="00887E52">
      <w:pPr>
        <w:pStyle w:val="Source"/>
      </w:pPr>
      <w:r w:rsidRPr="004A6BF1">
        <w:t xml:space="preserve">2. Data current </w:t>
      </w:r>
      <w:proofErr w:type="gramStart"/>
      <w:r w:rsidRPr="004A6BF1">
        <w:t>at</w:t>
      </w:r>
      <w:proofErr w:type="gramEnd"/>
      <w:r w:rsidRPr="004A6BF1">
        <w:t xml:space="preserve"> 2022. Productivity Commission.</w:t>
      </w:r>
      <w:r w:rsidRPr="004A6BF1">
        <w:rPr>
          <w:i/>
          <w:iCs/>
        </w:rPr>
        <w:t xml:space="preserve"> Report on Government Services 2023: 3 Early childhood education and care. Table 3.8, 3.15 and 3.18.</w:t>
      </w:r>
    </w:p>
    <w:p w14:paraId="0E4DAB9A" w14:textId="77777777" w:rsidR="004A6BF1" w:rsidRPr="004A6BF1" w:rsidRDefault="004A6BF1" w:rsidP="004A6BF1">
      <w:pPr>
        <w:keepNext/>
      </w:pPr>
      <w:r w:rsidRPr="004A6BF1">
        <w:lastRenderedPageBreak/>
        <w:t xml:space="preserve">This table shows the largest service type is CBDC with over 800,000 children attending and almost 9,000 approved services in 2023. The next largest service type is OSHC with approximately 500,000 children attending and just under 5,000 services in 2023. </w:t>
      </w:r>
    </w:p>
    <w:p w14:paraId="54BCF82E" w14:textId="77777777" w:rsidR="004A6BF1" w:rsidRPr="004A6BF1" w:rsidRDefault="004A6BF1" w:rsidP="004A6BF1">
      <w:r w:rsidRPr="004A6BF1">
        <w:t xml:space="preserve">ECEC services are predominately funded by the Australian Government and State and Territory Governments, alongside parental contributions. In 2021-22, the Australian Government contributed 80% ($10.2 billion) of expenditure on </w:t>
      </w:r>
      <w:proofErr w:type="gramStart"/>
      <w:r w:rsidRPr="004A6BF1">
        <w:t>child care</w:t>
      </w:r>
      <w:proofErr w:type="gramEnd"/>
      <w:r w:rsidRPr="004A6BF1">
        <w:t xml:space="preserve"> services via subsidy arrangements, while state and territory governments contributed $2.6 billion.</w:t>
      </w:r>
    </w:p>
    <w:p w14:paraId="7089D041" w14:textId="77777777" w:rsidR="004A6BF1" w:rsidRPr="004A6BF1" w:rsidRDefault="004A6BF1" w:rsidP="004A6BF1">
      <w:r w:rsidRPr="004A6BF1">
        <w:t xml:space="preserve">Out of scope for this report are informal ECEC services that are outside the remit of the </w:t>
      </w:r>
      <w:r w:rsidRPr="004A6BF1">
        <w:rPr>
          <w:i/>
          <w:iCs/>
        </w:rPr>
        <w:t>National Quality Framework</w:t>
      </w:r>
      <w:r w:rsidRPr="004A6BF1">
        <w:t>. This includes arrangements within the child’s home (apart from CCS-eligible IHC), such as nannies and babysitting, and irregular ECEC provided in settings such as shopping centres and entertainment and accommodation venues.</w:t>
      </w:r>
      <w:r w:rsidRPr="004A6BF1">
        <w:rPr>
          <w:vertAlign w:val="superscript"/>
        </w:rPr>
        <w:footnoteReference w:id="9"/>
      </w:r>
    </w:p>
    <w:p w14:paraId="72073BC1" w14:textId="77777777" w:rsidR="004A6BF1" w:rsidRPr="004A6BF1" w:rsidRDefault="004A6BF1" w:rsidP="00F47B0F">
      <w:pPr>
        <w:pStyle w:val="Heading3"/>
      </w:pPr>
      <w:bookmarkStart w:id="35" w:name="_Toc162960630"/>
      <w:r w:rsidRPr="004A6BF1">
        <w:t>Key Policy Drivers</w:t>
      </w:r>
      <w:bookmarkEnd w:id="35"/>
    </w:p>
    <w:p w14:paraId="1A8C5BEB" w14:textId="4A082BA0" w:rsidR="009042F4" w:rsidRDefault="004A6BF1" w:rsidP="004A6BF1">
      <w:r w:rsidRPr="004A6BF1">
        <w:fldChar w:fldCharType="begin" w:fldLock="1"/>
      </w:r>
      <w:r w:rsidRPr="004A6BF1">
        <w:instrText xml:space="preserve"> REF _Ref169160511 \h </w:instrText>
      </w:r>
      <w:r w:rsidRPr="004A6BF1">
        <w:fldChar w:fldCharType="separate"/>
      </w:r>
      <w:r w:rsidRPr="004A6BF1">
        <w:t xml:space="preserve">Figure </w:t>
      </w:r>
      <w:r w:rsidRPr="004A6BF1">
        <w:rPr>
          <w:noProof/>
        </w:rPr>
        <w:t>1</w:t>
      </w:r>
      <w:r w:rsidRPr="004A6BF1">
        <w:fldChar w:fldCharType="end"/>
      </w:r>
      <w:r w:rsidRPr="004A6BF1">
        <w:t xml:space="preserve"> below shows current key initiatives and policies related to the ECEC sector. </w:t>
      </w:r>
      <w:r w:rsidRPr="004A6BF1">
        <w:rPr>
          <w:i/>
          <w:iCs/>
        </w:rPr>
        <w:t>Shaping our Future</w:t>
      </w:r>
      <w:r w:rsidRPr="004A6BF1">
        <w:t xml:space="preserve"> is the existing workforce strategy for the sector, published in 2021. </w:t>
      </w:r>
      <w:r w:rsidRPr="004A6BF1">
        <w:rPr>
          <w:i/>
          <w:iCs/>
        </w:rPr>
        <w:t>The Early Years Strategy (2024-2034), Approved Learning Frameworks</w:t>
      </w:r>
      <w:r w:rsidRPr="004A6BF1">
        <w:t xml:space="preserve"> and </w:t>
      </w:r>
      <w:r w:rsidRPr="004A6BF1">
        <w:rPr>
          <w:i/>
          <w:iCs/>
        </w:rPr>
        <w:t>National Quality Framework</w:t>
      </w:r>
      <w:r w:rsidRPr="004A6BF1">
        <w:t xml:space="preserve"> (NQF) provide overall direction for the sector. Policy initiatives by federal, state and territory governments seek to expand access to ECEC, including for First Nations Children. Specific initiatives including the establishment of HumanAbility as the responsible Jobs and Skills Council, are increasing investment and capability in ECEC skills and workforce. Complementing this Study are inquiries by the ACCC and Productivity Commission. </w:t>
      </w:r>
    </w:p>
    <w:p w14:paraId="0DEFF7F5" w14:textId="2A38B47C" w:rsidR="004A6BF1" w:rsidRPr="004A6BF1" w:rsidRDefault="009042F4" w:rsidP="004A6BF1">
      <w:r>
        <w:br w:type="page"/>
      </w:r>
    </w:p>
    <w:tbl>
      <w:tblPr>
        <w:tblStyle w:val="BoxStyle"/>
        <w:tblW w:w="0" w:type="auto"/>
        <w:tblLook w:val="0620" w:firstRow="1" w:lastRow="0" w:firstColumn="0" w:lastColumn="0" w:noHBand="1" w:noVBand="1"/>
      </w:tblPr>
      <w:tblGrid>
        <w:gridCol w:w="9016"/>
      </w:tblGrid>
      <w:tr w:rsidR="004A6BF1" w:rsidRPr="004A6BF1" w14:paraId="500021DE" w14:textId="77777777" w:rsidTr="005D67F5">
        <w:tc>
          <w:tcPr>
            <w:tcW w:w="9016" w:type="dxa"/>
          </w:tcPr>
          <w:p w14:paraId="15AF0324" w14:textId="77777777" w:rsidR="004A6BF1" w:rsidRPr="004A6BF1" w:rsidRDefault="004A6BF1" w:rsidP="004A6BF1">
            <w:pPr>
              <w:spacing w:before="120" w:after="120"/>
              <w:rPr>
                <w:rFonts w:eastAsiaTheme="majorEastAsia" w:cstheme="majorBidi"/>
                <w:b/>
                <w:color w:val="441170" w:themeColor="text2"/>
                <w:sz w:val="32"/>
                <w:szCs w:val="24"/>
              </w:rPr>
            </w:pPr>
            <w:r w:rsidRPr="004A6BF1">
              <w:rPr>
                <w:rFonts w:eastAsiaTheme="majorEastAsia" w:cstheme="majorBidi"/>
                <w:b/>
                <w:color w:val="441170" w:themeColor="text2"/>
                <w:sz w:val="32"/>
                <w:szCs w:val="24"/>
              </w:rPr>
              <w:lastRenderedPageBreak/>
              <w:t>CASE STUDY – Singapore: A skills framework for the early childhood workforce</w:t>
            </w:r>
          </w:p>
          <w:p w14:paraId="76183B77" w14:textId="77777777" w:rsidR="004A6BF1" w:rsidRPr="004A6BF1" w:rsidRDefault="004A6BF1" w:rsidP="004A6BF1">
            <w:pPr>
              <w:spacing w:before="120" w:after="120"/>
            </w:pPr>
            <w:r w:rsidRPr="004A6BF1">
              <w:t>In 2021, following a review of the Skills Framework for Early Childhood Care and Education, the Singapore Government launched a refreshed framework. In the updated Skills Framework, career pathways and competencies are mapped out including new Educator roles such as Deputy Centre Leader and Curriculum/Pedagogy Specialist.  In addition to the career map, the framework includes information on emerging trends, in-demand skills and desired attributes to assist Educators, operators and training providers in targeting their management and development strategies. To complement the release of the Skills Framework, the Early Childhood Development Agency has developed the Continuing Professional Development (CPD) Roadmap and the Leadership Development Framework (LDF) and training roadmap.</w:t>
            </w:r>
          </w:p>
          <w:p w14:paraId="1AAE37B3" w14:textId="77777777" w:rsidR="004A6BF1" w:rsidRPr="004A6BF1" w:rsidRDefault="004A6BF1" w:rsidP="00887E52">
            <w:pPr>
              <w:pStyle w:val="Source"/>
            </w:pPr>
            <w:r w:rsidRPr="004A6BF1">
              <w:t>Sources:</w:t>
            </w:r>
          </w:p>
          <w:p w14:paraId="289B7E0F" w14:textId="77777777" w:rsidR="004A6BF1" w:rsidRPr="004A6BF1" w:rsidRDefault="004A6BF1" w:rsidP="004A6BF1">
            <w:pPr>
              <w:numPr>
                <w:ilvl w:val="0"/>
                <w:numId w:val="17"/>
              </w:numPr>
              <w:contextualSpacing/>
              <w:rPr>
                <w:sz w:val="18"/>
                <w:szCs w:val="18"/>
              </w:rPr>
            </w:pPr>
            <w:r w:rsidRPr="004A6BF1">
              <w:rPr>
                <w:sz w:val="18"/>
                <w:szCs w:val="18"/>
              </w:rPr>
              <w:t xml:space="preserve">Early Childhood Development Agency (n.d.), </w:t>
            </w:r>
            <w:r w:rsidRPr="004A6BF1">
              <w:rPr>
                <w:i/>
                <w:iCs/>
                <w:sz w:val="18"/>
                <w:szCs w:val="18"/>
              </w:rPr>
              <w:t xml:space="preserve">Skills Framework for Early Childhood, </w:t>
            </w:r>
            <w:r w:rsidRPr="004A6BF1">
              <w:rPr>
                <w:sz w:val="18"/>
                <w:szCs w:val="18"/>
              </w:rPr>
              <w:t xml:space="preserve">ECDA, </w:t>
            </w:r>
            <w:hyperlink r:id="rId38" w:anchor="careermap" w:history="1">
              <w:r w:rsidRPr="004A6BF1">
                <w:rPr>
                  <w:color w:val="215E9E" w:themeColor="hyperlink"/>
                  <w:sz w:val="18"/>
                  <w:szCs w:val="18"/>
                  <w:u w:val="single"/>
                </w:rPr>
                <w:t>https://www.ecda.gov.sg/early-childhood-educators-(ece)/careers-in-early-childhood-sector/skills-framework-for-early-childhood#careermap</w:t>
              </w:r>
            </w:hyperlink>
            <w:r w:rsidRPr="004A6BF1">
              <w:rPr>
                <w:sz w:val="18"/>
                <w:szCs w:val="18"/>
              </w:rPr>
              <w:t>.</w:t>
            </w:r>
          </w:p>
          <w:p w14:paraId="703FC97B" w14:textId="77777777" w:rsidR="004A6BF1" w:rsidRPr="004A6BF1" w:rsidRDefault="004A6BF1" w:rsidP="004A6BF1">
            <w:pPr>
              <w:numPr>
                <w:ilvl w:val="0"/>
                <w:numId w:val="17"/>
              </w:numPr>
              <w:contextualSpacing/>
              <w:rPr>
                <w:sz w:val="18"/>
                <w:szCs w:val="18"/>
              </w:rPr>
            </w:pPr>
            <w:r w:rsidRPr="004A6BF1">
              <w:rPr>
                <w:sz w:val="18"/>
                <w:szCs w:val="18"/>
              </w:rPr>
              <w:t xml:space="preserve">Singapore Ministry of Social and Family Development, (2021), </w:t>
            </w:r>
            <w:r w:rsidRPr="004A6BF1">
              <w:rPr>
                <w:i/>
                <w:iCs/>
                <w:sz w:val="18"/>
                <w:szCs w:val="18"/>
              </w:rPr>
              <w:t>New Initiatives to Support Children and Early Childhood Sector,</w:t>
            </w:r>
            <w:r w:rsidRPr="004A6BF1">
              <w:rPr>
                <w:sz w:val="18"/>
                <w:szCs w:val="18"/>
              </w:rPr>
              <w:t xml:space="preserve"> MSF, </w:t>
            </w:r>
            <w:hyperlink r:id="rId39" w:history="1">
              <w:r w:rsidRPr="004A6BF1">
                <w:rPr>
                  <w:color w:val="215E9E" w:themeColor="hyperlink"/>
                  <w:sz w:val="18"/>
                  <w:szCs w:val="18"/>
                  <w:u w:val="single"/>
                </w:rPr>
                <w:t>https://www.msf.gov.sg/media-room/article/new-initiatives-to-support-children-and-early-childhood-sector</w:t>
              </w:r>
            </w:hyperlink>
            <w:r w:rsidRPr="004A6BF1">
              <w:rPr>
                <w:sz w:val="18"/>
                <w:szCs w:val="18"/>
              </w:rPr>
              <w:t xml:space="preserve">. </w:t>
            </w:r>
          </w:p>
          <w:p w14:paraId="5A217130" w14:textId="77777777" w:rsidR="004A6BF1" w:rsidRPr="004A6BF1" w:rsidRDefault="004A6BF1" w:rsidP="004A6BF1">
            <w:pPr>
              <w:numPr>
                <w:ilvl w:val="0"/>
                <w:numId w:val="17"/>
              </w:numPr>
              <w:contextualSpacing/>
              <w:rPr>
                <w:sz w:val="18"/>
                <w:szCs w:val="18"/>
              </w:rPr>
            </w:pPr>
            <w:r w:rsidRPr="004A6BF1">
              <w:rPr>
                <w:sz w:val="18"/>
                <w:szCs w:val="18"/>
              </w:rPr>
              <w:t xml:space="preserve">Skills Future Singapore, (2022), </w:t>
            </w:r>
            <w:r w:rsidRPr="004A6BF1">
              <w:rPr>
                <w:i/>
                <w:iCs/>
                <w:sz w:val="18"/>
                <w:szCs w:val="18"/>
              </w:rPr>
              <w:t>Skills Framework for Early Childhood,</w:t>
            </w:r>
            <w:r w:rsidRPr="004A6BF1">
              <w:rPr>
                <w:sz w:val="18"/>
                <w:szCs w:val="18"/>
              </w:rPr>
              <w:t xml:space="preserve"> Early Childhood Development Agency (ECDA), </w:t>
            </w:r>
            <w:hyperlink r:id="rId40" w:history="1">
              <w:r w:rsidRPr="004A6BF1">
                <w:rPr>
                  <w:color w:val="215E9E" w:themeColor="hyperlink"/>
                  <w:sz w:val="18"/>
                  <w:szCs w:val="18"/>
                  <w:u w:val="single"/>
                </w:rPr>
                <w:t>https://www.ecda.gov.sg/docs/default-source/default-document-library/early-childhood-educator/skills-framework-for-early-childhood-(sfw-ec)-guidebook.pdf?sfvrsn=c2e14746_11</w:t>
              </w:r>
            </w:hyperlink>
            <w:r w:rsidRPr="004A6BF1">
              <w:rPr>
                <w:sz w:val="18"/>
                <w:szCs w:val="18"/>
              </w:rPr>
              <w:t>.</w:t>
            </w:r>
          </w:p>
        </w:tc>
      </w:tr>
    </w:tbl>
    <w:p w14:paraId="30201CEA" w14:textId="77777777" w:rsidR="004A6BF1" w:rsidRPr="004A6BF1" w:rsidRDefault="004A6BF1" w:rsidP="004A6BF1"/>
    <w:p w14:paraId="5B01F9A0" w14:textId="78BA9EBF" w:rsidR="004A6BF1" w:rsidRPr="004A6BF1" w:rsidRDefault="004A6BF1" w:rsidP="00887E52">
      <w:pPr>
        <w:pStyle w:val="Caption"/>
      </w:pPr>
      <w:bookmarkStart w:id="36" w:name="_Ref169160511"/>
      <w:r w:rsidRPr="004A6BF1">
        <w:lastRenderedPageBreak/>
        <w:t xml:space="preserve">Figure </w:t>
      </w:r>
      <w:bookmarkEnd w:id="36"/>
      <w:r w:rsidR="004351CB">
        <w:fldChar w:fldCharType="begin"/>
      </w:r>
      <w:r w:rsidR="004351CB">
        <w:instrText xml:space="preserve"> SEQ Figure \* ARABIC \r 1 </w:instrText>
      </w:r>
      <w:r w:rsidR="004351CB">
        <w:fldChar w:fldCharType="separate"/>
      </w:r>
      <w:r w:rsidR="005F18C1">
        <w:rPr>
          <w:noProof/>
        </w:rPr>
        <w:t>1</w:t>
      </w:r>
      <w:r w:rsidR="004351CB">
        <w:fldChar w:fldCharType="end"/>
      </w:r>
      <w:r w:rsidRPr="004A6BF1">
        <w:t xml:space="preserve"> Key policies and initiatives</w:t>
      </w:r>
    </w:p>
    <w:p w14:paraId="75D246F0" w14:textId="77777777" w:rsidR="004A6BF1" w:rsidRPr="004A6BF1" w:rsidRDefault="004A6BF1" w:rsidP="004A6BF1">
      <w:pPr>
        <w:keepNext/>
      </w:pPr>
      <w:r w:rsidRPr="004A6BF1">
        <w:rPr>
          <w:noProof/>
        </w:rPr>
        <w:drawing>
          <wp:inline distT="0" distB="0" distL="0" distR="0" wp14:anchorId="6F8D2F26" wp14:editId="439BC374">
            <wp:extent cx="5731510" cy="8282940"/>
            <wp:effectExtent l="0" t="0" r="21590" b="0"/>
            <wp:docPr id="1584240649" name="Diagram 1" descr="Shaping our Future:​&#10;&#10;A strategy to address the complex and longstanding workforce challenges experienced by the sector, including 21 actions for implementation by 2024, 2027 and 2031.​&#10;&#10;​&#10;&#10;The Early Years Strategy (2024-2034)​&#10;&#10;The strategy aims to improve wellbeing outcomes for children aged 0-5. It aims to provide culturally safe services ensuring connection to a child’s own culture, language, beliefs and identity are supported.​&#10;&#10;​&#10;&#10;Approved Learning Frameworks​&#10;&#10;1. Belonging, Being and Becoming: Early Years Learning Framework for Australia - guide to supporting and nurturing children's learning from 0-5 years. This includes supporting children in their transition to school.​&#10;&#10;2. My Time, Our Place: Framework for School Age Care in Australia - a learning framework for OSHC.​&#10;&#10;​&#10;&#10;National Quality Framework​&#10;&#10;The NQF provides a national approach to regulation, assessment and quality improvement for early childhood education and care and outside school hours care services across Australia.​&#10;&#10;​&#10;&#10;Universal access to preschool​&#10;&#10;The Australian Government funds the delivery of 15 hours of preschool a week – 600 hours a year – in the YBFS ​&#10;&#10;NSW, SA and VIC governments are committed to expanding access to 30 hours of preschool in the YBFS and support more 3-year-old children participating in preschool. Other state and territories are expected to make similar commitments. ​&#10;&#10;​&#10;&#10;Fee-free TAFE​&#10;&#10;The Australian government along with state and territory governments have agreed to accelerate the delivery of fee-free TAFE places, with 300,000 to be delivered in 2024. A portion of these places will go to ECEC students across Australia.​&#10;&#10;​&#10;&#10;Closing the Gap​&#10;&#10;In July 2020, the Coalition of Aboriginal and Torres Strait Islander Peak Organisations and all Australian Governments agreed a National Agreement on Closing the Gap.​&#10;&#10;ECEC was identified as a policy priority area with a strong community-controlled sector needed to deliver services and programs.​&#10;&#10;​&#10;&#10;Skills Package in the 2023-24 budget​&#10;&#10;$72.4 million funding boost to support more than 80,000 ECEC worker’s on-the-job training and upskilling for more complex and higher paying roles.​&#10;&#10;​&#10;&#10;Jobs and Skills Councils (HumanAbility)​&#10;&#10;Provide industry with a stronger, more strategic voice and promote participation in the VET sector (both industry and individual) to address workforce challenges.​&#10;&#10;​&#10;&#10;ACCC and PC reports​&#10;&#10;ACCC recently conducted an inquiry into the market for the supply of childcare services. The final report was released in January 2024, with interim reports in June and September 2023.​&#10;&#10;PC are undertaking an inquiry in the ECEC sector and considers the cost and availability barriers that affect access to services and ways to support better outcomes for children and families. A draft report was released in November 2023 with a final report expected to be delivered to Government in June 2024. ">
              <a:extLst xmlns:a="http://schemas.openxmlformats.org/drawingml/2006/main">
                <a:ext uri="{FF2B5EF4-FFF2-40B4-BE49-F238E27FC236}">
                  <a16:creationId xmlns:a16="http://schemas.microsoft.com/office/drawing/2014/main" id="{E7711CF0-242C-0231-50EF-46F4AD7C5A2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1EF860E5" w14:textId="77777777" w:rsidR="004A6BF1" w:rsidRPr="004A6BF1" w:rsidRDefault="004A6BF1" w:rsidP="004A6BF1">
      <w:pPr>
        <w:keepNext/>
        <w:spacing w:before="320" w:after="200" w:line="240" w:lineRule="auto"/>
        <w:rPr>
          <w:b/>
          <w:bCs/>
          <w:color w:val="auto"/>
          <w:sz w:val="18"/>
          <w:szCs w:val="18"/>
        </w:rPr>
        <w:sectPr w:rsidR="004A6BF1" w:rsidRPr="004A6BF1" w:rsidSect="00BF4130">
          <w:headerReference w:type="default" r:id="rId46"/>
          <w:footerReference w:type="default" r:id="rId47"/>
          <w:pgSz w:w="11906" w:h="16838"/>
          <w:pgMar w:top="1440" w:right="1440" w:bottom="1440" w:left="1440" w:header="708" w:footer="708" w:gutter="0"/>
          <w:cols w:space="708"/>
          <w:docGrid w:linePitch="360"/>
        </w:sectPr>
      </w:pPr>
    </w:p>
    <w:p w14:paraId="39AA06D6" w14:textId="77777777" w:rsidR="004A6BF1" w:rsidRPr="004A6BF1" w:rsidRDefault="004A6BF1" w:rsidP="00887E52">
      <w:pPr>
        <w:pStyle w:val="Source"/>
      </w:pPr>
      <w:r w:rsidRPr="004A6BF1">
        <w:lastRenderedPageBreak/>
        <w:t xml:space="preserve">Sources: </w:t>
      </w:r>
    </w:p>
    <w:p w14:paraId="4AD50AD2" w14:textId="77777777" w:rsidR="004A6BF1" w:rsidRPr="004A6BF1" w:rsidRDefault="004A6BF1" w:rsidP="004A6BF1">
      <w:pPr>
        <w:numPr>
          <w:ilvl w:val="0"/>
          <w:numId w:val="16"/>
        </w:numPr>
        <w:spacing w:after="0" w:line="240" w:lineRule="auto"/>
        <w:rPr>
          <w:bCs/>
          <w:sz w:val="18"/>
          <w:szCs w:val="18"/>
        </w:rPr>
      </w:pPr>
      <w:r w:rsidRPr="004A6BF1">
        <w:rPr>
          <w:bCs/>
          <w:sz w:val="18"/>
          <w:szCs w:val="18"/>
        </w:rPr>
        <w:t xml:space="preserve">Education Council </w:t>
      </w:r>
      <w:r w:rsidRPr="004A6BF1">
        <w:rPr>
          <w:bCs/>
          <w:i/>
          <w:iCs/>
          <w:sz w:val="18"/>
          <w:szCs w:val="18"/>
        </w:rPr>
        <w:t xml:space="preserve">(2021). </w:t>
      </w:r>
      <w:r w:rsidRPr="004A6BF1">
        <w:rPr>
          <w:i/>
          <w:iCs/>
          <w:sz w:val="20"/>
          <w:szCs w:val="20"/>
        </w:rPr>
        <w:t xml:space="preserve">National Children’s Education and Care Workforce Strategy </w:t>
      </w:r>
      <w:r w:rsidRPr="004A6BF1">
        <w:rPr>
          <w:bCs/>
          <w:i/>
          <w:iCs/>
          <w:sz w:val="18"/>
          <w:szCs w:val="18"/>
        </w:rPr>
        <w:t>Shaping Our Future.</w:t>
      </w:r>
    </w:p>
    <w:p w14:paraId="6A0CF447" w14:textId="77777777" w:rsidR="004A6BF1" w:rsidRPr="004A6BF1" w:rsidRDefault="004A6BF1" w:rsidP="004A6BF1">
      <w:pPr>
        <w:numPr>
          <w:ilvl w:val="0"/>
          <w:numId w:val="16"/>
        </w:numPr>
        <w:spacing w:after="0" w:line="264" w:lineRule="auto"/>
        <w:contextualSpacing/>
        <w:rPr>
          <w:rFonts w:cs="Arial"/>
          <w:color w:val="auto"/>
          <w:sz w:val="18"/>
          <w:szCs w:val="18"/>
          <w:u w:val="single"/>
        </w:rPr>
      </w:pPr>
      <w:r w:rsidRPr="004A6BF1">
        <w:rPr>
          <w:rFonts w:eastAsia="Times New Roman" w:cs="Arial"/>
          <w:sz w:val="18"/>
          <w:szCs w:val="18"/>
        </w:rPr>
        <w:t xml:space="preserve">Department of Social Services. (2023). </w:t>
      </w:r>
      <w:r w:rsidRPr="004A6BF1">
        <w:rPr>
          <w:rFonts w:eastAsia="Times New Roman" w:cs="Arial"/>
          <w:i/>
          <w:iCs/>
          <w:sz w:val="18"/>
          <w:szCs w:val="18"/>
        </w:rPr>
        <w:t>The Early Years Strategy 2024-2034</w:t>
      </w:r>
      <w:r w:rsidRPr="004A6BF1">
        <w:rPr>
          <w:rFonts w:eastAsia="Times New Roman" w:cs="Arial"/>
          <w:sz w:val="18"/>
          <w:szCs w:val="18"/>
        </w:rPr>
        <w:t>.</w:t>
      </w:r>
    </w:p>
    <w:p w14:paraId="0E042768" w14:textId="77777777" w:rsidR="004A6BF1" w:rsidRPr="004A6BF1" w:rsidRDefault="004A6BF1" w:rsidP="004A6BF1">
      <w:pPr>
        <w:numPr>
          <w:ilvl w:val="0"/>
          <w:numId w:val="16"/>
        </w:numPr>
        <w:spacing w:after="0" w:line="240" w:lineRule="auto"/>
        <w:rPr>
          <w:rFonts w:eastAsia="Times New Roman" w:cs="Arial"/>
          <w:i/>
          <w:iCs/>
          <w:sz w:val="18"/>
          <w:szCs w:val="18"/>
        </w:rPr>
      </w:pPr>
      <w:r w:rsidRPr="004A6BF1">
        <w:rPr>
          <w:rFonts w:eastAsia="Times New Roman" w:cs="Arial"/>
          <w:sz w:val="18"/>
          <w:szCs w:val="18"/>
        </w:rPr>
        <w:t xml:space="preserve">Australian Children’s Education and Care Quality Authority. (n.d). </w:t>
      </w:r>
      <w:r w:rsidRPr="004A6BF1">
        <w:rPr>
          <w:rFonts w:eastAsia="Times New Roman" w:cs="Arial"/>
          <w:i/>
          <w:iCs/>
          <w:sz w:val="18"/>
          <w:szCs w:val="18"/>
        </w:rPr>
        <w:t xml:space="preserve">Approved learning frameworks, </w:t>
      </w:r>
      <w:r w:rsidRPr="004A6BF1">
        <w:rPr>
          <w:rFonts w:eastAsia="Times New Roman" w:cs="Arial"/>
          <w:sz w:val="18"/>
          <w:szCs w:val="18"/>
        </w:rPr>
        <w:t>ACECQA. https://www.acecqa.gov.au/nqf/national-law-regulations/approved-learning-frameworks.</w:t>
      </w:r>
    </w:p>
    <w:p w14:paraId="50686B91" w14:textId="77777777" w:rsidR="004A6BF1" w:rsidRPr="004A6BF1" w:rsidRDefault="004A6BF1" w:rsidP="004A6BF1">
      <w:pPr>
        <w:numPr>
          <w:ilvl w:val="0"/>
          <w:numId w:val="16"/>
        </w:numPr>
        <w:spacing w:after="0" w:line="240" w:lineRule="auto"/>
        <w:rPr>
          <w:rFonts w:eastAsia="Times New Roman" w:cs="Arial"/>
          <w:i/>
          <w:iCs/>
          <w:sz w:val="18"/>
          <w:szCs w:val="18"/>
        </w:rPr>
      </w:pPr>
      <w:r w:rsidRPr="004A6BF1">
        <w:rPr>
          <w:rFonts w:eastAsia="Times New Roman" w:cs="Arial"/>
          <w:sz w:val="18"/>
          <w:szCs w:val="18"/>
        </w:rPr>
        <w:t xml:space="preserve">Australian Children’s Education and Care Quality Authority, (n.d), </w:t>
      </w:r>
      <w:r w:rsidRPr="004A6BF1">
        <w:rPr>
          <w:rFonts w:eastAsia="Times New Roman" w:cs="Arial"/>
          <w:i/>
          <w:iCs/>
          <w:sz w:val="18"/>
          <w:szCs w:val="18"/>
        </w:rPr>
        <w:t xml:space="preserve">What is the </w:t>
      </w:r>
      <w:proofErr w:type="gramStart"/>
      <w:r w:rsidRPr="004A6BF1">
        <w:rPr>
          <w:rFonts w:eastAsia="Times New Roman" w:cs="Arial"/>
          <w:i/>
          <w:iCs/>
          <w:sz w:val="18"/>
          <w:szCs w:val="18"/>
        </w:rPr>
        <w:t>NQF?</w:t>
      </w:r>
      <w:r w:rsidRPr="004A6BF1">
        <w:rPr>
          <w:rFonts w:eastAsia="Times New Roman" w:cs="Arial"/>
          <w:sz w:val="18"/>
          <w:szCs w:val="18"/>
        </w:rPr>
        <w:t>.</w:t>
      </w:r>
      <w:proofErr w:type="gramEnd"/>
      <w:r w:rsidRPr="004A6BF1">
        <w:rPr>
          <w:rFonts w:eastAsia="Times New Roman" w:cs="Arial"/>
          <w:sz w:val="18"/>
          <w:szCs w:val="18"/>
        </w:rPr>
        <w:t xml:space="preserve"> ACECQA.</w:t>
      </w:r>
    </w:p>
    <w:p w14:paraId="50F368A6" w14:textId="77777777" w:rsidR="004A6BF1" w:rsidRPr="004A6BF1" w:rsidRDefault="004A6BF1" w:rsidP="004A6BF1">
      <w:pPr>
        <w:numPr>
          <w:ilvl w:val="0"/>
          <w:numId w:val="16"/>
        </w:numPr>
        <w:spacing w:after="0" w:line="240" w:lineRule="auto"/>
        <w:rPr>
          <w:rFonts w:eastAsia="Times New Roman" w:cs="Arial"/>
          <w:i/>
          <w:iCs/>
          <w:sz w:val="18"/>
          <w:szCs w:val="18"/>
        </w:rPr>
      </w:pPr>
      <w:r w:rsidRPr="004A6BF1">
        <w:rPr>
          <w:rFonts w:eastAsia="Times New Roman" w:cs="Arial"/>
          <w:sz w:val="18"/>
          <w:szCs w:val="18"/>
        </w:rPr>
        <w:t xml:space="preserve">Australian Competition and Consumer Commission. (2024). </w:t>
      </w:r>
      <w:r w:rsidRPr="004A6BF1">
        <w:rPr>
          <w:rFonts w:eastAsia="Times New Roman" w:cs="Arial"/>
          <w:i/>
          <w:iCs/>
          <w:sz w:val="18"/>
          <w:szCs w:val="18"/>
        </w:rPr>
        <w:t>Childcare inquiry 2023: Final report</w:t>
      </w:r>
      <w:r w:rsidRPr="004A6BF1">
        <w:rPr>
          <w:rFonts w:eastAsia="Times New Roman" w:cs="Arial"/>
          <w:sz w:val="18"/>
          <w:szCs w:val="18"/>
        </w:rPr>
        <w:t xml:space="preserve">. </w:t>
      </w:r>
    </w:p>
    <w:p w14:paraId="25029361" w14:textId="77777777" w:rsidR="004A6BF1" w:rsidRPr="004A6BF1" w:rsidRDefault="004A6BF1" w:rsidP="004A6BF1">
      <w:pPr>
        <w:numPr>
          <w:ilvl w:val="0"/>
          <w:numId w:val="16"/>
        </w:numPr>
        <w:spacing w:after="0" w:line="240" w:lineRule="auto"/>
        <w:rPr>
          <w:sz w:val="18"/>
          <w:szCs w:val="18"/>
        </w:rPr>
      </w:pPr>
      <w:r w:rsidRPr="004A6BF1">
        <w:rPr>
          <w:bCs/>
          <w:sz w:val="18"/>
          <w:szCs w:val="18"/>
        </w:rPr>
        <w:t xml:space="preserve">National Careers Institute. (n.d.). </w:t>
      </w:r>
      <w:r w:rsidRPr="004A6BF1">
        <w:rPr>
          <w:bCs/>
          <w:i/>
          <w:iCs/>
          <w:sz w:val="18"/>
          <w:szCs w:val="18"/>
        </w:rPr>
        <w:t xml:space="preserve">Fee-Free TAFE - Frequently asked questions. </w:t>
      </w:r>
      <w:r w:rsidRPr="004A6BF1">
        <w:rPr>
          <w:bCs/>
          <w:sz w:val="18"/>
          <w:szCs w:val="18"/>
        </w:rPr>
        <w:t xml:space="preserve">Australian Government. </w:t>
      </w:r>
    </w:p>
    <w:p w14:paraId="6EDCB95E" w14:textId="77777777" w:rsidR="004A6BF1" w:rsidRPr="004A6BF1" w:rsidRDefault="004A6BF1" w:rsidP="004A6BF1">
      <w:pPr>
        <w:numPr>
          <w:ilvl w:val="0"/>
          <w:numId w:val="16"/>
        </w:numPr>
        <w:spacing w:after="0" w:line="264" w:lineRule="auto"/>
        <w:contextualSpacing/>
        <w:rPr>
          <w:rFonts w:eastAsia="Arial" w:cs="Arial"/>
          <w:color w:val="013D74"/>
          <w:sz w:val="18"/>
          <w:szCs w:val="18"/>
          <w:u w:val="single"/>
        </w:rPr>
      </w:pPr>
      <w:r w:rsidRPr="004A6BF1">
        <w:rPr>
          <w:rFonts w:eastAsia="Arial" w:cs="Arial"/>
          <w:sz w:val="18"/>
          <w:szCs w:val="18"/>
        </w:rPr>
        <w:t xml:space="preserve">Closing the Gap. </w:t>
      </w:r>
      <w:r w:rsidRPr="004A6BF1">
        <w:rPr>
          <w:rFonts w:eastAsia="Arial" w:cs="Arial"/>
          <w:i/>
          <w:iCs/>
          <w:sz w:val="18"/>
          <w:szCs w:val="18"/>
        </w:rPr>
        <w:t>National Agreement on Closing the Gap</w:t>
      </w:r>
      <w:r w:rsidRPr="004A6BF1">
        <w:rPr>
          <w:rFonts w:eastAsia="Arial" w:cs="Arial"/>
          <w:sz w:val="18"/>
          <w:szCs w:val="18"/>
        </w:rPr>
        <w:t xml:space="preserve">. Australian Government. (2020a). </w:t>
      </w:r>
    </w:p>
    <w:p w14:paraId="24C02FC7" w14:textId="77777777" w:rsidR="004A6BF1" w:rsidRPr="004A6BF1" w:rsidRDefault="004A6BF1" w:rsidP="004A6BF1">
      <w:pPr>
        <w:numPr>
          <w:ilvl w:val="0"/>
          <w:numId w:val="16"/>
        </w:numPr>
        <w:spacing w:after="0" w:line="240" w:lineRule="auto"/>
        <w:rPr>
          <w:sz w:val="18"/>
          <w:szCs w:val="18"/>
        </w:rPr>
      </w:pPr>
      <w:r w:rsidRPr="004A6BF1">
        <w:rPr>
          <w:sz w:val="18"/>
          <w:szCs w:val="18"/>
        </w:rPr>
        <w:t xml:space="preserve">Department of Education, Australian Government. (2023). </w:t>
      </w:r>
      <w:r w:rsidRPr="004A6BF1">
        <w:rPr>
          <w:i/>
          <w:iCs/>
          <w:sz w:val="18"/>
          <w:szCs w:val="18"/>
        </w:rPr>
        <w:t>2023-24 Budget</w:t>
      </w:r>
      <w:r w:rsidRPr="004A6BF1">
        <w:rPr>
          <w:sz w:val="18"/>
          <w:szCs w:val="18"/>
        </w:rPr>
        <w:t>.</w:t>
      </w:r>
    </w:p>
    <w:p w14:paraId="7BF5BD08" w14:textId="77777777" w:rsidR="004A6BF1" w:rsidRPr="004A6BF1" w:rsidRDefault="004A6BF1" w:rsidP="004A6BF1">
      <w:pPr>
        <w:numPr>
          <w:ilvl w:val="0"/>
          <w:numId w:val="16"/>
        </w:numPr>
        <w:spacing w:after="0" w:line="240" w:lineRule="auto"/>
        <w:rPr>
          <w:sz w:val="18"/>
          <w:szCs w:val="18"/>
        </w:rPr>
      </w:pPr>
      <w:r w:rsidRPr="004A6BF1">
        <w:rPr>
          <w:sz w:val="18"/>
          <w:szCs w:val="18"/>
        </w:rPr>
        <w:t xml:space="preserve">HumanAbility. (2023). </w:t>
      </w:r>
      <w:r w:rsidRPr="004A6BF1">
        <w:rPr>
          <w:i/>
          <w:iCs/>
          <w:sz w:val="18"/>
          <w:szCs w:val="18"/>
        </w:rPr>
        <w:t>About us</w:t>
      </w:r>
      <w:r w:rsidRPr="004A6BF1">
        <w:rPr>
          <w:sz w:val="18"/>
          <w:szCs w:val="18"/>
        </w:rPr>
        <w:t>.</w:t>
      </w:r>
    </w:p>
    <w:p w14:paraId="1D61D0A6" w14:textId="77777777" w:rsidR="004A6BF1" w:rsidRPr="004A6BF1" w:rsidRDefault="004A6BF1" w:rsidP="004A6BF1">
      <w:pPr>
        <w:numPr>
          <w:ilvl w:val="0"/>
          <w:numId w:val="16"/>
        </w:numPr>
        <w:spacing w:after="0" w:line="240" w:lineRule="auto"/>
        <w:rPr>
          <w:sz w:val="18"/>
          <w:szCs w:val="18"/>
        </w:rPr>
      </w:pPr>
      <w:r w:rsidRPr="004A6BF1">
        <w:rPr>
          <w:sz w:val="18"/>
          <w:szCs w:val="18"/>
        </w:rPr>
        <w:t xml:space="preserve">Australian Competition and Consumer Commission. (2023d). </w:t>
      </w:r>
      <w:r w:rsidRPr="004A6BF1">
        <w:rPr>
          <w:i/>
          <w:iCs/>
          <w:sz w:val="18"/>
          <w:szCs w:val="18"/>
        </w:rPr>
        <w:t>Childcare inquiry</w:t>
      </w:r>
    </w:p>
    <w:p w14:paraId="4C8E23C8" w14:textId="77777777" w:rsidR="004A6BF1" w:rsidRPr="004A6BF1" w:rsidRDefault="004A6BF1" w:rsidP="004A6BF1">
      <w:pPr>
        <w:numPr>
          <w:ilvl w:val="0"/>
          <w:numId w:val="16"/>
        </w:numPr>
        <w:spacing w:after="0" w:line="240" w:lineRule="auto"/>
        <w:rPr>
          <w:sz w:val="18"/>
          <w:szCs w:val="18"/>
        </w:rPr>
      </w:pPr>
      <w:r w:rsidRPr="004A6BF1">
        <w:rPr>
          <w:sz w:val="18"/>
          <w:szCs w:val="18"/>
        </w:rPr>
        <w:t xml:space="preserve">Productivity Commission. (n.d.). </w:t>
      </w:r>
      <w:r w:rsidRPr="004A6BF1">
        <w:rPr>
          <w:i/>
          <w:iCs/>
          <w:sz w:val="18"/>
          <w:szCs w:val="18"/>
        </w:rPr>
        <w:t>Early childhood education and care.</w:t>
      </w:r>
    </w:p>
    <w:p w14:paraId="03FF8155" w14:textId="77777777" w:rsidR="004A6BF1" w:rsidRPr="004A6BF1" w:rsidRDefault="004A6BF1" w:rsidP="00F47B0F">
      <w:pPr>
        <w:pStyle w:val="Heading2"/>
      </w:pPr>
      <w:bookmarkStart w:id="37" w:name="_Toc174363694"/>
      <w:r w:rsidRPr="004A6BF1">
        <w:t>Engaging with the Sector</w:t>
      </w:r>
      <w:bookmarkEnd w:id="37"/>
    </w:p>
    <w:p w14:paraId="7C114CE7" w14:textId="77777777" w:rsidR="004A6BF1" w:rsidRPr="004A6BF1" w:rsidRDefault="004A6BF1" w:rsidP="004A6BF1">
      <w:pPr>
        <w:rPr>
          <w:rFonts w:cs="Arial"/>
          <w:highlight w:val="yellow"/>
        </w:rPr>
      </w:pPr>
      <w:r w:rsidRPr="004A6BF1">
        <w:rPr>
          <w:rFonts w:cs="Arial"/>
        </w:rPr>
        <w:t xml:space="preserve">JSA, in partnership with HumanAbility, committed to working with ECEC stakeholders to help inform the Study. Key activities undertaken are outlined in </w:t>
      </w:r>
      <w:r w:rsidRPr="004A6BF1">
        <w:rPr>
          <w:rFonts w:cs="Arial"/>
        </w:rPr>
        <w:fldChar w:fldCharType="begin" w:fldLock="1"/>
      </w:r>
      <w:r w:rsidRPr="004A6BF1">
        <w:rPr>
          <w:rFonts w:cs="Arial"/>
        </w:rPr>
        <w:instrText xml:space="preserve"> REF _Ref169160551 \h </w:instrText>
      </w:r>
      <w:r w:rsidRPr="004A6BF1">
        <w:rPr>
          <w:rFonts w:cs="Arial"/>
        </w:rPr>
      </w:r>
      <w:r w:rsidRPr="004A6BF1">
        <w:rPr>
          <w:rFonts w:cs="Arial"/>
        </w:rPr>
        <w:fldChar w:fldCharType="separate"/>
      </w:r>
      <w:r w:rsidRPr="004A6BF1">
        <w:t xml:space="preserve">Figure </w:t>
      </w:r>
      <w:r w:rsidRPr="004A6BF1">
        <w:rPr>
          <w:noProof/>
        </w:rPr>
        <w:t>2</w:t>
      </w:r>
      <w:r w:rsidRPr="004A6BF1">
        <w:rPr>
          <w:rFonts w:cs="Arial"/>
        </w:rPr>
        <w:fldChar w:fldCharType="end"/>
      </w:r>
      <w:r w:rsidRPr="004A6BF1">
        <w:rPr>
          <w:rFonts w:cs="Arial"/>
        </w:rPr>
        <w:t xml:space="preserve"> below, with further account of activities in the report’s Appendix 2.</w:t>
      </w:r>
    </w:p>
    <w:p w14:paraId="3EC02E82" w14:textId="39F137D2" w:rsidR="004A6BF1" w:rsidRPr="004A6BF1" w:rsidRDefault="004A6BF1" w:rsidP="00887E52">
      <w:pPr>
        <w:pStyle w:val="Caption"/>
      </w:pPr>
      <w:bookmarkStart w:id="38" w:name="_Ref169160551"/>
      <w:r w:rsidRPr="004A6BF1">
        <w:t xml:space="preserve">Figure </w:t>
      </w:r>
      <w:r w:rsidRPr="004A6BF1">
        <w:fldChar w:fldCharType="begin"/>
      </w:r>
      <w:r w:rsidRPr="004A6BF1">
        <w:instrText xml:space="preserve"> SEQ Figure \* ARABIC </w:instrText>
      </w:r>
      <w:r w:rsidRPr="004A6BF1">
        <w:fldChar w:fldCharType="separate"/>
      </w:r>
      <w:r w:rsidR="005F18C1">
        <w:rPr>
          <w:noProof/>
        </w:rPr>
        <w:t>2</w:t>
      </w:r>
      <w:r w:rsidRPr="004A6BF1">
        <w:rPr>
          <w:noProof/>
        </w:rPr>
        <w:fldChar w:fldCharType="end"/>
      </w:r>
      <w:bookmarkEnd w:id="38"/>
      <w:r w:rsidRPr="004A6BF1">
        <w:t xml:space="preserve"> Timeline of the Study's events</w:t>
      </w:r>
    </w:p>
    <w:p w14:paraId="6DC4FCFA" w14:textId="77777777" w:rsidR="004A6BF1" w:rsidRPr="004A6BF1" w:rsidRDefault="004A6BF1" w:rsidP="004A6BF1">
      <w:pPr>
        <w:rPr>
          <w:rFonts w:eastAsiaTheme="majorEastAsia" w:cstheme="majorBidi"/>
          <w:b/>
          <w:sz w:val="44"/>
          <w:szCs w:val="26"/>
        </w:rPr>
      </w:pPr>
      <w:r w:rsidRPr="004A6BF1">
        <w:rPr>
          <w:rFonts w:eastAsiaTheme="majorEastAsia" w:cstheme="majorBidi"/>
          <w:b/>
          <w:noProof/>
          <w:sz w:val="44"/>
          <w:szCs w:val="26"/>
        </w:rPr>
        <w:drawing>
          <wp:inline distT="0" distB="0" distL="0" distR="0" wp14:anchorId="15D71D42" wp14:editId="36DBF133">
            <wp:extent cx="5731200" cy="2656800"/>
            <wp:effectExtent l="0" t="0" r="3175" b="0"/>
            <wp:docPr id="1563007380" name="Picture 1" descr="October 2023​&#10;&#10;Draft Terms of Reference (ToR) opened for public consultation.​&#10;&#10;​&#10;&#10;November 2023​&#10;&#10;Consultation paper published inviting public submissions until 30 Jan 2024.​&#10;&#10;​&#10;&#10;December 2023​&#10;&#10;First steering group meeting held.​&#10;&#10;​&#10;&#10;January 2024​&#10;&#10;Consultation paper closed to public.​&#10;&#10;​&#10;&#10;February 2024​&#10;&#10;Second steering group meeting held. ​&#10;&#10;Final ToR published.​&#10;&#10;​&#10;&#10;March 2024​&#10;&#10;Deep dive topic sessions (roundtables) held.​&#10;&#10;Third steering group meeting held.​&#10;&#10;​&#10;&#10;April 2024​&#10;&#10;Fourth steering group meeting held.​&#10;&#10;Initial findings feedback sessions held.​&#10;&#10;​&#10;&#10;May 2024​&#10;&#10;Final steering group meeting h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007380" name="Picture 1" descr="October 2023​&#10;&#10;Draft Terms of Reference (ToR) opened for public consultation.​&#10;&#10;​&#10;&#10;November 2023​&#10;&#10;Consultation paper published inviting public submissions until 30 Jan 2024.​&#10;&#10;​&#10;&#10;December 2023​&#10;&#10;First steering group meeting held.​&#10;&#10;​&#10;&#10;January 2024​&#10;&#10;Consultation paper closed to public.​&#10;&#10;​&#10;&#10;February 2024​&#10;&#10;Second steering group meeting held. ​&#10;&#10;Final ToR published.​&#10;&#10;​&#10;&#10;March 2024​&#10;&#10;Deep dive topic sessions (roundtables) held.​&#10;&#10;Third steering group meeting held.​&#10;&#10;​&#10;&#10;April 2024​&#10;&#10;Fourth steering group meeting held.​&#10;&#10;Initial findings feedback sessions held.​&#10;&#10;​&#10;&#10;May 2024​&#10;&#10;Final steering group meeting held.​"/>
                    <pic:cNvPicPr/>
                  </pic:nvPicPr>
                  <pic:blipFill>
                    <a:blip r:embed="rId48"/>
                    <a:stretch>
                      <a:fillRect/>
                    </a:stretch>
                  </pic:blipFill>
                  <pic:spPr>
                    <a:xfrm>
                      <a:off x="0" y="0"/>
                      <a:ext cx="5731200" cy="2656800"/>
                    </a:xfrm>
                    <a:prstGeom prst="rect">
                      <a:avLst/>
                    </a:prstGeom>
                  </pic:spPr>
                </pic:pic>
              </a:graphicData>
            </a:graphic>
          </wp:inline>
        </w:drawing>
      </w:r>
    </w:p>
    <w:p w14:paraId="3929F529" w14:textId="77777777" w:rsidR="004A6BF1" w:rsidRPr="004A6BF1" w:rsidRDefault="004A6BF1" w:rsidP="004A6BF1">
      <w:pPr>
        <w:spacing w:before="100" w:beforeAutospacing="1" w:after="100" w:afterAutospacing="1" w:line="240" w:lineRule="auto"/>
        <w:rPr>
          <w:rFonts w:eastAsiaTheme="majorEastAsia" w:cstheme="majorBidi"/>
          <w:b/>
          <w:sz w:val="44"/>
          <w:szCs w:val="26"/>
          <w:lang w:eastAsia="en-AU"/>
        </w:rPr>
      </w:pPr>
      <w:r w:rsidRPr="004A6BF1">
        <w:rPr>
          <w:rFonts w:eastAsiaTheme="majorEastAsia" w:cstheme="majorBidi"/>
          <w:b/>
          <w:sz w:val="44"/>
          <w:szCs w:val="26"/>
          <w:lang w:eastAsia="en-AU"/>
        </w:rPr>
        <w:br w:type="page"/>
      </w:r>
    </w:p>
    <w:p w14:paraId="19AF06EE" w14:textId="77777777" w:rsidR="004A6BF1" w:rsidRPr="004A6BF1" w:rsidRDefault="004A6BF1" w:rsidP="00F47B0F">
      <w:pPr>
        <w:pStyle w:val="Heading2"/>
      </w:pPr>
      <w:bookmarkStart w:id="39" w:name="_Toc174363695"/>
      <w:r w:rsidRPr="004A6BF1">
        <w:lastRenderedPageBreak/>
        <w:t>Structure of the Report</w:t>
      </w:r>
      <w:bookmarkEnd w:id="39"/>
      <w:r w:rsidRPr="004A6BF1">
        <w:t> </w:t>
      </w:r>
    </w:p>
    <w:p w14:paraId="6AA9948D" w14:textId="77777777" w:rsidR="004A6BF1" w:rsidRPr="004A6BF1" w:rsidRDefault="004A6BF1" w:rsidP="004A6BF1">
      <w:pPr>
        <w:rPr>
          <w:rFonts w:cs="Arial"/>
        </w:rPr>
      </w:pPr>
      <w:r w:rsidRPr="004A6BF1">
        <w:rPr>
          <w:rFonts w:cs="Arial"/>
        </w:rPr>
        <w:t>The Study report summarises the current state of the ECEC workforce, identifies key issues and findings, and offers policy recommendations developed through in-depth analysis and extensive consultations. The report is organised into six chapters. The first three provide contextual information on the ECEC workforce and sector, chapter 4 describes modelling results, while chapters 5 and 6 provides findings and contextualised recommendations for consideration to help support ECEC workforce planning for the next 10 years.</w:t>
      </w:r>
    </w:p>
    <w:p w14:paraId="06B4D8FE" w14:textId="77777777" w:rsidR="004A6BF1" w:rsidRPr="004A6BF1" w:rsidRDefault="004A6BF1" w:rsidP="004A6BF1">
      <w:pPr>
        <w:ind w:left="720"/>
        <w:rPr>
          <w:rFonts w:cs="Arial"/>
          <w:i/>
          <w:iCs/>
        </w:rPr>
      </w:pPr>
      <w:r w:rsidRPr="004A6BF1">
        <w:rPr>
          <w:rFonts w:cs="Arial"/>
          <w:b/>
          <w:bCs/>
        </w:rPr>
        <w:t>Chapter 1: ECEC System and Structure.</w:t>
      </w:r>
      <w:r w:rsidRPr="004A6BF1">
        <w:rPr>
          <w:rFonts w:cs="Arial"/>
        </w:rPr>
        <w:t xml:space="preserve"> </w:t>
      </w:r>
      <w:r w:rsidRPr="004A6BF1">
        <w:rPr>
          <w:rFonts w:cs="Arial"/>
          <w:i/>
          <w:iCs/>
        </w:rPr>
        <w:t xml:space="preserve">Details the ECEC sector including the types of services and the regulations in which these services operate under, market structure and the demand for these services.  </w:t>
      </w:r>
    </w:p>
    <w:p w14:paraId="62F52DBC" w14:textId="77777777" w:rsidR="004A6BF1" w:rsidRPr="004A6BF1" w:rsidRDefault="004A6BF1" w:rsidP="004A6BF1">
      <w:pPr>
        <w:ind w:left="720"/>
        <w:rPr>
          <w:rFonts w:cs="Arial"/>
        </w:rPr>
      </w:pPr>
      <w:r w:rsidRPr="004A6BF1">
        <w:rPr>
          <w:rFonts w:cs="Arial"/>
          <w:b/>
          <w:bCs/>
        </w:rPr>
        <w:t>Chapter 2: ECEC Workforce Composition, Conditions and Characteristics.</w:t>
      </w:r>
      <w:r w:rsidRPr="004A6BF1">
        <w:rPr>
          <w:rFonts w:cs="Arial"/>
        </w:rPr>
        <w:t xml:space="preserve"> </w:t>
      </w:r>
      <w:r w:rsidRPr="004A6BF1">
        <w:rPr>
          <w:rFonts w:cs="Arial"/>
          <w:i/>
          <w:iCs/>
        </w:rPr>
        <w:t>Explores the size and composition of the ECEC workforce. This includes information on demographic, geographic and employment characteristics.</w:t>
      </w:r>
      <w:r w:rsidRPr="004A6BF1">
        <w:rPr>
          <w:rFonts w:cs="Arial"/>
        </w:rPr>
        <w:t xml:space="preserve">  </w:t>
      </w:r>
    </w:p>
    <w:p w14:paraId="72E87E9A" w14:textId="77777777" w:rsidR="004A6BF1" w:rsidRPr="004A6BF1" w:rsidRDefault="004A6BF1" w:rsidP="004A6BF1">
      <w:pPr>
        <w:ind w:left="720"/>
        <w:rPr>
          <w:rFonts w:cs="Arial"/>
          <w:i/>
          <w:iCs/>
        </w:rPr>
      </w:pPr>
      <w:r w:rsidRPr="004A6BF1">
        <w:rPr>
          <w:rFonts w:cs="Arial"/>
          <w:b/>
          <w:bCs/>
        </w:rPr>
        <w:t>Chapter 3: ECEC Education and Training Pathways and Pipelines.</w:t>
      </w:r>
      <w:r w:rsidRPr="004A6BF1">
        <w:rPr>
          <w:rFonts w:cs="Arial"/>
        </w:rPr>
        <w:t xml:space="preserve"> </w:t>
      </w:r>
      <w:r w:rsidRPr="004A6BF1">
        <w:rPr>
          <w:rFonts w:cs="Arial"/>
          <w:i/>
          <w:iCs/>
        </w:rPr>
        <w:t>Details the pathways into ECEC roles from VET and higher education.</w:t>
      </w:r>
    </w:p>
    <w:p w14:paraId="5C4DDD12" w14:textId="77777777" w:rsidR="004A6BF1" w:rsidRPr="004A6BF1" w:rsidRDefault="004A6BF1" w:rsidP="004A6BF1">
      <w:pPr>
        <w:ind w:left="720"/>
        <w:rPr>
          <w:rFonts w:cs="Arial"/>
          <w:i/>
          <w:iCs/>
        </w:rPr>
      </w:pPr>
      <w:r w:rsidRPr="004A6BF1">
        <w:rPr>
          <w:rFonts w:cs="Arial"/>
          <w:b/>
          <w:bCs/>
        </w:rPr>
        <w:t>Chapter 4: Future States.</w:t>
      </w:r>
      <w:r w:rsidRPr="004A6BF1">
        <w:rPr>
          <w:rFonts w:cs="Arial"/>
        </w:rPr>
        <w:t xml:space="preserve"> </w:t>
      </w:r>
      <w:r w:rsidRPr="004A6BF1">
        <w:rPr>
          <w:rFonts w:cs="Arial"/>
          <w:i/>
          <w:iCs/>
        </w:rPr>
        <w:t xml:space="preserve">Discusses modelling results and their implications for the ECEC sector. </w:t>
      </w:r>
    </w:p>
    <w:p w14:paraId="3226D095" w14:textId="77777777" w:rsidR="004A6BF1" w:rsidRPr="004A6BF1" w:rsidRDefault="004A6BF1" w:rsidP="004A6BF1">
      <w:pPr>
        <w:ind w:left="720"/>
        <w:rPr>
          <w:rFonts w:cs="Arial"/>
          <w:i/>
          <w:iCs/>
        </w:rPr>
      </w:pPr>
      <w:r w:rsidRPr="004A6BF1">
        <w:rPr>
          <w:rFonts w:cs="Arial"/>
          <w:b/>
          <w:bCs/>
        </w:rPr>
        <w:t>Chapter 5: Sustainable and Ongoing Learning and Development.</w:t>
      </w:r>
      <w:r w:rsidRPr="004A6BF1">
        <w:rPr>
          <w:rFonts w:cs="Arial"/>
        </w:rPr>
        <w:t xml:space="preserve"> </w:t>
      </w:r>
      <w:r w:rsidRPr="004A6BF1">
        <w:rPr>
          <w:rFonts w:cs="Arial"/>
          <w:i/>
          <w:iCs/>
        </w:rPr>
        <w:t>Explores opportunities to address education and training challenges. This includes continuing professional development following formal qualifications in VET and higher education.</w:t>
      </w:r>
    </w:p>
    <w:p w14:paraId="161CC431" w14:textId="77777777" w:rsidR="004A6BF1" w:rsidRPr="004A6BF1" w:rsidRDefault="004A6BF1" w:rsidP="004A6BF1">
      <w:pPr>
        <w:ind w:left="720"/>
      </w:pPr>
      <w:r w:rsidRPr="004A6BF1">
        <w:rPr>
          <w:rFonts w:cs="Arial"/>
          <w:b/>
          <w:bCs/>
        </w:rPr>
        <w:t>Chapter 6: Strong Foundations for Early Childhood Careers.</w:t>
      </w:r>
      <w:r w:rsidRPr="004A6BF1">
        <w:rPr>
          <w:rFonts w:cs="Arial"/>
        </w:rPr>
        <w:t xml:space="preserve"> </w:t>
      </w:r>
      <w:r w:rsidRPr="004A6BF1">
        <w:rPr>
          <w:rFonts w:cs="Arial"/>
          <w:i/>
          <w:iCs/>
        </w:rPr>
        <w:t>Explores motivations for ECEC careers and opportunities to address challenges in this space. This includes employment conditions, including wages, working hours and travel time, and career progression, job satisfaction and community values.</w:t>
      </w:r>
    </w:p>
    <w:p w14:paraId="0DBFC241" w14:textId="77777777" w:rsidR="004A6BF1" w:rsidRDefault="004A6BF1" w:rsidP="00C17D9C">
      <w:pPr>
        <w:sectPr w:rsidR="004A6BF1" w:rsidSect="00A2332E">
          <w:footerReference w:type="default" r:id="rId49"/>
          <w:pgSz w:w="11906" w:h="16838"/>
          <w:pgMar w:top="1440" w:right="1440" w:bottom="1440" w:left="1440" w:header="0" w:footer="709" w:gutter="0"/>
          <w:cols w:space="708"/>
          <w:docGrid w:linePitch="360"/>
        </w:sectPr>
      </w:pPr>
    </w:p>
    <w:p w14:paraId="211570D8" w14:textId="77777777" w:rsidR="00BC3D30" w:rsidRPr="006A7A8A" w:rsidRDefault="00BC3D30" w:rsidP="00F47B0F">
      <w:pPr>
        <w:pStyle w:val="Heading1"/>
        <w:rPr>
          <w:b w:val="0"/>
        </w:rPr>
      </w:pPr>
      <w:bookmarkStart w:id="40" w:name="_Toc146210834"/>
      <w:bookmarkStart w:id="41" w:name="_Toc146892664"/>
      <w:bookmarkStart w:id="42" w:name="_Toc174363696"/>
      <w:r>
        <w:rPr>
          <w:noProof/>
        </w:rPr>
        <w:lastRenderedPageBreak/>
        <w:drawing>
          <wp:anchor distT="0" distB="0" distL="114300" distR="114300" simplePos="0" relativeHeight="251677699" behindDoc="0" locked="0" layoutInCell="1" allowOverlap="1" wp14:anchorId="6F898683" wp14:editId="09FA4FCC">
            <wp:simplePos x="0" y="0"/>
            <wp:positionH relativeFrom="page">
              <wp:align>left</wp:align>
            </wp:positionH>
            <wp:positionV relativeFrom="page">
              <wp:align>top</wp:align>
            </wp:positionV>
            <wp:extent cx="7560000" cy="10692000"/>
            <wp:effectExtent l="0" t="0" r="3175" b="0"/>
            <wp:wrapNone/>
            <wp:docPr id="158704858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048581" name="Picture 1">
                      <a:extLst>
                        <a:ext uri="{C183D7F6-B498-43B3-948B-1728B52AA6E4}">
                          <adec:decorative xmlns:adec="http://schemas.microsoft.com/office/drawing/2017/decorative" val="1"/>
                        </a:ext>
                      </a:extLst>
                    </pic:cNvPr>
                    <pic:cNvPicPr/>
                  </pic:nvPicPr>
                  <pic:blipFill>
                    <a:blip r:embed="rId50">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r w:rsidRPr="006A7A8A">
        <w:t xml:space="preserve">Chapter </w:t>
      </w:r>
      <w:bookmarkEnd w:id="40"/>
      <w:bookmarkEnd w:id="41"/>
      <w:r w:rsidRPr="006A7A8A">
        <w:t>1:</w:t>
      </w:r>
      <w:r>
        <w:t xml:space="preserve"> System and Structure</w:t>
      </w:r>
      <w:bookmarkEnd w:id="42"/>
    </w:p>
    <w:p w14:paraId="4E96D2BA" w14:textId="77777777" w:rsidR="00BC3D30" w:rsidRPr="00E5087D" w:rsidRDefault="00BC3D30" w:rsidP="00BC3D30">
      <w:pPr>
        <w:ind w:left="283" w:right="283"/>
        <w:rPr>
          <w:sz w:val="18"/>
          <w:szCs w:val="18"/>
        </w:rPr>
      </w:pPr>
      <w:r w:rsidRPr="00E5087D">
        <w:rPr>
          <w:sz w:val="18"/>
          <w:szCs w:val="18"/>
        </w:rPr>
        <w:br w:type="page"/>
      </w:r>
    </w:p>
    <w:p w14:paraId="0B1F159F" w14:textId="77777777" w:rsidR="00BC3D30" w:rsidRDefault="00BC3D30" w:rsidP="00F47B0F">
      <w:pPr>
        <w:pStyle w:val="Heading2"/>
      </w:pPr>
      <w:bookmarkStart w:id="43" w:name="_Toc174363697"/>
      <w:r>
        <w:lastRenderedPageBreak/>
        <w:t>Introduction</w:t>
      </w:r>
      <w:bookmarkEnd w:id="43"/>
    </w:p>
    <w:p w14:paraId="428D2564" w14:textId="77777777" w:rsidR="00BC3D30" w:rsidRDefault="00BC3D30" w:rsidP="00BC3D30">
      <w:r>
        <w:t xml:space="preserve">ECEC is embedded within our social and economic structures across Australia. Most families with young children will have some interaction with at least one service type. This chapter presents the scale of ECEC activity across geographical areas and various service types, including for First Nations families, children with specialised needs, and a variety of family socio-economic characteristics. It also explores how ECEC is delivered and regulated, covering topics including: </w:t>
      </w:r>
    </w:p>
    <w:p w14:paraId="3BE042BF" w14:textId="77777777" w:rsidR="00BC3D30" w:rsidRDefault="00BC3D30" w:rsidP="00BC3D30">
      <w:pPr>
        <w:pStyle w:val="ListBullet"/>
      </w:pPr>
      <w:r>
        <w:t>Systems overview, including ECEC Service types</w:t>
      </w:r>
    </w:p>
    <w:p w14:paraId="256D75ED" w14:textId="77777777" w:rsidR="00BC3D30" w:rsidRDefault="00BC3D30" w:rsidP="00BC3D30">
      <w:pPr>
        <w:pStyle w:val="ListBullet"/>
      </w:pPr>
      <w:r>
        <w:t>Regulatory arrangement</w:t>
      </w:r>
    </w:p>
    <w:p w14:paraId="7351C515" w14:textId="77777777" w:rsidR="00BC3D30" w:rsidRDefault="00BC3D30" w:rsidP="00BC3D30">
      <w:pPr>
        <w:pStyle w:val="ListBullet"/>
      </w:pPr>
      <w:r>
        <w:t xml:space="preserve">Provision of ECEC Services, including growth in the sector, drivers of availability and organisations delivering ECEC </w:t>
      </w:r>
    </w:p>
    <w:p w14:paraId="2302BB7B" w14:textId="77777777" w:rsidR="00BC3D30" w:rsidRDefault="00BC3D30" w:rsidP="00BC3D30">
      <w:pPr>
        <w:pStyle w:val="ListBullet"/>
      </w:pPr>
      <w:r>
        <w:t>Consideration of capacity constraints and unmet demand</w:t>
      </w:r>
    </w:p>
    <w:p w14:paraId="3ADF131C" w14:textId="77777777" w:rsidR="00BC3D30" w:rsidRDefault="00BC3D30" w:rsidP="00BC3D30">
      <w:r>
        <w:t>These aspects have significant implications for the workforce, as we assess in the following chapters.</w:t>
      </w:r>
    </w:p>
    <w:p w14:paraId="1AECE035" w14:textId="77777777" w:rsidR="00BC3D30" w:rsidRDefault="00BC3D30" w:rsidP="00BC3D30">
      <w:r>
        <w:t>Analysis presented throughout this section focuses predominantly on CBDC and OSHC, for which the data is sufficiently detailed and robust to allow for a detailed examination of service usage and provision.</w:t>
      </w:r>
      <w:r>
        <w:rPr>
          <w:rStyle w:val="FootnoteReference"/>
        </w:rPr>
        <w:footnoteReference w:id="10"/>
      </w:r>
      <w:r>
        <w:t xml:space="preserve"> The work draws heavily on Department of Education administrative data, including the Child Care Subsidy (CCS) data and National Workforce Census (NWC), as well as high-level data compiled by ACECQA. This largely precludes analysis of children in preschool programs, or standalone preschools, which do not attract CCS funding and are administered separately by state and territory governments. </w:t>
      </w:r>
    </w:p>
    <w:p w14:paraId="0C620C3A" w14:textId="77777777" w:rsidR="00BC3D30" w:rsidRPr="00B72712" w:rsidRDefault="00BC3D30" w:rsidP="00BC3D30">
      <w:r>
        <w:t xml:space="preserve">The data presented in this chapter are primarily drawn from the 2021 NWC and 2021 ABS Census of Population and Housing. The 2024 NWC is currently underway and will provide a more up to date picture of ECEC activity. </w:t>
      </w:r>
    </w:p>
    <w:p w14:paraId="287BBEAD" w14:textId="77777777" w:rsidR="00BC3D30" w:rsidRPr="00D430E3" w:rsidRDefault="00BC3D30" w:rsidP="00BC3D30">
      <w:pPr>
        <w:pStyle w:val="Heading2"/>
      </w:pPr>
      <w:bookmarkStart w:id="44" w:name="_Toc174363698"/>
      <w:r w:rsidRPr="00D430E3">
        <w:t>ECEC System Overview</w:t>
      </w:r>
      <w:bookmarkEnd w:id="44"/>
    </w:p>
    <w:p w14:paraId="2E4EAFC4" w14:textId="77777777" w:rsidR="00BC3D30" w:rsidRPr="00D430E3" w:rsidRDefault="00BC3D30" w:rsidP="00F47B0F">
      <w:pPr>
        <w:pStyle w:val="Heading3"/>
      </w:pPr>
      <w:r w:rsidRPr="00D430E3">
        <w:t>ECEC Services</w:t>
      </w:r>
    </w:p>
    <w:p w14:paraId="1BB9BF88" w14:textId="77777777" w:rsidR="00BC3D30" w:rsidRDefault="00BC3D30" w:rsidP="00BC3D30">
      <w:pPr>
        <w:rPr>
          <w:rFonts w:cs="Arial"/>
        </w:rPr>
      </w:pPr>
      <w:r w:rsidRPr="33FFD693">
        <w:rPr>
          <w:rFonts w:cs="Arial"/>
        </w:rPr>
        <w:t>ECEC is delivered in a range of contexts and settings</w:t>
      </w:r>
      <w:r>
        <w:rPr>
          <w:rFonts w:cs="Arial"/>
        </w:rPr>
        <w:t xml:space="preserve"> reflecting differences in the requirements and characteristics of families. </w:t>
      </w:r>
      <w:r w:rsidRPr="002050F3">
        <w:rPr>
          <w:rFonts w:asciiTheme="minorHAnsi" w:hAnsiTheme="minorHAnsi" w:cstheme="minorHAnsi"/>
          <w:color w:val="000000"/>
          <w:bdr w:val="none" w:sz="0" w:space="0" w:color="auto" w:frame="1"/>
        </w:rPr>
        <w:t>Children’s education and care is predominantly delivered through CBDC settings, which enrol children from birth to school age</w:t>
      </w:r>
      <w:r>
        <w:rPr>
          <w:rFonts w:ascii="Calibri Light" w:hAnsi="Calibri Light" w:cs="Calibri Light"/>
          <w:color w:val="000000"/>
          <w:bdr w:val="none" w:sz="0" w:space="0" w:color="auto" w:frame="1"/>
        </w:rPr>
        <w:t> </w:t>
      </w:r>
      <w:r w:rsidRPr="2C159311">
        <w:rPr>
          <w:rFonts w:cs="Arial"/>
        </w:rPr>
        <w:t>(</w:t>
      </w:r>
      <w:r>
        <w:rPr>
          <w:rFonts w:cs="Arial"/>
        </w:rPr>
        <w:fldChar w:fldCharType="begin" w:fldLock="1"/>
      </w:r>
      <w:r>
        <w:rPr>
          <w:rFonts w:cs="Arial"/>
        </w:rPr>
        <w:instrText xml:space="preserve"> REF _Ref167970904 \h </w:instrText>
      </w:r>
      <w:r>
        <w:rPr>
          <w:rFonts w:cs="Arial"/>
        </w:rPr>
      </w:r>
      <w:r>
        <w:rPr>
          <w:rFonts w:cs="Arial"/>
        </w:rPr>
        <w:fldChar w:fldCharType="separate"/>
      </w:r>
      <w:r>
        <w:t>Figure 1.</w:t>
      </w:r>
      <w:r>
        <w:rPr>
          <w:noProof/>
        </w:rPr>
        <w:t>1</w:t>
      </w:r>
      <w:r>
        <w:rPr>
          <w:rFonts w:cs="Arial"/>
        </w:rPr>
        <w:fldChar w:fldCharType="end"/>
      </w:r>
      <w:r w:rsidRPr="2C159311">
        <w:rPr>
          <w:rFonts w:cs="Arial"/>
        </w:rPr>
        <w:t>)</w:t>
      </w:r>
      <w:r>
        <w:rPr>
          <w:rFonts w:cs="Arial"/>
        </w:rPr>
        <w:t>.</w:t>
      </w:r>
    </w:p>
    <w:p w14:paraId="3FF58944" w14:textId="13C49AB1" w:rsidR="00BC3D30" w:rsidRDefault="00BC3D30" w:rsidP="00BC3D30">
      <w:pPr>
        <w:pStyle w:val="Caption"/>
      </w:pPr>
      <w:bookmarkStart w:id="45" w:name="_Ref167970904"/>
      <w:r>
        <w:lastRenderedPageBreak/>
        <w:t>Figure 1.</w:t>
      </w:r>
      <w:r>
        <w:fldChar w:fldCharType="begin"/>
      </w:r>
      <w:r>
        <w:instrText xml:space="preserve"> SEQ Figure \* ARABIC \s 1 </w:instrText>
      </w:r>
      <w:r>
        <w:fldChar w:fldCharType="separate"/>
      </w:r>
      <w:r w:rsidR="005F18C1">
        <w:rPr>
          <w:noProof/>
        </w:rPr>
        <w:t>1</w:t>
      </w:r>
      <w:r>
        <w:fldChar w:fldCharType="end"/>
      </w:r>
      <w:bookmarkEnd w:id="45"/>
      <w:r>
        <w:t>: Share of services and workers by service type, 2021</w:t>
      </w:r>
      <w:r w:rsidRPr="5F7153D7">
        <w:rPr>
          <w:rStyle w:val="FootnoteReference"/>
        </w:rPr>
        <w:footnoteReference w:id="11"/>
      </w:r>
    </w:p>
    <w:p w14:paraId="499FCCC5" w14:textId="77777777" w:rsidR="00BC3D30" w:rsidRDefault="00BC3D30" w:rsidP="00BC3D30">
      <w:pPr>
        <w:pStyle w:val="NormalWeb"/>
        <w:jc w:val="center"/>
      </w:pPr>
      <w:r>
        <w:rPr>
          <w:noProof/>
        </w:rPr>
        <w:drawing>
          <wp:anchor distT="0" distB="0" distL="114300" distR="114300" simplePos="0" relativeHeight="251693059" behindDoc="0" locked="0" layoutInCell="1" allowOverlap="1" wp14:anchorId="62D3F07E" wp14:editId="54238204">
            <wp:simplePos x="0" y="0"/>
            <wp:positionH relativeFrom="column">
              <wp:posOffset>1078173</wp:posOffset>
            </wp:positionH>
            <wp:positionV relativeFrom="paragraph">
              <wp:posOffset>55454</wp:posOffset>
            </wp:positionV>
            <wp:extent cx="3566160" cy="2973513"/>
            <wp:effectExtent l="0" t="0" r="0" b="0"/>
            <wp:wrapNone/>
            <wp:docPr id="194124957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249576" name="Picture 2">
                      <a:extLst>
                        <a:ext uri="{C183D7F6-B498-43B3-948B-1728B52AA6E4}">
                          <adec:decorative xmlns:adec="http://schemas.microsoft.com/office/drawing/2017/decorative" val="1"/>
                        </a:ext>
                      </a:extLst>
                    </pic:cNvPr>
                    <pic:cNvPicPr>
                      <a:picLocks noChangeAspect="1" noChangeArrowheads="1"/>
                    </pic:cNvPicPr>
                  </pic:nvPicPr>
                  <pic:blipFill>
                    <a:blip r:embed="rId51" cstate="screen">
                      <a:extLst>
                        <a:ext uri="{28A0092B-C50C-407E-A947-70E740481C1C}">
                          <a14:useLocalDpi xmlns:a14="http://schemas.microsoft.com/office/drawing/2010/main" val="0"/>
                        </a:ext>
                      </a:extLst>
                    </a:blip>
                    <a:srcRect/>
                    <a:stretch>
                      <a:fillRect/>
                    </a:stretch>
                  </pic:blipFill>
                  <pic:spPr bwMode="auto">
                    <a:xfrm>
                      <a:off x="0" y="0"/>
                      <a:ext cx="3566160" cy="2973513"/>
                    </a:xfrm>
                    <a:prstGeom prst="rect">
                      <a:avLst/>
                    </a:prstGeom>
                    <a:noFill/>
                    <a:ln>
                      <a:noFill/>
                    </a:ln>
                  </pic:spPr>
                </pic:pic>
              </a:graphicData>
            </a:graphic>
          </wp:anchor>
        </w:drawing>
      </w:r>
    </w:p>
    <w:tbl>
      <w:tblPr>
        <w:tblStyle w:val="Box"/>
        <w:tblW w:w="0" w:type="auto"/>
        <w:jc w:val="center"/>
        <w:tblLook w:val="04A0" w:firstRow="1" w:lastRow="0" w:firstColumn="1" w:lastColumn="0" w:noHBand="0" w:noVBand="1"/>
      </w:tblPr>
      <w:tblGrid>
        <w:gridCol w:w="2780"/>
        <w:gridCol w:w="1060"/>
        <w:gridCol w:w="1000"/>
      </w:tblGrid>
      <w:tr w:rsidR="00FA13E7" w:rsidRPr="00FA13E7" w14:paraId="7C60FE62" w14:textId="77777777" w:rsidTr="00FA13E7">
        <w:trPr>
          <w:trHeight w:val="300"/>
          <w:tblHeader/>
          <w:jc w:val="center"/>
        </w:trPr>
        <w:tc>
          <w:tcPr>
            <w:tcW w:w="2780" w:type="dxa"/>
            <w:noWrap/>
            <w:hideMark/>
          </w:tcPr>
          <w:p w14:paraId="7F183095" w14:textId="77777777" w:rsidR="00FA13E7" w:rsidRPr="00FA13E7" w:rsidRDefault="00FA13E7" w:rsidP="00FA13E7">
            <w:pPr>
              <w:pStyle w:val="Source"/>
              <w:rPr>
                <w:sz w:val="2"/>
                <w:szCs w:val="2"/>
              </w:rPr>
            </w:pPr>
          </w:p>
        </w:tc>
        <w:tc>
          <w:tcPr>
            <w:tcW w:w="1060" w:type="dxa"/>
            <w:noWrap/>
            <w:hideMark/>
          </w:tcPr>
          <w:p w14:paraId="5E0CC049" w14:textId="77777777" w:rsidR="00FA13E7" w:rsidRPr="00FA13E7" w:rsidRDefault="00FA13E7" w:rsidP="00FA13E7">
            <w:pPr>
              <w:pStyle w:val="Source"/>
              <w:rPr>
                <w:b/>
                <w:bCs/>
                <w:sz w:val="2"/>
                <w:szCs w:val="2"/>
              </w:rPr>
            </w:pPr>
            <w:r w:rsidRPr="00FA13E7">
              <w:rPr>
                <w:b/>
                <w:bCs/>
                <w:sz w:val="2"/>
                <w:szCs w:val="2"/>
              </w:rPr>
              <w:t>Services</w:t>
            </w:r>
          </w:p>
        </w:tc>
        <w:tc>
          <w:tcPr>
            <w:tcW w:w="1000" w:type="dxa"/>
            <w:noWrap/>
            <w:hideMark/>
          </w:tcPr>
          <w:p w14:paraId="2A39899C" w14:textId="77777777" w:rsidR="00FA13E7" w:rsidRPr="00FA13E7" w:rsidRDefault="00FA13E7" w:rsidP="00FA13E7">
            <w:pPr>
              <w:pStyle w:val="Source"/>
              <w:rPr>
                <w:b/>
                <w:bCs/>
                <w:sz w:val="2"/>
                <w:szCs w:val="2"/>
              </w:rPr>
            </w:pPr>
            <w:r w:rsidRPr="00FA13E7">
              <w:rPr>
                <w:b/>
                <w:bCs/>
                <w:sz w:val="2"/>
                <w:szCs w:val="2"/>
              </w:rPr>
              <w:t>Workers</w:t>
            </w:r>
          </w:p>
        </w:tc>
      </w:tr>
      <w:tr w:rsidR="00FA13E7" w:rsidRPr="00FA13E7" w14:paraId="370C6901" w14:textId="77777777" w:rsidTr="00FA13E7">
        <w:trPr>
          <w:trHeight w:val="285"/>
          <w:jc w:val="center"/>
        </w:trPr>
        <w:tc>
          <w:tcPr>
            <w:tcW w:w="2780" w:type="dxa"/>
            <w:noWrap/>
            <w:hideMark/>
          </w:tcPr>
          <w:p w14:paraId="300BF834" w14:textId="77777777" w:rsidR="00FA13E7" w:rsidRPr="00FA13E7" w:rsidRDefault="00FA13E7" w:rsidP="00FA13E7">
            <w:pPr>
              <w:pStyle w:val="Source"/>
              <w:rPr>
                <w:sz w:val="2"/>
                <w:szCs w:val="2"/>
              </w:rPr>
            </w:pPr>
            <w:r w:rsidRPr="00FA13E7">
              <w:rPr>
                <w:sz w:val="2"/>
                <w:szCs w:val="2"/>
              </w:rPr>
              <w:t>Family Day Care</w:t>
            </w:r>
          </w:p>
        </w:tc>
        <w:tc>
          <w:tcPr>
            <w:tcW w:w="1060" w:type="dxa"/>
            <w:noWrap/>
            <w:hideMark/>
          </w:tcPr>
          <w:p w14:paraId="563DAD71" w14:textId="77777777" w:rsidR="00FA13E7" w:rsidRPr="00FA13E7" w:rsidRDefault="00FA13E7" w:rsidP="00FA13E7">
            <w:pPr>
              <w:pStyle w:val="Source"/>
              <w:rPr>
                <w:sz w:val="2"/>
                <w:szCs w:val="2"/>
              </w:rPr>
            </w:pPr>
            <w:r w:rsidRPr="00FA13E7">
              <w:rPr>
                <w:sz w:val="2"/>
                <w:szCs w:val="2"/>
              </w:rPr>
              <w:t>3%</w:t>
            </w:r>
          </w:p>
        </w:tc>
        <w:tc>
          <w:tcPr>
            <w:tcW w:w="1000" w:type="dxa"/>
            <w:noWrap/>
            <w:hideMark/>
          </w:tcPr>
          <w:p w14:paraId="1733BDFE" w14:textId="77777777" w:rsidR="00FA13E7" w:rsidRPr="00FA13E7" w:rsidRDefault="00FA13E7" w:rsidP="00FA13E7">
            <w:pPr>
              <w:pStyle w:val="Source"/>
              <w:rPr>
                <w:sz w:val="2"/>
                <w:szCs w:val="2"/>
              </w:rPr>
            </w:pPr>
            <w:r w:rsidRPr="00FA13E7">
              <w:rPr>
                <w:sz w:val="2"/>
                <w:szCs w:val="2"/>
              </w:rPr>
              <w:t>6%</w:t>
            </w:r>
          </w:p>
        </w:tc>
      </w:tr>
      <w:tr w:rsidR="00FA13E7" w:rsidRPr="00FA13E7" w14:paraId="3DD326DF" w14:textId="77777777" w:rsidTr="00FA13E7">
        <w:trPr>
          <w:trHeight w:val="285"/>
          <w:jc w:val="center"/>
        </w:trPr>
        <w:tc>
          <w:tcPr>
            <w:tcW w:w="2780" w:type="dxa"/>
            <w:noWrap/>
            <w:hideMark/>
          </w:tcPr>
          <w:p w14:paraId="722519E3" w14:textId="77777777" w:rsidR="00FA13E7" w:rsidRPr="00FA13E7" w:rsidRDefault="00FA13E7" w:rsidP="00FA13E7">
            <w:pPr>
              <w:pStyle w:val="Source"/>
              <w:rPr>
                <w:sz w:val="2"/>
                <w:szCs w:val="2"/>
              </w:rPr>
            </w:pPr>
            <w:r w:rsidRPr="00FA13E7">
              <w:rPr>
                <w:sz w:val="2"/>
                <w:szCs w:val="2"/>
              </w:rPr>
              <w:t>Out of School Hours Care</w:t>
            </w:r>
          </w:p>
        </w:tc>
        <w:tc>
          <w:tcPr>
            <w:tcW w:w="1060" w:type="dxa"/>
            <w:noWrap/>
            <w:hideMark/>
          </w:tcPr>
          <w:p w14:paraId="145F0118" w14:textId="77777777" w:rsidR="00FA13E7" w:rsidRPr="00FA13E7" w:rsidRDefault="00FA13E7" w:rsidP="00FA13E7">
            <w:pPr>
              <w:pStyle w:val="Source"/>
              <w:rPr>
                <w:sz w:val="2"/>
                <w:szCs w:val="2"/>
              </w:rPr>
            </w:pPr>
            <w:r w:rsidRPr="00FA13E7">
              <w:rPr>
                <w:sz w:val="2"/>
                <w:szCs w:val="2"/>
              </w:rPr>
              <w:t>37%</w:t>
            </w:r>
          </w:p>
        </w:tc>
        <w:tc>
          <w:tcPr>
            <w:tcW w:w="1000" w:type="dxa"/>
            <w:noWrap/>
            <w:hideMark/>
          </w:tcPr>
          <w:p w14:paraId="1BB9B14A" w14:textId="77777777" w:rsidR="00FA13E7" w:rsidRPr="00FA13E7" w:rsidRDefault="00FA13E7" w:rsidP="00FA13E7">
            <w:pPr>
              <w:pStyle w:val="Source"/>
              <w:rPr>
                <w:sz w:val="2"/>
                <w:szCs w:val="2"/>
              </w:rPr>
            </w:pPr>
            <w:r w:rsidRPr="00FA13E7">
              <w:rPr>
                <w:sz w:val="2"/>
                <w:szCs w:val="2"/>
              </w:rPr>
              <w:t>26%</w:t>
            </w:r>
          </w:p>
        </w:tc>
      </w:tr>
      <w:tr w:rsidR="00FA13E7" w:rsidRPr="00FA13E7" w14:paraId="1D9E8A31" w14:textId="77777777" w:rsidTr="00FA13E7">
        <w:trPr>
          <w:trHeight w:val="285"/>
          <w:jc w:val="center"/>
        </w:trPr>
        <w:tc>
          <w:tcPr>
            <w:tcW w:w="2780" w:type="dxa"/>
            <w:noWrap/>
            <w:hideMark/>
          </w:tcPr>
          <w:p w14:paraId="6886FB52" w14:textId="77777777" w:rsidR="00FA13E7" w:rsidRPr="00FA13E7" w:rsidRDefault="00FA13E7" w:rsidP="00FA13E7">
            <w:pPr>
              <w:pStyle w:val="Source"/>
              <w:rPr>
                <w:sz w:val="2"/>
                <w:szCs w:val="2"/>
              </w:rPr>
            </w:pPr>
            <w:r w:rsidRPr="00FA13E7">
              <w:rPr>
                <w:sz w:val="2"/>
                <w:szCs w:val="2"/>
              </w:rPr>
              <w:t>Centre Based Day Care</w:t>
            </w:r>
          </w:p>
        </w:tc>
        <w:tc>
          <w:tcPr>
            <w:tcW w:w="1060" w:type="dxa"/>
            <w:noWrap/>
            <w:hideMark/>
          </w:tcPr>
          <w:p w14:paraId="1D646F7A" w14:textId="77777777" w:rsidR="00FA13E7" w:rsidRPr="00FA13E7" w:rsidRDefault="00FA13E7" w:rsidP="00FA13E7">
            <w:pPr>
              <w:pStyle w:val="Source"/>
              <w:rPr>
                <w:sz w:val="2"/>
                <w:szCs w:val="2"/>
              </w:rPr>
            </w:pPr>
            <w:r w:rsidRPr="00FA13E7">
              <w:rPr>
                <w:sz w:val="2"/>
                <w:szCs w:val="2"/>
              </w:rPr>
              <w:t>59%</w:t>
            </w:r>
          </w:p>
        </w:tc>
        <w:tc>
          <w:tcPr>
            <w:tcW w:w="1000" w:type="dxa"/>
            <w:noWrap/>
            <w:hideMark/>
          </w:tcPr>
          <w:p w14:paraId="31156A5F" w14:textId="77777777" w:rsidR="00FA13E7" w:rsidRPr="00FA13E7" w:rsidRDefault="00FA13E7" w:rsidP="00FA13E7">
            <w:pPr>
              <w:pStyle w:val="Source"/>
              <w:rPr>
                <w:sz w:val="2"/>
                <w:szCs w:val="2"/>
              </w:rPr>
            </w:pPr>
            <w:r w:rsidRPr="00FA13E7">
              <w:rPr>
                <w:sz w:val="2"/>
                <w:szCs w:val="2"/>
              </w:rPr>
              <w:t>68%</w:t>
            </w:r>
          </w:p>
        </w:tc>
      </w:tr>
    </w:tbl>
    <w:p w14:paraId="1124D51D" w14:textId="77777777" w:rsidR="00FA13E7" w:rsidRDefault="00FA13E7" w:rsidP="00FA13E7"/>
    <w:p w14:paraId="19A18E8C" w14:textId="77777777" w:rsidR="00FA13E7" w:rsidRDefault="00FA13E7" w:rsidP="00FA13E7"/>
    <w:p w14:paraId="4F2E7986" w14:textId="77777777" w:rsidR="00FA13E7" w:rsidRDefault="00FA13E7" w:rsidP="00FA13E7"/>
    <w:p w14:paraId="1C6B0969" w14:textId="77777777" w:rsidR="00FA13E7" w:rsidRDefault="00FA13E7" w:rsidP="00FA13E7"/>
    <w:p w14:paraId="3DB57A7D" w14:textId="77777777" w:rsidR="00FA13E7" w:rsidRDefault="00FA13E7" w:rsidP="00FA13E7"/>
    <w:p w14:paraId="1A33B450" w14:textId="77777777" w:rsidR="00FA13E7" w:rsidRDefault="00FA13E7" w:rsidP="00FA13E7"/>
    <w:p w14:paraId="62A692BC" w14:textId="77777777" w:rsidR="00FA13E7" w:rsidRDefault="00FA13E7" w:rsidP="00FA13E7"/>
    <w:p w14:paraId="127F7DF5" w14:textId="6855DCC7" w:rsidR="00BC3D30" w:rsidRPr="00C317F8" w:rsidRDefault="00BC3D30" w:rsidP="00BC3D30">
      <w:pPr>
        <w:pStyle w:val="Source"/>
      </w:pPr>
      <w:r>
        <w:t>Source: JSA analysis of Department of Education CCS and NWC (2021) data</w:t>
      </w:r>
    </w:p>
    <w:p w14:paraId="400FD20E" w14:textId="77777777" w:rsidR="00BC3D30" w:rsidRDefault="00BC3D30" w:rsidP="00BC3D30">
      <w:r>
        <w:t>Around one third of children aged 0-12 years utilise formal care, and this share has been increasing over the past few years, driven by an increase in CBDC usage by families with younger children (</w:t>
      </w:r>
      <w:r>
        <w:fldChar w:fldCharType="begin" w:fldLock="1"/>
      </w:r>
      <w:r>
        <w:instrText xml:space="preserve"> REF _Ref168581530 \h </w:instrText>
      </w:r>
      <w:r>
        <w:fldChar w:fldCharType="separate"/>
      </w:r>
      <w:r>
        <w:t>Figure 1.</w:t>
      </w:r>
      <w:r>
        <w:rPr>
          <w:noProof/>
        </w:rPr>
        <w:t>2</w:t>
      </w:r>
      <w:r>
        <w:fldChar w:fldCharType="end"/>
      </w:r>
      <w:r>
        <w:t xml:space="preserve">). Rates of OSHC usage have remained relatively steady over the analysis period, with just over one fifth of children aged 5-9 years attending OSHC. </w:t>
      </w:r>
      <w:bookmarkStart w:id="46" w:name="_Ref166070893"/>
    </w:p>
    <w:tbl>
      <w:tblPr>
        <w:tblStyle w:val="BoxStyle"/>
        <w:tblW w:w="0" w:type="auto"/>
        <w:tblLook w:val="0620" w:firstRow="1" w:lastRow="0" w:firstColumn="0" w:lastColumn="0" w:noHBand="1" w:noVBand="1"/>
      </w:tblPr>
      <w:tblGrid>
        <w:gridCol w:w="9016"/>
      </w:tblGrid>
      <w:tr w:rsidR="00BC3D30" w14:paraId="0246771C" w14:textId="77777777" w:rsidTr="005D67F5">
        <w:tc>
          <w:tcPr>
            <w:tcW w:w="9016" w:type="dxa"/>
          </w:tcPr>
          <w:p w14:paraId="39FA49D0" w14:textId="77777777" w:rsidR="00BC3D30" w:rsidRDefault="00BC3D30" w:rsidP="005F6ADC">
            <w:pPr>
              <w:pStyle w:val="Source"/>
              <w:rPr>
                <w:rFonts w:eastAsiaTheme="majorEastAsia" w:cstheme="majorBidi"/>
                <w:b/>
                <w:color w:val="441170" w:themeColor="text2"/>
                <w:sz w:val="32"/>
                <w:szCs w:val="24"/>
              </w:rPr>
            </w:pPr>
            <w:bookmarkStart w:id="47" w:name="_Hlk174105833"/>
            <w:r w:rsidRPr="006A6498">
              <w:rPr>
                <w:rFonts w:eastAsiaTheme="majorEastAsia" w:cstheme="majorBidi"/>
                <w:b/>
                <w:color w:val="441170" w:themeColor="text2"/>
                <w:sz w:val="32"/>
                <w:szCs w:val="24"/>
              </w:rPr>
              <w:t>CASE STUDY – Kindy Care Trial – Out of hours preschool care</w:t>
            </w:r>
          </w:p>
          <w:p w14:paraId="51EE8B86" w14:textId="77777777" w:rsidR="00BC3D30" w:rsidRDefault="00BC3D30" w:rsidP="005F6ADC">
            <w:pPr>
              <w:spacing w:after="160" w:line="259" w:lineRule="auto"/>
            </w:pPr>
            <w:r>
              <w:t xml:space="preserve">The South Australia Government has developed the Kindy Care trial in response to the Royal Commission into Early Childhood Education and Care. The trial, due to begin in July 2024 at 20 different preschools, provides extended hours for preschool aged children in the form of OSHC at the same government preschool venue. The trial enables continuation of Educators from the preschool program to OSHC programs.  The trial will have a minimum of two educators, regardless of the number of children present, with one Diploma trained and one Certificate III trained educator. A full evaluation will be conducted alongside the trial and will continue following the trial, forming recommendations on the feasibility and continuity of the trial.  </w:t>
            </w:r>
          </w:p>
          <w:p w14:paraId="476B8126" w14:textId="77777777" w:rsidR="00BC3D30" w:rsidRPr="00887E52" w:rsidRDefault="00BC3D30" w:rsidP="00887E52">
            <w:pPr>
              <w:rPr>
                <w:i/>
                <w:iCs/>
              </w:rPr>
            </w:pPr>
            <w:r w:rsidRPr="00887E52">
              <w:rPr>
                <w:i/>
                <w:iCs/>
              </w:rPr>
              <w:t>Additional Consultation – Skills South Australia</w:t>
            </w:r>
          </w:p>
        </w:tc>
      </w:tr>
      <w:bookmarkEnd w:id="47"/>
    </w:tbl>
    <w:p w14:paraId="64541AA7" w14:textId="77777777" w:rsidR="00BC3D30" w:rsidRDefault="00BC3D30" w:rsidP="00BC3D30"/>
    <w:p w14:paraId="098F5C54" w14:textId="062294D5" w:rsidR="00BC3D30" w:rsidRDefault="00FA13E7" w:rsidP="00BC3D30">
      <w:pPr>
        <w:pStyle w:val="Caption"/>
      </w:pPr>
      <w:bookmarkStart w:id="48" w:name="_Ref168581530"/>
      <w:r>
        <w:rPr>
          <w:noProof/>
        </w:rPr>
        <w:lastRenderedPageBreak/>
        <w:drawing>
          <wp:anchor distT="0" distB="0" distL="114300" distR="114300" simplePos="0" relativeHeight="251694083" behindDoc="0" locked="0" layoutInCell="1" allowOverlap="1" wp14:anchorId="4CFECC75" wp14:editId="4021A5E6">
            <wp:simplePos x="0" y="0"/>
            <wp:positionH relativeFrom="column">
              <wp:posOffset>0</wp:posOffset>
            </wp:positionH>
            <wp:positionV relativeFrom="paragraph">
              <wp:posOffset>257175</wp:posOffset>
            </wp:positionV>
            <wp:extent cx="5730875" cy="5730875"/>
            <wp:effectExtent l="0" t="0" r="3175" b="3175"/>
            <wp:wrapNone/>
            <wp:docPr id="130222008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220083" name="Picture 1">
                      <a:extLst>
                        <a:ext uri="{C183D7F6-B498-43B3-948B-1728B52AA6E4}">
                          <adec:decorative xmlns:adec="http://schemas.microsoft.com/office/drawing/2017/decorative" val="1"/>
                        </a:ext>
                      </a:extLst>
                    </pic:cNvPr>
                    <pic:cNvPicPr>
                      <a:picLocks noChangeAspect="1" noChangeArrowheads="1"/>
                    </pic:cNvPicPr>
                  </pic:nvPicPr>
                  <pic:blipFill>
                    <a:blip r:embed="rId52" cstate="screen">
                      <a:extLst>
                        <a:ext uri="{28A0092B-C50C-407E-A947-70E740481C1C}">
                          <a14:useLocalDpi xmlns:a14="http://schemas.microsoft.com/office/drawing/2010/main" val="0"/>
                        </a:ext>
                      </a:extLst>
                    </a:blip>
                    <a:srcRect/>
                    <a:stretch>
                      <a:fillRect/>
                    </a:stretch>
                  </pic:blipFill>
                  <pic:spPr bwMode="auto">
                    <a:xfrm>
                      <a:off x="0" y="0"/>
                      <a:ext cx="5730875" cy="5730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3D30">
        <w:t>Figure 1.</w:t>
      </w:r>
      <w:r w:rsidR="00BC3D30">
        <w:fldChar w:fldCharType="begin"/>
      </w:r>
      <w:r w:rsidR="00BC3D30">
        <w:instrText xml:space="preserve"> SEQ Figure \* ARABIC </w:instrText>
      </w:r>
      <w:r w:rsidR="00BC3D30">
        <w:fldChar w:fldCharType="separate"/>
      </w:r>
      <w:r w:rsidR="005F18C1">
        <w:rPr>
          <w:noProof/>
        </w:rPr>
        <w:t>2</w:t>
      </w:r>
      <w:r w:rsidR="00BC3D30">
        <w:fldChar w:fldCharType="end"/>
      </w:r>
      <w:bookmarkEnd w:id="48"/>
      <w:r w:rsidR="00BC3D30">
        <w:t>: Share of children using ECEC by age group and service type, 2013-2021</w:t>
      </w:r>
      <w:r w:rsidR="00BC3D30" w:rsidRPr="59351DE1">
        <w:rPr>
          <w:rStyle w:val="FootnoteReference"/>
        </w:rPr>
        <w:footnoteReference w:id="12"/>
      </w:r>
    </w:p>
    <w:p w14:paraId="5BD5BCF5" w14:textId="3C17D3AA" w:rsidR="00BC3D30" w:rsidRPr="003C663B" w:rsidRDefault="00BC3D30" w:rsidP="00BC3D30">
      <w:pPr>
        <w:jc w:val="center"/>
      </w:pPr>
    </w:p>
    <w:bookmarkEnd w:id="46"/>
    <w:tbl>
      <w:tblPr>
        <w:tblStyle w:val="Box"/>
        <w:tblW w:w="0" w:type="auto"/>
        <w:jc w:val="center"/>
        <w:tblLook w:val="04A0" w:firstRow="1" w:lastRow="0" w:firstColumn="1" w:lastColumn="0" w:noHBand="0" w:noVBand="1"/>
      </w:tblPr>
      <w:tblGrid>
        <w:gridCol w:w="1840"/>
        <w:gridCol w:w="2780"/>
        <w:gridCol w:w="880"/>
        <w:gridCol w:w="880"/>
        <w:gridCol w:w="880"/>
        <w:gridCol w:w="880"/>
      </w:tblGrid>
      <w:tr w:rsidR="00FA13E7" w:rsidRPr="00FA13E7" w14:paraId="2C2D364D" w14:textId="77777777" w:rsidTr="00FA13E7">
        <w:trPr>
          <w:trHeight w:val="300"/>
          <w:jc w:val="center"/>
        </w:trPr>
        <w:tc>
          <w:tcPr>
            <w:tcW w:w="1840" w:type="dxa"/>
            <w:noWrap/>
            <w:hideMark/>
          </w:tcPr>
          <w:p w14:paraId="76E7150F" w14:textId="77777777" w:rsidR="00FA13E7" w:rsidRPr="00FA13E7" w:rsidRDefault="00FA13E7" w:rsidP="00FA13E7">
            <w:pPr>
              <w:pStyle w:val="Source"/>
              <w:rPr>
                <w:sz w:val="2"/>
                <w:szCs w:val="2"/>
              </w:rPr>
            </w:pPr>
          </w:p>
        </w:tc>
        <w:tc>
          <w:tcPr>
            <w:tcW w:w="2780" w:type="dxa"/>
            <w:noWrap/>
            <w:hideMark/>
          </w:tcPr>
          <w:p w14:paraId="1A1FE201" w14:textId="77777777" w:rsidR="00FA13E7" w:rsidRPr="00FA13E7" w:rsidRDefault="00FA13E7" w:rsidP="00FA13E7">
            <w:pPr>
              <w:pStyle w:val="Source"/>
              <w:rPr>
                <w:sz w:val="2"/>
                <w:szCs w:val="2"/>
              </w:rPr>
            </w:pPr>
          </w:p>
        </w:tc>
        <w:tc>
          <w:tcPr>
            <w:tcW w:w="880" w:type="dxa"/>
            <w:noWrap/>
            <w:hideMark/>
          </w:tcPr>
          <w:p w14:paraId="542DF616" w14:textId="77777777" w:rsidR="00FA13E7" w:rsidRPr="00FA13E7" w:rsidRDefault="00FA13E7" w:rsidP="00FA13E7">
            <w:pPr>
              <w:pStyle w:val="Source"/>
              <w:rPr>
                <w:b/>
                <w:bCs/>
                <w:sz w:val="2"/>
                <w:szCs w:val="2"/>
              </w:rPr>
            </w:pPr>
            <w:r w:rsidRPr="00FA13E7">
              <w:rPr>
                <w:b/>
                <w:bCs/>
                <w:sz w:val="2"/>
                <w:szCs w:val="2"/>
              </w:rPr>
              <w:t>2013</w:t>
            </w:r>
          </w:p>
        </w:tc>
        <w:tc>
          <w:tcPr>
            <w:tcW w:w="880" w:type="dxa"/>
            <w:noWrap/>
            <w:hideMark/>
          </w:tcPr>
          <w:p w14:paraId="02468CE7" w14:textId="77777777" w:rsidR="00FA13E7" w:rsidRPr="00FA13E7" w:rsidRDefault="00FA13E7" w:rsidP="00FA13E7">
            <w:pPr>
              <w:pStyle w:val="Source"/>
              <w:rPr>
                <w:b/>
                <w:bCs/>
                <w:sz w:val="2"/>
                <w:szCs w:val="2"/>
              </w:rPr>
            </w:pPr>
            <w:r w:rsidRPr="00FA13E7">
              <w:rPr>
                <w:b/>
                <w:bCs/>
                <w:sz w:val="2"/>
                <w:szCs w:val="2"/>
              </w:rPr>
              <w:t>2016</w:t>
            </w:r>
          </w:p>
        </w:tc>
        <w:tc>
          <w:tcPr>
            <w:tcW w:w="880" w:type="dxa"/>
            <w:noWrap/>
            <w:hideMark/>
          </w:tcPr>
          <w:p w14:paraId="67982466" w14:textId="77777777" w:rsidR="00FA13E7" w:rsidRPr="00FA13E7" w:rsidRDefault="00FA13E7" w:rsidP="00FA13E7">
            <w:pPr>
              <w:pStyle w:val="Source"/>
              <w:rPr>
                <w:b/>
                <w:bCs/>
                <w:sz w:val="2"/>
                <w:szCs w:val="2"/>
              </w:rPr>
            </w:pPr>
            <w:r w:rsidRPr="00FA13E7">
              <w:rPr>
                <w:b/>
                <w:bCs/>
                <w:sz w:val="2"/>
                <w:szCs w:val="2"/>
              </w:rPr>
              <w:t>2019</w:t>
            </w:r>
          </w:p>
        </w:tc>
        <w:tc>
          <w:tcPr>
            <w:tcW w:w="880" w:type="dxa"/>
            <w:noWrap/>
            <w:hideMark/>
          </w:tcPr>
          <w:p w14:paraId="52B95CE2" w14:textId="77777777" w:rsidR="00FA13E7" w:rsidRPr="00FA13E7" w:rsidRDefault="00FA13E7" w:rsidP="00FA13E7">
            <w:pPr>
              <w:pStyle w:val="Source"/>
              <w:rPr>
                <w:b/>
                <w:bCs/>
                <w:sz w:val="2"/>
                <w:szCs w:val="2"/>
              </w:rPr>
            </w:pPr>
            <w:r w:rsidRPr="00FA13E7">
              <w:rPr>
                <w:b/>
                <w:bCs/>
                <w:sz w:val="2"/>
                <w:szCs w:val="2"/>
              </w:rPr>
              <w:t>2021</w:t>
            </w:r>
          </w:p>
        </w:tc>
      </w:tr>
      <w:tr w:rsidR="00FA13E7" w:rsidRPr="00FA13E7" w14:paraId="4F3BFD56" w14:textId="77777777" w:rsidTr="00FA13E7">
        <w:trPr>
          <w:trHeight w:val="300"/>
          <w:jc w:val="center"/>
        </w:trPr>
        <w:tc>
          <w:tcPr>
            <w:tcW w:w="1840" w:type="dxa"/>
            <w:noWrap/>
            <w:hideMark/>
          </w:tcPr>
          <w:p w14:paraId="5D88E689" w14:textId="77777777" w:rsidR="00FA13E7" w:rsidRPr="00FA13E7" w:rsidRDefault="00FA13E7" w:rsidP="00FA13E7">
            <w:pPr>
              <w:pStyle w:val="Source"/>
              <w:rPr>
                <w:b/>
                <w:bCs/>
                <w:sz w:val="2"/>
                <w:szCs w:val="2"/>
              </w:rPr>
            </w:pPr>
            <w:r w:rsidRPr="00FA13E7">
              <w:rPr>
                <w:b/>
                <w:bCs/>
                <w:sz w:val="2"/>
                <w:szCs w:val="2"/>
              </w:rPr>
              <w:t>0 to 4 years</w:t>
            </w:r>
          </w:p>
        </w:tc>
        <w:tc>
          <w:tcPr>
            <w:tcW w:w="2780" w:type="dxa"/>
            <w:noWrap/>
            <w:hideMark/>
          </w:tcPr>
          <w:p w14:paraId="6801094F" w14:textId="77777777" w:rsidR="00FA13E7" w:rsidRPr="00FA13E7" w:rsidRDefault="00FA13E7" w:rsidP="00FA13E7">
            <w:pPr>
              <w:pStyle w:val="Source"/>
              <w:rPr>
                <w:sz w:val="2"/>
                <w:szCs w:val="2"/>
              </w:rPr>
            </w:pPr>
            <w:r w:rsidRPr="00FA13E7">
              <w:rPr>
                <w:sz w:val="2"/>
                <w:szCs w:val="2"/>
              </w:rPr>
              <w:t>Centre Based Day Care</w:t>
            </w:r>
          </w:p>
        </w:tc>
        <w:tc>
          <w:tcPr>
            <w:tcW w:w="880" w:type="dxa"/>
            <w:noWrap/>
            <w:hideMark/>
          </w:tcPr>
          <w:p w14:paraId="0ACEF8FD" w14:textId="77777777" w:rsidR="00FA13E7" w:rsidRPr="00FA13E7" w:rsidRDefault="00FA13E7" w:rsidP="00FA13E7">
            <w:pPr>
              <w:pStyle w:val="Source"/>
              <w:rPr>
                <w:sz w:val="2"/>
                <w:szCs w:val="2"/>
              </w:rPr>
            </w:pPr>
            <w:r w:rsidRPr="00FA13E7">
              <w:rPr>
                <w:sz w:val="2"/>
                <w:szCs w:val="2"/>
              </w:rPr>
              <w:t>37%</w:t>
            </w:r>
          </w:p>
        </w:tc>
        <w:tc>
          <w:tcPr>
            <w:tcW w:w="880" w:type="dxa"/>
            <w:noWrap/>
            <w:hideMark/>
          </w:tcPr>
          <w:p w14:paraId="4132BADB" w14:textId="77777777" w:rsidR="00FA13E7" w:rsidRPr="00FA13E7" w:rsidRDefault="00FA13E7" w:rsidP="00FA13E7">
            <w:pPr>
              <w:pStyle w:val="Source"/>
              <w:rPr>
                <w:sz w:val="2"/>
                <w:szCs w:val="2"/>
              </w:rPr>
            </w:pPr>
            <w:r w:rsidRPr="00FA13E7">
              <w:rPr>
                <w:sz w:val="2"/>
                <w:szCs w:val="2"/>
              </w:rPr>
              <w:t>37%</w:t>
            </w:r>
          </w:p>
        </w:tc>
        <w:tc>
          <w:tcPr>
            <w:tcW w:w="880" w:type="dxa"/>
            <w:noWrap/>
            <w:hideMark/>
          </w:tcPr>
          <w:p w14:paraId="52373F32" w14:textId="77777777" w:rsidR="00FA13E7" w:rsidRPr="00FA13E7" w:rsidRDefault="00FA13E7" w:rsidP="00FA13E7">
            <w:pPr>
              <w:pStyle w:val="Source"/>
              <w:rPr>
                <w:sz w:val="2"/>
                <w:szCs w:val="2"/>
              </w:rPr>
            </w:pPr>
            <w:r w:rsidRPr="00FA13E7">
              <w:rPr>
                <w:sz w:val="2"/>
                <w:szCs w:val="2"/>
              </w:rPr>
              <w:t>43%</w:t>
            </w:r>
          </w:p>
        </w:tc>
        <w:tc>
          <w:tcPr>
            <w:tcW w:w="880" w:type="dxa"/>
            <w:noWrap/>
            <w:hideMark/>
          </w:tcPr>
          <w:p w14:paraId="2C8040A0" w14:textId="77777777" w:rsidR="00FA13E7" w:rsidRPr="00FA13E7" w:rsidRDefault="00FA13E7" w:rsidP="00FA13E7">
            <w:pPr>
              <w:pStyle w:val="Source"/>
              <w:rPr>
                <w:sz w:val="2"/>
                <w:szCs w:val="2"/>
              </w:rPr>
            </w:pPr>
            <w:r w:rsidRPr="00FA13E7">
              <w:rPr>
                <w:sz w:val="2"/>
                <w:szCs w:val="2"/>
              </w:rPr>
              <w:t>47%</w:t>
            </w:r>
          </w:p>
        </w:tc>
      </w:tr>
      <w:tr w:rsidR="00FA13E7" w:rsidRPr="00FA13E7" w14:paraId="504F74C8" w14:textId="77777777" w:rsidTr="00FA13E7">
        <w:trPr>
          <w:trHeight w:val="285"/>
          <w:jc w:val="center"/>
        </w:trPr>
        <w:tc>
          <w:tcPr>
            <w:tcW w:w="1840" w:type="dxa"/>
            <w:noWrap/>
            <w:hideMark/>
          </w:tcPr>
          <w:p w14:paraId="4B72A375" w14:textId="77777777" w:rsidR="00FA13E7" w:rsidRPr="00FA13E7" w:rsidRDefault="00FA13E7" w:rsidP="00FA13E7">
            <w:pPr>
              <w:pStyle w:val="Source"/>
              <w:rPr>
                <w:sz w:val="2"/>
                <w:szCs w:val="2"/>
              </w:rPr>
            </w:pPr>
          </w:p>
        </w:tc>
        <w:tc>
          <w:tcPr>
            <w:tcW w:w="2780" w:type="dxa"/>
            <w:noWrap/>
            <w:hideMark/>
          </w:tcPr>
          <w:p w14:paraId="07F5A9D5" w14:textId="77777777" w:rsidR="00FA13E7" w:rsidRPr="00FA13E7" w:rsidRDefault="00FA13E7" w:rsidP="00FA13E7">
            <w:pPr>
              <w:pStyle w:val="Source"/>
              <w:rPr>
                <w:sz w:val="2"/>
                <w:szCs w:val="2"/>
              </w:rPr>
            </w:pPr>
            <w:r w:rsidRPr="00FA13E7">
              <w:rPr>
                <w:sz w:val="2"/>
                <w:szCs w:val="2"/>
              </w:rPr>
              <w:t>Family Day Care</w:t>
            </w:r>
          </w:p>
        </w:tc>
        <w:tc>
          <w:tcPr>
            <w:tcW w:w="880" w:type="dxa"/>
            <w:noWrap/>
            <w:hideMark/>
          </w:tcPr>
          <w:p w14:paraId="7680FA30" w14:textId="77777777" w:rsidR="00FA13E7" w:rsidRPr="00FA13E7" w:rsidRDefault="00FA13E7" w:rsidP="00FA13E7">
            <w:pPr>
              <w:pStyle w:val="Source"/>
              <w:rPr>
                <w:sz w:val="2"/>
                <w:szCs w:val="2"/>
              </w:rPr>
            </w:pPr>
            <w:r w:rsidRPr="00FA13E7">
              <w:rPr>
                <w:sz w:val="2"/>
                <w:szCs w:val="2"/>
              </w:rPr>
              <w:t>6%</w:t>
            </w:r>
          </w:p>
        </w:tc>
        <w:tc>
          <w:tcPr>
            <w:tcW w:w="880" w:type="dxa"/>
            <w:noWrap/>
            <w:hideMark/>
          </w:tcPr>
          <w:p w14:paraId="4D0AEAEA" w14:textId="77777777" w:rsidR="00FA13E7" w:rsidRPr="00FA13E7" w:rsidRDefault="00FA13E7" w:rsidP="00FA13E7">
            <w:pPr>
              <w:pStyle w:val="Source"/>
              <w:rPr>
                <w:sz w:val="2"/>
                <w:szCs w:val="2"/>
              </w:rPr>
            </w:pPr>
            <w:r w:rsidRPr="00FA13E7">
              <w:rPr>
                <w:sz w:val="2"/>
                <w:szCs w:val="2"/>
              </w:rPr>
              <w:t>6%</w:t>
            </w:r>
          </w:p>
        </w:tc>
        <w:tc>
          <w:tcPr>
            <w:tcW w:w="880" w:type="dxa"/>
            <w:noWrap/>
            <w:hideMark/>
          </w:tcPr>
          <w:p w14:paraId="36E2E701" w14:textId="77777777" w:rsidR="00FA13E7" w:rsidRPr="00FA13E7" w:rsidRDefault="00FA13E7" w:rsidP="00FA13E7">
            <w:pPr>
              <w:pStyle w:val="Source"/>
              <w:rPr>
                <w:sz w:val="2"/>
                <w:szCs w:val="2"/>
              </w:rPr>
            </w:pPr>
            <w:r w:rsidRPr="00FA13E7">
              <w:rPr>
                <w:sz w:val="2"/>
                <w:szCs w:val="2"/>
              </w:rPr>
              <w:t>4%</w:t>
            </w:r>
          </w:p>
        </w:tc>
        <w:tc>
          <w:tcPr>
            <w:tcW w:w="880" w:type="dxa"/>
            <w:noWrap/>
            <w:hideMark/>
          </w:tcPr>
          <w:p w14:paraId="39C4DC98" w14:textId="77777777" w:rsidR="00FA13E7" w:rsidRPr="00FA13E7" w:rsidRDefault="00FA13E7" w:rsidP="00FA13E7">
            <w:pPr>
              <w:pStyle w:val="Source"/>
              <w:rPr>
                <w:sz w:val="2"/>
                <w:szCs w:val="2"/>
              </w:rPr>
            </w:pPr>
            <w:r w:rsidRPr="00FA13E7">
              <w:rPr>
                <w:sz w:val="2"/>
                <w:szCs w:val="2"/>
              </w:rPr>
              <w:t>3%</w:t>
            </w:r>
          </w:p>
        </w:tc>
      </w:tr>
      <w:tr w:rsidR="00FA13E7" w:rsidRPr="00FA13E7" w14:paraId="6BA7858C" w14:textId="77777777" w:rsidTr="00FA13E7">
        <w:trPr>
          <w:trHeight w:val="285"/>
          <w:jc w:val="center"/>
        </w:trPr>
        <w:tc>
          <w:tcPr>
            <w:tcW w:w="1840" w:type="dxa"/>
            <w:noWrap/>
            <w:hideMark/>
          </w:tcPr>
          <w:p w14:paraId="133FF407" w14:textId="77777777" w:rsidR="00FA13E7" w:rsidRPr="00FA13E7" w:rsidRDefault="00FA13E7" w:rsidP="00FA13E7">
            <w:pPr>
              <w:pStyle w:val="Source"/>
              <w:rPr>
                <w:sz w:val="2"/>
                <w:szCs w:val="2"/>
              </w:rPr>
            </w:pPr>
          </w:p>
        </w:tc>
        <w:tc>
          <w:tcPr>
            <w:tcW w:w="2780" w:type="dxa"/>
            <w:noWrap/>
            <w:hideMark/>
          </w:tcPr>
          <w:p w14:paraId="17815C14" w14:textId="77777777" w:rsidR="00FA13E7" w:rsidRPr="00FA13E7" w:rsidRDefault="00FA13E7" w:rsidP="00FA13E7">
            <w:pPr>
              <w:pStyle w:val="Source"/>
              <w:rPr>
                <w:sz w:val="2"/>
                <w:szCs w:val="2"/>
              </w:rPr>
            </w:pPr>
            <w:r w:rsidRPr="00FA13E7">
              <w:rPr>
                <w:sz w:val="2"/>
                <w:szCs w:val="2"/>
              </w:rPr>
              <w:t>Out of School Hours Care</w:t>
            </w:r>
          </w:p>
        </w:tc>
        <w:tc>
          <w:tcPr>
            <w:tcW w:w="880" w:type="dxa"/>
            <w:noWrap/>
            <w:hideMark/>
          </w:tcPr>
          <w:p w14:paraId="58B63332" w14:textId="77777777" w:rsidR="00FA13E7" w:rsidRPr="00FA13E7" w:rsidRDefault="00FA13E7" w:rsidP="00FA13E7">
            <w:pPr>
              <w:pStyle w:val="Source"/>
              <w:rPr>
                <w:sz w:val="2"/>
                <w:szCs w:val="2"/>
              </w:rPr>
            </w:pPr>
            <w:r w:rsidRPr="00FA13E7">
              <w:rPr>
                <w:sz w:val="2"/>
                <w:szCs w:val="2"/>
              </w:rPr>
              <w:t>1%</w:t>
            </w:r>
          </w:p>
        </w:tc>
        <w:tc>
          <w:tcPr>
            <w:tcW w:w="880" w:type="dxa"/>
            <w:noWrap/>
            <w:hideMark/>
          </w:tcPr>
          <w:p w14:paraId="60D6ED63" w14:textId="77777777" w:rsidR="00FA13E7" w:rsidRPr="00FA13E7" w:rsidRDefault="00FA13E7" w:rsidP="00FA13E7">
            <w:pPr>
              <w:pStyle w:val="Source"/>
              <w:rPr>
                <w:sz w:val="2"/>
                <w:szCs w:val="2"/>
              </w:rPr>
            </w:pPr>
            <w:r w:rsidRPr="00FA13E7">
              <w:rPr>
                <w:sz w:val="2"/>
                <w:szCs w:val="2"/>
              </w:rPr>
              <w:t>1%</w:t>
            </w:r>
          </w:p>
        </w:tc>
        <w:tc>
          <w:tcPr>
            <w:tcW w:w="880" w:type="dxa"/>
            <w:noWrap/>
            <w:hideMark/>
          </w:tcPr>
          <w:p w14:paraId="305DE235" w14:textId="77777777" w:rsidR="00FA13E7" w:rsidRPr="00FA13E7" w:rsidRDefault="00FA13E7" w:rsidP="00FA13E7">
            <w:pPr>
              <w:pStyle w:val="Source"/>
              <w:rPr>
                <w:sz w:val="2"/>
                <w:szCs w:val="2"/>
              </w:rPr>
            </w:pPr>
            <w:r w:rsidRPr="00FA13E7">
              <w:rPr>
                <w:sz w:val="2"/>
                <w:szCs w:val="2"/>
              </w:rPr>
              <w:t>0%</w:t>
            </w:r>
          </w:p>
        </w:tc>
        <w:tc>
          <w:tcPr>
            <w:tcW w:w="880" w:type="dxa"/>
            <w:noWrap/>
            <w:hideMark/>
          </w:tcPr>
          <w:p w14:paraId="1CBBCCAB" w14:textId="77777777" w:rsidR="00FA13E7" w:rsidRPr="00FA13E7" w:rsidRDefault="00FA13E7" w:rsidP="00FA13E7">
            <w:pPr>
              <w:pStyle w:val="Source"/>
              <w:rPr>
                <w:sz w:val="2"/>
                <w:szCs w:val="2"/>
              </w:rPr>
            </w:pPr>
            <w:r w:rsidRPr="00FA13E7">
              <w:rPr>
                <w:sz w:val="2"/>
                <w:szCs w:val="2"/>
              </w:rPr>
              <w:t>1%</w:t>
            </w:r>
          </w:p>
        </w:tc>
      </w:tr>
      <w:tr w:rsidR="00FA13E7" w:rsidRPr="00FA13E7" w14:paraId="5F92197A" w14:textId="77777777" w:rsidTr="00FA13E7">
        <w:trPr>
          <w:trHeight w:val="300"/>
          <w:jc w:val="center"/>
        </w:trPr>
        <w:tc>
          <w:tcPr>
            <w:tcW w:w="1840" w:type="dxa"/>
            <w:noWrap/>
            <w:hideMark/>
          </w:tcPr>
          <w:p w14:paraId="14BB4C5D" w14:textId="77777777" w:rsidR="00FA13E7" w:rsidRPr="00FA13E7" w:rsidRDefault="00FA13E7" w:rsidP="00FA13E7">
            <w:pPr>
              <w:pStyle w:val="Source"/>
              <w:rPr>
                <w:sz w:val="2"/>
                <w:szCs w:val="2"/>
              </w:rPr>
            </w:pPr>
          </w:p>
        </w:tc>
        <w:tc>
          <w:tcPr>
            <w:tcW w:w="2780" w:type="dxa"/>
            <w:noWrap/>
            <w:hideMark/>
          </w:tcPr>
          <w:p w14:paraId="706D530A" w14:textId="77777777" w:rsidR="00FA13E7" w:rsidRPr="00FA13E7" w:rsidRDefault="00FA13E7" w:rsidP="00FA13E7">
            <w:pPr>
              <w:pStyle w:val="Source"/>
              <w:rPr>
                <w:sz w:val="2"/>
                <w:szCs w:val="2"/>
              </w:rPr>
            </w:pPr>
          </w:p>
        </w:tc>
        <w:tc>
          <w:tcPr>
            <w:tcW w:w="880" w:type="dxa"/>
            <w:noWrap/>
            <w:hideMark/>
          </w:tcPr>
          <w:p w14:paraId="2D179CDF" w14:textId="77777777" w:rsidR="00FA13E7" w:rsidRPr="00FA13E7" w:rsidRDefault="00FA13E7" w:rsidP="00FA13E7">
            <w:pPr>
              <w:pStyle w:val="Source"/>
              <w:rPr>
                <w:b/>
                <w:bCs/>
                <w:sz w:val="2"/>
                <w:szCs w:val="2"/>
              </w:rPr>
            </w:pPr>
            <w:r w:rsidRPr="00FA13E7">
              <w:rPr>
                <w:b/>
                <w:bCs/>
                <w:sz w:val="2"/>
                <w:szCs w:val="2"/>
              </w:rPr>
              <w:t>2013</w:t>
            </w:r>
          </w:p>
        </w:tc>
        <w:tc>
          <w:tcPr>
            <w:tcW w:w="880" w:type="dxa"/>
            <w:noWrap/>
            <w:hideMark/>
          </w:tcPr>
          <w:p w14:paraId="7DE9E2C3" w14:textId="77777777" w:rsidR="00FA13E7" w:rsidRPr="00FA13E7" w:rsidRDefault="00FA13E7" w:rsidP="00FA13E7">
            <w:pPr>
              <w:pStyle w:val="Source"/>
              <w:rPr>
                <w:b/>
                <w:bCs/>
                <w:sz w:val="2"/>
                <w:szCs w:val="2"/>
              </w:rPr>
            </w:pPr>
            <w:r w:rsidRPr="00FA13E7">
              <w:rPr>
                <w:b/>
                <w:bCs/>
                <w:sz w:val="2"/>
                <w:szCs w:val="2"/>
              </w:rPr>
              <w:t>2016</w:t>
            </w:r>
          </w:p>
        </w:tc>
        <w:tc>
          <w:tcPr>
            <w:tcW w:w="880" w:type="dxa"/>
            <w:noWrap/>
            <w:hideMark/>
          </w:tcPr>
          <w:p w14:paraId="10AD452F" w14:textId="77777777" w:rsidR="00FA13E7" w:rsidRPr="00FA13E7" w:rsidRDefault="00FA13E7" w:rsidP="00FA13E7">
            <w:pPr>
              <w:pStyle w:val="Source"/>
              <w:rPr>
                <w:b/>
                <w:bCs/>
                <w:sz w:val="2"/>
                <w:szCs w:val="2"/>
              </w:rPr>
            </w:pPr>
            <w:r w:rsidRPr="00FA13E7">
              <w:rPr>
                <w:b/>
                <w:bCs/>
                <w:sz w:val="2"/>
                <w:szCs w:val="2"/>
              </w:rPr>
              <w:t>2019</w:t>
            </w:r>
          </w:p>
        </w:tc>
        <w:tc>
          <w:tcPr>
            <w:tcW w:w="880" w:type="dxa"/>
            <w:noWrap/>
            <w:hideMark/>
          </w:tcPr>
          <w:p w14:paraId="6243D6BE" w14:textId="77777777" w:rsidR="00FA13E7" w:rsidRPr="00FA13E7" w:rsidRDefault="00FA13E7" w:rsidP="00FA13E7">
            <w:pPr>
              <w:pStyle w:val="Source"/>
              <w:rPr>
                <w:b/>
                <w:bCs/>
                <w:sz w:val="2"/>
                <w:szCs w:val="2"/>
              </w:rPr>
            </w:pPr>
            <w:r w:rsidRPr="00FA13E7">
              <w:rPr>
                <w:b/>
                <w:bCs/>
                <w:sz w:val="2"/>
                <w:szCs w:val="2"/>
              </w:rPr>
              <w:t>2021</w:t>
            </w:r>
          </w:p>
        </w:tc>
      </w:tr>
      <w:tr w:rsidR="00FA13E7" w:rsidRPr="00FA13E7" w14:paraId="442E9EF1" w14:textId="77777777" w:rsidTr="00FA13E7">
        <w:trPr>
          <w:trHeight w:val="300"/>
          <w:jc w:val="center"/>
        </w:trPr>
        <w:tc>
          <w:tcPr>
            <w:tcW w:w="1840" w:type="dxa"/>
            <w:noWrap/>
            <w:hideMark/>
          </w:tcPr>
          <w:p w14:paraId="02E85117" w14:textId="77777777" w:rsidR="00FA13E7" w:rsidRPr="00FA13E7" w:rsidRDefault="00FA13E7" w:rsidP="00FA13E7">
            <w:pPr>
              <w:pStyle w:val="Source"/>
              <w:rPr>
                <w:b/>
                <w:bCs/>
                <w:sz w:val="2"/>
                <w:szCs w:val="2"/>
              </w:rPr>
            </w:pPr>
            <w:r w:rsidRPr="00FA13E7">
              <w:rPr>
                <w:b/>
                <w:bCs/>
                <w:sz w:val="2"/>
                <w:szCs w:val="2"/>
              </w:rPr>
              <w:t>5 years and over</w:t>
            </w:r>
          </w:p>
        </w:tc>
        <w:tc>
          <w:tcPr>
            <w:tcW w:w="2780" w:type="dxa"/>
            <w:noWrap/>
            <w:hideMark/>
          </w:tcPr>
          <w:p w14:paraId="257B84D2" w14:textId="77777777" w:rsidR="00FA13E7" w:rsidRPr="00FA13E7" w:rsidRDefault="00FA13E7" w:rsidP="00FA13E7">
            <w:pPr>
              <w:pStyle w:val="Source"/>
              <w:rPr>
                <w:sz w:val="2"/>
                <w:szCs w:val="2"/>
              </w:rPr>
            </w:pPr>
            <w:r w:rsidRPr="00FA13E7">
              <w:rPr>
                <w:sz w:val="2"/>
                <w:szCs w:val="2"/>
              </w:rPr>
              <w:t>Centre Based Day Care</w:t>
            </w:r>
          </w:p>
        </w:tc>
        <w:tc>
          <w:tcPr>
            <w:tcW w:w="880" w:type="dxa"/>
            <w:noWrap/>
            <w:hideMark/>
          </w:tcPr>
          <w:p w14:paraId="0EA33F3E" w14:textId="77777777" w:rsidR="00FA13E7" w:rsidRPr="00FA13E7" w:rsidRDefault="00FA13E7" w:rsidP="00FA13E7">
            <w:pPr>
              <w:pStyle w:val="Source"/>
              <w:rPr>
                <w:sz w:val="2"/>
                <w:szCs w:val="2"/>
              </w:rPr>
            </w:pPr>
            <w:r w:rsidRPr="00FA13E7">
              <w:rPr>
                <w:sz w:val="2"/>
                <w:szCs w:val="2"/>
              </w:rPr>
              <w:t>2%</w:t>
            </w:r>
          </w:p>
        </w:tc>
        <w:tc>
          <w:tcPr>
            <w:tcW w:w="880" w:type="dxa"/>
            <w:noWrap/>
            <w:hideMark/>
          </w:tcPr>
          <w:p w14:paraId="27BDD490" w14:textId="77777777" w:rsidR="00FA13E7" w:rsidRPr="00FA13E7" w:rsidRDefault="00FA13E7" w:rsidP="00FA13E7">
            <w:pPr>
              <w:pStyle w:val="Source"/>
              <w:rPr>
                <w:sz w:val="2"/>
                <w:szCs w:val="2"/>
              </w:rPr>
            </w:pPr>
            <w:r w:rsidRPr="00FA13E7">
              <w:rPr>
                <w:sz w:val="2"/>
                <w:szCs w:val="2"/>
              </w:rPr>
              <w:t>1%</w:t>
            </w:r>
          </w:p>
        </w:tc>
        <w:tc>
          <w:tcPr>
            <w:tcW w:w="880" w:type="dxa"/>
            <w:noWrap/>
            <w:hideMark/>
          </w:tcPr>
          <w:p w14:paraId="38906424" w14:textId="77777777" w:rsidR="00FA13E7" w:rsidRPr="00FA13E7" w:rsidRDefault="00FA13E7" w:rsidP="00FA13E7">
            <w:pPr>
              <w:pStyle w:val="Source"/>
              <w:rPr>
                <w:sz w:val="2"/>
                <w:szCs w:val="2"/>
              </w:rPr>
            </w:pPr>
            <w:r w:rsidRPr="00FA13E7">
              <w:rPr>
                <w:sz w:val="2"/>
                <w:szCs w:val="2"/>
              </w:rPr>
              <w:t>2%</w:t>
            </w:r>
          </w:p>
        </w:tc>
        <w:tc>
          <w:tcPr>
            <w:tcW w:w="880" w:type="dxa"/>
            <w:noWrap/>
            <w:hideMark/>
          </w:tcPr>
          <w:p w14:paraId="165E8C07" w14:textId="77777777" w:rsidR="00FA13E7" w:rsidRPr="00FA13E7" w:rsidRDefault="00FA13E7" w:rsidP="00FA13E7">
            <w:pPr>
              <w:pStyle w:val="Source"/>
              <w:rPr>
                <w:sz w:val="2"/>
                <w:szCs w:val="2"/>
              </w:rPr>
            </w:pPr>
            <w:r w:rsidRPr="00FA13E7">
              <w:rPr>
                <w:sz w:val="2"/>
                <w:szCs w:val="2"/>
              </w:rPr>
              <w:t>2%</w:t>
            </w:r>
          </w:p>
        </w:tc>
      </w:tr>
      <w:tr w:rsidR="00FA13E7" w:rsidRPr="00FA13E7" w14:paraId="12CBDCD2" w14:textId="77777777" w:rsidTr="00FA13E7">
        <w:trPr>
          <w:trHeight w:val="285"/>
          <w:jc w:val="center"/>
        </w:trPr>
        <w:tc>
          <w:tcPr>
            <w:tcW w:w="1840" w:type="dxa"/>
            <w:noWrap/>
            <w:hideMark/>
          </w:tcPr>
          <w:p w14:paraId="4B945872" w14:textId="77777777" w:rsidR="00FA13E7" w:rsidRPr="00FA13E7" w:rsidRDefault="00FA13E7" w:rsidP="00FA13E7">
            <w:pPr>
              <w:pStyle w:val="Source"/>
              <w:rPr>
                <w:sz w:val="2"/>
                <w:szCs w:val="2"/>
              </w:rPr>
            </w:pPr>
          </w:p>
        </w:tc>
        <w:tc>
          <w:tcPr>
            <w:tcW w:w="2780" w:type="dxa"/>
            <w:noWrap/>
            <w:hideMark/>
          </w:tcPr>
          <w:p w14:paraId="1511DF8A" w14:textId="77777777" w:rsidR="00FA13E7" w:rsidRPr="00FA13E7" w:rsidRDefault="00FA13E7" w:rsidP="00FA13E7">
            <w:pPr>
              <w:pStyle w:val="Source"/>
              <w:rPr>
                <w:sz w:val="2"/>
                <w:szCs w:val="2"/>
              </w:rPr>
            </w:pPr>
            <w:r w:rsidRPr="00FA13E7">
              <w:rPr>
                <w:sz w:val="2"/>
                <w:szCs w:val="2"/>
              </w:rPr>
              <w:t>Family Day Care</w:t>
            </w:r>
          </w:p>
        </w:tc>
        <w:tc>
          <w:tcPr>
            <w:tcW w:w="880" w:type="dxa"/>
            <w:noWrap/>
            <w:hideMark/>
          </w:tcPr>
          <w:p w14:paraId="69B9679A" w14:textId="77777777" w:rsidR="00FA13E7" w:rsidRPr="00FA13E7" w:rsidRDefault="00FA13E7" w:rsidP="00FA13E7">
            <w:pPr>
              <w:pStyle w:val="Source"/>
              <w:rPr>
                <w:sz w:val="2"/>
                <w:szCs w:val="2"/>
              </w:rPr>
            </w:pPr>
            <w:r w:rsidRPr="00FA13E7">
              <w:rPr>
                <w:sz w:val="2"/>
                <w:szCs w:val="2"/>
              </w:rPr>
              <w:t>2%</w:t>
            </w:r>
          </w:p>
        </w:tc>
        <w:tc>
          <w:tcPr>
            <w:tcW w:w="880" w:type="dxa"/>
            <w:noWrap/>
            <w:hideMark/>
          </w:tcPr>
          <w:p w14:paraId="08C8812D" w14:textId="77777777" w:rsidR="00FA13E7" w:rsidRPr="00FA13E7" w:rsidRDefault="00FA13E7" w:rsidP="00FA13E7">
            <w:pPr>
              <w:pStyle w:val="Source"/>
              <w:rPr>
                <w:sz w:val="2"/>
                <w:szCs w:val="2"/>
              </w:rPr>
            </w:pPr>
            <w:r w:rsidRPr="00FA13E7">
              <w:rPr>
                <w:sz w:val="2"/>
                <w:szCs w:val="2"/>
              </w:rPr>
              <w:t>3%</w:t>
            </w:r>
          </w:p>
        </w:tc>
        <w:tc>
          <w:tcPr>
            <w:tcW w:w="880" w:type="dxa"/>
            <w:noWrap/>
            <w:hideMark/>
          </w:tcPr>
          <w:p w14:paraId="0F1042FD" w14:textId="77777777" w:rsidR="00FA13E7" w:rsidRPr="00FA13E7" w:rsidRDefault="00FA13E7" w:rsidP="00FA13E7">
            <w:pPr>
              <w:pStyle w:val="Source"/>
              <w:rPr>
                <w:sz w:val="2"/>
                <w:szCs w:val="2"/>
              </w:rPr>
            </w:pPr>
            <w:r w:rsidRPr="00FA13E7">
              <w:rPr>
                <w:sz w:val="2"/>
                <w:szCs w:val="2"/>
              </w:rPr>
              <w:t>1%</w:t>
            </w:r>
          </w:p>
        </w:tc>
        <w:tc>
          <w:tcPr>
            <w:tcW w:w="880" w:type="dxa"/>
            <w:noWrap/>
            <w:hideMark/>
          </w:tcPr>
          <w:p w14:paraId="7DE69AC1" w14:textId="77777777" w:rsidR="00FA13E7" w:rsidRPr="00FA13E7" w:rsidRDefault="00FA13E7" w:rsidP="00FA13E7">
            <w:pPr>
              <w:pStyle w:val="Source"/>
              <w:rPr>
                <w:sz w:val="2"/>
                <w:szCs w:val="2"/>
              </w:rPr>
            </w:pPr>
            <w:r w:rsidRPr="00FA13E7">
              <w:rPr>
                <w:sz w:val="2"/>
                <w:szCs w:val="2"/>
              </w:rPr>
              <w:t>1%</w:t>
            </w:r>
          </w:p>
        </w:tc>
      </w:tr>
      <w:tr w:rsidR="00FA13E7" w:rsidRPr="00FA13E7" w14:paraId="10EBF6F3" w14:textId="77777777" w:rsidTr="00FA13E7">
        <w:trPr>
          <w:trHeight w:val="285"/>
          <w:jc w:val="center"/>
        </w:trPr>
        <w:tc>
          <w:tcPr>
            <w:tcW w:w="1840" w:type="dxa"/>
            <w:noWrap/>
            <w:hideMark/>
          </w:tcPr>
          <w:p w14:paraId="31E31DC3" w14:textId="77777777" w:rsidR="00FA13E7" w:rsidRPr="00FA13E7" w:rsidRDefault="00FA13E7" w:rsidP="00FA13E7">
            <w:pPr>
              <w:pStyle w:val="Source"/>
              <w:rPr>
                <w:sz w:val="2"/>
                <w:szCs w:val="2"/>
              </w:rPr>
            </w:pPr>
          </w:p>
        </w:tc>
        <w:tc>
          <w:tcPr>
            <w:tcW w:w="2780" w:type="dxa"/>
            <w:noWrap/>
            <w:hideMark/>
          </w:tcPr>
          <w:p w14:paraId="70F98187" w14:textId="77777777" w:rsidR="00FA13E7" w:rsidRPr="00FA13E7" w:rsidRDefault="00FA13E7" w:rsidP="00FA13E7">
            <w:pPr>
              <w:pStyle w:val="Source"/>
              <w:rPr>
                <w:sz w:val="2"/>
                <w:szCs w:val="2"/>
              </w:rPr>
            </w:pPr>
            <w:r w:rsidRPr="00FA13E7">
              <w:rPr>
                <w:sz w:val="2"/>
                <w:szCs w:val="2"/>
              </w:rPr>
              <w:t>Out of School Hours Care</w:t>
            </w:r>
          </w:p>
        </w:tc>
        <w:tc>
          <w:tcPr>
            <w:tcW w:w="880" w:type="dxa"/>
            <w:noWrap/>
            <w:hideMark/>
          </w:tcPr>
          <w:p w14:paraId="2EEB0105" w14:textId="77777777" w:rsidR="00FA13E7" w:rsidRPr="00FA13E7" w:rsidRDefault="00FA13E7" w:rsidP="00FA13E7">
            <w:pPr>
              <w:pStyle w:val="Source"/>
              <w:rPr>
                <w:sz w:val="2"/>
                <w:szCs w:val="2"/>
              </w:rPr>
            </w:pPr>
            <w:r w:rsidRPr="00FA13E7">
              <w:rPr>
                <w:sz w:val="2"/>
                <w:szCs w:val="2"/>
              </w:rPr>
              <w:t>13%</w:t>
            </w:r>
          </w:p>
        </w:tc>
        <w:tc>
          <w:tcPr>
            <w:tcW w:w="880" w:type="dxa"/>
            <w:noWrap/>
            <w:hideMark/>
          </w:tcPr>
          <w:p w14:paraId="0892E2BA" w14:textId="77777777" w:rsidR="00FA13E7" w:rsidRPr="00FA13E7" w:rsidRDefault="00FA13E7" w:rsidP="00FA13E7">
            <w:pPr>
              <w:pStyle w:val="Source"/>
              <w:rPr>
                <w:sz w:val="2"/>
                <w:szCs w:val="2"/>
              </w:rPr>
            </w:pPr>
            <w:r w:rsidRPr="00FA13E7">
              <w:rPr>
                <w:sz w:val="2"/>
                <w:szCs w:val="2"/>
              </w:rPr>
              <w:t>14%</w:t>
            </w:r>
          </w:p>
        </w:tc>
        <w:tc>
          <w:tcPr>
            <w:tcW w:w="880" w:type="dxa"/>
            <w:noWrap/>
            <w:hideMark/>
          </w:tcPr>
          <w:p w14:paraId="0610BF1C" w14:textId="77777777" w:rsidR="00FA13E7" w:rsidRPr="00FA13E7" w:rsidRDefault="00FA13E7" w:rsidP="00FA13E7">
            <w:pPr>
              <w:pStyle w:val="Source"/>
              <w:rPr>
                <w:sz w:val="2"/>
                <w:szCs w:val="2"/>
              </w:rPr>
            </w:pPr>
            <w:r w:rsidRPr="00FA13E7">
              <w:rPr>
                <w:sz w:val="2"/>
                <w:szCs w:val="2"/>
              </w:rPr>
              <w:t>12%</w:t>
            </w:r>
          </w:p>
        </w:tc>
        <w:tc>
          <w:tcPr>
            <w:tcW w:w="880" w:type="dxa"/>
            <w:noWrap/>
            <w:hideMark/>
          </w:tcPr>
          <w:p w14:paraId="4B8037DD" w14:textId="77777777" w:rsidR="00FA13E7" w:rsidRPr="00FA13E7" w:rsidRDefault="00FA13E7" w:rsidP="00FA13E7">
            <w:pPr>
              <w:pStyle w:val="Source"/>
              <w:rPr>
                <w:sz w:val="2"/>
                <w:szCs w:val="2"/>
              </w:rPr>
            </w:pPr>
            <w:r w:rsidRPr="00FA13E7">
              <w:rPr>
                <w:sz w:val="2"/>
                <w:szCs w:val="2"/>
              </w:rPr>
              <w:t>13%</w:t>
            </w:r>
          </w:p>
        </w:tc>
      </w:tr>
    </w:tbl>
    <w:p w14:paraId="31E8136E" w14:textId="77777777" w:rsidR="00FA13E7" w:rsidRDefault="00FA13E7" w:rsidP="00FA13E7"/>
    <w:p w14:paraId="05EE9F28" w14:textId="77777777" w:rsidR="00FA13E7" w:rsidRDefault="00FA13E7" w:rsidP="00FA13E7"/>
    <w:p w14:paraId="2AE7EC13" w14:textId="77777777" w:rsidR="00FA13E7" w:rsidRDefault="00FA13E7" w:rsidP="00FA13E7"/>
    <w:p w14:paraId="3ED460C5" w14:textId="77777777" w:rsidR="00FA13E7" w:rsidRDefault="00FA13E7" w:rsidP="00FA13E7"/>
    <w:p w14:paraId="01182307" w14:textId="77777777" w:rsidR="00FA13E7" w:rsidRDefault="00FA13E7" w:rsidP="00FA13E7"/>
    <w:p w14:paraId="46A1321B" w14:textId="77777777" w:rsidR="00FA13E7" w:rsidRDefault="00FA13E7" w:rsidP="00FA13E7"/>
    <w:p w14:paraId="38E79C40" w14:textId="77777777" w:rsidR="00FA13E7" w:rsidRDefault="00FA13E7" w:rsidP="00FA13E7"/>
    <w:p w14:paraId="542E6D9E" w14:textId="77777777" w:rsidR="00FA13E7" w:rsidRDefault="00FA13E7" w:rsidP="00FA13E7"/>
    <w:p w14:paraId="15A7D1F5" w14:textId="77777777" w:rsidR="00FA13E7" w:rsidRDefault="00FA13E7" w:rsidP="00FA13E7"/>
    <w:p w14:paraId="2585EAE0" w14:textId="77777777" w:rsidR="00FA13E7" w:rsidRDefault="00FA13E7" w:rsidP="00FA13E7"/>
    <w:p w14:paraId="480870AC" w14:textId="77777777" w:rsidR="00FA13E7" w:rsidRDefault="00FA13E7" w:rsidP="00FA13E7"/>
    <w:p w14:paraId="0B2BE91B" w14:textId="77777777" w:rsidR="00FA13E7" w:rsidRDefault="00FA13E7" w:rsidP="00FA13E7"/>
    <w:p w14:paraId="75E340B8" w14:textId="77777777" w:rsidR="00FA13E7" w:rsidRDefault="00FA13E7" w:rsidP="00FA13E7"/>
    <w:p w14:paraId="15313AC3" w14:textId="77777777" w:rsidR="00FA13E7" w:rsidRDefault="00FA13E7" w:rsidP="00FA13E7"/>
    <w:p w14:paraId="772434F2" w14:textId="77777777" w:rsidR="00FA13E7" w:rsidRDefault="00FA13E7" w:rsidP="00FA13E7"/>
    <w:p w14:paraId="59D7E6FF" w14:textId="77777777" w:rsidR="00FA13E7" w:rsidRDefault="00FA13E7" w:rsidP="00FA13E7"/>
    <w:p w14:paraId="31BEF6EB" w14:textId="713FA69F" w:rsidR="00BC3D30" w:rsidRPr="00AC0CEB" w:rsidRDefault="00BC3D30" w:rsidP="00887E52">
      <w:pPr>
        <w:pStyle w:val="Source"/>
      </w:pPr>
      <w:r w:rsidRPr="59351DE1">
        <w:t>Source: JSA analysis of Department of Education CCS and NWC (2021) data; ABS, Estimated Resident Population (ERP)</w:t>
      </w:r>
    </w:p>
    <w:p w14:paraId="06136F24" w14:textId="77777777" w:rsidR="00BC3D30" w:rsidRDefault="00BC3D30" w:rsidP="00BC3D30">
      <w:r>
        <w:t xml:space="preserve">Around 67% of </w:t>
      </w:r>
      <w:proofErr w:type="gramStart"/>
      <w:r>
        <w:t>3 year olds</w:t>
      </w:r>
      <w:proofErr w:type="gramEnd"/>
      <w:r>
        <w:t xml:space="preserve"> and 86% of 4 year olds were enrolled in a preschool program in 2021. This rate has increased around 9 percentage points for </w:t>
      </w:r>
      <w:proofErr w:type="gramStart"/>
      <w:r>
        <w:t>3 year olds</w:t>
      </w:r>
      <w:proofErr w:type="gramEnd"/>
      <w:r>
        <w:t xml:space="preserve"> since 2016, but has not changed substantially for 4 year olds.</w:t>
      </w:r>
      <w:r>
        <w:rPr>
          <w:rStyle w:val="FootnoteReference"/>
        </w:rPr>
        <w:footnoteReference w:id="13"/>
      </w:r>
    </w:p>
    <w:p w14:paraId="329B5C6B" w14:textId="4CD0B3E6" w:rsidR="00BC3D30" w:rsidRDefault="00BC3D30" w:rsidP="00887E52">
      <w:pPr>
        <w:keepLines/>
      </w:pPr>
      <w:r>
        <w:lastRenderedPageBreak/>
        <w:t xml:space="preserve">ECEC usage varies across Australia. As illustrated in </w:t>
      </w:r>
      <w:r>
        <w:fldChar w:fldCharType="begin"/>
      </w:r>
      <w:r>
        <w:instrText xml:space="preserve"> REF _Ref171688523 \h </w:instrText>
      </w:r>
      <w:r>
        <w:fldChar w:fldCharType="separate"/>
      </w:r>
      <w:r w:rsidR="005F18C1">
        <w:t>Figure 1.</w:t>
      </w:r>
      <w:r w:rsidR="005F18C1">
        <w:rPr>
          <w:noProof/>
        </w:rPr>
        <w:t>3</w:t>
      </w:r>
      <w:r>
        <w:fldChar w:fldCharType="end"/>
      </w:r>
      <w:r>
        <w:t xml:space="preserve"> below, children in major cities are the most likely to be utilising formal ECEC, with around half of children aged 0-4 attending a CBDC service. Usage drops substantially in regional and remote areas, and disproportionately so for OSHC use among </w:t>
      </w:r>
      <w:proofErr w:type="gramStart"/>
      <w:r>
        <w:t>5-12 year olds</w:t>
      </w:r>
      <w:proofErr w:type="gramEnd"/>
      <w:r>
        <w:t>.</w:t>
      </w:r>
    </w:p>
    <w:p w14:paraId="0D355263" w14:textId="0D7CE6FB" w:rsidR="00BC3D30" w:rsidRDefault="00D72616" w:rsidP="00BC3D30">
      <w:pPr>
        <w:pStyle w:val="Caption"/>
      </w:pPr>
      <w:bookmarkStart w:id="49" w:name="_Ref171688523"/>
      <w:r>
        <w:rPr>
          <w:noProof/>
        </w:rPr>
        <w:drawing>
          <wp:anchor distT="0" distB="0" distL="114300" distR="114300" simplePos="0" relativeHeight="251695107" behindDoc="0" locked="0" layoutInCell="1" allowOverlap="1" wp14:anchorId="3A4E9F2E" wp14:editId="632D4A77">
            <wp:simplePos x="0" y="0"/>
            <wp:positionH relativeFrom="column">
              <wp:align>left</wp:align>
            </wp:positionH>
            <wp:positionV relativeFrom="paragraph">
              <wp:posOffset>364490</wp:posOffset>
            </wp:positionV>
            <wp:extent cx="5731200" cy="6447600"/>
            <wp:effectExtent l="0" t="0" r="3175" b="0"/>
            <wp:wrapNone/>
            <wp:docPr id="125865134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651343" name="Picture 2">
                      <a:extLst>
                        <a:ext uri="{C183D7F6-B498-43B3-948B-1728B52AA6E4}">
                          <adec:decorative xmlns:adec="http://schemas.microsoft.com/office/drawing/2017/decorative" val="1"/>
                        </a:ext>
                      </a:extLst>
                    </pic:cNvPr>
                    <pic:cNvPicPr>
                      <a:picLocks noChangeAspect="1" noChangeArrowheads="1"/>
                    </pic:cNvPicPr>
                  </pic:nvPicPr>
                  <pic:blipFill>
                    <a:blip r:embed="rId53" cstate="screen">
                      <a:extLst>
                        <a:ext uri="{28A0092B-C50C-407E-A947-70E740481C1C}">
                          <a14:useLocalDpi xmlns:a14="http://schemas.microsoft.com/office/drawing/2010/main" val="0"/>
                        </a:ext>
                      </a:extLst>
                    </a:blip>
                    <a:srcRect/>
                    <a:stretch>
                      <a:fillRect/>
                    </a:stretch>
                  </pic:blipFill>
                  <pic:spPr bwMode="auto">
                    <a:xfrm>
                      <a:off x="0" y="0"/>
                      <a:ext cx="5731200" cy="644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3D30">
        <w:t>Figure 1.</w:t>
      </w:r>
      <w:r w:rsidR="00BC3D30">
        <w:fldChar w:fldCharType="begin"/>
      </w:r>
      <w:r w:rsidR="00BC3D30">
        <w:instrText xml:space="preserve"> SEQ Figure \* ARABIC </w:instrText>
      </w:r>
      <w:r w:rsidR="00BC3D30">
        <w:fldChar w:fldCharType="separate"/>
      </w:r>
      <w:r w:rsidR="005F18C1">
        <w:rPr>
          <w:noProof/>
        </w:rPr>
        <w:t>3</w:t>
      </w:r>
      <w:r w:rsidR="00BC3D30">
        <w:fldChar w:fldCharType="end"/>
      </w:r>
      <w:bookmarkEnd w:id="49"/>
      <w:r w:rsidR="00BC3D30">
        <w:t xml:space="preserve"> </w:t>
      </w:r>
      <w:r w:rsidR="00BC3D30" w:rsidRPr="000F691D">
        <w:t>Share of children using ECEC by age group, remoteness, and service type, 2021</w:t>
      </w:r>
      <w:r w:rsidR="00BC3D30">
        <w:rPr>
          <w:rStyle w:val="FootnoteReference"/>
        </w:rPr>
        <w:footnoteReference w:id="14"/>
      </w:r>
    </w:p>
    <w:p w14:paraId="51A64774" w14:textId="45F6FA43" w:rsidR="00BC3D30" w:rsidRDefault="00BC3D30" w:rsidP="00BC3D30">
      <w:pPr>
        <w:jc w:val="center"/>
        <w:rPr>
          <w:b/>
          <w:sz w:val="18"/>
          <w:szCs w:val="18"/>
        </w:rPr>
      </w:pPr>
    </w:p>
    <w:tbl>
      <w:tblPr>
        <w:tblStyle w:val="Box"/>
        <w:tblW w:w="8364" w:type="dxa"/>
        <w:jc w:val="center"/>
        <w:tblLook w:val="04A0" w:firstRow="1" w:lastRow="0" w:firstColumn="1" w:lastColumn="0" w:noHBand="0" w:noVBand="1"/>
      </w:tblPr>
      <w:tblGrid>
        <w:gridCol w:w="1368"/>
        <w:gridCol w:w="1963"/>
        <w:gridCol w:w="1055"/>
        <w:gridCol w:w="1254"/>
        <w:gridCol w:w="881"/>
        <w:gridCol w:w="1843"/>
      </w:tblGrid>
      <w:tr w:rsidR="00FA13E7" w:rsidRPr="00FA13E7" w14:paraId="063639A7" w14:textId="77777777" w:rsidTr="00D72616">
        <w:trPr>
          <w:trHeight w:val="300"/>
          <w:jc w:val="center"/>
        </w:trPr>
        <w:tc>
          <w:tcPr>
            <w:tcW w:w="1368" w:type="dxa"/>
            <w:noWrap/>
            <w:hideMark/>
          </w:tcPr>
          <w:p w14:paraId="35C47237" w14:textId="77777777" w:rsidR="00FA13E7" w:rsidRPr="00FA13E7" w:rsidRDefault="00FA13E7" w:rsidP="00FA13E7">
            <w:pPr>
              <w:pStyle w:val="Source"/>
              <w:rPr>
                <w:sz w:val="2"/>
                <w:szCs w:val="2"/>
              </w:rPr>
            </w:pPr>
          </w:p>
        </w:tc>
        <w:tc>
          <w:tcPr>
            <w:tcW w:w="1963" w:type="dxa"/>
            <w:noWrap/>
            <w:hideMark/>
          </w:tcPr>
          <w:p w14:paraId="4C5E78AE" w14:textId="77777777" w:rsidR="00FA13E7" w:rsidRPr="00FA13E7" w:rsidRDefault="00FA13E7" w:rsidP="00FA13E7">
            <w:pPr>
              <w:pStyle w:val="Source"/>
              <w:rPr>
                <w:sz w:val="2"/>
                <w:szCs w:val="2"/>
              </w:rPr>
            </w:pPr>
          </w:p>
        </w:tc>
        <w:tc>
          <w:tcPr>
            <w:tcW w:w="1055" w:type="dxa"/>
            <w:noWrap/>
            <w:hideMark/>
          </w:tcPr>
          <w:p w14:paraId="5F4876BD" w14:textId="77777777" w:rsidR="00FA13E7" w:rsidRPr="00FA13E7" w:rsidRDefault="00FA13E7" w:rsidP="00FA13E7">
            <w:pPr>
              <w:pStyle w:val="Source"/>
              <w:rPr>
                <w:b/>
                <w:bCs/>
                <w:sz w:val="2"/>
                <w:szCs w:val="2"/>
              </w:rPr>
            </w:pPr>
            <w:r w:rsidRPr="00FA13E7">
              <w:rPr>
                <w:b/>
                <w:bCs/>
                <w:sz w:val="2"/>
                <w:szCs w:val="2"/>
              </w:rPr>
              <w:t>Major Cities</w:t>
            </w:r>
          </w:p>
        </w:tc>
        <w:tc>
          <w:tcPr>
            <w:tcW w:w="1254" w:type="dxa"/>
            <w:noWrap/>
            <w:hideMark/>
          </w:tcPr>
          <w:p w14:paraId="7A000E18" w14:textId="77777777" w:rsidR="00FA13E7" w:rsidRPr="00FA13E7" w:rsidRDefault="00FA13E7" w:rsidP="00FA13E7">
            <w:pPr>
              <w:pStyle w:val="Source"/>
              <w:rPr>
                <w:b/>
                <w:bCs/>
                <w:sz w:val="2"/>
                <w:szCs w:val="2"/>
              </w:rPr>
            </w:pPr>
            <w:r w:rsidRPr="00FA13E7">
              <w:rPr>
                <w:b/>
                <w:bCs/>
                <w:sz w:val="2"/>
                <w:szCs w:val="2"/>
              </w:rPr>
              <w:t>Inner Regional</w:t>
            </w:r>
          </w:p>
        </w:tc>
        <w:tc>
          <w:tcPr>
            <w:tcW w:w="881" w:type="dxa"/>
            <w:noWrap/>
            <w:hideMark/>
          </w:tcPr>
          <w:p w14:paraId="6F299BF6" w14:textId="77777777" w:rsidR="00FA13E7" w:rsidRPr="00FA13E7" w:rsidRDefault="00FA13E7" w:rsidP="00FA13E7">
            <w:pPr>
              <w:pStyle w:val="Source"/>
              <w:rPr>
                <w:b/>
                <w:bCs/>
                <w:sz w:val="2"/>
                <w:szCs w:val="2"/>
              </w:rPr>
            </w:pPr>
            <w:r w:rsidRPr="00FA13E7">
              <w:rPr>
                <w:b/>
                <w:bCs/>
                <w:sz w:val="2"/>
                <w:szCs w:val="2"/>
              </w:rPr>
              <w:t>Outer Regional</w:t>
            </w:r>
          </w:p>
        </w:tc>
        <w:tc>
          <w:tcPr>
            <w:tcW w:w="1843" w:type="dxa"/>
            <w:noWrap/>
            <w:hideMark/>
          </w:tcPr>
          <w:p w14:paraId="2A512647" w14:textId="77777777" w:rsidR="00FA13E7" w:rsidRPr="00FA13E7" w:rsidRDefault="00FA13E7" w:rsidP="00FA13E7">
            <w:pPr>
              <w:pStyle w:val="Source"/>
              <w:rPr>
                <w:b/>
                <w:bCs/>
                <w:sz w:val="2"/>
                <w:szCs w:val="2"/>
              </w:rPr>
            </w:pPr>
            <w:r w:rsidRPr="00FA13E7">
              <w:rPr>
                <w:b/>
                <w:bCs/>
                <w:sz w:val="2"/>
                <w:szCs w:val="2"/>
              </w:rPr>
              <w:t>Remote and Very Remote</w:t>
            </w:r>
          </w:p>
        </w:tc>
      </w:tr>
      <w:tr w:rsidR="00D72616" w:rsidRPr="00FA13E7" w14:paraId="407A3E95" w14:textId="77777777" w:rsidTr="00D72616">
        <w:trPr>
          <w:trHeight w:val="300"/>
          <w:jc w:val="center"/>
        </w:trPr>
        <w:tc>
          <w:tcPr>
            <w:tcW w:w="1368" w:type="dxa"/>
            <w:noWrap/>
            <w:hideMark/>
          </w:tcPr>
          <w:p w14:paraId="694E768F" w14:textId="77777777" w:rsidR="00FA13E7" w:rsidRPr="00FA13E7" w:rsidRDefault="00FA13E7" w:rsidP="00FA13E7">
            <w:pPr>
              <w:pStyle w:val="Source"/>
              <w:rPr>
                <w:b/>
                <w:bCs/>
                <w:sz w:val="2"/>
                <w:szCs w:val="2"/>
              </w:rPr>
            </w:pPr>
            <w:r w:rsidRPr="00FA13E7">
              <w:rPr>
                <w:b/>
                <w:bCs/>
                <w:sz w:val="2"/>
                <w:szCs w:val="2"/>
              </w:rPr>
              <w:t>0 to 4 years</w:t>
            </w:r>
          </w:p>
        </w:tc>
        <w:tc>
          <w:tcPr>
            <w:tcW w:w="1963" w:type="dxa"/>
            <w:noWrap/>
            <w:hideMark/>
          </w:tcPr>
          <w:p w14:paraId="02274350" w14:textId="77777777" w:rsidR="00FA13E7" w:rsidRPr="00FA13E7" w:rsidRDefault="00FA13E7" w:rsidP="00FA13E7">
            <w:pPr>
              <w:pStyle w:val="Source"/>
              <w:rPr>
                <w:sz w:val="2"/>
                <w:szCs w:val="2"/>
              </w:rPr>
            </w:pPr>
            <w:r w:rsidRPr="00FA13E7">
              <w:rPr>
                <w:sz w:val="2"/>
                <w:szCs w:val="2"/>
              </w:rPr>
              <w:t>Centre Based Day Care</w:t>
            </w:r>
          </w:p>
        </w:tc>
        <w:tc>
          <w:tcPr>
            <w:tcW w:w="1055" w:type="dxa"/>
            <w:noWrap/>
            <w:hideMark/>
          </w:tcPr>
          <w:p w14:paraId="374E151A" w14:textId="77777777" w:rsidR="00FA13E7" w:rsidRPr="00FA13E7" w:rsidRDefault="00FA13E7" w:rsidP="00FA13E7">
            <w:pPr>
              <w:pStyle w:val="Source"/>
              <w:rPr>
                <w:sz w:val="2"/>
                <w:szCs w:val="2"/>
              </w:rPr>
            </w:pPr>
            <w:r w:rsidRPr="00FA13E7">
              <w:rPr>
                <w:sz w:val="2"/>
                <w:szCs w:val="2"/>
              </w:rPr>
              <w:t>50.7%</w:t>
            </w:r>
          </w:p>
        </w:tc>
        <w:tc>
          <w:tcPr>
            <w:tcW w:w="1254" w:type="dxa"/>
            <w:noWrap/>
            <w:hideMark/>
          </w:tcPr>
          <w:p w14:paraId="498C5366" w14:textId="77777777" w:rsidR="00FA13E7" w:rsidRPr="00FA13E7" w:rsidRDefault="00FA13E7" w:rsidP="00FA13E7">
            <w:pPr>
              <w:pStyle w:val="Source"/>
              <w:rPr>
                <w:sz w:val="2"/>
                <w:szCs w:val="2"/>
              </w:rPr>
            </w:pPr>
            <w:r w:rsidRPr="00FA13E7">
              <w:rPr>
                <w:sz w:val="2"/>
                <w:szCs w:val="2"/>
              </w:rPr>
              <w:t>45.6%</w:t>
            </w:r>
          </w:p>
        </w:tc>
        <w:tc>
          <w:tcPr>
            <w:tcW w:w="881" w:type="dxa"/>
            <w:noWrap/>
            <w:hideMark/>
          </w:tcPr>
          <w:p w14:paraId="27684F71" w14:textId="77777777" w:rsidR="00FA13E7" w:rsidRPr="00FA13E7" w:rsidRDefault="00FA13E7" w:rsidP="00FA13E7">
            <w:pPr>
              <w:pStyle w:val="Source"/>
              <w:rPr>
                <w:sz w:val="2"/>
                <w:szCs w:val="2"/>
              </w:rPr>
            </w:pPr>
            <w:r w:rsidRPr="00FA13E7">
              <w:rPr>
                <w:sz w:val="2"/>
                <w:szCs w:val="2"/>
              </w:rPr>
              <w:t>39%</w:t>
            </w:r>
          </w:p>
        </w:tc>
        <w:tc>
          <w:tcPr>
            <w:tcW w:w="1843" w:type="dxa"/>
            <w:noWrap/>
            <w:hideMark/>
          </w:tcPr>
          <w:p w14:paraId="67BC5E4B" w14:textId="77777777" w:rsidR="00FA13E7" w:rsidRPr="00FA13E7" w:rsidRDefault="00FA13E7" w:rsidP="00FA13E7">
            <w:pPr>
              <w:pStyle w:val="Source"/>
              <w:rPr>
                <w:sz w:val="2"/>
                <w:szCs w:val="2"/>
              </w:rPr>
            </w:pPr>
            <w:r w:rsidRPr="00FA13E7">
              <w:rPr>
                <w:sz w:val="2"/>
                <w:szCs w:val="2"/>
              </w:rPr>
              <w:t>24.2%</w:t>
            </w:r>
          </w:p>
        </w:tc>
      </w:tr>
      <w:tr w:rsidR="00D72616" w:rsidRPr="00FA13E7" w14:paraId="4B0A7CAC" w14:textId="77777777" w:rsidTr="00D72616">
        <w:trPr>
          <w:trHeight w:val="285"/>
          <w:jc w:val="center"/>
        </w:trPr>
        <w:tc>
          <w:tcPr>
            <w:tcW w:w="1368" w:type="dxa"/>
            <w:noWrap/>
            <w:hideMark/>
          </w:tcPr>
          <w:p w14:paraId="2CBFC414" w14:textId="77777777" w:rsidR="00FA13E7" w:rsidRPr="00FA13E7" w:rsidRDefault="00FA13E7" w:rsidP="00FA13E7">
            <w:pPr>
              <w:pStyle w:val="Source"/>
              <w:rPr>
                <w:sz w:val="2"/>
                <w:szCs w:val="2"/>
              </w:rPr>
            </w:pPr>
          </w:p>
        </w:tc>
        <w:tc>
          <w:tcPr>
            <w:tcW w:w="1963" w:type="dxa"/>
            <w:noWrap/>
            <w:hideMark/>
          </w:tcPr>
          <w:p w14:paraId="53D206F6" w14:textId="77777777" w:rsidR="00FA13E7" w:rsidRPr="00FA13E7" w:rsidRDefault="00FA13E7" w:rsidP="00FA13E7">
            <w:pPr>
              <w:pStyle w:val="Source"/>
              <w:rPr>
                <w:sz w:val="2"/>
                <w:szCs w:val="2"/>
              </w:rPr>
            </w:pPr>
            <w:r w:rsidRPr="00FA13E7">
              <w:rPr>
                <w:sz w:val="2"/>
                <w:szCs w:val="2"/>
              </w:rPr>
              <w:t>Family Day Care</w:t>
            </w:r>
          </w:p>
        </w:tc>
        <w:tc>
          <w:tcPr>
            <w:tcW w:w="1055" w:type="dxa"/>
            <w:noWrap/>
            <w:hideMark/>
          </w:tcPr>
          <w:p w14:paraId="3B61E116" w14:textId="77777777" w:rsidR="00FA13E7" w:rsidRPr="00FA13E7" w:rsidRDefault="00FA13E7" w:rsidP="00FA13E7">
            <w:pPr>
              <w:pStyle w:val="Source"/>
              <w:rPr>
                <w:sz w:val="2"/>
                <w:szCs w:val="2"/>
              </w:rPr>
            </w:pPr>
            <w:r w:rsidRPr="00FA13E7">
              <w:rPr>
                <w:sz w:val="2"/>
                <w:szCs w:val="2"/>
              </w:rPr>
              <w:t>3.1%</w:t>
            </w:r>
          </w:p>
        </w:tc>
        <w:tc>
          <w:tcPr>
            <w:tcW w:w="1254" w:type="dxa"/>
            <w:noWrap/>
            <w:hideMark/>
          </w:tcPr>
          <w:p w14:paraId="3504DB0A" w14:textId="77777777" w:rsidR="00FA13E7" w:rsidRPr="00FA13E7" w:rsidRDefault="00FA13E7" w:rsidP="00FA13E7">
            <w:pPr>
              <w:pStyle w:val="Source"/>
              <w:rPr>
                <w:sz w:val="2"/>
                <w:szCs w:val="2"/>
              </w:rPr>
            </w:pPr>
            <w:r w:rsidRPr="00FA13E7">
              <w:rPr>
                <w:sz w:val="2"/>
                <w:szCs w:val="2"/>
              </w:rPr>
              <w:t>4.9%</w:t>
            </w:r>
          </w:p>
        </w:tc>
        <w:tc>
          <w:tcPr>
            <w:tcW w:w="881" w:type="dxa"/>
            <w:noWrap/>
            <w:hideMark/>
          </w:tcPr>
          <w:p w14:paraId="1653E481" w14:textId="77777777" w:rsidR="00FA13E7" w:rsidRPr="00FA13E7" w:rsidRDefault="00FA13E7" w:rsidP="00FA13E7">
            <w:pPr>
              <w:pStyle w:val="Source"/>
              <w:rPr>
                <w:sz w:val="2"/>
                <w:szCs w:val="2"/>
              </w:rPr>
            </w:pPr>
            <w:r w:rsidRPr="00FA13E7">
              <w:rPr>
                <w:sz w:val="2"/>
                <w:szCs w:val="2"/>
              </w:rPr>
              <w:t>4.6%</w:t>
            </w:r>
          </w:p>
        </w:tc>
        <w:tc>
          <w:tcPr>
            <w:tcW w:w="1843" w:type="dxa"/>
            <w:noWrap/>
            <w:hideMark/>
          </w:tcPr>
          <w:p w14:paraId="2B71E27C" w14:textId="77777777" w:rsidR="00FA13E7" w:rsidRPr="00FA13E7" w:rsidRDefault="00FA13E7" w:rsidP="00FA13E7">
            <w:pPr>
              <w:pStyle w:val="Source"/>
              <w:rPr>
                <w:sz w:val="2"/>
                <w:szCs w:val="2"/>
              </w:rPr>
            </w:pPr>
            <w:r w:rsidRPr="00FA13E7">
              <w:rPr>
                <w:sz w:val="2"/>
                <w:szCs w:val="2"/>
              </w:rPr>
              <w:t>1.2%</w:t>
            </w:r>
          </w:p>
        </w:tc>
      </w:tr>
      <w:tr w:rsidR="00D72616" w:rsidRPr="00FA13E7" w14:paraId="50D2094C" w14:textId="77777777" w:rsidTr="00D72616">
        <w:trPr>
          <w:trHeight w:val="285"/>
          <w:jc w:val="center"/>
        </w:trPr>
        <w:tc>
          <w:tcPr>
            <w:tcW w:w="1368" w:type="dxa"/>
            <w:noWrap/>
            <w:hideMark/>
          </w:tcPr>
          <w:p w14:paraId="6C5DB337" w14:textId="77777777" w:rsidR="00FA13E7" w:rsidRPr="00FA13E7" w:rsidRDefault="00FA13E7" w:rsidP="00FA13E7">
            <w:pPr>
              <w:pStyle w:val="Source"/>
              <w:rPr>
                <w:sz w:val="2"/>
                <w:szCs w:val="2"/>
              </w:rPr>
            </w:pPr>
          </w:p>
        </w:tc>
        <w:tc>
          <w:tcPr>
            <w:tcW w:w="1963" w:type="dxa"/>
            <w:noWrap/>
            <w:hideMark/>
          </w:tcPr>
          <w:p w14:paraId="61B131ED" w14:textId="77777777" w:rsidR="00FA13E7" w:rsidRPr="00FA13E7" w:rsidRDefault="00FA13E7" w:rsidP="00FA13E7">
            <w:pPr>
              <w:pStyle w:val="Source"/>
              <w:rPr>
                <w:sz w:val="2"/>
                <w:szCs w:val="2"/>
              </w:rPr>
            </w:pPr>
            <w:r w:rsidRPr="00FA13E7">
              <w:rPr>
                <w:sz w:val="2"/>
                <w:szCs w:val="2"/>
              </w:rPr>
              <w:t>In Home Care</w:t>
            </w:r>
          </w:p>
        </w:tc>
        <w:tc>
          <w:tcPr>
            <w:tcW w:w="1055" w:type="dxa"/>
            <w:noWrap/>
            <w:hideMark/>
          </w:tcPr>
          <w:p w14:paraId="65D52F21" w14:textId="77777777" w:rsidR="00FA13E7" w:rsidRPr="00FA13E7" w:rsidRDefault="00FA13E7" w:rsidP="00FA13E7">
            <w:pPr>
              <w:pStyle w:val="Source"/>
              <w:rPr>
                <w:sz w:val="2"/>
                <w:szCs w:val="2"/>
              </w:rPr>
            </w:pPr>
            <w:r w:rsidRPr="00FA13E7">
              <w:rPr>
                <w:sz w:val="2"/>
                <w:szCs w:val="2"/>
              </w:rPr>
              <w:t>0.1%</w:t>
            </w:r>
          </w:p>
        </w:tc>
        <w:tc>
          <w:tcPr>
            <w:tcW w:w="1254" w:type="dxa"/>
            <w:noWrap/>
            <w:hideMark/>
          </w:tcPr>
          <w:p w14:paraId="3E7E039E" w14:textId="77777777" w:rsidR="00FA13E7" w:rsidRPr="00FA13E7" w:rsidRDefault="00FA13E7" w:rsidP="00FA13E7">
            <w:pPr>
              <w:pStyle w:val="Source"/>
              <w:rPr>
                <w:sz w:val="2"/>
                <w:szCs w:val="2"/>
              </w:rPr>
            </w:pPr>
            <w:r w:rsidRPr="00FA13E7">
              <w:rPr>
                <w:sz w:val="2"/>
                <w:szCs w:val="2"/>
              </w:rPr>
              <w:t>0.1%</w:t>
            </w:r>
          </w:p>
        </w:tc>
        <w:tc>
          <w:tcPr>
            <w:tcW w:w="881" w:type="dxa"/>
            <w:noWrap/>
            <w:hideMark/>
          </w:tcPr>
          <w:p w14:paraId="035D9D31" w14:textId="77777777" w:rsidR="00FA13E7" w:rsidRPr="00FA13E7" w:rsidRDefault="00FA13E7" w:rsidP="00FA13E7">
            <w:pPr>
              <w:pStyle w:val="Source"/>
              <w:rPr>
                <w:sz w:val="2"/>
                <w:szCs w:val="2"/>
              </w:rPr>
            </w:pPr>
            <w:r w:rsidRPr="00FA13E7">
              <w:rPr>
                <w:sz w:val="2"/>
                <w:szCs w:val="2"/>
              </w:rPr>
              <w:t>0.0%</w:t>
            </w:r>
          </w:p>
        </w:tc>
        <w:tc>
          <w:tcPr>
            <w:tcW w:w="1843" w:type="dxa"/>
            <w:noWrap/>
            <w:hideMark/>
          </w:tcPr>
          <w:p w14:paraId="39641DA5" w14:textId="77777777" w:rsidR="00FA13E7" w:rsidRPr="00FA13E7" w:rsidRDefault="00FA13E7" w:rsidP="00FA13E7">
            <w:pPr>
              <w:pStyle w:val="Source"/>
              <w:rPr>
                <w:sz w:val="2"/>
                <w:szCs w:val="2"/>
              </w:rPr>
            </w:pPr>
            <w:r w:rsidRPr="00FA13E7">
              <w:rPr>
                <w:sz w:val="2"/>
                <w:szCs w:val="2"/>
              </w:rPr>
              <w:t>0.2%</w:t>
            </w:r>
          </w:p>
        </w:tc>
      </w:tr>
      <w:tr w:rsidR="00D72616" w:rsidRPr="00FA13E7" w14:paraId="0222A1CF" w14:textId="77777777" w:rsidTr="00D72616">
        <w:trPr>
          <w:trHeight w:val="285"/>
          <w:jc w:val="center"/>
        </w:trPr>
        <w:tc>
          <w:tcPr>
            <w:tcW w:w="1368" w:type="dxa"/>
            <w:noWrap/>
            <w:hideMark/>
          </w:tcPr>
          <w:p w14:paraId="24BB97F4" w14:textId="77777777" w:rsidR="00FA13E7" w:rsidRPr="00FA13E7" w:rsidRDefault="00FA13E7" w:rsidP="00FA13E7">
            <w:pPr>
              <w:pStyle w:val="Source"/>
              <w:rPr>
                <w:sz w:val="2"/>
                <w:szCs w:val="2"/>
              </w:rPr>
            </w:pPr>
          </w:p>
        </w:tc>
        <w:tc>
          <w:tcPr>
            <w:tcW w:w="1963" w:type="dxa"/>
            <w:noWrap/>
            <w:hideMark/>
          </w:tcPr>
          <w:p w14:paraId="4BC14255" w14:textId="77777777" w:rsidR="00FA13E7" w:rsidRPr="00FA13E7" w:rsidRDefault="00FA13E7" w:rsidP="00FA13E7">
            <w:pPr>
              <w:pStyle w:val="Source"/>
              <w:rPr>
                <w:sz w:val="2"/>
                <w:szCs w:val="2"/>
              </w:rPr>
            </w:pPr>
            <w:r w:rsidRPr="00FA13E7">
              <w:rPr>
                <w:sz w:val="2"/>
                <w:szCs w:val="2"/>
              </w:rPr>
              <w:t>Out of School Hours Care</w:t>
            </w:r>
          </w:p>
        </w:tc>
        <w:tc>
          <w:tcPr>
            <w:tcW w:w="1055" w:type="dxa"/>
            <w:noWrap/>
            <w:hideMark/>
          </w:tcPr>
          <w:p w14:paraId="501A96C9" w14:textId="77777777" w:rsidR="00FA13E7" w:rsidRPr="00FA13E7" w:rsidRDefault="00FA13E7" w:rsidP="00FA13E7">
            <w:pPr>
              <w:pStyle w:val="Source"/>
              <w:rPr>
                <w:sz w:val="2"/>
                <w:szCs w:val="2"/>
              </w:rPr>
            </w:pPr>
            <w:r w:rsidRPr="00FA13E7">
              <w:rPr>
                <w:sz w:val="2"/>
                <w:szCs w:val="2"/>
              </w:rPr>
              <w:t>0.7%</w:t>
            </w:r>
          </w:p>
        </w:tc>
        <w:tc>
          <w:tcPr>
            <w:tcW w:w="1254" w:type="dxa"/>
            <w:noWrap/>
            <w:hideMark/>
          </w:tcPr>
          <w:p w14:paraId="27178A0B" w14:textId="77777777" w:rsidR="00FA13E7" w:rsidRPr="00FA13E7" w:rsidRDefault="00FA13E7" w:rsidP="00FA13E7">
            <w:pPr>
              <w:pStyle w:val="Source"/>
              <w:rPr>
                <w:sz w:val="2"/>
                <w:szCs w:val="2"/>
              </w:rPr>
            </w:pPr>
            <w:r w:rsidRPr="00FA13E7">
              <w:rPr>
                <w:sz w:val="2"/>
                <w:szCs w:val="2"/>
              </w:rPr>
              <w:t>0.4%</w:t>
            </w:r>
          </w:p>
        </w:tc>
        <w:tc>
          <w:tcPr>
            <w:tcW w:w="881" w:type="dxa"/>
            <w:noWrap/>
            <w:hideMark/>
          </w:tcPr>
          <w:p w14:paraId="4D17867C" w14:textId="77777777" w:rsidR="00FA13E7" w:rsidRPr="00FA13E7" w:rsidRDefault="00FA13E7" w:rsidP="00FA13E7">
            <w:pPr>
              <w:pStyle w:val="Source"/>
              <w:rPr>
                <w:sz w:val="2"/>
                <w:szCs w:val="2"/>
              </w:rPr>
            </w:pPr>
            <w:r w:rsidRPr="00FA13E7">
              <w:rPr>
                <w:sz w:val="2"/>
                <w:szCs w:val="2"/>
              </w:rPr>
              <w:t>0.4%</w:t>
            </w:r>
          </w:p>
        </w:tc>
        <w:tc>
          <w:tcPr>
            <w:tcW w:w="1843" w:type="dxa"/>
            <w:noWrap/>
            <w:hideMark/>
          </w:tcPr>
          <w:p w14:paraId="1A8F2F9F" w14:textId="77777777" w:rsidR="00FA13E7" w:rsidRPr="00FA13E7" w:rsidRDefault="00FA13E7" w:rsidP="00FA13E7">
            <w:pPr>
              <w:pStyle w:val="Source"/>
              <w:rPr>
                <w:sz w:val="2"/>
                <w:szCs w:val="2"/>
              </w:rPr>
            </w:pPr>
            <w:r w:rsidRPr="00FA13E7">
              <w:rPr>
                <w:sz w:val="2"/>
                <w:szCs w:val="2"/>
              </w:rPr>
              <w:t>0.2%</w:t>
            </w:r>
          </w:p>
        </w:tc>
      </w:tr>
      <w:tr w:rsidR="00D72616" w:rsidRPr="00FA13E7" w14:paraId="55E06DED" w14:textId="77777777" w:rsidTr="00D72616">
        <w:trPr>
          <w:trHeight w:val="300"/>
          <w:jc w:val="center"/>
        </w:trPr>
        <w:tc>
          <w:tcPr>
            <w:tcW w:w="1368" w:type="dxa"/>
            <w:noWrap/>
            <w:hideMark/>
          </w:tcPr>
          <w:p w14:paraId="05A63AC6" w14:textId="77777777" w:rsidR="00FA13E7" w:rsidRPr="00FA13E7" w:rsidRDefault="00FA13E7" w:rsidP="00FA13E7">
            <w:pPr>
              <w:pStyle w:val="Source"/>
              <w:rPr>
                <w:sz w:val="2"/>
                <w:szCs w:val="2"/>
              </w:rPr>
            </w:pPr>
          </w:p>
        </w:tc>
        <w:tc>
          <w:tcPr>
            <w:tcW w:w="1963" w:type="dxa"/>
            <w:noWrap/>
            <w:hideMark/>
          </w:tcPr>
          <w:p w14:paraId="552976BA" w14:textId="77777777" w:rsidR="00FA13E7" w:rsidRPr="00FA13E7" w:rsidRDefault="00FA13E7" w:rsidP="00FA13E7">
            <w:pPr>
              <w:pStyle w:val="Source"/>
              <w:rPr>
                <w:sz w:val="2"/>
                <w:szCs w:val="2"/>
              </w:rPr>
            </w:pPr>
          </w:p>
        </w:tc>
        <w:tc>
          <w:tcPr>
            <w:tcW w:w="1055" w:type="dxa"/>
            <w:noWrap/>
            <w:hideMark/>
          </w:tcPr>
          <w:p w14:paraId="32BCA244" w14:textId="77777777" w:rsidR="00FA13E7" w:rsidRPr="00FA13E7" w:rsidRDefault="00FA13E7" w:rsidP="00FA13E7">
            <w:pPr>
              <w:pStyle w:val="Source"/>
              <w:rPr>
                <w:b/>
                <w:bCs/>
                <w:sz w:val="2"/>
                <w:szCs w:val="2"/>
              </w:rPr>
            </w:pPr>
            <w:r w:rsidRPr="00FA13E7">
              <w:rPr>
                <w:b/>
                <w:bCs/>
                <w:sz w:val="2"/>
                <w:szCs w:val="2"/>
              </w:rPr>
              <w:t>Major Cities</w:t>
            </w:r>
          </w:p>
        </w:tc>
        <w:tc>
          <w:tcPr>
            <w:tcW w:w="1254" w:type="dxa"/>
            <w:noWrap/>
            <w:hideMark/>
          </w:tcPr>
          <w:p w14:paraId="09A9DA0E" w14:textId="77777777" w:rsidR="00FA13E7" w:rsidRPr="00FA13E7" w:rsidRDefault="00FA13E7" w:rsidP="00FA13E7">
            <w:pPr>
              <w:pStyle w:val="Source"/>
              <w:rPr>
                <w:b/>
                <w:bCs/>
                <w:sz w:val="2"/>
                <w:szCs w:val="2"/>
              </w:rPr>
            </w:pPr>
            <w:r w:rsidRPr="00FA13E7">
              <w:rPr>
                <w:b/>
                <w:bCs/>
                <w:sz w:val="2"/>
                <w:szCs w:val="2"/>
              </w:rPr>
              <w:t>Inner Regional</w:t>
            </w:r>
          </w:p>
        </w:tc>
        <w:tc>
          <w:tcPr>
            <w:tcW w:w="881" w:type="dxa"/>
            <w:noWrap/>
            <w:hideMark/>
          </w:tcPr>
          <w:p w14:paraId="541F0C46" w14:textId="77777777" w:rsidR="00FA13E7" w:rsidRPr="00FA13E7" w:rsidRDefault="00FA13E7" w:rsidP="00FA13E7">
            <w:pPr>
              <w:pStyle w:val="Source"/>
              <w:rPr>
                <w:b/>
                <w:bCs/>
                <w:sz w:val="2"/>
                <w:szCs w:val="2"/>
              </w:rPr>
            </w:pPr>
            <w:r w:rsidRPr="00FA13E7">
              <w:rPr>
                <w:b/>
                <w:bCs/>
                <w:sz w:val="2"/>
                <w:szCs w:val="2"/>
              </w:rPr>
              <w:t>Outer Regional</w:t>
            </w:r>
          </w:p>
        </w:tc>
        <w:tc>
          <w:tcPr>
            <w:tcW w:w="1843" w:type="dxa"/>
            <w:noWrap/>
            <w:hideMark/>
          </w:tcPr>
          <w:p w14:paraId="4626B451" w14:textId="77777777" w:rsidR="00FA13E7" w:rsidRPr="00FA13E7" w:rsidRDefault="00FA13E7" w:rsidP="00FA13E7">
            <w:pPr>
              <w:pStyle w:val="Source"/>
              <w:rPr>
                <w:b/>
                <w:bCs/>
                <w:sz w:val="2"/>
                <w:szCs w:val="2"/>
              </w:rPr>
            </w:pPr>
            <w:r w:rsidRPr="00FA13E7">
              <w:rPr>
                <w:b/>
                <w:bCs/>
                <w:sz w:val="2"/>
                <w:szCs w:val="2"/>
              </w:rPr>
              <w:t>Remote and Very Remote</w:t>
            </w:r>
          </w:p>
        </w:tc>
      </w:tr>
      <w:tr w:rsidR="00D72616" w:rsidRPr="00FA13E7" w14:paraId="36B54BFD" w14:textId="77777777" w:rsidTr="00D72616">
        <w:trPr>
          <w:trHeight w:val="300"/>
          <w:jc w:val="center"/>
        </w:trPr>
        <w:tc>
          <w:tcPr>
            <w:tcW w:w="1368" w:type="dxa"/>
            <w:noWrap/>
            <w:hideMark/>
          </w:tcPr>
          <w:p w14:paraId="1DE60985" w14:textId="77777777" w:rsidR="00FA13E7" w:rsidRPr="00FA13E7" w:rsidRDefault="00FA13E7" w:rsidP="00FA13E7">
            <w:pPr>
              <w:pStyle w:val="Source"/>
              <w:rPr>
                <w:b/>
                <w:bCs/>
                <w:sz w:val="2"/>
                <w:szCs w:val="2"/>
              </w:rPr>
            </w:pPr>
            <w:r w:rsidRPr="00FA13E7">
              <w:rPr>
                <w:b/>
                <w:bCs/>
                <w:sz w:val="2"/>
                <w:szCs w:val="2"/>
              </w:rPr>
              <w:t>5 years and over</w:t>
            </w:r>
          </w:p>
        </w:tc>
        <w:tc>
          <w:tcPr>
            <w:tcW w:w="1963" w:type="dxa"/>
            <w:noWrap/>
            <w:hideMark/>
          </w:tcPr>
          <w:p w14:paraId="1D0806CA" w14:textId="77777777" w:rsidR="00FA13E7" w:rsidRPr="00FA13E7" w:rsidRDefault="00FA13E7" w:rsidP="00FA13E7">
            <w:pPr>
              <w:pStyle w:val="Source"/>
              <w:rPr>
                <w:sz w:val="2"/>
                <w:szCs w:val="2"/>
              </w:rPr>
            </w:pPr>
            <w:r w:rsidRPr="00FA13E7">
              <w:rPr>
                <w:sz w:val="2"/>
                <w:szCs w:val="2"/>
              </w:rPr>
              <w:t>Centre Based Day Care</w:t>
            </w:r>
          </w:p>
        </w:tc>
        <w:tc>
          <w:tcPr>
            <w:tcW w:w="1055" w:type="dxa"/>
            <w:noWrap/>
            <w:hideMark/>
          </w:tcPr>
          <w:p w14:paraId="57F93432" w14:textId="77777777" w:rsidR="00FA13E7" w:rsidRPr="00FA13E7" w:rsidRDefault="00FA13E7" w:rsidP="00FA13E7">
            <w:pPr>
              <w:pStyle w:val="Source"/>
              <w:rPr>
                <w:sz w:val="2"/>
                <w:szCs w:val="2"/>
              </w:rPr>
            </w:pPr>
            <w:r w:rsidRPr="00FA13E7">
              <w:rPr>
                <w:sz w:val="2"/>
                <w:szCs w:val="2"/>
              </w:rPr>
              <w:t>2.8%</w:t>
            </w:r>
          </w:p>
        </w:tc>
        <w:tc>
          <w:tcPr>
            <w:tcW w:w="1254" w:type="dxa"/>
            <w:noWrap/>
            <w:hideMark/>
          </w:tcPr>
          <w:p w14:paraId="0E544094" w14:textId="77777777" w:rsidR="00FA13E7" w:rsidRPr="00FA13E7" w:rsidRDefault="00FA13E7" w:rsidP="00FA13E7">
            <w:pPr>
              <w:pStyle w:val="Source"/>
              <w:rPr>
                <w:sz w:val="2"/>
                <w:szCs w:val="2"/>
              </w:rPr>
            </w:pPr>
            <w:r w:rsidRPr="00FA13E7">
              <w:rPr>
                <w:sz w:val="2"/>
                <w:szCs w:val="2"/>
              </w:rPr>
              <w:t>3.8%</w:t>
            </w:r>
          </w:p>
        </w:tc>
        <w:tc>
          <w:tcPr>
            <w:tcW w:w="881" w:type="dxa"/>
            <w:noWrap/>
            <w:hideMark/>
          </w:tcPr>
          <w:p w14:paraId="513E1C25" w14:textId="77777777" w:rsidR="00FA13E7" w:rsidRPr="00FA13E7" w:rsidRDefault="00FA13E7" w:rsidP="00FA13E7">
            <w:pPr>
              <w:pStyle w:val="Source"/>
              <w:rPr>
                <w:sz w:val="2"/>
                <w:szCs w:val="2"/>
              </w:rPr>
            </w:pPr>
            <w:r w:rsidRPr="00FA13E7">
              <w:rPr>
                <w:sz w:val="2"/>
                <w:szCs w:val="2"/>
              </w:rPr>
              <w:t>2.1%</w:t>
            </w:r>
          </w:p>
        </w:tc>
        <w:tc>
          <w:tcPr>
            <w:tcW w:w="1843" w:type="dxa"/>
            <w:noWrap/>
            <w:hideMark/>
          </w:tcPr>
          <w:p w14:paraId="56CAA1FD" w14:textId="77777777" w:rsidR="00FA13E7" w:rsidRPr="00FA13E7" w:rsidRDefault="00FA13E7" w:rsidP="00FA13E7">
            <w:pPr>
              <w:pStyle w:val="Source"/>
              <w:rPr>
                <w:sz w:val="2"/>
                <w:szCs w:val="2"/>
              </w:rPr>
            </w:pPr>
            <w:r w:rsidRPr="00FA13E7">
              <w:rPr>
                <w:sz w:val="2"/>
                <w:szCs w:val="2"/>
              </w:rPr>
              <w:t>1.6%</w:t>
            </w:r>
          </w:p>
        </w:tc>
      </w:tr>
      <w:tr w:rsidR="00D72616" w:rsidRPr="00FA13E7" w14:paraId="60F90F9F" w14:textId="77777777" w:rsidTr="00D72616">
        <w:trPr>
          <w:trHeight w:val="285"/>
          <w:jc w:val="center"/>
        </w:trPr>
        <w:tc>
          <w:tcPr>
            <w:tcW w:w="1368" w:type="dxa"/>
            <w:noWrap/>
            <w:hideMark/>
          </w:tcPr>
          <w:p w14:paraId="64310405" w14:textId="77777777" w:rsidR="00FA13E7" w:rsidRPr="00FA13E7" w:rsidRDefault="00FA13E7" w:rsidP="00FA13E7">
            <w:pPr>
              <w:pStyle w:val="Source"/>
              <w:rPr>
                <w:sz w:val="2"/>
                <w:szCs w:val="2"/>
              </w:rPr>
            </w:pPr>
          </w:p>
        </w:tc>
        <w:tc>
          <w:tcPr>
            <w:tcW w:w="1963" w:type="dxa"/>
            <w:noWrap/>
            <w:hideMark/>
          </w:tcPr>
          <w:p w14:paraId="47742F39" w14:textId="77777777" w:rsidR="00FA13E7" w:rsidRPr="00FA13E7" w:rsidRDefault="00FA13E7" w:rsidP="00FA13E7">
            <w:pPr>
              <w:pStyle w:val="Source"/>
              <w:rPr>
                <w:sz w:val="2"/>
                <w:szCs w:val="2"/>
              </w:rPr>
            </w:pPr>
            <w:r w:rsidRPr="00FA13E7">
              <w:rPr>
                <w:sz w:val="2"/>
                <w:szCs w:val="2"/>
              </w:rPr>
              <w:t>Family Day Care</w:t>
            </w:r>
          </w:p>
        </w:tc>
        <w:tc>
          <w:tcPr>
            <w:tcW w:w="1055" w:type="dxa"/>
            <w:noWrap/>
            <w:hideMark/>
          </w:tcPr>
          <w:p w14:paraId="4F447DC4" w14:textId="77777777" w:rsidR="00FA13E7" w:rsidRPr="00FA13E7" w:rsidRDefault="00FA13E7" w:rsidP="00FA13E7">
            <w:pPr>
              <w:pStyle w:val="Source"/>
              <w:rPr>
                <w:sz w:val="2"/>
                <w:szCs w:val="2"/>
              </w:rPr>
            </w:pPr>
            <w:r w:rsidRPr="00FA13E7">
              <w:rPr>
                <w:sz w:val="2"/>
                <w:szCs w:val="2"/>
              </w:rPr>
              <w:t>1.5%</w:t>
            </w:r>
          </w:p>
        </w:tc>
        <w:tc>
          <w:tcPr>
            <w:tcW w:w="1254" w:type="dxa"/>
            <w:noWrap/>
            <w:hideMark/>
          </w:tcPr>
          <w:p w14:paraId="11999CCD" w14:textId="77777777" w:rsidR="00FA13E7" w:rsidRPr="00FA13E7" w:rsidRDefault="00FA13E7" w:rsidP="00FA13E7">
            <w:pPr>
              <w:pStyle w:val="Source"/>
              <w:rPr>
                <w:sz w:val="2"/>
                <w:szCs w:val="2"/>
              </w:rPr>
            </w:pPr>
            <w:r w:rsidRPr="00FA13E7">
              <w:rPr>
                <w:sz w:val="2"/>
                <w:szCs w:val="2"/>
              </w:rPr>
              <w:t>0.9%</w:t>
            </w:r>
          </w:p>
        </w:tc>
        <w:tc>
          <w:tcPr>
            <w:tcW w:w="881" w:type="dxa"/>
            <w:noWrap/>
            <w:hideMark/>
          </w:tcPr>
          <w:p w14:paraId="4D211AB8" w14:textId="77777777" w:rsidR="00FA13E7" w:rsidRPr="00FA13E7" w:rsidRDefault="00FA13E7" w:rsidP="00FA13E7">
            <w:pPr>
              <w:pStyle w:val="Source"/>
              <w:rPr>
                <w:sz w:val="2"/>
                <w:szCs w:val="2"/>
              </w:rPr>
            </w:pPr>
            <w:r w:rsidRPr="00FA13E7">
              <w:rPr>
                <w:sz w:val="2"/>
                <w:szCs w:val="2"/>
              </w:rPr>
              <w:t>0.9%</w:t>
            </w:r>
          </w:p>
        </w:tc>
        <w:tc>
          <w:tcPr>
            <w:tcW w:w="1843" w:type="dxa"/>
            <w:noWrap/>
            <w:hideMark/>
          </w:tcPr>
          <w:p w14:paraId="0A0AF22B" w14:textId="77777777" w:rsidR="00FA13E7" w:rsidRPr="00FA13E7" w:rsidRDefault="00FA13E7" w:rsidP="00FA13E7">
            <w:pPr>
              <w:pStyle w:val="Source"/>
              <w:rPr>
                <w:sz w:val="2"/>
                <w:szCs w:val="2"/>
              </w:rPr>
            </w:pPr>
            <w:r w:rsidRPr="00FA13E7">
              <w:rPr>
                <w:sz w:val="2"/>
                <w:szCs w:val="2"/>
              </w:rPr>
              <w:t>0.1%</w:t>
            </w:r>
          </w:p>
        </w:tc>
      </w:tr>
      <w:tr w:rsidR="00D72616" w:rsidRPr="00FA13E7" w14:paraId="44F7BBCA" w14:textId="77777777" w:rsidTr="00D72616">
        <w:trPr>
          <w:trHeight w:val="285"/>
          <w:jc w:val="center"/>
        </w:trPr>
        <w:tc>
          <w:tcPr>
            <w:tcW w:w="1368" w:type="dxa"/>
            <w:noWrap/>
            <w:hideMark/>
          </w:tcPr>
          <w:p w14:paraId="4DD922D9" w14:textId="77777777" w:rsidR="00FA13E7" w:rsidRPr="00FA13E7" w:rsidRDefault="00FA13E7" w:rsidP="00FA13E7">
            <w:pPr>
              <w:pStyle w:val="Source"/>
              <w:rPr>
                <w:sz w:val="2"/>
                <w:szCs w:val="2"/>
              </w:rPr>
            </w:pPr>
          </w:p>
        </w:tc>
        <w:tc>
          <w:tcPr>
            <w:tcW w:w="1963" w:type="dxa"/>
            <w:noWrap/>
            <w:hideMark/>
          </w:tcPr>
          <w:p w14:paraId="1E1AC1BD" w14:textId="77777777" w:rsidR="00FA13E7" w:rsidRPr="00FA13E7" w:rsidRDefault="00FA13E7" w:rsidP="00FA13E7">
            <w:pPr>
              <w:pStyle w:val="Source"/>
              <w:rPr>
                <w:sz w:val="2"/>
                <w:szCs w:val="2"/>
              </w:rPr>
            </w:pPr>
            <w:r w:rsidRPr="00FA13E7">
              <w:rPr>
                <w:sz w:val="2"/>
                <w:szCs w:val="2"/>
              </w:rPr>
              <w:t>In Home Care</w:t>
            </w:r>
          </w:p>
        </w:tc>
        <w:tc>
          <w:tcPr>
            <w:tcW w:w="1055" w:type="dxa"/>
            <w:noWrap/>
            <w:hideMark/>
          </w:tcPr>
          <w:p w14:paraId="03874083" w14:textId="77777777" w:rsidR="00FA13E7" w:rsidRPr="00FA13E7" w:rsidRDefault="00FA13E7" w:rsidP="00FA13E7">
            <w:pPr>
              <w:pStyle w:val="Source"/>
              <w:rPr>
                <w:sz w:val="2"/>
                <w:szCs w:val="2"/>
              </w:rPr>
            </w:pPr>
            <w:r w:rsidRPr="00FA13E7">
              <w:rPr>
                <w:sz w:val="2"/>
                <w:szCs w:val="2"/>
              </w:rPr>
              <w:t>0.0%</w:t>
            </w:r>
          </w:p>
        </w:tc>
        <w:tc>
          <w:tcPr>
            <w:tcW w:w="1254" w:type="dxa"/>
            <w:noWrap/>
            <w:hideMark/>
          </w:tcPr>
          <w:p w14:paraId="76C294B0" w14:textId="77777777" w:rsidR="00FA13E7" w:rsidRPr="00FA13E7" w:rsidRDefault="00FA13E7" w:rsidP="00FA13E7">
            <w:pPr>
              <w:pStyle w:val="Source"/>
              <w:rPr>
                <w:sz w:val="2"/>
                <w:szCs w:val="2"/>
              </w:rPr>
            </w:pPr>
            <w:r w:rsidRPr="00FA13E7">
              <w:rPr>
                <w:sz w:val="2"/>
                <w:szCs w:val="2"/>
              </w:rPr>
              <w:t>0.0%</w:t>
            </w:r>
          </w:p>
        </w:tc>
        <w:tc>
          <w:tcPr>
            <w:tcW w:w="881" w:type="dxa"/>
            <w:noWrap/>
            <w:hideMark/>
          </w:tcPr>
          <w:p w14:paraId="21CF1F7F" w14:textId="77777777" w:rsidR="00FA13E7" w:rsidRPr="00FA13E7" w:rsidRDefault="00FA13E7" w:rsidP="00FA13E7">
            <w:pPr>
              <w:pStyle w:val="Source"/>
              <w:rPr>
                <w:sz w:val="2"/>
                <w:szCs w:val="2"/>
              </w:rPr>
            </w:pPr>
            <w:r w:rsidRPr="00FA13E7">
              <w:rPr>
                <w:sz w:val="2"/>
                <w:szCs w:val="2"/>
              </w:rPr>
              <w:t>0.0%</w:t>
            </w:r>
          </w:p>
        </w:tc>
        <w:tc>
          <w:tcPr>
            <w:tcW w:w="1843" w:type="dxa"/>
            <w:noWrap/>
            <w:hideMark/>
          </w:tcPr>
          <w:p w14:paraId="21F812D8" w14:textId="77777777" w:rsidR="00FA13E7" w:rsidRPr="00FA13E7" w:rsidRDefault="00FA13E7" w:rsidP="00FA13E7">
            <w:pPr>
              <w:pStyle w:val="Source"/>
              <w:rPr>
                <w:sz w:val="2"/>
                <w:szCs w:val="2"/>
              </w:rPr>
            </w:pPr>
            <w:r w:rsidRPr="00FA13E7">
              <w:rPr>
                <w:sz w:val="2"/>
                <w:szCs w:val="2"/>
              </w:rPr>
              <w:t>0.1%</w:t>
            </w:r>
          </w:p>
        </w:tc>
      </w:tr>
      <w:tr w:rsidR="00D72616" w:rsidRPr="00FA13E7" w14:paraId="423A2368" w14:textId="77777777" w:rsidTr="00D72616">
        <w:trPr>
          <w:trHeight w:val="285"/>
          <w:jc w:val="center"/>
        </w:trPr>
        <w:tc>
          <w:tcPr>
            <w:tcW w:w="1368" w:type="dxa"/>
            <w:noWrap/>
            <w:hideMark/>
          </w:tcPr>
          <w:p w14:paraId="6EEC0D9F" w14:textId="77777777" w:rsidR="00FA13E7" w:rsidRPr="00FA13E7" w:rsidRDefault="00FA13E7" w:rsidP="00FA13E7">
            <w:pPr>
              <w:pStyle w:val="Source"/>
              <w:rPr>
                <w:sz w:val="2"/>
                <w:szCs w:val="2"/>
              </w:rPr>
            </w:pPr>
          </w:p>
        </w:tc>
        <w:tc>
          <w:tcPr>
            <w:tcW w:w="1963" w:type="dxa"/>
            <w:noWrap/>
            <w:hideMark/>
          </w:tcPr>
          <w:p w14:paraId="70D37369" w14:textId="77777777" w:rsidR="00FA13E7" w:rsidRPr="00FA13E7" w:rsidRDefault="00FA13E7" w:rsidP="00FA13E7">
            <w:pPr>
              <w:pStyle w:val="Source"/>
              <w:rPr>
                <w:sz w:val="2"/>
                <w:szCs w:val="2"/>
              </w:rPr>
            </w:pPr>
            <w:r w:rsidRPr="00FA13E7">
              <w:rPr>
                <w:sz w:val="2"/>
                <w:szCs w:val="2"/>
              </w:rPr>
              <w:t>Out of School Hours Care</w:t>
            </w:r>
          </w:p>
        </w:tc>
        <w:tc>
          <w:tcPr>
            <w:tcW w:w="1055" w:type="dxa"/>
            <w:noWrap/>
            <w:hideMark/>
          </w:tcPr>
          <w:p w14:paraId="7AFF7DA6" w14:textId="77777777" w:rsidR="00FA13E7" w:rsidRPr="00FA13E7" w:rsidRDefault="00FA13E7" w:rsidP="00FA13E7">
            <w:pPr>
              <w:pStyle w:val="Source"/>
              <w:rPr>
                <w:sz w:val="2"/>
                <w:szCs w:val="2"/>
              </w:rPr>
            </w:pPr>
            <w:r w:rsidRPr="00FA13E7">
              <w:rPr>
                <w:sz w:val="2"/>
                <w:szCs w:val="2"/>
              </w:rPr>
              <w:t>19.6%</w:t>
            </w:r>
          </w:p>
        </w:tc>
        <w:tc>
          <w:tcPr>
            <w:tcW w:w="1254" w:type="dxa"/>
            <w:noWrap/>
            <w:hideMark/>
          </w:tcPr>
          <w:p w14:paraId="368448E9" w14:textId="77777777" w:rsidR="00FA13E7" w:rsidRPr="00FA13E7" w:rsidRDefault="00FA13E7" w:rsidP="00FA13E7">
            <w:pPr>
              <w:pStyle w:val="Source"/>
              <w:rPr>
                <w:sz w:val="2"/>
                <w:szCs w:val="2"/>
              </w:rPr>
            </w:pPr>
            <w:r w:rsidRPr="00FA13E7">
              <w:rPr>
                <w:sz w:val="2"/>
                <w:szCs w:val="2"/>
              </w:rPr>
              <w:t>11.8%</w:t>
            </w:r>
          </w:p>
        </w:tc>
        <w:tc>
          <w:tcPr>
            <w:tcW w:w="881" w:type="dxa"/>
            <w:noWrap/>
            <w:hideMark/>
          </w:tcPr>
          <w:p w14:paraId="0BEDD303" w14:textId="77777777" w:rsidR="00FA13E7" w:rsidRPr="00FA13E7" w:rsidRDefault="00FA13E7" w:rsidP="00FA13E7">
            <w:pPr>
              <w:pStyle w:val="Source"/>
              <w:rPr>
                <w:sz w:val="2"/>
                <w:szCs w:val="2"/>
              </w:rPr>
            </w:pPr>
            <w:r w:rsidRPr="00FA13E7">
              <w:rPr>
                <w:sz w:val="2"/>
                <w:szCs w:val="2"/>
              </w:rPr>
              <w:t>10.5%</w:t>
            </w:r>
          </w:p>
        </w:tc>
        <w:tc>
          <w:tcPr>
            <w:tcW w:w="1843" w:type="dxa"/>
            <w:noWrap/>
            <w:hideMark/>
          </w:tcPr>
          <w:p w14:paraId="3DC4CEB1" w14:textId="77777777" w:rsidR="00FA13E7" w:rsidRPr="00FA13E7" w:rsidRDefault="00FA13E7" w:rsidP="00FA13E7">
            <w:pPr>
              <w:pStyle w:val="Source"/>
              <w:rPr>
                <w:sz w:val="2"/>
                <w:szCs w:val="2"/>
              </w:rPr>
            </w:pPr>
            <w:r w:rsidRPr="00FA13E7">
              <w:rPr>
                <w:sz w:val="2"/>
                <w:szCs w:val="2"/>
              </w:rPr>
              <w:t>3.6%</w:t>
            </w:r>
          </w:p>
        </w:tc>
      </w:tr>
    </w:tbl>
    <w:p w14:paraId="4ACACE2D" w14:textId="77777777" w:rsidR="00FA13E7" w:rsidRDefault="00FA13E7" w:rsidP="00BC3D30">
      <w:pPr>
        <w:pStyle w:val="Source"/>
      </w:pPr>
    </w:p>
    <w:p w14:paraId="5DF08E24" w14:textId="77777777" w:rsidR="00D72616" w:rsidRDefault="00D72616" w:rsidP="00D72616"/>
    <w:p w14:paraId="740D3DC8" w14:textId="77777777" w:rsidR="00D72616" w:rsidRDefault="00D72616" w:rsidP="00D72616"/>
    <w:p w14:paraId="3E13F431" w14:textId="77777777" w:rsidR="00D72616" w:rsidRDefault="00D72616" w:rsidP="00D72616"/>
    <w:p w14:paraId="7575E769" w14:textId="77777777" w:rsidR="00D72616" w:rsidRDefault="00D72616" w:rsidP="00D72616"/>
    <w:p w14:paraId="564DB5FA" w14:textId="77777777" w:rsidR="00D72616" w:rsidRDefault="00D72616" w:rsidP="00D72616"/>
    <w:p w14:paraId="2394D3AD" w14:textId="77777777" w:rsidR="00D72616" w:rsidRDefault="00D72616" w:rsidP="00D72616"/>
    <w:p w14:paraId="3987F800" w14:textId="77777777" w:rsidR="00D72616" w:rsidRDefault="00D72616" w:rsidP="00D72616"/>
    <w:p w14:paraId="7FA98089" w14:textId="77777777" w:rsidR="00D72616" w:rsidRDefault="00D72616" w:rsidP="00D72616"/>
    <w:p w14:paraId="4D116F08" w14:textId="77777777" w:rsidR="00D72616" w:rsidRDefault="00D72616" w:rsidP="00D72616"/>
    <w:p w14:paraId="39EAFA53" w14:textId="77777777" w:rsidR="00D72616" w:rsidRDefault="00D72616" w:rsidP="00D72616"/>
    <w:p w14:paraId="2C0CAAAF" w14:textId="77777777" w:rsidR="00D72616" w:rsidRDefault="00D72616" w:rsidP="00D72616"/>
    <w:p w14:paraId="06EDDF37" w14:textId="77777777" w:rsidR="00D72616" w:rsidRDefault="00D72616" w:rsidP="00D72616"/>
    <w:p w14:paraId="7C5744A4" w14:textId="77777777" w:rsidR="00D72616" w:rsidRDefault="00D72616" w:rsidP="00D72616"/>
    <w:p w14:paraId="51ACBFD2" w14:textId="77777777" w:rsidR="00D72616" w:rsidRDefault="00D72616" w:rsidP="00D72616"/>
    <w:p w14:paraId="75004716" w14:textId="77777777" w:rsidR="00D72616" w:rsidRPr="00D72616" w:rsidRDefault="00D72616" w:rsidP="00D72616"/>
    <w:p w14:paraId="730FFC69" w14:textId="65E62FF6" w:rsidR="00BC3D30" w:rsidRPr="00AC0CEB" w:rsidRDefault="00BC3D30" w:rsidP="00BC3D30">
      <w:pPr>
        <w:pStyle w:val="Source"/>
      </w:pPr>
      <w:r>
        <w:t>Source: JSA analysis of Department of Education CCS data; ABS ERP</w:t>
      </w:r>
    </w:p>
    <w:p w14:paraId="47534F17" w14:textId="77777777" w:rsidR="00BC3D30" w:rsidRDefault="00BC3D30" w:rsidP="00BC3D30">
      <w:r>
        <w:lastRenderedPageBreak/>
        <w:t xml:space="preserve">Enrolments in preschool are consistently high for </w:t>
      </w:r>
      <w:proofErr w:type="gramStart"/>
      <w:r>
        <w:t>4 year olds</w:t>
      </w:r>
      <w:proofErr w:type="gramEnd"/>
      <w:r>
        <w:t>, ranging from 85% of children in major cities and remote/very remote regions to 88% for children in inner regional areas.</w:t>
      </w:r>
      <w:r>
        <w:rPr>
          <w:rStyle w:val="FootnoteReference"/>
        </w:rPr>
        <w:footnoteReference w:id="15"/>
      </w:r>
      <w:r>
        <w:t xml:space="preserve"> Variation in enrolment rates for children of other ages, particularly 3 year olds, is driven by state-specific schooling policies such as the expansion of 3 year old kindergarten and preschool starting age. </w:t>
      </w:r>
    </w:p>
    <w:p w14:paraId="620E0470" w14:textId="77777777" w:rsidR="00BC3D30" w:rsidRPr="007E37A1" w:rsidRDefault="00BC3D30" w:rsidP="00BC3D30">
      <w:pPr>
        <w:pStyle w:val="Heading4"/>
      </w:pPr>
      <w:r w:rsidRPr="007E37A1">
        <w:t xml:space="preserve">Service Delivery in a Diverse Range of Settings </w:t>
      </w:r>
    </w:p>
    <w:p w14:paraId="4ECD29C8" w14:textId="77777777" w:rsidR="00BC3D30" w:rsidRDefault="00BC3D30" w:rsidP="00BC3D30">
      <w:pPr>
        <w:rPr>
          <w:rStyle w:val="eop"/>
          <w:rFonts w:cs="Arial"/>
        </w:rPr>
      </w:pPr>
      <w:r w:rsidRPr="00AF5E61">
        <w:rPr>
          <w:rFonts w:asciiTheme="minorHAnsi" w:eastAsiaTheme="minorEastAsia" w:hAnsiTheme="minorHAnsi"/>
        </w:rPr>
        <w:t xml:space="preserve">There are modes of service delivery within the market that are also </w:t>
      </w:r>
      <w:proofErr w:type="gramStart"/>
      <w:r w:rsidRPr="00AF5E61">
        <w:rPr>
          <w:rFonts w:asciiTheme="minorHAnsi" w:eastAsiaTheme="minorEastAsia" w:hAnsiTheme="minorHAnsi"/>
        </w:rPr>
        <w:t>high quality</w:t>
      </w:r>
      <w:proofErr w:type="gramEnd"/>
      <w:r w:rsidRPr="00AF5E61">
        <w:rPr>
          <w:rFonts w:asciiTheme="minorHAnsi" w:eastAsiaTheme="minorEastAsia" w:hAnsiTheme="minorHAnsi"/>
        </w:rPr>
        <w:t xml:space="preserve"> services but remain outside the scope of the NQF, for example, occasional care services and some Aboriginal and Torres Strait Islander services. </w:t>
      </w:r>
      <w:r w:rsidRPr="0108E047">
        <w:rPr>
          <w:rFonts w:cs="Arial"/>
        </w:rPr>
        <w:t>Such services are a critical part of delivering culturally responsive ECEC as noted in the Productivity Commission’s draft report:</w:t>
      </w:r>
      <w:r w:rsidRPr="0108E047">
        <w:rPr>
          <w:rStyle w:val="eop"/>
          <w:rFonts w:cs="Arial"/>
        </w:rPr>
        <w:t> </w:t>
      </w:r>
    </w:p>
    <w:p w14:paraId="2FC8C97B" w14:textId="77777777" w:rsidR="00BC3D30" w:rsidRPr="006A6498" w:rsidRDefault="00BC3D30" w:rsidP="00BC3D30">
      <w:pPr>
        <w:pStyle w:val="IntenseQuote"/>
      </w:pPr>
      <w:r w:rsidRPr="006A6498">
        <w:t>Community controlled organisations, such as Aboriginal Community Controlled Health Organisations and Aboriginal Community Controlled Organisations (ACCOs) can help promote access to culturally safe ECEC that reflects the priorities of Aboriginal and Torres Strait Islander families and offer better outcomes for Aboriginal and Torres Strait Islander people.</w:t>
      </w:r>
      <w:r w:rsidRPr="006A6498">
        <w:br/>
      </w:r>
      <w:r w:rsidRPr="006A6498">
        <w:rPr>
          <w:i w:val="0"/>
          <w:iCs w:val="0"/>
        </w:rPr>
        <w:t>(PC, 2023c, p. 25)</w:t>
      </w:r>
    </w:p>
    <w:p w14:paraId="44E635C5" w14:textId="77777777" w:rsidR="00BC3D30" w:rsidRDefault="00BC3D30" w:rsidP="00BC3D30">
      <w:pPr>
        <w:spacing w:line="278" w:lineRule="auto"/>
        <w:rPr>
          <w:rFonts w:cs="Arial"/>
        </w:rPr>
      </w:pPr>
      <w:r w:rsidRPr="00935ACA">
        <w:rPr>
          <w:rFonts w:asciiTheme="minorHAnsi" w:eastAsiaTheme="minorEastAsia" w:hAnsiTheme="minorHAnsi"/>
        </w:rPr>
        <w:t>Sitting outside the primary framework for funding and regulating ECEC services can provide some benefits, especially the flexibility to address localised needs and take account of local labour market conditions.</w:t>
      </w:r>
      <w:r w:rsidRPr="0108E047">
        <w:rPr>
          <w:rFonts w:asciiTheme="minorHAnsi" w:eastAsiaTheme="minorEastAsia" w:hAnsiTheme="minorHAnsi"/>
        </w:rPr>
        <w:t xml:space="preserve"> </w:t>
      </w:r>
      <w:r w:rsidRPr="0108E047">
        <w:rPr>
          <w:rFonts w:cs="Arial"/>
        </w:rPr>
        <w:t>However, it can also present challenges such as funding uncertainty, limited First Nations visibility, and representation in determining the primary regulatory and training settings.</w:t>
      </w:r>
    </w:p>
    <w:p w14:paraId="4EA9A859" w14:textId="77777777" w:rsidR="00BC3D30" w:rsidRPr="00F47B0F" w:rsidRDefault="00BC3D30" w:rsidP="00F47B0F">
      <w:pPr>
        <w:pStyle w:val="Heading5"/>
      </w:pPr>
      <w:r w:rsidRPr="00F47B0F">
        <w:t>ECEC Services for First Nations Children </w:t>
      </w:r>
    </w:p>
    <w:p w14:paraId="5DAC39BE" w14:textId="77777777" w:rsidR="00BC3D30" w:rsidRDefault="00BC3D30" w:rsidP="00BC3D30">
      <w:pPr>
        <w:rPr>
          <w:rFonts w:ascii="Segoe UI" w:hAnsi="Segoe UI" w:cs="Segoe UI"/>
          <w:sz w:val="18"/>
          <w:szCs w:val="18"/>
        </w:rPr>
      </w:pPr>
      <w:r w:rsidRPr="59351DE1">
        <w:rPr>
          <w:rFonts w:cs="Arial"/>
        </w:rPr>
        <w:t>First Nations children have a lower ECEC participation rate compared to non-Indigenous chil</w:t>
      </w:r>
      <w:r w:rsidRPr="59351DE1">
        <w:rPr>
          <w:rFonts w:asciiTheme="minorHAnsi" w:eastAsiaTheme="minorEastAsia" w:hAnsiTheme="minorHAnsi"/>
        </w:rPr>
        <w:t xml:space="preserve">dren. About 50% of </w:t>
      </w:r>
      <w:proofErr w:type="gramStart"/>
      <w:r w:rsidRPr="59351DE1">
        <w:rPr>
          <w:rFonts w:asciiTheme="minorHAnsi" w:eastAsiaTheme="minorEastAsia" w:hAnsiTheme="minorHAnsi"/>
        </w:rPr>
        <w:t>0-5 year old</w:t>
      </w:r>
      <w:proofErr w:type="gramEnd"/>
      <w:r w:rsidRPr="59351DE1">
        <w:rPr>
          <w:rFonts w:asciiTheme="minorHAnsi" w:eastAsiaTheme="minorEastAsia" w:hAnsiTheme="minorHAnsi"/>
        </w:rPr>
        <w:t xml:space="preserve"> and 16% of 6-13 year old First Nations children attended ECEC in 2022, compared to 60% and 25% of all children in the respective age groups (</w:t>
      </w:r>
      <w:r>
        <w:t>ACCC</w:t>
      </w:r>
      <w:r w:rsidRPr="59351DE1">
        <w:rPr>
          <w:rFonts w:asciiTheme="minorHAnsi" w:eastAsiaTheme="minorEastAsia" w:hAnsiTheme="minorHAnsi"/>
        </w:rPr>
        <w:t>, 2023b). The ACCC’s First Nations Roundtable reported that the NQF does</w:t>
      </w:r>
      <w:r w:rsidRPr="59351DE1">
        <w:rPr>
          <w:rFonts w:cs="Arial"/>
        </w:rPr>
        <w:t xml:space="preserve"> not capture First Nations cultural norms and values</w:t>
      </w:r>
      <w:r>
        <w:rPr>
          <w:rFonts w:cs="Arial"/>
        </w:rPr>
        <w:t>, however it is noted that the guiding principles for the NQF include that Australia’s Aboriginal and Torres Strait Island cultures are valued and principles of equity, inclusion and diversity underlie the Law.</w:t>
      </w:r>
      <w:r w:rsidRPr="59351DE1">
        <w:rPr>
          <w:rFonts w:cs="Arial"/>
        </w:rPr>
        <w:t xml:space="preserve"> Barriers also include difficulties using and accessing Childcare Subsidy system for a variety of reasons, affordability, and a lack of integrated delivery models to address increasing number of children presenting with complex needs. A lack of suitable workforce was raised as the major barrier to accessing high quality and culturally appropriate ECEC programs.</w:t>
      </w:r>
    </w:p>
    <w:p w14:paraId="33301EF1" w14:textId="77777777" w:rsidR="00BC3D30" w:rsidRDefault="00BC3D30" w:rsidP="00BC3D30">
      <w:pPr>
        <w:keepNext/>
        <w:keepLines/>
        <w:rPr>
          <w:rFonts w:cs="Arial"/>
        </w:rPr>
      </w:pPr>
      <w:r w:rsidRPr="2C159311">
        <w:rPr>
          <w:rFonts w:cs="Arial"/>
        </w:rPr>
        <w:lastRenderedPageBreak/>
        <w:t>Evidence suggests the presence of First Nations educators and culturally inclusive ECEC are critical in promoting participation of First Nations children in ECEC services (Biddle, 2007). The need for greater cultural inclusivity in ECEC programs was made clear in the submission paper SNAICC – National Voice for our Children made to JSA:</w:t>
      </w:r>
    </w:p>
    <w:p w14:paraId="581FD320" w14:textId="77777777" w:rsidR="00BC3D30" w:rsidRDefault="00BC3D30" w:rsidP="00BC3D30">
      <w:pPr>
        <w:pStyle w:val="IntenseQuote"/>
      </w:pPr>
      <w:r w:rsidRPr="16A866AF">
        <w:t xml:space="preserve">Culture is a critical part of Aboriginal and Torres Strait Islander children’s development, identity and self-esteem and strengthens </w:t>
      </w:r>
      <w:r w:rsidRPr="000C41FE">
        <w:t>their</w:t>
      </w:r>
      <w:r w:rsidRPr="16A866AF">
        <w:t xml:space="preserve"> overall health and wellbeing. For Aboriginal and Torres Strait Islander children and families to experience cultural safety, early years services must be grounded in cultural frameworks that reflect the protocols and practices of local families and communities. (Submission 8)</w:t>
      </w:r>
    </w:p>
    <w:p w14:paraId="57F348B7" w14:textId="77777777" w:rsidR="00BC3D30" w:rsidRDefault="00BC3D30" w:rsidP="00BC3D30">
      <w:pPr>
        <w:rPr>
          <w:rFonts w:cs="Arial"/>
        </w:rPr>
      </w:pPr>
      <w:r w:rsidRPr="59351DE1">
        <w:rPr>
          <w:rFonts w:cs="Arial"/>
        </w:rPr>
        <w:t>The Productivity Commission’s draft report identified a need for new pathways for First Nations people to obtain ECEC qualifications to increase the First Nations ECEC workforce, recognising the cultural knowledge and experience First Nations people already have (PC, 2023c). As noted by SNAICC – National Voice for Our Children:</w:t>
      </w:r>
    </w:p>
    <w:p w14:paraId="2B39895F" w14:textId="77777777" w:rsidR="00BC3D30" w:rsidRPr="00182F6C" w:rsidRDefault="00BC3D30" w:rsidP="00BC3D30">
      <w:pPr>
        <w:pStyle w:val="IntenseQuote"/>
      </w:pPr>
      <w:r w:rsidRPr="00182F6C">
        <w:t>An Aboriginal and Torres Strait Islander early years workforce with appropriate skills, capabilities and experience is an essential pillar for a thriving and sustainable community controlled early years sector. (Submission 8)</w:t>
      </w:r>
    </w:p>
    <w:p w14:paraId="5957C2C6" w14:textId="77777777" w:rsidR="00BC3D30" w:rsidRDefault="00BC3D30" w:rsidP="00BC3D30">
      <w:pPr>
        <w:rPr>
          <w:rFonts w:cs="Arial"/>
        </w:rPr>
      </w:pPr>
      <w:r w:rsidRPr="4DB49DEB">
        <w:rPr>
          <w:rFonts w:cs="Arial"/>
        </w:rPr>
        <w:t xml:space="preserve">The Australian Government supports First Nations children's access to quality ECEC services through </w:t>
      </w:r>
      <w:proofErr w:type="gramStart"/>
      <w:r w:rsidRPr="4DB49DEB">
        <w:rPr>
          <w:rFonts w:cs="Arial"/>
        </w:rPr>
        <w:t>a number of</w:t>
      </w:r>
      <w:proofErr w:type="gramEnd"/>
      <w:r w:rsidRPr="4DB49DEB">
        <w:rPr>
          <w:rFonts w:cs="Arial"/>
        </w:rPr>
        <w:t xml:space="preserve"> targeted measures including the National Agreement on </w:t>
      </w:r>
      <w:r w:rsidRPr="4DB49DEB">
        <w:rPr>
          <w:rFonts w:cs="Arial"/>
          <w:i/>
          <w:iCs/>
        </w:rPr>
        <w:t xml:space="preserve">Closing the Gap </w:t>
      </w:r>
      <w:r w:rsidRPr="4DB49DEB">
        <w:rPr>
          <w:rFonts w:cs="Arial"/>
        </w:rPr>
        <w:t>and the</w:t>
      </w:r>
      <w:r w:rsidRPr="4DB49DEB">
        <w:rPr>
          <w:rFonts w:cs="Arial"/>
          <w:i/>
          <w:iCs/>
        </w:rPr>
        <w:t xml:space="preserve"> Early Childhood Care and Development Policy Partnership</w:t>
      </w:r>
      <w:r w:rsidRPr="4DB49DEB">
        <w:rPr>
          <w:rFonts w:cs="Arial"/>
        </w:rPr>
        <w:t xml:space="preserve"> between the First Nations representatives and governments. The Australian Government also invests in integrated services delivered through culturally safe programs including Connected Beginnings, Aboriginal and Torres Strait Islander community-controlled organisations (ACCOs) and Aboriginal Child and Family Centres (ACFCs). However, ACCOs often face funding challenges and uncertainty (PC, 2023c).</w:t>
      </w:r>
      <w:r>
        <w:rPr>
          <w:rFonts w:cs="Arial"/>
        </w:rPr>
        <w:t xml:space="preserve"> </w:t>
      </w:r>
      <w:r>
        <w:t>S</w:t>
      </w:r>
      <w:r w:rsidRPr="00F9143A">
        <w:rPr>
          <w:rFonts w:cs="Arial"/>
        </w:rPr>
        <w:t>ince mid-2021 the Australian Government has funded ACECQA to deliver the Community Child Care Fund Restricted (CCCFR) Quality and Safety Project which is a professional development training program focused on quality improvement and building capability. There are nearly 150 CCCFR services, formerly known as Australian Government Budget Based Funded (BBF), most of which operate in regional and remote Aboriginal and Torres Strait Islander communities across all states and territories.</w:t>
      </w:r>
    </w:p>
    <w:p w14:paraId="2B4224F6" w14:textId="77777777" w:rsidR="009042F4" w:rsidRDefault="009042F4">
      <w:pPr>
        <w:rPr>
          <w:rStyle w:val="Strong"/>
        </w:rPr>
      </w:pPr>
      <w:r>
        <w:rPr>
          <w:rStyle w:val="Strong"/>
        </w:rPr>
        <w:br w:type="page"/>
      </w:r>
    </w:p>
    <w:p w14:paraId="16D807CA" w14:textId="1AE701F0" w:rsidR="00BC3D30" w:rsidRDefault="00BC3D30" w:rsidP="00BC3D30">
      <w:pPr>
        <w:keepNext/>
        <w:rPr>
          <w:rStyle w:val="Strong"/>
        </w:rPr>
      </w:pPr>
      <w:r w:rsidRPr="0075564C">
        <w:rPr>
          <w:rStyle w:val="Strong"/>
        </w:rPr>
        <w:lastRenderedPageBreak/>
        <w:t xml:space="preserve">Other </w:t>
      </w:r>
      <w:r>
        <w:rPr>
          <w:rStyle w:val="Strong"/>
        </w:rPr>
        <w:t>S</w:t>
      </w:r>
      <w:r w:rsidRPr="0075564C">
        <w:rPr>
          <w:rStyle w:val="Strong"/>
        </w:rPr>
        <w:t xml:space="preserve">pecialised and </w:t>
      </w:r>
      <w:r>
        <w:rPr>
          <w:rStyle w:val="Strong"/>
        </w:rPr>
        <w:t>F</w:t>
      </w:r>
      <w:r w:rsidRPr="0075564C">
        <w:rPr>
          <w:rStyle w:val="Strong"/>
        </w:rPr>
        <w:t>amily-</w:t>
      </w:r>
      <w:r>
        <w:rPr>
          <w:rStyle w:val="Strong"/>
        </w:rPr>
        <w:t>R</w:t>
      </w:r>
      <w:r w:rsidRPr="0075564C">
        <w:rPr>
          <w:rStyle w:val="Strong"/>
        </w:rPr>
        <w:t xml:space="preserve">esponsive </w:t>
      </w:r>
      <w:r>
        <w:rPr>
          <w:rStyle w:val="Strong"/>
        </w:rPr>
        <w:t>S</w:t>
      </w:r>
      <w:r w:rsidRPr="0075564C">
        <w:rPr>
          <w:rStyle w:val="Strong"/>
        </w:rPr>
        <w:t>ervices</w:t>
      </w:r>
    </w:p>
    <w:tbl>
      <w:tblPr>
        <w:tblStyle w:val="BoxStyle"/>
        <w:tblW w:w="0" w:type="auto"/>
        <w:tblLook w:val="0620" w:firstRow="1" w:lastRow="0" w:firstColumn="0" w:lastColumn="0" w:noHBand="1" w:noVBand="1"/>
      </w:tblPr>
      <w:tblGrid>
        <w:gridCol w:w="9016"/>
      </w:tblGrid>
      <w:tr w:rsidR="00BC3D30" w14:paraId="42CC6CE9" w14:textId="77777777" w:rsidTr="005D67F5">
        <w:tc>
          <w:tcPr>
            <w:tcW w:w="9016" w:type="dxa"/>
          </w:tcPr>
          <w:p w14:paraId="78AF8C66" w14:textId="77777777" w:rsidR="00BC3D30" w:rsidRDefault="00BC3D30" w:rsidP="005F6ADC">
            <w:pPr>
              <w:pStyle w:val="Source"/>
              <w:rPr>
                <w:rFonts w:eastAsiaTheme="majorEastAsia" w:cstheme="majorBidi"/>
                <w:b/>
                <w:color w:val="441170" w:themeColor="text2"/>
                <w:sz w:val="32"/>
                <w:szCs w:val="24"/>
              </w:rPr>
            </w:pPr>
            <w:bookmarkStart w:id="50" w:name="_Hlk174106014"/>
            <w:r w:rsidRPr="006A6498">
              <w:rPr>
                <w:rFonts w:eastAsiaTheme="majorEastAsia" w:cstheme="majorBidi"/>
                <w:b/>
                <w:color w:val="441170" w:themeColor="text2"/>
                <w:sz w:val="32"/>
                <w:szCs w:val="24"/>
              </w:rPr>
              <w:t>CASE STUDY – The Boori Milumba program: improving life trajectories for First Nations children</w:t>
            </w:r>
          </w:p>
          <w:p w14:paraId="01AA11DB" w14:textId="77777777" w:rsidR="00BC3D30" w:rsidRDefault="00BC3D30" w:rsidP="005F6ADC">
            <w:pPr>
              <w:spacing w:after="160" w:line="259" w:lineRule="auto"/>
            </w:pPr>
            <w:r>
              <w:t xml:space="preserve">In February 2024, a new Aboriginal-led ECEC program co-developed by SNAICC – National Voice for our Children along with local communities and Aboriginal and Torres Strait Islander leaders was launched at Cullunghutti Aboriginal Child and Family Centre in Nowra, NSW. The Boori Milumba program aligns with Closing the Gap Targets 3 and 4 and is tailored to meet the individual and cultural needs of First Nations children who are experiencing family stress and hardship. Children aged from birth to three receive five hours of education and care five days a week at no cost. Boori Milumba seeks positive outcomes for both First Nations children and early childhood staff. Boori Milumba is funded by the Australian Government and philanthropy and is being undertaken as a collaborative partnership between SNAICC – National Voice for our Children, Cullunghutti Aboriginal Child and Family Centre, Parkville Institute, and Social Ventures Australia. </w:t>
            </w:r>
          </w:p>
          <w:p w14:paraId="747BA824" w14:textId="77777777" w:rsidR="00BC3D30" w:rsidRDefault="00BC3D30" w:rsidP="005F6ADC">
            <w:pPr>
              <w:spacing w:after="160" w:line="259" w:lineRule="auto"/>
            </w:pPr>
            <w:r>
              <w:t>Submission 8 – SNAICC National Voice for our Children</w:t>
            </w:r>
          </w:p>
          <w:p w14:paraId="46EE6603" w14:textId="77777777" w:rsidR="00BC3D30" w:rsidRPr="006A6498" w:rsidRDefault="00BC3D30" w:rsidP="00846EE4">
            <w:pPr>
              <w:pStyle w:val="Source"/>
            </w:pPr>
            <w:r>
              <w:t xml:space="preserve">Source: SNAICC National Voice for our Children, (2024), </w:t>
            </w:r>
            <w:r>
              <w:rPr>
                <w:i/>
                <w:iCs/>
              </w:rPr>
              <w:t>Media Release: New program supports Aboriginal children to thrive in Nowra,</w:t>
            </w:r>
            <w:r>
              <w:t xml:space="preserve"> </w:t>
            </w:r>
            <w:hyperlink r:id="rId54" w:history="1">
              <w:r w:rsidRPr="003060B1">
                <w:rPr>
                  <w:rStyle w:val="Hyperlink"/>
                </w:rPr>
                <w:t>https://www.snaicc.org.au/wp-content/uploads/2024/02/BOORI-MILUMBA-MEDIA-RELEASE.pdf</w:t>
              </w:r>
            </w:hyperlink>
            <w:r>
              <w:t xml:space="preserve">. </w:t>
            </w:r>
          </w:p>
        </w:tc>
      </w:tr>
      <w:bookmarkEnd w:id="50"/>
    </w:tbl>
    <w:p w14:paraId="377B0F18" w14:textId="77777777" w:rsidR="00BC3D30" w:rsidRPr="00D463BD" w:rsidRDefault="00BC3D30" w:rsidP="00BC3D30">
      <w:pPr>
        <w:rPr>
          <w:rStyle w:val="Strong"/>
          <w:rFonts w:cs="Arial"/>
          <w:b w:val="0"/>
          <w:bCs w:val="0"/>
        </w:rPr>
      </w:pPr>
    </w:p>
    <w:p w14:paraId="06FEED81" w14:textId="77777777" w:rsidR="00BC3D30" w:rsidRDefault="00BC3D30" w:rsidP="00BC3D30">
      <w:pPr>
        <w:spacing w:before="240"/>
        <w:rPr>
          <w:rFonts w:cs="Arial"/>
        </w:rPr>
      </w:pPr>
      <w:r w:rsidRPr="59351DE1">
        <w:rPr>
          <w:rFonts w:cs="Arial"/>
        </w:rPr>
        <w:t xml:space="preserve">An important dimension of providing quality ECEC, and one with significant workforce implications, is the need to provide services that respond to the </w:t>
      </w:r>
      <w:proofErr w:type="gramStart"/>
      <w:r w:rsidRPr="59351DE1">
        <w:rPr>
          <w:rFonts w:cs="Arial"/>
        </w:rPr>
        <w:t>particular needs</w:t>
      </w:r>
      <w:proofErr w:type="gramEnd"/>
      <w:r w:rsidRPr="59351DE1">
        <w:rPr>
          <w:rFonts w:cs="Arial"/>
        </w:rPr>
        <w:t xml:space="preserve"> of children requiring additional specialised care and for children from specific communities, especially where they are at greater risk of experiencing educational disadvantage. One in twenty children (5%) attending ECEC programs have disability or other specific needs and ACCC’s recent survey revealed that families of the children with disability and other complex needs are facing challenges finding a place for their child due to the lack of qualified staff with specialist skills (PC, 2023c; ACCC 2023a). As noted by a peak workforce development body:</w:t>
      </w:r>
    </w:p>
    <w:p w14:paraId="7CEA22E9" w14:textId="77777777" w:rsidR="00BC3D30" w:rsidRDefault="00BC3D30" w:rsidP="00BC3D30">
      <w:pPr>
        <w:pStyle w:val="IntenseQuote"/>
      </w:pPr>
      <w:r>
        <w:t>Providing access to ECEC services for children with complex or special needs, including children with disability, Aboriginal and Torres Strait Islanders, children from disadvantaged or trauma backgrounds such as refugees will need to be considered in future delivery of ECEC services.</w:t>
      </w:r>
      <w:r w:rsidRPr="479ABE28">
        <w:t xml:space="preserve"> (Submission 51)</w:t>
      </w:r>
    </w:p>
    <w:p w14:paraId="3D4A3590" w14:textId="39EBC041" w:rsidR="00BC3D30" w:rsidRDefault="00BC3D30" w:rsidP="00BC3D30">
      <w:pPr>
        <w:keepNext/>
        <w:keepLines/>
        <w:rPr>
          <w:rFonts w:cs="Arial"/>
          <w:shd w:val="clear" w:color="auto" w:fill="C0C0C0"/>
        </w:rPr>
      </w:pPr>
      <w:r w:rsidRPr="59351DE1">
        <w:rPr>
          <w:rFonts w:cs="Arial"/>
        </w:rPr>
        <w:lastRenderedPageBreak/>
        <w:t xml:space="preserve">The Australian Government provides funding and support through the Inclusion Support Program (ISP) to support CCS-approved providers to enable children with additional needs the opportunity to learn, develop and achieve positive learning outcomes. The Australian Government committed $133 million in 2021 and more than 17,600 children were supported through the ISP in 2021-22 (PC, 2023c). The Productivity Commission’s draft recommendations make significant suggestions about the ISP as well </w:t>
      </w:r>
      <w:r w:rsidR="005944DC" w:rsidRPr="005944DC">
        <w:rPr>
          <w:rFonts w:cs="Arial"/>
        </w:rPr>
        <w:t>as outcomes from the NDIS review and the Foundational Supports Strategy that would impact this delivery for children with additional needs in the early years</w:t>
      </w:r>
      <w:r w:rsidRPr="59351DE1">
        <w:rPr>
          <w:rFonts w:cs="Arial"/>
        </w:rPr>
        <w:t>.</w:t>
      </w:r>
    </w:p>
    <w:p w14:paraId="62F5A4F6" w14:textId="77777777" w:rsidR="00BC3D30" w:rsidRDefault="00BC3D30" w:rsidP="00BC3D30">
      <w:pPr>
        <w:rPr>
          <w:rStyle w:val="eop"/>
          <w:rFonts w:cs="Arial"/>
        </w:rPr>
      </w:pPr>
      <w:r w:rsidRPr="2C159311">
        <w:rPr>
          <w:rFonts w:cs="Arial"/>
        </w:rPr>
        <w:t>Approximately one in five children (19%) attending ECEC come from a non-English speaking background. Children from non-English speaking background tend to have a greater share of enrolments in FDC (34%) compared to other delivery settings (18%) (PC, 2023c). ACCC indicated that this could reflect a preference of the families to use educators who speak the same first language (ACCC, 2023a).</w:t>
      </w:r>
    </w:p>
    <w:p w14:paraId="04C64E6F" w14:textId="77777777" w:rsidR="00BC3D30" w:rsidRPr="006A7B1F" w:rsidRDefault="00BC3D30" w:rsidP="00F47B0F">
      <w:pPr>
        <w:pStyle w:val="Heading3"/>
      </w:pPr>
      <w:r w:rsidRPr="006A7B1F">
        <w:t>Regulatory Overview</w:t>
      </w:r>
    </w:p>
    <w:p w14:paraId="46BB9C5D" w14:textId="795192BF" w:rsidR="009042F4" w:rsidRDefault="00BC3D30" w:rsidP="00BC3D30">
      <w:r>
        <w:t>Operation of the ECEC sector is governed by regulatory settings and administration at all levels of government, from funding and quality standards at the national level down to the size and location of services at the local level. This section focuses on the NQF, which directly impacts the ECEC workforce by establishing educator to child ratios and qualification requirements, as well as determining the staffing mix within services.</w:t>
      </w:r>
    </w:p>
    <w:p w14:paraId="46A9C0AD" w14:textId="0EDFD589" w:rsidR="00BC3D30" w:rsidRDefault="009042F4" w:rsidP="00BC3D30">
      <w:r>
        <w:br w:type="page"/>
      </w:r>
    </w:p>
    <w:tbl>
      <w:tblPr>
        <w:tblStyle w:val="BoxStyle"/>
        <w:tblW w:w="0" w:type="auto"/>
        <w:tblLook w:val="0620" w:firstRow="1" w:lastRow="0" w:firstColumn="0" w:lastColumn="0" w:noHBand="1" w:noVBand="1"/>
      </w:tblPr>
      <w:tblGrid>
        <w:gridCol w:w="9016"/>
      </w:tblGrid>
      <w:tr w:rsidR="00BC3D30" w14:paraId="228BBF73" w14:textId="77777777" w:rsidTr="005D67F5">
        <w:tc>
          <w:tcPr>
            <w:tcW w:w="9016" w:type="dxa"/>
          </w:tcPr>
          <w:p w14:paraId="266A83CA" w14:textId="77777777" w:rsidR="00BC3D30" w:rsidRDefault="00BC3D30" w:rsidP="005F6ADC">
            <w:pPr>
              <w:pStyle w:val="Source"/>
              <w:rPr>
                <w:rFonts w:eastAsiaTheme="majorEastAsia" w:cstheme="majorBidi"/>
                <w:b/>
                <w:color w:val="441170" w:themeColor="text2"/>
                <w:sz w:val="32"/>
                <w:szCs w:val="24"/>
              </w:rPr>
            </w:pPr>
            <w:r w:rsidRPr="006A6498">
              <w:rPr>
                <w:rFonts w:eastAsiaTheme="majorEastAsia" w:cstheme="majorBidi"/>
                <w:b/>
                <w:color w:val="441170" w:themeColor="text2"/>
                <w:sz w:val="32"/>
                <w:szCs w:val="24"/>
              </w:rPr>
              <w:lastRenderedPageBreak/>
              <w:t>CASE STUDY – Aotearoa New Zealand: Culturally Engaged Curriculum (Te Whàriki)</w:t>
            </w:r>
          </w:p>
          <w:p w14:paraId="5F4E945A" w14:textId="77777777" w:rsidR="00BC3D30" w:rsidRDefault="00BC3D30" w:rsidP="005F6ADC">
            <w:pPr>
              <w:spacing w:after="160" w:line="259" w:lineRule="auto"/>
            </w:pPr>
            <w:r w:rsidRPr="006A6498">
              <w:t>First published in 1996, Te Whāriki, was one of the first national curriculums for early childhood education and is highly regarded in Aotearoa New Zealand and internationally. The curriculum, still in use today, emphasises a society that recognises Māori as tangata whenua (“people of the land”) and ensures an obligation to protect Māori language and culture and for Māori to enjoy educational success. Te Whāriki is an inclusive curriculum that encompasses gender, ethnicity, different abilities and learning needs, family structure and values, socio-economic status and religion. It places importance on the development of knowledge, skills, attitudes and dispositions that support lifelong learning. In 2017, Te Whāriki was revised for the first time to incorporate societal changes, shifts in policy and research about curriculum, assessment, pedagogy and practice.</w:t>
            </w:r>
          </w:p>
          <w:p w14:paraId="649E34D5" w14:textId="77777777" w:rsidR="00BC3D30" w:rsidRDefault="00BC3D30" w:rsidP="005F6ADC">
            <w:pPr>
              <w:spacing w:after="160" w:line="259" w:lineRule="auto"/>
            </w:pPr>
            <w:r>
              <w:rPr>
                <w:noProof/>
              </w:rPr>
              <w:drawing>
                <wp:inline distT="0" distB="0" distL="0" distR="0" wp14:anchorId="50F96E6A" wp14:editId="5AE7CF6F">
                  <wp:extent cx="3753134" cy="3412338"/>
                  <wp:effectExtent l="0" t="0" r="0" b="0"/>
                  <wp:docPr id="63627186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71866" name="Picture 1">
                            <a:extLst>
                              <a:ext uri="{C183D7F6-B498-43B3-948B-1728B52AA6E4}">
                                <adec:decorative xmlns:adec="http://schemas.microsoft.com/office/drawing/2017/decorative" val="1"/>
                              </a:ext>
                            </a:extLst>
                          </pic:cNvPr>
                          <pic:cNvPicPr>
                            <a:picLocks noChangeAspect="1" noChangeArrowheads="1"/>
                          </pic:cNvPicPr>
                        </pic:nvPicPr>
                        <pic:blipFill>
                          <a:blip r:embed="rId55" cstate="screen">
                            <a:extLst>
                              <a:ext uri="{28A0092B-C50C-407E-A947-70E740481C1C}">
                                <a14:useLocalDpi xmlns:a14="http://schemas.microsoft.com/office/drawing/2010/main" val="0"/>
                              </a:ext>
                            </a:extLst>
                          </a:blip>
                          <a:srcRect/>
                          <a:stretch>
                            <a:fillRect/>
                          </a:stretch>
                        </pic:blipFill>
                        <pic:spPr bwMode="auto">
                          <a:xfrm>
                            <a:off x="0" y="0"/>
                            <a:ext cx="3768552" cy="3426356"/>
                          </a:xfrm>
                          <a:prstGeom prst="rect">
                            <a:avLst/>
                          </a:prstGeom>
                          <a:noFill/>
                        </pic:spPr>
                      </pic:pic>
                    </a:graphicData>
                  </a:graphic>
                </wp:inline>
              </w:drawing>
            </w:r>
          </w:p>
          <w:p w14:paraId="245DBE0D" w14:textId="77777777" w:rsidR="00BC3D30" w:rsidRDefault="00BC3D30" w:rsidP="005F6ADC">
            <w:pPr>
              <w:pStyle w:val="Source"/>
            </w:pPr>
            <w:r w:rsidRPr="00B34D35">
              <w:t xml:space="preserve">Source: New Zealand Ministry of Education, (2017), </w:t>
            </w:r>
            <w:r w:rsidRPr="00B34D35">
              <w:rPr>
                <w:i/>
                <w:iCs/>
              </w:rPr>
              <w:t>Te Whāriki,</w:t>
            </w:r>
            <w:r w:rsidRPr="00B34D35">
              <w:t xml:space="preserve"> New Zealand Government, </w:t>
            </w:r>
            <w:hyperlink r:id="rId56" w:history="1">
              <w:r w:rsidRPr="003060B1">
                <w:rPr>
                  <w:rStyle w:val="Hyperlink"/>
                </w:rPr>
                <w:t>https://www.education.govt.nz/assets/Documents/Early-Childhood/ELS-Te-Whariki-Early-Childhood-Curriculum-ENG-Web.pdf</w:t>
              </w:r>
            </w:hyperlink>
            <w:r w:rsidRPr="00B34D35">
              <w:t>.</w:t>
            </w:r>
            <w:r>
              <w:t xml:space="preserve"> </w:t>
            </w:r>
          </w:p>
          <w:p w14:paraId="3B50B710" w14:textId="77777777" w:rsidR="00BC3D30" w:rsidRPr="006A6498" w:rsidRDefault="00BC3D30" w:rsidP="005F6ADC">
            <w:pPr>
              <w:pStyle w:val="Source"/>
            </w:pPr>
            <w:r w:rsidRPr="006A6498">
              <w:t xml:space="preserve">The whāriki on the cover were developed by expert kairaranga (weaver) Mari Te Hei-Ropata (Ngāpuhi, Ngāti Raukawa ki te Tonga, Te Āti Awa me Ngāti Toa Rangatira) and graphic designer Te Iwihoko Rangihirawea (Ngāti Rangi, Ngāti Pikiahuwaewae). The cover represents part of the underside of a whāriki or woven mat. The green symbolises new life, growth and potential and references harakeke and pandanus, which are used throughout Te Moana-nui-a-Kiwa as materials for weaving. When the document is opened at the place where the two parts of the flip book meet, </w:t>
            </w:r>
            <w:proofErr w:type="gramStart"/>
            <w:r w:rsidRPr="006A6498">
              <w:t>it can be seen that the</w:t>
            </w:r>
            <w:proofErr w:type="gramEnd"/>
            <w:r w:rsidRPr="006A6498">
              <w:t xml:space="preserve"> whāriki is unfinished, with loose strands still to be woven. This acknowledges the child’s potential and their ongoing educational journey.</w:t>
            </w:r>
          </w:p>
        </w:tc>
      </w:tr>
    </w:tbl>
    <w:p w14:paraId="663C6210" w14:textId="77777777" w:rsidR="00BC3D30" w:rsidRDefault="00BC3D30" w:rsidP="00BC3D30"/>
    <w:p w14:paraId="358ADE00" w14:textId="77777777" w:rsidR="00BC3D30" w:rsidRDefault="00BC3D30" w:rsidP="00BC3D30">
      <w:pPr>
        <w:rPr>
          <w:rFonts w:cs="Arial"/>
          <w:b/>
          <w:bCs/>
          <w:color w:val="005D5D" w:themeColor="accent2"/>
          <w:sz w:val="28"/>
        </w:rPr>
      </w:pPr>
      <w:r>
        <w:br w:type="page"/>
      </w:r>
    </w:p>
    <w:p w14:paraId="2B7365D7" w14:textId="77777777" w:rsidR="00BC3D30" w:rsidRPr="006A7B1F" w:rsidRDefault="00BC3D30" w:rsidP="00BC3D30">
      <w:pPr>
        <w:pStyle w:val="Heading4"/>
      </w:pPr>
      <w:r w:rsidRPr="006A7B1F">
        <w:lastRenderedPageBreak/>
        <w:t xml:space="preserve">Ratio </w:t>
      </w:r>
      <w:r w:rsidRPr="007A7DDE">
        <w:t>Requirements</w:t>
      </w:r>
    </w:p>
    <w:p w14:paraId="0516B9A8" w14:textId="77777777" w:rsidR="00BC3D30" w:rsidRDefault="00BC3D30" w:rsidP="00BC3D30">
      <w:pPr>
        <w:rPr>
          <w:rFonts w:cs="Arial"/>
        </w:rPr>
      </w:pPr>
      <w:r w:rsidRPr="0BF3FD90">
        <w:rPr>
          <w:rFonts w:cs="Arial"/>
        </w:rPr>
        <w:t xml:space="preserve">Educator to child ratios </w:t>
      </w:r>
      <w:proofErr w:type="gramStart"/>
      <w:r w:rsidRPr="0BF3FD90">
        <w:rPr>
          <w:rFonts w:cs="Arial"/>
        </w:rPr>
        <w:t>are</w:t>
      </w:r>
      <w:proofErr w:type="gramEnd"/>
      <w:r w:rsidRPr="0BF3FD90">
        <w:rPr>
          <w:rFonts w:cs="Arial"/>
        </w:rPr>
        <w:t xml:space="preserve"> set to ensure that there are sufficient educators working directly with children to maintain safety and quality of education and care outcomes. The ratios vary by service type, child and age, with some jurisdictions setting requirements above the national minimum and some services choosing to operate above ratio to the extent possible by available funding and workforce. </w:t>
      </w:r>
    </w:p>
    <w:p w14:paraId="53DD1F9F" w14:textId="45955D33" w:rsidR="00BC3D30" w:rsidRDefault="00BC3D30" w:rsidP="00BC3D30">
      <w:pPr>
        <w:rPr>
          <w:rStyle w:val="eop"/>
          <w:rFonts w:cs="Arial"/>
        </w:rPr>
      </w:pPr>
      <w:r>
        <w:rPr>
          <w:rFonts w:cs="Arial"/>
        </w:rPr>
        <w:t>For CBDC services, national ratios</w:t>
      </w:r>
      <w:r w:rsidRPr="002905C0" w:rsidDel="000639F1">
        <w:rPr>
          <w:rFonts w:cs="Arial"/>
        </w:rPr>
        <w:t xml:space="preserve"> </w:t>
      </w:r>
      <w:r w:rsidRPr="002905C0">
        <w:rPr>
          <w:rFonts w:cs="Arial"/>
        </w:rPr>
        <w:t>range from 1:4 for children aged from birth to 24 months in all states and territories, to 1:15 for children over preschool age</w:t>
      </w:r>
      <w:r>
        <w:rPr>
          <w:rFonts w:cs="Arial"/>
        </w:rPr>
        <w:t xml:space="preserve"> (</w:t>
      </w:r>
      <w:r>
        <w:rPr>
          <w:rFonts w:cs="Arial"/>
        </w:rPr>
        <w:fldChar w:fldCharType="begin"/>
      </w:r>
      <w:r>
        <w:rPr>
          <w:rFonts w:cs="Arial"/>
        </w:rPr>
        <w:instrText xml:space="preserve"> REF _Ref166073181 \h </w:instrText>
      </w:r>
      <w:r>
        <w:rPr>
          <w:rFonts w:cs="Arial"/>
        </w:rPr>
      </w:r>
      <w:r>
        <w:rPr>
          <w:rFonts w:cs="Arial"/>
        </w:rPr>
        <w:fldChar w:fldCharType="separate"/>
      </w:r>
      <w:r w:rsidR="005F18C1">
        <w:t>Figure 1.</w:t>
      </w:r>
      <w:r w:rsidR="005F18C1">
        <w:rPr>
          <w:noProof/>
        </w:rPr>
        <w:t>4</w:t>
      </w:r>
      <w:r>
        <w:rPr>
          <w:rFonts w:cs="Arial"/>
        </w:rPr>
        <w:fldChar w:fldCharType="end"/>
      </w:r>
      <w:r>
        <w:rPr>
          <w:rFonts w:cs="Arial"/>
        </w:rPr>
        <w:t xml:space="preserve"> below</w:t>
      </w:r>
      <w:r w:rsidRPr="002905C0">
        <w:rPr>
          <w:rFonts w:cs="Arial"/>
        </w:rPr>
        <w:t>).</w:t>
      </w:r>
      <w:r>
        <w:rPr>
          <w:rFonts w:cs="Arial"/>
        </w:rPr>
        <w:t xml:space="preserve"> </w:t>
      </w:r>
    </w:p>
    <w:p w14:paraId="6512FC70" w14:textId="0D4418D9" w:rsidR="00BC3D30" w:rsidRDefault="00BC3D30" w:rsidP="00BC3D30">
      <w:pPr>
        <w:pStyle w:val="Caption"/>
        <w:rPr>
          <w:b w:val="0"/>
          <w:bCs w:val="0"/>
        </w:rPr>
      </w:pPr>
      <w:bookmarkStart w:id="51" w:name="_Ref166073181"/>
      <w:bookmarkStart w:id="52" w:name="_Ref167970464"/>
      <w:r>
        <w:t>Figure 1.</w:t>
      </w:r>
      <w:r>
        <w:fldChar w:fldCharType="begin"/>
      </w:r>
      <w:r>
        <w:instrText xml:space="preserve"> SEQ Figure \* ARABIC \s 1 </w:instrText>
      </w:r>
      <w:r>
        <w:fldChar w:fldCharType="separate"/>
      </w:r>
      <w:r w:rsidR="005F18C1">
        <w:rPr>
          <w:noProof/>
        </w:rPr>
        <w:t>4</w:t>
      </w:r>
      <w:r>
        <w:fldChar w:fldCharType="end"/>
      </w:r>
      <w:bookmarkEnd w:id="51"/>
      <w:r>
        <w:t>:</w:t>
      </w:r>
      <w:r>
        <w:rPr>
          <w:b w:val="0"/>
          <w:bCs w:val="0"/>
        </w:rPr>
        <w:t xml:space="preserve"> </w:t>
      </w:r>
      <w:r w:rsidRPr="00285829">
        <w:t>Educator to child ratios for CBDC</w:t>
      </w:r>
      <w:bookmarkEnd w:id="52"/>
      <w:r w:rsidRPr="00285829">
        <w:rPr>
          <w:rStyle w:val="FootnoteReference"/>
        </w:rPr>
        <w:footnoteReference w:id="16"/>
      </w:r>
    </w:p>
    <w:p w14:paraId="246B4130" w14:textId="77777777" w:rsidR="00BC3D30" w:rsidRDefault="00BC3D30" w:rsidP="00BC3D30">
      <w:pPr>
        <w:pStyle w:val="Caption"/>
        <w:jc w:val="center"/>
        <w:rPr>
          <w:rFonts w:ascii="Segoe UI" w:hAnsi="Segoe UI" w:cs="Segoe UI"/>
        </w:rPr>
      </w:pPr>
      <w:r>
        <w:rPr>
          <w:rStyle w:val="wacimagecontainer"/>
          <w:rFonts w:ascii="Segoe UI" w:hAnsi="Segoe UI" w:cs="Segoe UI"/>
          <w:noProof/>
        </w:rPr>
        <w:drawing>
          <wp:inline distT="0" distB="0" distL="0" distR="0" wp14:anchorId="0679BB3F" wp14:editId="44718E91">
            <wp:extent cx="4826000" cy="2701726"/>
            <wp:effectExtent l="0" t="0" r="0" b="3810"/>
            <wp:docPr id="549083683" name="Picture 1" descr="&quot;In all states and territories there must be at least 1 educator to every 4 children aged from birth to 24 months.&#10;For children aged 24 to 36 months there must be at least 1 educator to every 4 children in Victoria,  and at least 1 educator to every 5 children in all other states and territories.&#10;For children aged 36 months up to and including preschool age, there must be at least 1 educator for every 10 children in New South Wales, Tasmania and Western Australia. For all other states and territories, it is 1 educator to every 11 children.&#10;For children aged over preschool age, there must be at least 1 educator for every 10 children in Western Australia, 1 for every 11 children in the Australian Capital Territory, and 1 for every 15 children in all other states and territori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083683" name="Picture 1" descr="&quot;In all states and territories there must be at least 1 educator to every 4 children aged from birth to 24 months.&#10;For children aged 24 to 36 months there must be at least 1 educator to every 4 children in Victoria,  and at least 1 educator to every 5 children in all other states and territories.&#10;For children aged 36 months up to and including preschool age, there must be at least 1 educator for every 10 children in New South Wales, Tasmania and Western Australia. For all other states and territories, it is 1 educator to every 11 children.&#10;For children aged over preschool age, there must be at least 1 educator for every 10 children in Western Australia, 1 for every 11 children in the Australian Capital Territory, and 1 for every 15 children in all other states and territories.&quot;"/>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829621" cy="2703753"/>
                    </a:xfrm>
                    <a:prstGeom prst="rect">
                      <a:avLst/>
                    </a:prstGeom>
                    <a:noFill/>
                    <a:ln>
                      <a:noFill/>
                    </a:ln>
                  </pic:spPr>
                </pic:pic>
              </a:graphicData>
            </a:graphic>
          </wp:inline>
        </w:drawing>
      </w:r>
    </w:p>
    <w:p w14:paraId="41B08283" w14:textId="77777777" w:rsidR="00BC3D30" w:rsidRDefault="00BC3D30" w:rsidP="00BC3D30">
      <w:pPr>
        <w:pStyle w:val="Source"/>
        <w:rPr>
          <w:rStyle w:val="eop"/>
          <w:rFonts w:cs="Arial"/>
        </w:rPr>
      </w:pPr>
      <w:r w:rsidRPr="009B3D43">
        <w:rPr>
          <w:rFonts w:cs="Arial"/>
        </w:rPr>
        <w:t xml:space="preserve">Source: Adapted from ACECQA, </w:t>
      </w:r>
      <w:hyperlink r:id="rId58" w:tgtFrame="_blank" w:history="1">
        <w:r w:rsidRPr="009B3D43">
          <w:rPr>
            <w:rFonts w:cs="Arial"/>
            <w:color w:val="013D74"/>
            <w:u w:val="single"/>
          </w:rPr>
          <w:t>Educator to child ratios</w:t>
        </w:r>
      </w:hyperlink>
      <w:r>
        <w:rPr>
          <w:rFonts w:cs="Arial"/>
          <w:color w:val="013D74"/>
          <w:u w:val="single"/>
        </w:rPr>
        <w:t>.</w:t>
      </w:r>
    </w:p>
    <w:p w14:paraId="2B8BBEA6" w14:textId="77777777" w:rsidR="00BC3D30" w:rsidRDefault="00BC3D30" w:rsidP="00BC3D30">
      <w:pPr>
        <w:rPr>
          <w:rStyle w:val="FootnoteReference"/>
        </w:rPr>
      </w:pPr>
      <w:r>
        <w:t>These ratios are applied across the whole service for centre-based care, counting only educators who are working directly with children. This provides services with the ability to manage hard-to-fill/recruit locations (such as rural and remote areas), allowing them to manage ratios regardless of group or room arrangements. I</w:t>
      </w:r>
      <w:r w:rsidRPr="0077213F">
        <w:rPr>
          <w:rFonts w:asciiTheme="minorHAnsi" w:eastAsiaTheme="minorEastAsia" w:hAnsiTheme="minorHAnsi"/>
        </w:rPr>
        <w:t>n addition to the minimum ratio requirements</w:t>
      </w:r>
      <w:r w:rsidRPr="25ED7569">
        <w:rPr>
          <w:rFonts w:asciiTheme="minorHAnsi" w:eastAsiaTheme="minorEastAsia" w:hAnsiTheme="minorHAnsi"/>
        </w:rPr>
        <w:t>,</w:t>
      </w:r>
      <w:r w:rsidRPr="0077213F">
        <w:rPr>
          <w:rFonts w:asciiTheme="minorHAnsi" w:eastAsiaTheme="minorEastAsia" w:hAnsiTheme="minorHAnsi"/>
        </w:rPr>
        <w:t xml:space="preserve"> the NQF also requires the adequate supervision of children to be </w:t>
      </w:r>
      <w:proofErr w:type="gramStart"/>
      <w:r w:rsidRPr="0077213F">
        <w:rPr>
          <w:rFonts w:asciiTheme="minorHAnsi" w:eastAsiaTheme="minorEastAsia" w:hAnsiTheme="minorHAnsi"/>
        </w:rPr>
        <w:t>maintained at all times</w:t>
      </w:r>
      <w:proofErr w:type="gramEnd"/>
      <w:r w:rsidRPr="0077213F">
        <w:rPr>
          <w:rFonts w:asciiTheme="minorHAnsi" w:eastAsiaTheme="minorEastAsia" w:hAnsiTheme="minorHAnsi"/>
        </w:rPr>
        <w:t>.</w:t>
      </w:r>
      <w:r w:rsidRPr="25ED7569">
        <w:rPr>
          <w:rFonts w:asciiTheme="minorHAnsi" w:eastAsiaTheme="minorEastAsia" w:hAnsiTheme="minorHAnsi"/>
        </w:rPr>
        <w:t xml:space="preserve"> </w:t>
      </w:r>
      <w:r>
        <w:t>Despite these requirements, there have been some concerns about safety and quality due to inadequate supervision, as well as insufficient time for educators to perform key additional tasks such as planning and clerical duties (Zillman,</w:t>
      </w:r>
      <w:r w:rsidRPr="25ED7569">
        <w:rPr>
          <w:i/>
          <w:iCs/>
        </w:rPr>
        <w:t xml:space="preserve"> </w:t>
      </w:r>
      <w:r>
        <w:t xml:space="preserve">2024). As noted by a peak educational body in their submission to JSA: </w:t>
      </w:r>
    </w:p>
    <w:p w14:paraId="2B1D9EBA" w14:textId="77777777" w:rsidR="00BC3D30" w:rsidRDefault="00BC3D30" w:rsidP="00BC3D30">
      <w:pPr>
        <w:pStyle w:val="IntenseQuote"/>
        <w:rPr>
          <w:rStyle w:val="FootnoteReference"/>
        </w:rPr>
      </w:pPr>
      <w:r>
        <w:t>The burden of regulatory requirements, including record-keeping, on staff and services is reported by the sector to be impacting on time available to provide quality care and discouraging career progression. (Submission 51)</w:t>
      </w:r>
    </w:p>
    <w:p w14:paraId="2A5F16CB" w14:textId="77777777" w:rsidR="00BC3D30" w:rsidRDefault="00BC3D30" w:rsidP="00BC3D30">
      <w:pPr>
        <w:rPr>
          <w:rStyle w:val="Strong"/>
          <w:rFonts w:cs="Arial"/>
          <w:bCs w:val="0"/>
          <w:color w:val="005D5D" w:themeColor="accent2"/>
          <w:sz w:val="28"/>
        </w:rPr>
      </w:pPr>
      <w:r>
        <w:rPr>
          <w:rStyle w:val="Strong"/>
          <w:b w:val="0"/>
        </w:rPr>
        <w:br w:type="page"/>
      </w:r>
    </w:p>
    <w:p w14:paraId="1CFA3FB1" w14:textId="77777777" w:rsidR="00BC3D30" w:rsidRPr="006A7B1F" w:rsidRDefault="00BC3D30" w:rsidP="00BC3D30">
      <w:pPr>
        <w:pStyle w:val="Heading4"/>
        <w:rPr>
          <w:rStyle w:val="Strong"/>
          <w:b/>
          <w:bCs/>
        </w:rPr>
      </w:pPr>
      <w:r w:rsidRPr="006A7B1F">
        <w:rPr>
          <w:rStyle w:val="Strong"/>
          <w:b/>
        </w:rPr>
        <w:lastRenderedPageBreak/>
        <w:t>Qualification Requirements</w:t>
      </w:r>
    </w:p>
    <w:p w14:paraId="476A29E4" w14:textId="77777777" w:rsidR="00BC3D30" w:rsidRDefault="00BC3D30" w:rsidP="00BC3D30">
      <w:pPr>
        <w:spacing w:after="0" w:line="278" w:lineRule="auto"/>
        <w:rPr>
          <w:rFonts w:asciiTheme="minorHAnsi" w:eastAsiaTheme="minorEastAsia" w:hAnsiTheme="minorHAnsi"/>
        </w:rPr>
      </w:pPr>
      <w:r w:rsidRPr="003A3B92">
        <w:rPr>
          <w:rFonts w:asciiTheme="minorHAnsi" w:eastAsiaTheme="minorEastAsia" w:hAnsiTheme="minorHAnsi"/>
        </w:rPr>
        <w:t>Educators employed in ECEC are required to hold certain qualifications under the NQF, typically, either, at a minimum a Certificate III or Diploma level qualification in ECEC, or an early childhood teaching qualification.</w:t>
      </w:r>
      <w:r w:rsidRPr="0108E047">
        <w:rPr>
          <w:rFonts w:asciiTheme="minorHAnsi" w:eastAsiaTheme="minorEastAsia" w:hAnsiTheme="minorHAnsi"/>
        </w:rPr>
        <w:t xml:space="preserve"> </w:t>
      </w:r>
    </w:p>
    <w:p w14:paraId="4ED5D955" w14:textId="77777777" w:rsidR="00BC3D30" w:rsidRDefault="00BC3D30" w:rsidP="00BC3D30">
      <w:pPr>
        <w:rPr>
          <w:rFonts w:cs="Arial"/>
        </w:rPr>
      </w:pPr>
    </w:p>
    <w:p w14:paraId="7CFF72FC" w14:textId="77777777" w:rsidR="00BC3D30" w:rsidRPr="0007477C" w:rsidRDefault="00BC3D30" w:rsidP="00BC3D30">
      <w:pPr>
        <w:rPr>
          <w:shd w:val="clear" w:color="auto" w:fill="C0C0C0"/>
        </w:rPr>
      </w:pPr>
      <w:r>
        <w:rPr>
          <w:rFonts w:cs="Arial"/>
        </w:rPr>
        <w:t>CBDC</w:t>
      </w:r>
      <w:r w:rsidRPr="009B3D43">
        <w:rPr>
          <w:rFonts w:cs="Arial"/>
        </w:rPr>
        <w:t xml:space="preserve"> services </w:t>
      </w:r>
      <w:r>
        <w:rPr>
          <w:rFonts w:cs="Arial"/>
        </w:rPr>
        <w:t>must</w:t>
      </w:r>
      <w:r w:rsidRPr="009B3D43">
        <w:rPr>
          <w:rFonts w:cs="Arial"/>
        </w:rPr>
        <w:t xml:space="preserve"> meet the following requirements:</w:t>
      </w:r>
    </w:p>
    <w:p w14:paraId="6EEB16F8" w14:textId="77777777" w:rsidR="00BC3D30" w:rsidRDefault="00BC3D30" w:rsidP="00BC3D30">
      <w:pPr>
        <w:pStyle w:val="ListBullet"/>
        <w:spacing w:after="120" w:line="264" w:lineRule="auto"/>
      </w:pPr>
      <w:r w:rsidRPr="00685B2A">
        <w:rPr>
          <w:rFonts w:cs="Arial"/>
          <w:szCs w:val="22"/>
        </w:rPr>
        <w:t>At least 50% of educators must be Diploma-level qualified or higher.</w:t>
      </w:r>
    </w:p>
    <w:p w14:paraId="4BDD17D0" w14:textId="77777777" w:rsidR="00BC3D30" w:rsidRDefault="00BC3D30" w:rsidP="00BC3D30">
      <w:pPr>
        <w:pStyle w:val="ListBullet"/>
        <w:spacing w:after="120" w:line="264" w:lineRule="auto"/>
      </w:pPr>
      <w:r w:rsidRPr="00685B2A">
        <w:rPr>
          <w:rFonts w:cs="Arial"/>
          <w:szCs w:val="22"/>
        </w:rPr>
        <w:t>All other educators must be Certificate III-level qualified.</w:t>
      </w:r>
    </w:p>
    <w:p w14:paraId="7BE759CE" w14:textId="77777777" w:rsidR="00BC3D30" w:rsidRDefault="00BC3D30" w:rsidP="00BC3D30">
      <w:pPr>
        <w:pStyle w:val="ListBullet"/>
        <w:rPr>
          <w:rFonts w:cs="Arial"/>
        </w:rPr>
      </w:pPr>
      <w:r>
        <w:rPr>
          <w:rFonts w:cs="Arial"/>
        </w:rPr>
        <w:t>A</w:t>
      </w:r>
      <w:r w:rsidRPr="00540835">
        <w:rPr>
          <w:rFonts w:cs="Arial"/>
        </w:rPr>
        <w:t xml:space="preserve">n educator may be counted in </w:t>
      </w:r>
      <w:r>
        <w:rPr>
          <w:rFonts w:cs="Arial"/>
        </w:rPr>
        <w:t>CBDC</w:t>
      </w:r>
      <w:r w:rsidRPr="00540835">
        <w:rPr>
          <w:rFonts w:cs="Arial"/>
        </w:rPr>
        <w:t xml:space="preserve"> ratios if they are actively working toward a qualification at that level.</w:t>
      </w:r>
    </w:p>
    <w:p w14:paraId="756D2C78" w14:textId="3D61F41F" w:rsidR="00BC3D30" w:rsidRDefault="00BC3D30" w:rsidP="00BC3D30">
      <w:pPr>
        <w:rPr>
          <w:rFonts w:eastAsia="Arial" w:cs="Arial"/>
        </w:rPr>
      </w:pPr>
      <w:r w:rsidRPr="4DE746B1">
        <w:rPr>
          <w:rFonts w:cs="Arial"/>
        </w:rPr>
        <w:t xml:space="preserve">Different qualification requirements exist for educators in OSHC services in each jurisdiction </w:t>
      </w:r>
      <w:r w:rsidRPr="0108E047">
        <w:rPr>
          <w:rFonts w:asciiTheme="minorHAnsi" w:eastAsiaTheme="minorEastAsia" w:hAnsiTheme="minorHAnsi"/>
        </w:rPr>
        <w:t>as there are no national qualification requirements for educators working with school age children in OSHC services. For FDC services, all educators must have a Certificate III level or above qualification, and the coordinator is required to hold a Diploma-level qualification.</w:t>
      </w:r>
      <w:r w:rsidRPr="0108E047">
        <w:rPr>
          <w:rStyle w:val="FootnoteReference"/>
          <w:rFonts w:asciiTheme="minorHAnsi" w:eastAsiaTheme="minorEastAsia" w:hAnsiTheme="minorHAnsi"/>
        </w:rPr>
        <w:footnoteReference w:id="17"/>
      </w:r>
      <w:r w:rsidRPr="0108E047">
        <w:rPr>
          <w:rStyle w:val="FootnoteReference"/>
          <w:rFonts w:asciiTheme="minorHAnsi" w:eastAsiaTheme="minorEastAsia" w:hAnsiTheme="minorHAnsi"/>
        </w:rPr>
        <w:t xml:space="preserve"> </w:t>
      </w:r>
      <w:r w:rsidRPr="0108E047">
        <w:rPr>
          <w:rFonts w:asciiTheme="minorHAnsi" w:eastAsiaTheme="minorEastAsia" w:hAnsiTheme="minorHAnsi"/>
        </w:rPr>
        <w:t xml:space="preserve">In addition, CBDC services must engage or “have access to” at least one </w:t>
      </w:r>
      <w:r w:rsidRPr="0108E047">
        <w:rPr>
          <w:rFonts w:asciiTheme="minorHAnsi" w:eastAsiaTheme="minorEastAsia" w:hAnsiTheme="minorHAnsi"/>
          <w:i/>
          <w:iCs/>
        </w:rPr>
        <w:t>Early Childhood Teacher</w:t>
      </w:r>
      <w:r w:rsidRPr="0108E047">
        <w:rPr>
          <w:rFonts w:asciiTheme="minorHAnsi" w:eastAsiaTheme="minorEastAsia" w:hAnsiTheme="minorHAnsi"/>
        </w:rPr>
        <w:t xml:space="preserve"> (ECT). </w:t>
      </w:r>
      <w:r w:rsidRPr="003A3B92">
        <w:rPr>
          <w:rFonts w:asciiTheme="minorHAnsi" w:eastAsiaTheme="minorEastAsia" w:hAnsiTheme="minorHAnsi"/>
        </w:rPr>
        <w:t xml:space="preserve"> The number of hours an ECT must be available (and if additional teachers are required) depends on the number of children in attendance at any one time.</w:t>
      </w:r>
    </w:p>
    <w:p w14:paraId="784FE283" w14:textId="77777777" w:rsidR="00BC3D30" w:rsidRPr="00FC6935" w:rsidRDefault="00BC3D30" w:rsidP="00BC3D30">
      <w:pPr>
        <w:pStyle w:val="Heading4"/>
      </w:pPr>
      <w:r w:rsidRPr="00FC6935">
        <w:t>Regulatory Waivers</w:t>
      </w:r>
    </w:p>
    <w:p w14:paraId="2BB1C396" w14:textId="77777777" w:rsidR="00BC3D30" w:rsidRDefault="00BC3D30" w:rsidP="00BC3D30">
      <w:pPr>
        <w:rPr>
          <w:rFonts w:asciiTheme="minorHAnsi" w:eastAsiaTheme="minorEastAsia" w:hAnsiTheme="minorHAnsi"/>
        </w:rPr>
      </w:pPr>
      <w:r w:rsidRPr="25ED7569">
        <w:rPr>
          <w:rFonts w:cs="Arial"/>
        </w:rPr>
        <w:t>Temporary waivers are an exemption from a requirement that an approved education and care service comply with a prescribed element(s) of the NQS or regulation of the National Regulations. While a temporary waiver is in force, the approved service is not required to comply with the element(s) or regulation(s) specified in the waiver (</w:t>
      </w:r>
      <w:r w:rsidRPr="25ED7569">
        <w:rPr>
          <w:rFonts w:eastAsia="Arial" w:cs="Arial"/>
        </w:rPr>
        <w:t>Australian Children’s Education &amp; Care Authority [ACECQA]</w:t>
      </w:r>
      <w:r w:rsidRPr="25ED7569">
        <w:rPr>
          <w:rFonts w:cs="Arial"/>
        </w:rPr>
        <w:t>, n.d.). Approved providers may therefore apply to a regulatory authority for a waiver.</w:t>
      </w:r>
      <w:r>
        <w:t xml:space="preserve"> </w:t>
      </w:r>
      <w:r w:rsidRPr="003A3B92">
        <w:rPr>
          <w:rFonts w:asciiTheme="minorHAnsi" w:eastAsiaTheme="minorEastAsia" w:hAnsiTheme="minorHAnsi"/>
        </w:rPr>
        <w:t xml:space="preserve"> Waivers play an important role in helping providers maintain their level of service to families while dealing with special circumstances or unexpected events.</w:t>
      </w:r>
      <w:r w:rsidRPr="25ED7569">
        <w:rPr>
          <w:rFonts w:ascii="Calibri Light" w:eastAsia="Calibri Light" w:hAnsi="Calibri Light" w:cs="Calibri Light"/>
        </w:rPr>
        <w:t xml:space="preserve"> </w:t>
      </w:r>
      <w:r w:rsidRPr="003A3B92">
        <w:rPr>
          <w:rFonts w:asciiTheme="minorHAnsi" w:eastAsiaTheme="minorEastAsia" w:hAnsiTheme="minorHAnsi"/>
        </w:rPr>
        <w:t xml:space="preserve">There are transitional provisions in place for </w:t>
      </w:r>
      <w:r w:rsidRPr="003A3B92">
        <w:rPr>
          <w:rFonts w:asciiTheme="minorHAnsi" w:eastAsiaTheme="minorEastAsia" w:hAnsiTheme="minorHAnsi"/>
          <w:i/>
          <w:iCs/>
        </w:rPr>
        <w:t>Early Childhood Teachers</w:t>
      </w:r>
      <w:r w:rsidRPr="003A3B92">
        <w:rPr>
          <w:rFonts w:asciiTheme="minorHAnsi" w:eastAsiaTheme="minorEastAsia" w:hAnsiTheme="minorHAnsi"/>
        </w:rPr>
        <w:t xml:space="preserve"> in most states and territories which result in a waiver not being required if certain conditions are met. If these transitional arrangements weren’t in place ECT waivers would be higher, as has been the case in QLD when they were ceased.</w:t>
      </w:r>
    </w:p>
    <w:p w14:paraId="6C93FC80" w14:textId="1FAF47BF" w:rsidR="00115A28" w:rsidRDefault="00BC3D30" w:rsidP="00BC3D30">
      <w:pPr>
        <w:rPr>
          <w:rFonts w:asciiTheme="minorHAnsi" w:eastAsiaTheme="minorEastAsia" w:hAnsiTheme="minorHAnsi"/>
        </w:rPr>
      </w:pPr>
      <w:r>
        <w:rPr>
          <w:rFonts w:asciiTheme="minorHAnsi" w:eastAsiaTheme="minorEastAsia" w:hAnsiTheme="minorHAnsi"/>
        </w:rPr>
        <w:t>The prevalence and scale of waivers differs across service type (</w:t>
      </w:r>
      <w:r>
        <w:rPr>
          <w:rFonts w:asciiTheme="minorHAnsi" w:eastAsiaTheme="minorEastAsia" w:hAnsiTheme="minorHAnsi"/>
        </w:rPr>
        <w:fldChar w:fldCharType="begin"/>
      </w:r>
      <w:r>
        <w:rPr>
          <w:rFonts w:asciiTheme="minorHAnsi" w:eastAsiaTheme="minorEastAsia" w:hAnsiTheme="minorHAnsi"/>
        </w:rPr>
        <w:instrText xml:space="preserve"> REF _Ref171594371 \h </w:instrText>
      </w:r>
      <w:r>
        <w:rPr>
          <w:rFonts w:asciiTheme="minorHAnsi" w:eastAsiaTheme="minorEastAsia" w:hAnsiTheme="minorHAnsi"/>
        </w:rPr>
      </w:r>
      <w:r>
        <w:rPr>
          <w:rFonts w:asciiTheme="minorHAnsi" w:eastAsiaTheme="minorEastAsia" w:hAnsiTheme="minorHAnsi"/>
        </w:rPr>
        <w:fldChar w:fldCharType="separate"/>
      </w:r>
      <w:r w:rsidR="005F18C1">
        <w:t>Figure 1.</w:t>
      </w:r>
      <w:r w:rsidR="005F18C1">
        <w:rPr>
          <w:noProof/>
        </w:rPr>
        <w:t>5</w:t>
      </w:r>
      <w:r>
        <w:rPr>
          <w:rFonts w:asciiTheme="minorHAnsi" w:eastAsiaTheme="minorEastAsia" w:hAnsiTheme="minorHAnsi"/>
        </w:rPr>
        <w:fldChar w:fldCharType="end"/>
      </w:r>
      <w:r>
        <w:rPr>
          <w:rFonts w:asciiTheme="minorHAnsi" w:eastAsiaTheme="minorEastAsia" w:hAnsiTheme="minorHAnsi"/>
        </w:rPr>
        <w:t xml:space="preserve"> below), with CBDC services representing around 60% of services but 90% of all waivers. There has been an uptick in the number and prevalence of waivers from around 2019 for both CBDC and OSHC services, with the number of waivers per service approximately doubling between 2019 and 2023.</w:t>
      </w:r>
    </w:p>
    <w:p w14:paraId="40C42A54" w14:textId="77777777" w:rsidR="00115A28" w:rsidRDefault="00115A28">
      <w:pPr>
        <w:rPr>
          <w:rFonts w:asciiTheme="minorHAnsi" w:eastAsiaTheme="minorEastAsia" w:hAnsiTheme="minorHAnsi"/>
        </w:rPr>
      </w:pPr>
      <w:r>
        <w:rPr>
          <w:rFonts w:asciiTheme="minorHAnsi" w:eastAsiaTheme="minorEastAsia" w:hAnsiTheme="minorHAnsi"/>
        </w:rPr>
        <w:br w:type="page"/>
      </w:r>
    </w:p>
    <w:p w14:paraId="3C18C2C3" w14:textId="377AC798" w:rsidR="00BC3D30" w:rsidRDefault="00BC3D30" w:rsidP="00BC3D30">
      <w:pPr>
        <w:pStyle w:val="Caption"/>
        <w:rPr>
          <w:rFonts w:asciiTheme="minorHAnsi" w:eastAsiaTheme="minorEastAsia" w:hAnsiTheme="minorHAnsi"/>
        </w:rPr>
      </w:pPr>
      <w:bookmarkStart w:id="53" w:name="_Ref171594371"/>
      <w:r>
        <w:lastRenderedPageBreak/>
        <w:t>Figure 1.</w:t>
      </w:r>
      <w:r>
        <w:fldChar w:fldCharType="begin"/>
      </w:r>
      <w:r>
        <w:instrText xml:space="preserve"> SEQ Figure \* ARABIC </w:instrText>
      </w:r>
      <w:r>
        <w:fldChar w:fldCharType="separate"/>
      </w:r>
      <w:r w:rsidR="005F18C1">
        <w:rPr>
          <w:noProof/>
        </w:rPr>
        <w:t>5</w:t>
      </w:r>
      <w:r>
        <w:fldChar w:fldCharType="end"/>
      </w:r>
      <w:bookmarkEnd w:id="53"/>
      <w:r>
        <w:t>: Total number of waivers and waivers per service, 2015-2023</w:t>
      </w:r>
    </w:p>
    <w:p w14:paraId="1CF47D8C" w14:textId="5F868033" w:rsidR="00BC3D30" w:rsidRDefault="006610DD" w:rsidP="00BC3D30">
      <w:pPr>
        <w:pStyle w:val="NormalWeb"/>
        <w:jc w:val="center"/>
      </w:pPr>
      <w:r>
        <w:rPr>
          <w:noProof/>
        </w:rPr>
        <w:drawing>
          <wp:anchor distT="0" distB="0" distL="114300" distR="114300" simplePos="0" relativeHeight="251696131" behindDoc="0" locked="0" layoutInCell="1" allowOverlap="1" wp14:anchorId="35996307" wp14:editId="4B32989C">
            <wp:simplePos x="0" y="0"/>
            <wp:positionH relativeFrom="margin">
              <wp:align>right</wp:align>
            </wp:positionH>
            <wp:positionV relativeFrom="paragraph">
              <wp:posOffset>71830</wp:posOffset>
            </wp:positionV>
            <wp:extent cx="5731510" cy="5014595"/>
            <wp:effectExtent l="0" t="0" r="2540" b="0"/>
            <wp:wrapNone/>
            <wp:docPr id="1988731423"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731423" name="Picture 5">
                      <a:extLst>
                        <a:ext uri="{C183D7F6-B498-43B3-948B-1728B52AA6E4}">
                          <adec:decorative xmlns:adec="http://schemas.microsoft.com/office/drawing/2017/decorative" val="1"/>
                        </a:ext>
                      </a:extLst>
                    </pic:cNvPr>
                    <pic:cNvPicPr>
                      <a:picLocks noChangeAspect="1" noChangeArrowheads="1"/>
                    </pic:cNvPicPr>
                  </pic:nvPicPr>
                  <pic:blipFill>
                    <a:blip r:embed="rId59" cstate="screen">
                      <a:extLst>
                        <a:ext uri="{28A0092B-C50C-407E-A947-70E740481C1C}">
                          <a14:useLocalDpi xmlns:a14="http://schemas.microsoft.com/office/drawing/2010/main" val="0"/>
                        </a:ext>
                      </a:extLst>
                    </a:blip>
                    <a:srcRect/>
                    <a:stretch>
                      <a:fillRect/>
                    </a:stretch>
                  </pic:blipFill>
                  <pic:spPr bwMode="auto">
                    <a:xfrm>
                      <a:off x="0" y="0"/>
                      <a:ext cx="5731510" cy="5014595"/>
                    </a:xfrm>
                    <a:prstGeom prst="rect">
                      <a:avLst/>
                    </a:prstGeom>
                    <a:noFill/>
                    <a:ln>
                      <a:noFill/>
                    </a:ln>
                  </pic:spPr>
                </pic:pic>
              </a:graphicData>
            </a:graphic>
          </wp:anchor>
        </w:drawing>
      </w:r>
    </w:p>
    <w:tbl>
      <w:tblPr>
        <w:tblStyle w:val="Box"/>
        <w:tblW w:w="0" w:type="auto"/>
        <w:jc w:val="center"/>
        <w:tblLook w:val="04A0" w:firstRow="1" w:lastRow="0" w:firstColumn="1" w:lastColumn="0" w:noHBand="0" w:noVBand="1"/>
      </w:tblPr>
      <w:tblGrid>
        <w:gridCol w:w="1276"/>
        <w:gridCol w:w="2019"/>
        <w:gridCol w:w="636"/>
        <w:gridCol w:w="464"/>
        <w:gridCol w:w="832"/>
        <w:gridCol w:w="637"/>
        <w:gridCol w:w="637"/>
        <w:gridCol w:w="637"/>
        <w:gridCol w:w="375"/>
        <w:gridCol w:w="904"/>
        <w:gridCol w:w="261"/>
      </w:tblGrid>
      <w:tr w:rsidR="006610DD" w:rsidRPr="006610DD" w14:paraId="27A2E59E" w14:textId="77777777" w:rsidTr="006610DD">
        <w:trPr>
          <w:trHeight w:val="300"/>
          <w:jc w:val="center"/>
        </w:trPr>
        <w:tc>
          <w:tcPr>
            <w:tcW w:w="1276" w:type="dxa"/>
            <w:noWrap/>
            <w:hideMark/>
          </w:tcPr>
          <w:p w14:paraId="56DA19DB" w14:textId="77777777" w:rsidR="006610DD" w:rsidRPr="006610DD" w:rsidRDefault="006610DD" w:rsidP="006610DD">
            <w:pPr>
              <w:pStyle w:val="Source"/>
              <w:rPr>
                <w:sz w:val="2"/>
                <w:szCs w:val="2"/>
              </w:rPr>
            </w:pPr>
          </w:p>
        </w:tc>
        <w:tc>
          <w:tcPr>
            <w:tcW w:w="2019" w:type="dxa"/>
            <w:noWrap/>
            <w:hideMark/>
          </w:tcPr>
          <w:p w14:paraId="081EBFBA" w14:textId="77777777" w:rsidR="006610DD" w:rsidRPr="006610DD" w:rsidRDefault="006610DD" w:rsidP="006610DD">
            <w:pPr>
              <w:pStyle w:val="Source"/>
              <w:rPr>
                <w:sz w:val="2"/>
                <w:szCs w:val="2"/>
              </w:rPr>
            </w:pPr>
          </w:p>
        </w:tc>
        <w:tc>
          <w:tcPr>
            <w:tcW w:w="636" w:type="dxa"/>
            <w:noWrap/>
            <w:hideMark/>
          </w:tcPr>
          <w:p w14:paraId="1EADFBE5" w14:textId="77777777" w:rsidR="006610DD" w:rsidRPr="006610DD" w:rsidRDefault="006610DD" w:rsidP="006610DD">
            <w:pPr>
              <w:pStyle w:val="Source"/>
              <w:rPr>
                <w:b/>
                <w:bCs/>
                <w:sz w:val="2"/>
                <w:szCs w:val="2"/>
              </w:rPr>
            </w:pPr>
            <w:r w:rsidRPr="006610DD">
              <w:rPr>
                <w:b/>
                <w:bCs/>
                <w:sz w:val="2"/>
                <w:szCs w:val="2"/>
              </w:rPr>
              <w:t>2015</w:t>
            </w:r>
          </w:p>
        </w:tc>
        <w:tc>
          <w:tcPr>
            <w:tcW w:w="464" w:type="dxa"/>
            <w:noWrap/>
            <w:hideMark/>
          </w:tcPr>
          <w:p w14:paraId="13A531F2" w14:textId="77777777" w:rsidR="006610DD" w:rsidRPr="006610DD" w:rsidRDefault="006610DD" w:rsidP="006610DD">
            <w:pPr>
              <w:pStyle w:val="Source"/>
              <w:rPr>
                <w:b/>
                <w:bCs/>
                <w:sz w:val="2"/>
                <w:szCs w:val="2"/>
              </w:rPr>
            </w:pPr>
            <w:r w:rsidRPr="006610DD">
              <w:rPr>
                <w:b/>
                <w:bCs/>
                <w:sz w:val="2"/>
                <w:szCs w:val="2"/>
              </w:rPr>
              <w:t>2016</w:t>
            </w:r>
          </w:p>
        </w:tc>
        <w:tc>
          <w:tcPr>
            <w:tcW w:w="832" w:type="dxa"/>
            <w:noWrap/>
            <w:hideMark/>
          </w:tcPr>
          <w:p w14:paraId="4379DBC4" w14:textId="77777777" w:rsidR="006610DD" w:rsidRPr="006610DD" w:rsidRDefault="006610DD" w:rsidP="006610DD">
            <w:pPr>
              <w:pStyle w:val="Source"/>
              <w:rPr>
                <w:b/>
                <w:bCs/>
                <w:sz w:val="2"/>
                <w:szCs w:val="2"/>
              </w:rPr>
            </w:pPr>
            <w:r w:rsidRPr="006610DD">
              <w:rPr>
                <w:b/>
                <w:bCs/>
                <w:sz w:val="2"/>
                <w:szCs w:val="2"/>
              </w:rPr>
              <w:t>2017</w:t>
            </w:r>
          </w:p>
        </w:tc>
        <w:tc>
          <w:tcPr>
            <w:tcW w:w="637" w:type="dxa"/>
            <w:noWrap/>
            <w:hideMark/>
          </w:tcPr>
          <w:p w14:paraId="34F0D9A7" w14:textId="77777777" w:rsidR="006610DD" w:rsidRPr="006610DD" w:rsidRDefault="006610DD" w:rsidP="006610DD">
            <w:pPr>
              <w:pStyle w:val="Source"/>
              <w:rPr>
                <w:b/>
                <w:bCs/>
                <w:sz w:val="2"/>
                <w:szCs w:val="2"/>
              </w:rPr>
            </w:pPr>
            <w:r w:rsidRPr="006610DD">
              <w:rPr>
                <w:b/>
                <w:bCs/>
                <w:sz w:val="2"/>
                <w:szCs w:val="2"/>
              </w:rPr>
              <w:t>2018</w:t>
            </w:r>
          </w:p>
        </w:tc>
        <w:tc>
          <w:tcPr>
            <w:tcW w:w="637" w:type="dxa"/>
            <w:noWrap/>
            <w:hideMark/>
          </w:tcPr>
          <w:p w14:paraId="16DAA147" w14:textId="77777777" w:rsidR="006610DD" w:rsidRPr="006610DD" w:rsidRDefault="006610DD" w:rsidP="006610DD">
            <w:pPr>
              <w:pStyle w:val="Source"/>
              <w:rPr>
                <w:b/>
                <w:bCs/>
                <w:sz w:val="2"/>
                <w:szCs w:val="2"/>
              </w:rPr>
            </w:pPr>
            <w:r w:rsidRPr="006610DD">
              <w:rPr>
                <w:b/>
                <w:bCs/>
                <w:sz w:val="2"/>
                <w:szCs w:val="2"/>
              </w:rPr>
              <w:t>2019</w:t>
            </w:r>
          </w:p>
        </w:tc>
        <w:tc>
          <w:tcPr>
            <w:tcW w:w="637" w:type="dxa"/>
            <w:noWrap/>
            <w:hideMark/>
          </w:tcPr>
          <w:p w14:paraId="5C69F0D1" w14:textId="2EED1236" w:rsidR="006610DD" w:rsidRPr="006610DD" w:rsidRDefault="006610DD" w:rsidP="006610DD">
            <w:pPr>
              <w:pStyle w:val="Source"/>
              <w:rPr>
                <w:b/>
                <w:bCs/>
                <w:sz w:val="2"/>
                <w:szCs w:val="2"/>
              </w:rPr>
            </w:pPr>
            <w:r w:rsidRPr="006610DD">
              <w:rPr>
                <w:b/>
                <w:bCs/>
                <w:sz w:val="2"/>
                <w:szCs w:val="2"/>
              </w:rPr>
              <w:t>2020</w:t>
            </w:r>
          </w:p>
        </w:tc>
        <w:tc>
          <w:tcPr>
            <w:tcW w:w="375" w:type="dxa"/>
            <w:noWrap/>
            <w:hideMark/>
          </w:tcPr>
          <w:p w14:paraId="67485B77" w14:textId="28C5BC47" w:rsidR="006610DD" w:rsidRPr="006610DD" w:rsidRDefault="006610DD" w:rsidP="006610DD">
            <w:pPr>
              <w:pStyle w:val="Source"/>
              <w:rPr>
                <w:b/>
                <w:bCs/>
                <w:sz w:val="2"/>
                <w:szCs w:val="2"/>
              </w:rPr>
            </w:pPr>
            <w:r w:rsidRPr="006610DD">
              <w:rPr>
                <w:b/>
                <w:bCs/>
                <w:sz w:val="2"/>
                <w:szCs w:val="2"/>
              </w:rPr>
              <w:t>2021</w:t>
            </w:r>
          </w:p>
        </w:tc>
        <w:tc>
          <w:tcPr>
            <w:tcW w:w="904" w:type="dxa"/>
            <w:noWrap/>
            <w:hideMark/>
          </w:tcPr>
          <w:p w14:paraId="5DE9C064" w14:textId="42F5C0E1" w:rsidR="006610DD" w:rsidRPr="006610DD" w:rsidRDefault="006610DD" w:rsidP="006610DD">
            <w:pPr>
              <w:pStyle w:val="Source"/>
              <w:rPr>
                <w:b/>
                <w:bCs/>
                <w:sz w:val="2"/>
                <w:szCs w:val="2"/>
              </w:rPr>
            </w:pPr>
            <w:r w:rsidRPr="006610DD">
              <w:rPr>
                <w:b/>
                <w:bCs/>
                <w:sz w:val="2"/>
                <w:szCs w:val="2"/>
              </w:rPr>
              <w:t>2022</w:t>
            </w:r>
          </w:p>
        </w:tc>
        <w:tc>
          <w:tcPr>
            <w:tcW w:w="261" w:type="dxa"/>
            <w:noWrap/>
            <w:hideMark/>
          </w:tcPr>
          <w:p w14:paraId="6B86A633" w14:textId="77777777" w:rsidR="006610DD" w:rsidRPr="006610DD" w:rsidRDefault="006610DD" w:rsidP="006610DD">
            <w:pPr>
              <w:pStyle w:val="Source"/>
              <w:rPr>
                <w:b/>
                <w:bCs/>
                <w:sz w:val="2"/>
                <w:szCs w:val="2"/>
              </w:rPr>
            </w:pPr>
            <w:r w:rsidRPr="006610DD">
              <w:rPr>
                <w:b/>
                <w:bCs/>
                <w:sz w:val="2"/>
                <w:szCs w:val="2"/>
              </w:rPr>
              <w:t>2023</w:t>
            </w:r>
          </w:p>
        </w:tc>
      </w:tr>
      <w:tr w:rsidR="006610DD" w:rsidRPr="006610DD" w14:paraId="3434028A" w14:textId="77777777" w:rsidTr="006610DD">
        <w:trPr>
          <w:trHeight w:val="300"/>
          <w:jc w:val="center"/>
        </w:trPr>
        <w:tc>
          <w:tcPr>
            <w:tcW w:w="1276" w:type="dxa"/>
            <w:noWrap/>
            <w:hideMark/>
          </w:tcPr>
          <w:p w14:paraId="2F4FB83D" w14:textId="77777777" w:rsidR="006610DD" w:rsidRPr="006610DD" w:rsidRDefault="006610DD" w:rsidP="006610DD">
            <w:pPr>
              <w:pStyle w:val="Source"/>
              <w:rPr>
                <w:b/>
                <w:bCs/>
                <w:sz w:val="2"/>
                <w:szCs w:val="2"/>
              </w:rPr>
            </w:pPr>
            <w:r w:rsidRPr="006610DD">
              <w:rPr>
                <w:b/>
                <w:bCs/>
                <w:sz w:val="2"/>
                <w:szCs w:val="2"/>
              </w:rPr>
              <w:t>Total number of waivers</w:t>
            </w:r>
          </w:p>
        </w:tc>
        <w:tc>
          <w:tcPr>
            <w:tcW w:w="2019" w:type="dxa"/>
            <w:noWrap/>
            <w:hideMark/>
          </w:tcPr>
          <w:p w14:paraId="205BCDD6" w14:textId="77777777" w:rsidR="006610DD" w:rsidRPr="006610DD" w:rsidRDefault="006610DD" w:rsidP="006610DD">
            <w:pPr>
              <w:pStyle w:val="Source"/>
              <w:rPr>
                <w:sz w:val="2"/>
                <w:szCs w:val="2"/>
              </w:rPr>
            </w:pPr>
            <w:r w:rsidRPr="006610DD">
              <w:rPr>
                <w:sz w:val="2"/>
                <w:szCs w:val="2"/>
              </w:rPr>
              <w:t>Centre Based Day Care</w:t>
            </w:r>
          </w:p>
        </w:tc>
        <w:tc>
          <w:tcPr>
            <w:tcW w:w="636" w:type="dxa"/>
            <w:noWrap/>
            <w:hideMark/>
          </w:tcPr>
          <w:p w14:paraId="7CF43DC4" w14:textId="77777777" w:rsidR="006610DD" w:rsidRPr="006610DD" w:rsidRDefault="006610DD" w:rsidP="006610DD">
            <w:pPr>
              <w:pStyle w:val="Source"/>
              <w:rPr>
                <w:sz w:val="2"/>
                <w:szCs w:val="2"/>
              </w:rPr>
            </w:pPr>
            <w:r w:rsidRPr="006610DD">
              <w:rPr>
                <w:sz w:val="2"/>
                <w:szCs w:val="2"/>
              </w:rPr>
              <w:t>1575</w:t>
            </w:r>
          </w:p>
        </w:tc>
        <w:tc>
          <w:tcPr>
            <w:tcW w:w="464" w:type="dxa"/>
            <w:noWrap/>
            <w:hideMark/>
          </w:tcPr>
          <w:p w14:paraId="40F27CCB" w14:textId="77777777" w:rsidR="006610DD" w:rsidRPr="006610DD" w:rsidRDefault="006610DD" w:rsidP="006610DD">
            <w:pPr>
              <w:pStyle w:val="Source"/>
              <w:rPr>
                <w:sz w:val="2"/>
                <w:szCs w:val="2"/>
              </w:rPr>
            </w:pPr>
            <w:r w:rsidRPr="006610DD">
              <w:rPr>
                <w:sz w:val="2"/>
                <w:szCs w:val="2"/>
              </w:rPr>
              <w:t>1760</w:t>
            </w:r>
          </w:p>
        </w:tc>
        <w:tc>
          <w:tcPr>
            <w:tcW w:w="832" w:type="dxa"/>
            <w:noWrap/>
            <w:hideMark/>
          </w:tcPr>
          <w:p w14:paraId="31AA4380" w14:textId="77777777" w:rsidR="006610DD" w:rsidRPr="006610DD" w:rsidRDefault="006610DD" w:rsidP="006610DD">
            <w:pPr>
              <w:pStyle w:val="Source"/>
              <w:rPr>
                <w:sz w:val="2"/>
                <w:szCs w:val="2"/>
              </w:rPr>
            </w:pPr>
            <w:r w:rsidRPr="006610DD">
              <w:rPr>
                <w:sz w:val="2"/>
                <w:szCs w:val="2"/>
              </w:rPr>
              <w:t>1869</w:t>
            </w:r>
          </w:p>
        </w:tc>
        <w:tc>
          <w:tcPr>
            <w:tcW w:w="637" w:type="dxa"/>
            <w:noWrap/>
            <w:hideMark/>
          </w:tcPr>
          <w:p w14:paraId="6BEC517A" w14:textId="77777777" w:rsidR="006610DD" w:rsidRPr="006610DD" w:rsidRDefault="006610DD" w:rsidP="006610DD">
            <w:pPr>
              <w:pStyle w:val="Source"/>
              <w:rPr>
                <w:sz w:val="2"/>
                <w:szCs w:val="2"/>
              </w:rPr>
            </w:pPr>
            <w:r w:rsidRPr="006610DD">
              <w:rPr>
                <w:sz w:val="2"/>
                <w:szCs w:val="2"/>
              </w:rPr>
              <w:t>1995</w:t>
            </w:r>
          </w:p>
        </w:tc>
        <w:tc>
          <w:tcPr>
            <w:tcW w:w="637" w:type="dxa"/>
            <w:hideMark/>
          </w:tcPr>
          <w:p w14:paraId="63FE9633" w14:textId="6924475A" w:rsidR="006610DD" w:rsidRPr="006610DD" w:rsidRDefault="006610DD" w:rsidP="006610DD">
            <w:pPr>
              <w:pStyle w:val="Source"/>
              <w:rPr>
                <w:sz w:val="2"/>
                <w:szCs w:val="2"/>
              </w:rPr>
            </w:pPr>
            <w:r w:rsidRPr="006610DD">
              <w:rPr>
                <w:sz w:val="2"/>
                <w:szCs w:val="2"/>
              </w:rPr>
              <w:t>2320</w:t>
            </w:r>
          </w:p>
        </w:tc>
        <w:tc>
          <w:tcPr>
            <w:tcW w:w="637" w:type="dxa"/>
            <w:noWrap/>
            <w:hideMark/>
          </w:tcPr>
          <w:p w14:paraId="38D51D7C" w14:textId="77777777" w:rsidR="006610DD" w:rsidRPr="006610DD" w:rsidRDefault="006610DD" w:rsidP="006610DD">
            <w:pPr>
              <w:pStyle w:val="Source"/>
              <w:rPr>
                <w:sz w:val="2"/>
                <w:szCs w:val="2"/>
              </w:rPr>
            </w:pPr>
            <w:r w:rsidRPr="006610DD">
              <w:rPr>
                <w:sz w:val="2"/>
                <w:szCs w:val="2"/>
              </w:rPr>
              <w:t>3272</w:t>
            </w:r>
          </w:p>
        </w:tc>
        <w:tc>
          <w:tcPr>
            <w:tcW w:w="375" w:type="dxa"/>
            <w:noWrap/>
            <w:hideMark/>
          </w:tcPr>
          <w:p w14:paraId="62D8FAA8" w14:textId="77777777" w:rsidR="006610DD" w:rsidRPr="006610DD" w:rsidRDefault="006610DD" w:rsidP="006610DD">
            <w:pPr>
              <w:pStyle w:val="Source"/>
              <w:rPr>
                <w:sz w:val="2"/>
                <w:szCs w:val="2"/>
              </w:rPr>
            </w:pPr>
            <w:r w:rsidRPr="006610DD">
              <w:rPr>
                <w:sz w:val="2"/>
                <w:szCs w:val="2"/>
              </w:rPr>
              <w:t>3719</w:t>
            </w:r>
          </w:p>
        </w:tc>
        <w:tc>
          <w:tcPr>
            <w:tcW w:w="904" w:type="dxa"/>
            <w:noWrap/>
            <w:hideMark/>
          </w:tcPr>
          <w:p w14:paraId="3914EC5A" w14:textId="3AFEB060" w:rsidR="006610DD" w:rsidRPr="006610DD" w:rsidRDefault="006610DD" w:rsidP="006610DD">
            <w:pPr>
              <w:pStyle w:val="Source"/>
              <w:rPr>
                <w:sz w:val="2"/>
                <w:szCs w:val="2"/>
              </w:rPr>
            </w:pPr>
            <w:r w:rsidRPr="006610DD">
              <w:rPr>
                <w:sz w:val="2"/>
                <w:szCs w:val="2"/>
              </w:rPr>
              <w:t>4636</w:t>
            </w:r>
          </w:p>
        </w:tc>
        <w:tc>
          <w:tcPr>
            <w:tcW w:w="261" w:type="dxa"/>
            <w:noWrap/>
            <w:hideMark/>
          </w:tcPr>
          <w:p w14:paraId="72BC130E" w14:textId="77777777" w:rsidR="006610DD" w:rsidRPr="006610DD" w:rsidRDefault="006610DD" w:rsidP="006610DD">
            <w:pPr>
              <w:pStyle w:val="Source"/>
              <w:rPr>
                <w:sz w:val="2"/>
                <w:szCs w:val="2"/>
              </w:rPr>
            </w:pPr>
            <w:r w:rsidRPr="006610DD">
              <w:rPr>
                <w:sz w:val="2"/>
                <w:szCs w:val="2"/>
              </w:rPr>
              <w:t>4879</w:t>
            </w:r>
          </w:p>
        </w:tc>
      </w:tr>
      <w:tr w:rsidR="006610DD" w:rsidRPr="006610DD" w14:paraId="6A0BB5F4" w14:textId="77777777" w:rsidTr="006610DD">
        <w:trPr>
          <w:trHeight w:val="300"/>
          <w:jc w:val="center"/>
        </w:trPr>
        <w:tc>
          <w:tcPr>
            <w:tcW w:w="1276" w:type="dxa"/>
            <w:noWrap/>
            <w:hideMark/>
          </w:tcPr>
          <w:p w14:paraId="4A5224C0" w14:textId="77777777" w:rsidR="006610DD" w:rsidRPr="006610DD" w:rsidRDefault="006610DD" w:rsidP="006610DD">
            <w:pPr>
              <w:pStyle w:val="Source"/>
              <w:rPr>
                <w:sz w:val="2"/>
                <w:szCs w:val="2"/>
              </w:rPr>
            </w:pPr>
          </w:p>
        </w:tc>
        <w:tc>
          <w:tcPr>
            <w:tcW w:w="2019" w:type="dxa"/>
            <w:noWrap/>
            <w:hideMark/>
          </w:tcPr>
          <w:p w14:paraId="4C58B191" w14:textId="77777777" w:rsidR="006610DD" w:rsidRPr="006610DD" w:rsidRDefault="006610DD" w:rsidP="006610DD">
            <w:pPr>
              <w:pStyle w:val="Source"/>
              <w:rPr>
                <w:sz w:val="2"/>
                <w:szCs w:val="2"/>
              </w:rPr>
            </w:pPr>
            <w:r w:rsidRPr="006610DD">
              <w:rPr>
                <w:sz w:val="2"/>
                <w:szCs w:val="2"/>
              </w:rPr>
              <w:t>Family Day Care</w:t>
            </w:r>
          </w:p>
        </w:tc>
        <w:tc>
          <w:tcPr>
            <w:tcW w:w="636" w:type="dxa"/>
            <w:noWrap/>
            <w:hideMark/>
          </w:tcPr>
          <w:p w14:paraId="01A0DD06" w14:textId="77777777" w:rsidR="006610DD" w:rsidRPr="006610DD" w:rsidRDefault="006610DD" w:rsidP="006610DD">
            <w:pPr>
              <w:pStyle w:val="Source"/>
              <w:rPr>
                <w:sz w:val="2"/>
                <w:szCs w:val="2"/>
              </w:rPr>
            </w:pPr>
            <w:r w:rsidRPr="006610DD">
              <w:rPr>
                <w:sz w:val="2"/>
                <w:szCs w:val="2"/>
              </w:rPr>
              <w:t>10</w:t>
            </w:r>
          </w:p>
        </w:tc>
        <w:tc>
          <w:tcPr>
            <w:tcW w:w="464" w:type="dxa"/>
            <w:noWrap/>
            <w:hideMark/>
          </w:tcPr>
          <w:p w14:paraId="134BDE63" w14:textId="77777777" w:rsidR="006610DD" w:rsidRPr="006610DD" w:rsidRDefault="006610DD" w:rsidP="006610DD">
            <w:pPr>
              <w:pStyle w:val="Source"/>
              <w:rPr>
                <w:sz w:val="2"/>
                <w:szCs w:val="2"/>
              </w:rPr>
            </w:pPr>
            <w:r w:rsidRPr="006610DD">
              <w:rPr>
                <w:sz w:val="2"/>
                <w:szCs w:val="2"/>
              </w:rPr>
              <w:t>8</w:t>
            </w:r>
          </w:p>
        </w:tc>
        <w:tc>
          <w:tcPr>
            <w:tcW w:w="832" w:type="dxa"/>
            <w:noWrap/>
            <w:hideMark/>
          </w:tcPr>
          <w:p w14:paraId="609F4013" w14:textId="77777777" w:rsidR="006610DD" w:rsidRPr="006610DD" w:rsidRDefault="006610DD" w:rsidP="006610DD">
            <w:pPr>
              <w:pStyle w:val="Source"/>
              <w:rPr>
                <w:sz w:val="2"/>
                <w:szCs w:val="2"/>
              </w:rPr>
            </w:pPr>
            <w:r w:rsidRPr="006610DD">
              <w:rPr>
                <w:sz w:val="2"/>
                <w:szCs w:val="2"/>
              </w:rPr>
              <w:t>17</w:t>
            </w:r>
          </w:p>
        </w:tc>
        <w:tc>
          <w:tcPr>
            <w:tcW w:w="637" w:type="dxa"/>
            <w:noWrap/>
            <w:hideMark/>
          </w:tcPr>
          <w:p w14:paraId="586A0283" w14:textId="77777777" w:rsidR="006610DD" w:rsidRPr="006610DD" w:rsidRDefault="006610DD" w:rsidP="006610DD">
            <w:pPr>
              <w:pStyle w:val="Source"/>
              <w:rPr>
                <w:sz w:val="2"/>
                <w:szCs w:val="2"/>
              </w:rPr>
            </w:pPr>
            <w:r w:rsidRPr="006610DD">
              <w:rPr>
                <w:sz w:val="2"/>
                <w:szCs w:val="2"/>
              </w:rPr>
              <w:t>17</w:t>
            </w:r>
          </w:p>
        </w:tc>
        <w:tc>
          <w:tcPr>
            <w:tcW w:w="637" w:type="dxa"/>
            <w:noWrap/>
            <w:hideMark/>
          </w:tcPr>
          <w:p w14:paraId="75EF496F" w14:textId="77777777" w:rsidR="006610DD" w:rsidRPr="006610DD" w:rsidRDefault="006610DD" w:rsidP="006610DD">
            <w:pPr>
              <w:pStyle w:val="Source"/>
              <w:rPr>
                <w:sz w:val="2"/>
                <w:szCs w:val="2"/>
              </w:rPr>
            </w:pPr>
            <w:r w:rsidRPr="006610DD">
              <w:rPr>
                <w:sz w:val="2"/>
                <w:szCs w:val="2"/>
              </w:rPr>
              <w:t>16</w:t>
            </w:r>
          </w:p>
        </w:tc>
        <w:tc>
          <w:tcPr>
            <w:tcW w:w="637" w:type="dxa"/>
            <w:noWrap/>
            <w:hideMark/>
          </w:tcPr>
          <w:p w14:paraId="77E10C1A" w14:textId="77777777" w:rsidR="006610DD" w:rsidRPr="006610DD" w:rsidRDefault="006610DD" w:rsidP="006610DD">
            <w:pPr>
              <w:pStyle w:val="Source"/>
              <w:rPr>
                <w:sz w:val="2"/>
                <w:szCs w:val="2"/>
              </w:rPr>
            </w:pPr>
            <w:r w:rsidRPr="006610DD">
              <w:rPr>
                <w:sz w:val="2"/>
                <w:szCs w:val="2"/>
              </w:rPr>
              <w:t>35</w:t>
            </w:r>
          </w:p>
        </w:tc>
        <w:tc>
          <w:tcPr>
            <w:tcW w:w="375" w:type="dxa"/>
            <w:noWrap/>
            <w:hideMark/>
          </w:tcPr>
          <w:p w14:paraId="0F9A2720" w14:textId="77777777" w:rsidR="006610DD" w:rsidRPr="006610DD" w:rsidRDefault="006610DD" w:rsidP="006610DD">
            <w:pPr>
              <w:pStyle w:val="Source"/>
              <w:rPr>
                <w:sz w:val="2"/>
                <w:szCs w:val="2"/>
              </w:rPr>
            </w:pPr>
            <w:r w:rsidRPr="006610DD">
              <w:rPr>
                <w:sz w:val="2"/>
                <w:szCs w:val="2"/>
              </w:rPr>
              <w:t>22</w:t>
            </w:r>
          </w:p>
        </w:tc>
        <w:tc>
          <w:tcPr>
            <w:tcW w:w="904" w:type="dxa"/>
            <w:noWrap/>
            <w:hideMark/>
          </w:tcPr>
          <w:p w14:paraId="27DBBCD6" w14:textId="77777777" w:rsidR="006610DD" w:rsidRPr="006610DD" w:rsidRDefault="006610DD" w:rsidP="006610DD">
            <w:pPr>
              <w:pStyle w:val="Source"/>
              <w:rPr>
                <w:sz w:val="2"/>
                <w:szCs w:val="2"/>
              </w:rPr>
            </w:pPr>
            <w:r w:rsidRPr="006610DD">
              <w:rPr>
                <w:sz w:val="2"/>
                <w:szCs w:val="2"/>
              </w:rPr>
              <w:t>16</w:t>
            </w:r>
          </w:p>
        </w:tc>
        <w:tc>
          <w:tcPr>
            <w:tcW w:w="261" w:type="dxa"/>
            <w:noWrap/>
            <w:hideMark/>
          </w:tcPr>
          <w:p w14:paraId="33E818C9" w14:textId="77777777" w:rsidR="006610DD" w:rsidRPr="006610DD" w:rsidRDefault="006610DD" w:rsidP="006610DD">
            <w:pPr>
              <w:pStyle w:val="Source"/>
              <w:rPr>
                <w:sz w:val="2"/>
                <w:szCs w:val="2"/>
              </w:rPr>
            </w:pPr>
            <w:r w:rsidRPr="006610DD">
              <w:rPr>
                <w:sz w:val="2"/>
                <w:szCs w:val="2"/>
              </w:rPr>
              <w:t>13</w:t>
            </w:r>
          </w:p>
        </w:tc>
      </w:tr>
      <w:tr w:rsidR="006610DD" w:rsidRPr="006610DD" w14:paraId="28833B38" w14:textId="77777777" w:rsidTr="006610DD">
        <w:trPr>
          <w:trHeight w:val="300"/>
          <w:jc w:val="center"/>
        </w:trPr>
        <w:tc>
          <w:tcPr>
            <w:tcW w:w="1276" w:type="dxa"/>
            <w:noWrap/>
            <w:hideMark/>
          </w:tcPr>
          <w:p w14:paraId="5E5030CC" w14:textId="77777777" w:rsidR="006610DD" w:rsidRPr="006610DD" w:rsidRDefault="006610DD" w:rsidP="006610DD">
            <w:pPr>
              <w:pStyle w:val="Source"/>
              <w:rPr>
                <w:sz w:val="2"/>
                <w:szCs w:val="2"/>
              </w:rPr>
            </w:pPr>
          </w:p>
        </w:tc>
        <w:tc>
          <w:tcPr>
            <w:tcW w:w="2019" w:type="dxa"/>
            <w:noWrap/>
            <w:hideMark/>
          </w:tcPr>
          <w:p w14:paraId="456CF62C" w14:textId="77777777" w:rsidR="006610DD" w:rsidRPr="006610DD" w:rsidRDefault="006610DD" w:rsidP="006610DD">
            <w:pPr>
              <w:pStyle w:val="Source"/>
              <w:rPr>
                <w:sz w:val="2"/>
                <w:szCs w:val="2"/>
              </w:rPr>
            </w:pPr>
            <w:r w:rsidRPr="006610DD">
              <w:rPr>
                <w:sz w:val="2"/>
                <w:szCs w:val="2"/>
              </w:rPr>
              <w:t>Out of School Hours Care</w:t>
            </w:r>
          </w:p>
        </w:tc>
        <w:tc>
          <w:tcPr>
            <w:tcW w:w="636" w:type="dxa"/>
            <w:noWrap/>
            <w:hideMark/>
          </w:tcPr>
          <w:p w14:paraId="002CDDB0" w14:textId="77777777" w:rsidR="006610DD" w:rsidRPr="006610DD" w:rsidRDefault="006610DD" w:rsidP="006610DD">
            <w:pPr>
              <w:pStyle w:val="Source"/>
              <w:rPr>
                <w:sz w:val="2"/>
                <w:szCs w:val="2"/>
              </w:rPr>
            </w:pPr>
            <w:r w:rsidRPr="006610DD">
              <w:rPr>
                <w:sz w:val="2"/>
                <w:szCs w:val="2"/>
              </w:rPr>
              <w:t>284</w:t>
            </w:r>
          </w:p>
        </w:tc>
        <w:tc>
          <w:tcPr>
            <w:tcW w:w="464" w:type="dxa"/>
            <w:noWrap/>
            <w:hideMark/>
          </w:tcPr>
          <w:p w14:paraId="54416B66" w14:textId="77777777" w:rsidR="006610DD" w:rsidRPr="006610DD" w:rsidRDefault="006610DD" w:rsidP="006610DD">
            <w:pPr>
              <w:pStyle w:val="Source"/>
              <w:rPr>
                <w:sz w:val="2"/>
                <w:szCs w:val="2"/>
              </w:rPr>
            </w:pPr>
            <w:r w:rsidRPr="006610DD">
              <w:rPr>
                <w:sz w:val="2"/>
                <w:szCs w:val="2"/>
              </w:rPr>
              <w:t>230</w:t>
            </w:r>
          </w:p>
        </w:tc>
        <w:tc>
          <w:tcPr>
            <w:tcW w:w="832" w:type="dxa"/>
            <w:noWrap/>
            <w:hideMark/>
          </w:tcPr>
          <w:p w14:paraId="6CC20650" w14:textId="77777777" w:rsidR="006610DD" w:rsidRPr="006610DD" w:rsidRDefault="006610DD" w:rsidP="006610DD">
            <w:pPr>
              <w:pStyle w:val="Source"/>
              <w:rPr>
                <w:sz w:val="2"/>
                <w:szCs w:val="2"/>
              </w:rPr>
            </w:pPr>
            <w:r w:rsidRPr="006610DD">
              <w:rPr>
                <w:sz w:val="2"/>
                <w:szCs w:val="2"/>
              </w:rPr>
              <w:t>207</w:t>
            </w:r>
          </w:p>
        </w:tc>
        <w:tc>
          <w:tcPr>
            <w:tcW w:w="637" w:type="dxa"/>
            <w:noWrap/>
            <w:hideMark/>
          </w:tcPr>
          <w:p w14:paraId="6A79269E" w14:textId="77777777" w:rsidR="006610DD" w:rsidRPr="006610DD" w:rsidRDefault="006610DD" w:rsidP="006610DD">
            <w:pPr>
              <w:pStyle w:val="Source"/>
              <w:rPr>
                <w:sz w:val="2"/>
                <w:szCs w:val="2"/>
              </w:rPr>
            </w:pPr>
            <w:r w:rsidRPr="006610DD">
              <w:rPr>
                <w:sz w:val="2"/>
                <w:szCs w:val="2"/>
              </w:rPr>
              <w:t>184</w:t>
            </w:r>
          </w:p>
        </w:tc>
        <w:tc>
          <w:tcPr>
            <w:tcW w:w="637" w:type="dxa"/>
            <w:noWrap/>
            <w:hideMark/>
          </w:tcPr>
          <w:p w14:paraId="44CB6978" w14:textId="77777777" w:rsidR="006610DD" w:rsidRPr="006610DD" w:rsidRDefault="006610DD" w:rsidP="006610DD">
            <w:pPr>
              <w:pStyle w:val="Source"/>
              <w:rPr>
                <w:sz w:val="2"/>
                <w:szCs w:val="2"/>
              </w:rPr>
            </w:pPr>
            <w:r w:rsidRPr="006610DD">
              <w:rPr>
                <w:sz w:val="2"/>
                <w:szCs w:val="2"/>
              </w:rPr>
              <w:t>216</w:t>
            </w:r>
          </w:p>
        </w:tc>
        <w:tc>
          <w:tcPr>
            <w:tcW w:w="637" w:type="dxa"/>
            <w:noWrap/>
            <w:hideMark/>
          </w:tcPr>
          <w:p w14:paraId="4A99F3EA" w14:textId="77777777" w:rsidR="006610DD" w:rsidRPr="006610DD" w:rsidRDefault="006610DD" w:rsidP="006610DD">
            <w:pPr>
              <w:pStyle w:val="Source"/>
              <w:rPr>
                <w:sz w:val="2"/>
                <w:szCs w:val="2"/>
              </w:rPr>
            </w:pPr>
            <w:r w:rsidRPr="006610DD">
              <w:rPr>
                <w:sz w:val="2"/>
                <w:szCs w:val="2"/>
              </w:rPr>
              <w:t>282</w:t>
            </w:r>
          </w:p>
        </w:tc>
        <w:tc>
          <w:tcPr>
            <w:tcW w:w="375" w:type="dxa"/>
            <w:noWrap/>
            <w:hideMark/>
          </w:tcPr>
          <w:p w14:paraId="0F2F3140" w14:textId="77777777" w:rsidR="006610DD" w:rsidRPr="006610DD" w:rsidRDefault="006610DD" w:rsidP="006610DD">
            <w:pPr>
              <w:pStyle w:val="Source"/>
              <w:rPr>
                <w:sz w:val="2"/>
                <w:szCs w:val="2"/>
              </w:rPr>
            </w:pPr>
            <w:r w:rsidRPr="006610DD">
              <w:rPr>
                <w:sz w:val="2"/>
                <w:szCs w:val="2"/>
              </w:rPr>
              <w:t>361</w:t>
            </w:r>
          </w:p>
        </w:tc>
        <w:tc>
          <w:tcPr>
            <w:tcW w:w="904" w:type="dxa"/>
            <w:noWrap/>
            <w:hideMark/>
          </w:tcPr>
          <w:p w14:paraId="2081248A" w14:textId="77777777" w:rsidR="006610DD" w:rsidRPr="006610DD" w:rsidRDefault="006610DD" w:rsidP="006610DD">
            <w:pPr>
              <w:pStyle w:val="Source"/>
              <w:rPr>
                <w:sz w:val="2"/>
                <w:szCs w:val="2"/>
              </w:rPr>
            </w:pPr>
            <w:r w:rsidRPr="006610DD">
              <w:rPr>
                <w:sz w:val="2"/>
                <w:szCs w:val="2"/>
              </w:rPr>
              <w:t>600</w:t>
            </w:r>
          </w:p>
        </w:tc>
        <w:tc>
          <w:tcPr>
            <w:tcW w:w="261" w:type="dxa"/>
            <w:noWrap/>
            <w:hideMark/>
          </w:tcPr>
          <w:p w14:paraId="15639621" w14:textId="77777777" w:rsidR="006610DD" w:rsidRPr="006610DD" w:rsidRDefault="006610DD" w:rsidP="006610DD">
            <w:pPr>
              <w:pStyle w:val="Source"/>
              <w:rPr>
                <w:sz w:val="2"/>
                <w:szCs w:val="2"/>
              </w:rPr>
            </w:pPr>
            <w:r w:rsidRPr="006610DD">
              <w:rPr>
                <w:sz w:val="2"/>
                <w:szCs w:val="2"/>
              </w:rPr>
              <w:t>599</w:t>
            </w:r>
          </w:p>
        </w:tc>
      </w:tr>
      <w:tr w:rsidR="006610DD" w:rsidRPr="006610DD" w14:paraId="55E13D81" w14:textId="77777777" w:rsidTr="006610DD">
        <w:trPr>
          <w:trHeight w:val="300"/>
          <w:jc w:val="center"/>
        </w:trPr>
        <w:tc>
          <w:tcPr>
            <w:tcW w:w="1276" w:type="dxa"/>
            <w:noWrap/>
            <w:hideMark/>
          </w:tcPr>
          <w:p w14:paraId="4D8394E8" w14:textId="77777777" w:rsidR="006610DD" w:rsidRPr="006610DD" w:rsidRDefault="006610DD" w:rsidP="006610DD">
            <w:pPr>
              <w:pStyle w:val="Source"/>
              <w:rPr>
                <w:sz w:val="2"/>
                <w:szCs w:val="2"/>
              </w:rPr>
            </w:pPr>
          </w:p>
        </w:tc>
        <w:tc>
          <w:tcPr>
            <w:tcW w:w="2019" w:type="dxa"/>
            <w:noWrap/>
            <w:hideMark/>
          </w:tcPr>
          <w:p w14:paraId="4BF45FA6" w14:textId="77777777" w:rsidR="006610DD" w:rsidRPr="006610DD" w:rsidRDefault="006610DD" w:rsidP="006610DD">
            <w:pPr>
              <w:pStyle w:val="Source"/>
              <w:rPr>
                <w:sz w:val="2"/>
                <w:szCs w:val="2"/>
              </w:rPr>
            </w:pPr>
          </w:p>
        </w:tc>
        <w:tc>
          <w:tcPr>
            <w:tcW w:w="636" w:type="dxa"/>
            <w:noWrap/>
            <w:hideMark/>
          </w:tcPr>
          <w:p w14:paraId="79063533" w14:textId="77777777" w:rsidR="006610DD" w:rsidRPr="006610DD" w:rsidRDefault="006610DD" w:rsidP="006610DD">
            <w:pPr>
              <w:pStyle w:val="Source"/>
              <w:rPr>
                <w:b/>
                <w:bCs/>
                <w:sz w:val="2"/>
                <w:szCs w:val="2"/>
              </w:rPr>
            </w:pPr>
            <w:r w:rsidRPr="006610DD">
              <w:rPr>
                <w:b/>
                <w:bCs/>
                <w:sz w:val="2"/>
                <w:szCs w:val="2"/>
              </w:rPr>
              <w:t>2015</w:t>
            </w:r>
          </w:p>
        </w:tc>
        <w:tc>
          <w:tcPr>
            <w:tcW w:w="464" w:type="dxa"/>
            <w:noWrap/>
            <w:hideMark/>
          </w:tcPr>
          <w:p w14:paraId="7E33D3D1" w14:textId="77777777" w:rsidR="006610DD" w:rsidRPr="006610DD" w:rsidRDefault="006610DD" w:rsidP="006610DD">
            <w:pPr>
              <w:pStyle w:val="Source"/>
              <w:rPr>
                <w:b/>
                <w:bCs/>
                <w:sz w:val="2"/>
                <w:szCs w:val="2"/>
              </w:rPr>
            </w:pPr>
            <w:r w:rsidRPr="006610DD">
              <w:rPr>
                <w:b/>
                <w:bCs/>
                <w:sz w:val="2"/>
                <w:szCs w:val="2"/>
              </w:rPr>
              <w:t>2016</w:t>
            </w:r>
          </w:p>
        </w:tc>
        <w:tc>
          <w:tcPr>
            <w:tcW w:w="832" w:type="dxa"/>
            <w:noWrap/>
            <w:hideMark/>
          </w:tcPr>
          <w:p w14:paraId="25520784" w14:textId="77777777" w:rsidR="006610DD" w:rsidRPr="006610DD" w:rsidRDefault="006610DD" w:rsidP="006610DD">
            <w:pPr>
              <w:pStyle w:val="Source"/>
              <w:rPr>
                <w:b/>
                <w:bCs/>
                <w:sz w:val="2"/>
                <w:szCs w:val="2"/>
              </w:rPr>
            </w:pPr>
            <w:r w:rsidRPr="006610DD">
              <w:rPr>
                <w:b/>
                <w:bCs/>
                <w:sz w:val="2"/>
                <w:szCs w:val="2"/>
              </w:rPr>
              <w:t>2017</w:t>
            </w:r>
          </w:p>
        </w:tc>
        <w:tc>
          <w:tcPr>
            <w:tcW w:w="637" w:type="dxa"/>
            <w:noWrap/>
            <w:hideMark/>
          </w:tcPr>
          <w:p w14:paraId="56F71FE7" w14:textId="77777777" w:rsidR="006610DD" w:rsidRPr="006610DD" w:rsidRDefault="006610DD" w:rsidP="006610DD">
            <w:pPr>
              <w:pStyle w:val="Source"/>
              <w:rPr>
                <w:b/>
                <w:bCs/>
                <w:sz w:val="2"/>
                <w:szCs w:val="2"/>
              </w:rPr>
            </w:pPr>
            <w:r w:rsidRPr="006610DD">
              <w:rPr>
                <w:b/>
                <w:bCs/>
                <w:sz w:val="2"/>
                <w:szCs w:val="2"/>
              </w:rPr>
              <w:t>2018</w:t>
            </w:r>
          </w:p>
        </w:tc>
        <w:tc>
          <w:tcPr>
            <w:tcW w:w="637" w:type="dxa"/>
            <w:noWrap/>
            <w:hideMark/>
          </w:tcPr>
          <w:p w14:paraId="618FCFA9" w14:textId="77777777" w:rsidR="006610DD" w:rsidRPr="006610DD" w:rsidRDefault="006610DD" w:rsidP="006610DD">
            <w:pPr>
              <w:pStyle w:val="Source"/>
              <w:rPr>
                <w:b/>
                <w:bCs/>
                <w:sz w:val="2"/>
                <w:szCs w:val="2"/>
              </w:rPr>
            </w:pPr>
            <w:r w:rsidRPr="006610DD">
              <w:rPr>
                <w:b/>
                <w:bCs/>
                <w:sz w:val="2"/>
                <w:szCs w:val="2"/>
              </w:rPr>
              <w:t>2019</w:t>
            </w:r>
          </w:p>
        </w:tc>
        <w:tc>
          <w:tcPr>
            <w:tcW w:w="637" w:type="dxa"/>
            <w:noWrap/>
            <w:hideMark/>
          </w:tcPr>
          <w:p w14:paraId="651E7211" w14:textId="77777777" w:rsidR="006610DD" w:rsidRPr="006610DD" w:rsidRDefault="006610DD" w:rsidP="006610DD">
            <w:pPr>
              <w:pStyle w:val="Source"/>
              <w:rPr>
                <w:b/>
                <w:bCs/>
                <w:sz w:val="2"/>
                <w:szCs w:val="2"/>
              </w:rPr>
            </w:pPr>
            <w:r w:rsidRPr="006610DD">
              <w:rPr>
                <w:b/>
                <w:bCs/>
                <w:sz w:val="2"/>
                <w:szCs w:val="2"/>
              </w:rPr>
              <w:t>2020</w:t>
            </w:r>
          </w:p>
        </w:tc>
        <w:tc>
          <w:tcPr>
            <w:tcW w:w="375" w:type="dxa"/>
            <w:noWrap/>
            <w:hideMark/>
          </w:tcPr>
          <w:p w14:paraId="5C0AD0B0" w14:textId="77777777" w:rsidR="006610DD" w:rsidRPr="006610DD" w:rsidRDefault="006610DD" w:rsidP="006610DD">
            <w:pPr>
              <w:pStyle w:val="Source"/>
              <w:rPr>
                <w:b/>
                <w:bCs/>
                <w:sz w:val="2"/>
                <w:szCs w:val="2"/>
              </w:rPr>
            </w:pPr>
            <w:r w:rsidRPr="006610DD">
              <w:rPr>
                <w:b/>
                <w:bCs/>
                <w:sz w:val="2"/>
                <w:szCs w:val="2"/>
              </w:rPr>
              <w:t>2021</w:t>
            </w:r>
          </w:p>
        </w:tc>
        <w:tc>
          <w:tcPr>
            <w:tcW w:w="904" w:type="dxa"/>
            <w:noWrap/>
            <w:hideMark/>
          </w:tcPr>
          <w:p w14:paraId="25F4D9F7" w14:textId="77777777" w:rsidR="006610DD" w:rsidRPr="006610DD" w:rsidRDefault="006610DD" w:rsidP="006610DD">
            <w:pPr>
              <w:pStyle w:val="Source"/>
              <w:rPr>
                <w:b/>
                <w:bCs/>
                <w:sz w:val="2"/>
                <w:szCs w:val="2"/>
              </w:rPr>
            </w:pPr>
            <w:r w:rsidRPr="006610DD">
              <w:rPr>
                <w:b/>
                <w:bCs/>
                <w:sz w:val="2"/>
                <w:szCs w:val="2"/>
              </w:rPr>
              <w:t>2022</w:t>
            </w:r>
          </w:p>
        </w:tc>
        <w:tc>
          <w:tcPr>
            <w:tcW w:w="261" w:type="dxa"/>
            <w:noWrap/>
            <w:hideMark/>
          </w:tcPr>
          <w:p w14:paraId="3D5A8D08" w14:textId="77777777" w:rsidR="006610DD" w:rsidRPr="006610DD" w:rsidRDefault="006610DD" w:rsidP="006610DD">
            <w:pPr>
              <w:pStyle w:val="Source"/>
              <w:rPr>
                <w:b/>
                <w:bCs/>
                <w:sz w:val="2"/>
                <w:szCs w:val="2"/>
              </w:rPr>
            </w:pPr>
            <w:r w:rsidRPr="006610DD">
              <w:rPr>
                <w:b/>
                <w:bCs/>
                <w:sz w:val="2"/>
                <w:szCs w:val="2"/>
              </w:rPr>
              <w:t>2023</w:t>
            </w:r>
          </w:p>
        </w:tc>
      </w:tr>
      <w:tr w:rsidR="006610DD" w:rsidRPr="006610DD" w14:paraId="404B819F" w14:textId="77777777" w:rsidTr="006610DD">
        <w:trPr>
          <w:trHeight w:val="300"/>
          <w:jc w:val="center"/>
        </w:trPr>
        <w:tc>
          <w:tcPr>
            <w:tcW w:w="1276" w:type="dxa"/>
            <w:noWrap/>
            <w:hideMark/>
          </w:tcPr>
          <w:p w14:paraId="3D015049" w14:textId="77777777" w:rsidR="006610DD" w:rsidRPr="006610DD" w:rsidRDefault="006610DD" w:rsidP="006610DD">
            <w:pPr>
              <w:pStyle w:val="Source"/>
              <w:rPr>
                <w:b/>
                <w:bCs/>
                <w:sz w:val="2"/>
                <w:szCs w:val="2"/>
              </w:rPr>
            </w:pPr>
            <w:r w:rsidRPr="006610DD">
              <w:rPr>
                <w:b/>
                <w:bCs/>
                <w:sz w:val="2"/>
                <w:szCs w:val="2"/>
              </w:rPr>
              <w:t>Waivers per service</w:t>
            </w:r>
          </w:p>
        </w:tc>
        <w:tc>
          <w:tcPr>
            <w:tcW w:w="2019" w:type="dxa"/>
            <w:noWrap/>
            <w:hideMark/>
          </w:tcPr>
          <w:p w14:paraId="7671D2DD" w14:textId="77777777" w:rsidR="006610DD" w:rsidRPr="006610DD" w:rsidRDefault="006610DD" w:rsidP="006610DD">
            <w:pPr>
              <w:pStyle w:val="Source"/>
              <w:rPr>
                <w:sz w:val="2"/>
                <w:szCs w:val="2"/>
              </w:rPr>
            </w:pPr>
            <w:r w:rsidRPr="006610DD">
              <w:rPr>
                <w:sz w:val="2"/>
                <w:szCs w:val="2"/>
              </w:rPr>
              <w:t>Centre Based Day Care</w:t>
            </w:r>
          </w:p>
        </w:tc>
        <w:tc>
          <w:tcPr>
            <w:tcW w:w="636" w:type="dxa"/>
            <w:noWrap/>
            <w:hideMark/>
          </w:tcPr>
          <w:p w14:paraId="07B35A08" w14:textId="77777777" w:rsidR="006610DD" w:rsidRPr="006610DD" w:rsidRDefault="006610DD" w:rsidP="006610DD">
            <w:pPr>
              <w:pStyle w:val="Source"/>
              <w:rPr>
                <w:sz w:val="2"/>
                <w:szCs w:val="2"/>
              </w:rPr>
            </w:pPr>
            <w:r w:rsidRPr="006610DD">
              <w:rPr>
                <w:sz w:val="2"/>
                <w:szCs w:val="2"/>
              </w:rPr>
              <w:t>0.23</w:t>
            </w:r>
          </w:p>
        </w:tc>
        <w:tc>
          <w:tcPr>
            <w:tcW w:w="464" w:type="dxa"/>
            <w:noWrap/>
            <w:hideMark/>
          </w:tcPr>
          <w:p w14:paraId="06918E32" w14:textId="77777777" w:rsidR="006610DD" w:rsidRPr="006610DD" w:rsidRDefault="006610DD" w:rsidP="006610DD">
            <w:pPr>
              <w:pStyle w:val="Source"/>
              <w:rPr>
                <w:sz w:val="2"/>
                <w:szCs w:val="2"/>
              </w:rPr>
            </w:pPr>
            <w:r w:rsidRPr="006610DD">
              <w:rPr>
                <w:sz w:val="2"/>
                <w:szCs w:val="2"/>
              </w:rPr>
              <w:t>0.25</w:t>
            </w:r>
          </w:p>
        </w:tc>
        <w:tc>
          <w:tcPr>
            <w:tcW w:w="832" w:type="dxa"/>
            <w:noWrap/>
            <w:hideMark/>
          </w:tcPr>
          <w:p w14:paraId="1908CADD" w14:textId="77777777" w:rsidR="006610DD" w:rsidRPr="006610DD" w:rsidRDefault="006610DD" w:rsidP="006610DD">
            <w:pPr>
              <w:pStyle w:val="Source"/>
              <w:rPr>
                <w:sz w:val="2"/>
                <w:szCs w:val="2"/>
              </w:rPr>
            </w:pPr>
            <w:r w:rsidRPr="006610DD">
              <w:rPr>
                <w:sz w:val="2"/>
                <w:szCs w:val="2"/>
              </w:rPr>
              <w:t>0.25</w:t>
            </w:r>
          </w:p>
        </w:tc>
        <w:tc>
          <w:tcPr>
            <w:tcW w:w="637" w:type="dxa"/>
            <w:noWrap/>
            <w:hideMark/>
          </w:tcPr>
          <w:p w14:paraId="015B4AB1" w14:textId="77777777" w:rsidR="006610DD" w:rsidRPr="006610DD" w:rsidRDefault="006610DD" w:rsidP="006610DD">
            <w:pPr>
              <w:pStyle w:val="Source"/>
              <w:rPr>
                <w:sz w:val="2"/>
                <w:szCs w:val="2"/>
              </w:rPr>
            </w:pPr>
            <w:r w:rsidRPr="006610DD">
              <w:rPr>
                <w:sz w:val="2"/>
                <w:szCs w:val="2"/>
              </w:rPr>
              <w:t>0.26</w:t>
            </w:r>
          </w:p>
        </w:tc>
        <w:tc>
          <w:tcPr>
            <w:tcW w:w="637" w:type="dxa"/>
            <w:hideMark/>
          </w:tcPr>
          <w:p w14:paraId="264D29F1" w14:textId="77777777" w:rsidR="006610DD" w:rsidRPr="006610DD" w:rsidRDefault="006610DD" w:rsidP="006610DD">
            <w:pPr>
              <w:pStyle w:val="Source"/>
              <w:rPr>
                <w:sz w:val="2"/>
                <w:szCs w:val="2"/>
              </w:rPr>
            </w:pPr>
            <w:r w:rsidRPr="006610DD">
              <w:rPr>
                <w:sz w:val="2"/>
                <w:szCs w:val="2"/>
              </w:rPr>
              <w:t>0.29</w:t>
            </w:r>
          </w:p>
        </w:tc>
        <w:tc>
          <w:tcPr>
            <w:tcW w:w="637" w:type="dxa"/>
            <w:noWrap/>
            <w:hideMark/>
          </w:tcPr>
          <w:p w14:paraId="794EBA85" w14:textId="77777777" w:rsidR="006610DD" w:rsidRPr="006610DD" w:rsidRDefault="006610DD" w:rsidP="006610DD">
            <w:pPr>
              <w:pStyle w:val="Source"/>
              <w:rPr>
                <w:sz w:val="2"/>
                <w:szCs w:val="2"/>
              </w:rPr>
            </w:pPr>
            <w:r w:rsidRPr="006610DD">
              <w:rPr>
                <w:sz w:val="2"/>
                <w:szCs w:val="2"/>
              </w:rPr>
              <w:t>0.40</w:t>
            </w:r>
          </w:p>
        </w:tc>
        <w:tc>
          <w:tcPr>
            <w:tcW w:w="375" w:type="dxa"/>
            <w:noWrap/>
            <w:hideMark/>
          </w:tcPr>
          <w:p w14:paraId="5C567FF5" w14:textId="77777777" w:rsidR="006610DD" w:rsidRPr="006610DD" w:rsidRDefault="006610DD" w:rsidP="006610DD">
            <w:pPr>
              <w:pStyle w:val="Source"/>
              <w:rPr>
                <w:sz w:val="2"/>
                <w:szCs w:val="2"/>
              </w:rPr>
            </w:pPr>
            <w:r w:rsidRPr="006610DD">
              <w:rPr>
                <w:sz w:val="2"/>
                <w:szCs w:val="2"/>
              </w:rPr>
              <w:t>0.44</w:t>
            </w:r>
          </w:p>
        </w:tc>
        <w:tc>
          <w:tcPr>
            <w:tcW w:w="904" w:type="dxa"/>
            <w:noWrap/>
            <w:hideMark/>
          </w:tcPr>
          <w:p w14:paraId="7D77B0FE" w14:textId="77777777" w:rsidR="006610DD" w:rsidRPr="006610DD" w:rsidRDefault="006610DD" w:rsidP="006610DD">
            <w:pPr>
              <w:pStyle w:val="Source"/>
              <w:rPr>
                <w:sz w:val="2"/>
                <w:szCs w:val="2"/>
              </w:rPr>
            </w:pPr>
            <w:r w:rsidRPr="006610DD">
              <w:rPr>
                <w:sz w:val="2"/>
                <w:szCs w:val="2"/>
              </w:rPr>
              <w:t>0.53</w:t>
            </w:r>
          </w:p>
        </w:tc>
        <w:tc>
          <w:tcPr>
            <w:tcW w:w="261" w:type="dxa"/>
            <w:noWrap/>
            <w:hideMark/>
          </w:tcPr>
          <w:p w14:paraId="73CDFC0D" w14:textId="77777777" w:rsidR="006610DD" w:rsidRPr="006610DD" w:rsidRDefault="006610DD" w:rsidP="006610DD">
            <w:pPr>
              <w:pStyle w:val="Source"/>
              <w:rPr>
                <w:sz w:val="2"/>
                <w:szCs w:val="2"/>
              </w:rPr>
            </w:pPr>
            <w:r w:rsidRPr="006610DD">
              <w:rPr>
                <w:sz w:val="2"/>
                <w:szCs w:val="2"/>
              </w:rPr>
              <w:t>0.54</w:t>
            </w:r>
          </w:p>
        </w:tc>
      </w:tr>
      <w:tr w:rsidR="006610DD" w:rsidRPr="006610DD" w14:paraId="6ABD09F8" w14:textId="77777777" w:rsidTr="006610DD">
        <w:trPr>
          <w:trHeight w:val="300"/>
          <w:jc w:val="center"/>
        </w:trPr>
        <w:tc>
          <w:tcPr>
            <w:tcW w:w="1276" w:type="dxa"/>
            <w:noWrap/>
            <w:hideMark/>
          </w:tcPr>
          <w:p w14:paraId="2BB89731" w14:textId="77777777" w:rsidR="006610DD" w:rsidRPr="006610DD" w:rsidRDefault="006610DD" w:rsidP="006610DD">
            <w:pPr>
              <w:pStyle w:val="Source"/>
              <w:rPr>
                <w:sz w:val="2"/>
                <w:szCs w:val="2"/>
              </w:rPr>
            </w:pPr>
          </w:p>
        </w:tc>
        <w:tc>
          <w:tcPr>
            <w:tcW w:w="2019" w:type="dxa"/>
            <w:noWrap/>
            <w:hideMark/>
          </w:tcPr>
          <w:p w14:paraId="638CF1E3" w14:textId="77777777" w:rsidR="006610DD" w:rsidRPr="006610DD" w:rsidRDefault="006610DD" w:rsidP="006610DD">
            <w:pPr>
              <w:pStyle w:val="Source"/>
              <w:rPr>
                <w:sz w:val="2"/>
                <w:szCs w:val="2"/>
              </w:rPr>
            </w:pPr>
            <w:r w:rsidRPr="006610DD">
              <w:rPr>
                <w:sz w:val="2"/>
                <w:szCs w:val="2"/>
              </w:rPr>
              <w:t>Family Day Care</w:t>
            </w:r>
          </w:p>
        </w:tc>
        <w:tc>
          <w:tcPr>
            <w:tcW w:w="636" w:type="dxa"/>
            <w:noWrap/>
            <w:hideMark/>
          </w:tcPr>
          <w:p w14:paraId="31288F6C" w14:textId="77777777" w:rsidR="006610DD" w:rsidRPr="006610DD" w:rsidRDefault="006610DD" w:rsidP="006610DD">
            <w:pPr>
              <w:pStyle w:val="Source"/>
              <w:rPr>
                <w:sz w:val="2"/>
                <w:szCs w:val="2"/>
              </w:rPr>
            </w:pPr>
            <w:r w:rsidRPr="006610DD">
              <w:rPr>
                <w:sz w:val="2"/>
                <w:szCs w:val="2"/>
              </w:rPr>
              <w:t>0.01</w:t>
            </w:r>
          </w:p>
        </w:tc>
        <w:tc>
          <w:tcPr>
            <w:tcW w:w="464" w:type="dxa"/>
            <w:noWrap/>
            <w:hideMark/>
          </w:tcPr>
          <w:p w14:paraId="7C12E2AB" w14:textId="77777777" w:rsidR="006610DD" w:rsidRPr="006610DD" w:rsidRDefault="006610DD" w:rsidP="006610DD">
            <w:pPr>
              <w:pStyle w:val="Source"/>
              <w:rPr>
                <w:sz w:val="2"/>
                <w:szCs w:val="2"/>
              </w:rPr>
            </w:pPr>
            <w:r w:rsidRPr="006610DD">
              <w:rPr>
                <w:sz w:val="2"/>
                <w:szCs w:val="2"/>
              </w:rPr>
              <w:t>0.01</w:t>
            </w:r>
          </w:p>
        </w:tc>
        <w:tc>
          <w:tcPr>
            <w:tcW w:w="832" w:type="dxa"/>
            <w:noWrap/>
            <w:hideMark/>
          </w:tcPr>
          <w:p w14:paraId="7B8EC26A" w14:textId="77777777" w:rsidR="006610DD" w:rsidRPr="006610DD" w:rsidRDefault="006610DD" w:rsidP="006610DD">
            <w:pPr>
              <w:pStyle w:val="Source"/>
              <w:rPr>
                <w:sz w:val="2"/>
                <w:szCs w:val="2"/>
              </w:rPr>
            </w:pPr>
            <w:r w:rsidRPr="006610DD">
              <w:rPr>
                <w:sz w:val="2"/>
                <w:szCs w:val="2"/>
              </w:rPr>
              <w:t>0.02</w:t>
            </w:r>
          </w:p>
        </w:tc>
        <w:tc>
          <w:tcPr>
            <w:tcW w:w="637" w:type="dxa"/>
            <w:noWrap/>
            <w:hideMark/>
          </w:tcPr>
          <w:p w14:paraId="2EC545EF" w14:textId="77777777" w:rsidR="006610DD" w:rsidRPr="006610DD" w:rsidRDefault="006610DD" w:rsidP="006610DD">
            <w:pPr>
              <w:pStyle w:val="Source"/>
              <w:rPr>
                <w:sz w:val="2"/>
                <w:szCs w:val="2"/>
              </w:rPr>
            </w:pPr>
            <w:r w:rsidRPr="006610DD">
              <w:rPr>
                <w:sz w:val="2"/>
                <w:szCs w:val="2"/>
              </w:rPr>
              <w:t>0.02</w:t>
            </w:r>
          </w:p>
        </w:tc>
        <w:tc>
          <w:tcPr>
            <w:tcW w:w="637" w:type="dxa"/>
            <w:hideMark/>
          </w:tcPr>
          <w:p w14:paraId="6118AB2D" w14:textId="77777777" w:rsidR="006610DD" w:rsidRPr="006610DD" w:rsidRDefault="006610DD" w:rsidP="006610DD">
            <w:pPr>
              <w:pStyle w:val="Source"/>
              <w:rPr>
                <w:sz w:val="2"/>
                <w:szCs w:val="2"/>
              </w:rPr>
            </w:pPr>
            <w:r w:rsidRPr="006610DD">
              <w:rPr>
                <w:sz w:val="2"/>
                <w:szCs w:val="2"/>
              </w:rPr>
              <w:t>0.02</w:t>
            </w:r>
          </w:p>
        </w:tc>
        <w:tc>
          <w:tcPr>
            <w:tcW w:w="637" w:type="dxa"/>
            <w:noWrap/>
            <w:hideMark/>
          </w:tcPr>
          <w:p w14:paraId="0A6BD6E3" w14:textId="77777777" w:rsidR="006610DD" w:rsidRPr="006610DD" w:rsidRDefault="006610DD" w:rsidP="006610DD">
            <w:pPr>
              <w:pStyle w:val="Source"/>
              <w:rPr>
                <w:sz w:val="2"/>
                <w:szCs w:val="2"/>
              </w:rPr>
            </w:pPr>
            <w:r w:rsidRPr="006610DD">
              <w:rPr>
                <w:sz w:val="2"/>
                <w:szCs w:val="2"/>
              </w:rPr>
              <w:t>0.06</w:t>
            </w:r>
          </w:p>
        </w:tc>
        <w:tc>
          <w:tcPr>
            <w:tcW w:w="375" w:type="dxa"/>
            <w:noWrap/>
            <w:hideMark/>
          </w:tcPr>
          <w:p w14:paraId="661F6767" w14:textId="77777777" w:rsidR="006610DD" w:rsidRPr="006610DD" w:rsidRDefault="006610DD" w:rsidP="006610DD">
            <w:pPr>
              <w:pStyle w:val="Source"/>
              <w:rPr>
                <w:sz w:val="2"/>
                <w:szCs w:val="2"/>
              </w:rPr>
            </w:pPr>
            <w:r w:rsidRPr="006610DD">
              <w:rPr>
                <w:sz w:val="2"/>
                <w:szCs w:val="2"/>
              </w:rPr>
              <w:t>0.04</w:t>
            </w:r>
          </w:p>
        </w:tc>
        <w:tc>
          <w:tcPr>
            <w:tcW w:w="904" w:type="dxa"/>
            <w:noWrap/>
            <w:hideMark/>
          </w:tcPr>
          <w:p w14:paraId="5DCEC94F" w14:textId="77777777" w:rsidR="006610DD" w:rsidRPr="006610DD" w:rsidRDefault="006610DD" w:rsidP="006610DD">
            <w:pPr>
              <w:pStyle w:val="Source"/>
              <w:rPr>
                <w:sz w:val="2"/>
                <w:szCs w:val="2"/>
              </w:rPr>
            </w:pPr>
            <w:r w:rsidRPr="006610DD">
              <w:rPr>
                <w:sz w:val="2"/>
                <w:szCs w:val="2"/>
              </w:rPr>
              <w:t>0.03</w:t>
            </w:r>
          </w:p>
        </w:tc>
        <w:tc>
          <w:tcPr>
            <w:tcW w:w="261" w:type="dxa"/>
            <w:noWrap/>
            <w:hideMark/>
          </w:tcPr>
          <w:p w14:paraId="610DD54E" w14:textId="77777777" w:rsidR="006610DD" w:rsidRPr="006610DD" w:rsidRDefault="006610DD" w:rsidP="006610DD">
            <w:pPr>
              <w:pStyle w:val="Source"/>
              <w:rPr>
                <w:sz w:val="2"/>
                <w:szCs w:val="2"/>
              </w:rPr>
            </w:pPr>
            <w:r w:rsidRPr="006610DD">
              <w:rPr>
                <w:sz w:val="2"/>
                <w:szCs w:val="2"/>
              </w:rPr>
              <w:t>0.03</w:t>
            </w:r>
          </w:p>
        </w:tc>
      </w:tr>
      <w:tr w:rsidR="006610DD" w:rsidRPr="006610DD" w14:paraId="306E25D6" w14:textId="77777777" w:rsidTr="006610DD">
        <w:trPr>
          <w:trHeight w:val="300"/>
          <w:jc w:val="center"/>
        </w:trPr>
        <w:tc>
          <w:tcPr>
            <w:tcW w:w="1276" w:type="dxa"/>
            <w:noWrap/>
            <w:hideMark/>
          </w:tcPr>
          <w:p w14:paraId="713459DD" w14:textId="77777777" w:rsidR="006610DD" w:rsidRPr="006610DD" w:rsidRDefault="006610DD" w:rsidP="006610DD">
            <w:pPr>
              <w:pStyle w:val="Source"/>
              <w:rPr>
                <w:sz w:val="2"/>
                <w:szCs w:val="2"/>
              </w:rPr>
            </w:pPr>
          </w:p>
        </w:tc>
        <w:tc>
          <w:tcPr>
            <w:tcW w:w="2019" w:type="dxa"/>
            <w:noWrap/>
            <w:hideMark/>
          </w:tcPr>
          <w:p w14:paraId="00686D46" w14:textId="77777777" w:rsidR="006610DD" w:rsidRPr="006610DD" w:rsidRDefault="006610DD" w:rsidP="006610DD">
            <w:pPr>
              <w:pStyle w:val="Source"/>
              <w:rPr>
                <w:sz w:val="2"/>
                <w:szCs w:val="2"/>
              </w:rPr>
            </w:pPr>
            <w:r w:rsidRPr="006610DD">
              <w:rPr>
                <w:sz w:val="2"/>
                <w:szCs w:val="2"/>
              </w:rPr>
              <w:t>Out of School Hours Care</w:t>
            </w:r>
          </w:p>
        </w:tc>
        <w:tc>
          <w:tcPr>
            <w:tcW w:w="636" w:type="dxa"/>
            <w:noWrap/>
            <w:hideMark/>
          </w:tcPr>
          <w:p w14:paraId="4134BED1" w14:textId="77777777" w:rsidR="006610DD" w:rsidRPr="006610DD" w:rsidRDefault="006610DD" w:rsidP="006610DD">
            <w:pPr>
              <w:pStyle w:val="Source"/>
              <w:rPr>
                <w:sz w:val="2"/>
                <w:szCs w:val="2"/>
              </w:rPr>
            </w:pPr>
            <w:r w:rsidRPr="006610DD">
              <w:rPr>
                <w:sz w:val="2"/>
                <w:szCs w:val="2"/>
              </w:rPr>
              <w:t>0.07</w:t>
            </w:r>
          </w:p>
        </w:tc>
        <w:tc>
          <w:tcPr>
            <w:tcW w:w="464" w:type="dxa"/>
            <w:noWrap/>
            <w:hideMark/>
          </w:tcPr>
          <w:p w14:paraId="1F892E19" w14:textId="77777777" w:rsidR="006610DD" w:rsidRPr="006610DD" w:rsidRDefault="006610DD" w:rsidP="006610DD">
            <w:pPr>
              <w:pStyle w:val="Source"/>
              <w:rPr>
                <w:sz w:val="2"/>
                <w:szCs w:val="2"/>
              </w:rPr>
            </w:pPr>
            <w:r w:rsidRPr="006610DD">
              <w:rPr>
                <w:sz w:val="2"/>
                <w:szCs w:val="2"/>
              </w:rPr>
              <w:t>0.05</w:t>
            </w:r>
          </w:p>
        </w:tc>
        <w:tc>
          <w:tcPr>
            <w:tcW w:w="832" w:type="dxa"/>
            <w:noWrap/>
            <w:hideMark/>
          </w:tcPr>
          <w:p w14:paraId="6CBA3299" w14:textId="77777777" w:rsidR="006610DD" w:rsidRPr="006610DD" w:rsidRDefault="006610DD" w:rsidP="006610DD">
            <w:pPr>
              <w:pStyle w:val="Source"/>
              <w:rPr>
                <w:sz w:val="2"/>
                <w:szCs w:val="2"/>
              </w:rPr>
            </w:pPr>
            <w:r w:rsidRPr="006610DD">
              <w:rPr>
                <w:sz w:val="2"/>
                <w:szCs w:val="2"/>
              </w:rPr>
              <w:t>0.05</w:t>
            </w:r>
          </w:p>
        </w:tc>
        <w:tc>
          <w:tcPr>
            <w:tcW w:w="637" w:type="dxa"/>
            <w:noWrap/>
            <w:hideMark/>
          </w:tcPr>
          <w:p w14:paraId="3E33F64B" w14:textId="77777777" w:rsidR="006610DD" w:rsidRPr="006610DD" w:rsidRDefault="006610DD" w:rsidP="006610DD">
            <w:pPr>
              <w:pStyle w:val="Source"/>
              <w:rPr>
                <w:sz w:val="2"/>
                <w:szCs w:val="2"/>
              </w:rPr>
            </w:pPr>
            <w:r w:rsidRPr="006610DD">
              <w:rPr>
                <w:sz w:val="2"/>
                <w:szCs w:val="2"/>
              </w:rPr>
              <w:t>0.04</w:t>
            </w:r>
          </w:p>
        </w:tc>
        <w:tc>
          <w:tcPr>
            <w:tcW w:w="637" w:type="dxa"/>
            <w:hideMark/>
          </w:tcPr>
          <w:p w14:paraId="6A7C657F" w14:textId="77777777" w:rsidR="006610DD" w:rsidRPr="006610DD" w:rsidRDefault="006610DD" w:rsidP="006610DD">
            <w:pPr>
              <w:pStyle w:val="Source"/>
              <w:rPr>
                <w:sz w:val="2"/>
                <w:szCs w:val="2"/>
              </w:rPr>
            </w:pPr>
            <w:r w:rsidRPr="006610DD">
              <w:rPr>
                <w:sz w:val="2"/>
                <w:szCs w:val="2"/>
              </w:rPr>
              <w:t>0.05</w:t>
            </w:r>
          </w:p>
        </w:tc>
        <w:tc>
          <w:tcPr>
            <w:tcW w:w="637" w:type="dxa"/>
            <w:noWrap/>
            <w:hideMark/>
          </w:tcPr>
          <w:p w14:paraId="414EB990" w14:textId="77777777" w:rsidR="006610DD" w:rsidRPr="006610DD" w:rsidRDefault="006610DD" w:rsidP="006610DD">
            <w:pPr>
              <w:pStyle w:val="Source"/>
              <w:rPr>
                <w:sz w:val="2"/>
                <w:szCs w:val="2"/>
              </w:rPr>
            </w:pPr>
            <w:r w:rsidRPr="006610DD">
              <w:rPr>
                <w:sz w:val="2"/>
                <w:szCs w:val="2"/>
              </w:rPr>
              <w:t>0.06</w:t>
            </w:r>
          </w:p>
        </w:tc>
        <w:tc>
          <w:tcPr>
            <w:tcW w:w="375" w:type="dxa"/>
            <w:noWrap/>
            <w:hideMark/>
          </w:tcPr>
          <w:p w14:paraId="0431AFE5" w14:textId="77777777" w:rsidR="006610DD" w:rsidRPr="006610DD" w:rsidRDefault="006610DD" w:rsidP="006610DD">
            <w:pPr>
              <w:pStyle w:val="Source"/>
              <w:rPr>
                <w:sz w:val="2"/>
                <w:szCs w:val="2"/>
              </w:rPr>
            </w:pPr>
            <w:r w:rsidRPr="006610DD">
              <w:rPr>
                <w:sz w:val="2"/>
                <w:szCs w:val="2"/>
              </w:rPr>
              <w:t>0.08</w:t>
            </w:r>
          </w:p>
        </w:tc>
        <w:tc>
          <w:tcPr>
            <w:tcW w:w="904" w:type="dxa"/>
            <w:noWrap/>
            <w:hideMark/>
          </w:tcPr>
          <w:p w14:paraId="01358ADC" w14:textId="77777777" w:rsidR="006610DD" w:rsidRPr="006610DD" w:rsidRDefault="006610DD" w:rsidP="006610DD">
            <w:pPr>
              <w:pStyle w:val="Source"/>
              <w:rPr>
                <w:sz w:val="2"/>
                <w:szCs w:val="2"/>
              </w:rPr>
            </w:pPr>
            <w:r w:rsidRPr="006610DD">
              <w:rPr>
                <w:sz w:val="2"/>
                <w:szCs w:val="2"/>
              </w:rPr>
              <w:t>0.12</w:t>
            </w:r>
          </w:p>
        </w:tc>
        <w:tc>
          <w:tcPr>
            <w:tcW w:w="261" w:type="dxa"/>
            <w:noWrap/>
            <w:hideMark/>
          </w:tcPr>
          <w:p w14:paraId="7E1CC2E7" w14:textId="77777777" w:rsidR="006610DD" w:rsidRPr="006610DD" w:rsidRDefault="006610DD" w:rsidP="006610DD">
            <w:pPr>
              <w:pStyle w:val="Source"/>
              <w:rPr>
                <w:sz w:val="2"/>
                <w:szCs w:val="2"/>
              </w:rPr>
            </w:pPr>
            <w:r w:rsidRPr="006610DD">
              <w:rPr>
                <w:sz w:val="2"/>
                <w:szCs w:val="2"/>
              </w:rPr>
              <w:t>0.12</w:t>
            </w:r>
          </w:p>
        </w:tc>
      </w:tr>
    </w:tbl>
    <w:p w14:paraId="771A9BF5" w14:textId="77777777" w:rsidR="006610DD" w:rsidRDefault="006610DD" w:rsidP="00BC3D30">
      <w:pPr>
        <w:pStyle w:val="Source"/>
      </w:pPr>
    </w:p>
    <w:p w14:paraId="2A2EF08C" w14:textId="77777777" w:rsidR="006610DD" w:rsidRDefault="006610DD" w:rsidP="006610DD"/>
    <w:p w14:paraId="4DFD665A" w14:textId="77777777" w:rsidR="006610DD" w:rsidRDefault="006610DD" w:rsidP="006610DD"/>
    <w:p w14:paraId="46329385" w14:textId="77777777" w:rsidR="006610DD" w:rsidRDefault="006610DD" w:rsidP="006610DD"/>
    <w:p w14:paraId="751E80BE" w14:textId="77777777" w:rsidR="006610DD" w:rsidRDefault="006610DD" w:rsidP="006610DD"/>
    <w:p w14:paraId="1A415B3D" w14:textId="77777777" w:rsidR="006610DD" w:rsidRDefault="006610DD" w:rsidP="006610DD"/>
    <w:p w14:paraId="71D9F441" w14:textId="77777777" w:rsidR="006610DD" w:rsidRDefault="006610DD" w:rsidP="006610DD"/>
    <w:p w14:paraId="2C65393A" w14:textId="77777777" w:rsidR="006610DD" w:rsidRDefault="006610DD" w:rsidP="006610DD"/>
    <w:p w14:paraId="4147483D" w14:textId="77777777" w:rsidR="006610DD" w:rsidRDefault="006610DD" w:rsidP="006610DD"/>
    <w:p w14:paraId="512AE529" w14:textId="77777777" w:rsidR="006610DD" w:rsidRDefault="006610DD" w:rsidP="006610DD"/>
    <w:p w14:paraId="0351332C" w14:textId="77777777" w:rsidR="006610DD" w:rsidRDefault="006610DD" w:rsidP="006610DD"/>
    <w:p w14:paraId="291442D9" w14:textId="77777777" w:rsidR="006610DD" w:rsidRDefault="006610DD" w:rsidP="00BC3D30">
      <w:pPr>
        <w:pStyle w:val="Source"/>
      </w:pPr>
    </w:p>
    <w:p w14:paraId="6A811B01" w14:textId="52DDFBDE" w:rsidR="00BC3D30" w:rsidRPr="001359AF" w:rsidRDefault="00BC3D30" w:rsidP="00BC3D30">
      <w:pPr>
        <w:pStyle w:val="Source"/>
      </w:pPr>
      <w:r w:rsidRPr="001359AF">
        <w:t xml:space="preserve">Source: </w:t>
      </w:r>
      <w:r>
        <w:t>JSA analysis of ACECQA, National Registers and Waivers data</w:t>
      </w:r>
    </w:p>
    <w:p w14:paraId="75F5E993" w14:textId="1CBFE382" w:rsidR="00BC3D30" w:rsidRDefault="00BC3D30" w:rsidP="00BC3D30">
      <w:r>
        <w:t xml:space="preserve">The composition of different waiver types, where regulations that apply to a similar service are grouped together, also varies across service type. </w:t>
      </w:r>
      <w:r>
        <w:fldChar w:fldCharType="begin"/>
      </w:r>
      <w:r>
        <w:instrText xml:space="preserve"> REF _Ref166073856 \h </w:instrText>
      </w:r>
      <w:r>
        <w:fldChar w:fldCharType="separate"/>
      </w:r>
      <w:r w:rsidR="005F18C1">
        <w:t>Figure 1.</w:t>
      </w:r>
      <w:r w:rsidR="005F18C1">
        <w:rPr>
          <w:noProof/>
        </w:rPr>
        <w:t>6</w:t>
      </w:r>
      <w:r>
        <w:fldChar w:fldCharType="end"/>
      </w:r>
      <w:r>
        <w:t xml:space="preserve"> below presents the total number of waivers by service and waiver type for CBDC and OSHC services. There has been a marked increase in the number of waivers in CBDC for ECT requirements since 2019, suggesting pressing workforce shortages exist for ECTs. There has also been a small increase in waivers for qualification requirements for CBDCs in 2021 and 2022. Waivers in OSHC services for qualification requirements, as well as educator to child ratios, have increased since 2020.</w:t>
      </w:r>
    </w:p>
    <w:p w14:paraId="79322D3E" w14:textId="14FEABBF" w:rsidR="00115A28" w:rsidRDefault="00115A28">
      <w:r>
        <w:br w:type="page"/>
      </w:r>
    </w:p>
    <w:p w14:paraId="760EA209" w14:textId="6EBAC345" w:rsidR="00BC3D30" w:rsidRPr="00285829" w:rsidRDefault="00BC3D30" w:rsidP="00BC3D30">
      <w:pPr>
        <w:pStyle w:val="Caption"/>
      </w:pPr>
      <w:bookmarkStart w:id="54" w:name="_Ref166073856"/>
      <w:r>
        <w:lastRenderedPageBreak/>
        <w:t>Figure 1.</w:t>
      </w:r>
      <w:r>
        <w:fldChar w:fldCharType="begin"/>
      </w:r>
      <w:r>
        <w:instrText xml:space="preserve"> SEQ Figure \* ARABIC \s 1 </w:instrText>
      </w:r>
      <w:r>
        <w:fldChar w:fldCharType="separate"/>
      </w:r>
      <w:r w:rsidR="005F18C1">
        <w:rPr>
          <w:noProof/>
        </w:rPr>
        <w:t>6</w:t>
      </w:r>
      <w:r>
        <w:fldChar w:fldCharType="end"/>
      </w:r>
      <w:bookmarkEnd w:id="54"/>
      <w:r>
        <w:t>: W</w:t>
      </w:r>
      <w:r w:rsidRPr="00285829">
        <w:t>aivers</w:t>
      </w:r>
      <w:r>
        <w:t xml:space="preserve"> per service</w:t>
      </w:r>
      <w:r w:rsidRPr="00285829">
        <w:t xml:space="preserve"> by waiver and service type, 201</w:t>
      </w:r>
      <w:r>
        <w:t>5</w:t>
      </w:r>
      <w:r w:rsidRPr="00285829">
        <w:t>-2023</w:t>
      </w:r>
    </w:p>
    <w:p w14:paraId="2A6B3A5E" w14:textId="52A65D39" w:rsidR="00BC3D30" w:rsidRDefault="006610DD" w:rsidP="00BC3D30">
      <w:pPr>
        <w:pStyle w:val="NormalWeb"/>
        <w:jc w:val="center"/>
      </w:pPr>
      <w:r>
        <w:rPr>
          <w:noProof/>
        </w:rPr>
        <w:drawing>
          <wp:anchor distT="0" distB="0" distL="114300" distR="114300" simplePos="0" relativeHeight="251697155" behindDoc="0" locked="0" layoutInCell="1" allowOverlap="1" wp14:anchorId="2CCF6CEF" wp14:editId="6C52B0A3">
            <wp:simplePos x="0" y="0"/>
            <wp:positionH relativeFrom="margin">
              <wp:align>right</wp:align>
            </wp:positionH>
            <wp:positionV relativeFrom="paragraph">
              <wp:posOffset>65737</wp:posOffset>
            </wp:positionV>
            <wp:extent cx="5731510" cy="5014595"/>
            <wp:effectExtent l="0" t="0" r="2540" b="0"/>
            <wp:wrapNone/>
            <wp:docPr id="158925145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251451" name="Picture 3">
                      <a:extLst>
                        <a:ext uri="{C183D7F6-B498-43B3-948B-1728B52AA6E4}">
                          <adec:decorative xmlns:adec="http://schemas.microsoft.com/office/drawing/2017/decorative" val="1"/>
                        </a:ext>
                      </a:extLst>
                    </pic:cNvPr>
                    <pic:cNvPicPr>
                      <a:picLocks noChangeAspect="1" noChangeArrowheads="1"/>
                    </pic:cNvPicPr>
                  </pic:nvPicPr>
                  <pic:blipFill>
                    <a:blip r:embed="rId60" cstate="screen">
                      <a:extLst>
                        <a:ext uri="{28A0092B-C50C-407E-A947-70E740481C1C}">
                          <a14:useLocalDpi xmlns:a14="http://schemas.microsoft.com/office/drawing/2010/main" val="0"/>
                        </a:ext>
                      </a:extLst>
                    </a:blip>
                    <a:srcRect/>
                    <a:stretch>
                      <a:fillRect/>
                    </a:stretch>
                  </pic:blipFill>
                  <pic:spPr bwMode="auto">
                    <a:xfrm>
                      <a:off x="0" y="0"/>
                      <a:ext cx="5731510" cy="5014595"/>
                    </a:xfrm>
                    <a:prstGeom prst="rect">
                      <a:avLst/>
                    </a:prstGeom>
                    <a:noFill/>
                    <a:ln>
                      <a:noFill/>
                    </a:ln>
                  </pic:spPr>
                </pic:pic>
              </a:graphicData>
            </a:graphic>
          </wp:anchor>
        </w:drawing>
      </w:r>
    </w:p>
    <w:tbl>
      <w:tblPr>
        <w:tblStyle w:val="Box"/>
        <w:tblW w:w="0" w:type="auto"/>
        <w:jc w:val="center"/>
        <w:tblLook w:val="04A0" w:firstRow="1" w:lastRow="0" w:firstColumn="1" w:lastColumn="0" w:noHBand="0" w:noVBand="1"/>
      </w:tblPr>
      <w:tblGrid>
        <w:gridCol w:w="1747"/>
        <w:gridCol w:w="1394"/>
        <w:gridCol w:w="653"/>
        <w:gridCol w:w="654"/>
        <w:gridCol w:w="654"/>
        <w:gridCol w:w="654"/>
        <w:gridCol w:w="654"/>
        <w:gridCol w:w="654"/>
        <w:gridCol w:w="654"/>
        <w:gridCol w:w="654"/>
        <w:gridCol w:w="278"/>
      </w:tblGrid>
      <w:tr w:rsidR="006610DD" w:rsidRPr="006610DD" w14:paraId="53420CE2" w14:textId="77777777" w:rsidTr="006610DD">
        <w:trPr>
          <w:trHeight w:val="300"/>
          <w:jc w:val="center"/>
        </w:trPr>
        <w:tc>
          <w:tcPr>
            <w:tcW w:w="1747" w:type="dxa"/>
            <w:noWrap/>
            <w:hideMark/>
          </w:tcPr>
          <w:p w14:paraId="13C9BFCD" w14:textId="77777777" w:rsidR="006610DD" w:rsidRPr="006610DD" w:rsidRDefault="006610DD" w:rsidP="006610DD">
            <w:pPr>
              <w:pStyle w:val="Source"/>
              <w:rPr>
                <w:sz w:val="2"/>
                <w:szCs w:val="2"/>
              </w:rPr>
            </w:pPr>
          </w:p>
        </w:tc>
        <w:tc>
          <w:tcPr>
            <w:tcW w:w="1394" w:type="dxa"/>
            <w:noWrap/>
            <w:hideMark/>
          </w:tcPr>
          <w:p w14:paraId="3DCFCE20" w14:textId="77777777" w:rsidR="006610DD" w:rsidRPr="006610DD" w:rsidRDefault="006610DD" w:rsidP="006610DD">
            <w:pPr>
              <w:pStyle w:val="Source"/>
              <w:rPr>
                <w:sz w:val="2"/>
                <w:szCs w:val="2"/>
              </w:rPr>
            </w:pPr>
          </w:p>
        </w:tc>
        <w:tc>
          <w:tcPr>
            <w:tcW w:w="653" w:type="dxa"/>
            <w:noWrap/>
            <w:hideMark/>
          </w:tcPr>
          <w:p w14:paraId="6823735F" w14:textId="77777777" w:rsidR="006610DD" w:rsidRPr="006610DD" w:rsidRDefault="006610DD" w:rsidP="006610DD">
            <w:pPr>
              <w:pStyle w:val="Source"/>
              <w:rPr>
                <w:b/>
                <w:bCs/>
                <w:sz w:val="2"/>
                <w:szCs w:val="2"/>
              </w:rPr>
            </w:pPr>
            <w:r w:rsidRPr="006610DD">
              <w:rPr>
                <w:b/>
                <w:bCs/>
                <w:sz w:val="2"/>
                <w:szCs w:val="2"/>
              </w:rPr>
              <w:t>2015</w:t>
            </w:r>
          </w:p>
        </w:tc>
        <w:tc>
          <w:tcPr>
            <w:tcW w:w="654" w:type="dxa"/>
            <w:noWrap/>
            <w:hideMark/>
          </w:tcPr>
          <w:p w14:paraId="330DE3DF" w14:textId="77777777" w:rsidR="006610DD" w:rsidRPr="006610DD" w:rsidRDefault="006610DD" w:rsidP="006610DD">
            <w:pPr>
              <w:pStyle w:val="Source"/>
              <w:rPr>
                <w:b/>
                <w:bCs/>
                <w:sz w:val="2"/>
                <w:szCs w:val="2"/>
              </w:rPr>
            </w:pPr>
            <w:r w:rsidRPr="006610DD">
              <w:rPr>
                <w:b/>
                <w:bCs/>
                <w:sz w:val="2"/>
                <w:szCs w:val="2"/>
              </w:rPr>
              <w:t>2016</w:t>
            </w:r>
          </w:p>
        </w:tc>
        <w:tc>
          <w:tcPr>
            <w:tcW w:w="654" w:type="dxa"/>
            <w:noWrap/>
            <w:hideMark/>
          </w:tcPr>
          <w:p w14:paraId="36EBAC1E" w14:textId="77777777" w:rsidR="006610DD" w:rsidRPr="006610DD" w:rsidRDefault="006610DD" w:rsidP="006610DD">
            <w:pPr>
              <w:pStyle w:val="Source"/>
              <w:rPr>
                <w:b/>
                <w:bCs/>
                <w:sz w:val="2"/>
                <w:szCs w:val="2"/>
              </w:rPr>
            </w:pPr>
            <w:r w:rsidRPr="006610DD">
              <w:rPr>
                <w:b/>
                <w:bCs/>
                <w:sz w:val="2"/>
                <w:szCs w:val="2"/>
              </w:rPr>
              <w:t>2017</w:t>
            </w:r>
          </w:p>
        </w:tc>
        <w:tc>
          <w:tcPr>
            <w:tcW w:w="654" w:type="dxa"/>
            <w:noWrap/>
            <w:hideMark/>
          </w:tcPr>
          <w:p w14:paraId="0A36C707" w14:textId="77777777" w:rsidR="006610DD" w:rsidRPr="006610DD" w:rsidRDefault="006610DD" w:rsidP="006610DD">
            <w:pPr>
              <w:pStyle w:val="Source"/>
              <w:rPr>
                <w:b/>
                <w:bCs/>
                <w:sz w:val="2"/>
                <w:szCs w:val="2"/>
              </w:rPr>
            </w:pPr>
            <w:r w:rsidRPr="006610DD">
              <w:rPr>
                <w:b/>
                <w:bCs/>
                <w:sz w:val="2"/>
                <w:szCs w:val="2"/>
              </w:rPr>
              <w:t>2018</w:t>
            </w:r>
          </w:p>
        </w:tc>
        <w:tc>
          <w:tcPr>
            <w:tcW w:w="654" w:type="dxa"/>
            <w:noWrap/>
            <w:hideMark/>
          </w:tcPr>
          <w:p w14:paraId="727E1FFF" w14:textId="77777777" w:rsidR="006610DD" w:rsidRPr="006610DD" w:rsidRDefault="006610DD" w:rsidP="006610DD">
            <w:pPr>
              <w:pStyle w:val="Source"/>
              <w:rPr>
                <w:b/>
                <w:bCs/>
                <w:sz w:val="2"/>
                <w:szCs w:val="2"/>
              </w:rPr>
            </w:pPr>
            <w:r w:rsidRPr="006610DD">
              <w:rPr>
                <w:b/>
                <w:bCs/>
                <w:sz w:val="2"/>
                <w:szCs w:val="2"/>
              </w:rPr>
              <w:t>2019</w:t>
            </w:r>
          </w:p>
        </w:tc>
        <w:tc>
          <w:tcPr>
            <w:tcW w:w="654" w:type="dxa"/>
            <w:noWrap/>
            <w:hideMark/>
          </w:tcPr>
          <w:p w14:paraId="6B9E6C46" w14:textId="77777777" w:rsidR="006610DD" w:rsidRPr="006610DD" w:rsidRDefault="006610DD" w:rsidP="006610DD">
            <w:pPr>
              <w:pStyle w:val="Source"/>
              <w:rPr>
                <w:b/>
                <w:bCs/>
                <w:sz w:val="2"/>
                <w:szCs w:val="2"/>
              </w:rPr>
            </w:pPr>
            <w:r w:rsidRPr="006610DD">
              <w:rPr>
                <w:b/>
                <w:bCs/>
                <w:sz w:val="2"/>
                <w:szCs w:val="2"/>
              </w:rPr>
              <w:t>2020</w:t>
            </w:r>
          </w:p>
        </w:tc>
        <w:tc>
          <w:tcPr>
            <w:tcW w:w="654" w:type="dxa"/>
            <w:noWrap/>
            <w:hideMark/>
          </w:tcPr>
          <w:p w14:paraId="37ACB656" w14:textId="77777777" w:rsidR="006610DD" w:rsidRPr="006610DD" w:rsidRDefault="006610DD" w:rsidP="006610DD">
            <w:pPr>
              <w:pStyle w:val="Source"/>
              <w:rPr>
                <w:b/>
                <w:bCs/>
                <w:sz w:val="2"/>
                <w:szCs w:val="2"/>
              </w:rPr>
            </w:pPr>
            <w:r w:rsidRPr="006610DD">
              <w:rPr>
                <w:b/>
                <w:bCs/>
                <w:sz w:val="2"/>
                <w:szCs w:val="2"/>
              </w:rPr>
              <w:t>2021</w:t>
            </w:r>
          </w:p>
        </w:tc>
        <w:tc>
          <w:tcPr>
            <w:tcW w:w="654" w:type="dxa"/>
            <w:noWrap/>
            <w:hideMark/>
          </w:tcPr>
          <w:p w14:paraId="77DBD349" w14:textId="77777777" w:rsidR="006610DD" w:rsidRPr="006610DD" w:rsidRDefault="006610DD" w:rsidP="006610DD">
            <w:pPr>
              <w:pStyle w:val="Source"/>
              <w:rPr>
                <w:b/>
                <w:bCs/>
                <w:sz w:val="2"/>
                <w:szCs w:val="2"/>
              </w:rPr>
            </w:pPr>
            <w:r w:rsidRPr="006610DD">
              <w:rPr>
                <w:b/>
                <w:bCs/>
                <w:sz w:val="2"/>
                <w:szCs w:val="2"/>
              </w:rPr>
              <w:t>2022</w:t>
            </w:r>
          </w:p>
        </w:tc>
        <w:tc>
          <w:tcPr>
            <w:tcW w:w="278" w:type="dxa"/>
            <w:noWrap/>
            <w:hideMark/>
          </w:tcPr>
          <w:p w14:paraId="474593C0" w14:textId="77777777" w:rsidR="006610DD" w:rsidRPr="006610DD" w:rsidRDefault="006610DD" w:rsidP="006610DD">
            <w:pPr>
              <w:pStyle w:val="Source"/>
              <w:rPr>
                <w:b/>
                <w:bCs/>
                <w:sz w:val="2"/>
                <w:szCs w:val="2"/>
              </w:rPr>
            </w:pPr>
            <w:r w:rsidRPr="006610DD">
              <w:rPr>
                <w:b/>
                <w:bCs/>
                <w:sz w:val="2"/>
                <w:szCs w:val="2"/>
              </w:rPr>
              <w:t>2023</w:t>
            </w:r>
          </w:p>
        </w:tc>
      </w:tr>
      <w:tr w:rsidR="006610DD" w:rsidRPr="006610DD" w14:paraId="677592F5" w14:textId="77777777" w:rsidTr="006610DD">
        <w:trPr>
          <w:trHeight w:val="300"/>
          <w:jc w:val="center"/>
        </w:trPr>
        <w:tc>
          <w:tcPr>
            <w:tcW w:w="1747" w:type="dxa"/>
            <w:noWrap/>
            <w:hideMark/>
          </w:tcPr>
          <w:p w14:paraId="27F515AA" w14:textId="77777777" w:rsidR="006610DD" w:rsidRPr="006610DD" w:rsidRDefault="006610DD" w:rsidP="006610DD">
            <w:pPr>
              <w:pStyle w:val="Source"/>
              <w:rPr>
                <w:b/>
                <w:bCs/>
                <w:sz w:val="2"/>
                <w:szCs w:val="2"/>
              </w:rPr>
            </w:pPr>
            <w:r w:rsidRPr="006610DD">
              <w:rPr>
                <w:b/>
                <w:bCs/>
                <w:sz w:val="2"/>
                <w:szCs w:val="2"/>
              </w:rPr>
              <w:t>Centre Based Day Care</w:t>
            </w:r>
          </w:p>
        </w:tc>
        <w:tc>
          <w:tcPr>
            <w:tcW w:w="1394" w:type="dxa"/>
            <w:noWrap/>
            <w:hideMark/>
          </w:tcPr>
          <w:p w14:paraId="004CF341" w14:textId="77777777" w:rsidR="006610DD" w:rsidRPr="006610DD" w:rsidRDefault="006610DD" w:rsidP="006610DD">
            <w:pPr>
              <w:pStyle w:val="Source"/>
              <w:rPr>
                <w:sz w:val="2"/>
                <w:szCs w:val="2"/>
              </w:rPr>
            </w:pPr>
            <w:r w:rsidRPr="006610DD">
              <w:rPr>
                <w:sz w:val="2"/>
                <w:szCs w:val="2"/>
              </w:rPr>
              <w:t>Ratio</w:t>
            </w:r>
          </w:p>
        </w:tc>
        <w:tc>
          <w:tcPr>
            <w:tcW w:w="653" w:type="dxa"/>
            <w:noWrap/>
            <w:hideMark/>
          </w:tcPr>
          <w:p w14:paraId="231CA595" w14:textId="08D46305" w:rsidR="006610DD" w:rsidRPr="006610DD" w:rsidRDefault="006610DD" w:rsidP="006610DD">
            <w:pPr>
              <w:pStyle w:val="Source"/>
              <w:rPr>
                <w:sz w:val="2"/>
                <w:szCs w:val="2"/>
              </w:rPr>
            </w:pPr>
            <w:r w:rsidRPr="006610DD">
              <w:rPr>
                <w:sz w:val="2"/>
                <w:szCs w:val="2"/>
              </w:rPr>
              <w:t>0.0015</w:t>
            </w:r>
          </w:p>
        </w:tc>
        <w:tc>
          <w:tcPr>
            <w:tcW w:w="654" w:type="dxa"/>
            <w:noWrap/>
            <w:hideMark/>
          </w:tcPr>
          <w:p w14:paraId="1D091BFA" w14:textId="77777777" w:rsidR="006610DD" w:rsidRPr="006610DD" w:rsidRDefault="006610DD" w:rsidP="006610DD">
            <w:pPr>
              <w:pStyle w:val="Source"/>
              <w:rPr>
                <w:sz w:val="2"/>
                <w:szCs w:val="2"/>
              </w:rPr>
            </w:pPr>
            <w:r w:rsidRPr="006610DD">
              <w:rPr>
                <w:sz w:val="2"/>
                <w:szCs w:val="2"/>
              </w:rPr>
              <w:t>0.0024</w:t>
            </w:r>
          </w:p>
        </w:tc>
        <w:tc>
          <w:tcPr>
            <w:tcW w:w="654" w:type="dxa"/>
            <w:noWrap/>
            <w:hideMark/>
          </w:tcPr>
          <w:p w14:paraId="0182F554" w14:textId="77777777" w:rsidR="006610DD" w:rsidRPr="006610DD" w:rsidRDefault="006610DD" w:rsidP="006610DD">
            <w:pPr>
              <w:pStyle w:val="Source"/>
              <w:rPr>
                <w:sz w:val="2"/>
                <w:szCs w:val="2"/>
              </w:rPr>
            </w:pPr>
            <w:r w:rsidRPr="006610DD">
              <w:rPr>
                <w:sz w:val="2"/>
                <w:szCs w:val="2"/>
              </w:rPr>
              <w:t>0.001</w:t>
            </w:r>
          </w:p>
        </w:tc>
        <w:tc>
          <w:tcPr>
            <w:tcW w:w="654" w:type="dxa"/>
            <w:noWrap/>
            <w:hideMark/>
          </w:tcPr>
          <w:p w14:paraId="180A5123" w14:textId="77777777" w:rsidR="006610DD" w:rsidRPr="006610DD" w:rsidRDefault="006610DD" w:rsidP="006610DD">
            <w:pPr>
              <w:pStyle w:val="Source"/>
              <w:rPr>
                <w:sz w:val="2"/>
                <w:szCs w:val="2"/>
              </w:rPr>
            </w:pPr>
            <w:r w:rsidRPr="006610DD">
              <w:rPr>
                <w:sz w:val="2"/>
                <w:szCs w:val="2"/>
              </w:rPr>
              <w:t>0.0016</w:t>
            </w:r>
          </w:p>
        </w:tc>
        <w:tc>
          <w:tcPr>
            <w:tcW w:w="654" w:type="dxa"/>
            <w:noWrap/>
            <w:hideMark/>
          </w:tcPr>
          <w:p w14:paraId="5ED77957" w14:textId="77777777" w:rsidR="006610DD" w:rsidRPr="006610DD" w:rsidRDefault="006610DD" w:rsidP="006610DD">
            <w:pPr>
              <w:pStyle w:val="Source"/>
              <w:rPr>
                <w:sz w:val="2"/>
                <w:szCs w:val="2"/>
              </w:rPr>
            </w:pPr>
            <w:r w:rsidRPr="006610DD">
              <w:rPr>
                <w:sz w:val="2"/>
                <w:szCs w:val="2"/>
              </w:rPr>
              <w:t>0.0023</w:t>
            </w:r>
          </w:p>
        </w:tc>
        <w:tc>
          <w:tcPr>
            <w:tcW w:w="654" w:type="dxa"/>
            <w:noWrap/>
            <w:hideMark/>
          </w:tcPr>
          <w:p w14:paraId="0B56EAD8" w14:textId="77777777" w:rsidR="006610DD" w:rsidRPr="006610DD" w:rsidRDefault="006610DD" w:rsidP="006610DD">
            <w:pPr>
              <w:pStyle w:val="Source"/>
              <w:rPr>
                <w:sz w:val="2"/>
                <w:szCs w:val="2"/>
              </w:rPr>
            </w:pPr>
            <w:r w:rsidRPr="006610DD">
              <w:rPr>
                <w:sz w:val="2"/>
                <w:szCs w:val="2"/>
              </w:rPr>
              <w:t>0.0034</w:t>
            </w:r>
          </w:p>
        </w:tc>
        <w:tc>
          <w:tcPr>
            <w:tcW w:w="654" w:type="dxa"/>
            <w:noWrap/>
            <w:hideMark/>
          </w:tcPr>
          <w:p w14:paraId="207C0F60" w14:textId="77777777" w:rsidR="006610DD" w:rsidRPr="006610DD" w:rsidRDefault="006610DD" w:rsidP="006610DD">
            <w:pPr>
              <w:pStyle w:val="Source"/>
              <w:rPr>
                <w:sz w:val="2"/>
                <w:szCs w:val="2"/>
              </w:rPr>
            </w:pPr>
            <w:r w:rsidRPr="006610DD">
              <w:rPr>
                <w:sz w:val="2"/>
                <w:szCs w:val="2"/>
              </w:rPr>
              <w:t>0.0027</w:t>
            </w:r>
          </w:p>
        </w:tc>
        <w:tc>
          <w:tcPr>
            <w:tcW w:w="654" w:type="dxa"/>
            <w:noWrap/>
            <w:hideMark/>
          </w:tcPr>
          <w:p w14:paraId="5266A479" w14:textId="77777777" w:rsidR="006610DD" w:rsidRPr="006610DD" w:rsidRDefault="006610DD" w:rsidP="006610DD">
            <w:pPr>
              <w:pStyle w:val="Source"/>
              <w:rPr>
                <w:sz w:val="2"/>
                <w:szCs w:val="2"/>
              </w:rPr>
            </w:pPr>
            <w:r w:rsidRPr="006610DD">
              <w:rPr>
                <w:sz w:val="2"/>
                <w:szCs w:val="2"/>
              </w:rPr>
              <w:t>0.0054</w:t>
            </w:r>
          </w:p>
        </w:tc>
        <w:tc>
          <w:tcPr>
            <w:tcW w:w="278" w:type="dxa"/>
            <w:noWrap/>
            <w:hideMark/>
          </w:tcPr>
          <w:p w14:paraId="46C0A48D" w14:textId="77777777" w:rsidR="006610DD" w:rsidRPr="006610DD" w:rsidRDefault="006610DD" w:rsidP="006610DD">
            <w:pPr>
              <w:pStyle w:val="Source"/>
              <w:rPr>
                <w:sz w:val="2"/>
                <w:szCs w:val="2"/>
              </w:rPr>
            </w:pPr>
            <w:r w:rsidRPr="006610DD">
              <w:rPr>
                <w:sz w:val="2"/>
                <w:szCs w:val="2"/>
              </w:rPr>
              <w:t>0.0051</w:t>
            </w:r>
          </w:p>
        </w:tc>
      </w:tr>
      <w:tr w:rsidR="006610DD" w:rsidRPr="006610DD" w14:paraId="31358C3B" w14:textId="77777777" w:rsidTr="006610DD">
        <w:trPr>
          <w:trHeight w:val="300"/>
          <w:jc w:val="center"/>
        </w:trPr>
        <w:tc>
          <w:tcPr>
            <w:tcW w:w="1747" w:type="dxa"/>
            <w:noWrap/>
            <w:hideMark/>
          </w:tcPr>
          <w:p w14:paraId="2493A3C3" w14:textId="77777777" w:rsidR="006610DD" w:rsidRPr="006610DD" w:rsidRDefault="006610DD" w:rsidP="006610DD">
            <w:pPr>
              <w:pStyle w:val="Source"/>
              <w:rPr>
                <w:sz w:val="2"/>
                <w:szCs w:val="2"/>
              </w:rPr>
            </w:pPr>
          </w:p>
        </w:tc>
        <w:tc>
          <w:tcPr>
            <w:tcW w:w="1394" w:type="dxa"/>
            <w:noWrap/>
            <w:hideMark/>
          </w:tcPr>
          <w:p w14:paraId="4EFE32C0" w14:textId="77777777" w:rsidR="006610DD" w:rsidRPr="006610DD" w:rsidRDefault="006610DD" w:rsidP="006610DD">
            <w:pPr>
              <w:pStyle w:val="Source"/>
              <w:rPr>
                <w:sz w:val="2"/>
                <w:szCs w:val="2"/>
              </w:rPr>
            </w:pPr>
            <w:r w:rsidRPr="006610DD">
              <w:rPr>
                <w:sz w:val="2"/>
                <w:szCs w:val="2"/>
              </w:rPr>
              <w:t>Qualification</w:t>
            </w:r>
          </w:p>
        </w:tc>
        <w:tc>
          <w:tcPr>
            <w:tcW w:w="653" w:type="dxa"/>
            <w:noWrap/>
            <w:hideMark/>
          </w:tcPr>
          <w:p w14:paraId="08EDD176" w14:textId="25AB24B5" w:rsidR="006610DD" w:rsidRPr="006610DD" w:rsidRDefault="006610DD" w:rsidP="006610DD">
            <w:pPr>
              <w:pStyle w:val="Source"/>
              <w:rPr>
                <w:sz w:val="2"/>
                <w:szCs w:val="2"/>
              </w:rPr>
            </w:pPr>
            <w:r w:rsidRPr="006610DD">
              <w:rPr>
                <w:sz w:val="2"/>
                <w:szCs w:val="2"/>
              </w:rPr>
              <w:t>0.0201</w:t>
            </w:r>
          </w:p>
        </w:tc>
        <w:tc>
          <w:tcPr>
            <w:tcW w:w="654" w:type="dxa"/>
            <w:noWrap/>
            <w:hideMark/>
          </w:tcPr>
          <w:p w14:paraId="268949F3" w14:textId="77777777" w:rsidR="006610DD" w:rsidRPr="006610DD" w:rsidRDefault="006610DD" w:rsidP="006610DD">
            <w:pPr>
              <w:pStyle w:val="Source"/>
              <w:rPr>
                <w:sz w:val="2"/>
                <w:szCs w:val="2"/>
              </w:rPr>
            </w:pPr>
            <w:r w:rsidRPr="006610DD">
              <w:rPr>
                <w:sz w:val="2"/>
                <w:szCs w:val="2"/>
              </w:rPr>
              <w:t>0.0129</w:t>
            </w:r>
          </w:p>
        </w:tc>
        <w:tc>
          <w:tcPr>
            <w:tcW w:w="654" w:type="dxa"/>
            <w:noWrap/>
            <w:hideMark/>
          </w:tcPr>
          <w:p w14:paraId="7BE6BDF3" w14:textId="77777777" w:rsidR="006610DD" w:rsidRPr="006610DD" w:rsidRDefault="006610DD" w:rsidP="006610DD">
            <w:pPr>
              <w:pStyle w:val="Source"/>
              <w:rPr>
                <w:sz w:val="2"/>
                <w:szCs w:val="2"/>
              </w:rPr>
            </w:pPr>
            <w:r w:rsidRPr="006610DD">
              <w:rPr>
                <w:sz w:val="2"/>
                <w:szCs w:val="2"/>
              </w:rPr>
              <w:t>0.0106</w:t>
            </w:r>
          </w:p>
        </w:tc>
        <w:tc>
          <w:tcPr>
            <w:tcW w:w="654" w:type="dxa"/>
            <w:noWrap/>
            <w:hideMark/>
          </w:tcPr>
          <w:p w14:paraId="5E1208D7" w14:textId="77777777" w:rsidR="006610DD" w:rsidRPr="006610DD" w:rsidRDefault="006610DD" w:rsidP="006610DD">
            <w:pPr>
              <w:pStyle w:val="Source"/>
              <w:rPr>
                <w:sz w:val="2"/>
                <w:szCs w:val="2"/>
              </w:rPr>
            </w:pPr>
            <w:r w:rsidRPr="006610DD">
              <w:rPr>
                <w:sz w:val="2"/>
                <w:szCs w:val="2"/>
              </w:rPr>
              <w:t>0.0102</w:t>
            </w:r>
          </w:p>
        </w:tc>
        <w:tc>
          <w:tcPr>
            <w:tcW w:w="654" w:type="dxa"/>
            <w:noWrap/>
            <w:hideMark/>
          </w:tcPr>
          <w:p w14:paraId="74E9F9CB" w14:textId="77777777" w:rsidR="006610DD" w:rsidRPr="006610DD" w:rsidRDefault="006610DD" w:rsidP="006610DD">
            <w:pPr>
              <w:pStyle w:val="Source"/>
              <w:rPr>
                <w:sz w:val="2"/>
                <w:szCs w:val="2"/>
              </w:rPr>
            </w:pPr>
            <w:r w:rsidRPr="006610DD">
              <w:rPr>
                <w:sz w:val="2"/>
                <w:szCs w:val="2"/>
              </w:rPr>
              <w:t>0.0115</w:t>
            </w:r>
          </w:p>
        </w:tc>
        <w:tc>
          <w:tcPr>
            <w:tcW w:w="654" w:type="dxa"/>
            <w:noWrap/>
            <w:hideMark/>
          </w:tcPr>
          <w:p w14:paraId="4F20CAD8" w14:textId="77777777" w:rsidR="006610DD" w:rsidRPr="006610DD" w:rsidRDefault="006610DD" w:rsidP="006610DD">
            <w:pPr>
              <w:pStyle w:val="Source"/>
              <w:rPr>
                <w:sz w:val="2"/>
                <w:szCs w:val="2"/>
              </w:rPr>
            </w:pPr>
            <w:r w:rsidRPr="006610DD">
              <w:rPr>
                <w:sz w:val="2"/>
                <w:szCs w:val="2"/>
              </w:rPr>
              <w:t>0.0158</w:t>
            </w:r>
          </w:p>
        </w:tc>
        <w:tc>
          <w:tcPr>
            <w:tcW w:w="654" w:type="dxa"/>
            <w:noWrap/>
            <w:hideMark/>
          </w:tcPr>
          <w:p w14:paraId="3812A21A" w14:textId="77777777" w:rsidR="006610DD" w:rsidRPr="006610DD" w:rsidRDefault="006610DD" w:rsidP="006610DD">
            <w:pPr>
              <w:pStyle w:val="Source"/>
              <w:rPr>
                <w:sz w:val="2"/>
                <w:szCs w:val="2"/>
              </w:rPr>
            </w:pPr>
            <w:r w:rsidRPr="006610DD">
              <w:rPr>
                <w:sz w:val="2"/>
                <w:szCs w:val="2"/>
              </w:rPr>
              <w:t>0.0153</w:t>
            </w:r>
          </w:p>
        </w:tc>
        <w:tc>
          <w:tcPr>
            <w:tcW w:w="654" w:type="dxa"/>
            <w:noWrap/>
            <w:hideMark/>
          </w:tcPr>
          <w:p w14:paraId="3DE18CEC" w14:textId="77777777" w:rsidR="006610DD" w:rsidRPr="006610DD" w:rsidRDefault="006610DD" w:rsidP="006610DD">
            <w:pPr>
              <w:pStyle w:val="Source"/>
              <w:rPr>
                <w:sz w:val="2"/>
                <w:szCs w:val="2"/>
              </w:rPr>
            </w:pPr>
            <w:r w:rsidRPr="006610DD">
              <w:rPr>
                <w:sz w:val="2"/>
                <w:szCs w:val="2"/>
              </w:rPr>
              <w:t>0.0327</w:t>
            </w:r>
          </w:p>
        </w:tc>
        <w:tc>
          <w:tcPr>
            <w:tcW w:w="278" w:type="dxa"/>
            <w:noWrap/>
            <w:hideMark/>
          </w:tcPr>
          <w:p w14:paraId="10E80C89" w14:textId="77777777" w:rsidR="006610DD" w:rsidRPr="006610DD" w:rsidRDefault="006610DD" w:rsidP="006610DD">
            <w:pPr>
              <w:pStyle w:val="Source"/>
              <w:rPr>
                <w:sz w:val="2"/>
                <w:szCs w:val="2"/>
              </w:rPr>
            </w:pPr>
            <w:r w:rsidRPr="006610DD">
              <w:rPr>
                <w:sz w:val="2"/>
                <w:szCs w:val="2"/>
              </w:rPr>
              <w:t>0.0374</w:t>
            </w:r>
          </w:p>
        </w:tc>
      </w:tr>
      <w:tr w:rsidR="006610DD" w:rsidRPr="006610DD" w14:paraId="3D796389" w14:textId="77777777" w:rsidTr="006610DD">
        <w:trPr>
          <w:trHeight w:val="300"/>
          <w:jc w:val="center"/>
        </w:trPr>
        <w:tc>
          <w:tcPr>
            <w:tcW w:w="1747" w:type="dxa"/>
            <w:noWrap/>
            <w:hideMark/>
          </w:tcPr>
          <w:p w14:paraId="6E519091" w14:textId="77777777" w:rsidR="006610DD" w:rsidRPr="006610DD" w:rsidRDefault="006610DD" w:rsidP="006610DD">
            <w:pPr>
              <w:pStyle w:val="Source"/>
              <w:rPr>
                <w:sz w:val="2"/>
                <w:szCs w:val="2"/>
              </w:rPr>
            </w:pPr>
          </w:p>
        </w:tc>
        <w:tc>
          <w:tcPr>
            <w:tcW w:w="1394" w:type="dxa"/>
            <w:noWrap/>
            <w:hideMark/>
          </w:tcPr>
          <w:p w14:paraId="4A240269" w14:textId="77777777" w:rsidR="006610DD" w:rsidRPr="006610DD" w:rsidRDefault="006610DD" w:rsidP="006610DD">
            <w:pPr>
              <w:pStyle w:val="Source"/>
              <w:rPr>
                <w:sz w:val="2"/>
                <w:szCs w:val="2"/>
              </w:rPr>
            </w:pPr>
            <w:r w:rsidRPr="006610DD">
              <w:rPr>
                <w:sz w:val="2"/>
                <w:szCs w:val="2"/>
              </w:rPr>
              <w:t>ECT</w:t>
            </w:r>
          </w:p>
        </w:tc>
        <w:tc>
          <w:tcPr>
            <w:tcW w:w="653" w:type="dxa"/>
            <w:noWrap/>
            <w:hideMark/>
          </w:tcPr>
          <w:p w14:paraId="627D5A2C" w14:textId="6E5BCBCD" w:rsidR="006610DD" w:rsidRPr="006610DD" w:rsidRDefault="006610DD" w:rsidP="006610DD">
            <w:pPr>
              <w:pStyle w:val="Source"/>
              <w:rPr>
                <w:sz w:val="2"/>
                <w:szCs w:val="2"/>
              </w:rPr>
            </w:pPr>
            <w:r w:rsidRPr="006610DD">
              <w:rPr>
                <w:sz w:val="2"/>
                <w:szCs w:val="2"/>
              </w:rPr>
              <w:t>0.1523</w:t>
            </w:r>
          </w:p>
        </w:tc>
        <w:tc>
          <w:tcPr>
            <w:tcW w:w="654" w:type="dxa"/>
            <w:noWrap/>
            <w:hideMark/>
          </w:tcPr>
          <w:p w14:paraId="7DF936A0" w14:textId="77777777" w:rsidR="006610DD" w:rsidRPr="006610DD" w:rsidRDefault="006610DD" w:rsidP="006610DD">
            <w:pPr>
              <w:pStyle w:val="Source"/>
              <w:rPr>
                <w:sz w:val="2"/>
                <w:szCs w:val="2"/>
              </w:rPr>
            </w:pPr>
            <w:r w:rsidRPr="006610DD">
              <w:rPr>
                <w:sz w:val="2"/>
                <w:szCs w:val="2"/>
              </w:rPr>
              <w:t>0.1683</w:t>
            </w:r>
          </w:p>
        </w:tc>
        <w:tc>
          <w:tcPr>
            <w:tcW w:w="654" w:type="dxa"/>
            <w:noWrap/>
            <w:hideMark/>
          </w:tcPr>
          <w:p w14:paraId="5CB1A6DD" w14:textId="77777777" w:rsidR="006610DD" w:rsidRPr="006610DD" w:rsidRDefault="006610DD" w:rsidP="006610DD">
            <w:pPr>
              <w:pStyle w:val="Source"/>
              <w:rPr>
                <w:sz w:val="2"/>
                <w:szCs w:val="2"/>
              </w:rPr>
            </w:pPr>
            <w:r w:rsidRPr="006610DD">
              <w:rPr>
                <w:sz w:val="2"/>
                <w:szCs w:val="2"/>
              </w:rPr>
              <w:t>0.168</w:t>
            </w:r>
          </w:p>
        </w:tc>
        <w:tc>
          <w:tcPr>
            <w:tcW w:w="654" w:type="dxa"/>
            <w:noWrap/>
            <w:hideMark/>
          </w:tcPr>
          <w:p w14:paraId="265B472D" w14:textId="77777777" w:rsidR="006610DD" w:rsidRPr="006610DD" w:rsidRDefault="006610DD" w:rsidP="006610DD">
            <w:pPr>
              <w:pStyle w:val="Source"/>
              <w:rPr>
                <w:sz w:val="2"/>
                <w:szCs w:val="2"/>
              </w:rPr>
            </w:pPr>
            <w:r w:rsidRPr="006610DD">
              <w:rPr>
                <w:sz w:val="2"/>
                <w:szCs w:val="2"/>
              </w:rPr>
              <w:t>0.1798</w:t>
            </w:r>
          </w:p>
        </w:tc>
        <w:tc>
          <w:tcPr>
            <w:tcW w:w="654" w:type="dxa"/>
            <w:noWrap/>
            <w:hideMark/>
          </w:tcPr>
          <w:p w14:paraId="16C6497D" w14:textId="77777777" w:rsidR="006610DD" w:rsidRPr="006610DD" w:rsidRDefault="006610DD" w:rsidP="006610DD">
            <w:pPr>
              <w:pStyle w:val="Source"/>
              <w:rPr>
                <w:sz w:val="2"/>
                <w:szCs w:val="2"/>
              </w:rPr>
            </w:pPr>
            <w:r w:rsidRPr="006610DD">
              <w:rPr>
                <w:sz w:val="2"/>
                <w:szCs w:val="2"/>
              </w:rPr>
              <w:t>0.2032</w:t>
            </w:r>
          </w:p>
        </w:tc>
        <w:tc>
          <w:tcPr>
            <w:tcW w:w="654" w:type="dxa"/>
            <w:noWrap/>
            <w:hideMark/>
          </w:tcPr>
          <w:p w14:paraId="4FFE0678" w14:textId="77777777" w:rsidR="006610DD" w:rsidRPr="006610DD" w:rsidRDefault="006610DD" w:rsidP="006610DD">
            <w:pPr>
              <w:pStyle w:val="Source"/>
              <w:rPr>
                <w:sz w:val="2"/>
                <w:szCs w:val="2"/>
              </w:rPr>
            </w:pPr>
            <w:r w:rsidRPr="006610DD">
              <w:rPr>
                <w:sz w:val="2"/>
                <w:szCs w:val="2"/>
              </w:rPr>
              <w:t>0.3015</w:t>
            </w:r>
          </w:p>
        </w:tc>
        <w:tc>
          <w:tcPr>
            <w:tcW w:w="654" w:type="dxa"/>
            <w:noWrap/>
            <w:hideMark/>
          </w:tcPr>
          <w:p w14:paraId="5F4AFD10" w14:textId="77777777" w:rsidR="006610DD" w:rsidRPr="006610DD" w:rsidRDefault="006610DD" w:rsidP="006610DD">
            <w:pPr>
              <w:pStyle w:val="Source"/>
              <w:rPr>
                <w:sz w:val="2"/>
                <w:szCs w:val="2"/>
              </w:rPr>
            </w:pPr>
            <w:r w:rsidRPr="006610DD">
              <w:rPr>
                <w:sz w:val="2"/>
                <w:szCs w:val="2"/>
              </w:rPr>
              <w:t>0.3432</w:t>
            </w:r>
          </w:p>
        </w:tc>
        <w:tc>
          <w:tcPr>
            <w:tcW w:w="654" w:type="dxa"/>
            <w:noWrap/>
            <w:hideMark/>
          </w:tcPr>
          <w:p w14:paraId="5ADB35FD" w14:textId="77777777" w:rsidR="006610DD" w:rsidRPr="006610DD" w:rsidRDefault="006610DD" w:rsidP="006610DD">
            <w:pPr>
              <w:pStyle w:val="Source"/>
              <w:rPr>
                <w:sz w:val="2"/>
                <w:szCs w:val="2"/>
              </w:rPr>
            </w:pPr>
            <w:r w:rsidRPr="006610DD">
              <w:rPr>
                <w:sz w:val="2"/>
                <w:szCs w:val="2"/>
              </w:rPr>
              <w:t>0.4149</w:t>
            </w:r>
          </w:p>
        </w:tc>
        <w:tc>
          <w:tcPr>
            <w:tcW w:w="278" w:type="dxa"/>
            <w:noWrap/>
            <w:hideMark/>
          </w:tcPr>
          <w:p w14:paraId="26B30952" w14:textId="77777777" w:rsidR="006610DD" w:rsidRPr="006610DD" w:rsidRDefault="006610DD" w:rsidP="006610DD">
            <w:pPr>
              <w:pStyle w:val="Source"/>
              <w:rPr>
                <w:sz w:val="2"/>
                <w:szCs w:val="2"/>
              </w:rPr>
            </w:pPr>
            <w:r w:rsidRPr="006610DD">
              <w:rPr>
                <w:sz w:val="2"/>
                <w:szCs w:val="2"/>
              </w:rPr>
              <w:t>0.4257</w:t>
            </w:r>
          </w:p>
        </w:tc>
      </w:tr>
      <w:tr w:rsidR="006610DD" w:rsidRPr="006610DD" w14:paraId="3CE035AF" w14:textId="77777777" w:rsidTr="006610DD">
        <w:trPr>
          <w:trHeight w:val="300"/>
          <w:jc w:val="center"/>
        </w:trPr>
        <w:tc>
          <w:tcPr>
            <w:tcW w:w="1747" w:type="dxa"/>
            <w:noWrap/>
            <w:hideMark/>
          </w:tcPr>
          <w:p w14:paraId="74EC42F4" w14:textId="77777777" w:rsidR="006610DD" w:rsidRPr="006610DD" w:rsidRDefault="006610DD" w:rsidP="006610DD">
            <w:pPr>
              <w:pStyle w:val="Source"/>
              <w:rPr>
                <w:sz w:val="2"/>
                <w:szCs w:val="2"/>
              </w:rPr>
            </w:pPr>
          </w:p>
        </w:tc>
        <w:tc>
          <w:tcPr>
            <w:tcW w:w="1394" w:type="dxa"/>
            <w:noWrap/>
            <w:hideMark/>
          </w:tcPr>
          <w:p w14:paraId="26D16FB9" w14:textId="77777777" w:rsidR="006610DD" w:rsidRPr="006610DD" w:rsidRDefault="006610DD" w:rsidP="006610DD">
            <w:pPr>
              <w:pStyle w:val="Source"/>
              <w:rPr>
                <w:sz w:val="2"/>
                <w:szCs w:val="2"/>
              </w:rPr>
            </w:pPr>
            <w:r w:rsidRPr="006610DD">
              <w:rPr>
                <w:sz w:val="2"/>
                <w:szCs w:val="2"/>
              </w:rPr>
              <w:t>Physical environment</w:t>
            </w:r>
          </w:p>
        </w:tc>
        <w:tc>
          <w:tcPr>
            <w:tcW w:w="653" w:type="dxa"/>
            <w:noWrap/>
            <w:hideMark/>
          </w:tcPr>
          <w:p w14:paraId="4BB7C108" w14:textId="77777777" w:rsidR="006610DD" w:rsidRPr="006610DD" w:rsidRDefault="006610DD" w:rsidP="006610DD">
            <w:pPr>
              <w:pStyle w:val="Source"/>
              <w:rPr>
                <w:sz w:val="2"/>
                <w:szCs w:val="2"/>
              </w:rPr>
            </w:pPr>
            <w:r w:rsidRPr="006610DD">
              <w:rPr>
                <w:sz w:val="2"/>
                <w:szCs w:val="2"/>
              </w:rPr>
              <w:t>0.0545</w:t>
            </w:r>
          </w:p>
        </w:tc>
        <w:tc>
          <w:tcPr>
            <w:tcW w:w="654" w:type="dxa"/>
            <w:noWrap/>
            <w:hideMark/>
          </w:tcPr>
          <w:p w14:paraId="63752BEB" w14:textId="77777777" w:rsidR="006610DD" w:rsidRPr="006610DD" w:rsidRDefault="006610DD" w:rsidP="006610DD">
            <w:pPr>
              <w:pStyle w:val="Source"/>
              <w:rPr>
                <w:sz w:val="2"/>
                <w:szCs w:val="2"/>
              </w:rPr>
            </w:pPr>
            <w:r w:rsidRPr="006610DD">
              <w:rPr>
                <w:sz w:val="2"/>
                <w:szCs w:val="2"/>
              </w:rPr>
              <w:t>0.0649</w:t>
            </w:r>
          </w:p>
        </w:tc>
        <w:tc>
          <w:tcPr>
            <w:tcW w:w="654" w:type="dxa"/>
            <w:noWrap/>
            <w:hideMark/>
          </w:tcPr>
          <w:p w14:paraId="2122B24F" w14:textId="77777777" w:rsidR="006610DD" w:rsidRPr="006610DD" w:rsidRDefault="006610DD" w:rsidP="006610DD">
            <w:pPr>
              <w:pStyle w:val="Source"/>
              <w:rPr>
                <w:sz w:val="2"/>
                <w:szCs w:val="2"/>
              </w:rPr>
            </w:pPr>
            <w:r w:rsidRPr="006610DD">
              <w:rPr>
                <w:sz w:val="2"/>
                <w:szCs w:val="2"/>
              </w:rPr>
              <w:t>0.0743</w:t>
            </w:r>
          </w:p>
        </w:tc>
        <w:tc>
          <w:tcPr>
            <w:tcW w:w="654" w:type="dxa"/>
            <w:noWrap/>
            <w:hideMark/>
          </w:tcPr>
          <w:p w14:paraId="4B1F55AB" w14:textId="77777777" w:rsidR="006610DD" w:rsidRPr="006610DD" w:rsidRDefault="006610DD" w:rsidP="006610DD">
            <w:pPr>
              <w:pStyle w:val="Source"/>
              <w:rPr>
                <w:sz w:val="2"/>
                <w:szCs w:val="2"/>
              </w:rPr>
            </w:pPr>
            <w:r w:rsidRPr="006610DD">
              <w:rPr>
                <w:sz w:val="2"/>
                <w:szCs w:val="2"/>
              </w:rPr>
              <w:t>0.0687</w:t>
            </w:r>
          </w:p>
        </w:tc>
        <w:tc>
          <w:tcPr>
            <w:tcW w:w="654" w:type="dxa"/>
            <w:noWrap/>
            <w:hideMark/>
          </w:tcPr>
          <w:p w14:paraId="0C265A37" w14:textId="77777777" w:rsidR="006610DD" w:rsidRPr="006610DD" w:rsidRDefault="006610DD" w:rsidP="006610DD">
            <w:pPr>
              <w:pStyle w:val="Source"/>
              <w:rPr>
                <w:sz w:val="2"/>
                <w:szCs w:val="2"/>
              </w:rPr>
            </w:pPr>
            <w:r w:rsidRPr="006610DD">
              <w:rPr>
                <w:sz w:val="2"/>
                <w:szCs w:val="2"/>
              </w:rPr>
              <w:t>0.0732</w:t>
            </w:r>
          </w:p>
        </w:tc>
        <w:tc>
          <w:tcPr>
            <w:tcW w:w="654" w:type="dxa"/>
            <w:noWrap/>
            <w:hideMark/>
          </w:tcPr>
          <w:p w14:paraId="365FA255" w14:textId="77777777" w:rsidR="006610DD" w:rsidRPr="006610DD" w:rsidRDefault="006610DD" w:rsidP="006610DD">
            <w:pPr>
              <w:pStyle w:val="Source"/>
              <w:rPr>
                <w:sz w:val="2"/>
                <w:szCs w:val="2"/>
              </w:rPr>
            </w:pPr>
            <w:r w:rsidRPr="006610DD">
              <w:rPr>
                <w:sz w:val="2"/>
                <w:szCs w:val="2"/>
              </w:rPr>
              <w:t>0.0658</w:t>
            </w:r>
          </w:p>
        </w:tc>
        <w:tc>
          <w:tcPr>
            <w:tcW w:w="654" w:type="dxa"/>
            <w:noWrap/>
            <w:hideMark/>
          </w:tcPr>
          <w:p w14:paraId="0DE3731E" w14:textId="77777777" w:rsidR="006610DD" w:rsidRPr="006610DD" w:rsidRDefault="006610DD" w:rsidP="006610DD">
            <w:pPr>
              <w:pStyle w:val="Source"/>
              <w:rPr>
                <w:sz w:val="2"/>
                <w:szCs w:val="2"/>
              </w:rPr>
            </w:pPr>
            <w:r w:rsidRPr="006610DD">
              <w:rPr>
                <w:sz w:val="2"/>
                <w:szCs w:val="2"/>
              </w:rPr>
              <w:t>0.0744</w:t>
            </w:r>
          </w:p>
        </w:tc>
        <w:tc>
          <w:tcPr>
            <w:tcW w:w="654" w:type="dxa"/>
            <w:noWrap/>
            <w:hideMark/>
          </w:tcPr>
          <w:p w14:paraId="69C41060" w14:textId="77777777" w:rsidR="006610DD" w:rsidRPr="006610DD" w:rsidRDefault="006610DD" w:rsidP="006610DD">
            <w:pPr>
              <w:pStyle w:val="Source"/>
              <w:rPr>
                <w:sz w:val="2"/>
                <w:szCs w:val="2"/>
              </w:rPr>
            </w:pPr>
            <w:r w:rsidRPr="006610DD">
              <w:rPr>
                <w:sz w:val="2"/>
                <w:szCs w:val="2"/>
              </w:rPr>
              <w:t>0.0749</w:t>
            </w:r>
          </w:p>
        </w:tc>
        <w:tc>
          <w:tcPr>
            <w:tcW w:w="278" w:type="dxa"/>
            <w:noWrap/>
            <w:hideMark/>
          </w:tcPr>
          <w:p w14:paraId="21B521D9" w14:textId="77777777" w:rsidR="006610DD" w:rsidRPr="006610DD" w:rsidRDefault="006610DD" w:rsidP="006610DD">
            <w:pPr>
              <w:pStyle w:val="Source"/>
              <w:rPr>
                <w:sz w:val="2"/>
                <w:szCs w:val="2"/>
              </w:rPr>
            </w:pPr>
            <w:r w:rsidRPr="006610DD">
              <w:rPr>
                <w:sz w:val="2"/>
                <w:szCs w:val="2"/>
              </w:rPr>
              <w:t>0.0752</w:t>
            </w:r>
          </w:p>
        </w:tc>
      </w:tr>
      <w:tr w:rsidR="006610DD" w:rsidRPr="006610DD" w14:paraId="06BA8A8F" w14:textId="77777777" w:rsidTr="006610DD">
        <w:trPr>
          <w:trHeight w:val="300"/>
          <w:jc w:val="center"/>
        </w:trPr>
        <w:tc>
          <w:tcPr>
            <w:tcW w:w="1747" w:type="dxa"/>
            <w:noWrap/>
            <w:hideMark/>
          </w:tcPr>
          <w:p w14:paraId="007848BB" w14:textId="77777777" w:rsidR="006610DD" w:rsidRPr="006610DD" w:rsidRDefault="006610DD" w:rsidP="006610DD">
            <w:pPr>
              <w:pStyle w:val="Source"/>
              <w:rPr>
                <w:sz w:val="2"/>
                <w:szCs w:val="2"/>
              </w:rPr>
            </w:pPr>
          </w:p>
        </w:tc>
        <w:tc>
          <w:tcPr>
            <w:tcW w:w="1394" w:type="dxa"/>
            <w:noWrap/>
            <w:hideMark/>
          </w:tcPr>
          <w:p w14:paraId="218ACC5B" w14:textId="77777777" w:rsidR="006610DD" w:rsidRPr="006610DD" w:rsidRDefault="006610DD" w:rsidP="006610DD">
            <w:pPr>
              <w:pStyle w:val="Source"/>
              <w:rPr>
                <w:sz w:val="2"/>
                <w:szCs w:val="2"/>
              </w:rPr>
            </w:pPr>
          </w:p>
        </w:tc>
        <w:tc>
          <w:tcPr>
            <w:tcW w:w="653" w:type="dxa"/>
            <w:noWrap/>
            <w:hideMark/>
          </w:tcPr>
          <w:p w14:paraId="64CE8F28" w14:textId="77777777" w:rsidR="006610DD" w:rsidRPr="006610DD" w:rsidRDefault="006610DD" w:rsidP="006610DD">
            <w:pPr>
              <w:pStyle w:val="Source"/>
              <w:rPr>
                <w:b/>
                <w:bCs/>
                <w:sz w:val="2"/>
                <w:szCs w:val="2"/>
              </w:rPr>
            </w:pPr>
            <w:r w:rsidRPr="006610DD">
              <w:rPr>
                <w:b/>
                <w:bCs/>
                <w:sz w:val="2"/>
                <w:szCs w:val="2"/>
              </w:rPr>
              <w:t>2015</w:t>
            </w:r>
          </w:p>
        </w:tc>
        <w:tc>
          <w:tcPr>
            <w:tcW w:w="654" w:type="dxa"/>
            <w:noWrap/>
            <w:hideMark/>
          </w:tcPr>
          <w:p w14:paraId="6356DD8A" w14:textId="77777777" w:rsidR="006610DD" w:rsidRPr="006610DD" w:rsidRDefault="006610DD" w:rsidP="006610DD">
            <w:pPr>
              <w:pStyle w:val="Source"/>
              <w:rPr>
                <w:b/>
                <w:bCs/>
                <w:sz w:val="2"/>
                <w:szCs w:val="2"/>
              </w:rPr>
            </w:pPr>
            <w:r w:rsidRPr="006610DD">
              <w:rPr>
                <w:b/>
                <w:bCs/>
                <w:sz w:val="2"/>
                <w:szCs w:val="2"/>
              </w:rPr>
              <w:t>2016</w:t>
            </w:r>
          </w:p>
        </w:tc>
        <w:tc>
          <w:tcPr>
            <w:tcW w:w="654" w:type="dxa"/>
            <w:noWrap/>
            <w:hideMark/>
          </w:tcPr>
          <w:p w14:paraId="167DDDCA" w14:textId="77777777" w:rsidR="006610DD" w:rsidRPr="006610DD" w:rsidRDefault="006610DD" w:rsidP="006610DD">
            <w:pPr>
              <w:pStyle w:val="Source"/>
              <w:rPr>
                <w:b/>
                <w:bCs/>
                <w:sz w:val="2"/>
                <w:szCs w:val="2"/>
              </w:rPr>
            </w:pPr>
            <w:r w:rsidRPr="006610DD">
              <w:rPr>
                <w:b/>
                <w:bCs/>
                <w:sz w:val="2"/>
                <w:szCs w:val="2"/>
              </w:rPr>
              <w:t>2017</w:t>
            </w:r>
          </w:p>
        </w:tc>
        <w:tc>
          <w:tcPr>
            <w:tcW w:w="654" w:type="dxa"/>
            <w:noWrap/>
            <w:hideMark/>
          </w:tcPr>
          <w:p w14:paraId="75B23C03" w14:textId="77777777" w:rsidR="006610DD" w:rsidRPr="006610DD" w:rsidRDefault="006610DD" w:rsidP="006610DD">
            <w:pPr>
              <w:pStyle w:val="Source"/>
              <w:rPr>
                <w:b/>
                <w:bCs/>
                <w:sz w:val="2"/>
                <w:szCs w:val="2"/>
              </w:rPr>
            </w:pPr>
            <w:r w:rsidRPr="006610DD">
              <w:rPr>
                <w:b/>
                <w:bCs/>
                <w:sz w:val="2"/>
                <w:szCs w:val="2"/>
              </w:rPr>
              <w:t>2018</w:t>
            </w:r>
          </w:p>
        </w:tc>
        <w:tc>
          <w:tcPr>
            <w:tcW w:w="654" w:type="dxa"/>
            <w:noWrap/>
            <w:hideMark/>
          </w:tcPr>
          <w:p w14:paraId="51B530AE" w14:textId="77777777" w:rsidR="006610DD" w:rsidRPr="006610DD" w:rsidRDefault="006610DD" w:rsidP="006610DD">
            <w:pPr>
              <w:pStyle w:val="Source"/>
              <w:rPr>
                <w:b/>
                <w:bCs/>
                <w:sz w:val="2"/>
                <w:szCs w:val="2"/>
              </w:rPr>
            </w:pPr>
            <w:r w:rsidRPr="006610DD">
              <w:rPr>
                <w:b/>
                <w:bCs/>
                <w:sz w:val="2"/>
                <w:szCs w:val="2"/>
              </w:rPr>
              <w:t>2019</w:t>
            </w:r>
          </w:p>
        </w:tc>
        <w:tc>
          <w:tcPr>
            <w:tcW w:w="654" w:type="dxa"/>
            <w:noWrap/>
            <w:hideMark/>
          </w:tcPr>
          <w:p w14:paraId="2F196B23" w14:textId="77777777" w:rsidR="006610DD" w:rsidRPr="006610DD" w:rsidRDefault="006610DD" w:rsidP="006610DD">
            <w:pPr>
              <w:pStyle w:val="Source"/>
              <w:rPr>
                <w:b/>
                <w:bCs/>
                <w:sz w:val="2"/>
                <w:szCs w:val="2"/>
              </w:rPr>
            </w:pPr>
            <w:r w:rsidRPr="006610DD">
              <w:rPr>
                <w:b/>
                <w:bCs/>
                <w:sz w:val="2"/>
                <w:szCs w:val="2"/>
              </w:rPr>
              <w:t>2020</w:t>
            </w:r>
          </w:p>
        </w:tc>
        <w:tc>
          <w:tcPr>
            <w:tcW w:w="654" w:type="dxa"/>
            <w:noWrap/>
            <w:hideMark/>
          </w:tcPr>
          <w:p w14:paraId="7D2FF514" w14:textId="77777777" w:rsidR="006610DD" w:rsidRPr="006610DD" w:rsidRDefault="006610DD" w:rsidP="006610DD">
            <w:pPr>
              <w:pStyle w:val="Source"/>
              <w:rPr>
                <w:b/>
                <w:bCs/>
                <w:sz w:val="2"/>
                <w:szCs w:val="2"/>
              </w:rPr>
            </w:pPr>
            <w:r w:rsidRPr="006610DD">
              <w:rPr>
                <w:b/>
                <w:bCs/>
                <w:sz w:val="2"/>
                <w:szCs w:val="2"/>
              </w:rPr>
              <w:t>2021</w:t>
            </w:r>
          </w:p>
        </w:tc>
        <w:tc>
          <w:tcPr>
            <w:tcW w:w="654" w:type="dxa"/>
            <w:noWrap/>
            <w:hideMark/>
          </w:tcPr>
          <w:p w14:paraId="33D9F887" w14:textId="77777777" w:rsidR="006610DD" w:rsidRPr="006610DD" w:rsidRDefault="006610DD" w:rsidP="006610DD">
            <w:pPr>
              <w:pStyle w:val="Source"/>
              <w:rPr>
                <w:b/>
                <w:bCs/>
                <w:sz w:val="2"/>
                <w:szCs w:val="2"/>
              </w:rPr>
            </w:pPr>
            <w:r w:rsidRPr="006610DD">
              <w:rPr>
                <w:b/>
                <w:bCs/>
                <w:sz w:val="2"/>
                <w:szCs w:val="2"/>
              </w:rPr>
              <w:t>2022</w:t>
            </w:r>
          </w:p>
        </w:tc>
        <w:tc>
          <w:tcPr>
            <w:tcW w:w="278" w:type="dxa"/>
            <w:noWrap/>
            <w:hideMark/>
          </w:tcPr>
          <w:p w14:paraId="4C201B0C" w14:textId="77777777" w:rsidR="006610DD" w:rsidRPr="006610DD" w:rsidRDefault="006610DD" w:rsidP="006610DD">
            <w:pPr>
              <w:pStyle w:val="Source"/>
              <w:rPr>
                <w:b/>
                <w:bCs/>
                <w:sz w:val="2"/>
                <w:szCs w:val="2"/>
              </w:rPr>
            </w:pPr>
            <w:r w:rsidRPr="006610DD">
              <w:rPr>
                <w:b/>
                <w:bCs/>
                <w:sz w:val="2"/>
                <w:szCs w:val="2"/>
              </w:rPr>
              <w:t>2023</w:t>
            </w:r>
          </w:p>
        </w:tc>
      </w:tr>
      <w:tr w:rsidR="006610DD" w:rsidRPr="006610DD" w14:paraId="384A5291" w14:textId="77777777" w:rsidTr="006610DD">
        <w:trPr>
          <w:trHeight w:val="300"/>
          <w:jc w:val="center"/>
        </w:trPr>
        <w:tc>
          <w:tcPr>
            <w:tcW w:w="1747" w:type="dxa"/>
            <w:noWrap/>
            <w:hideMark/>
          </w:tcPr>
          <w:p w14:paraId="3D623257" w14:textId="77777777" w:rsidR="006610DD" w:rsidRPr="006610DD" w:rsidRDefault="006610DD" w:rsidP="006610DD">
            <w:pPr>
              <w:pStyle w:val="Source"/>
              <w:rPr>
                <w:b/>
                <w:bCs/>
                <w:sz w:val="2"/>
                <w:szCs w:val="2"/>
              </w:rPr>
            </w:pPr>
            <w:r w:rsidRPr="006610DD">
              <w:rPr>
                <w:b/>
                <w:bCs/>
                <w:sz w:val="2"/>
                <w:szCs w:val="2"/>
              </w:rPr>
              <w:t>Out of School Hours Care</w:t>
            </w:r>
          </w:p>
        </w:tc>
        <w:tc>
          <w:tcPr>
            <w:tcW w:w="1394" w:type="dxa"/>
            <w:noWrap/>
            <w:hideMark/>
          </w:tcPr>
          <w:p w14:paraId="7B321BC1" w14:textId="77777777" w:rsidR="006610DD" w:rsidRPr="006610DD" w:rsidRDefault="006610DD" w:rsidP="006610DD">
            <w:pPr>
              <w:pStyle w:val="Source"/>
              <w:rPr>
                <w:sz w:val="2"/>
                <w:szCs w:val="2"/>
              </w:rPr>
            </w:pPr>
            <w:r w:rsidRPr="006610DD">
              <w:rPr>
                <w:sz w:val="2"/>
                <w:szCs w:val="2"/>
              </w:rPr>
              <w:t>Ratio</w:t>
            </w:r>
          </w:p>
        </w:tc>
        <w:tc>
          <w:tcPr>
            <w:tcW w:w="653" w:type="dxa"/>
            <w:noWrap/>
            <w:hideMark/>
          </w:tcPr>
          <w:p w14:paraId="4C5FA762" w14:textId="77777777" w:rsidR="006610DD" w:rsidRPr="006610DD" w:rsidRDefault="006610DD" w:rsidP="006610DD">
            <w:pPr>
              <w:pStyle w:val="Source"/>
              <w:rPr>
                <w:sz w:val="2"/>
                <w:szCs w:val="2"/>
              </w:rPr>
            </w:pPr>
            <w:r w:rsidRPr="006610DD">
              <w:rPr>
                <w:sz w:val="2"/>
                <w:szCs w:val="2"/>
              </w:rPr>
              <w:t>0.0007</w:t>
            </w:r>
          </w:p>
        </w:tc>
        <w:tc>
          <w:tcPr>
            <w:tcW w:w="654" w:type="dxa"/>
            <w:noWrap/>
            <w:hideMark/>
          </w:tcPr>
          <w:p w14:paraId="0CA54694" w14:textId="77777777" w:rsidR="006610DD" w:rsidRPr="006610DD" w:rsidRDefault="006610DD" w:rsidP="006610DD">
            <w:pPr>
              <w:pStyle w:val="Source"/>
              <w:rPr>
                <w:sz w:val="2"/>
                <w:szCs w:val="2"/>
              </w:rPr>
            </w:pPr>
            <w:r w:rsidRPr="006610DD">
              <w:rPr>
                <w:sz w:val="2"/>
                <w:szCs w:val="2"/>
              </w:rPr>
              <w:t>0.0009</w:t>
            </w:r>
          </w:p>
        </w:tc>
        <w:tc>
          <w:tcPr>
            <w:tcW w:w="654" w:type="dxa"/>
            <w:noWrap/>
            <w:hideMark/>
          </w:tcPr>
          <w:p w14:paraId="3B91456D" w14:textId="77777777" w:rsidR="006610DD" w:rsidRPr="006610DD" w:rsidRDefault="006610DD" w:rsidP="006610DD">
            <w:pPr>
              <w:pStyle w:val="Source"/>
              <w:rPr>
                <w:sz w:val="2"/>
                <w:szCs w:val="2"/>
              </w:rPr>
            </w:pPr>
            <w:r w:rsidRPr="006610DD">
              <w:rPr>
                <w:sz w:val="2"/>
                <w:szCs w:val="2"/>
              </w:rPr>
              <w:t>0.0007</w:t>
            </w:r>
          </w:p>
        </w:tc>
        <w:tc>
          <w:tcPr>
            <w:tcW w:w="654" w:type="dxa"/>
            <w:noWrap/>
            <w:hideMark/>
          </w:tcPr>
          <w:p w14:paraId="4F214023" w14:textId="77777777" w:rsidR="006610DD" w:rsidRPr="006610DD" w:rsidRDefault="006610DD" w:rsidP="006610DD">
            <w:pPr>
              <w:pStyle w:val="Source"/>
              <w:rPr>
                <w:sz w:val="2"/>
                <w:szCs w:val="2"/>
              </w:rPr>
            </w:pPr>
            <w:r w:rsidRPr="006610DD">
              <w:rPr>
                <w:sz w:val="2"/>
                <w:szCs w:val="2"/>
              </w:rPr>
              <w:t>0.0017</w:t>
            </w:r>
          </w:p>
        </w:tc>
        <w:tc>
          <w:tcPr>
            <w:tcW w:w="654" w:type="dxa"/>
            <w:noWrap/>
            <w:hideMark/>
          </w:tcPr>
          <w:p w14:paraId="49A65AE0" w14:textId="77777777" w:rsidR="006610DD" w:rsidRPr="006610DD" w:rsidRDefault="006610DD" w:rsidP="006610DD">
            <w:pPr>
              <w:pStyle w:val="Source"/>
              <w:rPr>
                <w:sz w:val="2"/>
                <w:szCs w:val="2"/>
              </w:rPr>
            </w:pPr>
            <w:r w:rsidRPr="006610DD">
              <w:rPr>
                <w:sz w:val="2"/>
                <w:szCs w:val="2"/>
              </w:rPr>
              <w:t>0.0061</w:t>
            </w:r>
          </w:p>
        </w:tc>
        <w:tc>
          <w:tcPr>
            <w:tcW w:w="654" w:type="dxa"/>
            <w:noWrap/>
            <w:hideMark/>
          </w:tcPr>
          <w:p w14:paraId="0DF92D41" w14:textId="77777777" w:rsidR="006610DD" w:rsidRPr="006610DD" w:rsidRDefault="006610DD" w:rsidP="006610DD">
            <w:pPr>
              <w:pStyle w:val="Source"/>
              <w:rPr>
                <w:sz w:val="2"/>
                <w:szCs w:val="2"/>
              </w:rPr>
            </w:pPr>
            <w:r w:rsidRPr="006610DD">
              <w:rPr>
                <w:sz w:val="2"/>
                <w:szCs w:val="2"/>
              </w:rPr>
              <w:t>0.0052</w:t>
            </w:r>
          </w:p>
        </w:tc>
        <w:tc>
          <w:tcPr>
            <w:tcW w:w="654" w:type="dxa"/>
            <w:noWrap/>
            <w:hideMark/>
          </w:tcPr>
          <w:p w14:paraId="2B49BCFA" w14:textId="77777777" w:rsidR="006610DD" w:rsidRPr="006610DD" w:rsidRDefault="006610DD" w:rsidP="006610DD">
            <w:pPr>
              <w:pStyle w:val="Source"/>
              <w:rPr>
                <w:sz w:val="2"/>
                <w:szCs w:val="2"/>
              </w:rPr>
            </w:pPr>
            <w:r w:rsidRPr="006610DD">
              <w:rPr>
                <w:sz w:val="2"/>
                <w:szCs w:val="2"/>
              </w:rPr>
              <w:t>0.009</w:t>
            </w:r>
          </w:p>
        </w:tc>
        <w:tc>
          <w:tcPr>
            <w:tcW w:w="654" w:type="dxa"/>
            <w:noWrap/>
            <w:hideMark/>
          </w:tcPr>
          <w:p w14:paraId="46E39CA9" w14:textId="77777777" w:rsidR="006610DD" w:rsidRPr="006610DD" w:rsidRDefault="006610DD" w:rsidP="006610DD">
            <w:pPr>
              <w:pStyle w:val="Source"/>
              <w:rPr>
                <w:sz w:val="2"/>
                <w:szCs w:val="2"/>
              </w:rPr>
            </w:pPr>
            <w:r w:rsidRPr="006610DD">
              <w:rPr>
                <w:sz w:val="2"/>
                <w:szCs w:val="2"/>
              </w:rPr>
              <w:t>0.0103</w:t>
            </w:r>
          </w:p>
        </w:tc>
        <w:tc>
          <w:tcPr>
            <w:tcW w:w="278" w:type="dxa"/>
            <w:noWrap/>
            <w:hideMark/>
          </w:tcPr>
          <w:p w14:paraId="24FDD111" w14:textId="77777777" w:rsidR="006610DD" w:rsidRPr="006610DD" w:rsidRDefault="006610DD" w:rsidP="006610DD">
            <w:pPr>
              <w:pStyle w:val="Source"/>
              <w:rPr>
                <w:sz w:val="2"/>
                <w:szCs w:val="2"/>
              </w:rPr>
            </w:pPr>
            <w:r w:rsidRPr="006610DD">
              <w:rPr>
                <w:sz w:val="2"/>
                <w:szCs w:val="2"/>
              </w:rPr>
              <w:t>0.0079</w:t>
            </w:r>
          </w:p>
        </w:tc>
      </w:tr>
      <w:tr w:rsidR="006610DD" w:rsidRPr="006610DD" w14:paraId="46CCBAFD" w14:textId="77777777" w:rsidTr="006610DD">
        <w:trPr>
          <w:trHeight w:val="300"/>
          <w:jc w:val="center"/>
        </w:trPr>
        <w:tc>
          <w:tcPr>
            <w:tcW w:w="1747" w:type="dxa"/>
            <w:noWrap/>
            <w:hideMark/>
          </w:tcPr>
          <w:p w14:paraId="164E52E7" w14:textId="77777777" w:rsidR="006610DD" w:rsidRPr="006610DD" w:rsidRDefault="006610DD" w:rsidP="006610DD">
            <w:pPr>
              <w:pStyle w:val="Source"/>
              <w:rPr>
                <w:sz w:val="2"/>
                <w:szCs w:val="2"/>
              </w:rPr>
            </w:pPr>
          </w:p>
        </w:tc>
        <w:tc>
          <w:tcPr>
            <w:tcW w:w="1394" w:type="dxa"/>
            <w:noWrap/>
            <w:hideMark/>
          </w:tcPr>
          <w:p w14:paraId="55CF33AB" w14:textId="77777777" w:rsidR="006610DD" w:rsidRPr="006610DD" w:rsidRDefault="006610DD" w:rsidP="006610DD">
            <w:pPr>
              <w:pStyle w:val="Source"/>
              <w:rPr>
                <w:sz w:val="2"/>
                <w:szCs w:val="2"/>
              </w:rPr>
            </w:pPr>
            <w:r w:rsidRPr="006610DD">
              <w:rPr>
                <w:sz w:val="2"/>
                <w:szCs w:val="2"/>
              </w:rPr>
              <w:t>Qualification</w:t>
            </w:r>
          </w:p>
        </w:tc>
        <w:tc>
          <w:tcPr>
            <w:tcW w:w="653" w:type="dxa"/>
            <w:noWrap/>
            <w:hideMark/>
          </w:tcPr>
          <w:p w14:paraId="08FE1977" w14:textId="77777777" w:rsidR="006610DD" w:rsidRPr="006610DD" w:rsidRDefault="006610DD" w:rsidP="006610DD">
            <w:pPr>
              <w:pStyle w:val="Source"/>
              <w:rPr>
                <w:sz w:val="2"/>
                <w:szCs w:val="2"/>
              </w:rPr>
            </w:pPr>
            <w:r w:rsidRPr="006610DD">
              <w:rPr>
                <w:sz w:val="2"/>
                <w:szCs w:val="2"/>
              </w:rPr>
              <w:t>0.0369</w:t>
            </w:r>
          </w:p>
        </w:tc>
        <w:tc>
          <w:tcPr>
            <w:tcW w:w="654" w:type="dxa"/>
            <w:noWrap/>
            <w:hideMark/>
          </w:tcPr>
          <w:p w14:paraId="1723A4C1" w14:textId="77777777" w:rsidR="006610DD" w:rsidRPr="006610DD" w:rsidRDefault="006610DD" w:rsidP="006610DD">
            <w:pPr>
              <w:pStyle w:val="Source"/>
              <w:rPr>
                <w:sz w:val="2"/>
                <w:szCs w:val="2"/>
              </w:rPr>
            </w:pPr>
            <w:r w:rsidRPr="006610DD">
              <w:rPr>
                <w:sz w:val="2"/>
                <w:szCs w:val="2"/>
              </w:rPr>
              <w:t>0.025</w:t>
            </w:r>
          </w:p>
        </w:tc>
        <w:tc>
          <w:tcPr>
            <w:tcW w:w="654" w:type="dxa"/>
            <w:noWrap/>
            <w:hideMark/>
          </w:tcPr>
          <w:p w14:paraId="4D742E45" w14:textId="77777777" w:rsidR="006610DD" w:rsidRPr="006610DD" w:rsidRDefault="006610DD" w:rsidP="006610DD">
            <w:pPr>
              <w:pStyle w:val="Source"/>
              <w:rPr>
                <w:sz w:val="2"/>
                <w:szCs w:val="2"/>
              </w:rPr>
            </w:pPr>
            <w:r w:rsidRPr="006610DD">
              <w:rPr>
                <w:sz w:val="2"/>
                <w:szCs w:val="2"/>
              </w:rPr>
              <w:t>0.0198</w:t>
            </w:r>
          </w:p>
        </w:tc>
        <w:tc>
          <w:tcPr>
            <w:tcW w:w="654" w:type="dxa"/>
            <w:noWrap/>
            <w:hideMark/>
          </w:tcPr>
          <w:p w14:paraId="7D1FE2B5" w14:textId="77777777" w:rsidR="006610DD" w:rsidRPr="006610DD" w:rsidRDefault="006610DD" w:rsidP="006610DD">
            <w:pPr>
              <w:pStyle w:val="Source"/>
              <w:rPr>
                <w:sz w:val="2"/>
                <w:szCs w:val="2"/>
              </w:rPr>
            </w:pPr>
            <w:r w:rsidRPr="006610DD">
              <w:rPr>
                <w:sz w:val="2"/>
                <w:szCs w:val="2"/>
              </w:rPr>
              <w:t>0.017</w:t>
            </w:r>
          </w:p>
        </w:tc>
        <w:tc>
          <w:tcPr>
            <w:tcW w:w="654" w:type="dxa"/>
            <w:noWrap/>
            <w:hideMark/>
          </w:tcPr>
          <w:p w14:paraId="4B492B32" w14:textId="77777777" w:rsidR="006610DD" w:rsidRPr="006610DD" w:rsidRDefault="006610DD" w:rsidP="006610DD">
            <w:pPr>
              <w:pStyle w:val="Source"/>
              <w:rPr>
                <w:sz w:val="2"/>
                <w:szCs w:val="2"/>
              </w:rPr>
            </w:pPr>
            <w:r w:rsidRPr="006610DD">
              <w:rPr>
                <w:sz w:val="2"/>
                <w:szCs w:val="2"/>
              </w:rPr>
              <w:t>0.0171</w:t>
            </w:r>
          </w:p>
        </w:tc>
        <w:tc>
          <w:tcPr>
            <w:tcW w:w="654" w:type="dxa"/>
            <w:noWrap/>
            <w:hideMark/>
          </w:tcPr>
          <w:p w14:paraId="510AF74D" w14:textId="77777777" w:rsidR="006610DD" w:rsidRPr="006610DD" w:rsidRDefault="006610DD" w:rsidP="006610DD">
            <w:pPr>
              <w:pStyle w:val="Source"/>
              <w:rPr>
                <w:sz w:val="2"/>
                <w:szCs w:val="2"/>
              </w:rPr>
            </w:pPr>
            <w:r w:rsidRPr="006610DD">
              <w:rPr>
                <w:sz w:val="2"/>
                <w:szCs w:val="2"/>
              </w:rPr>
              <w:t>0.0248</w:t>
            </w:r>
          </w:p>
        </w:tc>
        <w:tc>
          <w:tcPr>
            <w:tcW w:w="654" w:type="dxa"/>
            <w:noWrap/>
            <w:hideMark/>
          </w:tcPr>
          <w:p w14:paraId="2CBE3285" w14:textId="77777777" w:rsidR="006610DD" w:rsidRPr="006610DD" w:rsidRDefault="006610DD" w:rsidP="006610DD">
            <w:pPr>
              <w:pStyle w:val="Source"/>
              <w:rPr>
                <w:sz w:val="2"/>
                <w:szCs w:val="2"/>
              </w:rPr>
            </w:pPr>
            <w:r w:rsidRPr="006610DD">
              <w:rPr>
                <w:sz w:val="2"/>
                <w:szCs w:val="2"/>
              </w:rPr>
              <w:t>0.0332</w:t>
            </w:r>
          </w:p>
        </w:tc>
        <w:tc>
          <w:tcPr>
            <w:tcW w:w="654" w:type="dxa"/>
            <w:noWrap/>
            <w:hideMark/>
          </w:tcPr>
          <w:p w14:paraId="17A4E139" w14:textId="77777777" w:rsidR="006610DD" w:rsidRPr="006610DD" w:rsidRDefault="006610DD" w:rsidP="006610DD">
            <w:pPr>
              <w:pStyle w:val="Source"/>
              <w:rPr>
                <w:sz w:val="2"/>
                <w:szCs w:val="2"/>
              </w:rPr>
            </w:pPr>
            <w:r w:rsidRPr="006610DD">
              <w:rPr>
                <w:sz w:val="2"/>
                <w:szCs w:val="2"/>
              </w:rPr>
              <w:t>0.0725</w:t>
            </w:r>
          </w:p>
        </w:tc>
        <w:tc>
          <w:tcPr>
            <w:tcW w:w="278" w:type="dxa"/>
            <w:noWrap/>
            <w:hideMark/>
          </w:tcPr>
          <w:p w14:paraId="2B61176F" w14:textId="77777777" w:rsidR="006610DD" w:rsidRPr="006610DD" w:rsidRDefault="006610DD" w:rsidP="006610DD">
            <w:pPr>
              <w:pStyle w:val="Source"/>
              <w:rPr>
                <w:sz w:val="2"/>
                <w:szCs w:val="2"/>
              </w:rPr>
            </w:pPr>
            <w:r w:rsidRPr="006610DD">
              <w:rPr>
                <w:sz w:val="2"/>
                <w:szCs w:val="2"/>
              </w:rPr>
              <w:t>0.0651</w:t>
            </w:r>
          </w:p>
        </w:tc>
      </w:tr>
      <w:tr w:rsidR="006610DD" w:rsidRPr="006610DD" w14:paraId="343842F0" w14:textId="77777777" w:rsidTr="006610DD">
        <w:trPr>
          <w:trHeight w:val="300"/>
          <w:jc w:val="center"/>
        </w:trPr>
        <w:tc>
          <w:tcPr>
            <w:tcW w:w="1747" w:type="dxa"/>
            <w:noWrap/>
            <w:hideMark/>
          </w:tcPr>
          <w:p w14:paraId="372E688F" w14:textId="77777777" w:rsidR="006610DD" w:rsidRPr="006610DD" w:rsidRDefault="006610DD" w:rsidP="006610DD">
            <w:pPr>
              <w:pStyle w:val="Source"/>
              <w:rPr>
                <w:sz w:val="2"/>
                <w:szCs w:val="2"/>
              </w:rPr>
            </w:pPr>
          </w:p>
        </w:tc>
        <w:tc>
          <w:tcPr>
            <w:tcW w:w="1394" w:type="dxa"/>
            <w:noWrap/>
            <w:hideMark/>
          </w:tcPr>
          <w:p w14:paraId="0A6DF7F7" w14:textId="77777777" w:rsidR="006610DD" w:rsidRPr="006610DD" w:rsidRDefault="006610DD" w:rsidP="006610DD">
            <w:pPr>
              <w:pStyle w:val="Source"/>
              <w:rPr>
                <w:sz w:val="2"/>
                <w:szCs w:val="2"/>
              </w:rPr>
            </w:pPr>
            <w:r w:rsidRPr="006610DD">
              <w:rPr>
                <w:sz w:val="2"/>
                <w:szCs w:val="2"/>
              </w:rPr>
              <w:t>ECT</w:t>
            </w:r>
          </w:p>
        </w:tc>
        <w:tc>
          <w:tcPr>
            <w:tcW w:w="653" w:type="dxa"/>
            <w:noWrap/>
            <w:hideMark/>
          </w:tcPr>
          <w:p w14:paraId="37CE732E" w14:textId="7DD324B3" w:rsidR="006610DD" w:rsidRPr="006610DD" w:rsidRDefault="006610DD" w:rsidP="006610DD">
            <w:pPr>
              <w:pStyle w:val="Source"/>
              <w:rPr>
                <w:sz w:val="2"/>
                <w:szCs w:val="2"/>
              </w:rPr>
            </w:pPr>
            <w:r w:rsidRPr="006610DD">
              <w:rPr>
                <w:sz w:val="2"/>
                <w:szCs w:val="2"/>
              </w:rPr>
              <w:t>0.0005</w:t>
            </w:r>
          </w:p>
        </w:tc>
        <w:tc>
          <w:tcPr>
            <w:tcW w:w="654" w:type="dxa"/>
            <w:noWrap/>
            <w:hideMark/>
          </w:tcPr>
          <w:p w14:paraId="06258B40" w14:textId="77777777" w:rsidR="006610DD" w:rsidRPr="006610DD" w:rsidRDefault="006610DD" w:rsidP="006610DD">
            <w:pPr>
              <w:pStyle w:val="Source"/>
              <w:rPr>
                <w:sz w:val="2"/>
                <w:szCs w:val="2"/>
              </w:rPr>
            </w:pPr>
            <w:r w:rsidRPr="006610DD">
              <w:rPr>
                <w:sz w:val="2"/>
                <w:szCs w:val="2"/>
              </w:rPr>
              <w:t>0.0004</w:t>
            </w:r>
          </w:p>
        </w:tc>
        <w:tc>
          <w:tcPr>
            <w:tcW w:w="654" w:type="dxa"/>
            <w:noWrap/>
            <w:hideMark/>
          </w:tcPr>
          <w:p w14:paraId="695BBA10" w14:textId="77777777" w:rsidR="006610DD" w:rsidRPr="006610DD" w:rsidRDefault="006610DD" w:rsidP="006610DD">
            <w:pPr>
              <w:pStyle w:val="Source"/>
              <w:rPr>
                <w:sz w:val="2"/>
                <w:szCs w:val="2"/>
              </w:rPr>
            </w:pPr>
            <w:r w:rsidRPr="006610DD">
              <w:rPr>
                <w:sz w:val="2"/>
                <w:szCs w:val="2"/>
              </w:rPr>
              <w:t>0.0007</w:t>
            </w:r>
          </w:p>
        </w:tc>
        <w:tc>
          <w:tcPr>
            <w:tcW w:w="654" w:type="dxa"/>
            <w:noWrap/>
            <w:hideMark/>
          </w:tcPr>
          <w:p w14:paraId="7EFDF145" w14:textId="77777777" w:rsidR="006610DD" w:rsidRPr="006610DD" w:rsidRDefault="006610DD" w:rsidP="006610DD">
            <w:pPr>
              <w:pStyle w:val="Source"/>
              <w:rPr>
                <w:sz w:val="2"/>
                <w:szCs w:val="2"/>
              </w:rPr>
            </w:pPr>
            <w:r w:rsidRPr="006610DD">
              <w:rPr>
                <w:sz w:val="2"/>
                <w:szCs w:val="2"/>
              </w:rPr>
              <w:t>0.0009</w:t>
            </w:r>
          </w:p>
        </w:tc>
        <w:tc>
          <w:tcPr>
            <w:tcW w:w="654" w:type="dxa"/>
            <w:noWrap/>
            <w:hideMark/>
          </w:tcPr>
          <w:p w14:paraId="6F1DCEC3" w14:textId="77777777" w:rsidR="006610DD" w:rsidRPr="006610DD" w:rsidRDefault="006610DD" w:rsidP="006610DD">
            <w:pPr>
              <w:pStyle w:val="Source"/>
              <w:rPr>
                <w:sz w:val="2"/>
                <w:szCs w:val="2"/>
              </w:rPr>
            </w:pPr>
            <w:r w:rsidRPr="006610DD">
              <w:rPr>
                <w:sz w:val="2"/>
                <w:szCs w:val="2"/>
              </w:rPr>
              <w:t>0.0002</w:t>
            </w:r>
          </w:p>
        </w:tc>
        <w:tc>
          <w:tcPr>
            <w:tcW w:w="654" w:type="dxa"/>
            <w:noWrap/>
            <w:hideMark/>
          </w:tcPr>
          <w:p w14:paraId="659201DA" w14:textId="77777777" w:rsidR="006610DD" w:rsidRPr="006610DD" w:rsidRDefault="006610DD" w:rsidP="006610DD">
            <w:pPr>
              <w:pStyle w:val="Source"/>
              <w:rPr>
                <w:sz w:val="2"/>
                <w:szCs w:val="2"/>
              </w:rPr>
            </w:pPr>
            <w:r w:rsidRPr="006610DD">
              <w:rPr>
                <w:sz w:val="2"/>
                <w:szCs w:val="2"/>
              </w:rPr>
              <w:t>0.0011</w:t>
            </w:r>
          </w:p>
        </w:tc>
        <w:tc>
          <w:tcPr>
            <w:tcW w:w="654" w:type="dxa"/>
            <w:noWrap/>
            <w:hideMark/>
          </w:tcPr>
          <w:p w14:paraId="2D5E0181" w14:textId="77777777" w:rsidR="006610DD" w:rsidRPr="006610DD" w:rsidRDefault="006610DD" w:rsidP="006610DD">
            <w:pPr>
              <w:pStyle w:val="Source"/>
              <w:rPr>
                <w:sz w:val="2"/>
                <w:szCs w:val="2"/>
              </w:rPr>
            </w:pPr>
            <w:r w:rsidRPr="006610DD">
              <w:rPr>
                <w:sz w:val="2"/>
                <w:szCs w:val="2"/>
              </w:rPr>
              <w:t>0.0004</w:t>
            </w:r>
          </w:p>
        </w:tc>
        <w:tc>
          <w:tcPr>
            <w:tcW w:w="654" w:type="dxa"/>
            <w:noWrap/>
            <w:hideMark/>
          </w:tcPr>
          <w:p w14:paraId="0A6C8EA1" w14:textId="77777777" w:rsidR="006610DD" w:rsidRPr="006610DD" w:rsidRDefault="006610DD" w:rsidP="006610DD">
            <w:pPr>
              <w:pStyle w:val="Source"/>
              <w:rPr>
                <w:sz w:val="2"/>
                <w:szCs w:val="2"/>
              </w:rPr>
            </w:pPr>
            <w:r w:rsidRPr="006610DD">
              <w:rPr>
                <w:sz w:val="2"/>
                <w:szCs w:val="2"/>
              </w:rPr>
              <w:t>0.0008</w:t>
            </w:r>
          </w:p>
        </w:tc>
        <w:tc>
          <w:tcPr>
            <w:tcW w:w="278" w:type="dxa"/>
            <w:noWrap/>
            <w:hideMark/>
          </w:tcPr>
          <w:p w14:paraId="01A86506" w14:textId="77777777" w:rsidR="006610DD" w:rsidRPr="006610DD" w:rsidRDefault="006610DD" w:rsidP="006610DD">
            <w:pPr>
              <w:pStyle w:val="Source"/>
              <w:rPr>
                <w:sz w:val="2"/>
                <w:szCs w:val="2"/>
              </w:rPr>
            </w:pPr>
            <w:r w:rsidRPr="006610DD">
              <w:rPr>
                <w:sz w:val="2"/>
                <w:szCs w:val="2"/>
              </w:rPr>
              <w:t>0.0045</w:t>
            </w:r>
          </w:p>
        </w:tc>
      </w:tr>
      <w:tr w:rsidR="006610DD" w:rsidRPr="006610DD" w14:paraId="3025C620" w14:textId="77777777" w:rsidTr="006610DD">
        <w:trPr>
          <w:trHeight w:val="300"/>
          <w:jc w:val="center"/>
        </w:trPr>
        <w:tc>
          <w:tcPr>
            <w:tcW w:w="1747" w:type="dxa"/>
            <w:noWrap/>
            <w:hideMark/>
          </w:tcPr>
          <w:p w14:paraId="6D6CCE06" w14:textId="77777777" w:rsidR="006610DD" w:rsidRPr="006610DD" w:rsidRDefault="006610DD" w:rsidP="006610DD">
            <w:pPr>
              <w:pStyle w:val="Source"/>
              <w:rPr>
                <w:sz w:val="2"/>
                <w:szCs w:val="2"/>
              </w:rPr>
            </w:pPr>
          </w:p>
        </w:tc>
        <w:tc>
          <w:tcPr>
            <w:tcW w:w="1394" w:type="dxa"/>
            <w:noWrap/>
            <w:hideMark/>
          </w:tcPr>
          <w:p w14:paraId="0228A38C" w14:textId="77777777" w:rsidR="006610DD" w:rsidRPr="006610DD" w:rsidRDefault="006610DD" w:rsidP="006610DD">
            <w:pPr>
              <w:pStyle w:val="Source"/>
              <w:rPr>
                <w:sz w:val="2"/>
                <w:szCs w:val="2"/>
              </w:rPr>
            </w:pPr>
            <w:r w:rsidRPr="006610DD">
              <w:rPr>
                <w:sz w:val="2"/>
                <w:szCs w:val="2"/>
              </w:rPr>
              <w:t>Physical environment</w:t>
            </w:r>
          </w:p>
        </w:tc>
        <w:tc>
          <w:tcPr>
            <w:tcW w:w="653" w:type="dxa"/>
            <w:noWrap/>
            <w:hideMark/>
          </w:tcPr>
          <w:p w14:paraId="6C16E82E" w14:textId="77777777" w:rsidR="006610DD" w:rsidRPr="006610DD" w:rsidRDefault="006610DD" w:rsidP="006610DD">
            <w:pPr>
              <w:pStyle w:val="Source"/>
              <w:rPr>
                <w:sz w:val="2"/>
                <w:szCs w:val="2"/>
              </w:rPr>
            </w:pPr>
            <w:r w:rsidRPr="006610DD">
              <w:rPr>
                <w:sz w:val="2"/>
                <w:szCs w:val="2"/>
              </w:rPr>
              <w:t>0.028</w:t>
            </w:r>
          </w:p>
        </w:tc>
        <w:tc>
          <w:tcPr>
            <w:tcW w:w="654" w:type="dxa"/>
            <w:noWrap/>
            <w:hideMark/>
          </w:tcPr>
          <w:p w14:paraId="45D62101" w14:textId="77777777" w:rsidR="006610DD" w:rsidRPr="006610DD" w:rsidRDefault="006610DD" w:rsidP="006610DD">
            <w:pPr>
              <w:pStyle w:val="Source"/>
              <w:rPr>
                <w:sz w:val="2"/>
                <w:szCs w:val="2"/>
              </w:rPr>
            </w:pPr>
            <w:r w:rsidRPr="006610DD">
              <w:rPr>
                <w:sz w:val="2"/>
                <w:szCs w:val="2"/>
              </w:rPr>
              <w:t>0.025</w:t>
            </w:r>
          </w:p>
        </w:tc>
        <w:tc>
          <w:tcPr>
            <w:tcW w:w="654" w:type="dxa"/>
            <w:noWrap/>
            <w:hideMark/>
          </w:tcPr>
          <w:p w14:paraId="42BCEA52" w14:textId="77777777" w:rsidR="006610DD" w:rsidRPr="006610DD" w:rsidRDefault="006610DD" w:rsidP="006610DD">
            <w:pPr>
              <w:pStyle w:val="Source"/>
              <w:rPr>
                <w:sz w:val="2"/>
                <w:szCs w:val="2"/>
              </w:rPr>
            </w:pPr>
            <w:r w:rsidRPr="006610DD">
              <w:rPr>
                <w:sz w:val="2"/>
                <w:szCs w:val="2"/>
              </w:rPr>
              <w:t>0.024</w:t>
            </w:r>
          </w:p>
        </w:tc>
        <w:tc>
          <w:tcPr>
            <w:tcW w:w="654" w:type="dxa"/>
            <w:noWrap/>
            <w:hideMark/>
          </w:tcPr>
          <w:p w14:paraId="64762627" w14:textId="77777777" w:rsidR="006610DD" w:rsidRPr="006610DD" w:rsidRDefault="006610DD" w:rsidP="006610DD">
            <w:pPr>
              <w:pStyle w:val="Source"/>
              <w:rPr>
                <w:sz w:val="2"/>
                <w:szCs w:val="2"/>
              </w:rPr>
            </w:pPr>
            <w:r w:rsidRPr="006610DD">
              <w:rPr>
                <w:sz w:val="2"/>
                <w:szCs w:val="2"/>
              </w:rPr>
              <w:t>0.0201</w:t>
            </w:r>
          </w:p>
        </w:tc>
        <w:tc>
          <w:tcPr>
            <w:tcW w:w="654" w:type="dxa"/>
            <w:noWrap/>
            <w:hideMark/>
          </w:tcPr>
          <w:p w14:paraId="23A28242" w14:textId="77777777" w:rsidR="006610DD" w:rsidRPr="006610DD" w:rsidRDefault="006610DD" w:rsidP="006610DD">
            <w:pPr>
              <w:pStyle w:val="Source"/>
              <w:rPr>
                <w:sz w:val="2"/>
                <w:szCs w:val="2"/>
              </w:rPr>
            </w:pPr>
            <w:r w:rsidRPr="006610DD">
              <w:rPr>
                <w:sz w:val="2"/>
                <w:szCs w:val="2"/>
              </w:rPr>
              <w:t>0.0231</w:t>
            </w:r>
          </w:p>
        </w:tc>
        <w:tc>
          <w:tcPr>
            <w:tcW w:w="654" w:type="dxa"/>
            <w:noWrap/>
            <w:hideMark/>
          </w:tcPr>
          <w:p w14:paraId="2C6BDA85" w14:textId="77777777" w:rsidR="006610DD" w:rsidRPr="006610DD" w:rsidRDefault="006610DD" w:rsidP="006610DD">
            <w:pPr>
              <w:pStyle w:val="Source"/>
              <w:rPr>
                <w:sz w:val="2"/>
                <w:szCs w:val="2"/>
              </w:rPr>
            </w:pPr>
            <w:r w:rsidRPr="006610DD">
              <w:rPr>
                <w:sz w:val="2"/>
                <w:szCs w:val="2"/>
              </w:rPr>
              <w:t>0.0298</w:t>
            </w:r>
          </w:p>
        </w:tc>
        <w:tc>
          <w:tcPr>
            <w:tcW w:w="654" w:type="dxa"/>
            <w:noWrap/>
            <w:hideMark/>
          </w:tcPr>
          <w:p w14:paraId="40AAF12A" w14:textId="77777777" w:rsidR="006610DD" w:rsidRPr="006610DD" w:rsidRDefault="006610DD" w:rsidP="006610DD">
            <w:pPr>
              <w:pStyle w:val="Source"/>
              <w:rPr>
                <w:sz w:val="2"/>
                <w:szCs w:val="2"/>
              </w:rPr>
            </w:pPr>
            <w:r w:rsidRPr="006610DD">
              <w:rPr>
                <w:sz w:val="2"/>
                <w:szCs w:val="2"/>
              </w:rPr>
              <w:t>0.0324</w:t>
            </w:r>
          </w:p>
        </w:tc>
        <w:tc>
          <w:tcPr>
            <w:tcW w:w="654" w:type="dxa"/>
            <w:noWrap/>
            <w:hideMark/>
          </w:tcPr>
          <w:p w14:paraId="78F2B1B8" w14:textId="77777777" w:rsidR="006610DD" w:rsidRPr="006610DD" w:rsidRDefault="006610DD" w:rsidP="006610DD">
            <w:pPr>
              <w:pStyle w:val="Source"/>
              <w:rPr>
                <w:sz w:val="2"/>
                <w:szCs w:val="2"/>
              </w:rPr>
            </w:pPr>
            <w:r w:rsidRPr="006610DD">
              <w:rPr>
                <w:sz w:val="2"/>
                <w:szCs w:val="2"/>
              </w:rPr>
              <w:t>0.0353</w:t>
            </w:r>
          </w:p>
        </w:tc>
        <w:tc>
          <w:tcPr>
            <w:tcW w:w="278" w:type="dxa"/>
            <w:noWrap/>
            <w:hideMark/>
          </w:tcPr>
          <w:p w14:paraId="1198DB67" w14:textId="77777777" w:rsidR="006610DD" w:rsidRPr="006610DD" w:rsidRDefault="006610DD" w:rsidP="006610DD">
            <w:pPr>
              <w:pStyle w:val="Source"/>
              <w:rPr>
                <w:sz w:val="2"/>
                <w:szCs w:val="2"/>
              </w:rPr>
            </w:pPr>
            <w:r w:rsidRPr="006610DD">
              <w:rPr>
                <w:sz w:val="2"/>
                <w:szCs w:val="2"/>
              </w:rPr>
              <w:t>0.0381</w:t>
            </w:r>
          </w:p>
        </w:tc>
      </w:tr>
    </w:tbl>
    <w:p w14:paraId="4CD4A63F" w14:textId="77777777" w:rsidR="006610DD" w:rsidRDefault="006610DD" w:rsidP="00BC3D30">
      <w:pPr>
        <w:pStyle w:val="Source"/>
      </w:pPr>
    </w:p>
    <w:p w14:paraId="6D0F85BF" w14:textId="77777777" w:rsidR="006610DD" w:rsidRDefault="006610DD" w:rsidP="00BC3D30">
      <w:pPr>
        <w:pStyle w:val="Source"/>
      </w:pPr>
    </w:p>
    <w:p w14:paraId="78BDFCB4" w14:textId="77777777" w:rsidR="006610DD" w:rsidRDefault="006610DD" w:rsidP="00BC3D30">
      <w:pPr>
        <w:pStyle w:val="Source"/>
      </w:pPr>
    </w:p>
    <w:p w14:paraId="7CB8FFD2" w14:textId="77777777" w:rsidR="006610DD" w:rsidRDefault="006610DD" w:rsidP="00BC3D30">
      <w:pPr>
        <w:pStyle w:val="Source"/>
      </w:pPr>
    </w:p>
    <w:p w14:paraId="55D42B85" w14:textId="77777777" w:rsidR="006610DD" w:rsidRDefault="006610DD" w:rsidP="00BC3D30">
      <w:pPr>
        <w:pStyle w:val="Source"/>
      </w:pPr>
    </w:p>
    <w:p w14:paraId="6EA46AD9" w14:textId="77777777" w:rsidR="006610DD" w:rsidRDefault="006610DD" w:rsidP="00BC3D30">
      <w:pPr>
        <w:pStyle w:val="Source"/>
      </w:pPr>
    </w:p>
    <w:p w14:paraId="139A96DA" w14:textId="77777777" w:rsidR="006610DD" w:rsidRDefault="006610DD" w:rsidP="00BC3D30">
      <w:pPr>
        <w:pStyle w:val="Source"/>
      </w:pPr>
    </w:p>
    <w:p w14:paraId="2435355C" w14:textId="77777777" w:rsidR="006610DD" w:rsidRDefault="006610DD" w:rsidP="00BC3D30">
      <w:pPr>
        <w:pStyle w:val="Source"/>
      </w:pPr>
    </w:p>
    <w:p w14:paraId="24B33FFE" w14:textId="31FE7515" w:rsidR="006610DD" w:rsidRDefault="006610DD" w:rsidP="00BC3D30">
      <w:pPr>
        <w:pStyle w:val="Source"/>
      </w:pPr>
    </w:p>
    <w:p w14:paraId="31A2CDAF" w14:textId="77777777" w:rsidR="006610DD" w:rsidRDefault="006610DD" w:rsidP="00BC3D30">
      <w:pPr>
        <w:pStyle w:val="Source"/>
      </w:pPr>
    </w:p>
    <w:p w14:paraId="608384BE" w14:textId="77777777" w:rsidR="006610DD" w:rsidRDefault="006610DD" w:rsidP="00BC3D30">
      <w:pPr>
        <w:pStyle w:val="Source"/>
      </w:pPr>
    </w:p>
    <w:p w14:paraId="7777F96D" w14:textId="77777777" w:rsidR="006610DD" w:rsidRDefault="006610DD" w:rsidP="00BC3D30">
      <w:pPr>
        <w:pStyle w:val="Source"/>
      </w:pPr>
    </w:p>
    <w:p w14:paraId="5630887F" w14:textId="4FA667F7" w:rsidR="006610DD" w:rsidRDefault="006610DD" w:rsidP="00BC3D30">
      <w:pPr>
        <w:pStyle w:val="Source"/>
      </w:pPr>
    </w:p>
    <w:p w14:paraId="6EAAEECE" w14:textId="5A454FEB" w:rsidR="00BC3D30" w:rsidRPr="001359AF" w:rsidRDefault="00BC3D30" w:rsidP="00BC3D30">
      <w:pPr>
        <w:pStyle w:val="Source"/>
      </w:pPr>
      <w:r w:rsidRPr="001359AF">
        <w:t xml:space="preserve">Source: </w:t>
      </w:r>
      <w:r>
        <w:t>JSA analysis of ACECQA, National Registers and Waivers data.</w:t>
      </w:r>
    </w:p>
    <w:p w14:paraId="2E9839B1" w14:textId="65B59C2E" w:rsidR="00BC3D30" w:rsidRDefault="00BC3D30" w:rsidP="00BC3D30">
      <w:r>
        <w:t xml:space="preserve">Focusing specifically on waivers for educator to child ratios, the primary driver of educator numbers and a key indicator of wide-ranging workforce shortages, </w:t>
      </w:r>
      <w:r>
        <w:fldChar w:fldCharType="begin"/>
      </w:r>
      <w:r>
        <w:instrText xml:space="preserve"> REF _Ref166074747 \h </w:instrText>
      </w:r>
      <w:r>
        <w:fldChar w:fldCharType="separate"/>
      </w:r>
      <w:r w:rsidR="005F18C1">
        <w:t>Figure 1.</w:t>
      </w:r>
      <w:r w:rsidR="005F18C1">
        <w:rPr>
          <w:noProof/>
        </w:rPr>
        <w:t>7</w:t>
      </w:r>
      <w:r>
        <w:fldChar w:fldCharType="end"/>
      </w:r>
      <w:r>
        <w:t xml:space="preserve"> illustrates the number of waivers as well as the share of services with a ratio waiver.</w:t>
      </w:r>
      <w:r>
        <w:rPr>
          <w:rStyle w:val="FootnoteReference"/>
        </w:rPr>
        <w:footnoteReference w:id="18"/>
      </w:r>
      <w:r>
        <w:t xml:space="preserve"> Despite a slight increase in ratio waivers over the past several years, very few services overall receive a waiver for educator to child ratios. On average, ratio waivers apply to less than 1% of services, or around 7,200 places (capacity) across CBDC and OSHC.</w:t>
      </w:r>
    </w:p>
    <w:p w14:paraId="4B1BB818" w14:textId="017258F3" w:rsidR="00115A28" w:rsidRDefault="00115A28">
      <w:r>
        <w:br w:type="page"/>
      </w:r>
    </w:p>
    <w:p w14:paraId="20EA01A9" w14:textId="3F1F62BB" w:rsidR="00BC3D30" w:rsidRPr="00727515" w:rsidRDefault="00BC3D30" w:rsidP="00BC3D30">
      <w:pPr>
        <w:pStyle w:val="Caption"/>
        <w:rPr>
          <w:b w:val="0"/>
          <w:bCs w:val="0"/>
        </w:rPr>
      </w:pPr>
      <w:bookmarkStart w:id="55" w:name="_Ref166074747"/>
      <w:r>
        <w:lastRenderedPageBreak/>
        <w:t>Figure 1.</w:t>
      </w:r>
      <w:r>
        <w:fldChar w:fldCharType="begin"/>
      </w:r>
      <w:r>
        <w:instrText xml:space="preserve"> SEQ Figure \* ARABIC </w:instrText>
      </w:r>
      <w:r>
        <w:fldChar w:fldCharType="separate"/>
      </w:r>
      <w:r w:rsidR="005F18C1">
        <w:rPr>
          <w:noProof/>
        </w:rPr>
        <w:t>7</w:t>
      </w:r>
      <w:r>
        <w:fldChar w:fldCharType="end"/>
      </w:r>
      <w:bookmarkEnd w:id="55"/>
      <w:r>
        <w:t>:</w:t>
      </w:r>
      <w:r w:rsidRPr="00285829">
        <w:t xml:space="preserve"> </w:t>
      </w:r>
      <w:r>
        <w:t>Ratio w</w:t>
      </w:r>
      <w:r w:rsidRPr="00285829">
        <w:t>aivers for educator to child ratios by service type, 2017-2023</w:t>
      </w:r>
    </w:p>
    <w:p w14:paraId="4C4E7960" w14:textId="4C930BA1" w:rsidR="00BC3D30" w:rsidRDefault="006610DD" w:rsidP="00BC3D30">
      <w:pPr>
        <w:pStyle w:val="NormalWeb"/>
        <w:jc w:val="center"/>
      </w:pPr>
      <w:r>
        <w:rPr>
          <w:noProof/>
        </w:rPr>
        <w:drawing>
          <wp:anchor distT="0" distB="0" distL="114300" distR="114300" simplePos="0" relativeHeight="251698179" behindDoc="0" locked="0" layoutInCell="1" allowOverlap="1" wp14:anchorId="1960282D" wp14:editId="470B6ED8">
            <wp:simplePos x="0" y="0"/>
            <wp:positionH relativeFrom="margin">
              <wp:align>right</wp:align>
            </wp:positionH>
            <wp:positionV relativeFrom="paragraph">
              <wp:posOffset>65518</wp:posOffset>
            </wp:positionV>
            <wp:extent cx="5731510" cy="5014595"/>
            <wp:effectExtent l="0" t="0" r="2540" b="0"/>
            <wp:wrapNone/>
            <wp:docPr id="549093107"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093107" name="Picture 6">
                      <a:extLst>
                        <a:ext uri="{C183D7F6-B498-43B3-948B-1728B52AA6E4}">
                          <adec:decorative xmlns:adec="http://schemas.microsoft.com/office/drawing/2017/decorative" val="1"/>
                        </a:ext>
                      </a:extLst>
                    </pic:cNvPr>
                    <pic:cNvPicPr>
                      <a:picLocks noChangeAspect="1" noChangeArrowheads="1"/>
                    </pic:cNvPicPr>
                  </pic:nvPicPr>
                  <pic:blipFill>
                    <a:blip r:embed="rId61" cstate="screen">
                      <a:extLst>
                        <a:ext uri="{28A0092B-C50C-407E-A947-70E740481C1C}">
                          <a14:useLocalDpi xmlns:a14="http://schemas.microsoft.com/office/drawing/2010/main" val="0"/>
                        </a:ext>
                      </a:extLst>
                    </a:blip>
                    <a:srcRect/>
                    <a:stretch>
                      <a:fillRect/>
                    </a:stretch>
                  </pic:blipFill>
                  <pic:spPr bwMode="auto">
                    <a:xfrm>
                      <a:off x="0" y="0"/>
                      <a:ext cx="5731510" cy="5014595"/>
                    </a:xfrm>
                    <a:prstGeom prst="rect">
                      <a:avLst/>
                    </a:prstGeom>
                    <a:noFill/>
                    <a:ln>
                      <a:noFill/>
                    </a:ln>
                  </pic:spPr>
                </pic:pic>
              </a:graphicData>
            </a:graphic>
          </wp:anchor>
        </w:drawing>
      </w:r>
    </w:p>
    <w:tbl>
      <w:tblPr>
        <w:tblStyle w:val="Box"/>
        <w:tblW w:w="0" w:type="auto"/>
        <w:jc w:val="center"/>
        <w:tblLook w:val="04A0" w:firstRow="1" w:lastRow="0" w:firstColumn="1" w:lastColumn="0" w:noHBand="0" w:noVBand="1"/>
      </w:tblPr>
      <w:tblGrid>
        <w:gridCol w:w="1134"/>
        <w:gridCol w:w="1693"/>
        <w:gridCol w:w="662"/>
        <w:gridCol w:w="662"/>
        <w:gridCol w:w="662"/>
        <w:gridCol w:w="662"/>
        <w:gridCol w:w="662"/>
        <w:gridCol w:w="662"/>
        <w:gridCol w:w="261"/>
      </w:tblGrid>
      <w:tr w:rsidR="006610DD" w:rsidRPr="006610DD" w14:paraId="7D10CC0F" w14:textId="77777777" w:rsidTr="006610DD">
        <w:trPr>
          <w:trHeight w:val="300"/>
          <w:jc w:val="center"/>
        </w:trPr>
        <w:tc>
          <w:tcPr>
            <w:tcW w:w="1134" w:type="dxa"/>
            <w:noWrap/>
            <w:hideMark/>
          </w:tcPr>
          <w:p w14:paraId="462C069C" w14:textId="77777777" w:rsidR="006610DD" w:rsidRPr="006610DD" w:rsidRDefault="006610DD" w:rsidP="006610DD">
            <w:pPr>
              <w:pStyle w:val="Source"/>
              <w:rPr>
                <w:sz w:val="2"/>
                <w:szCs w:val="2"/>
              </w:rPr>
            </w:pPr>
          </w:p>
        </w:tc>
        <w:tc>
          <w:tcPr>
            <w:tcW w:w="1693" w:type="dxa"/>
            <w:noWrap/>
            <w:hideMark/>
          </w:tcPr>
          <w:p w14:paraId="22065FE5" w14:textId="77777777" w:rsidR="006610DD" w:rsidRPr="006610DD" w:rsidRDefault="006610DD" w:rsidP="006610DD">
            <w:pPr>
              <w:pStyle w:val="Source"/>
              <w:rPr>
                <w:sz w:val="2"/>
                <w:szCs w:val="2"/>
              </w:rPr>
            </w:pPr>
          </w:p>
        </w:tc>
        <w:tc>
          <w:tcPr>
            <w:tcW w:w="662" w:type="dxa"/>
            <w:noWrap/>
            <w:hideMark/>
          </w:tcPr>
          <w:p w14:paraId="6999AA22" w14:textId="7A82426E" w:rsidR="006610DD" w:rsidRPr="006610DD" w:rsidRDefault="006610DD" w:rsidP="006610DD">
            <w:pPr>
              <w:pStyle w:val="Source"/>
              <w:rPr>
                <w:b/>
                <w:bCs/>
                <w:sz w:val="2"/>
                <w:szCs w:val="2"/>
              </w:rPr>
            </w:pPr>
            <w:r w:rsidRPr="006610DD">
              <w:rPr>
                <w:b/>
                <w:bCs/>
                <w:sz w:val="2"/>
                <w:szCs w:val="2"/>
              </w:rPr>
              <w:t>2017</w:t>
            </w:r>
          </w:p>
        </w:tc>
        <w:tc>
          <w:tcPr>
            <w:tcW w:w="662" w:type="dxa"/>
            <w:noWrap/>
            <w:hideMark/>
          </w:tcPr>
          <w:p w14:paraId="4720C14E" w14:textId="77777777" w:rsidR="006610DD" w:rsidRPr="006610DD" w:rsidRDefault="006610DD" w:rsidP="006610DD">
            <w:pPr>
              <w:pStyle w:val="Source"/>
              <w:rPr>
                <w:b/>
                <w:bCs/>
                <w:sz w:val="2"/>
                <w:szCs w:val="2"/>
              </w:rPr>
            </w:pPr>
            <w:r w:rsidRPr="006610DD">
              <w:rPr>
                <w:b/>
                <w:bCs/>
                <w:sz w:val="2"/>
                <w:szCs w:val="2"/>
              </w:rPr>
              <w:t>2018</w:t>
            </w:r>
          </w:p>
        </w:tc>
        <w:tc>
          <w:tcPr>
            <w:tcW w:w="662" w:type="dxa"/>
            <w:noWrap/>
            <w:hideMark/>
          </w:tcPr>
          <w:p w14:paraId="4EA496D7" w14:textId="77777777" w:rsidR="006610DD" w:rsidRPr="006610DD" w:rsidRDefault="006610DD" w:rsidP="006610DD">
            <w:pPr>
              <w:pStyle w:val="Source"/>
              <w:rPr>
                <w:b/>
                <w:bCs/>
                <w:sz w:val="2"/>
                <w:szCs w:val="2"/>
              </w:rPr>
            </w:pPr>
            <w:r w:rsidRPr="006610DD">
              <w:rPr>
                <w:b/>
                <w:bCs/>
                <w:sz w:val="2"/>
                <w:szCs w:val="2"/>
              </w:rPr>
              <w:t>2019</w:t>
            </w:r>
          </w:p>
        </w:tc>
        <w:tc>
          <w:tcPr>
            <w:tcW w:w="662" w:type="dxa"/>
            <w:noWrap/>
            <w:hideMark/>
          </w:tcPr>
          <w:p w14:paraId="1B3B9737" w14:textId="77777777" w:rsidR="006610DD" w:rsidRPr="006610DD" w:rsidRDefault="006610DD" w:rsidP="006610DD">
            <w:pPr>
              <w:pStyle w:val="Source"/>
              <w:rPr>
                <w:b/>
                <w:bCs/>
                <w:sz w:val="2"/>
                <w:szCs w:val="2"/>
              </w:rPr>
            </w:pPr>
            <w:r w:rsidRPr="006610DD">
              <w:rPr>
                <w:b/>
                <w:bCs/>
                <w:sz w:val="2"/>
                <w:szCs w:val="2"/>
              </w:rPr>
              <w:t>2020</w:t>
            </w:r>
          </w:p>
        </w:tc>
        <w:tc>
          <w:tcPr>
            <w:tcW w:w="662" w:type="dxa"/>
            <w:noWrap/>
            <w:hideMark/>
          </w:tcPr>
          <w:p w14:paraId="5824DC0A" w14:textId="77777777" w:rsidR="006610DD" w:rsidRPr="006610DD" w:rsidRDefault="006610DD" w:rsidP="006610DD">
            <w:pPr>
              <w:pStyle w:val="Source"/>
              <w:rPr>
                <w:b/>
                <w:bCs/>
                <w:sz w:val="2"/>
                <w:szCs w:val="2"/>
              </w:rPr>
            </w:pPr>
            <w:r w:rsidRPr="006610DD">
              <w:rPr>
                <w:b/>
                <w:bCs/>
                <w:sz w:val="2"/>
                <w:szCs w:val="2"/>
              </w:rPr>
              <w:t>2021</w:t>
            </w:r>
          </w:p>
        </w:tc>
        <w:tc>
          <w:tcPr>
            <w:tcW w:w="662" w:type="dxa"/>
            <w:noWrap/>
            <w:hideMark/>
          </w:tcPr>
          <w:p w14:paraId="191A5B47" w14:textId="77777777" w:rsidR="006610DD" w:rsidRPr="006610DD" w:rsidRDefault="006610DD" w:rsidP="006610DD">
            <w:pPr>
              <w:pStyle w:val="Source"/>
              <w:rPr>
                <w:b/>
                <w:bCs/>
                <w:sz w:val="2"/>
                <w:szCs w:val="2"/>
              </w:rPr>
            </w:pPr>
            <w:r w:rsidRPr="006610DD">
              <w:rPr>
                <w:b/>
                <w:bCs/>
                <w:sz w:val="2"/>
                <w:szCs w:val="2"/>
              </w:rPr>
              <w:t>2022</w:t>
            </w:r>
          </w:p>
        </w:tc>
        <w:tc>
          <w:tcPr>
            <w:tcW w:w="261" w:type="dxa"/>
            <w:noWrap/>
            <w:hideMark/>
          </w:tcPr>
          <w:p w14:paraId="232C7EFF" w14:textId="77777777" w:rsidR="006610DD" w:rsidRPr="006610DD" w:rsidRDefault="006610DD" w:rsidP="006610DD">
            <w:pPr>
              <w:pStyle w:val="Source"/>
              <w:rPr>
                <w:b/>
                <w:bCs/>
                <w:sz w:val="2"/>
                <w:szCs w:val="2"/>
              </w:rPr>
            </w:pPr>
            <w:r w:rsidRPr="006610DD">
              <w:rPr>
                <w:b/>
                <w:bCs/>
                <w:sz w:val="2"/>
                <w:szCs w:val="2"/>
              </w:rPr>
              <w:t>2023</w:t>
            </w:r>
          </w:p>
        </w:tc>
      </w:tr>
      <w:tr w:rsidR="006610DD" w:rsidRPr="006610DD" w14:paraId="7B827367" w14:textId="77777777" w:rsidTr="006610DD">
        <w:trPr>
          <w:trHeight w:val="300"/>
          <w:jc w:val="center"/>
        </w:trPr>
        <w:tc>
          <w:tcPr>
            <w:tcW w:w="1134" w:type="dxa"/>
            <w:noWrap/>
            <w:hideMark/>
          </w:tcPr>
          <w:p w14:paraId="087149F9" w14:textId="77777777" w:rsidR="006610DD" w:rsidRPr="006610DD" w:rsidRDefault="006610DD" w:rsidP="006610DD">
            <w:pPr>
              <w:pStyle w:val="Source"/>
              <w:rPr>
                <w:b/>
                <w:bCs/>
                <w:sz w:val="2"/>
                <w:szCs w:val="2"/>
              </w:rPr>
            </w:pPr>
            <w:r w:rsidRPr="006610DD">
              <w:rPr>
                <w:b/>
                <w:bCs/>
                <w:sz w:val="2"/>
                <w:szCs w:val="2"/>
              </w:rPr>
              <w:t>Number of ratio waivers</w:t>
            </w:r>
          </w:p>
        </w:tc>
        <w:tc>
          <w:tcPr>
            <w:tcW w:w="1693" w:type="dxa"/>
            <w:noWrap/>
            <w:hideMark/>
          </w:tcPr>
          <w:p w14:paraId="7D2F85EF" w14:textId="77777777" w:rsidR="006610DD" w:rsidRPr="006610DD" w:rsidRDefault="006610DD" w:rsidP="006610DD">
            <w:pPr>
              <w:pStyle w:val="Source"/>
              <w:rPr>
                <w:sz w:val="2"/>
                <w:szCs w:val="2"/>
              </w:rPr>
            </w:pPr>
            <w:r w:rsidRPr="006610DD">
              <w:rPr>
                <w:sz w:val="2"/>
                <w:szCs w:val="2"/>
              </w:rPr>
              <w:t>Centre Based Day Care</w:t>
            </w:r>
          </w:p>
        </w:tc>
        <w:tc>
          <w:tcPr>
            <w:tcW w:w="662" w:type="dxa"/>
            <w:noWrap/>
            <w:hideMark/>
          </w:tcPr>
          <w:p w14:paraId="23320FAC" w14:textId="15F93D1E" w:rsidR="006610DD" w:rsidRPr="006610DD" w:rsidRDefault="006610DD" w:rsidP="006610DD">
            <w:pPr>
              <w:pStyle w:val="Source"/>
              <w:rPr>
                <w:sz w:val="2"/>
                <w:szCs w:val="2"/>
              </w:rPr>
            </w:pPr>
            <w:r w:rsidRPr="006610DD">
              <w:rPr>
                <w:sz w:val="2"/>
                <w:szCs w:val="2"/>
              </w:rPr>
              <w:t>7</w:t>
            </w:r>
          </w:p>
        </w:tc>
        <w:tc>
          <w:tcPr>
            <w:tcW w:w="662" w:type="dxa"/>
            <w:noWrap/>
            <w:hideMark/>
          </w:tcPr>
          <w:p w14:paraId="528FF80C" w14:textId="77777777" w:rsidR="006610DD" w:rsidRPr="006610DD" w:rsidRDefault="006610DD" w:rsidP="006610DD">
            <w:pPr>
              <w:pStyle w:val="Source"/>
              <w:rPr>
                <w:sz w:val="2"/>
                <w:szCs w:val="2"/>
              </w:rPr>
            </w:pPr>
            <w:r w:rsidRPr="006610DD">
              <w:rPr>
                <w:sz w:val="2"/>
                <w:szCs w:val="2"/>
              </w:rPr>
              <w:t>12</w:t>
            </w:r>
          </w:p>
        </w:tc>
        <w:tc>
          <w:tcPr>
            <w:tcW w:w="662" w:type="dxa"/>
            <w:noWrap/>
            <w:hideMark/>
          </w:tcPr>
          <w:p w14:paraId="782BD7E5" w14:textId="77777777" w:rsidR="006610DD" w:rsidRPr="006610DD" w:rsidRDefault="006610DD" w:rsidP="006610DD">
            <w:pPr>
              <w:pStyle w:val="Source"/>
              <w:rPr>
                <w:sz w:val="2"/>
                <w:szCs w:val="2"/>
              </w:rPr>
            </w:pPr>
            <w:r w:rsidRPr="006610DD">
              <w:rPr>
                <w:sz w:val="2"/>
                <w:szCs w:val="2"/>
              </w:rPr>
              <w:t>18</w:t>
            </w:r>
          </w:p>
        </w:tc>
        <w:tc>
          <w:tcPr>
            <w:tcW w:w="662" w:type="dxa"/>
            <w:noWrap/>
            <w:hideMark/>
          </w:tcPr>
          <w:p w14:paraId="45066FD7" w14:textId="77777777" w:rsidR="006610DD" w:rsidRPr="006610DD" w:rsidRDefault="006610DD" w:rsidP="006610DD">
            <w:pPr>
              <w:pStyle w:val="Source"/>
              <w:rPr>
                <w:sz w:val="2"/>
                <w:szCs w:val="2"/>
              </w:rPr>
            </w:pPr>
            <w:r w:rsidRPr="006610DD">
              <w:rPr>
                <w:sz w:val="2"/>
                <w:szCs w:val="2"/>
              </w:rPr>
              <w:t>28</w:t>
            </w:r>
          </w:p>
        </w:tc>
        <w:tc>
          <w:tcPr>
            <w:tcW w:w="662" w:type="dxa"/>
            <w:noWrap/>
            <w:hideMark/>
          </w:tcPr>
          <w:p w14:paraId="22FD6A7E" w14:textId="77777777" w:rsidR="006610DD" w:rsidRPr="006610DD" w:rsidRDefault="006610DD" w:rsidP="006610DD">
            <w:pPr>
              <w:pStyle w:val="Source"/>
              <w:rPr>
                <w:sz w:val="2"/>
                <w:szCs w:val="2"/>
              </w:rPr>
            </w:pPr>
            <w:r w:rsidRPr="006610DD">
              <w:rPr>
                <w:sz w:val="2"/>
                <w:szCs w:val="2"/>
              </w:rPr>
              <w:t>23</w:t>
            </w:r>
          </w:p>
        </w:tc>
        <w:tc>
          <w:tcPr>
            <w:tcW w:w="662" w:type="dxa"/>
            <w:noWrap/>
            <w:hideMark/>
          </w:tcPr>
          <w:p w14:paraId="6EEB2003" w14:textId="77777777" w:rsidR="006610DD" w:rsidRPr="006610DD" w:rsidRDefault="006610DD" w:rsidP="006610DD">
            <w:pPr>
              <w:pStyle w:val="Source"/>
              <w:rPr>
                <w:sz w:val="2"/>
                <w:szCs w:val="2"/>
              </w:rPr>
            </w:pPr>
            <w:r w:rsidRPr="006610DD">
              <w:rPr>
                <w:sz w:val="2"/>
                <w:szCs w:val="2"/>
              </w:rPr>
              <w:t>47</w:t>
            </w:r>
          </w:p>
        </w:tc>
        <w:tc>
          <w:tcPr>
            <w:tcW w:w="261" w:type="dxa"/>
            <w:noWrap/>
            <w:hideMark/>
          </w:tcPr>
          <w:p w14:paraId="4D3814CA" w14:textId="77777777" w:rsidR="006610DD" w:rsidRPr="006610DD" w:rsidRDefault="006610DD" w:rsidP="006610DD">
            <w:pPr>
              <w:pStyle w:val="Source"/>
              <w:rPr>
                <w:sz w:val="2"/>
                <w:szCs w:val="2"/>
              </w:rPr>
            </w:pPr>
            <w:r w:rsidRPr="006610DD">
              <w:rPr>
                <w:sz w:val="2"/>
                <w:szCs w:val="2"/>
              </w:rPr>
              <w:t>46</w:t>
            </w:r>
          </w:p>
        </w:tc>
      </w:tr>
      <w:tr w:rsidR="006610DD" w:rsidRPr="006610DD" w14:paraId="397E4D57" w14:textId="77777777" w:rsidTr="006610DD">
        <w:trPr>
          <w:trHeight w:val="300"/>
          <w:jc w:val="center"/>
        </w:trPr>
        <w:tc>
          <w:tcPr>
            <w:tcW w:w="1134" w:type="dxa"/>
            <w:noWrap/>
            <w:hideMark/>
          </w:tcPr>
          <w:p w14:paraId="56923772" w14:textId="77777777" w:rsidR="006610DD" w:rsidRPr="006610DD" w:rsidRDefault="006610DD" w:rsidP="006610DD">
            <w:pPr>
              <w:pStyle w:val="Source"/>
              <w:rPr>
                <w:sz w:val="2"/>
                <w:szCs w:val="2"/>
              </w:rPr>
            </w:pPr>
          </w:p>
        </w:tc>
        <w:tc>
          <w:tcPr>
            <w:tcW w:w="1693" w:type="dxa"/>
            <w:noWrap/>
            <w:hideMark/>
          </w:tcPr>
          <w:p w14:paraId="4265E229" w14:textId="77777777" w:rsidR="006610DD" w:rsidRPr="006610DD" w:rsidRDefault="006610DD" w:rsidP="006610DD">
            <w:pPr>
              <w:pStyle w:val="Source"/>
              <w:rPr>
                <w:sz w:val="2"/>
                <w:szCs w:val="2"/>
              </w:rPr>
            </w:pPr>
            <w:r w:rsidRPr="006610DD">
              <w:rPr>
                <w:sz w:val="2"/>
                <w:szCs w:val="2"/>
              </w:rPr>
              <w:t>Family Day Care</w:t>
            </w:r>
          </w:p>
        </w:tc>
        <w:tc>
          <w:tcPr>
            <w:tcW w:w="662" w:type="dxa"/>
            <w:noWrap/>
            <w:hideMark/>
          </w:tcPr>
          <w:p w14:paraId="59A21F40" w14:textId="4716E94D" w:rsidR="006610DD" w:rsidRPr="006610DD" w:rsidRDefault="006610DD" w:rsidP="006610DD">
            <w:pPr>
              <w:pStyle w:val="Source"/>
              <w:rPr>
                <w:sz w:val="2"/>
                <w:szCs w:val="2"/>
              </w:rPr>
            </w:pPr>
            <w:r w:rsidRPr="006610DD">
              <w:rPr>
                <w:sz w:val="2"/>
                <w:szCs w:val="2"/>
              </w:rPr>
              <w:t>5</w:t>
            </w:r>
          </w:p>
        </w:tc>
        <w:tc>
          <w:tcPr>
            <w:tcW w:w="662" w:type="dxa"/>
            <w:noWrap/>
            <w:hideMark/>
          </w:tcPr>
          <w:p w14:paraId="3B95CAB8" w14:textId="77777777" w:rsidR="006610DD" w:rsidRPr="006610DD" w:rsidRDefault="006610DD" w:rsidP="006610DD">
            <w:pPr>
              <w:pStyle w:val="Source"/>
              <w:rPr>
                <w:sz w:val="2"/>
                <w:szCs w:val="2"/>
              </w:rPr>
            </w:pPr>
            <w:r w:rsidRPr="006610DD">
              <w:rPr>
                <w:sz w:val="2"/>
                <w:szCs w:val="2"/>
              </w:rPr>
              <w:t>4</w:t>
            </w:r>
          </w:p>
        </w:tc>
        <w:tc>
          <w:tcPr>
            <w:tcW w:w="662" w:type="dxa"/>
            <w:noWrap/>
            <w:hideMark/>
          </w:tcPr>
          <w:p w14:paraId="7C8EC0F8" w14:textId="77777777" w:rsidR="006610DD" w:rsidRPr="006610DD" w:rsidRDefault="006610DD" w:rsidP="006610DD">
            <w:pPr>
              <w:pStyle w:val="Source"/>
              <w:rPr>
                <w:sz w:val="2"/>
                <w:szCs w:val="2"/>
              </w:rPr>
            </w:pPr>
            <w:r w:rsidRPr="006610DD">
              <w:rPr>
                <w:sz w:val="2"/>
                <w:szCs w:val="2"/>
              </w:rPr>
              <w:t>3</w:t>
            </w:r>
          </w:p>
        </w:tc>
        <w:tc>
          <w:tcPr>
            <w:tcW w:w="662" w:type="dxa"/>
            <w:noWrap/>
            <w:hideMark/>
          </w:tcPr>
          <w:p w14:paraId="0B8DD8EB" w14:textId="77777777" w:rsidR="006610DD" w:rsidRPr="006610DD" w:rsidRDefault="006610DD" w:rsidP="006610DD">
            <w:pPr>
              <w:pStyle w:val="Source"/>
              <w:rPr>
                <w:sz w:val="2"/>
                <w:szCs w:val="2"/>
              </w:rPr>
            </w:pPr>
            <w:r w:rsidRPr="006610DD">
              <w:rPr>
                <w:sz w:val="2"/>
                <w:szCs w:val="2"/>
              </w:rPr>
              <w:t>3</w:t>
            </w:r>
          </w:p>
        </w:tc>
        <w:tc>
          <w:tcPr>
            <w:tcW w:w="662" w:type="dxa"/>
            <w:noWrap/>
            <w:hideMark/>
          </w:tcPr>
          <w:p w14:paraId="5BC7555C" w14:textId="77777777" w:rsidR="006610DD" w:rsidRPr="006610DD" w:rsidRDefault="006610DD" w:rsidP="006610DD">
            <w:pPr>
              <w:pStyle w:val="Source"/>
              <w:rPr>
                <w:sz w:val="2"/>
                <w:szCs w:val="2"/>
              </w:rPr>
            </w:pPr>
            <w:r w:rsidRPr="006610DD">
              <w:rPr>
                <w:sz w:val="2"/>
                <w:szCs w:val="2"/>
              </w:rPr>
              <w:t>5</w:t>
            </w:r>
          </w:p>
        </w:tc>
        <w:tc>
          <w:tcPr>
            <w:tcW w:w="662" w:type="dxa"/>
            <w:noWrap/>
            <w:hideMark/>
          </w:tcPr>
          <w:p w14:paraId="092287C9" w14:textId="77777777" w:rsidR="006610DD" w:rsidRPr="006610DD" w:rsidRDefault="006610DD" w:rsidP="006610DD">
            <w:pPr>
              <w:pStyle w:val="Source"/>
              <w:rPr>
                <w:sz w:val="2"/>
                <w:szCs w:val="2"/>
              </w:rPr>
            </w:pPr>
            <w:r w:rsidRPr="006610DD">
              <w:rPr>
                <w:sz w:val="2"/>
                <w:szCs w:val="2"/>
              </w:rPr>
              <w:t>9</w:t>
            </w:r>
          </w:p>
        </w:tc>
        <w:tc>
          <w:tcPr>
            <w:tcW w:w="261" w:type="dxa"/>
            <w:noWrap/>
            <w:hideMark/>
          </w:tcPr>
          <w:p w14:paraId="0CBFE9F0" w14:textId="77777777" w:rsidR="006610DD" w:rsidRPr="006610DD" w:rsidRDefault="006610DD" w:rsidP="006610DD">
            <w:pPr>
              <w:pStyle w:val="Source"/>
              <w:rPr>
                <w:sz w:val="2"/>
                <w:szCs w:val="2"/>
              </w:rPr>
            </w:pPr>
            <w:r w:rsidRPr="006610DD">
              <w:rPr>
                <w:sz w:val="2"/>
                <w:szCs w:val="2"/>
              </w:rPr>
              <w:t>4</w:t>
            </w:r>
          </w:p>
        </w:tc>
      </w:tr>
      <w:tr w:rsidR="006610DD" w:rsidRPr="006610DD" w14:paraId="6AC88E72" w14:textId="77777777" w:rsidTr="006610DD">
        <w:trPr>
          <w:trHeight w:val="300"/>
          <w:jc w:val="center"/>
        </w:trPr>
        <w:tc>
          <w:tcPr>
            <w:tcW w:w="1134" w:type="dxa"/>
            <w:noWrap/>
            <w:hideMark/>
          </w:tcPr>
          <w:p w14:paraId="3D69E270" w14:textId="77777777" w:rsidR="006610DD" w:rsidRPr="006610DD" w:rsidRDefault="006610DD" w:rsidP="006610DD">
            <w:pPr>
              <w:pStyle w:val="Source"/>
              <w:rPr>
                <w:sz w:val="2"/>
                <w:szCs w:val="2"/>
              </w:rPr>
            </w:pPr>
          </w:p>
        </w:tc>
        <w:tc>
          <w:tcPr>
            <w:tcW w:w="1693" w:type="dxa"/>
            <w:noWrap/>
            <w:hideMark/>
          </w:tcPr>
          <w:p w14:paraId="2220C8BE" w14:textId="77777777" w:rsidR="006610DD" w:rsidRPr="006610DD" w:rsidRDefault="006610DD" w:rsidP="006610DD">
            <w:pPr>
              <w:pStyle w:val="Source"/>
              <w:rPr>
                <w:sz w:val="2"/>
                <w:szCs w:val="2"/>
              </w:rPr>
            </w:pPr>
            <w:r w:rsidRPr="006610DD">
              <w:rPr>
                <w:sz w:val="2"/>
                <w:szCs w:val="2"/>
              </w:rPr>
              <w:t>Out of School Hours Care</w:t>
            </w:r>
          </w:p>
        </w:tc>
        <w:tc>
          <w:tcPr>
            <w:tcW w:w="662" w:type="dxa"/>
            <w:noWrap/>
            <w:hideMark/>
          </w:tcPr>
          <w:p w14:paraId="5EC1E3A2" w14:textId="63D3B9FD" w:rsidR="006610DD" w:rsidRPr="006610DD" w:rsidRDefault="006610DD" w:rsidP="006610DD">
            <w:pPr>
              <w:pStyle w:val="Source"/>
              <w:rPr>
                <w:sz w:val="2"/>
                <w:szCs w:val="2"/>
              </w:rPr>
            </w:pPr>
            <w:r w:rsidRPr="006610DD">
              <w:rPr>
                <w:sz w:val="2"/>
                <w:szCs w:val="2"/>
              </w:rPr>
              <w:t>3</w:t>
            </w:r>
          </w:p>
        </w:tc>
        <w:tc>
          <w:tcPr>
            <w:tcW w:w="662" w:type="dxa"/>
            <w:noWrap/>
            <w:hideMark/>
          </w:tcPr>
          <w:p w14:paraId="4F46AA0C" w14:textId="77777777" w:rsidR="006610DD" w:rsidRPr="006610DD" w:rsidRDefault="006610DD" w:rsidP="006610DD">
            <w:pPr>
              <w:pStyle w:val="Source"/>
              <w:rPr>
                <w:sz w:val="2"/>
                <w:szCs w:val="2"/>
              </w:rPr>
            </w:pPr>
            <w:r w:rsidRPr="006610DD">
              <w:rPr>
                <w:sz w:val="2"/>
                <w:szCs w:val="2"/>
              </w:rPr>
              <w:t>8</w:t>
            </w:r>
          </w:p>
        </w:tc>
        <w:tc>
          <w:tcPr>
            <w:tcW w:w="662" w:type="dxa"/>
            <w:noWrap/>
            <w:hideMark/>
          </w:tcPr>
          <w:p w14:paraId="64F67349" w14:textId="77777777" w:rsidR="006610DD" w:rsidRPr="006610DD" w:rsidRDefault="006610DD" w:rsidP="006610DD">
            <w:pPr>
              <w:pStyle w:val="Source"/>
              <w:rPr>
                <w:sz w:val="2"/>
                <w:szCs w:val="2"/>
              </w:rPr>
            </w:pPr>
            <w:r w:rsidRPr="006610DD">
              <w:rPr>
                <w:sz w:val="2"/>
                <w:szCs w:val="2"/>
              </w:rPr>
              <w:t>28</w:t>
            </w:r>
          </w:p>
        </w:tc>
        <w:tc>
          <w:tcPr>
            <w:tcW w:w="662" w:type="dxa"/>
            <w:noWrap/>
            <w:hideMark/>
          </w:tcPr>
          <w:p w14:paraId="5DB1AB0F" w14:textId="77777777" w:rsidR="006610DD" w:rsidRPr="006610DD" w:rsidRDefault="006610DD" w:rsidP="006610DD">
            <w:pPr>
              <w:pStyle w:val="Source"/>
              <w:rPr>
                <w:sz w:val="2"/>
                <w:szCs w:val="2"/>
              </w:rPr>
            </w:pPr>
            <w:r w:rsidRPr="006610DD">
              <w:rPr>
                <w:sz w:val="2"/>
                <w:szCs w:val="2"/>
              </w:rPr>
              <w:t>24</w:t>
            </w:r>
          </w:p>
        </w:tc>
        <w:tc>
          <w:tcPr>
            <w:tcW w:w="662" w:type="dxa"/>
            <w:noWrap/>
            <w:hideMark/>
          </w:tcPr>
          <w:p w14:paraId="03FC3BBD" w14:textId="77777777" w:rsidR="006610DD" w:rsidRPr="006610DD" w:rsidRDefault="006610DD" w:rsidP="006610DD">
            <w:pPr>
              <w:pStyle w:val="Source"/>
              <w:rPr>
                <w:sz w:val="2"/>
                <w:szCs w:val="2"/>
              </w:rPr>
            </w:pPr>
            <w:r w:rsidRPr="006610DD">
              <w:rPr>
                <w:sz w:val="2"/>
                <w:szCs w:val="2"/>
              </w:rPr>
              <w:t>43</w:t>
            </w:r>
          </w:p>
        </w:tc>
        <w:tc>
          <w:tcPr>
            <w:tcW w:w="662" w:type="dxa"/>
            <w:noWrap/>
            <w:hideMark/>
          </w:tcPr>
          <w:p w14:paraId="7E8C7A9A" w14:textId="77777777" w:rsidR="006610DD" w:rsidRPr="006610DD" w:rsidRDefault="006610DD" w:rsidP="006610DD">
            <w:pPr>
              <w:pStyle w:val="Source"/>
              <w:rPr>
                <w:sz w:val="2"/>
                <w:szCs w:val="2"/>
              </w:rPr>
            </w:pPr>
            <w:r w:rsidRPr="006610DD">
              <w:rPr>
                <w:sz w:val="2"/>
                <w:szCs w:val="2"/>
              </w:rPr>
              <w:t>52</w:t>
            </w:r>
          </w:p>
        </w:tc>
        <w:tc>
          <w:tcPr>
            <w:tcW w:w="261" w:type="dxa"/>
            <w:noWrap/>
            <w:hideMark/>
          </w:tcPr>
          <w:p w14:paraId="6E4867F2" w14:textId="77777777" w:rsidR="006610DD" w:rsidRPr="006610DD" w:rsidRDefault="006610DD" w:rsidP="006610DD">
            <w:pPr>
              <w:pStyle w:val="Source"/>
              <w:rPr>
                <w:sz w:val="2"/>
                <w:szCs w:val="2"/>
              </w:rPr>
            </w:pPr>
            <w:r w:rsidRPr="006610DD">
              <w:rPr>
                <w:sz w:val="2"/>
                <w:szCs w:val="2"/>
              </w:rPr>
              <w:t>41</w:t>
            </w:r>
          </w:p>
        </w:tc>
      </w:tr>
      <w:tr w:rsidR="006610DD" w:rsidRPr="006610DD" w14:paraId="0F0E03F1" w14:textId="77777777" w:rsidTr="006610DD">
        <w:trPr>
          <w:trHeight w:val="300"/>
          <w:jc w:val="center"/>
        </w:trPr>
        <w:tc>
          <w:tcPr>
            <w:tcW w:w="1134" w:type="dxa"/>
            <w:noWrap/>
            <w:hideMark/>
          </w:tcPr>
          <w:p w14:paraId="2B0D9C08" w14:textId="77777777" w:rsidR="006610DD" w:rsidRPr="006610DD" w:rsidRDefault="006610DD" w:rsidP="006610DD">
            <w:pPr>
              <w:pStyle w:val="Source"/>
              <w:rPr>
                <w:sz w:val="2"/>
                <w:szCs w:val="2"/>
              </w:rPr>
            </w:pPr>
          </w:p>
        </w:tc>
        <w:tc>
          <w:tcPr>
            <w:tcW w:w="1693" w:type="dxa"/>
            <w:noWrap/>
            <w:hideMark/>
          </w:tcPr>
          <w:p w14:paraId="4427B90C" w14:textId="77777777" w:rsidR="006610DD" w:rsidRPr="006610DD" w:rsidRDefault="006610DD" w:rsidP="006610DD">
            <w:pPr>
              <w:pStyle w:val="Source"/>
              <w:rPr>
                <w:sz w:val="2"/>
                <w:szCs w:val="2"/>
              </w:rPr>
            </w:pPr>
          </w:p>
        </w:tc>
        <w:tc>
          <w:tcPr>
            <w:tcW w:w="662" w:type="dxa"/>
            <w:noWrap/>
            <w:hideMark/>
          </w:tcPr>
          <w:p w14:paraId="42F2C88B" w14:textId="77777777" w:rsidR="006610DD" w:rsidRPr="006610DD" w:rsidRDefault="006610DD" w:rsidP="006610DD">
            <w:pPr>
              <w:pStyle w:val="Source"/>
              <w:rPr>
                <w:b/>
                <w:bCs/>
                <w:sz w:val="2"/>
                <w:szCs w:val="2"/>
              </w:rPr>
            </w:pPr>
            <w:r w:rsidRPr="006610DD">
              <w:rPr>
                <w:b/>
                <w:bCs/>
                <w:sz w:val="2"/>
                <w:szCs w:val="2"/>
              </w:rPr>
              <w:t>2017</w:t>
            </w:r>
          </w:p>
        </w:tc>
        <w:tc>
          <w:tcPr>
            <w:tcW w:w="662" w:type="dxa"/>
            <w:noWrap/>
            <w:hideMark/>
          </w:tcPr>
          <w:p w14:paraId="77044566" w14:textId="77777777" w:rsidR="006610DD" w:rsidRPr="006610DD" w:rsidRDefault="006610DD" w:rsidP="006610DD">
            <w:pPr>
              <w:pStyle w:val="Source"/>
              <w:rPr>
                <w:b/>
                <w:bCs/>
                <w:sz w:val="2"/>
                <w:szCs w:val="2"/>
              </w:rPr>
            </w:pPr>
            <w:r w:rsidRPr="006610DD">
              <w:rPr>
                <w:b/>
                <w:bCs/>
                <w:sz w:val="2"/>
                <w:szCs w:val="2"/>
              </w:rPr>
              <w:t>2018</w:t>
            </w:r>
          </w:p>
        </w:tc>
        <w:tc>
          <w:tcPr>
            <w:tcW w:w="662" w:type="dxa"/>
            <w:noWrap/>
            <w:hideMark/>
          </w:tcPr>
          <w:p w14:paraId="79E75023" w14:textId="77777777" w:rsidR="006610DD" w:rsidRPr="006610DD" w:rsidRDefault="006610DD" w:rsidP="006610DD">
            <w:pPr>
              <w:pStyle w:val="Source"/>
              <w:rPr>
                <w:b/>
                <w:bCs/>
                <w:sz w:val="2"/>
                <w:szCs w:val="2"/>
              </w:rPr>
            </w:pPr>
            <w:r w:rsidRPr="006610DD">
              <w:rPr>
                <w:b/>
                <w:bCs/>
                <w:sz w:val="2"/>
                <w:szCs w:val="2"/>
              </w:rPr>
              <w:t>2019</w:t>
            </w:r>
          </w:p>
        </w:tc>
        <w:tc>
          <w:tcPr>
            <w:tcW w:w="662" w:type="dxa"/>
            <w:noWrap/>
            <w:hideMark/>
          </w:tcPr>
          <w:p w14:paraId="39FA591C" w14:textId="77777777" w:rsidR="006610DD" w:rsidRPr="006610DD" w:rsidRDefault="006610DD" w:rsidP="006610DD">
            <w:pPr>
              <w:pStyle w:val="Source"/>
              <w:rPr>
                <w:b/>
                <w:bCs/>
                <w:sz w:val="2"/>
                <w:szCs w:val="2"/>
              </w:rPr>
            </w:pPr>
            <w:r w:rsidRPr="006610DD">
              <w:rPr>
                <w:b/>
                <w:bCs/>
                <w:sz w:val="2"/>
                <w:szCs w:val="2"/>
              </w:rPr>
              <w:t>2020</w:t>
            </w:r>
          </w:p>
        </w:tc>
        <w:tc>
          <w:tcPr>
            <w:tcW w:w="662" w:type="dxa"/>
            <w:noWrap/>
            <w:hideMark/>
          </w:tcPr>
          <w:p w14:paraId="54394D87" w14:textId="77777777" w:rsidR="006610DD" w:rsidRPr="006610DD" w:rsidRDefault="006610DD" w:rsidP="006610DD">
            <w:pPr>
              <w:pStyle w:val="Source"/>
              <w:rPr>
                <w:b/>
                <w:bCs/>
                <w:sz w:val="2"/>
                <w:szCs w:val="2"/>
              </w:rPr>
            </w:pPr>
            <w:r w:rsidRPr="006610DD">
              <w:rPr>
                <w:b/>
                <w:bCs/>
                <w:sz w:val="2"/>
                <w:szCs w:val="2"/>
              </w:rPr>
              <w:t>2021</w:t>
            </w:r>
          </w:p>
        </w:tc>
        <w:tc>
          <w:tcPr>
            <w:tcW w:w="662" w:type="dxa"/>
            <w:noWrap/>
            <w:hideMark/>
          </w:tcPr>
          <w:p w14:paraId="35602363" w14:textId="77777777" w:rsidR="006610DD" w:rsidRPr="006610DD" w:rsidRDefault="006610DD" w:rsidP="006610DD">
            <w:pPr>
              <w:pStyle w:val="Source"/>
              <w:rPr>
                <w:b/>
                <w:bCs/>
                <w:sz w:val="2"/>
                <w:szCs w:val="2"/>
              </w:rPr>
            </w:pPr>
            <w:r w:rsidRPr="006610DD">
              <w:rPr>
                <w:b/>
                <w:bCs/>
                <w:sz w:val="2"/>
                <w:szCs w:val="2"/>
              </w:rPr>
              <w:t>2022</w:t>
            </w:r>
          </w:p>
        </w:tc>
        <w:tc>
          <w:tcPr>
            <w:tcW w:w="261" w:type="dxa"/>
            <w:noWrap/>
            <w:hideMark/>
          </w:tcPr>
          <w:p w14:paraId="443A63A8" w14:textId="77777777" w:rsidR="006610DD" w:rsidRPr="006610DD" w:rsidRDefault="006610DD" w:rsidP="006610DD">
            <w:pPr>
              <w:pStyle w:val="Source"/>
              <w:rPr>
                <w:b/>
                <w:bCs/>
                <w:sz w:val="2"/>
                <w:szCs w:val="2"/>
              </w:rPr>
            </w:pPr>
            <w:r w:rsidRPr="006610DD">
              <w:rPr>
                <w:b/>
                <w:bCs/>
                <w:sz w:val="2"/>
                <w:szCs w:val="2"/>
              </w:rPr>
              <w:t>2023</w:t>
            </w:r>
          </w:p>
        </w:tc>
      </w:tr>
      <w:tr w:rsidR="006610DD" w:rsidRPr="006610DD" w14:paraId="5E0241CC" w14:textId="77777777" w:rsidTr="006610DD">
        <w:trPr>
          <w:trHeight w:val="300"/>
          <w:jc w:val="center"/>
        </w:trPr>
        <w:tc>
          <w:tcPr>
            <w:tcW w:w="1134" w:type="dxa"/>
            <w:noWrap/>
            <w:hideMark/>
          </w:tcPr>
          <w:p w14:paraId="27B9FB36" w14:textId="77777777" w:rsidR="006610DD" w:rsidRPr="006610DD" w:rsidRDefault="006610DD" w:rsidP="006610DD">
            <w:pPr>
              <w:pStyle w:val="Source"/>
              <w:rPr>
                <w:b/>
                <w:bCs/>
                <w:sz w:val="2"/>
                <w:szCs w:val="2"/>
              </w:rPr>
            </w:pPr>
            <w:r w:rsidRPr="006610DD">
              <w:rPr>
                <w:b/>
                <w:bCs/>
                <w:sz w:val="2"/>
                <w:szCs w:val="2"/>
              </w:rPr>
              <w:t>Share of services with ratio waiver (%)</w:t>
            </w:r>
          </w:p>
        </w:tc>
        <w:tc>
          <w:tcPr>
            <w:tcW w:w="1693" w:type="dxa"/>
            <w:noWrap/>
            <w:hideMark/>
          </w:tcPr>
          <w:p w14:paraId="24E7051C" w14:textId="77777777" w:rsidR="006610DD" w:rsidRPr="006610DD" w:rsidRDefault="006610DD" w:rsidP="006610DD">
            <w:pPr>
              <w:pStyle w:val="Source"/>
              <w:rPr>
                <w:sz w:val="2"/>
                <w:szCs w:val="2"/>
              </w:rPr>
            </w:pPr>
            <w:r w:rsidRPr="006610DD">
              <w:rPr>
                <w:sz w:val="2"/>
                <w:szCs w:val="2"/>
              </w:rPr>
              <w:t>Centre Based Day Care</w:t>
            </w:r>
          </w:p>
        </w:tc>
        <w:tc>
          <w:tcPr>
            <w:tcW w:w="662" w:type="dxa"/>
            <w:noWrap/>
            <w:hideMark/>
          </w:tcPr>
          <w:p w14:paraId="4DBBC961" w14:textId="77777777" w:rsidR="006610DD" w:rsidRPr="006610DD" w:rsidRDefault="006610DD" w:rsidP="006610DD">
            <w:pPr>
              <w:pStyle w:val="Source"/>
              <w:rPr>
                <w:sz w:val="2"/>
                <w:szCs w:val="2"/>
              </w:rPr>
            </w:pPr>
            <w:r w:rsidRPr="006610DD">
              <w:rPr>
                <w:sz w:val="2"/>
                <w:szCs w:val="2"/>
              </w:rPr>
              <w:t>0.08</w:t>
            </w:r>
          </w:p>
        </w:tc>
        <w:tc>
          <w:tcPr>
            <w:tcW w:w="662" w:type="dxa"/>
            <w:noWrap/>
            <w:hideMark/>
          </w:tcPr>
          <w:p w14:paraId="38296FA5" w14:textId="77777777" w:rsidR="006610DD" w:rsidRPr="006610DD" w:rsidRDefault="006610DD" w:rsidP="006610DD">
            <w:pPr>
              <w:pStyle w:val="Source"/>
              <w:rPr>
                <w:sz w:val="2"/>
                <w:szCs w:val="2"/>
              </w:rPr>
            </w:pPr>
            <w:r w:rsidRPr="006610DD">
              <w:rPr>
                <w:sz w:val="2"/>
                <w:szCs w:val="2"/>
              </w:rPr>
              <w:t>0.14</w:t>
            </w:r>
          </w:p>
        </w:tc>
        <w:tc>
          <w:tcPr>
            <w:tcW w:w="662" w:type="dxa"/>
            <w:noWrap/>
            <w:hideMark/>
          </w:tcPr>
          <w:p w14:paraId="28ACEBE1" w14:textId="77777777" w:rsidR="006610DD" w:rsidRPr="006610DD" w:rsidRDefault="006610DD" w:rsidP="006610DD">
            <w:pPr>
              <w:pStyle w:val="Source"/>
              <w:rPr>
                <w:sz w:val="2"/>
                <w:szCs w:val="2"/>
              </w:rPr>
            </w:pPr>
            <w:r w:rsidRPr="006610DD">
              <w:rPr>
                <w:sz w:val="2"/>
                <w:szCs w:val="2"/>
              </w:rPr>
              <w:t>0.20</w:t>
            </w:r>
          </w:p>
        </w:tc>
        <w:tc>
          <w:tcPr>
            <w:tcW w:w="662" w:type="dxa"/>
            <w:noWrap/>
            <w:hideMark/>
          </w:tcPr>
          <w:p w14:paraId="0CE1CF8A" w14:textId="77777777" w:rsidR="006610DD" w:rsidRPr="006610DD" w:rsidRDefault="006610DD" w:rsidP="006610DD">
            <w:pPr>
              <w:pStyle w:val="Source"/>
              <w:rPr>
                <w:sz w:val="2"/>
                <w:szCs w:val="2"/>
              </w:rPr>
            </w:pPr>
            <w:r w:rsidRPr="006610DD">
              <w:rPr>
                <w:sz w:val="2"/>
                <w:szCs w:val="2"/>
              </w:rPr>
              <w:t>0.32</w:t>
            </w:r>
          </w:p>
        </w:tc>
        <w:tc>
          <w:tcPr>
            <w:tcW w:w="662" w:type="dxa"/>
            <w:noWrap/>
            <w:hideMark/>
          </w:tcPr>
          <w:p w14:paraId="4DE38878" w14:textId="77777777" w:rsidR="006610DD" w:rsidRPr="006610DD" w:rsidRDefault="006610DD" w:rsidP="006610DD">
            <w:pPr>
              <w:pStyle w:val="Source"/>
              <w:rPr>
                <w:sz w:val="2"/>
                <w:szCs w:val="2"/>
              </w:rPr>
            </w:pPr>
            <w:r w:rsidRPr="006610DD">
              <w:rPr>
                <w:sz w:val="2"/>
                <w:szCs w:val="2"/>
              </w:rPr>
              <w:t>0.26</w:t>
            </w:r>
          </w:p>
        </w:tc>
        <w:tc>
          <w:tcPr>
            <w:tcW w:w="662" w:type="dxa"/>
            <w:noWrap/>
            <w:hideMark/>
          </w:tcPr>
          <w:p w14:paraId="2CF74B4C" w14:textId="77777777" w:rsidR="006610DD" w:rsidRPr="006610DD" w:rsidRDefault="006610DD" w:rsidP="006610DD">
            <w:pPr>
              <w:pStyle w:val="Source"/>
              <w:rPr>
                <w:sz w:val="2"/>
                <w:szCs w:val="2"/>
              </w:rPr>
            </w:pPr>
            <w:r w:rsidRPr="006610DD">
              <w:rPr>
                <w:sz w:val="2"/>
                <w:szCs w:val="2"/>
              </w:rPr>
              <w:t>0.50</w:t>
            </w:r>
          </w:p>
        </w:tc>
        <w:tc>
          <w:tcPr>
            <w:tcW w:w="261" w:type="dxa"/>
            <w:noWrap/>
            <w:hideMark/>
          </w:tcPr>
          <w:p w14:paraId="26106513" w14:textId="77777777" w:rsidR="006610DD" w:rsidRPr="006610DD" w:rsidRDefault="006610DD" w:rsidP="006610DD">
            <w:pPr>
              <w:pStyle w:val="Source"/>
              <w:rPr>
                <w:sz w:val="2"/>
                <w:szCs w:val="2"/>
              </w:rPr>
            </w:pPr>
            <w:r w:rsidRPr="006610DD">
              <w:rPr>
                <w:sz w:val="2"/>
                <w:szCs w:val="2"/>
              </w:rPr>
              <w:t>0.50</w:t>
            </w:r>
          </w:p>
        </w:tc>
      </w:tr>
      <w:tr w:rsidR="006610DD" w:rsidRPr="006610DD" w14:paraId="5D3F0DFC" w14:textId="77777777" w:rsidTr="006610DD">
        <w:trPr>
          <w:trHeight w:val="300"/>
          <w:jc w:val="center"/>
        </w:trPr>
        <w:tc>
          <w:tcPr>
            <w:tcW w:w="1134" w:type="dxa"/>
            <w:noWrap/>
            <w:hideMark/>
          </w:tcPr>
          <w:p w14:paraId="17A31C48" w14:textId="77777777" w:rsidR="006610DD" w:rsidRPr="006610DD" w:rsidRDefault="006610DD" w:rsidP="006610DD">
            <w:pPr>
              <w:pStyle w:val="Source"/>
              <w:rPr>
                <w:sz w:val="2"/>
                <w:szCs w:val="2"/>
              </w:rPr>
            </w:pPr>
          </w:p>
        </w:tc>
        <w:tc>
          <w:tcPr>
            <w:tcW w:w="1693" w:type="dxa"/>
            <w:noWrap/>
            <w:hideMark/>
          </w:tcPr>
          <w:p w14:paraId="6780C295" w14:textId="77777777" w:rsidR="006610DD" w:rsidRPr="006610DD" w:rsidRDefault="006610DD" w:rsidP="006610DD">
            <w:pPr>
              <w:pStyle w:val="Source"/>
              <w:rPr>
                <w:sz w:val="2"/>
                <w:szCs w:val="2"/>
              </w:rPr>
            </w:pPr>
            <w:r w:rsidRPr="006610DD">
              <w:rPr>
                <w:sz w:val="2"/>
                <w:szCs w:val="2"/>
              </w:rPr>
              <w:t>Family Day Care</w:t>
            </w:r>
          </w:p>
        </w:tc>
        <w:tc>
          <w:tcPr>
            <w:tcW w:w="662" w:type="dxa"/>
            <w:noWrap/>
            <w:hideMark/>
          </w:tcPr>
          <w:p w14:paraId="51B5B275" w14:textId="77777777" w:rsidR="006610DD" w:rsidRPr="006610DD" w:rsidRDefault="006610DD" w:rsidP="006610DD">
            <w:pPr>
              <w:pStyle w:val="Source"/>
              <w:rPr>
                <w:sz w:val="2"/>
                <w:szCs w:val="2"/>
              </w:rPr>
            </w:pPr>
            <w:r w:rsidRPr="006610DD">
              <w:rPr>
                <w:sz w:val="2"/>
                <w:szCs w:val="2"/>
              </w:rPr>
              <w:t>0.39</w:t>
            </w:r>
          </w:p>
        </w:tc>
        <w:tc>
          <w:tcPr>
            <w:tcW w:w="662" w:type="dxa"/>
            <w:noWrap/>
            <w:hideMark/>
          </w:tcPr>
          <w:p w14:paraId="428C14A9" w14:textId="77777777" w:rsidR="006610DD" w:rsidRPr="006610DD" w:rsidRDefault="006610DD" w:rsidP="006610DD">
            <w:pPr>
              <w:pStyle w:val="Source"/>
              <w:rPr>
                <w:sz w:val="2"/>
                <w:szCs w:val="2"/>
              </w:rPr>
            </w:pPr>
            <w:r w:rsidRPr="006610DD">
              <w:rPr>
                <w:sz w:val="2"/>
                <w:szCs w:val="2"/>
              </w:rPr>
              <w:t>0.46</w:t>
            </w:r>
          </w:p>
        </w:tc>
        <w:tc>
          <w:tcPr>
            <w:tcW w:w="662" w:type="dxa"/>
            <w:noWrap/>
            <w:hideMark/>
          </w:tcPr>
          <w:p w14:paraId="13016F4A" w14:textId="77777777" w:rsidR="006610DD" w:rsidRPr="006610DD" w:rsidRDefault="006610DD" w:rsidP="006610DD">
            <w:pPr>
              <w:pStyle w:val="Source"/>
              <w:rPr>
                <w:sz w:val="2"/>
                <w:szCs w:val="2"/>
              </w:rPr>
            </w:pPr>
            <w:r w:rsidRPr="006610DD">
              <w:rPr>
                <w:sz w:val="2"/>
                <w:szCs w:val="2"/>
              </w:rPr>
              <w:t>0.45</w:t>
            </w:r>
          </w:p>
        </w:tc>
        <w:tc>
          <w:tcPr>
            <w:tcW w:w="662" w:type="dxa"/>
            <w:noWrap/>
            <w:hideMark/>
          </w:tcPr>
          <w:p w14:paraId="39171FD5" w14:textId="77777777" w:rsidR="006610DD" w:rsidRPr="006610DD" w:rsidRDefault="006610DD" w:rsidP="006610DD">
            <w:pPr>
              <w:pStyle w:val="Source"/>
              <w:rPr>
                <w:sz w:val="2"/>
                <w:szCs w:val="2"/>
              </w:rPr>
            </w:pPr>
            <w:r w:rsidRPr="006610DD">
              <w:rPr>
                <w:sz w:val="2"/>
                <w:szCs w:val="2"/>
              </w:rPr>
              <w:t>0.36</w:t>
            </w:r>
          </w:p>
        </w:tc>
        <w:tc>
          <w:tcPr>
            <w:tcW w:w="662" w:type="dxa"/>
            <w:noWrap/>
            <w:hideMark/>
          </w:tcPr>
          <w:p w14:paraId="472CFFD3" w14:textId="77777777" w:rsidR="006610DD" w:rsidRPr="006610DD" w:rsidRDefault="006610DD" w:rsidP="006610DD">
            <w:pPr>
              <w:pStyle w:val="Source"/>
              <w:rPr>
                <w:sz w:val="2"/>
                <w:szCs w:val="2"/>
              </w:rPr>
            </w:pPr>
            <w:r w:rsidRPr="006610DD">
              <w:rPr>
                <w:sz w:val="2"/>
                <w:szCs w:val="2"/>
              </w:rPr>
              <w:t>0.74</w:t>
            </w:r>
          </w:p>
        </w:tc>
        <w:tc>
          <w:tcPr>
            <w:tcW w:w="662" w:type="dxa"/>
            <w:noWrap/>
            <w:hideMark/>
          </w:tcPr>
          <w:p w14:paraId="245F2C81" w14:textId="77777777" w:rsidR="006610DD" w:rsidRPr="006610DD" w:rsidRDefault="006610DD" w:rsidP="006610DD">
            <w:pPr>
              <w:pStyle w:val="Source"/>
              <w:rPr>
                <w:sz w:val="2"/>
                <w:szCs w:val="2"/>
              </w:rPr>
            </w:pPr>
            <w:r w:rsidRPr="006610DD">
              <w:rPr>
                <w:sz w:val="2"/>
                <w:szCs w:val="2"/>
              </w:rPr>
              <w:t>1.50</w:t>
            </w:r>
          </w:p>
        </w:tc>
        <w:tc>
          <w:tcPr>
            <w:tcW w:w="261" w:type="dxa"/>
            <w:noWrap/>
            <w:hideMark/>
          </w:tcPr>
          <w:p w14:paraId="723B0516" w14:textId="77777777" w:rsidR="006610DD" w:rsidRPr="006610DD" w:rsidRDefault="006610DD" w:rsidP="006610DD">
            <w:pPr>
              <w:pStyle w:val="Source"/>
              <w:rPr>
                <w:sz w:val="2"/>
                <w:szCs w:val="2"/>
              </w:rPr>
            </w:pPr>
            <w:r w:rsidRPr="006610DD">
              <w:rPr>
                <w:sz w:val="2"/>
                <w:szCs w:val="2"/>
              </w:rPr>
              <w:t>0.63</w:t>
            </w:r>
          </w:p>
        </w:tc>
      </w:tr>
      <w:tr w:rsidR="006610DD" w:rsidRPr="006610DD" w14:paraId="7D49E640" w14:textId="77777777" w:rsidTr="006610DD">
        <w:trPr>
          <w:trHeight w:val="300"/>
          <w:jc w:val="center"/>
        </w:trPr>
        <w:tc>
          <w:tcPr>
            <w:tcW w:w="1134" w:type="dxa"/>
            <w:noWrap/>
            <w:hideMark/>
          </w:tcPr>
          <w:p w14:paraId="57085317" w14:textId="77777777" w:rsidR="006610DD" w:rsidRPr="006610DD" w:rsidRDefault="006610DD" w:rsidP="006610DD">
            <w:pPr>
              <w:pStyle w:val="Source"/>
              <w:rPr>
                <w:sz w:val="2"/>
                <w:szCs w:val="2"/>
              </w:rPr>
            </w:pPr>
          </w:p>
        </w:tc>
        <w:tc>
          <w:tcPr>
            <w:tcW w:w="1693" w:type="dxa"/>
            <w:noWrap/>
            <w:hideMark/>
          </w:tcPr>
          <w:p w14:paraId="75686B53" w14:textId="77777777" w:rsidR="006610DD" w:rsidRPr="006610DD" w:rsidRDefault="006610DD" w:rsidP="006610DD">
            <w:pPr>
              <w:pStyle w:val="Source"/>
              <w:rPr>
                <w:sz w:val="2"/>
                <w:szCs w:val="2"/>
              </w:rPr>
            </w:pPr>
            <w:r w:rsidRPr="006610DD">
              <w:rPr>
                <w:sz w:val="2"/>
                <w:szCs w:val="2"/>
              </w:rPr>
              <w:t>Out of School Hours Care</w:t>
            </w:r>
          </w:p>
        </w:tc>
        <w:tc>
          <w:tcPr>
            <w:tcW w:w="662" w:type="dxa"/>
            <w:noWrap/>
            <w:hideMark/>
          </w:tcPr>
          <w:p w14:paraId="41EA446A" w14:textId="77777777" w:rsidR="006610DD" w:rsidRPr="006610DD" w:rsidRDefault="006610DD" w:rsidP="006610DD">
            <w:pPr>
              <w:pStyle w:val="Source"/>
              <w:rPr>
                <w:sz w:val="2"/>
                <w:szCs w:val="2"/>
              </w:rPr>
            </w:pPr>
            <w:r w:rsidRPr="006610DD">
              <w:rPr>
                <w:sz w:val="2"/>
                <w:szCs w:val="2"/>
              </w:rPr>
              <w:t>0.07</w:t>
            </w:r>
          </w:p>
        </w:tc>
        <w:tc>
          <w:tcPr>
            <w:tcW w:w="662" w:type="dxa"/>
            <w:noWrap/>
            <w:hideMark/>
          </w:tcPr>
          <w:p w14:paraId="534F7AB0" w14:textId="77777777" w:rsidR="006610DD" w:rsidRPr="006610DD" w:rsidRDefault="006610DD" w:rsidP="006610DD">
            <w:pPr>
              <w:pStyle w:val="Source"/>
              <w:rPr>
                <w:sz w:val="2"/>
                <w:szCs w:val="2"/>
              </w:rPr>
            </w:pPr>
            <w:r w:rsidRPr="006610DD">
              <w:rPr>
                <w:sz w:val="2"/>
                <w:szCs w:val="2"/>
              </w:rPr>
              <w:t>0.15</w:t>
            </w:r>
          </w:p>
        </w:tc>
        <w:tc>
          <w:tcPr>
            <w:tcW w:w="662" w:type="dxa"/>
            <w:noWrap/>
            <w:hideMark/>
          </w:tcPr>
          <w:p w14:paraId="2B228629" w14:textId="77777777" w:rsidR="006610DD" w:rsidRPr="006610DD" w:rsidRDefault="006610DD" w:rsidP="006610DD">
            <w:pPr>
              <w:pStyle w:val="Source"/>
              <w:rPr>
                <w:sz w:val="2"/>
                <w:szCs w:val="2"/>
              </w:rPr>
            </w:pPr>
            <w:r w:rsidRPr="006610DD">
              <w:rPr>
                <w:sz w:val="2"/>
                <w:szCs w:val="2"/>
              </w:rPr>
              <w:t>0.54</w:t>
            </w:r>
          </w:p>
        </w:tc>
        <w:tc>
          <w:tcPr>
            <w:tcW w:w="662" w:type="dxa"/>
            <w:noWrap/>
            <w:hideMark/>
          </w:tcPr>
          <w:p w14:paraId="66818CAA" w14:textId="77777777" w:rsidR="006610DD" w:rsidRPr="006610DD" w:rsidRDefault="006610DD" w:rsidP="006610DD">
            <w:pPr>
              <w:pStyle w:val="Source"/>
              <w:rPr>
                <w:sz w:val="2"/>
                <w:szCs w:val="2"/>
              </w:rPr>
            </w:pPr>
            <w:r w:rsidRPr="006610DD">
              <w:rPr>
                <w:sz w:val="2"/>
                <w:szCs w:val="2"/>
              </w:rPr>
              <w:t>0.33</w:t>
            </w:r>
          </w:p>
        </w:tc>
        <w:tc>
          <w:tcPr>
            <w:tcW w:w="662" w:type="dxa"/>
            <w:noWrap/>
            <w:hideMark/>
          </w:tcPr>
          <w:p w14:paraId="12FE3153" w14:textId="77777777" w:rsidR="006610DD" w:rsidRPr="006610DD" w:rsidRDefault="006610DD" w:rsidP="006610DD">
            <w:pPr>
              <w:pStyle w:val="Source"/>
              <w:rPr>
                <w:sz w:val="2"/>
                <w:szCs w:val="2"/>
              </w:rPr>
            </w:pPr>
            <w:r w:rsidRPr="006610DD">
              <w:rPr>
                <w:sz w:val="2"/>
                <w:szCs w:val="2"/>
              </w:rPr>
              <w:t>0.77</w:t>
            </w:r>
          </w:p>
        </w:tc>
        <w:tc>
          <w:tcPr>
            <w:tcW w:w="662" w:type="dxa"/>
            <w:noWrap/>
            <w:hideMark/>
          </w:tcPr>
          <w:p w14:paraId="3CB6EF48" w14:textId="77777777" w:rsidR="006610DD" w:rsidRPr="006610DD" w:rsidRDefault="006610DD" w:rsidP="006610DD">
            <w:pPr>
              <w:pStyle w:val="Source"/>
              <w:rPr>
                <w:sz w:val="2"/>
                <w:szCs w:val="2"/>
              </w:rPr>
            </w:pPr>
            <w:r w:rsidRPr="006610DD">
              <w:rPr>
                <w:sz w:val="2"/>
                <w:szCs w:val="2"/>
              </w:rPr>
              <w:t>0.81</w:t>
            </w:r>
          </w:p>
        </w:tc>
        <w:tc>
          <w:tcPr>
            <w:tcW w:w="261" w:type="dxa"/>
            <w:noWrap/>
            <w:hideMark/>
          </w:tcPr>
          <w:p w14:paraId="5106647D" w14:textId="77777777" w:rsidR="006610DD" w:rsidRPr="006610DD" w:rsidRDefault="006610DD" w:rsidP="006610DD">
            <w:pPr>
              <w:pStyle w:val="Source"/>
              <w:rPr>
                <w:sz w:val="2"/>
                <w:szCs w:val="2"/>
              </w:rPr>
            </w:pPr>
            <w:r w:rsidRPr="006610DD">
              <w:rPr>
                <w:sz w:val="2"/>
                <w:szCs w:val="2"/>
              </w:rPr>
              <w:t>0.76</w:t>
            </w:r>
          </w:p>
        </w:tc>
      </w:tr>
    </w:tbl>
    <w:p w14:paraId="6DB16FC6" w14:textId="77777777" w:rsidR="006610DD" w:rsidRDefault="006610DD" w:rsidP="00BC3D30">
      <w:pPr>
        <w:pStyle w:val="Source"/>
      </w:pPr>
    </w:p>
    <w:p w14:paraId="3B279D85" w14:textId="77777777" w:rsidR="006610DD" w:rsidRDefault="006610DD" w:rsidP="00BC3D30">
      <w:pPr>
        <w:pStyle w:val="Source"/>
      </w:pPr>
    </w:p>
    <w:p w14:paraId="293E4B3B" w14:textId="77777777" w:rsidR="006610DD" w:rsidRDefault="006610DD" w:rsidP="00BC3D30">
      <w:pPr>
        <w:pStyle w:val="Source"/>
      </w:pPr>
    </w:p>
    <w:p w14:paraId="791CFD6F" w14:textId="77777777" w:rsidR="006610DD" w:rsidRDefault="006610DD" w:rsidP="00BC3D30">
      <w:pPr>
        <w:pStyle w:val="Source"/>
      </w:pPr>
    </w:p>
    <w:p w14:paraId="1B239B50" w14:textId="77777777" w:rsidR="006610DD" w:rsidRDefault="006610DD" w:rsidP="00BC3D30">
      <w:pPr>
        <w:pStyle w:val="Source"/>
      </w:pPr>
    </w:p>
    <w:p w14:paraId="5AF63ECB" w14:textId="77777777" w:rsidR="006610DD" w:rsidRDefault="006610DD" w:rsidP="00BC3D30">
      <w:pPr>
        <w:pStyle w:val="Source"/>
      </w:pPr>
    </w:p>
    <w:p w14:paraId="62FEBF94" w14:textId="77777777" w:rsidR="006610DD" w:rsidRDefault="006610DD" w:rsidP="00BC3D30">
      <w:pPr>
        <w:pStyle w:val="Source"/>
      </w:pPr>
    </w:p>
    <w:p w14:paraId="7C74F9DC" w14:textId="77777777" w:rsidR="006610DD" w:rsidRDefault="006610DD" w:rsidP="00BC3D30">
      <w:pPr>
        <w:pStyle w:val="Source"/>
      </w:pPr>
    </w:p>
    <w:p w14:paraId="2683AA58" w14:textId="77777777" w:rsidR="006610DD" w:rsidRDefault="006610DD" w:rsidP="00BC3D30">
      <w:pPr>
        <w:pStyle w:val="Source"/>
      </w:pPr>
    </w:p>
    <w:p w14:paraId="16C5CDCD" w14:textId="77777777" w:rsidR="006610DD" w:rsidRDefault="006610DD" w:rsidP="00BC3D30">
      <w:pPr>
        <w:pStyle w:val="Source"/>
      </w:pPr>
    </w:p>
    <w:p w14:paraId="47B3F922" w14:textId="77777777" w:rsidR="006610DD" w:rsidRDefault="006610DD" w:rsidP="00BC3D30">
      <w:pPr>
        <w:pStyle w:val="Source"/>
      </w:pPr>
    </w:p>
    <w:p w14:paraId="0A724DF4" w14:textId="77777777" w:rsidR="006610DD" w:rsidRDefault="006610DD" w:rsidP="00BC3D30">
      <w:pPr>
        <w:pStyle w:val="Source"/>
      </w:pPr>
    </w:p>
    <w:p w14:paraId="5683CF9C" w14:textId="77777777" w:rsidR="006610DD" w:rsidRDefault="006610DD" w:rsidP="00BC3D30">
      <w:pPr>
        <w:pStyle w:val="Source"/>
      </w:pPr>
    </w:p>
    <w:p w14:paraId="0A54FCCD" w14:textId="77777777" w:rsidR="006610DD" w:rsidRDefault="006610DD" w:rsidP="00BC3D30">
      <w:pPr>
        <w:pStyle w:val="Source"/>
      </w:pPr>
    </w:p>
    <w:p w14:paraId="79932E90" w14:textId="79730D99" w:rsidR="00BC3D30" w:rsidRPr="001359AF" w:rsidRDefault="00BC3D30" w:rsidP="00BC3D30">
      <w:pPr>
        <w:pStyle w:val="Source"/>
      </w:pPr>
      <w:r w:rsidRPr="001359AF">
        <w:t xml:space="preserve">Source: </w:t>
      </w:r>
      <w:r>
        <w:t>JSA analysis of ACECQA, National Registers and Waivers data.</w:t>
      </w:r>
    </w:p>
    <w:p w14:paraId="1E6E5096" w14:textId="77777777" w:rsidR="00BC3D30" w:rsidRPr="00520954" w:rsidRDefault="00BC3D30" w:rsidP="00BC3D30">
      <w:pPr>
        <w:pStyle w:val="Heading2"/>
      </w:pPr>
      <w:bookmarkStart w:id="56" w:name="_Toc174363699"/>
      <w:r w:rsidRPr="00520954">
        <w:t>Provision of ECEC</w:t>
      </w:r>
      <w:bookmarkEnd w:id="56"/>
    </w:p>
    <w:p w14:paraId="09165127" w14:textId="77777777" w:rsidR="00BC3D30" w:rsidRPr="00FD682D" w:rsidRDefault="00BC3D30" w:rsidP="00BC3D30">
      <w:r>
        <w:rPr>
          <w:rFonts w:cs="Arial"/>
        </w:rPr>
        <w:t>Core outcomes of the ECEC sector—including ensuring families have access to affordable and quality care that promotes child development—are the result of a complex interaction between family preferences, regulatory settings, and the behaviour of services and providers. The following section examines the supply of ECEC, examining key characteristics across service type and the interaction with high-level workforce indicators.</w:t>
      </w:r>
    </w:p>
    <w:p w14:paraId="383403A9" w14:textId="77777777" w:rsidR="00BC3D30" w:rsidRPr="00F9024D" w:rsidRDefault="00BC3D30" w:rsidP="00BC3D30">
      <w:pPr>
        <w:pStyle w:val="Heading3"/>
      </w:pPr>
      <w:r w:rsidRPr="00F9024D">
        <w:t>Growth in the Sector</w:t>
      </w:r>
    </w:p>
    <w:p w14:paraId="1115ABCD" w14:textId="27D83BB9" w:rsidR="006610DD" w:rsidRDefault="00BC3D30">
      <w:r>
        <w:t>Driven by shifting demand and core regulatory and funding changes, there has been strong growth in CBDC and OSHC over the past decade resulting in around 4,000 additional services in 2023, a growth of 40% relative to 2013 (</w:t>
      </w:r>
      <w:r>
        <w:fldChar w:fldCharType="begin"/>
      </w:r>
      <w:r>
        <w:instrText xml:space="preserve"> REF _Ref166075651 \h </w:instrText>
      </w:r>
      <w:r>
        <w:fldChar w:fldCharType="separate"/>
      </w:r>
      <w:r w:rsidR="005F18C1">
        <w:t>Figure 1.</w:t>
      </w:r>
      <w:r w:rsidR="005F18C1">
        <w:rPr>
          <w:noProof/>
        </w:rPr>
        <w:t>8</w:t>
      </w:r>
      <w:r>
        <w:fldChar w:fldCharType="end"/>
      </w:r>
      <w:r>
        <w:t xml:space="preserve">). In contrast, the FDC sector has seen rapid decline since around 2015 or 2016, when government increased regulatory compliance measures in the sector. </w:t>
      </w:r>
    </w:p>
    <w:p w14:paraId="63BE655A" w14:textId="458DAC6C" w:rsidR="00BC3D30" w:rsidRDefault="00BC3D30" w:rsidP="00BC3D30">
      <w:pPr>
        <w:pStyle w:val="Caption"/>
        <w:spacing w:after="120"/>
        <w:rPr>
          <w:b w:val="0"/>
          <w:bCs w:val="0"/>
        </w:rPr>
      </w:pPr>
      <w:bookmarkStart w:id="57" w:name="_Ref166075651"/>
      <w:r>
        <w:lastRenderedPageBreak/>
        <w:t>Figure 1.</w:t>
      </w:r>
      <w:r>
        <w:fldChar w:fldCharType="begin"/>
      </w:r>
      <w:r>
        <w:instrText xml:space="preserve"> SEQ Figure \* ARABIC \s 1 </w:instrText>
      </w:r>
      <w:r>
        <w:fldChar w:fldCharType="separate"/>
      </w:r>
      <w:r w:rsidR="005F18C1">
        <w:rPr>
          <w:noProof/>
        </w:rPr>
        <w:t>8</w:t>
      </w:r>
      <w:r>
        <w:fldChar w:fldCharType="end"/>
      </w:r>
      <w:bookmarkEnd w:id="57"/>
      <w:r>
        <w:t>:</w:t>
      </w:r>
      <w:r w:rsidRPr="00285829">
        <w:t xml:space="preserve"> Number of services by typ</w:t>
      </w:r>
      <w:r>
        <w:t>e</w:t>
      </w:r>
      <w:r w:rsidRPr="00285829">
        <w:t>, 2013-2023</w:t>
      </w:r>
    </w:p>
    <w:p w14:paraId="1A430CA2" w14:textId="77777777" w:rsidR="00BC3D30" w:rsidRPr="00C47A58" w:rsidRDefault="00BC3D30" w:rsidP="00BC3D30">
      <w:r>
        <w:rPr>
          <w:noProof/>
        </w:rPr>
        <w:drawing>
          <wp:anchor distT="0" distB="0" distL="114300" distR="114300" simplePos="0" relativeHeight="251699203" behindDoc="0" locked="0" layoutInCell="1" allowOverlap="1" wp14:anchorId="1762D5CF" wp14:editId="15620E1E">
            <wp:simplePos x="0" y="0"/>
            <wp:positionH relativeFrom="column">
              <wp:posOffset>0</wp:posOffset>
            </wp:positionH>
            <wp:positionV relativeFrom="paragraph">
              <wp:posOffset>-2929</wp:posOffset>
            </wp:positionV>
            <wp:extent cx="5731510" cy="3578225"/>
            <wp:effectExtent l="0" t="0" r="2540" b="3175"/>
            <wp:wrapNone/>
            <wp:docPr id="560597031"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597031" name="Picture 9">
                      <a:extLst>
                        <a:ext uri="{C183D7F6-B498-43B3-948B-1728B52AA6E4}">
                          <adec:decorative xmlns:adec="http://schemas.microsoft.com/office/drawing/2017/decorative" val="1"/>
                        </a:ext>
                      </a:extLst>
                    </pic:cNvPr>
                    <pic:cNvPicPr>
                      <a:picLocks noChangeAspect="1" noChangeArrowheads="1"/>
                    </pic:cNvPicPr>
                  </pic:nvPicPr>
                  <pic:blipFill>
                    <a:blip r:embed="rId62" cstate="screen">
                      <a:extLst>
                        <a:ext uri="{28A0092B-C50C-407E-A947-70E740481C1C}">
                          <a14:useLocalDpi xmlns:a14="http://schemas.microsoft.com/office/drawing/2010/main" val="0"/>
                        </a:ext>
                      </a:extLst>
                    </a:blip>
                    <a:srcRect/>
                    <a:stretch>
                      <a:fillRect/>
                    </a:stretch>
                  </pic:blipFill>
                  <pic:spPr bwMode="auto">
                    <a:xfrm>
                      <a:off x="0" y="0"/>
                      <a:ext cx="5731510" cy="3578225"/>
                    </a:xfrm>
                    <a:prstGeom prst="rect">
                      <a:avLst/>
                    </a:prstGeom>
                    <a:noFill/>
                    <a:ln>
                      <a:noFill/>
                    </a:ln>
                  </pic:spPr>
                </pic:pic>
              </a:graphicData>
            </a:graphic>
          </wp:anchor>
        </w:drawing>
      </w:r>
    </w:p>
    <w:tbl>
      <w:tblPr>
        <w:tblStyle w:val="Box"/>
        <w:tblW w:w="0" w:type="auto"/>
        <w:jc w:val="center"/>
        <w:tblLook w:val="04A0" w:firstRow="1" w:lastRow="0" w:firstColumn="1" w:lastColumn="0" w:noHBand="0" w:noVBand="1"/>
      </w:tblPr>
      <w:tblGrid>
        <w:gridCol w:w="993"/>
        <w:gridCol w:w="667"/>
        <w:gridCol w:w="667"/>
        <w:gridCol w:w="667"/>
        <w:gridCol w:w="667"/>
        <w:gridCol w:w="668"/>
        <w:gridCol w:w="668"/>
        <w:gridCol w:w="668"/>
        <w:gridCol w:w="668"/>
        <w:gridCol w:w="668"/>
        <w:gridCol w:w="668"/>
        <w:gridCol w:w="668"/>
      </w:tblGrid>
      <w:tr w:rsidR="006610DD" w:rsidRPr="006610DD" w14:paraId="1B603D08" w14:textId="77777777" w:rsidTr="006610DD">
        <w:trPr>
          <w:trHeight w:val="300"/>
          <w:jc w:val="center"/>
        </w:trPr>
        <w:tc>
          <w:tcPr>
            <w:tcW w:w="993" w:type="dxa"/>
            <w:noWrap/>
            <w:hideMark/>
          </w:tcPr>
          <w:p w14:paraId="5BFFA42A" w14:textId="77777777" w:rsidR="006610DD" w:rsidRPr="006610DD" w:rsidRDefault="006610DD" w:rsidP="006610DD">
            <w:pPr>
              <w:pStyle w:val="Source"/>
              <w:rPr>
                <w:sz w:val="2"/>
                <w:szCs w:val="2"/>
              </w:rPr>
            </w:pPr>
          </w:p>
        </w:tc>
        <w:tc>
          <w:tcPr>
            <w:tcW w:w="667" w:type="dxa"/>
            <w:noWrap/>
            <w:hideMark/>
          </w:tcPr>
          <w:p w14:paraId="7949CA41" w14:textId="77777777" w:rsidR="006610DD" w:rsidRPr="006610DD" w:rsidRDefault="006610DD" w:rsidP="006610DD">
            <w:pPr>
              <w:pStyle w:val="Source"/>
              <w:rPr>
                <w:b/>
                <w:bCs/>
                <w:sz w:val="2"/>
                <w:szCs w:val="2"/>
              </w:rPr>
            </w:pPr>
            <w:r w:rsidRPr="006610DD">
              <w:rPr>
                <w:b/>
                <w:bCs/>
                <w:sz w:val="2"/>
                <w:szCs w:val="2"/>
              </w:rPr>
              <w:t>2013</w:t>
            </w:r>
          </w:p>
        </w:tc>
        <w:tc>
          <w:tcPr>
            <w:tcW w:w="667" w:type="dxa"/>
            <w:noWrap/>
            <w:hideMark/>
          </w:tcPr>
          <w:p w14:paraId="1EE10824" w14:textId="77777777" w:rsidR="006610DD" w:rsidRPr="006610DD" w:rsidRDefault="006610DD" w:rsidP="006610DD">
            <w:pPr>
              <w:pStyle w:val="Source"/>
              <w:rPr>
                <w:b/>
                <w:bCs/>
                <w:sz w:val="2"/>
                <w:szCs w:val="2"/>
              </w:rPr>
            </w:pPr>
            <w:r w:rsidRPr="006610DD">
              <w:rPr>
                <w:b/>
                <w:bCs/>
                <w:sz w:val="2"/>
                <w:szCs w:val="2"/>
              </w:rPr>
              <w:t>2014</w:t>
            </w:r>
          </w:p>
        </w:tc>
        <w:tc>
          <w:tcPr>
            <w:tcW w:w="667" w:type="dxa"/>
            <w:noWrap/>
            <w:hideMark/>
          </w:tcPr>
          <w:p w14:paraId="3A020F8A" w14:textId="77777777" w:rsidR="006610DD" w:rsidRPr="006610DD" w:rsidRDefault="006610DD" w:rsidP="006610DD">
            <w:pPr>
              <w:pStyle w:val="Source"/>
              <w:rPr>
                <w:b/>
                <w:bCs/>
                <w:sz w:val="2"/>
                <w:szCs w:val="2"/>
              </w:rPr>
            </w:pPr>
            <w:r w:rsidRPr="006610DD">
              <w:rPr>
                <w:b/>
                <w:bCs/>
                <w:sz w:val="2"/>
                <w:szCs w:val="2"/>
              </w:rPr>
              <w:t>2015</w:t>
            </w:r>
          </w:p>
        </w:tc>
        <w:tc>
          <w:tcPr>
            <w:tcW w:w="667" w:type="dxa"/>
            <w:noWrap/>
            <w:hideMark/>
          </w:tcPr>
          <w:p w14:paraId="7C1AFF64" w14:textId="77777777" w:rsidR="006610DD" w:rsidRPr="006610DD" w:rsidRDefault="006610DD" w:rsidP="006610DD">
            <w:pPr>
              <w:pStyle w:val="Source"/>
              <w:rPr>
                <w:b/>
                <w:bCs/>
                <w:sz w:val="2"/>
                <w:szCs w:val="2"/>
              </w:rPr>
            </w:pPr>
            <w:r w:rsidRPr="006610DD">
              <w:rPr>
                <w:b/>
                <w:bCs/>
                <w:sz w:val="2"/>
                <w:szCs w:val="2"/>
              </w:rPr>
              <w:t>2016</w:t>
            </w:r>
          </w:p>
        </w:tc>
        <w:tc>
          <w:tcPr>
            <w:tcW w:w="668" w:type="dxa"/>
            <w:noWrap/>
            <w:hideMark/>
          </w:tcPr>
          <w:p w14:paraId="32C48C80" w14:textId="77777777" w:rsidR="006610DD" w:rsidRPr="006610DD" w:rsidRDefault="006610DD" w:rsidP="006610DD">
            <w:pPr>
              <w:pStyle w:val="Source"/>
              <w:rPr>
                <w:b/>
                <w:bCs/>
                <w:sz w:val="2"/>
                <w:szCs w:val="2"/>
              </w:rPr>
            </w:pPr>
            <w:r w:rsidRPr="006610DD">
              <w:rPr>
                <w:b/>
                <w:bCs/>
                <w:sz w:val="2"/>
                <w:szCs w:val="2"/>
              </w:rPr>
              <w:t>2017</w:t>
            </w:r>
          </w:p>
        </w:tc>
        <w:tc>
          <w:tcPr>
            <w:tcW w:w="668" w:type="dxa"/>
            <w:noWrap/>
            <w:hideMark/>
          </w:tcPr>
          <w:p w14:paraId="394ED701" w14:textId="77777777" w:rsidR="006610DD" w:rsidRPr="006610DD" w:rsidRDefault="006610DD" w:rsidP="006610DD">
            <w:pPr>
              <w:pStyle w:val="Source"/>
              <w:rPr>
                <w:b/>
                <w:bCs/>
                <w:sz w:val="2"/>
                <w:szCs w:val="2"/>
              </w:rPr>
            </w:pPr>
            <w:r w:rsidRPr="006610DD">
              <w:rPr>
                <w:b/>
                <w:bCs/>
                <w:sz w:val="2"/>
                <w:szCs w:val="2"/>
              </w:rPr>
              <w:t>2018</w:t>
            </w:r>
          </w:p>
        </w:tc>
        <w:tc>
          <w:tcPr>
            <w:tcW w:w="668" w:type="dxa"/>
            <w:noWrap/>
            <w:hideMark/>
          </w:tcPr>
          <w:p w14:paraId="209B064D" w14:textId="77777777" w:rsidR="006610DD" w:rsidRPr="006610DD" w:rsidRDefault="006610DD" w:rsidP="006610DD">
            <w:pPr>
              <w:pStyle w:val="Source"/>
              <w:rPr>
                <w:b/>
                <w:bCs/>
                <w:sz w:val="2"/>
                <w:szCs w:val="2"/>
              </w:rPr>
            </w:pPr>
            <w:r w:rsidRPr="006610DD">
              <w:rPr>
                <w:b/>
                <w:bCs/>
                <w:sz w:val="2"/>
                <w:szCs w:val="2"/>
              </w:rPr>
              <w:t>2019</w:t>
            </w:r>
          </w:p>
        </w:tc>
        <w:tc>
          <w:tcPr>
            <w:tcW w:w="668" w:type="dxa"/>
            <w:noWrap/>
            <w:hideMark/>
          </w:tcPr>
          <w:p w14:paraId="764D6FA4" w14:textId="77777777" w:rsidR="006610DD" w:rsidRPr="006610DD" w:rsidRDefault="006610DD" w:rsidP="006610DD">
            <w:pPr>
              <w:pStyle w:val="Source"/>
              <w:rPr>
                <w:b/>
                <w:bCs/>
                <w:sz w:val="2"/>
                <w:szCs w:val="2"/>
              </w:rPr>
            </w:pPr>
            <w:r w:rsidRPr="006610DD">
              <w:rPr>
                <w:b/>
                <w:bCs/>
                <w:sz w:val="2"/>
                <w:szCs w:val="2"/>
              </w:rPr>
              <w:t>2020</w:t>
            </w:r>
          </w:p>
        </w:tc>
        <w:tc>
          <w:tcPr>
            <w:tcW w:w="668" w:type="dxa"/>
            <w:noWrap/>
            <w:hideMark/>
          </w:tcPr>
          <w:p w14:paraId="13C0E536" w14:textId="77777777" w:rsidR="006610DD" w:rsidRPr="006610DD" w:rsidRDefault="006610DD" w:rsidP="006610DD">
            <w:pPr>
              <w:pStyle w:val="Source"/>
              <w:rPr>
                <w:b/>
                <w:bCs/>
                <w:sz w:val="2"/>
                <w:szCs w:val="2"/>
              </w:rPr>
            </w:pPr>
            <w:r w:rsidRPr="006610DD">
              <w:rPr>
                <w:b/>
                <w:bCs/>
                <w:sz w:val="2"/>
                <w:szCs w:val="2"/>
              </w:rPr>
              <w:t>2021</w:t>
            </w:r>
          </w:p>
        </w:tc>
        <w:tc>
          <w:tcPr>
            <w:tcW w:w="668" w:type="dxa"/>
            <w:noWrap/>
            <w:hideMark/>
          </w:tcPr>
          <w:p w14:paraId="6A25FB31" w14:textId="77777777" w:rsidR="006610DD" w:rsidRPr="006610DD" w:rsidRDefault="006610DD" w:rsidP="006610DD">
            <w:pPr>
              <w:pStyle w:val="Source"/>
              <w:rPr>
                <w:b/>
                <w:bCs/>
                <w:sz w:val="2"/>
                <w:szCs w:val="2"/>
              </w:rPr>
            </w:pPr>
            <w:r w:rsidRPr="006610DD">
              <w:rPr>
                <w:b/>
                <w:bCs/>
                <w:sz w:val="2"/>
                <w:szCs w:val="2"/>
              </w:rPr>
              <w:t>2022</w:t>
            </w:r>
          </w:p>
        </w:tc>
        <w:tc>
          <w:tcPr>
            <w:tcW w:w="668" w:type="dxa"/>
            <w:noWrap/>
            <w:hideMark/>
          </w:tcPr>
          <w:p w14:paraId="4E2277F1" w14:textId="77777777" w:rsidR="006610DD" w:rsidRPr="006610DD" w:rsidRDefault="006610DD" w:rsidP="006610DD">
            <w:pPr>
              <w:pStyle w:val="Source"/>
              <w:rPr>
                <w:b/>
                <w:bCs/>
                <w:sz w:val="2"/>
                <w:szCs w:val="2"/>
              </w:rPr>
            </w:pPr>
            <w:r w:rsidRPr="006610DD">
              <w:rPr>
                <w:b/>
                <w:bCs/>
                <w:sz w:val="2"/>
                <w:szCs w:val="2"/>
              </w:rPr>
              <w:t>2023</w:t>
            </w:r>
          </w:p>
        </w:tc>
      </w:tr>
      <w:tr w:rsidR="006610DD" w:rsidRPr="006610DD" w14:paraId="6526644C" w14:textId="77777777" w:rsidTr="006610DD">
        <w:trPr>
          <w:trHeight w:val="300"/>
          <w:jc w:val="center"/>
        </w:trPr>
        <w:tc>
          <w:tcPr>
            <w:tcW w:w="993" w:type="dxa"/>
            <w:noWrap/>
            <w:hideMark/>
          </w:tcPr>
          <w:p w14:paraId="561225A2" w14:textId="77777777" w:rsidR="006610DD" w:rsidRPr="006610DD" w:rsidRDefault="006610DD" w:rsidP="006610DD">
            <w:pPr>
              <w:pStyle w:val="Source"/>
              <w:rPr>
                <w:b/>
                <w:bCs/>
                <w:sz w:val="2"/>
                <w:szCs w:val="2"/>
              </w:rPr>
            </w:pPr>
            <w:r w:rsidRPr="006610DD">
              <w:rPr>
                <w:b/>
                <w:bCs/>
                <w:sz w:val="2"/>
                <w:szCs w:val="2"/>
              </w:rPr>
              <w:t>Centre based day care</w:t>
            </w:r>
          </w:p>
        </w:tc>
        <w:tc>
          <w:tcPr>
            <w:tcW w:w="667" w:type="dxa"/>
            <w:noWrap/>
            <w:hideMark/>
          </w:tcPr>
          <w:p w14:paraId="113AADDE" w14:textId="77777777" w:rsidR="006610DD" w:rsidRPr="006610DD" w:rsidRDefault="006610DD" w:rsidP="006610DD">
            <w:pPr>
              <w:pStyle w:val="Source"/>
              <w:rPr>
                <w:sz w:val="2"/>
                <w:szCs w:val="2"/>
              </w:rPr>
            </w:pPr>
            <w:r w:rsidRPr="006610DD">
              <w:rPr>
                <w:sz w:val="2"/>
                <w:szCs w:val="2"/>
              </w:rPr>
              <w:t>6434</w:t>
            </w:r>
          </w:p>
        </w:tc>
        <w:tc>
          <w:tcPr>
            <w:tcW w:w="667" w:type="dxa"/>
            <w:noWrap/>
            <w:hideMark/>
          </w:tcPr>
          <w:p w14:paraId="132CD459" w14:textId="77777777" w:rsidR="006610DD" w:rsidRPr="006610DD" w:rsidRDefault="006610DD" w:rsidP="006610DD">
            <w:pPr>
              <w:pStyle w:val="Source"/>
              <w:rPr>
                <w:sz w:val="2"/>
                <w:szCs w:val="2"/>
              </w:rPr>
            </w:pPr>
            <w:r w:rsidRPr="006610DD">
              <w:rPr>
                <w:sz w:val="2"/>
                <w:szCs w:val="2"/>
              </w:rPr>
              <w:t>6653</w:t>
            </w:r>
          </w:p>
        </w:tc>
        <w:tc>
          <w:tcPr>
            <w:tcW w:w="667" w:type="dxa"/>
            <w:noWrap/>
            <w:hideMark/>
          </w:tcPr>
          <w:p w14:paraId="39DB24BD" w14:textId="77777777" w:rsidR="006610DD" w:rsidRPr="006610DD" w:rsidRDefault="006610DD" w:rsidP="006610DD">
            <w:pPr>
              <w:pStyle w:val="Source"/>
              <w:rPr>
                <w:sz w:val="2"/>
                <w:szCs w:val="2"/>
              </w:rPr>
            </w:pPr>
            <w:r w:rsidRPr="006610DD">
              <w:rPr>
                <w:sz w:val="2"/>
                <w:szCs w:val="2"/>
              </w:rPr>
              <w:t>6863</w:t>
            </w:r>
          </w:p>
        </w:tc>
        <w:tc>
          <w:tcPr>
            <w:tcW w:w="667" w:type="dxa"/>
            <w:noWrap/>
            <w:hideMark/>
          </w:tcPr>
          <w:p w14:paraId="271D284D" w14:textId="77777777" w:rsidR="006610DD" w:rsidRPr="006610DD" w:rsidRDefault="006610DD" w:rsidP="006610DD">
            <w:pPr>
              <w:pStyle w:val="Source"/>
              <w:rPr>
                <w:sz w:val="2"/>
                <w:szCs w:val="2"/>
              </w:rPr>
            </w:pPr>
            <w:r w:rsidRPr="006610DD">
              <w:rPr>
                <w:sz w:val="2"/>
                <w:szCs w:val="2"/>
              </w:rPr>
              <w:t>7075</w:t>
            </w:r>
          </w:p>
        </w:tc>
        <w:tc>
          <w:tcPr>
            <w:tcW w:w="668" w:type="dxa"/>
            <w:noWrap/>
            <w:hideMark/>
          </w:tcPr>
          <w:p w14:paraId="249FC9F2" w14:textId="77777777" w:rsidR="006610DD" w:rsidRPr="006610DD" w:rsidRDefault="006610DD" w:rsidP="006610DD">
            <w:pPr>
              <w:pStyle w:val="Source"/>
              <w:rPr>
                <w:sz w:val="2"/>
                <w:szCs w:val="2"/>
              </w:rPr>
            </w:pPr>
            <w:r w:rsidRPr="006610DD">
              <w:rPr>
                <w:sz w:val="2"/>
                <w:szCs w:val="2"/>
              </w:rPr>
              <w:t>7350</w:t>
            </w:r>
          </w:p>
        </w:tc>
        <w:tc>
          <w:tcPr>
            <w:tcW w:w="668" w:type="dxa"/>
            <w:noWrap/>
            <w:hideMark/>
          </w:tcPr>
          <w:p w14:paraId="211316B1" w14:textId="77777777" w:rsidR="006610DD" w:rsidRPr="006610DD" w:rsidRDefault="006610DD" w:rsidP="006610DD">
            <w:pPr>
              <w:pStyle w:val="Source"/>
              <w:rPr>
                <w:sz w:val="2"/>
                <w:szCs w:val="2"/>
              </w:rPr>
            </w:pPr>
            <w:r w:rsidRPr="006610DD">
              <w:rPr>
                <w:sz w:val="2"/>
                <w:szCs w:val="2"/>
              </w:rPr>
              <w:t>7659</w:t>
            </w:r>
          </w:p>
        </w:tc>
        <w:tc>
          <w:tcPr>
            <w:tcW w:w="668" w:type="dxa"/>
            <w:noWrap/>
            <w:hideMark/>
          </w:tcPr>
          <w:p w14:paraId="745A4C9B" w14:textId="77777777" w:rsidR="006610DD" w:rsidRPr="006610DD" w:rsidRDefault="006610DD" w:rsidP="006610DD">
            <w:pPr>
              <w:pStyle w:val="Source"/>
              <w:rPr>
                <w:sz w:val="2"/>
                <w:szCs w:val="2"/>
              </w:rPr>
            </w:pPr>
            <w:r w:rsidRPr="006610DD">
              <w:rPr>
                <w:sz w:val="2"/>
                <w:szCs w:val="2"/>
              </w:rPr>
              <w:t>7989</w:t>
            </w:r>
          </w:p>
        </w:tc>
        <w:tc>
          <w:tcPr>
            <w:tcW w:w="668" w:type="dxa"/>
            <w:noWrap/>
            <w:hideMark/>
          </w:tcPr>
          <w:p w14:paraId="4739BB03" w14:textId="77777777" w:rsidR="006610DD" w:rsidRPr="006610DD" w:rsidRDefault="006610DD" w:rsidP="006610DD">
            <w:pPr>
              <w:pStyle w:val="Source"/>
              <w:rPr>
                <w:sz w:val="2"/>
                <w:szCs w:val="2"/>
              </w:rPr>
            </w:pPr>
            <w:r w:rsidRPr="006610DD">
              <w:rPr>
                <w:sz w:val="2"/>
                <w:szCs w:val="2"/>
              </w:rPr>
              <w:t>8166</w:t>
            </w:r>
          </w:p>
        </w:tc>
        <w:tc>
          <w:tcPr>
            <w:tcW w:w="668" w:type="dxa"/>
            <w:noWrap/>
            <w:hideMark/>
          </w:tcPr>
          <w:p w14:paraId="0CC840BA" w14:textId="77777777" w:rsidR="006610DD" w:rsidRPr="006610DD" w:rsidRDefault="006610DD" w:rsidP="006610DD">
            <w:pPr>
              <w:pStyle w:val="Source"/>
              <w:rPr>
                <w:sz w:val="2"/>
                <w:szCs w:val="2"/>
              </w:rPr>
            </w:pPr>
            <w:r w:rsidRPr="006610DD">
              <w:rPr>
                <w:sz w:val="2"/>
                <w:szCs w:val="2"/>
              </w:rPr>
              <w:t>8496</w:t>
            </w:r>
          </w:p>
        </w:tc>
        <w:tc>
          <w:tcPr>
            <w:tcW w:w="668" w:type="dxa"/>
            <w:noWrap/>
            <w:hideMark/>
          </w:tcPr>
          <w:p w14:paraId="7967E2DA" w14:textId="77777777" w:rsidR="006610DD" w:rsidRPr="006610DD" w:rsidRDefault="006610DD" w:rsidP="006610DD">
            <w:pPr>
              <w:pStyle w:val="Source"/>
              <w:rPr>
                <w:sz w:val="2"/>
                <w:szCs w:val="2"/>
              </w:rPr>
            </w:pPr>
            <w:r w:rsidRPr="006610DD">
              <w:rPr>
                <w:sz w:val="2"/>
                <w:szCs w:val="2"/>
              </w:rPr>
              <w:t>8771</w:t>
            </w:r>
          </w:p>
        </w:tc>
        <w:tc>
          <w:tcPr>
            <w:tcW w:w="668" w:type="dxa"/>
            <w:noWrap/>
            <w:hideMark/>
          </w:tcPr>
          <w:p w14:paraId="2176C9BF" w14:textId="77777777" w:rsidR="006610DD" w:rsidRPr="006610DD" w:rsidRDefault="006610DD" w:rsidP="006610DD">
            <w:pPr>
              <w:pStyle w:val="Source"/>
              <w:rPr>
                <w:sz w:val="2"/>
                <w:szCs w:val="2"/>
              </w:rPr>
            </w:pPr>
            <w:r w:rsidRPr="006610DD">
              <w:rPr>
                <w:sz w:val="2"/>
                <w:szCs w:val="2"/>
              </w:rPr>
              <w:t>8973</w:t>
            </w:r>
          </w:p>
        </w:tc>
      </w:tr>
      <w:tr w:rsidR="006610DD" w:rsidRPr="006610DD" w14:paraId="7A561927" w14:textId="77777777" w:rsidTr="006610DD">
        <w:trPr>
          <w:trHeight w:val="300"/>
          <w:jc w:val="center"/>
        </w:trPr>
        <w:tc>
          <w:tcPr>
            <w:tcW w:w="993" w:type="dxa"/>
            <w:noWrap/>
            <w:hideMark/>
          </w:tcPr>
          <w:p w14:paraId="0CE2B57E" w14:textId="77777777" w:rsidR="006610DD" w:rsidRPr="006610DD" w:rsidRDefault="006610DD" w:rsidP="006610DD">
            <w:pPr>
              <w:pStyle w:val="Source"/>
              <w:rPr>
                <w:b/>
                <w:bCs/>
                <w:sz w:val="2"/>
                <w:szCs w:val="2"/>
              </w:rPr>
            </w:pPr>
            <w:r w:rsidRPr="006610DD">
              <w:rPr>
                <w:b/>
                <w:bCs/>
                <w:sz w:val="2"/>
                <w:szCs w:val="2"/>
              </w:rPr>
              <w:t>Family day care</w:t>
            </w:r>
          </w:p>
        </w:tc>
        <w:tc>
          <w:tcPr>
            <w:tcW w:w="667" w:type="dxa"/>
            <w:noWrap/>
            <w:hideMark/>
          </w:tcPr>
          <w:p w14:paraId="70595C3E" w14:textId="77777777" w:rsidR="006610DD" w:rsidRPr="006610DD" w:rsidRDefault="006610DD" w:rsidP="006610DD">
            <w:pPr>
              <w:pStyle w:val="Source"/>
              <w:rPr>
                <w:sz w:val="2"/>
                <w:szCs w:val="2"/>
              </w:rPr>
            </w:pPr>
            <w:r w:rsidRPr="006610DD">
              <w:rPr>
                <w:sz w:val="2"/>
                <w:szCs w:val="2"/>
              </w:rPr>
              <w:t>690</w:t>
            </w:r>
          </w:p>
        </w:tc>
        <w:tc>
          <w:tcPr>
            <w:tcW w:w="667" w:type="dxa"/>
            <w:noWrap/>
            <w:hideMark/>
          </w:tcPr>
          <w:p w14:paraId="2F349C94" w14:textId="77777777" w:rsidR="006610DD" w:rsidRPr="006610DD" w:rsidRDefault="006610DD" w:rsidP="006610DD">
            <w:pPr>
              <w:pStyle w:val="Source"/>
              <w:rPr>
                <w:sz w:val="2"/>
                <w:szCs w:val="2"/>
              </w:rPr>
            </w:pPr>
            <w:r w:rsidRPr="006610DD">
              <w:rPr>
                <w:sz w:val="2"/>
                <w:szCs w:val="2"/>
              </w:rPr>
              <w:t>881</w:t>
            </w:r>
          </w:p>
        </w:tc>
        <w:tc>
          <w:tcPr>
            <w:tcW w:w="667" w:type="dxa"/>
            <w:noWrap/>
            <w:hideMark/>
          </w:tcPr>
          <w:p w14:paraId="10679C88" w14:textId="77777777" w:rsidR="006610DD" w:rsidRPr="006610DD" w:rsidRDefault="006610DD" w:rsidP="006610DD">
            <w:pPr>
              <w:pStyle w:val="Source"/>
              <w:rPr>
                <w:sz w:val="2"/>
                <w:szCs w:val="2"/>
              </w:rPr>
            </w:pPr>
            <w:r w:rsidRPr="006610DD">
              <w:rPr>
                <w:sz w:val="2"/>
                <w:szCs w:val="2"/>
              </w:rPr>
              <w:t>1146</w:t>
            </w:r>
          </w:p>
        </w:tc>
        <w:tc>
          <w:tcPr>
            <w:tcW w:w="667" w:type="dxa"/>
            <w:noWrap/>
            <w:hideMark/>
          </w:tcPr>
          <w:p w14:paraId="71ECBACF" w14:textId="77777777" w:rsidR="006610DD" w:rsidRPr="006610DD" w:rsidRDefault="006610DD" w:rsidP="006610DD">
            <w:pPr>
              <w:pStyle w:val="Source"/>
              <w:rPr>
                <w:sz w:val="2"/>
                <w:szCs w:val="2"/>
              </w:rPr>
            </w:pPr>
            <w:r w:rsidRPr="006610DD">
              <w:rPr>
                <w:sz w:val="2"/>
                <w:szCs w:val="2"/>
              </w:rPr>
              <w:t>1179</w:t>
            </w:r>
          </w:p>
        </w:tc>
        <w:tc>
          <w:tcPr>
            <w:tcW w:w="668" w:type="dxa"/>
            <w:noWrap/>
            <w:hideMark/>
          </w:tcPr>
          <w:p w14:paraId="21C79A40" w14:textId="77777777" w:rsidR="006610DD" w:rsidRPr="006610DD" w:rsidRDefault="006610DD" w:rsidP="006610DD">
            <w:pPr>
              <w:pStyle w:val="Source"/>
              <w:rPr>
                <w:sz w:val="2"/>
                <w:szCs w:val="2"/>
              </w:rPr>
            </w:pPr>
            <w:r w:rsidRPr="006610DD">
              <w:rPr>
                <w:sz w:val="2"/>
                <w:szCs w:val="2"/>
              </w:rPr>
              <w:t>1029</w:t>
            </w:r>
          </w:p>
        </w:tc>
        <w:tc>
          <w:tcPr>
            <w:tcW w:w="668" w:type="dxa"/>
            <w:noWrap/>
            <w:hideMark/>
          </w:tcPr>
          <w:p w14:paraId="01755741" w14:textId="77777777" w:rsidR="006610DD" w:rsidRPr="006610DD" w:rsidRDefault="006610DD" w:rsidP="006610DD">
            <w:pPr>
              <w:pStyle w:val="Source"/>
              <w:rPr>
                <w:sz w:val="2"/>
                <w:szCs w:val="2"/>
              </w:rPr>
            </w:pPr>
            <w:r w:rsidRPr="006610DD">
              <w:rPr>
                <w:sz w:val="2"/>
                <w:szCs w:val="2"/>
              </w:rPr>
              <w:t>863</w:t>
            </w:r>
          </w:p>
        </w:tc>
        <w:tc>
          <w:tcPr>
            <w:tcW w:w="668" w:type="dxa"/>
            <w:noWrap/>
            <w:hideMark/>
          </w:tcPr>
          <w:p w14:paraId="0DA10F77" w14:textId="77777777" w:rsidR="006610DD" w:rsidRPr="006610DD" w:rsidRDefault="006610DD" w:rsidP="006610DD">
            <w:pPr>
              <w:pStyle w:val="Source"/>
              <w:rPr>
                <w:sz w:val="2"/>
                <w:szCs w:val="2"/>
              </w:rPr>
            </w:pPr>
            <w:r w:rsidRPr="006610DD">
              <w:rPr>
                <w:sz w:val="2"/>
                <w:szCs w:val="2"/>
              </w:rPr>
              <w:t>660</w:t>
            </w:r>
          </w:p>
        </w:tc>
        <w:tc>
          <w:tcPr>
            <w:tcW w:w="668" w:type="dxa"/>
            <w:noWrap/>
            <w:hideMark/>
          </w:tcPr>
          <w:p w14:paraId="76DAFA35" w14:textId="77777777" w:rsidR="006610DD" w:rsidRPr="006610DD" w:rsidRDefault="006610DD" w:rsidP="006610DD">
            <w:pPr>
              <w:pStyle w:val="Source"/>
              <w:rPr>
                <w:sz w:val="2"/>
                <w:szCs w:val="2"/>
              </w:rPr>
            </w:pPr>
            <w:r w:rsidRPr="006610DD">
              <w:rPr>
                <w:sz w:val="2"/>
                <w:szCs w:val="2"/>
              </w:rPr>
              <w:t>552</w:t>
            </w:r>
          </w:p>
        </w:tc>
        <w:tc>
          <w:tcPr>
            <w:tcW w:w="668" w:type="dxa"/>
            <w:noWrap/>
            <w:hideMark/>
          </w:tcPr>
          <w:p w14:paraId="49BDAE83" w14:textId="77777777" w:rsidR="006610DD" w:rsidRPr="006610DD" w:rsidRDefault="006610DD" w:rsidP="006610DD">
            <w:pPr>
              <w:pStyle w:val="Source"/>
              <w:rPr>
                <w:sz w:val="2"/>
                <w:szCs w:val="2"/>
              </w:rPr>
            </w:pPr>
            <w:r w:rsidRPr="006610DD">
              <w:rPr>
                <w:sz w:val="2"/>
                <w:szCs w:val="2"/>
              </w:rPr>
              <w:t>541</w:t>
            </w:r>
          </w:p>
        </w:tc>
        <w:tc>
          <w:tcPr>
            <w:tcW w:w="668" w:type="dxa"/>
            <w:noWrap/>
            <w:hideMark/>
          </w:tcPr>
          <w:p w14:paraId="0CDCC55D" w14:textId="77777777" w:rsidR="006610DD" w:rsidRPr="006610DD" w:rsidRDefault="006610DD" w:rsidP="006610DD">
            <w:pPr>
              <w:pStyle w:val="Source"/>
              <w:rPr>
                <w:sz w:val="2"/>
                <w:szCs w:val="2"/>
              </w:rPr>
            </w:pPr>
            <w:r w:rsidRPr="006610DD">
              <w:rPr>
                <w:sz w:val="2"/>
                <w:szCs w:val="2"/>
              </w:rPr>
              <w:t>532</w:t>
            </w:r>
          </w:p>
        </w:tc>
        <w:tc>
          <w:tcPr>
            <w:tcW w:w="668" w:type="dxa"/>
            <w:noWrap/>
            <w:hideMark/>
          </w:tcPr>
          <w:p w14:paraId="0C8C383C" w14:textId="77777777" w:rsidR="006610DD" w:rsidRPr="006610DD" w:rsidRDefault="006610DD" w:rsidP="006610DD">
            <w:pPr>
              <w:pStyle w:val="Source"/>
              <w:rPr>
                <w:sz w:val="2"/>
                <w:szCs w:val="2"/>
              </w:rPr>
            </w:pPr>
            <w:r w:rsidRPr="006610DD">
              <w:rPr>
                <w:sz w:val="2"/>
                <w:szCs w:val="2"/>
              </w:rPr>
              <w:t>473</w:t>
            </w:r>
          </w:p>
        </w:tc>
      </w:tr>
      <w:tr w:rsidR="006610DD" w:rsidRPr="006610DD" w14:paraId="587F1974" w14:textId="77777777" w:rsidTr="006610DD">
        <w:trPr>
          <w:trHeight w:val="300"/>
          <w:jc w:val="center"/>
        </w:trPr>
        <w:tc>
          <w:tcPr>
            <w:tcW w:w="993" w:type="dxa"/>
            <w:noWrap/>
            <w:hideMark/>
          </w:tcPr>
          <w:p w14:paraId="540FF8AF" w14:textId="77777777" w:rsidR="006610DD" w:rsidRPr="006610DD" w:rsidRDefault="006610DD" w:rsidP="006610DD">
            <w:pPr>
              <w:pStyle w:val="Source"/>
              <w:rPr>
                <w:b/>
                <w:bCs/>
                <w:sz w:val="2"/>
                <w:szCs w:val="2"/>
              </w:rPr>
            </w:pPr>
            <w:r w:rsidRPr="006610DD">
              <w:rPr>
                <w:b/>
                <w:bCs/>
                <w:sz w:val="2"/>
                <w:szCs w:val="2"/>
              </w:rPr>
              <w:t>Out of school hours care</w:t>
            </w:r>
          </w:p>
        </w:tc>
        <w:tc>
          <w:tcPr>
            <w:tcW w:w="667" w:type="dxa"/>
            <w:noWrap/>
            <w:hideMark/>
          </w:tcPr>
          <w:p w14:paraId="03C433CF" w14:textId="77777777" w:rsidR="006610DD" w:rsidRPr="006610DD" w:rsidRDefault="006610DD" w:rsidP="006610DD">
            <w:pPr>
              <w:pStyle w:val="Source"/>
              <w:rPr>
                <w:sz w:val="2"/>
                <w:szCs w:val="2"/>
              </w:rPr>
            </w:pPr>
            <w:r w:rsidRPr="006610DD">
              <w:rPr>
                <w:sz w:val="2"/>
                <w:szCs w:val="2"/>
              </w:rPr>
              <w:t>3922</w:t>
            </w:r>
          </w:p>
        </w:tc>
        <w:tc>
          <w:tcPr>
            <w:tcW w:w="667" w:type="dxa"/>
            <w:noWrap/>
            <w:hideMark/>
          </w:tcPr>
          <w:p w14:paraId="190444B3" w14:textId="77777777" w:rsidR="006610DD" w:rsidRPr="006610DD" w:rsidRDefault="006610DD" w:rsidP="006610DD">
            <w:pPr>
              <w:pStyle w:val="Source"/>
              <w:rPr>
                <w:sz w:val="2"/>
                <w:szCs w:val="2"/>
              </w:rPr>
            </w:pPr>
            <w:r w:rsidRPr="006610DD">
              <w:rPr>
                <w:sz w:val="2"/>
                <w:szCs w:val="2"/>
              </w:rPr>
              <w:t>4199</w:t>
            </w:r>
          </w:p>
        </w:tc>
        <w:tc>
          <w:tcPr>
            <w:tcW w:w="667" w:type="dxa"/>
            <w:noWrap/>
            <w:hideMark/>
          </w:tcPr>
          <w:p w14:paraId="53CC38DB" w14:textId="77777777" w:rsidR="006610DD" w:rsidRPr="006610DD" w:rsidRDefault="006610DD" w:rsidP="006610DD">
            <w:pPr>
              <w:pStyle w:val="Source"/>
              <w:rPr>
                <w:sz w:val="2"/>
                <w:szCs w:val="2"/>
              </w:rPr>
            </w:pPr>
            <w:r w:rsidRPr="006610DD">
              <w:rPr>
                <w:sz w:val="2"/>
                <w:szCs w:val="2"/>
              </w:rPr>
              <w:t>4285</w:t>
            </w:r>
          </w:p>
        </w:tc>
        <w:tc>
          <w:tcPr>
            <w:tcW w:w="667" w:type="dxa"/>
            <w:noWrap/>
            <w:hideMark/>
          </w:tcPr>
          <w:p w14:paraId="5CADFB61" w14:textId="77777777" w:rsidR="006610DD" w:rsidRPr="006610DD" w:rsidRDefault="006610DD" w:rsidP="006610DD">
            <w:pPr>
              <w:pStyle w:val="Source"/>
              <w:rPr>
                <w:sz w:val="2"/>
                <w:szCs w:val="2"/>
              </w:rPr>
            </w:pPr>
            <w:r w:rsidRPr="006610DD">
              <w:rPr>
                <w:sz w:val="2"/>
                <w:szCs w:val="2"/>
              </w:rPr>
              <w:t>4445</w:t>
            </w:r>
          </w:p>
        </w:tc>
        <w:tc>
          <w:tcPr>
            <w:tcW w:w="668" w:type="dxa"/>
            <w:noWrap/>
            <w:hideMark/>
          </w:tcPr>
          <w:p w14:paraId="19919F91" w14:textId="77777777" w:rsidR="006610DD" w:rsidRPr="006610DD" w:rsidRDefault="006610DD" w:rsidP="006610DD">
            <w:pPr>
              <w:pStyle w:val="Source"/>
              <w:rPr>
                <w:sz w:val="2"/>
                <w:szCs w:val="2"/>
              </w:rPr>
            </w:pPr>
            <w:r w:rsidRPr="006610DD">
              <w:rPr>
                <w:sz w:val="2"/>
                <w:szCs w:val="2"/>
              </w:rPr>
              <w:t>4538</w:t>
            </w:r>
          </w:p>
        </w:tc>
        <w:tc>
          <w:tcPr>
            <w:tcW w:w="668" w:type="dxa"/>
            <w:noWrap/>
            <w:hideMark/>
          </w:tcPr>
          <w:p w14:paraId="02A343AA" w14:textId="77777777" w:rsidR="006610DD" w:rsidRPr="006610DD" w:rsidRDefault="006610DD" w:rsidP="006610DD">
            <w:pPr>
              <w:pStyle w:val="Source"/>
              <w:rPr>
                <w:sz w:val="2"/>
                <w:szCs w:val="2"/>
              </w:rPr>
            </w:pPr>
            <w:r w:rsidRPr="006610DD">
              <w:rPr>
                <w:sz w:val="2"/>
                <w:szCs w:val="2"/>
              </w:rPr>
              <w:t>4587</w:t>
            </w:r>
          </w:p>
        </w:tc>
        <w:tc>
          <w:tcPr>
            <w:tcW w:w="668" w:type="dxa"/>
            <w:noWrap/>
            <w:hideMark/>
          </w:tcPr>
          <w:p w14:paraId="4C6776E5" w14:textId="77777777" w:rsidR="006610DD" w:rsidRPr="006610DD" w:rsidRDefault="006610DD" w:rsidP="006610DD">
            <w:pPr>
              <w:pStyle w:val="Source"/>
              <w:rPr>
                <w:sz w:val="2"/>
                <w:szCs w:val="2"/>
              </w:rPr>
            </w:pPr>
            <w:r w:rsidRPr="006610DD">
              <w:rPr>
                <w:sz w:val="2"/>
                <w:szCs w:val="2"/>
              </w:rPr>
              <w:t>4627</w:t>
            </w:r>
          </w:p>
        </w:tc>
        <w:tc>
          <w:tcPr>
            <w:tcW w:w="668" w:type="dxa"/>
            <w:noWrap/>
            <w:hideMark/>
          </w:tcPr>
          <w:p w14:paraId="38491A7E" w14:textId="77777777" w:rsidR="006610DD" w:rsidRPr="006610DD" w:rsidRDefault="006610DD" w:rsidP="006610DD">
            <w:pPr>
              <w:pStyle w:val="Source"/>
              <w:rPr>
                <w:sz w:val="2"/>
                <w:szCs w:val="2"/>
              </w:rPr>
            </w:pPr>
            <w:r w:rsidRPr="006610DD">
              <w:rPr>
                <w:sz w:val="2"/>
                <w:szCs w:val="2"/>
              </w:rPr>
              <w:t>4594</w:t>
            </w:r>
          </w:p>
        </w:tc>
        <w:tc>
          <w:tcPr>
            <w:tcW w:w="668" w:type="dxa"/>
            <w:noWrap/>
            <w:hideMark/>
          </w:tcPr>
          <w:p w14:paraId="678A2272" w14:textId="77777777" w:rsidR="006610DD" w:rsidRPr="006610DD" w:rsidRDefault="006610DD" w:rsidP="006610DD">
            <w:pPr>
              <w:pStyle w:val="Source"/>
              <w:rPr>
                <w:sz w:val="2"/>
                <w:szCs w:val="2"/>
              </w:rPr>
            </w:pPr>
            <w:r w:rsidRPr="006610DD">
              <w:rPr>
                <w:sz w:val="2"/>
                <w:szCs w:val="2"/>
              </w:rPr>
              <w:t>4782</w:t>
            </w:r>
          </w:p>
        </w:tc>
        <w:tc>
          <w:tcPr>
            <w:tcW w:w="668" w:type="dxa"/>
            <w:noWrap/>
            <w:hideMark/>
          </w:tcPr>
          <w:p w14:paraId="395864FA" w14:textId="77777777" w:rsidR="006610DD" w:rsidRPr="006610DD" w:rsidRDefault="006610DD" w:rsidP="006610DD">
            <w:pPr>
              <w:pStyle w:val="Source"/>
              <w:rPr>
                <w:sz w:val="2"/>
                <w:szCs w:val="2"/>
              </w:rPr>
            </w:pPr>
            <w:r w:rsidRPr="006610DD">
              <w:rPr>
                <w:sz w:val="2"/>
                <w:szCs w:val="2"/>
              </w:rPr>
              <w:t>5036</w:t>
            </w:r>
          </w:p>
        </w:tc>
        <w:tc>
          <w:tcPr>
            <w:tcW w:w="668" w:type="dxa"/>
            <w:noWrap/>
            <w:hideMark/>
          </w:tcPr>
          <w:p w14:paraId="0F26A470" w14:textId="77777777" w:rsidR="006610DD" w:rsidRPr="006610DD" w:rsidRDefault="006610DD" w:rsidP="006610DD">
            <w:pPr>
              <w:pStyle w:val="Source"/>
              <w:rPr>
                <w:sz w:val="2"/>
                <w:szCs w:val="2"/>
              </w:rPr>
            </w:pPr>
            <w:r w:rsidRPr="006610DD">
              <w:rPr>
                <w:sz w:val="2"/>
                <w:szCs w:val="2"/>
              </w:rPr>
              <w:t>5165</w:t>
            </w:r>
          </w:p>
        </w:tc>
      </w:tr>
    </w:tbl>
    <w:p w14:paraId="20CD1CE6" w14:textId="77777777" w:rsidR="006610DD" w:rsidRDefault="006610DD" w:rsidP="00BC3D30">
      <w:pPr>
        <w:pStyle w:val="Source"/>
      </w:pPr>
    </w:p>
    <w:p w14:paraId="0F5213AF" w14:textId="77777777" w:rsidR="006610DD" w:rsidRDefault="006610DD" w:rsidP="00BC3D30">
      <w:pPr>
        <w:pStyle w:val="Source"/>
      </w:pPr>
    </w:p>
    <w:p w14:paraId="0C79C128" w14:textId="77777777" w:rsidR="006610DD" w:rsidRDefault="006610DD" w:rsidP="00BC3D30">
      <w:pPr>
        <w:pStyle w:val="Source"/>
      </w:pPr>
    </w:p>
    <w:p w14:paraId="65311335" w14:textId="77777777" w:rsidR="006610DD" w:rsidRDefault="006610DD" w:rsidP="00BC3D30">
      <w:pPr>
        <w:pStyle w:val="Source"/>
      </w:pPr>
    </w:p>
    <w:p w14:paraId="662373CC" w14:textId="77777777" w:rsidR="006610DD" w:rsidRDefault="006610DD" w:rsidP="00BC3D30">
      <w:pPr>
        <w:pStyle w:val="Source"/>
      </w:pPr>
    </w:p>
    <w:p w14:paraId="1BDC692B" w14:textId="77777777" w:rsidR="006610DD" w:rsidRDefault="006610DD" w:rsidP="00BC3D30">
      <w:pPr>
        <w:pStyle w:val="Source"/>
      </w:pPr>
    </w:p>
    <w:p w14:paraId="3BF651A6" w14:textId="77777777" w:rsidR="006610DD" w:rsidRDefault="006610DD" w:rsidP="00BC3D30">
      <w:pPr>
        <w:pStyle w:val="Source"/>
      </w:pPr>
    </w:p>
    <w:p w14:paraId="6BAA29BC" w14:textId="77777777" w:rsidR="006610DD" w:rsidRDefault="006610DD" w:rsidP="00BC3D30">
      <w:pPr>
        <w:pStyle w:val="Source"/>
      </w:pPr>
    </w:p>
    <w:p w14:paraId="5509326B" w14:textId="77777777" w:rsidR="006610DD" w:rsidRDefault="006610DD" w:rsidP="00BC3D30">
      <w:pPr>
        <w:pStyle w:val="Source"/>
      </w:pPr>
    </w:p>
    <w:p w14:paraId="1D0654C1" w14:textId="77777777" w:rsidR="006610DD" w:rsidRDefault="006610DD" w:rsidP="00BC3D30">
      <w:pPr>
        <w:pStyle w:val="Source"/>
      </w:pPr>
    </w:p>
    <w:p w14:paraId="4A08DBD2" w14:textId="77777777" w:rsidR="006610DD" w:rsidRDefault="006610DD" w:rsidP="00BC3D30">
      <w:pPr>
        <w:pStyle w:val="Source"/>
      </w:pPr>
    </w:p>
    <w:p w14:paraId="2E6936A4" w14:textId="77777777" w:rsidR="006610DD" w:rsidRDefault="006610DD" w:rsidP="00BC3D30">
      <w:pPr>
        <w:pStyle w:val="Source"/>
      </w:pPr>
    </w:p>
    <w:p w14:paraId="19485BA6" w14:textId="6F1C5EAE" w:rsidR="00BC3D30" w:rsidRDefault="00BC3D30" w:rsidP="00BC3D30">
      <w:pPr>
        <w:pStyle w:val="Source"/>
      </w:pPr>
      <w:r>
        <w:t>Source: ACECQA, National Registers.</w:t>
      </w:r>
    </w:p>
    <w:p w14:paraId="07F0BD02" w14:textId="7CB74091" w:rsidR="00BC3D30" w:rsidRDefault="00BC3D30" w:rsidP="00BC3D30">
      <w:r>
        <w:t>This strong growth in services has been almost entirely driven by Private For-Profit providers. All service types experienced an increase in the share of for-profit services between 2013 and 2023 (</w:t>
      </w:r>
      <w:r>
        <w:fldChar w:fldCharType="begin"/>
      </w:r>
      <w:r>
        <w:instrText xml:space="preserve"> REF _Ref171598460 \h </w:instrText>
      </w:r>
      <w:r>
        <w:fldChar w:fldCharType="separate"/>
      </w:r>
      <w:r w:rsidR="005F18C1">
        <w:t>Figure 1.</w:t>
      </w:r>
      <w:r w:rsidR="005F18C1">
        <w:rPr>
          <w:noProof/>
        </w:rPr>
        <w:t>9</w:t>
      </w:r>
      <w:r>
        <w:fldChar w:fldCharType="end"/>
      </w:r>
      <w:r>
        <w:t xml:space="preserve"> below).</w:t>
      </w:r>
      <w:r>
        <w:rPr>
          <w:rStyle w:val="FootnoteReference"/>
        </w:rPr>
        <w:footnoteReference w:id="19"/>
      </w:r>
      <w:r>
        <w:t xml:space="preserve"> However, the number services from other management types </w:t>
      </w:r>
      <w:proofErr w:type="gramStart"/>
      <w:r>
        <w:t>has</w:t>
      </w:r>
      <w:proofErr w:type="gramEnd"/>
      <w:r>
        <w:t xml:space="preserve"> remained largely constant over the period. </w:t>
      </w:r>
    </w:p>
    <w:p w14:paraId="5452E56F" w14:textId="0B38BAA7" w:rsidR="00115A28" w:rsidRDefault="00115A28">
      <w:r>
        <w:br w:type="page"/>
      </w:r>
    </w:p>
    <w:p w14:paraId="398FB711" w14:textId="2396C238" w:rsidR="00BC3D30" w:rsidRDefault="00BC3D30" w:rsidP="00BC3D30">
      <w:pPr>
        <w:pStyle w:val="Caption"/>
      </w:pPr>
      <w:bookmarkStart w:id="58" w:name="_Ref171598460"/>
      <w:r>
        <w:lastRenderedPageBreak/>
        <w:t>Figure 1.</w:t>
      </w:r>
      <w:r>
        <w:fldChar w:fldCharType="begin"/>
      </w:r>
      <w:r>
        <w:instrText xml:space="preserve"> SEQ Figure \* ARABIC </w:instrText>
      </w:r>
      <w:r>
        <w:fldChar w:fldCharType="separate"/>
      </w:r>
      <w:r w:rsidR="005F18C1">
        <w:rPr>
          <w:noProof/>
        </w:rPr>
        <w:t>9</w:t>
      </w:r>
      <w:r>
        <w:fldChar w:fldCharType="end"/>
      </w:r>
      <w:bookmarkEnd w:id="58"/>
      <w:r>
        <w:t>: For-profit share of services by type, 2013 and 2023</w:t>
      </w:r>
      <w:r w:rsidRPr="00285829">
        <w:rPr>
          <w:rStyle w:val="FootnoteReference"/>
        </w:rPr>
        <w:footnoteReference w:id="20"/>
      </w:r>
    </w:p>
    <w:p w14:paraId="596EC9A3" w14:textId="15DC10A7" w:rsidR="00BC3D30" w:rsidRPr="00197391" w:rsidRDefault="00BC3D30" w:rsidP="00BC3D30">
      <w:r>
        <w:rPr>
          <w:noProof/>
        </w:rPr>
        <w:drawing>
          <wp:anchor distT="0" distB="0" distL="114300" distR="114300" simplePos="0" relativeHeight="251700227" behindDoc="0" locked="0" layoutInCell="1" allowOverlap="1" wp14:anchorId="36C28D0E" wp14:editId="251506EE">
            <wp:simplePos x="0" y="0"/>
            <wp:positionH relativeFrom="column">
              <wp:posOffset>0</wp:posOffset>
            </wp:positionH>
            <wp:positionV relativeFrom="paragraph">
              <wp:posOffset>862</wp:posOffset>
            </wp:positionV>
            <wp:extent cx="5731510" cy="4298950"/>
            <wp:effectExtent l="0" t="0" r="2540" b="6350"/>
            <wp:wrapNone/>
            <wp:docPr id="111726967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269670" name="Picture 10">
                      <a:extLst>
                        <a:ext uri="{C183D7F6-B498-43B3-948B-1728B52AA6E4}">
                          <adec:decorative xmlns:adec="http://schemas.microsoft.com/office/drawing/2017/decorative" val="1"/>
                        </a:ext>
                      </a:extLst>
                    </pic:cNvPr>
                    <pic:cNvPicPr>
                      <a:picLocks noChangeAspect="1" noChangeArrowheads="1"/>
                    </pic:cNvPicPr>
                  </pic:nvPicPr>
                  <pic:blipFill>
                    <a:blip r:embed="rId63" cstate="screen">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anchor>
        </w:drawing>
      </w:r>
    </w:p>
    <w:tbl>
      <w:tblPr>
        <w:tblStyle w:val="Box"/>
        <w:tblW w:w="0" w:type="auto"/>
        <w:jc w:val="center"/>
        <w:tblLook w:val="04A0" w:firstRow="1" w:lastRow="0" w:firstColumn="1" w:lastColumn="0" w:noHBand="0" w:noVBand="1"/>
      </w:tblPr>
      <w:tblGrid>
        <w:gridCol w:w="1020"/>
        <w:gridCol w:w="2540"/>
        <w:gridCol w:w="1720"/>
        <w:gridCol w:w="2800"/>
      </w:tblGrid>
      <w:tr w:rsidR="00574D8E" w:rsidRPr="00574D8E" w14:paraId="6B923189" w14:textId="77777777" w:rsidTr="00574D8E">
        <w:trPr>
          <w:trHeight w:val="300"/>
          <w:jc w:val="center"/>
        </w:trPr>
        <w:tc>
          <w:tcPr>
            <w:tcW w:w="1020" w:type="dxa"/>
            <w:noWrap/>
            <w:hideMark/>
          </w:tcPr>
          <w:p w14:paraId="6E31D20C" w14:textId="77777777" w:rsidR="00574D8E" w:rsidRPr="00574D8E" w:rsidRDefault="00574D8E" w:rsidP="00574D8E">
            <w:pPr>
              <w:pStyle w:val="Source"/>
              <w:rPr>
                <w:sz w:val="2"/>
                <w:szCs w:val="2"/>
              </w:rPr>
            </w:pPr>
          </w:p>
        </w:tc>
        <w:tc>
          <w:tcPr>
            <w:tcW w:w="2540" w:type="dxa"/>
            <w:noWrap/>
            <w:hideMark/>
          </w:tcPr>
          <w:p w14:paraId="0853FF6A" w14:textId="77777777" w:rsidR="00574D8E" w:rsidRPr="00574D8E" w:rsidRDefault="00574D8E" w:rsidP="00574D8E">
            <w:pPr>
              <w:pStyle w:val="Source"/>
              <w:rPr>
                <w:b/>
                <w:bCs/>
                <w:sz w:val="2"/>
                <w:szCs w:val="2"/>
              </w:rPr>
            </w:pPr>
            <w:r w:rsidRPr="00574D8E">
              <w:rPr>
                <w:b/>
                <w:bCs/>
                <w:sz w:val="2"/>
                <w:szCs w:val="2"/>
              </w:rPr>
              <w:t>Centre based day care</w:t>
            </w:r>
          </w:p>
        </w:tc>
        <w:tc>
          <w:tcPr>
            <w:tcW w:w="1720" w:type="dxa"/>
            <w:noWrap/>
            <w:hideMark/>
          </w:tcPr>
          <w:p w14:paraId="197A2C19" w14:textId="77777777" w:rsidR="00574D8E" w:rsidRPr="00574D8E" w:rsidRDefault="00574D8E" w:rsidP="00574D8E">
            <w:pPr>
              <w:pStyle w:val="Source"/>
              <w:rPr>
                <w:b/>
                <w:bCs/>
                <w:sz w:val="2"/>
                <w:szCs w:val="2"/>
              </w:rPr>
            </w:pPr>
            <w:r w:rsidRPr="00574D8E">
              <w:rPr>
                <w:b/>
                <w:bCs/>
                <w:sz w:val="2"/>
                <w:szCs w:val="2"/>
              </w:rPr>
              <w:t>Family day care</w:t>
            </w:r>
          </w:p>
        </w:tc>
        <w:tc>
          <w:tcPr>
            <w:tcW w:w="2800" w:type="dxa"/>
            <w:noWrap/>
            <w:hideMark/>
          </w:tcPr>
          <w:p w14:paraId="7EFA8376" w14:textId="77777777" w:rsidR="00574D8E" w:rsidRPr="00574D8E" w:rsidRDefault="00574D8E" w:rsidP="00574D8E">
            <w:pPr>
              <w:pStyle w:val="Source"/>
              <w:rPr>
                <w:b/>
                <w:bCs/>
                <w:sz w:val="2"/>
                <w:szCs w:val="2"/>
              </w:rPr>
            </w:pPr>
            <w:r w:rsidRPr="00574D8E">
              <w:rPr>
                <w:b/>
                <w:bCs/>
                <w:sz w:val="2"/>
                <w:szCs w:val="2"/>
              </w:rPr>
              <w:t>Out of school hours care</w:t>
            </w:r>
          </w:p>
        </w:tc>
      </w:tr>
      <w:tr w:rsidR="00574D8E" w:rsidRPr="00574D8E" w14:paraId="1DF196E1" w14:textId="77777777" w:rsidTr="00574D8E">
        <w:trPr>
          <w:trHeight w:val="300"/>
          <w:jc w:val="center"/>
        </w:trPr>
        <w:tc>
          <w:tcPr>
            <w:tcW w:w="1020" w:type="dxa"/>
            <w:noWrap/>
            <w:hideMark/>
          </w:tcPr>
          <w:p w14:paraId="628355B8" w14:textId="77777777" w:rsidR="00574D8E" w:rsidRPr="00574D8E" w:rsidRDefault="00574D8E" w:rsidP="00574D8E">
            <w:pPr>
              <w:pStyle w:val="Source"/>
              <w:rPr>
                <w:b/>
                <w:bCs/>
                <w:sz w:val="2"/>
                <w:szCs w:val="2"/>
              </w:rPr>
            </w:pPr>
            <w:r w:rsidRPr="00574D8E">
              <w:rPr>
                <w:b/>
                <w:bCs/>
                <w:sz w:val="2"/>
                <w:szCs w:val="2"/>
              </w:rPr>
              <w:t>2013</w:t>
            </w:r>
          </w:p>
        </w:tc>
        <w:tc>
          <w:tcPr>
            <w:tcW w:w="2540" w:type="dxa"/>
            <w:noWrap/>
            <w:hideMark/>
          </w:tcPr>
          <w:p w14:paraId="637C64E9" w14:textId="77777777" w:rsidR="00574D8E" w:rsidRPr="00574D8E" w:rsidRDefault="00574D8E" w:rsidP="00574D8E">
            <w:pPr>
              <w:pStyle w:val="Source"/>
              <w:rPr>
                <w:sz w:val="2"/>
                <w:szCs w:val="2"/>
              </w:rPr>
            </w:pPr>
            <w:r w:rsidRPr="00574D8E">
              <w:rPr>
                <w:sz w:val="2"/>
                <w:szCs w:val="2"/>
              </w:rPr>
              <w:t>58%</w:t>
            </w:r>
          </w:p>
        </w:tc>
        <w:tc>
          <w:tcPr>
            <w:tcW w:w="1720" w:type="dxa"/>
            <w:noWrap/>
            <w:hideMark/>
          </w:tcPr>
          <w:p w14:paraId="36381C28" w14:textId="77777777" w:rsidR="00574D8E" w:rsidRPr="00574D8E" w:rsidRDefault="00574D8E" w:rsidP="00574D8E">
            <w:pPr>
              <w:pStyle w:val="Source"/>
              <w:rPr>
                <w:sz w:val="2"/>
                <w:szCs w:val="2"/>
              </w:rPr>
            </w:pPr>
            <w:r w:rsidRPr="00574D8E">
              <w:rPr>
                <w:sz w:val="2"/>
                <w:szCs w:val="2"/>
              </w:rPr>
              <w:t>54%</w:t>
            </w:r>
          </w:p>
        </w:tc>
        <w:tc>
          <w:tcPr>
            <w:tcW w:w="2800" w:type="dxa"/>
            <w:noWrap/>
            <w:hideMark/>
          </w:tcPr>
          <w:p w14:paraId="219CF862" w14:textId="77777777" w:rsidR="00574D8E" w:rsidRPr="00574D8E" w:rsidRDefault="00574D8E" w:rsidP="00574D8E">
            <w:pPr>
              <w:pStyle w:val="Source"/>
              <w:rPr>
                <w:sz w:val="2"/>
                <w:szCs w:val="2"/>
              </w:rPr>
            </w:pPr>
            <w:r w:rsidRPr="00574D8E">
              <w:rPr>
                <w:sz w:val="2"/>
                <w:szCs w:val="2"/>
              </w:rPr>
              <w:t>34%</w:t>
            </w:r>
          </w:p>
        </w:tc>
      </w:tr>
      <w:tr w:rsidR="00574D8E" w:rsidRPr="00574D8E" w14:paraId="14188CD0" w14:textId="77777777" w:rsidTr="00574D8E">
        <w:trPr>
          <w:trHeight w:val="300"/>
          <w:jc w:val="center"/>
        </w:trPr>
        <w:tc>
          <w:tcPr>
            <w:tcW w:w="1020" w:type="dxa"/>
            <w:noWrap/>
            <w:hideMark/>
          </w:tcPr>
          <w:p w14:paraId="5835EFF5" w14:textId="77777777" w:rsidR="00574D8E" w:rsidRPr="00574D8E" w:rsidRDefault="00574D8E" w:rsidP="00574D8E">
            <w:pPr>
              <w:pStyle w:val="Source"/>
              <w:rPr>
                <w:b/>
                <w:bCs/>
                <w:sz w:val="2"/>
                <w:szCs w:val="2"/>
              </w:rPr>
            </w:pPr>
            <w:r w:rsidRPr="00574D8E">
              <w:rPr>
                <w:b/>
                <w:bCs/>
                <w:sz w:val="2"/>
                <w:szCs w:val="2"/>
              </w:rPr>
              <w:t>2023</w:t>
            </w:r>
          </w:p>
        </w:tc>
        <w:tc>
          <w:tcPr>
            <w:tcW w:w="2540" w:type="dxa"/>
            <w:noWrap/>
            <w:hideMark/>
          </w:tcPr>
          <w:p w14:paraId="28436904" w14:textId="77777777" w:rsidR="00574D8E" w:rsidRPr="00574D8E" w:rsidRDefault="00574D8E" w:rsidP="00574D8E">
            <w:pPr>
              <w:pStyle w:val="Source"/>
              <w:rPr>
                <w:sz w:val="2"/>
                <w:szCs w:val="2"/>
              </w:rPr>
            </w:pPr>
            <w:r w:rsidRPr="00574D8E">
              <w:rPr>
                <w:sz w:val="2"/>
                <w:szCs w:val="2"/>
              </w:rPr>
              <w:t>69%</w:t>
            </w:r>
          </w:p>
        </w:tc>
        <w:tc>
          <w:tcPr>
            <w:tcW w:w="1720" w:type="dxa"/>
            <w:noWrap/>
            <w:hideMark/>
          </w:tcPr>
          <w:p w14:paraId="3D207E38" w14:textId="77777777" w:rsidR="00574D8E" w:rsidRPr="00574D8E" w:rsidRDefault="00574D8E" w:rsidP="00574D8E">
            <w:pPr>
              <w:pStyle w:val="Source"/>
              <w:rPr>
                <w:sz w:val="2"/>
                <w:szCs w:val="2"/>
              </w:rPr>
            </w:pPr>
            <w:r w:rsidRPr="00574D8E">
              <w:rPr>
                <w:sz w:val="2"/>
                <w:szCs w:val="2"/>
              </w:rPr>
              <w:t>64%</w:t>
            </w:r>
          </w:p>
        </w:tc>
        <w:tc>
          <w:tcPr>
            <w:tcW w:w="2800" w:type="dxa"/>
            <w:noWrap/>
            <w:hideMark/>
          </w:tcPr>
          <w:p w14:paraId="2296F3ED" w14:textId="77777777" w:rsidR="00574D8E" w:rsidRPr="00574D8E" w:rsidRDefault="00574D8E" w:rsidP="00574D8E">
            <w:pPr>
              <w:pStyle w:val="Source"/>
              <w:rPr>
                <w:sz w:val="2"/>
                <w:szCs w:val="2"/>
              </w:rPr>
            </w:pPr>
            <w:r w:rsidRPr="00574D8E">
              <w:rPr>
                <w:sz w:val="2"/>
                <w:szCs w:val="2"/>
              </w:rPr>
              <w:t>53%</w:t>
            </w:r>
          </w:p>
        </w:tc>
      </w:tr>
    </w:tbl>
    <w:p w14:paraId="670AD7C2" w14:textId="77777777" w:rsidR="00574D8E" w:rsidRDefault="00574D8E" w:rsidP="00BC3D30">
      <w:pPr>
        <w:pStyle w:val="Source"/>
      </w:pPr>
    </w:p>
    <w:p w14:paraId="090E8140" w14:textId="77777777" w:rsidR="00574D8E" w:rsidRDefault="00574D8E" w:rsidP="00BC3D30">
      <w:pPr>
        <w:pStyle w:val="Source"/>
      </w:pPr>
    </w:p>
    <w:p w14:paraId="509BEABA" w14:textId="77777777" w:rsidR="00574D8E" w:rsidRDefault="00574D8E" w:rsidP="00BC3D30">
      <w:pPr>
        <w:pStyle w:val="Source"/>
      </w:pPr>
    </w:p>
    <w:p w14:paraId="00A73B87" w14:textId="77777777" w:rsidR="00574D8E" w:rsidRDefault="00574D8E" w:rsidP="00BC3D30">
      <w:pPr>
        <w:pStyle w:val="Source"/>
      </w:pPr>
    </w:p>
    <w:p w14:paraId="57C90EAE" w14:textId="77777777" w:rsidR="00574D8E" w:rsidRDefault="00574D8E" w:rsidP="00BC3D30">
      <w:pPr>
        <w:pStyle w:val="Source"/>
      </w:pPr>
    </w:p>
    <w:p w14:paraId="0DA86A77" w14:textId="77777777" w:rsidR="00574D8E" w:rsidRDefault="00574D8E" w:rsidP="00BC3D30">
      <w:pPr>
        <w:pStyle w:val="Source"/>
      </w:pPr>
    </w:p>
    <w:p w14:paraId="247F0152" w14:textId="77777777" w:rsidR="00574D8E" w:rsidRDefault="00574D8E" w:rsidP="00BC3D30">
      <w:pPr>
        <w:pStyle w:val="Source"/>
      </w:pPr>
    </w:p>
    <w:p w14:paraId="58A2B585" w14:textId="77777777" w:rsidR="00574D8E" w:rsidRDefault="00574D8E" w:rsidP="00BC3D30">
      <w:pPr>
        <w:pStyle w:val="Source"/>
      </w:pPr>
    </w:p>
    <w:p w14:paraId="1A8A617A" w14:textId="77777777" w:rsidR="00574D8E" w:rsidRDefault="00574D8E" w:rsidP="00BC3D30">
      <w:pPr>
        <w:pStyle w:val="Source"/>
      </w:pPr>
    </w:p>
    <w:p w14:paraId="6E143A3A" w14:textId="77777777" w:rsidR="00574D8E" w:rsidRDefault="00574D8E" w:rsidP="00BC3D30">
      <w:pPr>
        <w:pStyle w:val="Source"/>
      </w:pPr>
    </w:p>
    <w:p w14:paraId="4B377A18" w14:textId="77777777" w:rsidR="00574D8E" w:rsidRDefault="00574D8E" w:rsidP="00BC3D30">
      <w:pPr>
        <w:pStyle w:val="Source"/>
      </w:pPr>
    </w:p>
    <w:p w14:paraId="6901E6A1" w14:textId="77777777" w:rsidR="00574D8E" w:rsidRDefault="00574D8E" w:rsidP="00BC3D30">
      <w:pPr>
        <w:pStyle w:val="Source"/>
      </w:pPr>
    </w:p>
    <w:p w14:paraId="6C6ABC96" w14:textId="77777777" w:rsidR="00574D8E" w:rsidRDefault="00574D8E" w:rsidP="00BC3D30">
      <w:pPr>
        <w:pStyle w:val="Source"/>
      </w:pPr>
    </w:p>
    <w:p w14:paraId="66BB8624" w14:textId="77777777" w:rsidR="00574D8E" w:rsidRDefault="00574D8E" w:rsidP="00BC3D30">
      <w:pPr>
        <w:pStyle w:val="Source"/>
      </w:pPr>
    </w:p>
    <w:p w14:paraId="40F72271" w14:textId="77777777" w:rsidR="00574D8E" w:rsidRDefault="00574D8E" w:rsidP="00BC3D30">
      <w:pPr>
        <w:pStyle w:val="Source"/>
      </w:pPr>
    </w:p>
    <w:p w14:paraId="32E8CC9E" w14:textId="77777777" w:rsidR="00574D8E" w:rsidRDefault="00574D8E" w:rsidP="00BC3D30">
      <w:pPr>
        <w:pStyle w:val="Source"/>
      </w:pPr>
    </w:p>
    <w:p w14:paraId="0A3A507A" w14:textId="63F11613" w:rsidR="00BC3D30" w:rsidRDefault="00BC3D30" w:rsidP="00BC3D30">
      <w:pPr>
        <w:pStyle w:val="Source"/>
      </w:pPr>
      <w:r>
        <w:t>Source: ACECQA, National Registers.</w:t>
      </w:r>
    </w:p>
    <w:p w14:paraId="7A2E1F20" w14:textId="2989A973" w:rsidR="00BC3D30" w:rsidRDefault="00BC3D30" w:rsidP="00BC3D30">
      <w:r>
        <w:t>For CBDCs, this increase is largely concentrated around major cities, with the highest growth levels and largest number of services, analysis of ACECQA, National registers suggest. Victoria also experienced the largest increases in the number of services over this time.  However, the increasing share of for-profit services is not evenly distributed across regions in Australia (</w:t>
      </w:r>
      <w:r>
        <w:fldChar w:fldCharType="begin"/>
      </w:r>
      <w:r>
        <w:instrText xml:space="preserve"> REF _Ref167701407 \h </w:instrText>
      </w:r>
      <w:r>
        <w:fldChar w:fldCharType="separate"/>
      </w:r>
      <w:r w:rsidR="005F18C1">
        <w:t>Figure 1.</w:t>
      </w:r>
      <w:r>
        <w:fldChar w:fldCharType="end"/>
      </w:r>
      <w:r>
        <w:t>1</w:t>
      </w:r>
      <w:r w:rsidR="00141A92">
        <w:t>0</w:t>
      </w:r>
      <w:r>
        <w:t xml:space="preserve">). Areas with the largest increase in the share of for-profit services tend to be the inner and outer regional areas bounding major cities (for example, north-west of Melbourne). </w:t>
      </w:r>
    </w:p>
    <w:p w14:paraId="566D016A" w14:textId="183E38E7" w:rsidR="00BC3D30" w:rsidRPr="007818B4" w:rsidRDefault="00BC3D30" w:rsidP="00A62934">
      <w:pPr>
        <w:pStyle w:val="Caption"/>
      </w:pPr>
      <w:bookmarkStart w:id="59" w:name="_Ref167701407"/>
      <w:r>
        <w:lastRenderedPageBreak/>
        <w:t>Figure 1.</w:t>
      </w:r>
      <w:bookmarkEnd w:id="59"/>
      <w:r>
        <w:t>1</w:t>
      </w:r>
      <w:r w:rsidR="00141A92">
        <w:t>0</w:t>
      </w:r>
      <w:r>
        <w:t xml:space="preserve">: </w:t>
      </w:r>
      <w:r w:rsidRPr="00C51DC3">
        <w:t>Change in for-profit share of services and service growth</w:t>
      </w:r>
      <w:r>
        <w:t>, SA4</w:t>
      </w:r>
      <w:r w:rsidRPr="00C51DC3">
        <w:t xml:space="preserve"> 2013-2023</w:t>
      </w:r>
    </w:p>
    <w:p w14:paraId="2EDC23D7" w14:textId="77777777" w:rsidR="00BC3D30" w:rsidRDefault="00BC3D30" w:rsidP="00BC3D30">
      <w:pPr>
        <w:pStyle w:val="NormalWeb"/>
      </w:pPr>
      <w:r>
        <w:rPr>
          <w:noProof/>
        </w:rPr>
        <w:drawing>
          <wp:inline distT="0" distB="0" distL="0" distR="0" wp14:anchorId="79308E1D" wp14:editId="07D31C2A">
            <wp:extent cx="5731510" cy="3439160"/>
            <wp:effectExtent l="0" t="0" r="2540" b="8890"/>
            <wp:docPr id="908204506" name="Picture 2" descr="This figure shows the change in for-profit share of services and service growth with circular dots indicating locations with smaller dots for 100 services in 2023 and 300 services with larger dots. The X axis shows % growth in services with the majority of data points between 30-40% growth. The y axis shows locations with services above 0% or below% growth in for-profit-share. The majority of locations have increased in for-profit share, including Bunbury, Bendio, Melbourne North West and Adelaide West Only 4 locations are shrinking in change in for profit share, including NT Outback which is called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204506" name="Picture 2" descr="This figure shows the change in for-profit share of services and service growth with circular dots indicating locations with smaller dots for 100 services in 2023 and 300 services with larger dots. The X axis shows % growth in services with the majority of data points between 30-40% growth. The y axis shows locations with services above 0% or below% growth in for-profit-share. The majority of locations have increased in for-profit share, including Bunbury, Bendio, Melbourne North West and Adelaide West Only 4 locations are shrinking in change in for profit share, including NT Outback which is called out."/>
                    <pic:cNvPicPr>
                      <a:picLocks noChangeAspect="1" noChangeArrowheads="1"/>
                    </pic:cNvPicPr>
                  </pic:nvPicPr>
                  <pic:blipFill>
                    <a:blip r:embed="rId64" cstate="screen">
                      <a:extLst>
                        <a:ext uri="{28A0092B-C50C-407E-A947-70E740481C1C}">
                          <a14:useLocalDpi xmlns:a14="http://schemas.microsoft.com/office/drawing/2010/main" val="0"/>
                        </a:ext>
                      </a:extLst>
                    </a:blip>
                    <a:srcRect/>
                    <a:stretch>
                      <a:fillRect/>
                    </a:stretch>
                  </pic:blipFill>
                  <pic:spPr bwMode="auto">
                    <a:xfrm>
                      <a:off x="0" y="0"/>
                      <a:ext cx="5731510" cy="3439160"/>
                    </a:xfrm>
                    <a:prstGeom prst="rect">
                      <a:avLst/>
                    </a:prstGeom>
                    <a:noFill/>
                    <a:ln>
                      <a:noFill/>
                    </a:ln>
                  </pic:spPr>
                </pic:pic>
              </a:graphicData>
            </a:graphic>
          </wp:inline>
        </w:drawing>
      </w:r>
    </w:p>
    <w:p w14:paraId="4E57AAE6" w14:textId="77777777" w:rsidR="00BC3D30" w:rsidRDefault="00BC3D30" w:rsidP="00BC3D30">
      <w:pPr>
        <w:pStyle w:val="Source"/>
      </w:pPr>
      <w:r>
        <w:t xml:space="preserve">Source: JSA analysis of </w:t>
      </w:r>
      <w:r w:rsidRPr="0029428E">
        <w:t>ACECQA</w:t>
      </w:r>
      <w:r>
        <w:t>, National Registers.</w:t>
      </w:r>
    </w:p>
    <w:p w14:paraId="14441173" w14:textId="77777777" w:rsidR="00BC3D30" w:rsidRPr="00F9024D" w:rsidRDefault="00BC3D30" w:rsidP="00BC3D30">
      <w:pPr>
        <w:pStyle w:val="Heading3"/>
      </w:pPr>
      <w:r w:rsidRPr="00F9024D">
        <w:t>Drivers of Availability</w:t>
      </w:r>
    </w:p>
    <w:p w14:paraId="125E1EBB" w14:textId="77777777" w:rsidR="00BC3D30" w:rsidRDefault="00BC3D30" w:rsidP="00BC3D30">
      <w:r>
        <w:t>The following section examines the relationship between key regional characteristics and the provision of ECEC, including both the number of services as well as their approved places. It considers a “market” for ECEC services at the SA3 level, balancing the willingness and ability of families to travel to attend care.</w:t>
      </w:r>
    </w:p>
    <w:p w14:paraId="3FCD9705" w14:textId="5E462F65" w:rsidR="00BC3D30" w:rsidRDefault="00BC3D30" w:rsidP="00BC3D30">
      <w:r>
        <w:fldChar w:fldCharType="begin"/>
      </w:r>
      <w:r>
        <w:instrText xml:space="preserve"> REF _Ref166140857 \h </w:instrText>
      </w:r>
      <w:r>
        <w:fldChar w:fldCharType="separate"/>
      </w:r>
      <w:r w:rsidR="005F18C1">
        <w:t>Figure 1.</w:t>
      </w:r>
      <w:r>
        <w:fldChar w:fldCharType="end"/>
      </w:r>
      <w:r w:rsidR="00141A92">
        <w:t>11</w:t>
      </w:r>
      <w:r>
        <w:t xml:space="preserve"> presents key results from the analysis of relationships between the supply of ECEC and key characteristics. Each figure illustrates the supply of ECEC (the number of services per child or places per child) in each SA3 against that region’s characteristic (average female employee income, or the female labour force participation rate). Point size is scaled based on the child population (0-13 years). The line in each figure represents the line of best fit around each point.</w:t>
      </w:r>
    </w:p>
    <w:p w14:paraId="4D275F4D" w14:textId="77777777" w:rsidR="00BC3D30" w:rsidRDefault="00BC3D30" w:rsidP="00BC3D30">
      <w:r>
        <w:t xml:space="preserve">The accessibility of care, both services and licensed places, is strongly related to child population. Importantly, ECEC availability has a positive relationship to both female income and female labour force participation for CBDC and OSHC. Further, average fees are also strongly related to income for CBDC (correlation = 0.69, not pictured). Together, this indicates that the provision of care reflects characteristics that drive the demand for care, resulting in an unequal distribution of care accessibility for families across Australia. </w:t>
      </w:r>
    </w:p>
    <w:p w14:paraId="7A7FE78F" w14:textId="7A0302C1" w:rsidR="00BC3D30" w:rsidRPr="00DA4EEB" w:rsidRDefault="00BC3D30" w:rsidP="00BC3D30">
      <w:pPr>
        <w:pStyle w:val="Caption"/>
        <w:ind w:left="284" w:hanging="284"/>
        <w:rPr>
          <w:b w:val="0"/>
          <w:bCs w:val="0"/>
        </w:rPr>
      </w:pPr>
      <w:bookmarkStart w:id="60" w:name="_Ref166140857"/>
      <w:r>
        <w:lastRenderedPageBreak/>
        <w:t>Figure 1.</w:t>
      </w:r>
      <w:bookmarkEnd w:id="60"/>
      <w:r w:rsidR="00141A92">
        <w:t>11</w:t>
      </w:r>
      <w:r>
        <w:t xml:space="preserve">: </w:t>
      </w:r>
      <w:r w:rsidRPr="00C51DC3">
        <w:t>Number of services and maximum total places, by SA3, 2021</w:t>
      </w:r>
    </w:p>
    <w:p w14:paraId="17E349F2" w14:textId="77777777" w:rsidR="00BC3D30" w:rsidRDefault="00BC3D30" w:rsidP="00BC3D30">
      <w:pPr>
        <w:pStyle w:val="NormalWeb"/>
        <w:jc w:val="center"/>
      </w:pPr>
      <w:r>
        <w:rPr>
          <w:noProof/>
        </w:rPr>
        <w:drawing>
          <wp:inline distT="0" distB="0" distL="0" distR="0" wp14:anchorId="75BAD78F" wp14:editId="42E3924F">
            <wp:extent cx="5731200" cy="4093200"/>
            <wp:effectExtent l="0" t="0" r="3175" b="3175"/>
            <wp:docPr id="1645444992" name="Picture 11" descr="Presented are six different charts with four mapping different service types charting x axis female employee income against y axis charting number of services per children. Two other charts chart x axis female labour force participation rate against number of places per child in two different service typ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444992" name="Picture 11" descr="Presented are six different charts with four mapping different service types charting x axis female employee income against y axis charting number of services per children. Two other charts chart x axis female labour force participation rate against number of places per child in two different service types. "/>
                    <pic:cNvPicPr>
                      <a:picLocks noChangeAspect="1" noChangeArrowheads="1"/>
                    </pic:cNvPicPr>
                  </pic:nvPicPr>
                  <pic:blipFill>
                    <a:blip r:embed="rId65" cstate="screen">
                      <a:extLst>
                        <a:ext uri="{28A0092B-C50C-407E-A947-70E740481C1C}">
                          <a14:useLocalDpi xmlns:a14="http://schemas.microsoft.com/office/drawing/2010/main" val="0"/>
                        </a:ext>
                      </a:extLst>
                    </a:blip>
                    <a:srcRect/>
                    <a:stretch>
                      <a:fillRect/>
                    </a:stretch>
                  </pic:blipFill>
                  <pic:spPr bwMode="auto">
                    <a:xfrm>
                      <a:off x="0" y="0"/>
                      <a:ext cx="5731200" cy="4093200"/>
                    </a:xfrm>
                    <a:prstGeom prst="rect">
                      <a:avLst/>
                    </a:prstGeom>
                    <a:noFill/>
                    <a:ln>
                      <a:noFill/>
                    </a:ln>
                  </pic:spPr>
                </pic:pic>
              </a:graphicData>
            </a:graphic>
          </wp:inline>
        </w:drawing>
      </w:r>
    </w:p>
    <w:p w14:paraId="05987919" w14:textId="77777777" w:rsidR="00BC3D30" w:rsidRDefault="00BC3D30" w:rsidP="00BC3D30">
      <w:pPr>
        <w:pStyle w:val="Source"/>
      </w:pPr>
      <w:r>
        <w:t>Source: JSA analysis of Department of Education, CCS data; ABS, Census of Population and Housing, ERP, Personal Income in Australia, 2021</w:t>
      </w:r>
    </w:p>
    <w:p w14:paraId="456A5FB1" w14:textId="77777777" w:rsidR="00BC3D30" w:rsidRPr="005B571B" w:rsidRDefault="00BC3D30" w:rsidP="00BC3D30">
      <w:pPr>
        <w:pStyle w:val="Heading3"/>
      </w:pPr>
      <w:r w:rsidRPr="005B571B">
        <w:t xml:space="preserve">Organisations Delivering </w:t>
      </w:r>
      <w:r w:rsidRPr="005B571B" w:rsidDel="3A8B8F7C">
        <w:t>ECEC</w:t>
      </w:r>
    </w:p>
    <w:p w14:paraId="1CE5D834" w14:textId="77777777" w:rsidR="00BC3D30" w:rsidRDefault="00BC3D30" w:rsidP="00BC3D30">
      <w:pPr>
        <w:rPr>
          <w:rFonts w:cs="Arial"/>
        </w:rPr>
      </w:pPr>
      <w:r w:rsidRPr="59351DE1">
        <w:rPr>
          <w:rFonts w:cs="Arial"/>
        </w:rPr>
        <w:t>Services deliver ECEC in a competitive environment driven by the needs and preferences of families. This operating environment is characterised by strong regulation and oversight governing staffing arrangements and enrolment numbers.</w:t>
      </w:r>
    </w:p>
    <w:p w14:paraId="38A400A2" w14:textId="77777777" w:rsidR="00BC3D30" w:rsidRDefault="00BC3D30" w:rsidP="00BC3D30">
      <w:pPr>
        <w:rPr>
          <w:rFonts w:cs="Arial"/>
        </w:rPr>
      </w:pPr>
      <w:r>
        <w:rPr>
          <w:rFonts w:cs="Arial"/>
        </w:rPr>
        <w:t>Individual services, or centres,</w:t>
      </w:r>
      <w:r>
        <w:rPr>
          <w:rStyle w:val="FootnoteReference"/>
          <w:rFonts w:cs="Arial"/>
        </w:rPr>
        <w:footnoteReference w:id="21"/>
      </w:r>
      <w:r>
        <w:rPr>
          <w:rFonts w:cs="Arial"/>
        </w:rPr>
        <w:t xml:space="preserve"> are managed by approved providers of varying management types, including private for-profit, </w:t>
      </w:r>
      <w:r w:rsidRPr="2C159311">
        <w:rPr>
          <w:rFonts w:cs="Arial"/>
        </w:rPr>
        <w:t>private not-for-profit</w:t>
      </w:r>
      <w:r>
        <w:rPr>
          <w:rFonts w:cs="Arial"/>
        </w:rPr>
        <w:t xml:space="preserve">, community, and government schools. This section explores the characteristics that delineate providers of ECEC, including management type and size, and the implications for the workforce arising from differences across organisation type. </w:t>
      </w:r>
    </w:p>
    <w:p w14:paraId="06B9141B" w14:textId="1D201D89" w:rsidR="00BC3D30" w:rsidRDefault="00BC3D30" w:rsidP="00BC3D30">
      <w:pPr>
        <w:rPr>
          <w:rFonts w:cs="Arial"/>
        </w:rPr>
      </w:pPr>
      <w:r w:rsidRPr="002905C0">
        <w:rPr>
          <w:rFonts w:cs="Arial"/>
        </w:rPr>
        <w:t>Private for-profit providers are the most prevalent of the sector, representing 52% of all services and 69% of CBDC services (</w:t>
      </w:r>
      <w:r>
        <w:rPr>
          <w:rFonts w:cs="Arial"/>
        </w:rPr>
        <w:fldChar w:fldCharType="begin"/>
      </w:r>
      <w:r>
        <w:rPr>
          <w:rFonts w:cs="Arial"/>
        </w:rPr>
        <w:instrText xml:space="preserve"> REF _Ref166148180 \h </w:instrText>
      </w:r>
      <w:r>
        <w:rPr>
          <w:rFonts w:cs="Arial"/>
        </w:rPr>
      </w:r>
      <w:r>
        <w:rPr>
          <w:rFonts w:cs="Arial"/>
        </w:rPr>
        <w:fldChar w:fldCharType="separate"/>
      </w:r>
      <w:r w:rsidR="005F18C1">
        <w:t>Figure 1.</w:t>
      </w:r>
      <w:r>
        <w:rPr>
          <w:rFonts w:cs="Arial"/>
        </w:rPr>
        <w:fldChar w:fldCharType="end"/>
      </w:r>
      <w:r w:rsidR="005944DC">
        <w:rPr>
          <w:rFonts w:cs="Arial"/>
        </w:rPr>
        <w:t>12</w:t>
      </w:r>
      <w:r>
        <w:rPr>
          <w:rFonts w:cs="Arial"/>
        </w:rPr>
        <w:fldChar w:fldCharType="begin" w:fldLock="1"/>
      </w:r>
      <w:r>
        <w:rPr>
          <w:rFonts w:cs="Arial"/>
        </w:rPr>
        <w:instrText xml:space="preserve"> REF _Ref166148180 \h  \* MERGEFORMAT </w:instrText>
      </w:r>
      <w:r>
        <w:rPr>
          <w:rFonts w:cs="Arial"/>
        </w:rPr>
      </w:r>
      <w:r w:rsidR="00044D83">
        <w:rPr>
          <w:rFonts w:cs="Arial"/>
        </w:rPr>
        <w:fldChar w:fldCharType="separate"/>
      </w:r>
      <w:r>
        <w:rPr>
          <w:rFonts w:cs="Arial"/>
        </w:rPr>
        <w:fldChar w:fldCharType="end"/>
      </w:r>
      <w:r w:rsidRPr="002905C0">
        <w:rPr>
          <w:rFonts w:cs="Arial"/>
        </w:rPr>
        <w:t xml:space="preserve">). </w:t>
      </w:r>
      <w:r>
        <w:rPr>
          <w:rFonts w:cs="Arial"/>
        </w:rPr>
        <w:t xml:space="preserve">Almost one quarter of CBDCs, and one third of OSHCs, are run by either </w:t>
      </w:r>
      <w:r w:rsidRPr="2C159311">
        <w:rPr>
          <w:rFonts w:cs="Arial"/>
        </w:rPr>
        <w:t xml:space="preserve">private not-for-profit </w:t>
      </w:r>
      <w:r>
        <w:rPr>
          <w:rFonts w:cs="Arial"/>
        </w:rPr>
        <w:t xml:space="preserve">or community providers. As expected, school providers play a larger role in the provision of OSHC relative to CBDC. </w:t>
      </w:r>
    </w:p>
    <w:p w14:paraId="05450DB4" w14:textId="0551F38E" w:rsidR="00BC3D30" w:rsidRDefault="00BC3D30" w:rsidP="00BC3D30">
      <w:pPr>
        <w:pStyle w:val="Caption"/>
        <w:rPr>
          <w:rFonts w:cs="Arial"/>
          <w:b w:val="0"/>
          <w:bCs w:val="0"/>
        </w:rPr>
      </w:pPr>
      <w:bookmarkStart w:id="61" w:name="_Ref166148180"/>
      <w:r>
        <w:lastRenderedPageBreak/>
        <w:t>Figure 1.</w:t>
      </w:r>
      <w:bookmarkEnd w:id="61"/>
      <w:r w:rsidR="005944DC">
        <w:t>12</w:t>
      </w:r>
      <w:r>
        <w:t>:</w:t>
      </w:r>
      <w:r w:rsidRPr="00871199">
        <w:rPr>
          <w:rFonts w:cs="Arial"/>
          <w:b w:val="0"/>
          <w:bCs w:val="0"/>
        </w:rPr>
        <w:t xml:space="preserve"> </w:t>
      </w:r>
      <w:r w:rsidRPr="00C51DC3">
        <w:rPr>
          <w:rFonts w:cs="Arial"/>
        </w:rPr>
        <w:t>Service provider management type by service type, 2023</w:t>
      </w:r>
      <w:r w:rsidRPr="00C51DC3">
        <w:rPr>
          <w:rStyle w:val="FootnoteReference"/>
          <w:rFonts w:cs="Arial"/>
        </w:rPr>
        <w:footnoteReference w:id="22"/>
      </w:r>
    </w:p>
    <w:p w14:paraId="452B6737" w14:textId="58D4D707" w:rsidR="00BC3D30" w:rsidRPr="00B8378E" w:rsidRDefault="00BC3D30" w:rsidP="00BC3D30">
      <w:pPr>
        <w:pStyle w:val="Caption"/>
        <w:jc w:val="center"/>
      </w:pPr>
      <w:r>
        <w:rPr>
          <w:noProof/>
        </w:rPr>
        <w:drawing>
          <wp:anchor distT="0" distB="0" distL="114300" distR="114300" simplePos="0" relativeHeight="251701251" behindDoc="0" locked="0" layoutInCell="1" allowOverlap="1" wp14:anchorId="5B39DBA4" wp14:editId="494C47F9">
            <wp:simplePos x="0" y="0"/>
            <wp:positionH relativeFrom="column">
              <wp:align>left</wp:align>
            </wp:positionH>
            <wp:positionV relativeFrom="paragraph">
              <wp:posOffset>74930</wp:posOffset>
            </wp:positionV>
            <wp:extent cx="5731200" cy="4914000"/>
            <wp:effectExtent l="0" t="0" r="3175" b="1270"/>
            <wp:wrapNone/>
            <wp:docPr id="154285133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851333" name="Picture 3">
                      <a:extLst>
                        <a:ext uri="{C183D7F6-B498-43B3-948B-1728B52AA6E4}">
                          <adec:decorative xmlns:adec="http://schemas.microsoft.com/office/drawing/2017/decorative" val="1"/>
                        </a:ext>
                      </a:extLst>
                    </pic:cNvPr>
                    <pic:cNvPicPr>
                      <a:picLocks noChangeAspect="1" noChangeArrowheads="1"/>
                    </pic:cNvPicPr>
                  </pic:nvPicPr>
                  <pic:blipFill>
                    <a:blip r:embed="rId66" cstate="screen">
                      <a:extLst>
                        <a:ext uri="{28A0092B-C50C-407E-A947-70E740481C1C}">
                          <a14:useLocalDpi xmlns:a14="http://schemas.microsoft.com/office/drawing/2010/main" val="0"/>
                        </a:ext>
                      </a:extLst>
                    </a:blip>
                    <a:srcRect/>
                    <a:stretch>
                      <a:fillRect/>
                    </a:stretch>
                  </pic:blipFill>
                  <pic:spPr bwMode="auto">
                    <a:xfrm>
                      <a:off x="0" y="0"/>
                      <a:ext cx="5731200" cy="491400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Box"/>
        <w:tblW w:w="0" w:type="auto"/>
        <w:jc w:val="center"/>
        <w:tblLook w:val="04A0" w:firstRow="1" w:lastRow="0" w:firstColumn="1" w:lastColumn="0" w:noHBand="0" w:noVBand="1"/>
      </w:tblPr>
      <w:tblGrid>
        <w:gridCol w:w="2482"/>
        <w:gridCol w:w="2353"/>
        <w:gridCol w:w="1599"/>
        <w:gridCol w:w="1930"/>
      </w:tblGrid>
      <w:tr w:rsidR="00CC187A" w:rsidRPr="00CC187A" w14:paraId="125BE8B8" w14:textId="77777777" w:rsidTr="00CC187A">
        <w:trPr>
          <w:trHeight w:val="300"/>
          <w:jc w:val="center"/>
        </w:trPr>
        <w:tc>
          <w:tcPr>
            <w:tcW w:w="2482" w:type="dxa"/>
            <w:noWrap/>
            <w:hideMark/>
          </w:tcPr>
          <w:p w14:paraId="6CB44981" w14:textId="77777777" w:rsidR="00CC187A" w:rsidRPr="00CC187A" w:rsidRDefault="00CC187A">
            <w:pPr>
              <w:rPr>
                <w:sz w:val="2"/>
                <w:szCs w:val="2"/>
              </w:rPr>
            </w:pPr>
          </w:p>
        </w:tc>
        <w:tc>
          <w:tcPr>
            <w:tcW w:w="2353" w:type="dxa"/>
            <w:noWrap/>
            <w:hideMark/>
          </w:tcPr>
          <w:p w14:paraId="5B74C95B" w14:textId="77777777" w:rsidR="00CC187A" w:rsidRPr="00CC187A" w:rsidRDefault="00CC187A">
            <w:pPr>
              <w:rPr>
                <w:b/>
                <w:bCs/>
                <w:sz w:val="2"/>
                <w:szCs w:val="2"/>
              </w:rPr>
            </w:pPr>
            <w:r w:rsidRPr="00CC187A">
              <w:rPr>
                <w:b/>
                <w:bCs/>
                <w:sz w:val="2"/>
                <w:szCs w:val="2"/>
              </w:rPr>
              <w:t>Centre based day care</w:t>
            </w:r>
          </w:p>
        </w:tc>
        <w:tc>
          <w:tcPr>
            <w:tcW w:w="1599" w:type="dxa"/>
            <w:noWrap/>
            <w:hideMark/>
          </w:tcPr>
          <w:p w14:paraId="2A5D8CB0" w14:textId="77777777" w:rsidR="00CC187A" w:rsidRPr="00CC187A" w:rsidRDefault="00CC187A">
            <w:pPr>
              <w:rPr>
                <w:b/>
                <w:bCs/>
                <w:sz w:val="2"/>
                <w:szCs w:val="2"/>
              </w:rPr>
            </w:pPr>
            <w:r w:rsidRPr="00CC187A">
              <w:rPr>
                <w:b/>
                <w:bCs/>
                <w:sz w:val="2"/>
                <w:szCs w:val="2"/>
              </w:rPr>
              <w:t>Family day care</w:t>
            </w:r>
          </w:p>
        </w:tc>
        <w:tc>
          <w:tcPr>
            <w:tcW w:w="1930" w:type="dxa"/>
            <w:noWrap/>
            <w:hideMark/>
          </w:tcPr>
          <w:p w14:paraId="61EB139A" w14:textId="77777777" w:rsidR="00CC187A" w:rsidRPr="00CC187A" w:rsidRDefault="00CC187A">
            <w:pPr>
              <w:rPr>
                <w:b/>
                <w:bCs/>
                <w:sz w:val="2"/>
                <w:szCs w:val="2"/>
              </w:rPr>
            </w:pPr>
            <w:r w:rsidRPr="00CC187A">
              <w:rPr>
                <w:b/>
                <w:bCs/>
                <w:sz w:val="2"/>
                <w:szCs w:val="2"/>
              </w:rPr>
              <w:t>Out of school hours care</w:t>
            </w:r>
          </w:p>
        </w:tc>
      </w:tr>
      <w:tr w:rsidR="00CC187A" w:rsidRPr="00CC187A" w14:paraId="1EC97E18" w14:textId="77777777" w:rsidTr="00CC187A">
        <w:trPr>
          <w:trHeight w:val="300"/>
          <w:jc w:val="center"/>
        </w:trPr>
        <w:tc>
          <w:tcPr>
            <w:tcW w:w="2482" w:type="dxa"/>
            <w:noWrap/>
            <w:hideMark/>
          </w:tcPr>
          <w:p w14:paraId="6AFB924A" w14:textId="77777777" w:rsidR="00CC187A" w:rsidRPr="00CC187A" w:rsidRDefault="00CC187A" w:rsidP="00CC187A">
            <w:pPr>
              <w:rPr>
                <w:b/>
                <w:bCs/>
                <w:sz w:val="2"/>
                <w:szCs w:val="2"/>
              </w:rPr>
            </w:pPr>
            <w:r w:rsidRPr="00CC187A">
              <w:rPr>
                <w:b/>
                <w:bCs/>
                <w:sz w:val="2"/>
                <w:szCs w:val="2"/>
              </w:rPr>
              <w:t>School</w:t>
            </w:r>
          </w:p>
        </w:tc>
        <w:tc>
          <w:tcPr>
            <w:tcW w:w="2353" w:type="dxa"/>
            <w:noWrap/>
            <w:hideMark/>
          </w:tcPr>
          <w:p w14:paraId="50280A9B" w14:textId="77777777" w:rsidR="00CC187A" w:rsidRPr="00CC187A" w:rsidRDefault="00CC187A" w:rsidP="00CC187A">
            <w:pPr>
              <w:rPr>
                <w:sz w:val="2"/>
                <w:szCs w:val="2"/>
              </w:rPr>
            </w:pPr>
            <w:r w:rsidRPr="00CC187A">
              <w:rPr>
                <w:sz w:val="2"/>
                <w:szCs w:val="2"/>
              </w:rPr>
              <w:t>3%</w:t>
            </w:r>
          </w:p>
        </w:tc>
        <w:tc>
          <w:tcPr>
            <w:tcW w:w="1599" w:type="dxa"/>
            <w:noWrap/>
            <w:hideMark/>
          </w:tcPr>
          <w:p w14:paraId="2B2BC18A" w14:textId="77777777" w:rsidR="00CC187A" w:rsidRPr="00CC187A" w:rsidRDefault="00CC187A" w:rsidP="00CC187A">
            <w:pPr>
              <w:rPr>
                <w:sz w:val="2"/>
                <w:szCs w:val="2"/>
              </w:rPr>
            </w:pPr>
            <w:r w:rsidRPr="00CC187A">
              <w:rPr>
                <w:sz w:val="2"/>
                <w:szCs w:val="2"/>
              </w:rPr>
              <w:t>n/a</w:t>
            </w:r>
          </w:p>
        </w:tc>
        <w:tc>
          <w:tcPr>
            <w:tcW w:w="1930" w:type="dxa"/>
            <w:noWrap/>
            <w:hideMark/>
          </w:tcPr>
          <w:p w14:paraId="48AC8DD2" w14:textId="77777777" w:rsidR="00CC187A" w:rsidRPr="00CC187A" w:rsidRDefault="00CC187A" w:rsidP="00CC187A">
            <w:pPr>
              <w:rPr>
                <w:sz w:val="2"/>
                <w:szCs w:val="2"/>
              </w:rPr>
            </w:pPr>
            <w:r w:rsidRPr="00CC187A">
              <w:rPr>
                <w:sz w:val="2"/>
                <w:szCs w:val="2"/>
              </w:rPr>
              <w:t>12%</w:t>
            </w:r>
          </w:p>
        </w:tc>
      </w:tr>
      <w:tr w:rsidR="00CC187A" w:rsidRPr="00CC187A" w14:paraId="1C0A84D6" w14:textId="77777777" w:rsidTr="00CC187A">
        <w:trPr>
          <w:trHeight w:val="300"/>
          <w:jc w:val="center"/>
        </w:trPr>
        <w:tc>
          <w:tcPr>
            <w:tcW w:w="2482" w:type="dxa"/>
            <w:noWrap/>
            <w:hideMark/>
          </w:tcPr>
          <w:p w14:paraId="32F7192A" w14:textId="77777777" w:rsidR="00CC187A" w:rsidRPr="00CC187A" w:rsidRDefault="00CC187A" w:rsidP="00CC187A">
            <w:pPr>
              <w:rPr>
                <w:b/>
                <w:bCs/>
                <w:sz w:val="2"/>
                <w:szCs w:val="2"/>
              </w:rPr>
            </w:pPr>
            <w:r w:rsidRPr="00CC187A">
              <w:rPr>
                <w:b/>
                <w:bCs/>
                <w:sz w:val="2"/>
                <w:szCs w:val="2"/>
              </w:rPr>
              <w:t>Government</w:t>
            </w:r>
          </w:p>
        </w:tc>
        <w:tc>
          <w:tcPr>
            <w:tcW w:w="2353" w:type="dxa"/>
            <w:noWrap/>
            <w:hideMark/>
          </w:tcPr>
          <w:p w14:paraId="4C8D2DCF" w14:textId="77777777" w:rsidR="00CC187A" w:rsidRPr="00CC187A" w:rsidRDefault="00CC187A" w:rsidP="00CC187A">
            <w:pPr>
              <w:rPr>
                <w:sz w:val="2"/>
                <w:szCs w:val="2"/>
              </w:rPr>
            </w:pPr>
            <w:r w:rsidRPr="00CC187A">
              <w:rPr>
                <w:sz w:val="2"/>
                <w:szCs w:val="2"/>
              </w:rPr>
              <w:t>4%</w:t>
            </w:r>
          </w:p>
        </w:tc>
        <w:tc>
          <w:tcPr>
            <w:tcW w:w="1599" w:type="dxa"/>
            <w:noWrap/>
            <w:hideMark/>
          </w:tcPr>
          <w:p w14:paraId="5F2337F6" w14:textId="77777777" w:rsidR="00CC187A" w:rsidRPr="00CC187A" w:rsidRDefault="00CC187A" w:rsidP="00CC187A">
            <w:pPr>
              <w:rPr>
                <w:sz w:val="2"/>
                <w:szCs w:val="2"/>
              </w:rPr>
            </w:pPr>
            <w:r w:rsidRPr="00CC187A">
              <w:rPr>
                <w:sz w:val="2"/>
                <w:szCs w:val="2"/>
              </w:rPr>
              <w:t>15%</w:t>
            </w:r>
          </w:p>
        </w:tc>
        <w:tc>
          <w:tcPr>
            <w:tcW w:w="1930" w:type="dxa"/>
            <w:noWrap/>
            <w:hideMark/>
          </w:tcPr>
          <w:p w14:paraId="6526C96F" w14:textId="77777777" w:rsidR="00CC187A" w:rsidRPr="00CC187A" w:rsidRDefault="00CC187A" w:rsidP="00CC187A">
            <w:pPr>
              <w:rPr>
                <w:sz w:val="2"/>
                <w:szCs w:val="2"/>
              </w:rPr>
            </w:pPr>
            <w:r w:rsidRPr="00CC187A">
              <w:rPr>
                <w:sz w:val="2"/>
                <w:szCs w:val="2"/>
              </w:rPr>
              <w:t>3%</w:t>
            </w:r>
          </w:p>
        </w:tc>
      </w:tr>
      <w:tr w:rsidR="00CC187A" w:rsidRPr="00CC187A" w14:paraId="5A0F2F4D" w14:textId="77777777" w:rsidTr="00CC187A">
        <w:trPr>
          <w:trHeight w:val="300"/>
          <w:jc w:val="center"/>
        </w:trPr>
        <w:tc>
          <w:tcPr>
            <w:tcW w:w="2482" w:type="dxa"/>
            <w:noWrap/>
            <w:hideMark/>
          </w:tcPr>
          <w:p w14:paraId="5A96D397" w14:textId="77777777" w:rsidR="00CC187A" w:rsidRPr="00CC187A" w:rsidRDefault="00CC187A" w:rsidP="00CC187A">
            <w:pPr>
              <w:rPr>
                <w:b/>
                <w:bCs/>
                <w:sz w:val="2"/>
                <w:szCs w:val="2"/>
              </w:rPr>
            </w:pPr>
            <w:r w:rsidRPr="00CC187A">
              <w:rPr>
                <w:b/>
                <w:bCs/>
                <w:sz w:val="2"/>
                <w:szCs w:val="2"/>
              </w:rPr>
              <w:t>Community</w:t>
            </w:r>
          </w:p>
        </w:tc>
        <w:tc>
          <w:tcPr>
            <w:tcW w:w="2353" w:type="dxa"/>
            <w:noWrap/>
            <w:hideMark/>
          </w:tcPr>
          <w:p w14:paraId="67403D7E" w14:textId="77777777" w:rsidR="00CC187A" w:rsidRPr="00CC187A" w:rsidRDefault="00CC187A" w:rsidP="00CC187A">
            <w:pPr>
              <w:rPr>
                <w:sz w:val="2"/>
                <w:szCs w:val="2"/>
              </w:rPr>
            </w:pPr>
            <w:r w:rsidRPr="00CC187A">
              <w:rPr>
                <w:sz w:val="2"/>
                <w:szCs w:val="2"/>
              </w:rPr>
              <w:t>11%</w:t>
            </w:r>
          </w:p>
        </w:tc>
        <w:tc>
          <w:tcPr>
            <w:tcW w:w="1599" w:type="dxa"/>
            <w:noWrap/>
            <w:hideMark/>
          </w:tcPr>
          <w:p w14:paraId="2683EB5C" w14:textId="77777777" w:rsidR="00CC187A" w:rsidRPr="00CC187A" w:rsidRDefault="00CC187A" w:rsidP="00CC187A">
            <w:pPr>
              <w:rPr>
                <w:sz w:val="2"/>
                <w:szCs w:val="2"/>
              </w:rPr>
            </w:pPr>
            <w:r w:rsidRPr="00CC187A">
              <w:rPr>
                <w:sz w:val="2"/>
                <w:szCs w:val="2"/>
              </w:rPr>
              <w:t>15%</w:t>
            </w:r>
          </w:p>
        </w:tc>
        <w:tc>
          <w:tcPr>
            <w:tcW w:w="1930" w:type="dxa"/>
            <w:noWrap/>
            <w:hideMark/>
          </w:tcPr>
          <w:p w14:paraId="2DE8E112" w14:textId="77777777" w:rsidR="00CC187A" w:rsidRPr="00CC187A" w:rsidRDefault="00CC187A" w:rsidP="00CC187A">
            <w:pPr>
              <w:rPr>
                <w:sz w:val="2"/>
                <w:szCs w:val="2"/>
              </w:rPr>
            </w:pPr>
            <w:r w:rsidRPr="00CC187A">
              <w:rPr>
                <w:sz w:val="2"/>
                <w:szCs w:val="2"/>
              </w:rPr>
              <w:t>16%</w:t>
            </w:r>
          </w:p>
        </w:tc>
      </w:tr>
      <w:tr w:rsidR="00CC187A" w:rsidRPr="00CC187A" w14:paraId="0D512C5E" w14:textId="77777777" w:rsidTr="00CC187A">
        <w:trPr>
          <w:trHeight w:val="300"/>
          <w:jc w:val="center"/>
        </w:trPr>
        <w:tc>
          <w:tcPr>
            <w:tcW w:w="2482" w:type="dxa"/>
            <w:noWrap/>
            <w:hideMark/>
          </w:tcPr>
          <w:p w14:paraId="13968CEB" w14:textId="77777777" w:rsidR="00CC187A" w:rsidRPr="00CC187A" w:rsidRDefault="00CC187A" w:rsidP="00CC187A">
            <w:pPr>
              <w:rPr>
                <w:b/>
                <w:bCs/>
                <w:sz w:val="2"/>
                <w:szCs w:val="2"/>
              </w:rPr>
            </w:pPr>
            <w:r w:rsidRPr="00CC187A">
              <w:rPr>
                <w:b/>
                <w:bCs/>
                <w:sz w:val="2"/>
                <w:szCs w:val="2"/>
              </w:rPr>
              <w:t>Private not-for-profit</w:t>
            </w:r>
          </w:p>
        </w:tc>
        <w:tc>
          <w:tcPr>
            <w:tcW w:w="2353" w:type="dxa"/>
            <w:noWrap/>
            <w:hideMark/>
          </w:tcPr>
          <w:p w14:paraId="11A8D516" w14:textId="77777777" w:rsidR="00CC187A" w:rsidRPr="00CC187A" w:rsidRDefault="00CC187A" w:rsidP="00CC187A">
            <w:pPr>
              <w:rPr>
                <w:sz w:val="2"/>
                <w:szCs w:val="2"/>
              </w:rPr>
            </w:pPr>
            <w:r w:rsidRPr="00CC187A">
              <w:rPr>
                <w:sz w:val="2"/>
                <w:szCs w:val="2"/>
              </w:rPr>
              <w:t>13%</w:t>
            </w:r>
          </w:p>
        </w:tc>
        <w:tc>
          <w:tcPr>
            <w:tcW w:w="1599" w:type="dxa"/>
            <w:noWrap/>
            <w:hideMark/>
          </w:tcPr>
          <w:p w14:paraId="15036BEF" w14:textId="77777777" w:rsidR="00CC187A" w:rsidRPr="00CC187A" w:rsidRDefault="00CC187A" w:rsidP="00CC187A">
            <w:pPr>
              <w:rPr>
                <w:sz w:val="2"/>
                <w:szCs w:val="2"/>
              </w:rPr>
            </w:pPr>
            <w:r w:rsidRPr="00CC187A">
              <w:rPr>
                <w:sz w:val="2"/>
                <w:szCs w:val="2"/>
              </w:rPr>
              <w:t>7%</w:t>
            </w:r>
          </w:p>
        </w:tc>
        <w:tc>
          <w:tcPr>
            <w:tcW w:w="1930" w:type="dxa"/>
            <w:noWrap/>
            <w:hideMark/>
          </w:tcPr>
          <w:p w14:paraId="3F50797B" w14:textId="77777777" w:rsidR="00CC187A" w:rsidRPr="00CC187A" w:rsidRDefault="00CC187A" w:rsidP="00CC187A">
            <w:pPr>
              <w:rPr>
                <w:sz w:val="2"/>
                <w:szCs w:val="2"/>
              </w:rPr>
            </w:pPr>
            <w:r w:rsidRPr="00CC187A">
              <w:rPr>
                <w:sz w:val="2"/>
                <w:szCs w:val="2"/>
              </w:rPr>
              <w:t>16%</w:t>
            </w:r>
          </w:p>
        </w:tc>
      </w:tr>
      <w:tr w:rsidR="00CC187A" w:rsidRPr="00CC187A" w14:paraId="6E5A787B" w14:textId="77777777" w:rsidTr="00CC187A">
        <w:trPr>
          <w:trHeight w:val="300"/>
          <w:jc w:val="center"/>
        </w:trPr>
        <w:tc>
          <w:tcPr>
            <w:tcW w:w="2482" w:type="dxa"/>
            <w:noWrap/>
            <w:hideMark/>
          </w:tcPr>
          <w:p w14:paraId="7E1FCCF7" w14:textId="77777777" w:rsidR="00CC187A" w:rsidRPr="00CC187A" w:rsidRDefault="00CC187A" w:rsidP="00CC187A">
            <w:pPr>
              <w:rPr>
                <w:b/>
                <w:bCs/>
                <w:sz w:val="2"/>
                <w:szCs w:val="2"/>
              </w:rPr>
            </w:pPr>
            <w:r w:rsidRPr="00CC187A">
              <w:rPr>
                <w:b/>
                <w:bCs/>
                <w:sz w:val="2"/>
                <w:szCs w:val="2"/>
              </w:rPr>
              <w:t>For-profit</w:t>
            </w:r>
          </w:p>
        </w:tc>
        <w:tc>
          <w:tcPr>
            <w:tcW w:w="2353" w:type="dxa"/>
            <w:noWrap/>
            <w:hideMark/>
          </w:tcPr>
          <w:p w14:paraId="25071020" w14:textId="77777777" w:rsidR="00CC187A" w:rsidRPr="00CC187A" w:rsidRDefault="00CC187A" w:rsidP="00CC187A">
            <w:pPr>
              <w:rPr>
                <w:sz w:val="2"/>
                <w:szCs w:val="2"/>
              </w:rPr>
            </w:pPr>
            <w:r w:rsidRPr="00CC187A">
              <w:rPr>
                <w:sz w:val="2"/>
                <w:szCs w:val="2"/>
              </w:rPr>
              <w:t>69%</w:t>
            </w:r>
          </w:p>
        </w:tc>
        <w:tc>
          <w:tcPr>
            <w:tcW w:w="1599" w:type="dxa"/>
            <w:noWrap/>
            <w:hideMark/>
          </w:tcPr>
          <w:p w14:paraId="1B0260C9" w14:textId="77777777" w:rsidR="00CC187A" w:rsidRPr="00CC187A" w:rsidRDefault="00CC187A" w:rsidP="00CC187A">
            <w:pPr>
              <w:rPr>
                <w:sz w:val="2"/>
                <w:szCs w:val="2"/>
              </w:rPr>
            </w:pPr>
            <w:r w:rsidRPr="00CC187A">
              <w:rPr>
                <w:sz w:val="2"/>
                <w:szCs w:val="2"/>
              </w:rPr>
              <w:t>64%</w:t>
            </w:r>
          </w:p>
        </w:tc>
        <w:tc>
          <w:tcPr>
            <w:tcW w:w="1930" w:type="dxa"/>
            <w:noWrap/>
            <w:hideMark/>
          </w:tcPr>
          <w:p w14:paraId="4547CB99" w14:textId="77777777" w:rsidR="00CC187A" w:rsidRPr="00CC187A" w:rsidRDefault="00CC187A" w:rsidP="00CC187A">
            <w:pPr>
              <w:rPr>
                <w:sz w:val="2"/>
                <w:szCs w:val="2"/>
              </w:rPr>
            </w:pPr>
            <w:r w:rsidRPr="00CC187A">
              <w:rPr>
                <w:sz w:val="2"/>
                <w:szCs w:val="2"/>
              </w:rPr>
              <w:t>53%</w:t>
            </w:r>
          </w:p>
        </w:tc>
      </w:tr>
    </w:tbl>
    <w:p w14:paraId="04AD7B5A" w14:textId="77777777" w:rsidR="00CC187A" w:rsidRDefault="00CC187A" w:rsidP="00CC187A"/>
    <w:p w14:paraId="7FA2AB2E" w14:textId="77777777" w:rsidR="00CC187A" w:rsidRDefault="00CC187A" w:rsidP="00CC187A"/>
    <w:p w14:paraId="4AE54669" w14:textId="77777777" w:rsidR="00CC187A" w:rsidRDefault="00CC187A" w:rsidP="00CC187A"/>
    <w:p w14:paraId="7F4ACD61" w14:textId="77777777" w:rsidR="00CC187A" w:rsidRDefault="00CC187A" w:rsidP="00CC187A"/>
    <w:p w14:paraId="28465DB3" w14:textId="77777777" w:rsidR="00CC187A" w:rsidRDefault="00CC187A" w:rsidP="00CC187A"/>
    <w:p w14:paraId="4DEE3B04" w14:textId="53A3569A" w:rsidR="00CC187A" w:rsidRDefault="00CC187A" w:rsidP="00CC187A"/>
    <w:p w14:paraId="029180FA" w14:textId="77777777" w:rsidR="00CC187A" w:rsidRDefault="00CC187A" w:rsidP="00CC187A"/>
    <w:p w14:paraId="5E1CF95A" w14:textId="1B28634F" w:rsidR="00CC187A" w:rsidRDefault="00CC187A" w:rsidP="00CC187A"/>
    <w:p w14:paraId="6DCE6422" w14:textId="77777777" w:rsidR="00CC187A" w:rsidRDefault="00CC187A" w:rsidP="00CC187A"/>
    <w:p w14:paraId="53DA6D42" w14:textId="001E82B5" w:rsidR="00CC187A" w:rsidRDefault="00CC187A" w:rsidP="00CC187A"/>
    <w:p w14:paraId="41D0DAEE" w14:textId="77777777" w:rsidR="00CC187A" w:rsidRDefault="00CC187A" w:rsidP="00CC187A"/>
    <w:p w14:paraId="327FC22E" w14:textId="1EC084D4" w:rsidR="00CC187A" w:rsidRDefault="00CC187A" w:rsidP="00CC187A"/>
    <w:p w14:paraId="0E10E130" w14:textId="16489B1C" w:rsidR="00CC187A" w:rsidRDefault="00CC187A" w:rsidP="00CC187A"/>
    <w:p w14:paraId="2D2384FE" w14:textId="5105DA47" w:rsidR="00BC3D30" w:rsidRDefault="00BC3D30" w:rsidP="00BC3D30">
      <w:pPr>
        <w:pStyle w:val="Source"/>
      </w:pPr>
      <w:r w:rsidRPr="33FFD693">
        <w:t xml:space="preserve">Source: </w:t>
      </w:r>
      <w:r>
        <w:t>JSA analysis of ACECQA, National Registers</w:t>
      </w:r>
    </w:p>
    <w:p w14:paraId="46B1E036" w14:textId="6D1AB79D" w:rsidR="00BC3D30" w:rsidRDefault="00BC3D30" w:rsidP="00BC3D30">
      <w:pPr>
        <w:rPr>
          <w:rFonts w:cs="Arial"/>
        </w:rPr>
      </w:pPr>
      <w:r w:rsidRPr="0615AFC8">
        <w:rPr>
          <w:rFonts w:cs="Arial"/>
        </w:rPr>
        <w:t>For children enrolled in preschool programs, around 40% are delivered in a school (14%) or stand-alone (27%) setting</w:t>
      </w:r>
      <w:r w:rsidRPr="4DB49DEB">
        <w:rPr>
          <w:rFonts w:cs="Arial"/>
        </w:rPr>
        <w:t xml:space="preserve"> (ABS, 2021, </w:t>
      </w:r>
      <w:r w:rsidRPr="4DB49DEB">
        <w:rPr>
          <w:rFonts w:cs="Arial"/>
          <w:i/>
          <w:iCs/>
        </w:rPr>
        <w:t>Children enrolled in a preschool progra</w:t>
      </w:r>
      <w:r>
        <w:rPr>
          <w:rFonts w:cs="Arial"/>
          <w:i/>
          <w:iCs/>
        </w:rPr>
        <w:t>m</w:t>
      </w:r>
      <w:r w:rsidRPr="4DB49DEB">
        <w:rPr>
          <w:rFonts w:cs="Arial"/>
        </w:rPr>
        <w:t>).</w:t>
      </w:r>
      <w:r w:rsidRPr="0615AFC8">
        <w:rPr>
          <w:rFonts w:cs="Arial"/>
        </w:rPr>
        <w:t xml:space="preserve"> Of children enrolled in a single provider type, almost 70% are in non-government CBDCs, indicating </w:t>
      </w:r>
      <w:proofErr w:type="gramStart"/>
      <w:r w:rsidRPr="0615AFC8">
        <w:rPr>
          <w:rFonts w:cs="Arial"/>
        </w:rPr>
        <w:t>the majority of</w:t>
      </w:r>
      <w:proofErr w:type="gramEnd"/>
      <w:r w:rsidRPr="0615AFC8">
        <w:rPr>
          <w:rFonts w:cs="Arial"/>
        </w:rPr>
        <w:t xml:space="preserve"> preschool programs are delivered in a CBDC setting</w:t>
      </w:r>
      <w:r w:rsidRPr="4DB49DEB">
        <w:rPr>
          <w:rFonts w:cs="Arial"/>
        </w:rPr>
        <w:t>. However, this differs by jurisdiction, with QLD, NSW, ACT, and VIC having higher shares of preschool delivered in a CBDC setting (</w:t>
      </w:r>
      <w:r>
        <w:rPr>
          <w:rFonts w:cs="Arial"/>
        </w:rPr>
        <w:fldChar w:fldCharType="begin"/>
      </w:r>
      <w:r>
        <w:rPr>
          <w:rFonts w:cs="Arial"/>
        </w:rPr>
        <w:instrText xml:space="preserve"> REF _Ref167195525 \h </w:instrText>
      </w:r>
      <w:r>
        <w:rPr>
          <w:rFonts w:cs="Arial"/>
        </w:rPr>
      </w:r>
      <w:r>
        <w:rPr>
          <w:rFonts w:cs="Arial"/>
        </w:rPr>
        <w:fldChar w:fldCharType="separate"/>
      </w:r>
      <w:r w:rsidR="005F18C1">
        <w:t>Figure 1.</w:t>
      </w:r>
      <w:r>
        <w:rPr>
          <w:rFonts w:cs="Arial"/>
        </w:rPr>
        <w:fldChar w:fldCharType="end"/>
      </w:r>
      <w:r w:rsidR="005944DC">
        <w:rPr>
          <w:rFonts w:cs="Arial"/>
        </w:rPr>
        <w:t>13</w:t>
      </w:r>
      <w:r w:rsidRPr="4DB49DEB">
        <w:rPr>
          <w:rFonts w:cs="Arial"/>
        </w:rPr>
        <w:t>)</w:t>
      </w:r>
      <w:r w:rsidRPr="0615AFC8">
        <w:rPr>
          <w:rFonts w:cs="Arial"/>
        </w:rPr>
        <w:t xml:space="preserve">. </w:t>
      </w:r>
    </w:p>
    <w:p w14:paraId="6B3BFC56" w14:textId="774C6793" w:rsidR="002E6C02" w:rsidRDefault="002E6C02">
      <w:pPr>
        <w:rPr>
          <w:rFonts w:cs="Arial"/>
        </w:rPr>
      </w:pPr>
      <w:r>
        <w:rPr>
          <w:rFonts w:cs="Arial"/>
        </w:rPr>
        <w:br w:type="page"/>
      </w:r>
    </w:p>
    <w:p w14:paraId="30F34C96" w14:textId="12091EBB" w:rsidR="00BC3D30" w:rsidRPr="002B17EA" w:rsidRDefault="00BC3D30" w:rsidP="00BC3D30">
      <w:pPr>
        <w:pStyle w:val="Caption"/>
        <w:rPr>
          <w:rFonts w:cs="Arial"/>
        </w:rPr>
      </w:pPr>
      <w:bookmarkStart w:id="62" w:name="_Ref167195525"/>
      <w:bookmarkStart w:id="63" w:name="_Ref167195522"/>
      <w:r>
        <w:lastRenderedPageBreak/>
        <w:t>Figure 1.</w:t>
      </w:r>
      <w:bookmarkEnd w:id="62"/>
      <w:r w:rsidR="005944DC">
        <w:t>13</w:t>
      </w:r>
      <w:r>
        <w:t xml:space="preserve">: </w:t>
      </w:r>
      <w:r w:rsidRPr="00C51DC3">
        <w:t>Preschool enrolments in non-government CBDC, 2021</w:t>
      </w:r>
      <w:bookmarkEnd w:id="63"/>
      <w:r w:rsidRPr="00C51DC3">
        <w:rPr>
          <w:rStyle w:val="FootnoteReference"/>
        </w:rPr>
        <w:footnoteReference w:id="23"/>
      </w:r>
    </w:p>
    <w:p w14:paraId="00CDEF96" w14:textId="02ECA21C" w:rsidR="00BC3D30" w:rsidRDefault="00420FE3" w:rsidP="00BC3D30">
      <w:pPr>
        <w:rPr>
          <w:rFonts w:cs="Arial"/>
        </w:rPr>
      </w:pPr>
      <w:r>
        <w:rPr>
          <w:noProof/>
        </w:rPr>
        <w:drawing>
          <wp:anchor distT="0" distB="0" distL="114300" distR="114300" simplePos="0" relativeHeight="251702275" behindDoc="0" locked="0" layoutInCell="1" allowOverlap="1" wp14:anchorId="45945D4A" wp14:editId="762AB2DB">
            <wp:simplePos x="0" y="0"/>
            <wp:positionH relativeFrom="margin">
              <wp:align>left</wp:align>
            </wp:positionH>
            <wp:positionV relativeFrom="paragraph">
              <wp:posOffset>12065</wp:posOffset>
            </wp:positionV>
            <wp:extent cx="5681346" cy="2235200"/>
            <wp:effectExtent l="0" t="0" r="0" b="0"/>
            <wp:wrapNone/>
            <wp:docPr id="37960823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608237" name="Picture 7">
                      <a:extLst>
                        <a:ext uri="{C183D7F6-B498-43B3-948B-1728B52AA6E4}">
                          <adec:decorative xmlns:adec="http://schemas.microsoft.com/office/drawing/2017/decorative" val="1"/>
                        </a:ext>
                      </a:extLst>
                    </pic:cNvPr>
                    <pic:cNvPicPr/>
                  </pic:nvPicPr>
                  <pic:blipFill>
                    <a:blip r:embed="rId67">
                      <a:extLst>
                        <a:ext uri="{28A0092B-C50C-407E-A947-70E740481C1C}">
                          <a14:useLocalDpi xmlns:a14="http://schemas.microsoft.com/office/drawing/2010/main" val="0"/>
                        </a:ext>
                      </a:extLst>
                    </a:blip>
                    <a:stretch>
                      <a:fillRect/>
                    </a:stretch>
                  </pic:blipFill>
                  <pic:spPr>
                    <a:xfrm>
                      <a:off x="0" y="0"/>
                      <a:ext cx="5681346" cy="2235200"/>
                    </a:xfrm>
                    <a:prstGeom prst="rect">
                      <a:avLst/>
                    </a:prstGeom>
                  </pic:spPr>
                </pic:pic>
              </a:graphicData>
            </a:graphic>
          </wp:anchor>
        </w:drawing>
      </w:r>
    </w:p>
    <w:tbl>
      <w:tblPr>
        <w:tblStyle w:val="Box"/>
        <w:tblW w:w="0" w:type="auto"/>
        <w:jc w:val="center"/>
        <w:tblLook w:val="04A0" w:firstRow="1" w:lastRow="0" w:firstColumn="1" w:lastColumn="0" w:noHBand="0" w:noVBand="1"/>
      </w:tblPr>
      <w:tblGrid>
        <w:gridCol w:w="2405"/>
        <w:gridCol w:w="867"/>
        <w:gridCol w:w="767"/>
        <w:gridCol w:w="767"/>
        <w:gridCol w:w="767"/>
        <w:gridCol w:w="767"/>
        <w:gridCol w:w="727"/>
        <w:gridCol w:w="727"/>
        <w:gridCol w:w="727"/>
      </w:tblGrid>
      <w:tr w:rsidR="00CC187A" w:rsidRPr="00CC187A" w14:paraId="5F19F18A" w14:textId="77777777" w:rsidTr="00CC187A">
        <w:trPr>
          <w:trHeight w:val="300"/>
          <w:jc w:val="center"/>
        </w:trPr>
        <w:tc>
          <w:tcPr>
            <w:tcW w:w="2405" w:type="dxa"/>
            <w:noWrap/>
            <w:hideMark/>
          </w:tcPr>
          <w:p w14:paraId="30E1D284" w14:textId="0852823C" w:rsidR="00CC187A" w:rsidRPr="00CC187A" w:rsidRDefault="00CC187A" w:rsidP="00CC187A">
            <w:pPr>
              <w:pStyle w:val="Source"/>
              <w:rPr>
                <w:rFonts w:cs="Arial"/>
                <w:sz w:val="2"/>
                <w:szCs w:val="2"/>
              </w:rPr>
            </w:pPr>
          </w:p>
        </w:tc>
        <w:tc>
          <w:tcPr>
            <w:tcW w:w="867" w:type="dxa"/>
            <w:noWrap/>
            <w:hideMark/>
          </w:tcPr>
          <w:p w14:paraId="6255D563" w14:textId="77777777" w:rsidR="00CC187A" w:rsidRPr="00CC187A" w:rsidRDefault="00CC187A" w:rsidP="00CC187A">
            <w:pPr>
              <w:pStyle w:val="Source"/>
              <w:rPr>
                <w:rFonts w:cs="Arial"/>
                <w:b/>
                <w:bCs/>
                <w:sz w:val="2"/>
                <w:szCs w:val="2"/>
              </w:rPr>
            </w:pPr>
            <w:r w:rsidRPr="00CC187A">
              <w:rPr>
                <w:rFonts w:cs="Arial"/>
                <w:b/>
                <w:bCs/>
                <w:sz w:val="2"/>
                <w:szCs w:val="2"/>
              </w:rPr>
              <w:t>NSW</w:t>
            </w:r>
          </w:p>
        </w:tc>
        <w:tc>
          <w:tcPr>
            <w:tcW w:w="767" w:type="dxa"/>
            <w:noWrap/>
            <w:hideMark/>
          </w:tcPr>
          <w:p w14:paraId="11E82317" w14:textId="77777777" w:rsidR="00CC187A" w:rsidRPr="00CC187A" w:rsidRDefault="00CC187A" w:rsidP="00CC187A">
            <w:pPr>
              <w:pStyle w:val="Source"/>
              <w:rPr>
                <w:rFonts w:cs="Arial"/>
                <w:b/>
                <w:bCs/>
                <w:sz w:val="2"/>
                <w:szCs w:val="2"/>
              </w:rPr>
            </w:pPr>
            <w:r w:rsidRPr="00CC187A">
              <w:rPr>
                <w:rFonts w:cs="Arial"/>
                <w:b/>
                <w:bCs/>
                <w:sz w:val="2"/>
                <w:szCs w:val="2"/>
              </w:rPr>
              <w:t>VIC</w:t>
            </w:r>
          </w:p>
        </w:tc>
        <w:tc>
          <w:tcPr>
            <w:tcW w:w="767" w:type="dxa"/>
            <w:noWrap/>
            <w:hideMark/>
          </w:tcPr>
          <w:p w14:paraId="1196E0F5" w14:textId="77777777" w:rsidR="00CC187A" w:rsidRPr="00CC187A" w:rsidRDefault="00CC187A" w:rsidP="00CC187A">
            <w:pPr>
              <w:pStyle w:val="Source"/>
              <w:rPr>
                <w:rFonts w:cs="Arial"/>
                <w:b/>
                <w:bCs/>
                <w:sz w:val="2"/>
                <w:szCs w:val="2"/>
              </w:rPr>
            </w:pPr>
            <w:r w:rsidRPr="00CC187A">
              <w:rPr>
                <w:rFonts w:cs="Arial"/>
                <w:b/>
                <w:bCs/>
                <w:sz w:val="2"/>
                <w:szCs w:val="2"/>
              </w:rPr>
              <w:t>QLD</w:t>
            </w:r>
          </w:p>
        </w:tc>
        <w:tc>
          <w:tcPr>
            <w:tcW w:w="767" w:type="dxa"/>
            <w:noWrap/>
            <w:hideMark/>
          </w:tcPr>
          <w:p w14:paraId="6440C1F0" w14:textId="77777777" w:rsidR="00CC187A" w:rsidRPr="00CC187A" w:rsidRDefault="00CC187A" w:rsidP="00CC187A">
            <w:pPr>
              <w:pStyle w:val="Source"/>
              <w:rPr>
                <w:rFonts w:cs="Arial"/>
                <w:b/>
                <w:bCs/>
                <w:sz w:val="2"/>
                <w:szCs w:val="2"/>
              </w:rPr>
            </w:pPr>
            <w:r w:rsidRPr="00CC187A">
              <w:rPr>
                <w:rFonts w:cs="Arial"/>
                <w:b/>
                <w:bCs/>
                <w:sz w:val="2"/>
                <w:szCs w:val="2"/>
              </w:rPr>
              <w:t>SA</w:t>
            </w:r>
          </w:p>
        </w:tc>
        <w:tc>
          <w:tcPr>
            <w:tcW w:w="767" w:type="dxa"/>
            <w:noWrap/>
            <w:hideMark/>
          </w:tcPr>
          <w:p w14:paraId="235CF11A" w14:textId="77777777" w:rsidR="00CC187A" w:rsidRPr="00CC187A" w:rsidRDefault="00CC187A" w:rsidP="00CC187A">
            <w:pPr>
              <w:pStyle w:val="Source"/>
              <w:rPr>
                <w:rFonts w:cs="Arial"/>
                <w:b/>
                <w:bCs/>
                <w:sz w:val="2"/>
                <w:szCs w:val="2"/>
              </w:rPr>
            </w:pPr>
            <w:r w:rsidRPr="00CC187A">
              <w:rPr>
                <w:rFonts w:cs="Arial"/>
                <w:b/>
                <w:bCs/>
                <w:sz w:val="2"/>
                <w:szCs w:val="2"/>
              </w:rPr>
              <w:t>WA</w:t>
            </w:r>
          </w:p>
        </w:tc>
        <w:tc>
          <w:tcPr>
            <w:tcW w:w="727" w:type="dxa"/>
            <w:noWrap/>
            <w:hideMark/>
          </w:tcPr>
          <w:p w14:paraId="3F9A2EEA" w14:textId="77777777" w:rsidR="00CC187A" w:rsidRPr="00CC187A" w:rsidRDefault="00CC187A" w:rsidP="00CC187A">
            <w:pPr>
              <w:pStyle w:val="Source"/>
              <w:rPr>
                <w:rFonts w:cs="Arial"/>
                <w:b/>
                <w:bCs/>
                <w:sz w:val="2"/>
                <w:szCs w:val="2"/>
              </w:rPr>
            </w:pPr>
            <w:r w:rsidRPr="00CC187A">
              <w:rPr>
                <w:rFonts w:cs="Arial"/>
                <w:b/>
                <w:bCs/>
                <w:sz w:val="2"/>
                <w:szCs w:val="2"/>
              </w:rPr>
              <w:t>TAS</w:t>
            </w:r>
          </w:p>
        </w:tc>
        <w:tc>
          <w:tcPr>
            <w:tcW w:w="727" w:type="dxa"/>
            <w:noWrap/>
            <w:hideMark/>
          </w:tcPr>
          <w:p w14:paraId="190690E4" w14:textId="77777777" w:rsidR="00CC187A" w:rsidRPr="00CC187A" w:rsidRDefault="00CC187A" w:rsidP="00CC187A">
            <w:pPr>
              <w:pStyle w:val="Source"/>
              <w:rPr>
                <w:rFonts w:cs="Arial"/>
                <w:b/>
                <w:bCs/>
                <w:sz w:val="2"/>
                <w:szCs w:val="2"/>
              </w:rPr>
            </w:pPr>
            <w:r w:rsidRPr="00CC187A">
              <w:rPr>
                <w:rFonts w:cs="Arial"/>
                <w:b/>
                <w:bCs/>
                <w:sz w:val="2"/>
                <w:szCs w:val="2"/>
              </w:rPr>
              <w:t>NT</w:t>
            </w:r>
          </w:p>
        </w:tc>
        <w:tc>
          <w:tcPr>
            <w:tcW w:w="727" w:type="dxa"/>
            <w:noWrap/>
            <w:hideMark/>
          </w:tcPr>
          <w:p w14:paraId="2BF1320D" w14:textId="77777777" w:rsidR="00CC187A" w:rsidRPr="00CC187A" w:rsidRDefault="00CC187A" w:rsidP="00CC187A">
            <w:pPr>
              <w:pStyle w:val="Source"/>
              <w:rPr>
                <w:rFonts w:cs="Arial"/>
                <w:b/>
                <w:bCs/>
                <w:sz w:val="2"/>
                <w:szCs w:val="2"/>
              </w:rPr>
            </w:pPr>
            <w:r w:rsidRPr="00CC187A">
              <w:rPr>
                <w:rFonts w:cs="Arial"/>
                <w:b/>
                <w:bCs/>
                <w:sz w:val="2"/>
                <w:szCs w:val="2"/>
              </w:rPr>
              <w:t>ACT</w:t>
            </w:r>
          </w:p>
        </w:tc>
      </w:tr>
      <w:tr w:rsidR="00CC187A" w:rsidRPr="00CC187A" w14:paraId="1A783D25" w14:textId="77777777" w:rsidTr="00CC187A">
        <w:trPr>
          <w:trHeight w:val="300"/>
          <w:jc w:val="center"/>
        </w:trPr>
        <w:tc>
          <w:tcPr>
            <w:tcW w:w="2405" w:type="dxa"/>
            <w:noWrap/>
            <w:hideMark/>
          </w:tcPr>
          <w:p w14:paraId="01542CA7" w14:textId="7776ACB1" w:rsidR="00CC187A" w:rsidRPr="00CC187A" w:rsidRDefault="00CC187A" w:rsidP="00CC187A">
            <w:pPr>
              <w:pStyle w:val="Source"/>
              <w:rPr>
                <w:rFonts w:cs="Arial"/>
                <w:b/>
                <w:bCs/>
                <w:sz w:val="2"/>
                <w:szCs w:val="2"/>
              </w:rPr>
            </w:pPr>
            <w:r w:rsidRPr="00CC187A">
              <w:rPr>
                <w:rFonts w:cs="Arial"/>
                <w:b/>
                <w:bCs/>
                <w:sz w:val="2"/>
                <w:szCs w:val="2"/>
              </w:rPr>
              <w:t xml:space="preserve">Share of enrolments in non-government </w:t>
            </w:r>
            <w:proofErr w:type="gramStart"/>
            <w:r w:rsidRPr="00CC187A">
              <w:rPr>
                <w:rFonts w:cs="Arial"/>
                <w:b/>
                <w:bCs/>
                <w:sz w:val="2"/>
                <w:szCs w:val="2"/>
              </w:rPr>
              <w:t>centre based</w:t>
            </w:r>
            <w:proofErr w:type="gramEnd"/>
            <w:r w:rsidRPr="00CC187A">
              <w:rPr>
                <w:rFonts w:cs="Arial"/>
                <w:b/>
                <w:bCs/>
                <w:sz w:val="2"/>
                <w:szCs w:val="2"/>
              </w:rPr>
              <w:t xml:space="preserve"> day care (%)</w:t>
            </w:r>
          </w:p>
        </w:tc>
        <w:tc>
          <w:tcPr>
            <w:tcW w:w="867" w:type="dxa"/>
            <w:noWrap/>
            <w:hideMark/>
          </w:tcPr>
          <w:p w14:paraId="1541BD44" w14:textId="77777777" w:rsidR="00CC187A" w:rsidRPr="00CC187A" w:rsidRDefault="00CC187A" w:rsidP="00CC187A">
            <w:pPr>
              <w:pStyle w:val="Source"/>
              <w:rPr>
                <w:rFonts w:cs="Arial"/>
                <w:sz w:val="2"/>
                <w:szCs w:val="2"/>
              </w:rPr>
            </w:pPr>
            <w:r w:rsidRPr="00CC187A">
              <w:rPr>
                <w:rFonts w:cs="Arial"/>
                <w:sz w:val="2"/>
                <w:szCs w:val="2"/>
              </w:rPr>
              <w:t>72.2%</w:t>
            </w:r>
          </w:p>
        </w:tc>
        <w:tc>
          <w:tcPr>
            <w:tcW w:w="767" w:type="dxa"/>
            <w:noWrap/>
            <w:hideMark/>
          </w:tcPr>
          <w:p w14:paraId="16068ED5" w14:textId="77777777" w:rsidR="00CC187A" w:rsidRPr="00CC187A" w:rsidRDefault="00CC187A" w:rsidP="00CC187A">
            <w:pPr>
              <w:pStyle w:val="Source"/>
              <w:rPr>
                <w:rFonts w:cs="Arial"/>
                <w:sz w:val="2"/>
                <w:szCs w:val="2"/>
              </w:rPr>
            </w:pPr>
            <w:r w:rsidRPr="00CC187A">
              <w:rPr>
                <w:rFonts w:cs="Arial"/>
                <w:sz w:val="2"/>
                <w:szCs w:val="2"/>
              </w:rPr>
              <w:t>65.0%</w:t>
            </w:r>
          </w:p>
        </w:tc>
        <w:tc>
          <w:tcPr>
            <w:tcW w:w="767" w:type="dxa"/>
            <w:noWrap/>
            <w:hideMark/>
          </w:tcPr>
          <w:p w14:paraId="14A2380B" w14:textId="77777777" w:rsidR="00CC187A" w:rsidRPr="00CC187A" w:rsidRDefault="00CC187A" w:rsidP="00CC187A">
            <w:pPr>
              <w:pStyle w:val="Source"/>
              <w:rPr>
                <w:rFonts w:cs="Arial"/>
                <w:sz w:val="2"/>
                <w:szCs w:val="2"/>
              </w:rPr>
            </w:pPr>
            <w:r w:rsidRPr="00CC187A">
              <w:rPr>
                <w:rFonts w:cs="Arial"/>
                <w:sz w:val="2"/>
                <w:szCs w:val="2"/>
              </w:rPr>
              <w:t>81.5%</w:t>
            </w:r>
          </w:p>
        </w:tc>
        <w:tc>
          <w:tcPr>
            <w:tcW w:w="767" w:type="dxa"/>
            <w:hideMark/>
          </w:tcPr>
          <w:p w14:paraId="2E4CB1BC" w14:textId="77777777" w:rsidR="00CC187A" w:rsidRPr="00CC187A" w:rsidRDefault="00CC187A" w:rsidP="00CC187A">
            <w:pPr>
              <w:pStyle w:val="Source"/>
              <w:rPr>
                <w:rFonts w:cs="Arial"/>
                <w:sz w:val="2"/>
                <w:szCs w:val="2"/>
              </w:rPr>
            </w:pPr>
            <w:r w:rsidRPr="00CC187A">
              <w:rPr>
                <w:rFonts w:cs="Arial"/>
                <w:sz w:val="2"/>
                <w:szCs w:val="2"/>
              </w:rPr>
              <w:t>56.1%</w:t>
            </w:r>
          </w:p>
        </w:tc>
        <w:tc>
          <w:tcPr>
            <w:tcW w:w="767" w:type="dxa"/>
            <w:hideMark/>
          </w:tcPr>
          <w:p w14:paraId="4F4B502D" w14:textId="77777777" w:rsidR="00CC187A" w:rsidRPr="00CC187A" w:rsidRDefault="00CC187A" w:rsidP="00CC187A">
            <w:pPr>
              <w:pStyle w:val="Source"/>
              <w:rPr>
                <w:rFonts w:cs="Arial"/>
                <w:sz w:val="2"/>
                <w:szCs w:val="2"/>
              </w:rPr>
            </w:pPr>
            <w:r w:rsidRPr="00CC187A">
              <w:rPr>
                <w:rFonts w:cs="Arial"/>
                <w:sz w:val="2"/>
                <w:szCs w:val="2"/>
              </w:rPr>
              <w:t>42.1%</w:t>
            </w:r>
          </w:p>
        </w:tc>
        <w:tc>
          <w:tcPr>
            <w:tcW w:w="727" w:type="dxa"/>
            <w:hideMark/>
          </w:tcPr>
          <w:p w14:paraId="174FAC7F" w14:textId="77777777" w:rsidR="00CC187A" w:rsidRPr="00CC187A" w:rsidRDefault="00CC187A" w:rsidP="00CC187A">
            <w:pPr>
              <w:pStyle w:val="Source"/>
              <w:rPr>
                <w:rFonts w:cs="Arial"/>
                <w:sz w:val="2"/>
                <w:szCs w:val="2"/>
              </w:rPr>
            </w:pPr>
            <w:r w:rsidRPr="00CC187A">
              <w:rPr>
                <w:rFonts w:cs="Arial"/>
                <w:sz w:val="2"/>
                <w:szCs w:val="2"/>
              </w:rPr>
              <w:t>46.5%</w:t>
            </w:r>
          </w:p>
        </w:tc>
        <w:tc>
          <w:tcPr>
            <w:tcW w:w="727" w:type="dxa"/>
            <w:hideMark/>
          </w:tcPr>
          <w:p w14:paraId="669953B5" w14:textId="77777777" w:rsidR="00CC187A" w:rsidRPr="00CC187A" w:rsidRDefault="00CC187A" w:rsidP="00CC187A">
            <w:pPr>
              <w:pStyle w:val="Source"/>
              <w:rPr>
                <w:rFonts w:cs="Arial"/>
                <w:sz w:val="2"/>
                <w:szCs w:val="2"/>
              </w:rPr>
            </w:pPr>
            <w:r w:rsidRPr="00CC187A">
              <w:rPr>
                <w:rFonts w:cs="Arial"/>
                <w:sz w:val="2"/>
                <w:szCs w:val="2"/>
              </w:rPr>
              <w:t>45.3%</w:t>
            </w:r>
          </w:p>
        </w:tc>
        <w:tc>
          <w:tcPr>
            <w:tcW w:w="727" w:type="dxa"/>
            <w:hideMark/>
          </w:tcPr>
          <w:p w14:paraId="232D4336" w14:textId="77777777" w:rsidR="00CC187A" w:rsidRPr="00CC187A" w:rsidRDefault="00CC187A" w:rsidP="00CC187A">
            <w:pPr>
              <w:pStyle w:val="Source"/>
              <w:rPr>
                <w:rFonts w:cs="Arial"/>
                <w:sz w:val="2"/>
                <w:szCs w:val="2"/>
              </w:rPr>
            </w:pPr>
            <w:r w:rsidRPr="00CC187A">
              <w:rPr>
                <w:rFonts w:cs="Arial"/>
                <w:sz w:val="2"/>
                <w:szCs w:val="2"/>
              </w:rPr>
              <w:t>66.5%</w:t>
            </w:r>
          </w:p>
        </w:tc>
      </w:tr>
      <w:tr w:rsidR="00CC187A" w:rsidRPr="00CC187A" w14:paraId="77DBB98B" w14:textId="77777777" w:rsidTr="00CC187A">
        <w:trPr>
          <w:trHeight w:val="300"/>
          <w:jc w:val="center"/>
        </w:trPr>
        <w:tc>
          <w:tcPr>
            <w:tcW w:w="2405" w:type="dxa"/>
            <w:noWrap/>
            <w:hideMark/>
          </w:tcPr>
          <w:p w14:paraId="11CE75B5" w14:textId="31E13DC4" w:rsidR="00CC187A" w:rsidRPr="00CC187A" w:rsidRDefault="00CC187A" w:rsidP="00CC187A">
            <w:pPr>
              <w:pStyle w:val="Source"/>
              <w:rPr>
                <w:rFonts w:cs="Arial"/>
                <w:b/>
                <w:bCs/>
                <w:sz w:val="2"/>
                <w:szCs w:val="2"/>
              </w:rPr>
            </w:pPr>
            <w:r w:rsidRPr="00CC187A">
              <w:rPr>
                <w:rFonts w:cs="Arial"/>
                <w:b/>
                <w:bCs/>
                <w:sz w:val="2"/>
                <w:szCs w:val="2"/>
              </w:rPr>
              <w:t xml:space="preserve">Number of enrolments in non-government </w:t>
            </w:r>
            <w:proofErr w:type="gramStart"/>
            <w:r w:rsidRPr="00CC187A">
              <w:rPr>
                <w:rFonts w:cs="Arial"/>
                <w:b/>
                <w:bCs/>
                <w:sz w:val="2"/>
                <w:szCs w:val="2"/>
              </w:rPr>
              <w:t>centre based</w:t>
            </w:r>
            <w:proofErr w:type="gramEnd"/>
            <w:r w:rsidRPr="00CC187A">
              <w:rPr>
                <w:rFonts w:cs="Arial"/>
                <w:b/>
                <w:bCs/>
                <w:sz w:val="2"/>
                <w:szCs w:val="2"/>
              </w:rPr>
              <w:t xml:space="preserve"> day care</w:t>
            </w:r>
          </w:p>
        </w:tc>
        <w:tc>
          <w:tcPr>
            <w:tcW w:w="867" w:type="dxa"/>
            <w:noWrap/>
            <w:hideMark/>
          </w:tcPr>
          <w:p w14:paraId="38865C3F" w14:textId="77777777" w:rsidR="00CC187A" w:rsidRPr="00CC187A" w:rsidRDefault="00CC187A" w:rsidP="00CC187A">
            <w:pPr>
              <w:pStyle w:val="Source"/>
              <w:rPr>
                <w:rFonts w:cs="Arial"/>
                <w:sz w:val="2"/>
                <w:szCs w:val="2"/>
              </w:rPr>
            </w:pPr>
            <w:r w:rsidRPr="00CC187A">
              <w:rPr>
                <w:rFonts w:cs="Arial"/>
                <w:sz w:val="2"/>
                <w:szCs w:val="2"/>
              </w:rPr>
              <w:t xml:space="preserve">  121,674 </w:t>
            </w:r>
          </w:p>
        </w:tc>
        <w:tc>
          <w:tcPr>
            <w:tcW w:w="767" w:type="dxa"/>
            <w:noWrap/>
            <w:hideMark/>
          </w:tcPr>
          <w:p w14:paraId="158DBF45" w14:textId="77777777" w:rsidR="00CC187A" w:rsidRPr="00CC187A" w:rsidRDefault="00CC187A" w:rsidP="00CC187A">
            <w:pPr>
              <w:pStyle w:val="Source"/>
              <w:rPr>
                <w:rFonts w:cs="Arial"/>
                <w:sz w:val="2"/>
                <w:szCs w:val="2"/>
              </w:rPr>
            </w:pPr>
            <w:r w:rsidRPr="00CC187A">
              <w:rPr>
                <w:rFonts w:cs="Arial"/>
                <w:sz w:val="2"/>
                <w:szCs w:val="2"/>
              </w:rPr>
              <w:t xml:space="preserve">  85,470 </w:t>
            </w:r>
          </w:p>
        </w:tc>
        <w:tc>
          <w:tcPr>
            <w:tcW w:w="767" w:type="dxa"/>
            <w:noWrap/>
            <w:hideMark/>
          </w:tcPr>
          <w:p w14:paraId="79EF807F" w14:textId="77777777" w:rsidR="00CC187A" w:rsidRPr="00CC187A" w:rsidRDefault="00CC187A" w:rsidP="00CC187A">
            <w:pPr>
              <w:pStyle w:val="Source"/>
              <w:rPr>
                <w:rFonts w:cs="Arial"/>
                <w:sz w:val="2"/>
                <w:szCs w:val="2"/>
              </w:rPr>
            </w:pPr>
            <w:r w:rsidRPr="00CC187A">
              <w:rPr>
                <w:rFonts w:cs="Arial"/>
                <w:sz w:val="2"/>
                <w:szCs w:val="2"/>
              </w:rPr>
              <w:t xml:space="preserve">  84,392 </w:t>
            </w:r>
          </w:p>
        </w:tc>
        <w:tc>
          <w:tcPr>
            <w:tcW w:w="767" w:type="dxa"/>
            <w:noWrap/>
            <w:hideMark/>
          </w:tcPr>
          <w:p w14:paraId="74217E72" w14:textId="77777777" w:rsidR="00CC187A" w:rsidRPr="00CC187A" w:rsidRDefault="00CC187A" w:rsidP="00CC187A">
            <w:pPr>
              <w:pStyle w:val="Source"/>
              <w:rPr>
                <w:rFonts w:cs="Arial"/>
                <w:sz w:val="2"/>
                <w:szCs w:val="2"/>
              </w:rPr>
            </w:pPr>
            <w:r w:rsidRPr="00CC187A">
              <w:rPr>
                <w:rFonts w:cs="Arial"/>
                <w:sz w:val="2"/>
                <w:szCs w:val="2"/>
              </w:rPr>
              <w:t xml:space="preserve">  15,724 </w:t>
            </w:r>
          </w:p>
        </w:tc>
        <w:tc>
          <w:tcPr>
            <w:tcW w:w="767" w:type="dxa"/>
            <w:noWrap/>
            <w:hideMark/>
          </w:tcPr>
          <w:p w14:paraId="43FCD46C" w14:textId="77777777" w:rsidR="00CC187A" w:rsidRPr="00CC187A" w:rsidRDefault="00CC187A" w:rsidP="00CC187A">
            <w:pPr>
              <w:pStyle w:val="Source"/>
              <w:rPr>
                <w:rFonts w:cs="Arial"/>
                <w:sz w:val="2"/>
                <w:szCs w:val="2"/>
              </w:rPr>
            </w:pPr>
            <w:r w:rsidRPr="00CC187A">
              <w:rPr>
                <w:rFonts w:cs="Arial"/>
                <w:sz w:val="2"/>
                <w:szCs w:val="2"/>
              </w:rPr>
              <w:t xml:space="preserve">  19,754 </w:t>
            </w:r>
          </w:p>
        </w:tc>
        <w:tc>
          <w:tcPr>
            <w:tcW w:w="727" w:type="dxa"/>
            <w:noWrap/>
            <w:hideMark/>
          </w:tcPr>
          <w:p w14:paraId="556E1A8F" w14:textId="77777777" w:rsidR="00CC187A" w:rsidRPr="00CC187A" w:rsidRDefault="00CC187A" w:rsidP="00CC187A">
            <w:pPr>
              <w:pStyle w:val="Source"/>
              <w:rPr>
                <w:rFonts w:cs="Arial"/>
                <w:sz w:val="2"/>
                <w:szCs w:val="2"/>
              </w:rPr>
            </w:pPr>
            <w:r w:rsidRPr="00CC187A">
              <w:rPr>
                <w:rFonts w:cs="Arial"/>
                <w:sz w:val="2"/>
                <w:szCs w:val="2"/>
              </w:rPr>
              <w:t xml:space="preserve">  4,684 </w:t>
            </w:r>
          </w:p>
        </w:tc>
        <w:tc>
          <w:tcPr>
            <w:tcW w:w="727" w:type="dxa"/>
            <w:noWrap/>
            <w:hideMark/>
          </w:tcPr>
          <w:p w14:paraId="7BFDCC4B" w14:textId="77777777" w:rsidR="00CC187A" w:rsidRPr="00CC187A" w:rsidRDefault="00CC187A" w:rsidP="00CC187A">
            <w:pPr>
              <w:pStyle w:val="Source"/>
              <w:rPr>
                <w:rFonts w:cs="Arial"/>
                <w:sz w:val="2"/>
                <w:szCs w:val="2"/>
              </w:rPr>
            </w:pPr>
            <w:r w:rsidRPr="00CC187A">
              <w:rPr>
                <w:rFonts w:cs="Arial"/>
                <w:sz w:val="2"/>
                <w:szCs w:val="2"/>
              </w:rPr>
              <w:t xml:space="preserve">  1,958 </w:t>
            </w:r>
          </w:p>
        </w:tc>
        <w:tc>
          <w:tcPr>
            <w:tcW w:w="727" w:type="dxa"/>
            <w:noWrap/>
            <w:hideMark/>
          </w:tcPr>
          <w:p w14:paraId="52934C1C" w14:textId="77777777" w:rsidR="00CC187A" w:rsidRPr="00CC187A" w:rsidRDefault="00CC187A" w:rsidP="00CC187A">
            <w:pPr>
              <w:pStyle w:val="Source"/>
              <w:rPr>
                <w:rFonts w:cs="Arial"/>
                <w:sz w:val="2"/>
                <w:szCs w:val="2"/>
              </w:rPr>
            </w:pPr>
            <w:r w:rsidRPr="00CC187A">
              <w:rPr>
                <w:rFonts w:cs="Arial"/>
                <w:sz w:val="2"/>
                <w:szCs w:val="2"/>
              </w:rPr>
              <w:t xml:space="preserve">  6,276 </w:t>
            </w:r>
          </w:p>
        </w:tc>
      </w:tr>
    </w:tbl>
    <w:p w14:paraId="38FB545D" w14:textId="77777777" w:rsidR="00CC187A" w:rsidRDefault="00CC187A" w:rsidP="00BC3D30">
      <w:pPr>
        <w:pStyle w:val="Source"/>
        <w:rPr>
          <w:rFonts w:cs="Arial"/>
        </w:rPr>
      </w:pPr>
    </w:p>
    <w:p w14:paraId="634B4D97" w14:textId="77777777" w:rsidR="00CC187A" w:rsidRDefault="00CC187A" w:rsidP="00BC3D30">
      <w:pPr>
        <w:pStyle w:val="Source"/>
        <w:rPr>
          <w:rFonts w:cs="Arial"/>
        </w:rPr>
      </w:pPr>
    </w:p>
    <w:p w14:paraId="3DCE71F0" w14:textId="77777777" w:rsidR="00CC187A" w:rsidRDefault="00CC187A" w:rsidP="00BC3D30">
      <w:pPr>
        <w:pStyle w:val="Source"/>
        <w:rPr>
          <w:rFonts w:cs="Arial"/>
        </w:rPr>
      </w:pPr>
    </w:p>
    <w:p w14:paraId="799B8C7D" w14:textId="77777777" w:rsidR="00CC187A" w:rsidRDefault="00CC187A" w:rsidP="00BC3D30">
      <w:pPr>
        <w:pStyle w:val="Source"/>
        <w:rPr>
          <w:rFonts w:cs="Arial"/>
        </w:rPr>
      </w:pPr>
    </w:p>
    <w:p w14:paraId="7020FCD5" w14:textId="77777777" w:rsidR="00CC187A" w:rsidRDefault="00CC187A" w:rsidP="00BC3D30">
      <w:pPr>
        <w:pStyle w:val="Source"/>
        <w:rPr>
          <w:rFonts w:cs="Arial"/>
        </w:rPr>
      </w:pPr>
    </w:p>
    <w:p w14:paraId="0B7F555E" w14:textId="77777777" w:rsidR="00CC187A" w:rsidRDefault="00CC187A" w:rsidP="00BC3D30">
      <w:pPr>
        <w:pStyle w:val="Source"/>
        <w:rPr>
          <w:rFonts w:cs="Arial"/>
        </w:rPr>
      </w:pPr>
    </w:p>
    <w:p w14:paraId="61D52945" w14:textId="77777777" w:rsidR="00CC187A" w:rsidRDefault="00CC187A" w:rsidP="00BC3D30">
      <w:pPr>
        <w:pStyle w:val="Source"/>
        <w:rPr>
          <w:rFonts w:cs="Arial"/>
        </w:rPr>
      </w:pPr>
    </w:p>
    <w:p w14:paraId="776CFFD7" w14:textId="619D6D3C" w:rsidR="00BC3D30" w:rsidRDefault="00BC3D30" w:rsidP="00BC3D30">
      <w:pPr>
        <w:pStyle w:val="Source"/>
      </w:pPr>
      <w:r>
        <w:rPr>
          <w:rFonts w:cs="Arial"/>
        </w:rPr>
        <w:t>Source: ABS, Preschool Education, 2021</w:t>
      </w:r>
    </w:p>
    <w:p w14:paraId="2B9FDDB5" w14:textId="77777777" w:rsidR="00BC3D30" w:rsidRPr="00083E35" w:rsidRDefault="00BC3D30" w:rsidP="00BC3D30"/>
    <w:p w14:paraId="2F093ED9" w14:textId="77777777" w:rsidR="00BC3D30" w:rsidRPr="005B571B" w:rsidRDefault="00BC3D30" w:rsidP="00BC3D30">
      <w:pPr>
        <w:pStyle w:val="Heading4"/>
      </w:pPr>
      <w:r w:rsidRPr="005B571B">
        <w:t>Competition and Ownership Concentration</w:t>
      </w:r>
    </w:p>
    <w:p w14:paraId="10BCD95C" w14:textId="77777777" w:rsidR="00BC3D30" w:rsidRDefault="00BC3D30" w:rsidP="00BC3D30">
      <w:pPr>
        <w:rPr>
          <w:rFonts w:cs="Arial"/>
        </w:rPr>
      </w:pPr>
      <w:r w:rsidRPr="59351DE1">
        <w:rPr>
          <w:rFonts w:cs="Arial"/>
        </w:rPr>
        <w:t xml:space="preserve">The market for ECEC is quite concentrated, with around one fifth of CBDC services and half of OSHC services operated by a large provider (with 25 or more services). In general, increased centralisation may impact key outcomes, such as the affordability and accessibility of care for families, as well as the setting of wages and conditions for educators and other staff. </w:t>
      </w:r>
    </w:p>
    <w:p w14:paraId="37EB5FAF" w14:textId="0F645D71" w:rsidR="00BC3D30" w:rsidRDefault="00BC3D30" w:rsidP="00BC3D30">
      <w:pPr>
        <w:rPr>
          <w:rFonts w:cs="Arial"/>
        </w:rPr>
      </w:pPr>
      <w:r>
        <w:rPr>
          <w:rFonts w:cs="Arial"/>
        </w:rPr>
        <w:t>T</w:t>
      </w:r>
      <w:r w:rsidRPr="002905C0">
        <w:rPr>
          <w:rFonts w:cs="Arial"/>
        </w:rPr>
        <w:t>he top five providers</w:t>
      </w:r>
      <w:r w:rsidRPr="2C159311">
        <w:rPr>
          <w:rFonts w:cs="Arial"/>
        </w:rPr>
        <w:t xml:space="preserve">, by number of services of each type, </w:t>
      </w:r>
      <w:r w:rsidRPr="002905C0">
        <w:rPr>
          <w:rFonts w:cs="Arial"/>
        </w:rPr>
        <w:t xml:space="preserve">accounted for </w:t>
      </w:r>
      <w:r>
        <w:rPr>
          <w:rFonts w:cs="Arial"/>
        </w:rPr>
        <w:t xml:space="preserve">over </w:t>
      </w:r>
      <w:r w:rsidRPr="002905C0">
        <w:rPr>
          <w:rFonts w:cs="Arial"/>
        </w:rPr>
        <w:t>1</w:t>
      </w:r>
      <w:r>
        <w:rPr>
          <w:rFonts w:cs="Arial"/>
        </w:rPr>
        <w:t xml:space="preserve">5% </w:t>
      </w:r>
      <w:r w:rsidRPr="002905C0">
        <w:rPr>
          <w:rFonts w:cs="Arial"/>
        </w:rPr>
        <w:t>of children in</w:t>
      </w:r>
      <w:r>
        <w:rPr>
          <w:rFonts w:cs="Arial"/>
        </w:rPr>
        <w:t xml:space="preserve"> care across both</w:t>
      </w:r>
      <w:r w:rsidRPr="002905C0">
        <w:rPr>
          <w:rFonts w:cs="Arial"/>
        </w:rPr>
        <w:t xml:space="preserve"> CBDC</w:t>
      </w:r>
      <w:r w:rsidRPr="2C159311">
        <w:rPr>
          <w:rFonts w:cs="Arial"/>
        </w:rPr>
        <w:t xml:space="preserve"> (18% of children and 15% of services)</w:t>
      </w:r>
      <w:r w:rsidRPr="002905C0">
        <w:rPr>
          <w:rFonts w:cs="Arial"/>
        </w:rPr>
        <w:t xml:space="preserve"> </w:t>
      </w:r>
      <w:r>
        <w:rPr>
          <w:rFonts w:cs="Arial"/>
        </w:rPr>
        <w:t xml:space="preserve">and </w:t>
      </w:r>
      <w:r w:rsidRPr="002905C0">
        <w:rPr>
          <w:rFonts w:cs="Arial"/>
        </w:rPr>
        <w:t>OSHC</w:t>
      </w:r>
      <w:r w:rsidRPr="2C159311">
        <w:rPr>
          <w:rFonts w:cs="Arial"/>
        </w:rPr>
        <w:t xml:space="preserve"> (22% of children and 26% of services)</w:t>
      </w:r>
      <w:r w:rsidRPr="002905C0">
        <w:rPr>
          <w:rFonts w:cs="Arial"/>
        </w:rPr>
        <w:t>.</w:t>
      </w:r>
      <w:r>
        <w:rPr>
          <w:rStyle w:val="FootnoteReference"/>
          <w:rFonts w:cs="Arial"/>
        </w:rPr>
        <w:footnoteReference w:id="24"/>
      </w:r>
      <w:r>
        <w:rPr>
          <w:rFonts w:cs="Arial"/>
        </w:rPr>
        <w:t xml:space="preserve"> </w:t>
      </w:r>
      <w:r w:rsidRPr="2C159311">
        <w:rPr>
          <w:rFonts w:cs="Arial"/>
        </w:rPr>
        <w:t>Across both service types, multi-service providers account for more than half of services (</w:t>
      </w:r>
      <w:r>
        <w:rPr>
          <w:rFonts w:cs="Arial"/>
        </w:rPr>
        <w:fldChar w:fldCharType="begin"/>
      </w:r>
      <w:r>
        <w:rPr>
          <w:rFonts w:cs="Arial"/>
        </w:rPr>
        <w:instrText xml:space="preserve"> REF _Ref167971100 \h </w:instrText>
      </w:r>
      <w:r>
        <w:rPr>
          <w:rFonts w:cs="Arial"/>
        </w:rPr>
      </w:r>
      <w:r>
        <w:rPr>
          <w:rFonts w:cs="Arial"/>
        </w:rPr>
        <w:fldChar w:fldCharType="separate"/>
      </w:r>
      <w:r w:rsidR="005F18C1">
        <w:t>Figure 1.</w:t>
      </w:r>
      <w:r>
        <w:rPr>
          <w:rFonts w:cs="Arial"/>
        </w:rPr>
        <w:fldChar w:fldCharType="end"/>
      </w:r>
      <w:r w:rsidR="005944DC">
        <w:rPr>
          <w:rFonts w:cs="Arial"/>
        </w:rPr>
        <w:t>14</w:t>
      </w:r>
      <w:r w:rsidRPr="2C159311">
        <w:rPr>
          <w:rFonts w:cs="Arial"/>
        </w:rPr>
        <w:t xml:space="preserve">). </w:t>
      </w:r>
    </w:p>
    <w:p w14:paraId="5BC29E6E" w14:textId="6F67B7CB" w:rsidR="00BC3D30" w:rsidRPr="001B16F1" w:rsidRDefault="00BC3D30" w:rsidP="00BC3D30">
      <w:pPr>
        <w:pStyle w:val="Caption"/>
        <w:rPr>
          <w:rFonts w:cs="Arial"/>
        </w:rPr>
      </w:pPr>
      <w:bookmarkStart w:id="64" w:name="_Ref167971100"/>
      <w:r>
        <w:lastRenderedPageBreak/>
        <w:t>Figure 1.</w:t>
      </w:r>
      <w:bookmarkEnd w:id="64"/>
      <w:r w:rsidR="005944DC">
        <w:t>14</w:t>
      </w:r>
      <w:r>
        <w:t xml:space="preserve">: </w:t>
      </w:r>
      <w:r w:rsidRPr="00C51DC3">
        <w:t>Cumulative share of services by provider size</w:t>
      </w:r>
      <w:r>
        <w:t xml:space="preserve"> rank</w:t>
      </w:r>
      <w:r w:rsidRPr="00C51DC3">
        <w:t>, 2021</w:t>
      </w:r>
    </w:p>
    <w:p w14:paraId="5444C457" w14:textId="77777777" w:rsidR="00BC3D30" w:rsidRDefault="00BC3D30" w:rsidP="00BC3D30">
      <w:pPr>
        <w:pStyle w:val="NormalWeb"/>
      </w:pPr>
      <w:r>
        <w:rPr>
          <w:noProof/>
        </w:rPr>
        <w:drawing>
          <wp:inline distT="0" distB="0" distL="0" distR="0" wp14:anchorId="0C05B260" wp14:editId="6133FB11">
            <wp:extent cx="5731510" cy="4776470"/>
            <wp:effectExtent l="0" t="0" r="2540" b="5080"/>
            <wp:docPr id="226457309" name="Picture 12" descr="Two charts, one of CBDC and one of OSHC shows share of services by provider size rank as of 2021. The chart shows in both service types multi-service providers account for more than half of services with the top 25 providers in OSHC accounting for 49% of servi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57309" name="Picture 12" descr="Two charts, one of CBDC and one of OSHC shows share of services by provider size rank as of 2021. The chart shows in both service types multi-service providers account for more than half of services with the top 25 providers in OSHC accounting for 49% of services. "/>
                    <pic:cNvPicPr>
                      <a:picLocks noChangeAspect="1" noChangeArrowheads="1"/>
                    </pic:cNvPicPr>
                  </pic:nvPicPr>
                  <pic:blipFill>
                    <a:blip r:embed="rId68" cstate="screen">
                      <a:extLst>
                        <a:ext uri="{28A0092B-C50C-407E-A947-70E740481C1C}">
                          <a14:useLocalDpi xmlns:a14="http://schemas.microsoft.com/office/drawing/2010/main" val="0"/>
                        </a:ext>
                      </a:extLst>
                    </a:blip>
                    <a:srcRect/>
                    <a:stretch>
                      <a:fillRect/>
                    </a:stretch>
                  </pic:blipFill>
                  <pic:spPr bwMode="auto">
                    <a:xfrm>
                      <a:off x="0" y="0"/>
                      <a:ext cx="5731510" cy="4776470"/>
                    </a:xfrm>
                    <a:prstGeom prst="rect">
                      <a:avLst/>
                    </a:prstGeom>
                    <a:noFill/>
                    <a:ln>
                      <a:noFill/>
                    </a:ln>
                  </pic:spPr>
                </pic:pic>
              </a:graphicData>
            </a:graphic>
          </wp:inline>
        </w:drawing>
      </w:r>
    </w:p>
    <w:p w14:paraId="6D2D2A66" w14:textId="77777777" w:rsidR="00BC3D30" w:rsidRDefault="00BC3D30" w:rsidP="00BC3D30">
      <w:pPr>
        <w:pStyle w:val="Source"/>
      </w:pPr>
      <w:r>
        <w:rPr>
          <w:rFonts w:cs="Arial"/>
        </w:rPr>
        <w:t xml:space="preserve">Source: </w:t>
      </w:r>
      <w:r>
        <w:t>JSA analysis of Department of Education NWC (2021) and CCS data; ACECQA, National Registers</w:t>
      </w:r>
    </w:p>
    <w:p w14:paraId="78C0815D" w14:textId="5B0D82B6" w:rsidR="00BC3D30" w:rsidRDefault="00251A8B" w:rsidP="00BC3D30">
      <w:pPr>
        <w:rPr>
          <w:rStyle w:val="eop"/>
          <w:rFonts w:cs="Arial"/>
        </w:rPr>
      </w:pPr>
      <w:r>
        <w:rPr>
          <w:rStyle w:val="eop"/>
          <w:rFonts w:cs="Arial"/>
        </w:rPr>
        <w:t>Figure 1.</w:t>
      </w:r>
      <w:r w:rsidR="005944DC">
        <w:rPr>
          <w:rStyle w:val="eop"/>
          <w:rFonts w:cs="Arial"/>
        </w:rPr>
        <w:t>15</w:t>
      </w:r>
      <w:r w:rsidR="00BC3D30">
        <w:rPr>
          <w:rStyle w:val="eop"/>
          <w:rFonts w:cs="Arial"/>
        </w:rPr>
        <w:t xml:space="preserve"> below illustrates the distribution of services by whether they belong to a ‘Single service’ provider, a ‘</w:t>
      </w:r>
      <w:proofErr w:type="gramStart"/>
      <w:r w:rsidR="00BC3D30">
        <w:rPr>
          <w:rStyle w:val="eop"/>
          <w:rFonts w:cs="Arial"/>
        </w:rPr>
        <w:t>Multi-service</w:t>
      </w:r>
      <w:proofErr w:type="gramEnd"/>
      <w:r w:rsidR="00BC3D30">
        <w:rPr>
          <w:rStyle w:val="eop"/>
          <w:rFonts w:cs="Arial"/>
        </w:rPr>
        <w:t xml:space="preserve"> (small)’ provider (managing fewer than 25 services), or a ‘Multi-service (large)’ provider (managing 25 or more services). There are substantial differences between CBDC and OSHC, and across management type, in the split of services by provider size. For CBDCs, almost three quarters of private not-for-profit services belong to a large provider, substantially more than other management types. </w:t>
      </w:r>
    </w:p>
    <w:p w14:paraId="62EFD7B8" w14:textId="77777777" w:rsidR="00420FE3" w:rsidRDefault="00420FE3">
      <w:pPr>
        <w:rPr>
          <w:b/>
          <w:bCs/>
          <w:color w:val="auto"/>
          <w:sz w:val="18"/>
          <w:szCs w:val="18"/>
        </w:rPr>
      </w:pPr>
      <w:bookmarkStart w:id="65" w:name="_Ref165903383"/>
      <w:r>
        <w:br w:type="page"/>
      </w:r>
    </w:p>
    <w:p w14:paraId="0C2FC5CC" w14:textId="5F1C7CE2" w:rsidR="00BC3D30" w:rsidRPr="00C50D2E" w:rsidRDefault="00BC3D30" w:rsidP="00BC3D30">
      <w:pPr>
        <w:pStyle w:val="Caption"/>
        <w:rPr>
          <w:rStyle w:val="eop"/>
          <w:rFonts w:cs="Arial"/>
          <w:b w:val="0"/>
          <w:bCs w:val="0"/>
        </w:rPr>
      </w:pPr>
      <w:r>
        <w:lastRenderedPageBreak/>
        <w:t>Figure 1.</w:t>
      </w:r>
      <w:bookmarkEnd w:id="65"/>
      <w:r w:rsidR="005944DC">
        <w:t>15</w:t>
      </w:r>
      <w:r>
        <w:t>:</w:t>
      </w:r>
      <w:r w:rsidRPr="00C51DC3">
        <w:t xml:space="preserve"> </w:t>
      </w:r>
      <w:r>
        <w:t>Share of all services by provider type and size</w:t>
      </w:r>
      <w:r w:rsidRPr="00C51DC3">
        <w:t>, 2021</w:t>
      </w:r>
    </w:p>
    <w:p w14:paraId="1FC3E413" w14:textId="77777777" w:rsidR="00BC3D30" w:rsidRDefault="00BC3D30" w:rsidP="00BC3D30">
      <w:pPr>
        <w:pStyle w:val="NormalWeb"/>
        <w:jc w:val="center"/>
      </w:pPr>
      <w:r>
        <w:rPr>
          <w:noProof/>
        </w:rPr>
        <w:drawing>
          <wp:anchor distT="0" distB="0" distL="114300" distR="114300" simplePos="0" relativeHeight="251703299" behindDoc="0" locked="0" layoutInCell="1" allowOverlap="1" wp14:anchorId="6E1A9737" wp14:editId="13B478A8">
            <wp:simplePos x="0" y="0"/>
            <wp:positionH relativeFrom="column">
              <wp:posOffset>0</wp:posOffset>
            </wp:positionH>
            <wp:positionV relativeFrom="paragraph">
              <wp:posOffset>46355</wp:posOffset>
            </wp:positionV>
            <wp:extent cx="5731510" cy="3184525"/>
            <wp:effectExtent l="0" t="0" r="2540" b="0"/>
            <wp:wrapNone/>
            <wp:docPr id="1033521129"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521129" name="Picture 6">
                      <a:extLst>
                        <a:ext uri="{C183D7F6-B498-43B3-948B-1728B52AA6E4}">
                          <adec:decorative xmlns:adec="http://schemas.microsoft.com/office/drawing/2017/decorative" val="1"/>
                        </a:ext>
                      </a:extLst>
                    </pic:cNvPr>
                    <pic:cNvPicPr>
                      <a:picLocks noChangeAspect="1" noChangeArrowheads="1"/>
                    </pic:cNvPicPr>
                  </pic:nvPicPr>
                  <pic:blipFill>
                    <a:blip r:embed="rId69" cstate="screen">
                      <a:extLst>
                        <a:ext uri="{28A0092B-C50C-407E-A947-70E740481C1C}">
                          <a14:useLocalDpi xmlns:a14="http://schemas.microsoft.com/office/drawing/2010/main" val="0"/>
                        </a:ext>
                      </a:extLst>
                    </a:blip>
                    <a:srcRect/>
                    <a:stretch>
                      <a:fillRect/>
                    </a:stretch>
                  </pic:blipFill>
                  <pic:spPr bwMode="auto">
                    <a:xfrm>
                      <a:off x="0" y="0"/>
                      <a:ext cx="5731510" cy="3184525"/>
                    </a:xfrm>
                    <a:prstGeom prst="rect">
                      <a:avLst/>
                    </a:prstGeom>
                    <a:noFill/>
                    <a:ln>
                      <a:noFill/>
                    </a:ln>
                  </pic:spPr>
                </pic:pic>
              </a:graphicData>
            </a:graphic>
          </wp:anchor>
        </w:drawing>
      </w:r>
    </w:p>
    <w:tbl>
      <w:tblPr>
        <w:tblStyle w:val="Box"/>
        <w:tblW w:w="0" w:type="auto"/>
        <w:jc w:val="center"/>
        <w:tblLook w:val="04A0" w:firstRow="1" w:lastRow="0" w:firstColumn="1" w:lastColumn="0" w:noHBand="0" w:noVBand="1"/>
      </w:tblPr>
      <w:tblGrid>
        <w:gridCol w:w="2800"/>
        <w:gridCol w:w="1538"/>
        <w:gridCol w:w="1266"/>
        <w:gridCol w:w="1711"/>
        <w:gridCol w:w="765"/>
      </w:tblGrid>
      <w:tr w:rsidR="00420FE3" w:rsidRPr="00420FE3" w14:paraId="1379A7D6" w14:textId="77777777" w:rsidTr="00420FE3">
        <w:trPr>
          <w:trHeight w:val="300"/>
          <w:jc w:val="center"/>
        </w:trPr>
        <w:tc>
          <w:tcPr>
            <w:tcW w:w="2800" w:type="dxa"/>
            <w:noWrap/>
            <w:hideMark/>
          </w:tcPr>
          <w:p w14:paraId="60FA507F" w14:textId="77777777" w:rsidR="00420FE3" w:rsidRPr="00420FE3" w:rsidRDefault="00420FE3" w:rsidP="00420FE3">
            <w:pPr>
              <w:pStyle w:val="Source"/>
              <w:rPr>
                <w:rFonts w:cs="Arial"/>
                <w:sz w:val="2"/>
                <w:szCs w:val="2"/>
              </w:rPr>
            </w:pPr>
          </w:p>
        </w:tc>
        <w:tc>
          <w:tcPr>
            <w:tcW w:w="1538" w:type="dxa"/>
            <w:noWrap/>
            <w:hideMark/>
          </w:tcPr>
          <w:p w14:paraId="7DEF047B" w14:textId="77777777" w:rsidR="00420FE3" w:rsidRPr="00420FE3" w:rsidRDefault="00420FE3" w:rsidP="00420FE3">
            <w:pPr>
              <w:pStyle w:val="Source"/>
              <w:rPr>
                <w:rFonts w:cs="Arial"/>
                <w:sz w:val="2"/>
                <w:szCs w:val="2"/>
              </w:rPr>
            </w:pPr>
          </w:p>
        </w:tc>
        <w:tc>
          <w:tcPr>
            <w:tcW w:w="1266" w:type="dxa"/>
            <w:noWrap/>
            <w:hideMark/>
          </w:tcPr>
          <w:p w14:paraId="558BD58C" w14:textId="77777777" w:rsidR="00420FE3" w:rsidRPr="00420FE3" w:rsidRDefault="00420FE3" w:rsidP="00420FE3">
            <w:pPr>
              <w:pStyle w:val="Source"/>
              <w:rPr>
                <w:rFonts w:cs="Arial"/>
                <w:b/>
                <w:bCs/>
                <w:sz w:val="2"/>
                <w:szCs w:val="2"/>
              </w:rPr>
            </w:pPr>
            <w:r w:rsidRPr="00420FE3">
              <w:rPr>
                <w:rFonts w:cs="Arial"/>
                <w:b/>
                <w:bCs/>
                <w:sz w:val="2"/>
                <w:szCs w:val="2"/>
              </w:rPr>
              <w:t>Single Service</w:t>
            </w:r>
          </w:p>
        </w:tc>
        <w:tc>
          <w:tcPr>
            <w:tcW w:w="1711" w:type="dxa"/>
            <w:noWrap/>
            <w:hideMark/>
          </w:tcPr>
          <w:p w14:paraId="708C473B" w14:textId="77777777" w:rsidR="00420FE3" w:rsidRPr="00420FE3" w:rsidRDefault="00420FE3" w:rsidP="00420FE3">
            <w:pPr>
              <w:pStyle w:val="Source"/>
              <w:rPr>
                <w:rFonts w:cs="Arial"/>
                <w:b/>
                <w:bCs/>
                <w:sz w:val="2"/>
                <w:szCs w:val="2"/>
              </w:rPr>
            </w:pPr>
            <w:r w:rsidRPr="00420FE3">
              <w:rPr>
                <w:rFonts w:cs="Arial"/>
                <w:b/>
                <w:bCs/>
                <w:sz w:val="2"/>
                <w:szCs w:val="2"/>
              </w:rPr>
              <w:t>Multi-service (small)</w:t>
            </w:r>
          </w:p>
        </w:tc>
        <w:tc>
          <w:tcPr>
            <w:tcW w:w="765" w:type="dxa"/>
            <w:noWrap/>
            <w:hideMark/>
          </w:tcPr>
          <w:p w14:paraId="50958770" w14:textId="77777777" w:rsidR="00420FE3" w:rsidRPr="00420FE3" w:rsidRDefault="00420FE3" w:rsidP="00420FE3">
            <w:pPr>
              <w:pStyle w:val="Source"/>
              <w:rPr>
                <w:rFonts w:cs="Arial"/>
                <w:b/>
                <w:bCs/>
                <w:sz w:val="2"/>
                <w:szCs w:val="2"/>
              </w:rPr>
            </w:pPr>
            <w:r w:rsidRPr="00420FE3">
              <w:rPr>
                <w:rFonts w:cs="Arial"/>
                <w:b/>
                <w:bCs/>
                <w:sz w:val="2"/>
                <w:szCs w:val="2"/>
              </w:rPr>
              <w:t>Multi-service (large)</w:t>
            </w:r>
          </w:p>
        </w:tc>
      </w:tr>
      <w:tr w:rsidR="00420FE3" w:rsidRPr="00420FE3" w14:paraId="20AC9EB1" w14:textId="77777777" w:rsidTr="00420FE3">
        <w:trPr>
          <w:trHeight w:val="300"/>
          <w:jc w:val="center"/>
        </w:trPr>
        <w:tc>
          <w:tcPr>
            <w:tcW w:w="2800" w:type="dxa"/>
            <w:noWrap/>
            <w:hideMark/>
          </w:tcPr>
          <w:p w14:paraId="3D286F8B" w14:textId="77777777" w:rsidR="00420FE3" w:rsidRPr="00420FE3" w:rsidRDefault="00420FE3" w:rsidP="00420FE3">
            <w:pPr>
              <w:pStyle w:val="Source"/>
              <w:rPr>
                <w:rFonts w:cs="Arial"/>
                <w:b/>
                <w:bCs/>
                <w:sz w:val="2"/>
                <w:szCs w:val="2"/>
              </w:rPr>
            </w:pPr>
            <w:r w:rsidRPr="00420FE3">
              <w:rPr>
                <w:rFonts w:cs="Arial"/>
                <w:b/>
                <w:bCs/>
                <w:sz w:val="2"/>
                <w:szCs w:val="2"/>
              </w:rPr>
              <w:t>Centre based day care</w:t>
            </w:r>
          </w:p>
        </w:tc>
        <w:tc>
          <w:tcPr>
            <w:tcW w:w="1538" w:type="dxa"/>
            <w:noWrap/>
            <w:hideMark/>
          </w:tcPr>
          <w:p w14:paraId="534C072E" w14:textId="77777777" w:rsidR="00420FE3" w:rsidRPr="00420FE3" w:rsidRDefault="00420FE3" w:rsidP="00420FE3">
            <w:pPr>
              <w:pStyle w:val="Source"/>
              <w:rPr>
                <w:rFonts w:cs="Arial"/>
                <w:sz w:val="2"/>
                <w:szCs w:val="2"/>
              </w:rPr>
            </w:pPr>
            <w:r w:rsidRPr="00420FE3">
              <w:rPr>
                <w:rFonts w:cs="Arial"/>
                <w:sz w:val="2"/>
                <w:szCs w:val="2"/>
              </w:rPr>
              <w:t>Community</w:t>
            </w:r>
          </w:p>
        </w:tc>
        <w:tc>
          <w:tcPr>
            <w:tcW w:w="1266" w:type="dxa"/>
            <w:hideMark/>
          </w:tcPr>
          <w:p w14:paraId="26BC47D4" w14:textId="77777777" w:rsidR="00420FE3" w:rsidRPr="00420FE3" w:rsidRDefault="00420FE3" w:rsidP="00420FE3">
            <w:pPr>
              <w:pStyle w:val="Source"/>
              <w:rPr>
                <w:rFonts w:cs="Arial"/>
                <w:sz w:val="2"/>
                <w:szCs w:val="2"/>
              </w:rPr>
            </w:pPr>
            <w:r w:rsidRPr="00420FE3">
              <w:rPr>
                <w:rFonts w:cs="Arial"/>
                <w:sz w:val="2"/>
                <w:szCs w:val="2"/>
              </w:rPr>
              <w:t>57%</w:t>
            </w:r>
          </w:p>
        </w:tc>
        <w:tc>
          <w:tcPr>
            <w:tcW w:w="1711" w:type="dxa"/>
            <w:noWrap/>
            <w:hideMark/>
          </w:tcPr>
          <w:p w14:paraId="201C5ADF" w14:textId="77777777" w:rsidR="00420FE3" w:rsidRPr="00420FE3" w:rsidRDefault="00420FE3" w:rsidP="00420FE3">
            <w:pPr>
              <w:pStyle w:val="Source"/>
              <w:rPr>
                <w:rFonts w:cs="Arial"/>
                <w:sz w:val="2"/>
                <w:szCs w:val="2"/>
              </w:rPr>
            </w:pPr>
            <w:r w:rsidRPr="00420FE3">
              <w:rPr>
                <w:rFonts w:cs="Arial"/>
                <w:sz w:val="2"/>
                <w:szCs w:val="2"/>
              </w:rPr>
              <w:t>31%</w:t>
            </w:r>
          </w:p>
        </w:tc>
        <w:tc>
          <w:tcPr>
            <w:tcW w:w="765" w:type="dxa"/>
            <w:noWrap/>
            <w:hideMark/>
          </w:tcPr>
          <w:p w14:paraId="7AD6E218" w14:textId="77777777" w:rsidR="00420FE3" w:rsidRPr="00420FE3" w:rsidRDefault="00420FE3" w:rsidP="00420FE3">
            <w:pPr>
              <w:pStyle w:val="Source"/>
              <w:rPr>
                <w:rFonts w:cs="Arial"/>
                <w:sz w:val="2"/>
                <w:szCs w:val="2"/>
              </w:rPr>
            </w:pPr>
            <w:r w:rsidRPr="00420FE3">
              <w:rPr>
                <w:rFonts w:cs="Arial"/>
                <w:sz w:val="2"/>
                <w:szCs w:val="2"/>
              </w:rPr>
              <w:t>12%</w:t>
            </w:r>
          </w:p>
        </w:tc>
      </w:tr>
      <w:tr w:rsidR="00420FE3" w:rsidRPr="00420FE3" w14:paraId="2B2FDA7F" w14:textId="77777777" w:rsidTr="00420FE3">
        <w:trPr>
          <w:trHeight w:val="300"/>
          <w:jc w:val="center"/>
        </w:trPr>
        <w:tc>
          <w:tcPr>
            <w:tcW w:w="2800" w:type="dxa"/>
            <w:noWrap/>
            <w:hideMark/>
          </w:tcPr>
          <w:p w14:paraId="1950BC67" w14:textId="77777777" w:rsidR="00420FE3" w:rsidRPr="00420FE3" w:rsidRDefault="00420FE3" w:rsidP="00420FE3">
            <w:pPr>
              <w:pStyle w:val="Source"/>
              <w:rPr>
                <w:rFonts w:cs="Arial"/>
                <w:sz w:val="2"/>
                <w:szCs w:val="2"/>
              </w:rPr>
            </w:pPr>
          </w:p>
        </w:tc>
        <w:tc>
          <w:tcPr>
            <w:tcW w:w="1538" w:type="dxa"/>
            <w:noWrap/>
            <w:hideMark/>
          </w:tcPr>
          <w:p w14:paraId="49587590" w14:textId="77777777" w:rsidR="00420FE3" w:rsidRPr="00420FE3" w:rsidRDefault="00420FE3" w:rsidP="00420FE3">
            <w:pPr>
              <w:pStyle w:val="Source"/>
              <w:rPr>
                <w:rFonts w:cs="Arial"/>
                <w:sz w:val="2"/>
                <w:szCs w:val="2"/>
              </w:rPr>
            </w:pPr>
            <w:r w:rsidRPr="00420FE3">
              <w:rPr>
                <w:rFonts w:cs="Arial"/>
                <w:sz w:val="2"/>
                <w:szCs w:val="2"/>
              </w:rPr>
              <w:t>For-profit</w:t>
            </w:r>
          </w:p>
        </w:tc>
        <w:tc>
          <w:tcPr>
            <w:tcW w:w="1266" w:type="dxa"/>
            <w:noWrap/>
            <w:hideMark/>
          </w:tcPr>
          <w:p w14:paraId="61A2ED5A" w14:textId="77777777" w:rsidR="00420FE3" w:rsidRPr="00420FE3" w:rsidRDefault="00420FE3" w:rsidP="00420FE3">
            <w:pPr>
              <w:pStyle w:val="Source"/>
              <w:rPr>
                <w:rFonts w:cs="Arial"/>
                <w:sz w:val="2"/>
                <w:szCs w:val="2"/>
              </w:rPr>
            </w:pPr>
            <w:r w:rsidRPr="00420FE3">
              <w:rPr>
                <w:rFonts w:cs="Arial"/>
                <w:sz w:val="2"/>
                <w:szCs w:val="2"/>
              </w:rPr>
              <w:t>48%</w:t>
            </w:r>
          </w:p>
        </w:tc>
        <w:tc>
          <w:tcPr>
            <w:tcW w:w="1711" w:type="dxa"/>
            <w:noWrap/>
            <w:hideMark/>
          </w:tcPr>
          <w:p w14:paraId="42787FF2" w14:textId="77777777" w:rsidR="00420FE3" w:rsidRPr="00420FE3" w:rsidRDefault="00420FE3" w:rsidP="00420FE3">
            <w:pPr>
              <w:pStyle w:val="Source"/>
              <w:rPr>
                <w:rFonts w:cs="Arial"/>
                <w:sz w:val="2"/>
                <w:szCs w:val="2"/>
              </w:rPr>
            </w:pPr>
            <w:r w:rsidRPr="00420FE3">
              <w:rPr>
                <w:rFonts w:cs="Arial"/>
                <w:sz w:val="2"/>
                <w:szCs w:val="2"/>
              </w:rPr>
              <w:t>37%</w:t>
            </w:r>
          </w:p>
        </w:tc>
        <w:tc>
          <w:tcPr>
            <w:tcW w:w="765" w:type="dxa"/>
            <w:noWrap/>
            <w:hideMark/>
          </w:tcPr>
          <w:p w14:paraId="23D1301F" w14:textId="77777777" w:rsidR="00420FE3" w:rsidRPr="00420FE3" w:rsidRDefault="00420FE3" w:rsidP="00420FE3">
            <w:pPr>
              <w:pStyle w:val="Source"/>
              <w:rPr>
                <w:rFonts w:cs="Arial"/>
                <w:sz w:val="2"/>
                <w:szCs w:val="2"/>
              </w:rPr>
            </w:pPr>
            <w:r w:rsidRPr="00420FE3">
              <w:rPr>
                <w:rFonts w:cs="Arial"/>
                <w:sz w:val="2"/>
                <w:szCs w:val="2"/>
              </w:rPr>
              <w:t>15%</w:t>
            </w:r>
          </w:p>
        </w:tc>
      </w:tr>
      <w:tr w:rsidR="00420FE3" w:rsidRPr="00420FE3" w14:paraId="0EFE1763" w14:textId="77777777" w:rsidTr="00420FE3">
        <w:trPr>
          <w:trHeight w:val="300"/>
          <w:jc w:val="center"/>
        </w:trPr>
        <w:tc>
          <w:tcPr>
            <w:tcW w:w="2800" w:type="dxa"/>
            <w:noWrap/>
            <w:hideMark/>
          </w:tcPr>
          <w:p w14:paraId="65DE0DAE" w14:textId="77777777" w:rsidR="00420FE3" w:rsidRPr="00420FE3" w:rsidRDefault="00420FE3" w:rsidP="00420FE3">
            <w:pPr>
              <w:pStyle w:val="Source"/>
              <w:rPr>
                <w:rFonts w:cs="Arial"/>
                <w:sz w:val="2"/>
                <w:szCs w:val="2"/>
              </w:rPr>
            </w:pPr>
          </w:p>
        </w:tc>
        <w:tc>
          <w:tcPr>
            <w:tcW w:w="1538" w:type="dxa"/>
            <w:noWrap/>
            <w:hideMark/>
          </w:tcPr>
          <w:p w14:paraId="12BFBA5C" w14:textId="77777777" w:rsidR="00420FE3" w:rsidRPr="00420FE3" w:rsidRDefault="00420FE3" w:rsidP="00420FE3">
            <w:pPr>
              <w:pStyle w:val="Source"/>
              <w:rPr>
                <w:rFonts w:cs="Arial"/>
                <w:sz w:val="2"/>
                <w:szCs w:val="2"/>
              </w:rPr>
            </w:pPr>
            <w:r w:rsidRPr="00420FE3">
              <w:rPr>
                <w:rFonts w:cs="Arial"/>
                <w:sz w:val="2"/>
                <w:szCs w:val="2"/>
              </w:rPr>
              <w:t>Private not-for-profit</w:t>
            </w:r>
          </w:p>
        </w:tc>
        <w:tc>
          <w:tcPr>
            <w:tcW w:w="1266" w:type="dxa"/>
            <w:noWrap/>
            <w:hideMark/>
          </w:tcPr>
          <w:p w14:paraId="605D0F58" w14:textId="77777777" w:rsidR="00420FE3" w:rsidRPr="00420FE3" w:rsidRDefault="00420FE3" w:rsidP="00420FE3">
            <w:pPr>
              <w:pStyle w:val="Source"/>
              <w:rPr>
                <w:rFonts w:cs="Arial"/>
                <w:sz w:val="2"/>
                <w:szCs w:val="2"/>
              </w:rPr>
            </w:pPr>
            <w:r w:rsidRPr="00420FE3">
              <w:rPr>
                <w:rFonts w:cs="Arial"/>
                <w:sz w:val="2"/>
                <w:szCs w:val="2"/>
              </w:rPr>
              <w:t>8%</w:t>
            </w:r>
          </w:p>
        </w:tc>
        <w:tc>
          <w:tcPr>
            <w:tcW w:w="1711" w:type="dxa"/>
            <w:noWrap/>
            <w:hideMark/>
          </w:tcPr>
          <w:p w14:paraId="6D229E73" w14:textId="77777777" w:rsidR="00420FE3" w:rsidRPr="00420FE3" w:rsidRDefault="00420FE3" w:rsidP="00420FE3">
            <w:pPr>
              <w:pStyle w:val="Source"/>
              <w:rPr>
                <w:rFonts w:cs="Arial"/>
                <w:sz w:val="2"/>
                <w:szCs w:val="2"/>
              </w:rPr>
            </w:pPr>
            <w:r w:rsidRPr="00420FE3">
              <w:rPr>
                <w:rFonts w:cs="Arial"/>
                <w:sz w:val="2"/>
                <w:szCs w:val="2"/>
              </w:rPr>
              <w:t>19%</w:t>
            </w:r>
          </w:p>
        </w:tc>
        <w:tc>
          <w:tcPr>
            <w:tcW w:w="765" w:type="dxa"/>
            <w:noWrap/>
            <w:hideMark/>
          </w:tcPr>
          <w:p w14:paraId="642588CD" w14:textId="77777777" w:rsidR="00420FE3" w:rsidRPr="00420FE3" w:rsidRDefault="00420FE3" w:rsidP="00420FE3">
            <w:pPr>
              <w:pStyle w:val="Source"/>
              <w:rPr>
                <w:rFonts w:cs="Arial"/>
                <w:sz w:val="2"/>
                <w:szCs w:val="2"/>
              </w:rPr>
            </w:pPr>
            <w:r w:rsidRPr="00420FE3">
              <w:rPr>
                <w:rFonts w:cs="Arial"/>
                <w:sz w:val="2"/>
                <w:szCs w:val="2"/>
              </w:rPr>
              <w:t>73%</w:t>
            </w:r>
          </w:p>
        </w:tc>
      </w:tr>
      <w:tr w:rsidR="00420FE3" w:rsidRPr="00420FE3" w14:paraId="5504B5FD" w14:textId="77777777" w:rsidTr="00420FE3">
        <w:trPr>
          <w:trHeight w:val="300"/>
          <w:jc w:val="center"/>
        </w:trPr>
        <w:tc>
          <w:tcPr>
            <w:tcW w:w="2800" w:type="dxa"/>
            <w:noWrap/>
            <w:hideMark/>
          </w:tcPr>
          <w:p w14:paraId="44D3EE8E" w14:textId="77777777" w:rsidR="00420FE3" w:rsidRPr="00420FE3" w:rsidRDefault="00420FE3" w:rsidP="00420FE3">
            <w:pPr>
              <w:pStyle w:val="Source"/>
              <w:rPr>
                <w:rFonts w:cs="Arial"/>
                <w:sz w:val="2"/>
                <w:szCs w:val="2"/>
              </w:rPr>
            </w:pPr>
          </w:p>
        </w:tc>
        <w:tc>
          <w:tcPr>
            <w:tcW w:w="1538" w:type="dxa"/>
            <w:noWrap/>
            <w:hideMark/>
          </w:tcPr>
          <w:p w14:paraId="1173A344" w14:textId="77777777" w:rsidR="00420FE3" w:rsidRPr="00420FE3" w:rsidRDefault="00420FE3" w:rsidP="00420FE3">
            <w:pPr>
              <w:pStyle w:val="Source"/>
              <w:rPr>
                <w:rFonts w:cs="Arial"/>
                <w:sz w:val="2"/>
                <w:szCs w:val="2"/>
              </w:rPr>
            </w:pPr>
          </w:p>
        </w:tc>
        <w:tc>
          <w:tcPr>
            <w:tcW w:w="1266" w:type="dxa"/>
            <w:noWrap/>
            <w:hideMark/>
          </w:tcPr>
          <w:p w14:paraId="1C4B2DD7" w14:textId="77777777" w:rsidR="00420FE3" w:rsidRPr="00420FE3" w:rsidRDefault="00420FE3" w:rsidP="00420FE3">
            <w:pPr>
              <w:pStyle w:val="Source"/>
              <w:rPr>
                <w:rFonts w:cs="Arial"/>
                <w:b/>
                <w:bCs/>
                <w:sz w:val="2"/>
                <w:szCs w:val="2"/>
              </w:rPr>
            </w:pPr>
            <w:r w:rsidRPr="00420FE3">
              <w:rPr>
                <w:rFonts w:cs="Arial"/>
                <w:b/>
                <w:bCs/>
                <w:sz w:val="2"/>
                <w:szCs w:val="2"/>
              </w:rPr>
              <w:t>Single Service</w:t>
            </w:r>
          </w:p>
        </w:tc>
        <w:tc>
          <w:tcPr>
            <w:tcW w:w="1711" w:type="dxa"/>
            <w:noWrap/>
            <w:hideMark/>
          </w:tcPr>
          <w:p w14:paraId="0B2A452F" w14:textId="77777777" w:rsidR="00420FE3" w:rsidRPr="00420FE3" w:rsidRDefault="00420FE3" w:rsidP="00420FE3">
            <w:pPr>
              <w:pStyle w:val="Source"/>
              <w:rPr>
                <w:rFonts w:cs="Arial"/>
                <w:b/>
                <w:bCs/>
                <w:sz w:val="2"/>
                <w:szCs w:val="2"/>
              </w:rPr>
            </w:pPr>
            <w:r w:rsidRPr="00420FE3">
              <w:rPr>
                <w:rFonts w:cs="Arial"/>
                <w:b/>
                <w:bCs/>
                <w:sz w:val="2"/>
                <w:szCs w:val="2"/>
              </w:rPr>
              <w:t>Multi-service (small)</w:t>
            </w:r>
          </w:p>
        </w:tc>
        <w:tc>
          <w:tcPr>
            <w:tcW w:w="765" w:type="dxa"/>
            <w:noWrap/>
            <w:hideMark/>
          </w:tcPr>
          <w:p w14:paraId="6FACD8C3" w14:textId="77777777" w:rsidR="00420FE3" w:rsidRPr="00420FE3" w:rsidRDefault="00420FE3" w:rsidP="00420FE3">
            <w:pPr>
              <w:pStyle w:val="Source"/>
              <w:rPr>
                <w:rFonts w:cs="Arial"/>
                <w:b/>
                <w:bCs/>
                <w:sz w:val="2"/>
                <w:szCs w:val="2"/>
              </w:rPr>
            </w:pPr>
            <w:r w:rsidRPr="00420FE3">
              <w:rPr>
                <w:rFonts w:cs="Arial"/>
                <w:b/>
                <w:bCs/>
                <w:sz w:val="2"/>
                <w:szCs w:val="2"/>
              </w:rPr>
              <w:t>Multi-service (large)</w:t>
            </w:r>
          </w:p>
        </w:tc>
      </w:tr>
      <w:tr w:rsidR="00420FE3" w:rsidRPr="00420FE3" w14:paraId="0B980F6D" w14:textId="77777777" w:rsidTr="00420FE3">
        <w:trPr>
          <w:trHeight w:val="300"/>
          <w:jc w:val="center"/>
        </w:trPr>
        <w:tc>
          <w:tcPr>
            <w:tcW w:w="2800" w:type="dxa"/>
            <w:noWrap/>
            <w:hideMark/>
          </w:tcPr>
          <w:p w14:paraId="30C67C35" w14:textId="77777777" w:rsidR="00420FE3" w:rsidRPr="00420FE3" w:rsidRDefault="00420FE3" w:rsidP="00420FE3">
            <w:pPr>
              <w:pStyle w:val="Source"/>
              <w:rPr>
                <w:rFonts w:cs="Arial"/>
                <w:b/>
                <w:bCs/>
                <w:sz w:val="2"/>
                <w:szCs w:val="2"/>
              </w:rPr>
            </w:pPr>
            <w:r w:rsidRPr="00420FE3">
              <w:rPr>
                <w:rFonts w:cs="Arial"/>
                <w:b/>
                <w:bCs/>
                <w:sz w:val="2"/>
                <w:szCs w:val="2"/>
              </w:rPr>
              <w:t>Out of school hours care</w:t>
            </w:r>
          </w:p>
        </w:tc>
        <w:tc>
          <w:tcPr>
            <w:tcW w:w="1538" w:type="dxa"/>
            <w:noWrap/>
            <w:hideMark/>
          </w:tcPr>
          <w:p w14:paraId="4997DA2A" w14:textId="77777777" w:rsidR="00420FE3" w:rsidRPr="00420FE3" w:rsidRDefault="00420FE3" w:rsidP="00420FE3">
            <w:pPr>
              <w:pStyle w:val="Source"/>
              <w:rPr>
                <w:rFonts w:cs="Arial"/>
                <w:sz w:val="2"/>
                <w:szCs w:val="2"/>
              </w:rPr>
            </w:pPr>
            <w:r w:rsidRPr="00420FE3">
              <w:rPr>
                <w:rFonts w:cs="Arial"/>
                <w:sz w:val="2"/>
                <w:szCs w:val="2"/>
              </w:rPr>
              <w:t>Community</w:t>
            </w:r>
          </w:p>
        </w:tc>
        <w:tc>
          <w:tcPr>
            <w:tcW w:w="1266" w:type="dxa"/>
            <w:noWrap/>
            <w:hideMark/>
          </w:tcPr>
          <w:p w14:paraId="61996016" w14:textId="77777777" w:rsidR="00420FE3" w:rsidRPr="00420FE3" w:rsidRDefault="00420FE3" w:rsidP="00420FE3">
            <w:pPr>
              <w:pStyle w:val="Source"/>
              <w:rPr>
                <w:rFonts w:cs="Arial"/>
                <w:sz w:val="2"/>
                <w:szCs w:val="2"/>
              </w:rPr>
            </w:pPr>
            <w:r w:rsidRPr="00420FE3">
              <w:rPr>
                <w:rFonts w:cs="Arial"/>
                <w:sz w:val="2"/>
                <w:szCs w:val="2"/>
              </w:rPr>
              <w:t>47%</w:t>
            </w:r>
          </w:p>
        </w:tc>
        <w:tc>
          <w:tcPr>
            <w:tcW w:w="1711" w:type="dxa"/>
            <w:noWrap/>
            <w:hideMark/>
          </w:tcPr>
          <w:p w14:paraId="54081C3C" w14:textId="77777777" w:rsidR="00420FE3" w:rsidRPr="00420FE3" w:rsidRDefault="00420FE3" w:rsidP="00420FE3">
            <w:pPr>
              <w:pStyle w:val="Source"/>
              <w:rPr>
                <w:rFonts w:cs="Arial"/>
                <w:sz w:val="2"/>
                <w:szCs w:val="2"/>
              </w:rPr>
            </w:pPr>
            <w:r w:rsidRPr="00420FE3">
              <w:rPr>
                <w:rFonts w:cs="Arial"/>
                <w:sz w:val="2"/>
                <w:szCs w:val="2"/>
              </w:rPr>
              <w:t>36%</w:t>
            </w:r>
          </w:p>
        </w:tc>
        <w:tc>
          <w:tcPr>
            <w:tcW w:w="765" w:type="dxa"/>
            <w:noWrap/>
            <w:hideMark/>
          </w:tcPr>
          <w:p w14:paraId="56300762" w14:textId="77777777" w:rsidR="00420FE3" w:rsidRPr="00420FE3" w:rsidRDefault="00420FE3" w:rsidP="00420FE3">
            <w:pPr>
              <w:pStyle w:val="Source"/>
              <w:rPr>
                <w:rFonts w:cs="Arial"/>
                <w:sz w:val="2"/>
                <w:szCs w:val="2"/>
              </w:rPr>
            </w:pPr>
            <w:r w:rsidRPr="00420FE3">
              <w:rPr>
                <w:rFonts w:cs="Arial"/>
                <w:sz w:val="2"/>
                <w:szCs w:val="2"/>
              </w:rPr>
              <w:t>17%</w:t>
            </w:r>
          </w:p>
        </w:tc>
      </w:tr>
      <w:tr w:rsidR="00420FE3" w:rsidRPr="00420FE3" w14:paraId="528F8CEE" w14:textId="77777777" w:rsidTr="00420FE3">
        <w:trPr>
          <w:trHeight w:val="285"/>
          <w:jc w:val="center"/>
        </w:trPr>
        <w:tc>
          <w:tcPr>
            <w:tcW w:w="2800" w:type="dxa"/>
            <w:noWrap/>
            <w:hideMark/>
          </w:tcPr>
          <w:p w14:paraId="63946D63" w14:textId="77777777" w:rsidR="00420FE3" w:rsidRPr="00420FE3" w:rsidRDefault="00420FE3" w:rsidP="00420FE3">
            <w:pPr>
              <w:pStyle w:val="Source"/>
              <w:rPr>
                <w:rFonts w:cs="Arial"/>
                <w:sz w:val="2"/>
                <w:szCs w:val="2"/>
              </w:rPr>
            </w:pPr>
          </w:p>
        </w:tc>
        <w:tc>
          <w:tcPr>
            <w:tcW w:w="1538" w:type="dxa"/>
            <w:noWrap/>
            <w:hideMark/>
          </w:tcPr>
          <w:p w14:paraId="50354FEC" w14:textId="77777777" w:rsidR="00420FE3" w:rsidRPr="00420FE3" w:rsidRDefault="00420FE3" w:rsidP="00420FE3">
            <w:pPr>
              <w:pStyle w:val="Source"/>
              <w:rPr>
                <w:rFonts w:cs="Arial"/>
                <w:sz w:val="2"/>
                <w:szCs w:val="2"/>
              </w:rPr>
            </w:pPr>
            <w:r w:rsidRPr="00420FE3">
              <w:rPr>
                <w:rFonts w:cs="Arial"/>
                <w:sz w:val="2"/>
                <w:szCs w:val="2"/>
              </w:rPr>
              <w:t>For-profit</w:t>
            </w:r>
          </w:p>
        </w:tc>
        <w:tc>
          <w:tcPr>
            <w:tcW w:w="1266" w:type="dxa"/>
            <w:noWrap/>
            <w:hideMark/>
          </w:tcPr>
          <w:p w14:paraId="2847EC39" w14:textId="77777777" w:rsidR="00420FE3" w:rsidRPr="00420FE3" w:rsidRDefault="00420FE3" w:rsidP="00420FE3">
            <w:pPr>
              <w:pStyle w:val="Source"/>
              <w:rPr>
                <w:rFonts w:cs="Arial"/>
                <w:sz w:val="2"/>
                <w:szCs w:val="2"/>
              </w:rPr>
            </w:pPr>
            <w:r w:rsidRPr="00420FE3">
              <w:rPr>
                <w:rFonts w:cs="Arial"/>
                <w:sz w:val="2"/>
                <w:szCs w:val="2"/>
              </w:rPr>
              <w:t>7%</w:t>
            </w:r>
          </w:p>
        </w:tc>
        <w:tc>
          <w:tcPr>
            <w:tcW w:w="1711" w:type="dxa"/>
            <w:noWrap/>
            <w:hideMark/>
          </w:tcPr>
          <w:p w14:paraId="6A3E183A" w14:textId="77777777" w:rsidR="00420FE3" w:rsidRPr="00420FE3" w:rsidRDefault="00420FE3" w:rsidP="00420FE3">
            <w:pPr>
              <w:pStyle w:val="Source"/>
              <w:rPr>
                <w:rFonts w:cs="Arial"/>
                <w:sz w:val="2"/>
                <w:szCs w:val="2"/>
              </w:rPr>
            </w:pPr>
            <w:r w:rsidRPr="00420FE3">
              <w:rPr>
                <w:rFonts w:cs="Arial"/>
                <w:sz w:val="2"/>
                <w:szCs w:val="2"/>
              </w:rPr>
              <w:t>23%</w:t>
            </w:r>
          </w:p>
        </w:tc>
        <w:tc>
          <w:tcPr>
            <w:tcW w:w="765" w:type="dxa"/>
            <w:noWrap/>
            <w:hideMark/>
          </w:tcPr>
          <w:p w14:paraId="6B345AE2" w14:textId="77777777" w:rsidR="00420FE3" w:rsidRPr="00420FE3" w:rsidRDefault="00420FE3" w:rsidP="00420FE3">
            <w:pPr>
              <w:pStyle w:val="Source"/>
              <w:rPr>
                <w:rFonts w:cs="Arial"/>
                <w:sz w:val="2"/>
                <w:szCs w:val="2"/>
              </w:rPr>
            </w:pPr>
            <w:r w:rsidRPr="00420FE3">
              <w:rPr>
                <w:rFonts w:cs="Arial"/>
                <w:sz w:val="2"/>
                <w:szCs w:val="2"/>
              </w:rPr>
              <w:t>71%</w:t>
            </w:r>
          </w:p>
        </w:tc>
      </w:tr>
      <w:tr w:rsidR="00420FE3" w:rsidRPr="00420FE3" w14:paraId="5E0D887C" w14:textId="77777777" w:rsidTr="00420FE3">
        <w:trPr>
          <w:trHeight w:val="285"/>
          <w:jc w:val="center"/>
        </w:trPr>
        <w:tc>
          <w:tcPr>
            <w:tcW w:w="2800" w:type="dxa"/>
            <w:noWrap/>
            <w:hideMark/>
          </w:tcPr>
          <w:p w14:paraId="681E77FA" w14:textId="77777777" w:rsidR="00420FE3" w:rsidRPr="00420FE3" w:rsidRDefault="00420FE3" w:rsidP="00420FE3">
            <w:pPr>
              <w:pStyle w:val="Source"/>
              <w:rPr>
                <w:rFonts w:cs="Arial"/>
                <w:sz w:val="2"/>
                <w:szCs w:val="2"/>
              </w:rPr>
            </w:pPr>
          </w:p>
        </w:tc>
        <w:tc>
          <w:tcPr>
            <w:tcW w:w="1538" w:type="dxa"/>
            <w:noWrap/>
            <w:hideMark/>
          </w:tcPr>
          <w:p w14:paraId="73ED92C6" w14:textId="77777777" w:rsidR="00420FE3" w:rsidRPr="00420FE3" w:rsidRDefault="00420FE3" w:rsidP="00420FE3">
            <w:pPr>
              <w:pStyle w:val="Source"/>
              <w:rPr>
                <w:rFonts w:cs="Arial"/>
                <w:sz w:val="2"/>
                <w:szCs w:val="2"/>
              </w:rPr>
            </w:pPr>
            <w:r w:rsidRPr="00420FE3">
              <w:rPr>
                <w:rFonts w:cs="Arial"/>
                <w:sz w:val="2"/>
                <w:szCs w:val="2"/>
              </w:rPr>
              <w:t>Private not-for-profit</w:t>
            </w:r>
          </w:p>
        </w:tc>
        <w:tc>
          <w:tcPr>
            <w:tcW w:w="1266" w:type="dxa"/>
            <w:noWrap/>
            <w:hideMark/>
          </w:tcPr>
          <w:p w14:paraId="7C24B7C7" w14:textId="77777777" w:rsidR="00420FE3" w:rsidRPr="00420FE3" w:rsidRDefault="00420FE3" w:rsidP="00420FE3">
            <w:pPr>
              <w:pStyle w:val="Source"/>
              <w:rPr>
                <w:rFonts w:cs="Arial"/>
                <w:sz w:val="2"/>
                <w:szCs w:val="2"/>
              </w:rPr>
            </w:pPr>
            <w:r w:rsidRPr="00420FE3">
              <w:rPr>
                <w:rFonts w:cs="Arial"/>
                <w:sz w:val="2"/>
                <w:szCs w:val="2"/>
              </w:rPr>
              <w:t>5%</w:t>
            </w:r>
          </w:p>
        </w:tc>
        <w:tc>
          <w:tcPr>
            <w:tcW w:w="1711" w:type="dxa"/>
            <w:noWrap/>
            <w:hideMark/>
          </w:tcPr>
          <w:p w14:paraId="27AB4541" w14:textId="77777777" w:rsidR="00420FE3" w:rsidRPr="00420FE3" w:rsidRDefault="00420FE3" w:rsidP="00420FE3">
            <w:pPr>
              <w:pStyle w:val="Source"/>
              <w:rPr>
                <w:rFonts w:cs="Arial"/>
                <w:sz w:val="2"/>
                <w:szCs w:val="2"/>
              </w:rPr>
            </w:pPr>
            <w:r w:rsidRPr="00420FE3">
              <w:rPr>
                <w:rFonts w:cs="Arial"/>
                <w:sz w:val="2"/>
                <w:szCs w:val="2"/>
              </w:rPr>
              <w:t>33%</w:t>
            </w:r>
          </w:p>
        </w:tc>
        <w:tc>
          <w:tcPr>
            <w:tcW w:w="765" w:type="dxa"/>
            <w:noWrap/>
            <w:hideMark/>
          </w:tcPr>
          <w:p w14:paraId="708CA11B" w14:textId="77777777" w:rsidR="00420FE3" w:rsidRPr="00420FE3" w:rsidRDefault="00420FE3" w:rsidP="00420FE3">
            <w:pPr>
              <w:pStyle w:val="Source"/>
              <w:rPr>
                <w:rFonts w:cs="Arial"/>
                <w:sz w:val="2"/>
                <w:szCs w:val="2"/>
              </w:rPr>
            </w:pPr>
            <w:r w:rsidRPr="00420FE3">
              <w:rPr>
                <w:rFonts w:cs="Arial"/>
                <w:sz w:val="2"/>
                <w:szCs w:val="2"/>
              </w:rPr>
              <w:t>62%</w:t>
            </w:r>
          </w:p>
        </w:tc>
      </w:tr>
    </w:tbl>
    <w:p w14:paraId="262A853C" w14:textId="77777777" w:rsidR="00420FE3" w:rsidRDefault="00420FE3" w:rsidP="00BC3D30">
      <w:pPr>
        <w:pStyle w:val="Source"/>
        <w:rPr>
          <w:rStyle w:val="eop"/>
          <w:rFonts w:cs="Arial"/>
        </w:rPr>
      </w:pPr>
    </w:p>
    <w:p w14:paraId="426756DE" w14:textId="77777777" w:rsidR="00420FE3" w:rsidRDefault="00420FE3" w:rsidP="00BC3D30">
      <w:pPr>
        <w:pStyle w:val="Source"/>
        <w:rPr>
          <w:rStyle w:val="eop"/>
          <w:rFonts w:cs="Arial"/>
        </w:rPr>
      </w:pPr>
    </w:p>
    <w:p w14:paraId="6A0C238E" w14:textId="77777777" w:rsidR="00420FE3" w:rsidRDefault="00420FE3" w:rsidP="00BC3D30">
      <w:pPr>
        <w:pStyle w:val="Source"/>
        <w:rPr>
          <w:rStyle w:val="eop"/>
          <w:rFonts w:cs="Arial"/>
        </w:rPr>
      </w:pPr>
    </w:p>
    <w:p w14:paraId="61BE519E" w14:textId="77777777" w:rsidR="00420FE3" w:rsidRDefault="00420FE3" w:rsidP="00BC3D30">
      <w:pPr>
        <w:pStyle w:val="Source"/>
        <w:rPr>
          <w:rStyle w:val="eop"/>
          <w:rFonts w:cs="Arial"/>
        </w:rPr>
      </w:pPr>
    </w:p>
    <w:p w14:paraId="1307152E" w14:textId="77777777" w:rsidR="00420FE3" w:rsidRDefault="00420FE3" w:rsidP="00BC3D30">
      <w:pPr>
        <w:pStyle w:val="Source"/>
        <w:rPr>
          <w:rStyle w:val="eop"/>
          <w:rFonts w:cs="Arial"/>
        </w:rPr>
      </w:pPr>
    </w:p>
    <w:p w14:paraId="47CEEC44" w14:textId="77777777" w:rsidR="00420FE3" w:rsidRDefault="00420FE3" w:rsidP="00BC3D30">
      <w:pPr>
        <w:pStyle w:val="Source"/>
        <w:rPr>
          <w:rStyle w:val="eop"/>
          <w:rFonts w:cs="Arial"/>
        </w:rPr>
      </w:pPr>
    </w:p>
    <w:p w14:paraId="391172E3" w14:textId="39B3F51B" w:rsidR="00BC3D30" w:rsidRDefault="00BC3D30" w:rsidP="00BC3D30">
      <w:pPr>
        <w:pStyle w:val="Source"/>
        <w:rPr>
          <w:rFonts w:cs="Arial"/>
        </w:rPr>
      </w:pPr>
      <w:r>
        <w:rPr>
          <w:rStyle w:val="eop"/>
          <w:rFonts w:cs="Arial"/>
        </w:rPr>
        <w:t>Source: JSA analysis of Department of Education NWC (2021) and CCS data; ACECQA, National Registers</w:t>
      </w:r>
    </w:p>
    <w:p w14:paraId="6D713AF7" w14:textId="77777777" w:rsidR="00BC3D30" w:rsidRPr="00A43352" w:rsidRDefault="00BC3D30" w:rsidP="00BC3D30">
      <w:pPr>
        <w:pStyle w:val="Heading3"/>
        <w:rPr>
          <w:rStyle w:val="eop"/>
        </w:rPr>
      </w:pPr>
      <w:r w:rsidRPr="00A43352">
        <w:t>Capacity Constraints and Unmet Demand</w:t>
      </w:r>
    </w:p>
    <w:p w14:paraId="2BF00108" w14:textId="77777777" w:rsidR="00BC3D30" w:rsidRDefault="00BC3D30" w:rsidP="00BC3D30">
      <w:r>
        <w:t>ECEC is only accessible for families if there are sufficient places available in a service that meets their needs, including location, perceived quality, and affordability (ACCC, 2023a).</w:t>
      </w:r>
      <w:r w:rsidRPr="25ED7569">
        <w:rPr>
          <w:rStyle w:val="FootnoteReference"/>
        </w:rPr>
        <w:footnoteReference w:id="25"/>
      </w:r>
      <w:r>
        <w:t xml:space="preserve"> This section examines the extent to which there is additional capacity in the sector, the results of which indicate that growth will be driven largely by the entry of new services due to constraints on expansion within current services. An important consequence of this observation is that there is likely a degree of unmet demand already </w:t>
      </w:r>
      <w:proofErr w:type="gramStart"/>
      <w:r>
        <w:t>present</w:t>
      </w:r>
      <w:proofErr w:type="gramEnd"/>
      <w:r>
        <w:t xml:space="preserve"> across the system (Weiss, 2024). That is, families require additional hours/days in their current service that are not available due to capacity or staffing constraints, or those using other forms of care (including not working) would enrol in formal care if it were available.</w:t>
      </w:r>
    </w:p>
    <w:p w14:paraId="31644794" w14:textId="77777777" w:rsidR="00BC3D30" w:rsidRDefault="00BC3D30" w:rsidP="00BC3D30">
      <w:r>
        <w:t>The matching of child to service is a complex and dynamic process. Families may consider several services that meet their requirements and enrol in wait lists possibly years before intending on enrolling. Services enrol children across different age groups and sessions throughout the week ensuring they are compliant with regulation, set fees to (at least) cover staffing and other costs, and maintain a high quality of education and care.</w:t>
      </w:r>
    </w:p>
    <w:p w14:paraId="6F1AD107" w14:textId="77777777" w:rsidR="00BC3D30" w:rsidRDefault="00BC3D30" w:rsidP="00BC3D30">
      <w:r>
        <w:t xml:space="preserve">The enrolment process therefore involves interactions between the number of hours/days required by families (that they </w:t>
      </w:r>
      <w:proofErr w:type="gramStart"/>
      <w:r>
        <w:t>are able to</w:t>
      </w:r>
      <w:proofErr w:type="gramEnd"/>
      <w:r>
        <w:t xml:space="preserve"> afford), the number of places and sessions available at each service throughout the week, and the ability of each service to meet staffing requirements. The total number of children a service can care for at any one time, known as its “approved places”, is determined largely by the physical size of the centre. Services may choose to offer fewer places due to room sizes and differing staffing requirements across age groups, or to maintain a particular standard of care for children. </w:t>
      </w:r>
    </w:p>
    <w:p w14:paraId="72D1F8B2" w14:textId="71AE578E" w:rsidR="00BC3D30" w:rsidRDefault="00251A8B" w:rsidP="00BC3D30">
      <w:r>
        <w:lastRenderedPageBreak/>
        <w:t>Figure 1.</w:t>
      </w:r>
      <w:r w:rsidR="005944DC">
        <w:t>16</w:t>
      </w:r>
      <w:r w:rsidR="00BC3D30">
        <w:t xml:space="preserve"> below presents the number of services and their vacancy status, measured by whether the service typically cares for fewer children than they have licensed places, by service and management type. Across the sector, around half of CBDCs and 70% of OSHCs have some additional physical capacity. For-profit CBDCs are the least likely to have additional capacity, although they represent </w:t>
      </w:r>
      <w:proofErr w:type="gramStart"/>
      <w:r w:rsidR="00BC3D30">
        <w:t>the majority of</w:t>
      </w:r>
      <w:proofErr w:type="gramEnd"/>
      <w:r w:rsidR="00BC3D30">
        <w:t xml:space="preserve"> services with capacity overall. </w:t>
      </w:r>
    </w:p>
    <w:p w14:paraId="7C3EA7F1" w14:textId="0619E47F" w:rsidR="00BC3D30" w:rsidRDefault="00BC3D30" w:rsidP="00BC3D30">
      <w:pPr>
        <w:pStyle w:val="Caption"/>
      </w:pPr>
      <w:bookmarkStart w:id="66" w:name="_Ref166162610"/>
      <w:r>
        <w:t>Figure 1.</w:t>
      </w:r>
      <w:bookmarkEnd w:id="66"/>
      <w:r w:rsidR="005944DC">
        <w:t>16</w:t>
      </w:r>
      <w:r>
        <w:t>:</w:t>
      </w:r>
      <w:r w:rsidRPr="00C51DC3">
        <w:t xml:space="preserve"> Number of services by whether at capacity, by management and service type</w:t>
      </w:r>
      <w:r>
        <w:t>, 2021</w:t>
      </w:r>
      <w:r w:rsidRPr="00C508B9">
        <w:t xml:space="preserve"> </w:t>
      </w:r>
    </w:p>
    <w:tbl>
      <w:tblPr>
        <w:tblStyle w:val="Box"/>
        <w:tblW w:w="0" w:type="auto"/>
        <w:jc w:val="center"/>
        <w:tblLook w:val="04A0" w:firstRow="1" w:lastRow="0" w:firstColumn="1" w:lastColumn="0" w:noHBand="0" w:noVBand="1"/>
      </w:tblPr>
      <w:tblGrid>
        <w:gridCol w:w="4615"/>
        <w:gridCol w:w="1609"/>
        <w:gridCol w:w="1322"/>
        <w:gridCol w:w="823"/>
        <w:gridCol w:w="278"/>
      </w:tblGrid>
      <w:tr w:rsidR="00420FE3" w:rsidRPr="00420FE3" w14:paraId="2D0CF890" w14:textId="77777777" w:rsidTr="00420FE3">
        <w:trPr>
          <w:trHeight w:val="300"/>
          <w:jc w:val="center"/>
        </w:trPr>
        <w:tc>
          <w:tcPr>
            <w:tcW w:w="4615" w:type="dxa"/>
            <w:noWrap/>
            <w:hideMark/>
          </w:tcPr>
          <w:p w14:paraId="66C3478D" w14:textId="77777777" w:rsidR="00420FE3" w:rsidRPr="00420FE3" w:rsidRDefault="00420FE3" w:rsidP="00420FE3">
            <w:pPr>
              <w:pStyle w:val="Source"/>
              <w:rPr>
                <w:sz w:val="2"/>
                <w:szCs w:val="2"/>
              </w:rPr>
            </w:pPr>
          </w:p>
        </w:tc>
        <w:tc>
          <w:tcPr>
            <w:tcW w:w="1609" w:type="dxa"/>
            <w:noWrap/>
            <w:hideMark/>
          </w:tcPr>
          <w:p w14:paraId="6C9CCEFA" w14:textId="77777777" w:rsidR="00420FE3" w:rsidRPr="00420FE3" w:rsidRDefault="00420FE3" w:rsidP="00420FE3">
            <w:pPr>
              <w:pStyle w:val="Source"/>
              <w:rPr>
                <w:sz w:val="2"/>
                <w:szCs w:val="2"/>
              </w:rPr>
            </w:pPr>
          </w:p>
        </w:tc>
        <w:tc>
          <w:tcPr>
            <w:tcW w:w="1322" w:type="dxa"/>
            <w:noWrap/>
            <w:hideMark/>
          </w:tcPr>
          <w:p w14:paraId="56BD3618" w14:textId="77777777" w:rsidR="00420FE3" w:rsidRPr="00420FE3" w:rsidRDefault="00420FE3" w:rsidP="00420FE3">
            <w:pPr>
              <w:pStyle w:val="Source"/>
              <w:rPr>
                <w:b/>
                <w:bCs/>
                <w:sz w:val="2"/>
                <w:szCs w:val="2"/>
              </w:rPr>
            </w:pPr>
            <w:r w:rsidRPr="00420FE3">
              <w:rPr>
                <w:b/>
                <w:bCs/>
                <w:sz w:val="2"/>
                <w:szCs w:val="2"/>
              </w:rPr>
              <w:t>At Capacity</w:t>
            </w:r>
          </w:p>
        </w:tc>
        <w:tc>
          <w:tcPr>
            <w:tcW w:w="823" w:type="dxa"/>
            <w:noWrap/>
            <w:hideMark/>
          </w:tcPr>
          <w:p w14:paraId="33D11880" w14:textId="77777777" w:rsidR="00420FE3" w:rsidRPr="00420FE3" w:rsidRDefault="00420FE3" w:rsidP="00420FE3">
            <w:pPr>
              <w:pStyle w:val="Source"/>
              <w:rPr>
                <w:b/>
                <w:bCs/>
                <w:sz w:val="2"/>
                <w:szCs w:val="2"/>
              </w:rPr>
            </w:pPr>
            <w:r w:rsidRPr="00420FE3">
              <w:rPr>
                <w:b/>
                <w:bCs/>
                <w:sz w:val="2"/>
                <w:szCs w:val="2"/>
              </w:rPr>
              <w:t xml:space="preserve">Vacancy </w:t>
            </w:r>
          </w:p>
        </w:tc>
        <w:tc>
          <w:tcPr>
            <w:tcW w:w="278" w:type="dxa"/>
            <w:noWrap/>
            <w:hideMark/>
          </w:tcPr>
          <w:p w14:paraId="77A5C1E9" w14:textId="77777777" w:rsidR="00420FE3" w:rsidRPr="00420FE3" w:rsidRDefault="00420FE3" w:rsidP="00420FE3">
            <w:pPr>
              <w:pStyle w:val="Source"/>
              <w:rPr>
                <w:b/>
                <w:bCs/>
                <w:sz w:val="2"/>
                <w:szCs w:val="2"/>
              </w:rPr>
            </w:pPr>
            <w:r w:rsidRPr="00420FE3">
              <w:rPr>
                <w:b/>
                <w:bCs/>
                <w:sz w:val="2"/>
                <w:szCs w:val="2"/>
              </w:rPr>
              <w:t>Total</w:t>
            </w:r>
          </w:p>
        </w:tc>
      </w:tr>
      <w:tr w:rsidR="00420FE3" w:rsidRPr="00420FE3" w14:paraId="5C133FD5" w14:textId="77777777" w:rsidTr="00420FE3">
        <w:trPr>
          <w:trHeight w:val="300"/>
          <w:jc w:val="center"/>
        </w:trPr>
        <w:tc>
          <w:tcPr>
            <w:tcW w:w="4615" w:type="dxa"/>
            <w:noWrap/>
            <w:hideMark/>
          </w:tcPr>
          <w:p w14:paraId="65A87BF6" w14:textId="77777777" w:rsidR="00420FE3" w:rsidRPr="00420FE3" w:rsidRDefault="00420FE3" w:rsidP="00420FE3">
            <w:pPr>
              <w:pStyle w:val="Source"/>
              <w:rPr>
                <w:b/>
                <w:bCs/>
                <w:sz w:val="2"/>
                <w:szCs w:val="2"/>
              </w:rPr>
            </w:pPr>
            <w:r w:rsidRPr="00420FE3">
              <w:rPr>
                <w:b/>
                <w:bCs/>
                <w:sz w:val="2"/>
                <w:szCs w:val="2"/>
              </w:rPr>
              <w:t>Centre based day care (number of services)</w:t>
            </w:r>
          </w:p>
        </w:tc>
        <w:tc>
          <w:tcPr>
            <w:tcW w:w="1609" w:type="dxa"/>
            <w:noWrap/>
            <w:hideMark/>
          </w:tcPr>
          <w:p w14:paraId="0BA8696F" w14:textId="77777777" w:rsidR="00420FE3" w:rsidRPr="00420FE3" w:rsidRDefault="00420FE3" w:rsidP="00420FE3">
            <w:pPr>
              <w:pStyle w:val="Source"/>
              <w:rPr>
                <w:sz w:val="2"/>
                <w:szCs w:val="2"/>
              </w:rPr>
            </w:pPr>
            <w:r w:rsidRPr="00420FE3">
              <w:rPr>
                <w:sz w:val="2"/>
                <w:szCs w:val="2"/>
              </w:rPr>
              <w:t>For-profit</w:t>
            </w:r>
          </w:p>
        </w:tc>
        <w:tc>
          <w:tcPr>
            <w:tcW w:w="1322" w:type="dxa"/>
            <w:noWrap/>
            <w:hideMark/>
          </w:tcPr>
          <w:p w14:paraId="56E16B5D" w14:textId="77777777" w:rsidR="00420FE3" w:rsidRPr="00420FE3" w:rsidRDefault="00420FE3" w:rsidP="00420FE3">
            <w:pPr>
              <w:pStyle w:val="Source"/>
              <w:rPr>
                <w:sz w:val="2"/>
                <w:szCs w:val="2"/>
              </w:rPr>
            </w:pPr>
            <w:r w:rsidRPr="00420FE3">
              <w:rPr>
                <w:sz w:val="2"/>
                <w:szCs w:val="2"/>
              </w:rPr>
              <w:t xml:space="preserve">                2,914 </w:t>
            </w:r>
          </w:p>
        </w:tc>
        <w:tc>
          <w:tcPr>
            <w:tcW w:w="823" w:type="dxa"/>
            <w:noWrap/>
            <w:hideMark/>
          </w:tcPr>
          <w:p w14:paraId="20E0B6CA" w14:textId="77777777" w:rsidR="00420FE3" w:rsidRPr="00420FE3" w:rsidRDefault="00420FE3" w:rsidP="00420FE3">
            <w:pPr>
              <w:pStyle w:val="Source"/>
              <w:rPr>
                <w:sz w:val="2"/>
                <w:szCs w:val="2"/>
              </w:rPr>
            </w:pPr>
            <w:r w:rsidRPr="00420FE3">
              <w:rPr>
                <w:sz w:val="2"/>
                <w:szCs w:val="2"/>
              </w:rPr>
              <w:t xml:space="preserve">     2,290 </w:t>
            </w:r>
          </w:p>
        </w:tc>
        <w:tc>
          <w:tcPr>
            <w:tcW w:w="278" w:type="dxa"/>
            <w:noWrap/>
            <w:hideMark/>
          </w:tcPr>
          <w:p w14:paraId="67D11B5A" w14:textId="77777777" w:rsidR="00420FE3" w:rsidRPr="00420FE3" w:rsidRDefault="00420FE3" w:rsidP="00420FE3">
            <w:pPr>
              <w:pStyle w:val="Source"/>
              <w:rPr>
                <w:sz w:val="2"/>
                <w:szCs w:val="2"/>
              </w:rPr>
            </w:pPr>
            <w:r w:rsidRPr="00420FE3">
              <w:rPr>
                <w:sz w:val="2"/>
                <w:szCs w:val="2"/>
              </w:rPr>
              <w:t xml:space="preserve">  5,204 </w:t>
            </w:r>
          </w:p>
        </w:tc>
      </w:tr>
      <w:tr w:rsidR="00420FE3" w:rsidRPr="00420FE3" w14:paraId="25D73895" w14:textId="77777777" w:rsidTr="00420FE3">
        <w:trPr>
          <w:trHeight w:val="300"/>
          <w:jc w:val="center"/>
        </w:trPr>
        <w:tc>
          <w:tcPr>
            <w:tcW w:w="4615" w:type="dxa"/>
            <w:noWrap/>
            <w:hideMark/>
          </w:tcPr>
          <w:p w14:paraId="6984BD0C" w14:textId="77777777" w:rsidR="00420FE3" w:rsidRPr="00420FE3" w:rsidRDefault="00420FE3" w:rsidP="00420FE3">
            <w:pPr>
              <w:pStyle w:val="Source"/>
              <w:rPr>
                <w:sz w:val="2"/>
                <w:szCs w:val="2"/>
              </w:rPr>
            </w:pPr>
          </w:p>
        </w:tc>
        <w:tc>
          <w:tcPr>
            <w:tcW w:w="1609" w:type="dxa"/>
            <w:noWrap/>
            <w:hideMark/>
          </w:tcPr>
          <w:p w14:paraId="24555A11" w14:textId="77777777" w:rsidR="00420FE3" w:rsidRPr="00420FE3" w:rsidRDefault="00420FE3" w:rsidP="00420FE3">
            <w:pPr>
              <w:pStyle w:val="Source"/>
              <w:rPr>
                <w:sz w:val="2"/>
                <w:szCs w:val="2"/>
              </w:rPr>
            </w:pPr>
            <w:r w:rsidRPr="00420FE3">
              <w:rPr>
                <w:sz w:val="2"/>
                <w:szCs w:val="2"/>
              </w:rPr>
              <w:t>Private not-for-profit</w:t>
            </w:r>
          </w:p>
        </w:tc>
        <w:tc>
          <w:tcPr>
            <w:tcW w:w="1322" w:type="dxa"/>
            <w:noWrap/>
            <w:hideMark/>
          </w:tcPr>
          <w:p w14:paraId="796CF672" w14:textId="77777777" w:rsidR="00420FE3" w:rsidRPr="00420FE3" w:rsidRDefault="00420FE3" w:rsidP="00420FE3">
            <w:pPr>
              <w:pStyle w:val="Source"/>
              <w:rPr>
                <w:sz w:val="2"/>
                <w:szCs w:val="2"/>
              </w:rPr>
            </w:pPr>
            <w:r w:rsidRPr="00420FE3">
              <w:rPr>
                <w:sz w:val="2"/>
                <w:szCs w:val="2"/>
              </w:rPr>
              <w:t xml:space="preserve">                   186 </w:t>
            </w:r>
          </w:p>
        </w:tc>
        <w:tc>
          <w:tcPr>
            <w:tcW w:w="823" w:type="dxa"/>
            <w:noWrap/>
            <w:hideMark/>
          </w:tcPr>
          <w:p w14:paraId="64375D10" w14:textId="77777777" w:rsidR="00420FE3" w:rsidRPr="00420FE3" w:rsidRDefault="00420FE3" w:rsidP="00420FE3">
            <w:pPr>
              <w:pStyle w:val="Source"/>
              <w:rPr>
                <w:sz w:val="2"/>
                <w:szCs w:val="2"/>
              </w:rPr>
            </w:pPr>
            <w:r w:rsidRPr="00420FE3">
              <w:rPr>
                <w:sz w:val="2"/>
                <w:szCs w:val="2"/>
              </w:rPr>
              <w:t xml:space="preserve">        908 </w:t>
            </w:r>
          </w:p>
        </w:tc>
        <w:tc>
          <w:tcPr>
            <w:tcW w:w="278" w:type="dxa"/>
            <w:noWrap/>
            <w:hideMark/>
          </w:tcPr>
          <w:p w14:paraId="3AFA0D26" w14:textId="77777777" w:rsidR="00420FE3" w:rsidRPr="00420FE3" w:rsidRDefault="00420FE3" w:rsidP="00420FE3">
            <w:pPr>
              <w:pStyle w:val="Source"/>
              <w:rPr>
                <w:sz w:val="2"/>
                <w:szCs w:val="2"/>
              </w:rPr>
            </w:pPr>
            <w:r w:rsidRPr="00420FE3">
              <w:rPr>
                <w:sz w:val="2"/>
                <w:szCs w:val="2"/>
              </w:rPr>
              <w:t xml:space="preserve">  1,094 </w:t>
            </w:r>
          </w:p>
        </w:tc>
      </w:tr>
      <w:tr w:rsidR="00420FE3" w:rsidRPr="00420FE3" w14:paraId="0350B33D" w14:textId="77777777" w:rsidTr="00420FE3">
        <w:trPr>
          <w:trHeight w:val="300"/>
          <w:jc w:val="center"/>
        </w:trPr>
        <w:tc>
          <w:tcPr>
            <w:tcW w:w="4615" w:type="dxa"/>
            <w:noWrap/>
            <w:hideMark/>
          </w:tcPr>
          <w:p w14:paraId="4CA2746F" w14:textId="77777777" w:rsidR="00420FE3" w:rsidRPr="00420FE3" w:rsidRDefault="00420FE3" w:rsidP="00420FE3">
            <w:pPr>
              <w:pStyle w:val="Source"/>
              <w:rPr>
                <w:sz w:val="2"/>
                <w:szCs w:val="2"/>
              </w:rPr>
            </w:pPr>
          </w:p>
        </w:tc>
        <w:tc>
          <w:tcPr>
            <w:tcW w:w="1609" w:type="dxa"/>
            <w:noWrap/>
            <w:hideMark/>
          </w:tcPr>
          <w:p w14:paraId="0F59AB08" w14:textId="77777777" w:rsidR="00420FE3" w:rsidRPr="00420FE3" w:rsidRDefault="00420FE3" w:rsidP="00420FE3">
            <w:pPr>
              <w:pStyle w:val="Source"/>
              <w:rPr>
                <w:sz w:val="2"/>
                <w:szCs w:val="2"/>
              </w:rPr>
            </w:pPr>
            <w:r w:rsidRPr="00420FE3">
              <w:rPr>
                <w:sz w:val="2"/>
                <w:szCs w:val="2"/>
              </w:rPr>
              <w:t>Community</w:t>
            </w:r>
          </w:p>
        </w:tc>
        <w:tc>
          <w:tcPr>
            <w:tcW w:w="1322" w:type="dxa"/>
            <w:noWrap/>
            <w:hideMark/>
          </w:tcPr>
          <w:p w14:paraId="7E030A2D" w14:textId="77777777" w:rsidR="00420FE3" w:rsidRPr="00420FE3" w:rsidRDefault="00420FE3" w:rsidP="00420FE3">
            <w:pPr>
              <w:pStyle w:val="Source"/>
              <w:rPr>
                <w:sz w:val="2"/>
                <w:szCs w:val="2"/>
              </w:rPr>
            </w:pPr>
            <w:r w:rsidRPr="00420FE3">
              <w:rPr>
                <w:sz w:val="2"/>
                <w:szCs w:val="2"/>
              </w:rPr>
              <w:t xml:space="preserve">                   457 </w:t>
            </w:r>
          </w:p>
        </w:tc>
        <w:tc>
          <w:tcPr>
            <w:tcW w:w="823" w:type="dxa"/>
            <w:noWrap/>
            <w:hideMark/>
          </w:tcPr>
          <w:p w14:paraId="55AA49FF" w14:textId="77777777" w:rsidR="00420FE3" w:rsidRPr="00420FE3" w:rsidRDefault="00420FE3" w:rsidP="00420FE3">
            <w:pPr>
              <w:pStyle w:val="Source"/>
              <w:rPr>
                <w:sz w:val="2"/>
                <w:szCs w:val="2"/>
              </w:rPr>
            </w:pPr>
            <w:r w:rsidRPr="00420FE3">
              <w:rPr>
                <w:sz w:val="2"/>
                <w:szCs w:val="2"/>
              </w:rPr>
              <w:t xml:space="preserve">        476 </w:t>
            </w:r>
          </w:p>
        </w:tc>
        <w:tc>
          <w:tcPr>
            <w:tcW w:w="278" w:type="dxa"/>
            <w:noWrap/>
            <w:hideMark/>
          </w:tcPr>
          <w:p w14:paraId="00E599FA" w14:textId="77777777" w:rsidR="00420FE3" w:rsidRPr="00420FE3" w:rsidRDefault="00420FE3" w:rsidP="00420FE3">
            <w:pPr>
              <w:pStyle w:val="Source"/>
              <w:rPr>
                <w:sz w:val="2"/>
                <w:szCs w:val="2"/>
              </w:rPr>
            </w:pPr>
            <w:r w:rsidRPr="00420FE3">
              <w:rPr>
                <w:sz w:val="2"/>
                <w:szCs w:val="2"/>
              </w:rPr>
              <w:t xml:space="preserve">     933 </w:t>
            </w:r>
          </w:p>
        </w:tc>
      </w:tr>
      <w:tr w:rsidR="00420FE3" w:rsidRPr="00420FE3" w14:paraId="6B25BAF1" w14:textId="77777777" w:rsidTr="00420FE3">
        <w:trPr>
          <w:trHeight w:val="300"/>
          <w:jc w:val="center"/>
        </w:trPr>
        <w:tc>
          <w:tcPr>
            <w:tcW w:w="4615" w:type="dxa"/>
            <w:noWrap/>
            <w:hideMark/>
          </w:tcPr>
          <w:p w14:paraId="49F8CD1B" w14:textId="77777777" w:rsidR="00420FE3" w:rsidRPr="00420FE3" w:rsidRDefault="00420FE3" w:rsidP="00420FE3">
            <w:pPr>
              <w:pStyle w:val="Source"/>
              <w:rPr>
                <w:sz w:val="2"/>
                <w:szCs w:val="2"/>
              </w:rPr>
            </w:pPr>
          </w:p>
        </w:tc>
        <w:tc>
          <w:tcPr>
            <w:tcW w:w="1609" w:type="dxa"/>
            <w:noWrap/>
            <w:hideMark/>
          </w:tcPr>
          <w:p w14:paraId="68E14EA5" w14:textId="77777777" w:rsidR="00420FE3" w:rsidRPr="00420FE3" w:rsidRDefault="00420FE3" w:rsidP="00420FE3">
            <w:pPr>
              <w:pStyle w:val="Source"/>
              <w:rPr>
                <w:sz w:val="2"/>
                <w:szCs w:val="2"/>
              </w:rPr>
            </w:pPr>
          </w:p>
        </w:tc>
        <w:tc>
          <w:tcPr>
            <w:tcW w:w="1322" w:type="dxa"/>
            <w:noWrap/>
            <w:hideMark/>
          </w:tcPr>
          <w:p w14:paraId="26930CA0" w14:textId="77777777" w:rsidR="00420FE3" w:rsidRPr="00420FE3" w:rsidRDefault="00420FE3" w:rsidP="00420FE3">
            <w:pPr>
              <w:pStyle w:val="Source"/>
              <w:rPr>
                <w:b/>
                <w:bCs/>
                <w:sz w:val="2"/>
                <w:szCs w:val="2"/>
              </w:rPr>
            </w:pPr>
            <w:r w:rsidRPr="00420FE3">
              <w:rPr>
                <w:b/>
                <w:bCs/>
                <w:sz w:val="2"/>
                <w:szCs w:val="2"/>
              </w:rPr>
              <w:t>At Capacity</w:t>
            </w:r>
          </w:p>
        </w:tc>
        <w:tc>
          <w:tcPr>
            <w:tcW w:w="823" w:type="dxa"/>
            <w:noWrap/>
            <w:hideMark/>
          </w:tcPr>
          <w:p w14:paraId="72581330" w14:textId="77777777" w:rsidR="00420FE3" w:rsidRPr="00420FE3" w:rsidRDefault="00420FE3" w:rsidP="00420FE3">
            <w:pPr>
              <w:pStyle w:val="Source"/>
              <w:rPr>
                <w:b/>
                <w:bCs/>
                <w:sz w:val="2"/>
                <w:szCs w:val="2"/>
              </w:rPr>
            </w:pPr>
            <w:r w:rsidRPr="00420FE3">
              <w:rPr>
                <w:b/>
                <w:bCs/>
                <w:sz w:val="2"/>
                <w:szCs w:val="2"/>
              </w:rPr>
              <w:t xml:space="preserve">Vacancy </w:t>
            </w:r>
          </w:p>
        </w:tc>
        <w:tc>
          <w:tcPr>
            <w:tcW w:w="278" w:type="dxa"/>
            <w:noWrap/>
            <w:hideMark/>
          </w:tcPr>
          <w:p w14:paraId="37E51A10" w14:textId="77777777" w:rsidR="00420FE3" w:rsidRPr="00420FE3" w:rsidRDefault="00420FE3" w:rsidP="00420FE3">
            <w:pPr>
              <w:pStyle w:val="Source"/>
              <w:rPr>
                <w:b/>
                <w:bCs/>
                <w:sz w:val="2"/>
                <w:szCs w:val="2"/>
              </w:rPr>
            </w:pPr>
            <w:r w:rsidRPr="00420FE3">
              <w:rPr>
                <w:b/>
                <w:bCs/>
                <w:sz w:val="2"/>
                <w:szCs w:val="2"/>
              </w:rPr>
              <w:t>Total</w:t>
            </w:r>
          </w:p>
        </w:tc>
      </w:tr>
      <w:tr w:rsidR="00420FE3" w:rsidRPr="00420FE3" w14:paraId="515D4BBE" w14:textId="77777777" w:rsidTr="00420FE3">
        <w:trPr>
          <w:trHeight w:val="300"/>
          <w:jc w:val="center"/>
        </w:trPr>
        <w:tc>
          <w:tcPr>
            <w:tcW w:w="4615" w:type="dxa"/>
            <w:noWrap/>
            <w:hideMark/>
          </w:tcPr>
          <w:p w14:paraId="2181954E" w14:textId="2A5F8460" w:rsidR="00420FE3" w:rsidRPr="00420FE3" w:rsidRDefault="00420FE3" w:rsidP="00420FE3">
            <w:pPr>
              <w:pStyle w:val="Source"/>
              <w:rPr>
                <w:b/>
                <w:bCs/>
                <w:sz w:val="2"/>
                <w:szCs w:val="2"/>
              </w:rPr>
            </w:pPr>
            <w:r>
              <w:rPr>
                <w:noProof/>
              </w:rPr>
              <w:drawing>
                <wp:anchor distT="0" distB="0" distL="114300" distR="114300" simplePos="0" relativeHeight="251704323" behindDoc="0" locked="0" layoutInCell="1" allowOverlap="1" wp14:anchorId="54F961A7" wp14:editId="41C42C8B">
                  <wp:simplePos x="0" y="0"/>
                  <wp:positionH relativeFrom="column">
                    <wp:posOffset>-188595</wp:posOffset>
                  </wp:positionH>
                  <wp:positionV relativeFrom="paragraph">
                    <wp:posOffset>-995045</wp:posOffset>
                  </wp:positionV>
                  <wp:extent cx="5731200" cy="4298400"/>
                  <wp:effectExtent l="0" t="0" r="3175" b="6985"/>
                  <wp:wrapNone/>
                  <wp:docPr id="439475837"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475837" name="Picture 13">
                            <a:extLst>
                              <a:ext uri="{C183D7F6-B498-43B3-948B-1728B52AA6E4}">
                                <adec:decorative xmlns:adec="http://schemas.microsoft.com/office/drawing/2017/decorative" val="1"/>
                              </a:ext>
                            </a:extLst>
                          </pic:cNvPr>
                          <pic:cNvPicPr>
                            <a:picLocks noChangeAspect="1" noChangeArrowheads="1"/>
                          </pic:cNvPicPr>
                        </pic:nvPicPr>
                        <pic:blipFill>
                          <a:blip r:embed="rId70" cstate="screen">
                            <a:extLst>
                              <a:ext uri="{28A0092B-C50C-407E-A947-70E740481C1C}">
                                <a14:useLocalDpi xmlns:a14="http://schemas.microsoft.com/office/drawing/2010/main" val="0"/>
                              </a:ext>
                            </a:extLst>
                          </a:blip>
                          <a:srcRect/>
                          <a:stretch>
                            <a:fillRect/>
                          </a:stretch>
                        </pic:blipFill>
                        <pic:spPr bwMode="auto">
                          <a:xfrm>
                            <a:off x="0" y="0"/>
                            <a:ext cx="5731200" cy="429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0FE3">
              <w:rPr>
                <w:b/>
                <w:bCs/>
                <w:sz w:val="2"/>
                <w:szCs w:val="2"/>
              </w:rPr>
              <w:t>Out of school hours care (number of services)</w:t>
            </w:r>
          </w:p>
        </w:tc>
        <w:tc>
          <w:tcPr>
            <w:tcW w:w="1609" w:type="dxa"/>
            <w:noWrap/>
            <w:hideMark/>
          </w:tcPr>
          <w:p w14:paraId="03499E97" w14:textId="77777777" w:rsidR="00420FE3" w:rsidRPr="00420FE3" w:rsidRDefault="00420FE3" w:rsidP="00420FE3">
            <w:pPr>
              <w:pStyle w:val="Source"/>
              <w:rPr>
                <w:sz w:val="2"/>
                <w:szCs w:val="2"/>
              </w:rPr>
            </w:pPr>
            <w:r w:rsidRPr="00420FE3">
              <w:rPr>
                <w:sz w:val="2"/>
                <w:szCs w:val="2"/>
              </w:rPr>
              <w:t>For-profit</w:t>
            </w:r>
          </w:p>
        </w:tc>
        <w:tc>
          <w:tcPr>
            <w:tcW w:w="1322" w:type="dxa"/>
            <w:noWrap/>
            <w:hideMark/>
          </w:tcPr>
          <w:p w14:paraId="3A55C4BF" w14:textId="77777777" w:rsidR="00420FE3" w:rsidRPr="00420FE3" w:rsidRDefault="00420FE3" w:rsidP="00420FE3">
            <w:pPr>
              <w:pStyle w:val="Source"/>
              <w:rPr>
                <w:sz w:val="2"/>
                <w:szCs w:val="2"/>
              </w:rPr>
            </w:pPr>
            <w:r w:rsidRPr="00420FE3">
              <w:rPr>
                <w:sz w:val="2"/>
                <w:szCs w:val="2"/>
              </w:rPr>
              <w:t xml:space="preserve">                   405 </w:t>
            </w:r>
          </w:p>
        </w:tc>
        <w:tc>
          <w:tcPr>
            <w:tcW w:w="823" w:type="dxa"/>
            <w:noWrap/>
            <w:hideMark/>
          </w:tcPr>
          <w:p w14:paraId="0769AE95" w14:textId="77777777" w:rsidR="00420FE3" w:rsidRPr="00420FE3" w:rsidRDefault="00420FE3" w:rsidP="00420FE3">
            <w:pPr>
              <w:pStyle w:val="Source"/>
              <w:rPr>
                <w:sz w:val="2"/>
                <w:szCs w:val="2"/>
              </w:rPr>
            </w:pPr>
            <w:r w:rsidRPr="00420FE3">
              <w:rPr>
                <w:sz w:val="2"/>
                <w:szCs w:val="2"/>
              </w:rPr>
              <w:t xml:space="preserve">     1,522 </w:t>
            </w:r>
          </w:p>
        </w:tc>
        <w:tc>
          <w:tcPr>
            <w:tcW w:w="278" w:type="dxa"/>
            <w:noWrap/>
            <w:hideMark/>
          </w:tcPr>
          <w:p w14:paraId="7C5B306A" w14:textId="77777777" w:rsidR="00420FE3" w:rsidRPr="00420FE3" w:rsidRDefault="00420FE3" w:rsidP="00420FE3">
            <w:pPr>
              <w:pStyle w:val="Source"/>
              <w:rPr>
                <w:sz w:val="2"/>
                <w:szCs w:val="2"/>
              </w:rPr>
            </w:pPr>
            <w:r w:rsidRPr="00420FE3">
              <w:rPr>
                <w:sz w:val="2"/>
                <w:szCs w:val="2"/>
              </w:rPr>
              <w:t xml:space="preserve">  1,927 </w:t>
            </w:r>
          </w:p>
        </w:tc>
      </w:tr>
      <w:tr w:rsidR="00420FE3" w:rsidRPr="00420FE3" w14:paraId="0A65B00E" w14:textId="77777777" w:rsidTr="00420FE3">
        <w:trPr>
          <w:trHeight w:val="285"/>
          <w:jc w:val="center"/>
        </w:trPr>
        <w:tc>
          <w:tcPr>
            <w:tcW w:w="4615" w:type="dxa"/>
            <w:noWrap/>
            <w:hideMark/>
          </w:tcPr>
          <w:p w14:paraId="032F8DF8" w14:textId="77777777" w:rsidR="00420FE3" w:rsidRPr="00420FE3" w:rsidRDefault="00420FE3" w:rsidP="00420FE3">
            <w:pPr>
              <w:pStyle w:val="Source"/>
              <w:rPr>
                <w:sz w:val="2"/>
                <w:szCs w:val="2"/>
              </w:rPr>
            </w:pPr>
          </w:p>
        </w:tc>
        <w:tc>
          <w:tcPr>
            <w:tcW w:w="1609" w:type="dxa"/>
            <w:noWrap/>
            <w:hideMark/>
          </w:tcPr>
          <w:p w14:paraId="526623AE" w14:textId="77777777" w:rsidR="00420FE3" w:rsidRPr="00420FE3" w:rsidRDefault="00420FE3" w:rsidP="00420FE3">
            <w:pPr>
              <w:pStyle w:val="Source"/>
              <w:rPr>
                <w:sz w:val="2"/>
                <w:szCs w:val="2"/>
              </w:rPr>
            </w:pPr>
            <w:r w:rsidRPr="00420FE3">
              <w:rPr>
                <w:sz w:val="2"/>
                <w:szCs w:val="2"/>
              </w:rPr>
              <w:t>Private not-for-profit</w:t>
            </w:r>
          </w:p>
        </w:tc>
        <w:tc>
          <w:tcPr>
            <w:tcW w:w="1322" w:type="dxa"/>
            <w:noWrap/>
            <w:hideMark/>
          </w:tcPr>
          <w:p w14:paraId="3373BA15" w14:textId="77777777" w:rsidR="00420FE3" w:rsidRPr="00420FE3" w:rsidRDefault="00420FE3" w:rsidP="00420FE3">
            <w:pPr>
              <w:pStyle w:val="Source"/>
              <w:rPr>
                <w:sz w:val="2"/>
                <w:szCs w:val="2"/>
              </w:rPr>
            </w:pPr>
            <w:r w:rsidRPr="00420FE3">
              <w:rPr>
                <w:sz w:val="2"/>
                <w:szCs w:val="2"/>
              </w:rPr>
              <w:t xml:space="preserve">                   152 </w:t>
            </w:r>
          </w:p>
        </w:tc>
        <w:tc>
          <w:tcPr>
            <w:tcW w:w="823" w:type="dxa"/>
            <w:noWrap/>
            <w:hideMark/>
          </w:tcPr>
          <w:p w14:paraId="79B6895F" w14:textId="77777777" w:rsidR="00420FE3" w:rsidRPr="00420FE3" w:rsidRDefault="00420FE3" w:rsidP="00420FE3">
            <w:pPr>
              <w:pStyle w:val="Source"/>
              <w:rPr>
                <w:sz w:val="2"/>
                <w:szCs w:val="2"/>
              </w:rPr>
            </w:pPr>
            <w:r w:rsidRPr="00420FE3">
              <w:rPr>
                <w:sz w:val="2"/>
                <w:szCs w:val="2"/>
              </w:rPr>
              <w:t xml:space="preserve">        538 </w:t>
            </w:r>
          </w:p>
        </w:tc>
        <w:tc>
          <w:tcPr>
            <w:tcW w:w="278" w:type="dxa"/>
            <w:noWrap/>
            <w:hideMark/>
          </w:tcPr>
          <w:p w14:paraId="6AC1083B" w14:textId="77777777" w:rsidR="00420FE3" w:rsidRPr="00420FE3" w:rsidRDefault="00420FE3" w:rsidP="00420FE3">
            <w:pPr>
              <w:pStyle w:val="Source"/>
              <w:rPr>
                <w:sz w:val="2"/>
                <w:szCs w:val="2"/>
              </w:rPr>
            </w:pPr>
            <w:r w:rsidRPr="00420FE3">
              <w:rPr>
                <w:sz w:val="2"/>
                <w:szCs w:val="2"/>
              </w:rPr>
              <w:t xml:space="preserve">     690 </w:t>
            </w:r>
          </w:p>
        </w:tc>
      </w:tr>
      <w:tr w:rsidR="00420FE3" w:rsidRPr="00420FE3" w14:paraId="51965F3D" w14:textId="77777777" w:rsidTr="00420FE3">
        <w:trPr>
          <w:trHeight w:val="285"/>
          <w:jc w:val="center"/>
        </w:trPr>
        <w:tc>
          <w:tcPr>
            <w:tcW w:w="4615" w:type="dxa"/>
            <w:noWrap/>
            <w:hideMark/>
          </w:tcPr>
          <w:p w14:paraId="7A1FBCC9" w14:textId="77777777" w:rsidR="00420FE3" w:rsidRPr="00420FE3" w:rsidRDefault="00420FE3" w:rsidP="00420FE3">
            <w:pPr>
              <w:pStyle w:val="Source"/>
              <w:rPr>
                <w:sz w:val="2"/>
                <w:szCs w:val="2"/>
              </w:rPr>
            </w:pPr>
          </w:p>
        </w:tc>
        <w:tc>
          <w:tcPr>
            <w:tcW w:w="1609" w:type="dxa"/>
            <w:noWrap/>
            <w:hideMark/>
          </w:tcPr>
          <w:p w14:paraId="2E9A5199" w14:textId="77777777" w:rsidR="00420FE3" w:rsidRPr="00420FE3" w:rsidRDefault="00420FE3" w:rsidP="00420FE3">
            <w:pPr>
              <w:pStyle w:val="Source"/>
              <w:rPr>
                <w:sz w:val="2"/>
                <w:szCs w:val="2"/>
              </w:rPr>
            </w:pPr>
            <w:r w:rsidRPr="00420FE3">
              <w:rPr>
                <w:sz w:val="2"/>
                <w:szCs w:val="2"/>
              </w:rPr>
              <w:t>Community</w:t>
            </w:r>
          </w:p>
        </w:tc>
        <w:tc>
          <w:tcPr>
            <w:tcW w:w="1322" w:type="dxa"/>
            <w:noWrap/>
            <w:hideMark/>
          </w:tcPr>
          <w:p w14:paraId="713927AE" w14:textId="77777777" w:rsidR="00420FE3" w:rsidRPr="00420FE3" w:rsidRDefault="00420FE3" w:rsidP="00420FE3">
            <w:pPr>
              <w:pStyle w:val="Source"/>
              <w:rPr>
                <w:sz w:val="2"/>
                <w:szCs w:val="2"/>
              </w:rPr>
            </w:pPr>
            <w:r w:rsidRPr="00420FE3">
              <w:rPr>
                <w:sz w:val="2"/>
                <w:szCs w:val="2"/>
              </w:rPr>
              <w:t xml:space="preserve">                   282 </w:t>
            </w:r>
          </w:p>
        </w:tc>
        <w:tc>
          <w:tcPr>
            <w:tcW w:w="823" w:type="dxa"/>
            <w:noWrap/>
            <w:hideMark/>
          </w:tcPr>
          <w:p w14:paraId="38B43AE4" w14:textId="77777777" w:rsidR="00420FE3" w:rsidRPr="00420FE3" w:rsidRDefault="00420FE3" w:rsidP="00420FE3">
            <w:pPr>
              <w:pStyle w:val="Source"/>
              <w:rPr>
                <w:sz w:val="2"/>
                <w:szCs w:val="2"/>
              </w:rPr>
            </w:pPr>
            <w:r w:rsidRPr="00420FE3">
              <w:rPr>
                <w:sz w:val="2"/>
                <w:szCs w:val="2"/>
              </w:rPr>
              <w:t xml:space="preserve">        525 </w:t>
            </w:r>
          </w:p>
        </w:tc>
        <w:tc>
          <w:tcPr>
            <w:tcW w:w="278" w:type="dxa"/>
            <w:noWrap/>
            <w:hideMark/>
          </w:tcPr>
          <w:p w14:paraId="75442041" w14:textId="77777777" w:rsidR="00420FE3" w:rsidRPr="00420FE3" w:rsidRDefault="00420FE3" w:rsidP="00420FE3">
            <w:pPr>
              <w:pStyle w:val="Source"/>
              <w:rPr>
                <w:sz w:val="2"/>
                <w:szCs w:val="2"/>
              </w:rPr>
            </w:pPr>
            <w:r w:rsidRPr="00420FE3">
              <w:rPr>
                <w:sz w:val="2"/>
                <w:szCs w:val="2"/>
              </w:rPr>
              <w:t xml:space="preserve">     807 </w:t>
            </w:r>
          </w:p>
        </w:tc>
      </w:tr>
      <w:tr w:rsidR="00420FE3" w:rsidRPr="00420FE3" w14:paraId="145CF175" w14:textId="77777777" w:rsidTr="00420FE3">
        <w:trPr>
          <w:trHeight w:val="300"/>
          <w:jc w:val="center"/>
        </w:trPr>
        <w:tc>
          <w:tcPr>
            <w:tcW w:w="4615" w:type="dxa"/>
            <w:noWrap/>
            <w:hideMark/>
          </w:tcPr>
          <w:p w14:paraId="10D08A4B" w14:textId="77777777" w:rsidR="00420FE3" w:rsidRPr="00420FE3" w:rsidRDefault="00420FE3" w:rsidP="00420FE3">
            <w:pPr>
              <w:pStyle w:val="Source"/>
              <w:rPr>
                <w:sz w:val="2"/>
                <w:szCs w:val="2"/>
              </w:rPr>
            </w:pPr>
          </w:p>
        </w:tc>
        <w:tc>
          <w:tcPr>
            <w:tcW w:w="1609" w:type="dxa"/>
            <w:noWrap/>
            <w:hideMark/>
          </w:tcPr>
          <w:p w14:paraId="2B561EA3" w14:textId="77777777" w:rsidR="00420FE3" w:rsidRPr="00420FE3" w:rsidRDefault="00420FE3" w:rsidP="00420FE3">
            <w:pPr>
              <w:pStyle w:val="Source"/>
              <w:rPr>
                <w:sz w:val="2"/>
                <w:szCs w:val="2"/>
              </w:rPr>
            </w:pPr>
          </w:p>
        </w:tc>
        <w:tc>
          <w:tcPr>
            <w:tcW w:w="1322" w:type="dxa"/>
            <w:noWrap/>
            <w:hideMark/>
          </w:tcPr>
          <w:p w14:paraId="21E22051" w14:textId="77777777" w:rsidR="00420FE3" w:rsidRPr="00420FE3" w:rsidRDefault="00420FE3" w:rsidP="00420FE3">
            <w:pPr>
              <w:pStyle w:val="Source"/>
              <w:rPr>
                <w:b/>
                <w:bCs/>
                <w:sz w:val="2"/>
                <w:szCs w:val="2"/>
              </w:rPr>
            </w:pPr>
            <w:r w:rsidRPr="00420FE3">
              <w:rPr>
                <w:b/>
                <w:bCs/>
                <w:sz w:val="2"/>
                <w:szCs w:val="2"/>
              </w:rPr>
              <w:t>At Capacity</w:t>
            </w:r>
          </w:p>
        </w:tc>
        <w:tc>
          <w:tcPr>
            <w:tcW w:w="1101" w:type="dxa"/>
            <w:gridSpan w:val="2"/>
            <w:noWrap/>
            <w:hideMark/>
          </w:tcPr>
          <w:p w14:paraId="7AFE99BD" w14:textId="77777777" w:rsidR="00420FE3" w:rsidRPr="00420FE3" w:rsidRDefault="00420FE3" w:rsidP="00420FE3">
            <w:pPr>
              <w:pStyle w:val="Source"/>
              <w:rPr>
                <w:b/>
                <w:bCs/>
                <w:sz w:val="2"/>
                <w:szCs w:val="2"/>
              </w:rPr>
            </w:pPr>
            <w:r w:rsidRPr="00420FE3">
              <w:rPr>
                <w:b/>
                <w:bCs/>
                <w:sz w:val="2"/>
                <w:szCs w:val="2"/>
              </w:rPr>
              <w:t xml:space="preserve">Vacancy </w:t>
            </w:r>
          </w:p>
        </w:tc>
      </w:tr>
      <w:tr w:rsidR="00420FE3" w:rsidRPr="00420FE3" w14:paraId="09E09382" w14:textId="77777777" w:rsidTr="00420FE3">
        <w:trPr>
          <w:trHeight w:val="300"/>
          <w:jc w:val="center"/>
        </w:trPr>
        <w:tc>
          <w:tcPr>
            <w:tcW w:w="4615" w:type="dxa"/>
            <w:noWrap/>
            <w:hideMark/>
          </w:tcPr>
          <w:p w14:paraId="4CA7CA7A" w14:textId="77777777" w:rsidR="00420FE3" w:rsidRPr="00420FE3" w:rsidRDefault="00420FE3" w:rsidP="00420FE3">
            <w:pPr>
              <w:pStyle w:val="Source"/>
              <w:rPr>
                <w:b/>
                <w:bCs/>
                <w:sz w:val="2"/>
                <w:szCs w:val="2"/>
              </w:rPr>
            </w:pPr>
            <w:r w:rsidRPr="00420FE3">
              <w:rPr>
                <w:b/>
                <w:bCs/>
                <w:sz w:val="2"/>
                <w:szCs w:val="2"/>
              </w:rPr>
              <w:t>Centre based day care (proportion)</w:t>
            </w:r>
          </w:p>
        </w:tc>
        <w:tc>
          <w:tcPr>
            <w:tcW w:w="1609" w:type="dxa"/>
            <w:noWrap/>
            <w:hideMark/>
          </w:tcPr>
          <w:p w14:paraId="5C0F9444" w14:textId="77777777" w:rsidR="00420FE3" w:rsidRPr="00420FE3" w:rsidRDefault="00420FE3" w:rsidP="00420FE3">
            <w:pPr>
              <w:pStyle w:val="Source"/>
              <w:rPr>
                <w:sz w:val="2"/>
                <w:szCs w:val="2"/>
              </w:rPr>
            </w:pPr>
            <w:r w:rsidRPr="00420FE3">
              <w:rPr>
                <w:sz w:val="2"/>
                <w:szCs w:val="2"/>
              </w:rPr>
              <w:t>For-profit</w:t>
            </w:r>
          </w:p>
        </w:tc>
        <w:tc>
          <w:tcPr>
            <w:tcW w:w="1322" w:type="dxa"/>
            <w:noWrap/>
            <w:hideMark/>
          </w:tcPr>
          <w:p w14:paraId="5CB7EEC3" w14:textId="77777777" w:rsidR="00420FE3" w:rsidRPr="00420FE3" w:rsidRDefault="00420FE3" w:rsidP="00420FE3">
            <w:pPr>
              <w:pStyle w:val="Source"/>
              <w:rPr>
                <w:sz w:val="2"/>
                <w:szCs w:val="2"/>
              </w:rPr>
            </w:pPr>
            <w:r w:rsidRPr="00420FE3">
              <w:rPr>
                <w:sz w:val="2"/>
                <w:szCs w:val="2"/>
              </w:rPr>
              <w:t>56%</w:t>
            </w:r>
          </w:p>
        </w:tc>
        <w:tc>
          <w:tcPr>
            <w:tcW w:w="823" w:type="dxa"/>
            <w:noWrap/>
            <w:hideMark/>
          </w:tcPr>
          <w:p w14:paraId="174F8490" w14:textId="77777777" w:rsidR="00420FE3" w:rsidRPr="00420FE3" w:rsidRDefault="00420FE3" w:rsidP="00420FE3">
            <w:pPr>
              <w:pStyle w:val="Source"/>
              <w:rPr>
                <w:sz w:val="2"/>
                <w:szCs w:val="2"/>
              </w:rPr>
            </w:pPr>
            <w:r w:rsidRPr="00420FE3">
              <w:rPr>
                <w:sz w:val="2"/>
                <w:szCs w:val="2"/>
              </w:rPr>
              <w:t>44%</w:t>
            </w:r>
          </w:p>
        </w:tc>
        <w:tc>
          <w:tcPr>
            <w:tcW w:w="278" w:type="dxa"/>
            <w:noWrap/>
            <w:hideMark/>
          </w:tcPr>
          <w:p w14:paraId="609D33FE" w14:textId="77777777" w:rsidR="00420FE3" w:rsidRPr="00420FE3" w:rsidRDefault="00420FE3" w:rsidP="00420FE3">
            <w:pPr>
              <w:pStyle w:val="Source"/>
              <w:rPr>
                <w:sz w:val="2"/>
                <w:szCs w:val="2"/>
              </w:rPr>
            </w:pPr>
          </w:p>
        </w:tc>
      </w:tr>
      <w:tr w:rsidR="00420FE3" w:rsidRPr="00420FE3" w14:paraId="7B3194DC" w14:textId="77777777" w:rsidTr="00420FE3">
        <w:trPr>
          <w:trHeight w:val="300"/>
          <w:jc w:val="center"/>
        </w:trPr>
        <w:tc>
          <w:tcPr>
            <w:tcW w:w="4615" w:type="dxa"/>
            <w:noWrap/>
            <w:hideMark/>
          </w:tcPr>
          <w:p w14:paraId="07879BDA" w14:textId="77777777" w:rsidR="00420FE3" w:rsidRPr="00420FE3" w:rsidRDefault="00420FE3" w:rsidP="00420FE3">
            <w:pPr>
              <w:pStyle w:val="Source"/>
              <w:rPr>
                <w:sz w:val="2"/>
                <w:szCs w:val="2"/>
              </w:rPr>
            </w:pPr>
          </w:p>
        </w:tc>
        <w:tc>
          <w:tcPr>
            <w:tcW w:w="1609" w:type="dxa"/>
            <w:noWrap/>
            <w:hideMark/>
          </w:tcPr>
          <w:p w14:paraId="7872A174" w14:textId="77777777" w:rsidR="00420FE3" w:rsidRPr="00420FE3" w:rsidRDefault="00420FE3" w:rsidP="00420FE3">
            <w:pPr>
              <w:pStyle w:val="Source"/>
              <w:rPr>
                <w:sz w:val="2"/>
                <w:szCs w:val="2"/>
              </w:rPr>
            </w:pPr>
            <w:r w:rsidRPr="00420FE3">
              <w:rPr>
                <w:sz w:val="2"/>
                <w:szCs w:val="2"/>
              </w:rPr>
              <w:t>Private not-for-profit</w:t>
            </w:r>
          </w:p>
        </w:tc>
        <w:tc>
          <w:tcPr>
            <w:tcW w:w="1322" w:type="dxa"/>
            <w:noWrap/>
            <w:hideMark/>
          </w:tcPr>
          <w:p w14:paraId="60A8E63C" w14:textId="77777777" w:rsidR="00420FE3" w:rsidRPr="00420FE3" w:rsidRDefault="00420FE3" w:rsidP="00420FE3">
            <w:pPr>
              <w:pStyle w:val="Source"/>
              <w:rPr>
                <w:sz w:val="2"/>
                <w:szCs w:val="2"/>
              </w:rPr>
            </w:pPr>
            <w:r w:rsidRPr="00420FE3">
              <w:rPr>
                <w:sz w:val="2"/>
                <w:szCs w:val="2"/>
              </w:rPr>
              <w:t>17%</w:t>
            </w:r>
          </w:p>
        </w:tc>
        <w:tc>
          <w:tcPr>
            <w:tcW w:w="823" w:type="dxa"/>
            <w:noWrap/>
            <w:hideMark/>
          </w:tcPr>
          <w:p w14:paraId="4A9578D1" w14:textId="77777777" w:rsidR="00420FE3" w:rsidRPr="00420FE3" w:rsidRDefault="00420FE3" w:rsidP="00420FE3">
            <w:pPr>
              <w:pStyle w:val="Source"/>
              <w:rPr>
                <w:sz w:val="2"/>
                <w:szCs w:val="2"/>
              </w:rPr>
            </w:pPr>
            <w:r w:rsidRPr="00420FE3">
              <w:rPr>
                <w:sz w:val="2"/>
                <w:szCs w:val="2"/>
              </w:rPr>
              <w:t>83%</w:t>
            </w:r>
          </w:p>
        </w:tc>
        <w:tc>
          <w:tcPr>
            <w:tcW w:w="278" w:type="dxa"/>
            <w:noWrap/>
            <w:hideMark/>
          </w:tcPr>
          <w:p w14:paraId="6348CEC7" w14:textId="77777777" w:rsidR="00420FE3" w:rsidRPr="00420FE3" w:rsidRDefault="00420FE3" w:rsidP="00420FE3">
            <w:pPr>
              <w:pStyle w:val="Source"/>
              <w:rPr>
                <w:sz w:val="2"/>
                <w:szCs w:val="2"/>
              </w:rPr>
            </w:pPr>
          </w:p>
        </w:tc>
      </w:tr>
      <w:tr w:rsidR="00420FE3" w:rsidRPr="00420FE3" w14:paraId="5354E40D" w14:textId="77777777" w:rsidTr="00420FE3">
        <w:trPr>
          <w:trHeight w:val="300"/>
          <w:jc w:val="center"/>
        </w:trPr>
        <w:tc>
          <w:tcPr>
            <w:tcW w:w="4615" w:type="dxa"/>
            <w:noWrap/>
            <w:hideMark/>
          </w:tcPr>
          <w:p w14:paraId="3828C3B1" w14:textId="77777777" w:rsidR="00420FE3" w:rsidRPr="00420FE3" w:rsidRDefault="00420FE3" w:rsidP="00420FE3">
            <w:pPr>
              <w:pStyle w:val="Source"/>
              <w:rPr>
                <w:sz w:val="2"/>
                <w:szCs w:val="2"/>
              </w:rPr>
            </w:pPr>
          </w:p>
        </w:tc>
        <w:tc>
          <w:tcPr>
            <w:tcW w:w="1609" w:type="dxa"/>
            <w:noWrap/>
            <w:hideMark/>
          </w:tcPr>
          <w:p w14:paraId="0EE83C3D" w14:textId="77777777" w:rsidR="00420FE3" w:rsidRPr="00420FE3" w:rsidRDefault="00420FE3" w:rsidP="00420FE3">
            <w:pPr>
              <w:pStyle w:val="Source"/>
              <w:rPr>
                <w:sz w:val="2"/>
                <w:szCs w:val="2"/>
              </w:rPr>
            </w:pPr>
            <w:r w:rsidRPr="00420FE3">
              <w:rPr>
                <w:sz w:val="2"/>
                <w:szCs w:val="2"/>
              </w:rPr>
              <w:t>Community</w:t>
            </w:r>
          </w:p>
        </w:tc>
        <w:tc>
          <w:tcPr>
            <w:tcW w:w="1322" w:type="dxa"/>
            <w:noWrap/>
            <w:hideMark/>
          </w:tcPr>
          <w:p w14:paraId="7E5BA8F4" w14:textId="77777777" w:rsidR="00420FE3" w:rsidRPr="00420FE3" w:rsidRDefault="00420FE3" w:rsidP="00420FE3">
            <w:pPr>
              <w:pStyle w:val="Source"/>
              <w:rPr>
                <w:sz w:val="2"/>
                <w:szCs w:val="2"/>
              </w:rPr>
            </w:pPr>
            <w:r w:rsidRPr="00420FE3">
              <w:rPr>
                <w:sz w:val="2"/>
                <w:szCs w:val="2"/>
              </w:rPr>
              <w:t>49%</w:t>
            </w:r>
          </w:p>
        </w:tc>
        <w:tc>
          <w:tcPr>
            <w:tcW w:w="823" w:type="dxa"/>
            <w:noWrap/>
            <w:hideMark/>
          </w:tcPr>
          <w:p w14:paraId="1D6D8CB5" w14:textId="77777777" w:rsidR="00420FE3" w:rsidRPr="00420FE3" w:rsidRDefault="00420FE3" w:rsidP="00420FE3">
            <w:pPr>
              <w:pStyle w:val="Source"/>
              <w:rPr>
                <w:sz w:val="2"/>
                <w:szCs w:val="2"/>
              </w:rPr>
            </w:pPr>
            <w:r w:rsidRPr="00420FE3">
              <w:rPr>
                <w:sz w:val="2"/>
                <w:szCs w:val="2"/>
              </w:rPr>
              <w:t>51%</w:t>
            </w:r>
          </w:p>
        </w:tc>
        <w:tc>
          <w:tcPr>
            <w:tcW w:w="278" w:type="dxa"/>
            <w:noWrap/>
            <w:hideMark/>
          </w:tcPr>
          <w:p w14:paraId="0EBBBD2B" w14:textId="77777777" w:rsidR="00420FE3" w:rsidRPr="00420FE3" w:rsidRDefault="00420FE3" w:rsidP="00420FE3">
            <w:pPr>
              <w:pStyle w:val="Source"/>
              <w:rPr>
                <w:sz w:val="2"/>
                <w:szCs w:val="2"/>
              </w:rPr>
            </w:pPr>
          </w:p>
        </w:tc>
      </w:tr>
      <w:tr w:rsidR="00420FE3" w:rsidRPr="00420FE3" w14:paraId="71CE8584" w14:textId="77777777" w:rsidTr="00420FE3">
        <w:trPr>
          <w:trHeight w:val="300"/>
          <w:jc w:val="center"/>
        </w:trPr>
        <w:tc>
          <w:tcPr>
            <w:tcW w:w="4615" w:type="dxa"/>
            <w:noWrap/>
            <w:hideMark/>
          </w:tcPr>
          <w:p w14:paraId="7ABDA0DC" w14:textId="77777777" w:rsidR="00420FE3" w:rsidRPr="00420FE3" w:rsidRDefault="00420FE3" w:rsidP="00420FE3">
            <w:pPr>
              <w:pStyle w:val="Source"/>
              <w:rPr>
                <w:sz w:val="2"/>
                <w:szCs w:val="2"/>
              </w:rPr>
            </w:pPr>
          </w:p>
        </w:tc>
        <w:tc>
          <w:tcPr>
            <w:tcW w:w="1609" w:type="dxa"/>
            <w:noWrap/>
            <w:hideMark/>
          </w:tcPr>
          <w:p w14:paraId="57D10577" w14:textId="77777777" w:rsidR="00420FE3" w:rsidRPr="00420FE3" w:rsidRDefault="00420FE3" w:rsidP="00420FE3">
            <w:pPr>
              <w:pStyle w:val="Source"/>
              <w:rPr>
                <w:sz w:val="2"/>
                <w:szCs w:val="2"/>
              </w:rPr>
            </w:pPr>
          </w:p>
        </w:tc>
        <w:tc>
          <w:tcPr>
            <w:tcW w:w="1322" w:type="dxa"/>
            <w:noWrap/>
            <w:hideMark/>
          </w:tcPr>
          <w:p w14:paraId="08CB95A7" w14:textId="77777777" w:rsidR="00420FE3" w:rsidRPr="00420FE3" w:rsidRDefault="00420FE3" w:rsidP="00420FE3">
            <w:pPr>
              <w:pStyle w:val="Source"/>
              <w:rPr>
                <w:b/>
                <w:bCs/>
                <w:sz w:val="2"/>
                <w:szCs w:val="2"/>
              </w:rPr>
            </w:pPr>
            <w:r w:rsidRPr="00420FE3">
              <w:rPr>
                <w:b/>
                <w:bCs/>
                <w:sz w:val="2"/>
                <w:szCs w:val="2"/>
              </w:rPr>
              <w:t>At Capacity</w:t>
            </w:r>
          </w:p>
        </w:tc>
        <w:tc>
          <w:tcPr>
            <w:tcW w:w="1101" w:type="dxa"/>
            <w:gridSpan w:val="2"/>
            <w:noWrap/>
            <w:hideMark/>
          </w:tcPr>
          <w:p w14:paraId="0538DEF8" w14:textId="77777777" w:rsidR="00420FE3" w:rsidRPr="00420FE3" w:rsidRDefault="00420FE3" w:rsidP="00420FE3">
            <w:pPr>
              <w:pStyle w:val="Source"/>
              <w:rPr>
                <w:b/>
                <w:bCs/>
                <w:sz w:val="2"/>
                <w:szCs w:val="2"/>
              </w:rPr>
            </w:pPr>
            <w:r w:rsidRPr="00420FE3">
              <w:rPr>
                <w:b/>
                <w:bCs/>
                <w:sz w:val="2"/>
                <w:szCs w:val="2"/>
              </w:rPr>
              <w:t xml:space="preserve">Vacancy </w:t>
            </w:r>
          </w:p>
        </w:tc>
      </w:tr>
      <w:tr w:rsidR="00420FE3" w:rsidRPr="00420FE3" w14:paraId="46DA0585" w14:textId="77777777" w:rsidTr="00420FE3">
        <w:trPr>
          <w:trHeight w:val="300"/>
          <w:jc w:val="center"/>
        </w:trPr>
        <w:tc>
          <w:tcPr>
            <w:tcW w:w="4615" w:type="dxa"/>
            <w:noWrap/>
            <w:hideMark/>
          </w:tcPr>
          <w:p w14:paraId="1AE5065A" w14:textId="77777777" w:rsidR="00420FE3" w:rsidRPr="00420FE3" w:rsidRDefault="00420FE3" w:rsidP="00420FE3">
            <w:pPr>
              <w:pStyle w:val="Source"/>
              <w:rPr>
                <w:b/>
                <w:bCs/>
                <w:sz w:val="2"/>
                <w:szCs w:val="2"/>
              </w:rPr>
            </w:pPr>
            <w:r w:rsidRPr="00420FE3">
              <w:rPr>
                <w:b/>
                <w:bCs/>
                <w:sz w:val="2"/>
                <w:szCs w:val="2"/>
              </w:rPr>
              <w:t>Out of school hours care (proportion)</w:t>
            </w:r>
          </w:p>
        </w:tc>
        <w:tc>
          <w:tcPr>
            <w:tcW w:w="1609" w:type="dxa"/>
            <w:noWrap/>
            <w:hideMark/>
          </w:tcPr>
          <w:p w14:paraId="5F3165AA" w14:textId="77777777" w:rsidR="00420FE3" w:rsidRPr="00420FE3" w:rsidRDefault="00420FE3" w:rsidP="00420FE3">
            <w:pPr>
              <w:pStyle w:val="Source"/>
              <w:rPr>
                <w:sz w:val="2"/>
                <w:szCs w:val="2"/>
              </w:rPr>
            </w:pPr>
            <w:r w:rsidRPr="00420FE3">
              <w:rPr>
                <w:sz w:val="2"/>
                <w:szCs w:val="2"/>
              </w:rPr>
              <w:t>For-profit</w:t>
            </w:r>
          </w:p>
        </w:tc>
        <w:tc>
          <w:tcPr>
            <w:tcW w:w="1322" w:type="dxa"/>
            <w:noWrap/>
            <w:hideMark/>
          </w:tcPr>
          <w:p w14:paraId="051602BA" w14:textId="77777777" w:rsidR="00420FE3" w:rsidRPr="00420FE3" w:rsidRDefault="00420FE3" w:rsidP="00420FE3">
            <w:pPr>
              <w:pStyle w:val="Source"/>
              <w:rPr>
                <w:sz w:val="2"/>
                <w:szCs w:val="2"/>
              </w:rPr>
            </w:pPr>
            <w:r w:rsidRPr="00420FE3">
              <w:rPr>
                <w:sz w:val="2"/>
                <w:szCs w:val="2"/>
              </w:rPr>
              <w:t>21%</w:t>
            </w:r>
          </w:p>
        </w:tc>
        <w:tc>
          <w:tcPr>
            <w:tcW w:w="823" w:type="dxa"/>
            <w:noWrap/>
            <w:hideMark/>
          </w:tcPr>
          <w:p w14:paraId="3873567D" w14:textId="77777777" w:rsidR="00420FE3" w:rsidRPr="00420FE3" w:rsidRDefault="00420FE3" w:rsidP="00420FE3">
            <w:pPr>
              <w:pStyle w:val="Source"/>
              <w:rPr>
                <w:sz w:val="2"/>
                <w:szCs w:val="2"/>
              </w:rPr>
            </w:pPr>
            <w:r w:rsidRPr="00420FE3">
              <w:rPr>
                <w:sz w:val="2"/>
                <w:szCs w:val="2"/>
              </w:rPr>
              <w:t>79%</w:t>
            </w:r>
          </w:p>
        </w:tc>
        <w:tc>
          <w:tcPr>
            <w:tcW w:w="278" w:type="dxa"/>
            <w:noWrap/>
            <w:hideMark/>
          </w:tcPr>
          <w:p w14:paraId="3BC9C6BD" w14:textId="77777777" w:rsidR="00420FE3" w:rsidRPr="00420FE3" w:rsidRDefault="00420FE3" w:rsidP="00420FE3">
            <w:pPr>
              <w:pStyle w:val="Source"/>
              <w:rPr>
                <w:sz w:val="2"/>
                <w:szCs w:val="2"/>
              </w:rPr>
            </w:pPr>
          </w:p>
        </w:tc>
      </w:tr>
      <w:tr w:rsidR="00420FE3" w:rsidRPr="00420FE3" w14:paraId="7275737F" w14:textId="77777777" w:rsidTr="00420FE3">
        <w:trPr>
          <w:trHeight w:val="285"/>
          <w:jc w:val="center"/>
        </w:trPr>
        <w:tc>
          <w:tcPr>
            <w:tcW w:w="4615" w:type="dxa"/>
            <w:noWrap/>
            <w:hideMark/>
          </w:tcPr>
          <w:p w14:paraId="35129662" w14:textId="77777777" w:rsidR="00420FE3" w:rsidRPr="00420FE3" w:rsidRDefault="00420FE3" w:rsidP="00420FE3">
            <w:pPr>
              <w:pStyle w:val="Source"/>
              <w:rPr>
                <w:sz w:val="2"/>
                <w:szCs w:val="2"/>
              </w:rPr>
            </w:pPr>
          </w:p>
        </w:tc>
        <w:tc>
          <w:tcPr>
            <w:tcW w:w="1609" w:type="dxa"/>
            <w:noWrap/>
            <w:hideMark/>
          </w:tcPr>
          <w:p w14:paraId="252009FD" w14:textId="77777777" w:rsidR="00420FE3" w:rsidRPr="00420FE3" w:rsidRDefault="00420FE3" w:rsidP="00420FE3">
            <w:pPr>
              <w:pStyle w:val="Source"/>
              <w:rPr>
                <w:sz w:val="2"/>
                <w:szCs w:val="2"/>
              </w:rPr>
            </w:pPr>
            <w:r w:rsidRPr="00420FE3">
              <w:rPr>
                <w:sz w:val="2"/>
                <w:szCs w:val="2"/>
              </w:rPr>
              <w:t>Private not-for-profit</w:t>
            </w:r>
          </w:p>
        </w:tc>
        <w:tc>
          <w:tcPr>
            <w:tcW w:w="1322" w:type="dxa"/>
            <w:noWrap/>
            <w:hideMark/>
          </w:tcPr>
          <w:p w14:paraId="592C0753" w14:textId="77777777" w:rsidR="00420FE3" w:rsidRPr="00420FE3" w:rsidRDefault="00420FE3" w:rsidP="00420FE3">
            <w:pPr>
              <w:pStyle w:val="Source"/>
              <w:rPr>
                <w:sz w:val="2"/>
                <w:szCs w:val="2"/>
              </w:rPr>
            </w:pPr>
            <w:r w:rsidRPr="00420FE3">
              <w:rPr>
                <w:sz w:val="2"/>
                <w:szCs w:val="2"/>
              </w:rPr>
              <w:t>22%</w:t>
            </w:r>
          </w:p>
        </w:tc>
        <w:tc>
          <w:tcPr>
            <w:tcW w:w="823" w:type="dxa"/>
            <w:noWrap/>
            <w:hideMark/>
          </w:tcPr>
          <w:p w14:paraId="0921E1E2" w14:textId="77777777" w:rsidR="00420FE3" w:rsidRPr="00420FE3" w:rsidRDefault="00420FE3" w:rsidP="00420FE3">
            <w:pPr>
              <w:pStyle w:val="Source"/>
              <w:rPr>
                <w:sz w:val="2"/>
                <w:szCs w:val="2"/>
              </w:rPr>
            </w:pPr>
            <w:r w:rsidRPr="00420FE3">
              <w:rPr>
                <w:sz w:val="2"/>
                <w:szCs w:val="2"/>
              </w:rPr>
              <w:t>78%</w:t>
            </w:r>
          </w:p>
        </w:tc>
        <w:tc>
          <w:tcPr>
            <w:tcW w:w="278" w:type="dxa"/>
            <w:noWrap/>
            <w:hideMark/>
          </w:tcPr>
          <w:p w14:paraId="73E34FB3" w14:textId="77777777" w:rsidR="00420FE3" w:rsidRPr="00420FE3" w:rsidRDefault="00420FE3" w:rsidP="00420FE3">
            <w:pPr>
              <w:pStyle w:val="Source"/>
              <w:rPr>
                <w:sz w:val="2"/>
                <w:szCs w:val="2"/>
              </w:rPr>
            </w:pPr>
          </w:p>
        </w:tc>
      </w:tr>
      <w:tr w:rsidR="00420FE3" w:rsidRPr="00420FE3" w14:paraId="33CA678A" w14:textId="77777777" w:rsidTr="00420FE3">
        <w:trPr>
          <w:trHeight w:val="80"/>
          <w:jc w:val="center"/>
        </w:trPr>
        <w:tc>
          <w:tcPr>
            <w:tcW w:w="4615" w:type="dxa"/>
            <w:noWrap/>
            <w:hideMark/>
          </w:tcPr>
          <w:p w14:paraId="1EDCB784" w14:textId="77777777" w:rsidR="00420FE3" w:rsidRPr="00420FE3" w:rsidRDefault="00420FE3" w:rsidP="00420FE3">
            <w:pPr>
              <w:pStyle w:val="Source"/>
              <w:rPr>
                <w:sz w:val="2"/>
                <w:szCs w:val="2"/>
              </w:rPr>
            </w:pPr>
          </w:p>
        </w:tc>
        <w:tc>
          <w:tcPr>
            <w:tcW w:w="1609" w:type="dxa"/>
            <w:noWrap/>
            <w:hideMark/>
          </w:tcPr>
          <w:p w14:paraId="1478F77B" w14:textId="77777777" w:rsidR="00420FE3" w:rsidRPr="00420FE3" w:rsidRDefault="00420FE3" w:rsidP="00420FE3">
            <w:pPr>
              <w:pStyle w:val="Source"/>
              <w:rPr>
                <w:sz w:val="2"/>
                <w:szCs w:val="2"/>
              </w:rPr>
            </w:pPr>
            <w:r w:rsidRPr="00420FE3">
              <w:rPr>
                <w:sz w:val="2"/>
                <w:szCs w:val="2"/>
              </w:rPr>
              <w:t>Community</w:t>
            </w:r>
          </w:p>
        </w:tc>
        <w:tc>
          <w:tcPr>
            <w:tcW w:w="1322" w:type="dxa"/>
            <w:noWrap/>
            <w:hideMark/>
          </w:tcPr>
          <w:p w14:paraId="7FBAE9D2" w14:textId="77777777" w:rsidR="00420FE3" w:rsidRPr="00420FE3" w:rsidRDefault="00420FE3" w:rsidP="00420FE3">
            <w:pPr>
              <w:pStyle w:val="Source"/>
              <w:rPr>
                <w:sz w:val="2"/>
                <w:szCs w:val="2"/>
              </w:rPr>
            </w:pPr>
            <w:r w:rsidRPr="00420FE3">
              <w:rPr>
                <w:sz w:val="2"/>
                <w:szCs w:val="2"/>
              </w:rPr>
              <w:t>35%</w:t>
            </w:r>
          </w:p>
        </w:tc>
        <w:tc>
          <w:tcPr>
            <w:tcW w:w="823" w:type="dxa"/>
            <w:noWrap/>
            <w:hideMark/>
          </w:tcPr>
          <w:p w14:paraId="40A909B6" w14:textId="77777777" w:rsidR="00420FE3" w:rsidRPr="00420FE3" w:rsidRDefault="00420FE3" w:rsidP="00420FE3">
            <w:pPr>
              <w:pStyle w:val="Source"/>
              <w:rPr>
                <w:sz w:val="2"/>
                <w:szCs w:val="2"/>
              </w:rPr>
            </w:pPr>
            <w:r w:rsidRPr="00420FE3">
              <w:rPr>
                <w:sz w:val="2"/>
                <w:szCs w:val="2"/>
              </w:rPr>
              <w:t>65%</w:t>
            </w:r>
          </w:p>
        </w:tc>
        <w:tc>
          <w:tcPr>
            <w:tcW w:w="278" w:type="dxa"/>
            <w:noWrap/>
            <w:hideMark/>
          </w:tcPr>
          <w:p w14:paraId="2FE65EAA" w14:textId="77777777" w:rsidR="00420FE3" w:rsidRPr="00420FE3" w:rsidRDefault="00420FE3" w:rsidP="00420FE3">
            <w:pPr>
              <w:pStyle w:val="Source"/>
              <w:rPr>
                <w:sz w:val="2"/>
                <w:szCs w:val="2"/>
              </w:rPr>
            </w:pPr>
          </w:p>
        </w:tc>
      </w:tr>
    </w:tbl>
    <w:p w14:paraId="5621D13D" w14:textId="77777777" w:rsidR="00420FE3" w:rsidRDefault="00420FE3" w:rsidP="00BC3D30">
      <w:pPr>
        <w:pStyle w:val="Source"/>
      </w:pPr>
    </w:p>
    <w:p w14:paraId="4063C4F6" w14:textId="77777777" w:rsidR="00420FE3" w:rsidRDefault="00420FE3" w:rsidP="00BC3D30">
      <w:pPr>
        <w:pStyle w:val="Source"/>
      </w:pPr>
    </w:p>
    <w:p w14:paraId="4D7FB722" w14:textId="77777777" w:rsidR="00420FE3" w:rsidRDefault="00420FE3" w:rsidP="00BC3D30">
      <w:pPr>
        <w:pStyle w:val="Source"/>
      </w:pPr>
    </w:p>
    <w:p w14:paraId="4A61DA62" w14:textId="77777777" w:rsidR="00420FE3" w:rsidRDefault="00420FE3" w:rsidP="00BC3D30">
      <w:pPr>
        <w:pStyle w:val="Source"/>
      </w:pPr>
    </w:p>
    <w:p w14:paraId="536EC46A" w14:textId="77777777" w:rsidR="00420FE3" w:rsidRDefault="00420FE3" w:rsidP="00BC3D30">
      <w:pPr>
        <w:pStyle w:val="Source"/>
      </w:pPr>
    </w:p>
    <w:p w14:paraId="065CA567" w14:textId="77777777" w:rsidR="00420FE3" w:rsidRDefault="00420FE3" w:rsidP="00BC3D30">
      <w:pPr>
        <w:pStyle w:val="Source"/>
      </w:pPr>
    </w:p>
    <w:p w14:paraId="0ABDBC52" w14:textId="51D57E57" w:rsidR="00BC3D30" w:rsidRDefault="00BC3D30" w:rsidP="00BC3D30">
      <w:pPr>
        <w:pStyle w:val="Source"/>
      </w:pPr>
      <w:r>
        <w:t>Source: JSA analysis of Department of Education CCS and NWC (2021) data; ACECQA, National Registers</w:t>
      </w:r>
    </w:p>
    <w:p w14:paraId="2BEE3B54" w14:textId="0DE6F82C" w:rsidR="00BC3D30" w:rsidRDefault="00BC3D30" w:rsidP="00BC3D30">
      <w:r>
        <w:fldChar w:fldCharType="begin"/>
      </w:r>
      <w:r>
        <w:instrText xml:space="preserve"> REF _Ref166163415 \h </w:instrText>
      </w:r>
      <w:r>
        <w:fldChar w:fldCharType="separate"/>
      </w:r>
      <w:r w:rsidR="005F18C1">
        <w:t>Figure 1.</w:t>
      </w:r>
      <w:r>
        <w:fldChar w:fldCharType="end"/>
      </w:r>
      <w:r w:rsidR="005944DC">
        <w:t>17</w:t>
      </w:r>
      <w:r>
        <w:t xml:space="preserve"> further breaks down the occupancy of services with a vacancy, illustrating the number of services by their rate of occupancy (the number of children typically cared for as a proportion of approved places). Most CBDC services do not have a large amount of additional capacity. Among those services with a vacancy, three quarters (76%) of licensed places are typically in use. </w:t>
      </w:r>
    </w:p>
    <w:p w14:paraId="6D66DF6D" w14:textId="768DE8C1" w:rsidR="00BC3D30" w:rsidRPr="00150D3F" w:rsidRDefault="00BC3D30" w:rsidP="00BC3D30">
      <w:pPr>
        <w:pStyle w:val="Caption"/>
        <w:rPr>
          <w:b w:val="0"/>
          <w:bCs w:val="0"/>
        </w:rPr>
      </w:pPr>
      <w:bookmarkStart w:id="67" w:name="_Ref166163415"/>
      <w:r>
        <w:lastRenderedPageBreak/>
        <w:t>Figure 1.</w:t>
      </w:r>
      <w:bookmarkEnd w:id="67"/>
      <w:r w:rsidR="005944DC">
        <w:t>17</w:t>
      </w:r>
      <w:r>
        <w:t>:</w:t>
      </w:r>
      <w:r>
        <w:rPr>
          <w:b w:val="0"/>
          <w:bCs w:val="0"/>
        </w:rPr>
        <w:t xml:space="preserve"> </w:t>
      </w:r>
      <w:r w:rsidRPr="00C51DC3">
        <w:t xml:space="preserve">Typical occupancy rate of </w:t>
      </w:r>
      <w:r>
        <w:t>approved places</w:t>
      </w:r>
      <w:r w:rsidRPr="00C51DC3">
        <w:t xml:space="preserve"> by service type</w:t>
      </w:r>
      <w:r>
        <w:t>,</w:t>
      </w:r>
      <w:r w:rsidRPr="00C51DC3">
        <w:rPr>
          <w:rStyle w:val="FootnoteReference"/>
        </w:rPr>
        <w:footnoteReference w:id="26"/>
      </w:r>
      <w:r>
        <w:t xml:space="preserve"> 2021</w:t>
      </w:r>
    </w:p>
    <w:p w14:paraId="1E96579A" w14:textId="77777777" w:rsidR="00BC3D30" w:rsidRDefault="00BC3D30" w:rsidP="00BC3D30">
      <w:pPr>
        <w:pStyle w:val="ListBullet"/>
        <w:numPr>
          <w:ilvl w:val="0"/>
          <w:numId w:val="0"/>
        </w:numPr>
        <w:ind w:left="284" w:hanging="284"/>
        <w:jc w:val="center"/>
      </w:pPr>
      <w:r>
        <w:rPr>
          <w:noProof/>
        </w:rPr>
        <w:drawing>
          <wp:inline distT="0" distB="0" distL="0" distR="0" wp14:anchorId="4BB4E894" wp14:editId="53160163">
            <wp:extent cx="5731510" cy="6372225"/>
            <wp:effectExtent l="0" t="0" r="2540" b="9525"/>
            <wp:docPr id="1447338611" name="Picture 16" descr="Figure shows occupancy of services with a vacancy. Number of services are shown by CBDC and OSHC with categories for for-profit, private not-for-profit and community. Each column has at capacity and vacancy detai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338611" name="Picture 16" descr="Figure shows occupancy of services with a vacancy. Number of services are shown by CBDC and OSHC with categories for for-profit, private not-for-profit and community. Each column has at capacity and vacancy details. "/>
                    <pic:cNvPicPr>
                      <a:picLocks noChangeAspect="1" noChangeArrowheads="1"/>
                    </pic:cNvPicPr>
                  </pic:nvPicPr>
                  <pic:blipFill>
                    <a:blip r:embed="rId71" cstate="screen">
                      <a:extLst>
                        <a:ext uri="{28A0092B-C50C-407E-A947-70E740481C1C}">
                          <a14:useLocalDpi xmlns:a14="http://schemas.microsoft.com/office/drawing/2010/main" val="0"/>
                        </a:ext>
                      </a:extLst>
                    </a:blip>
                    <a:srcRect/>
                    <a:stretch>
                      <a:fillRect/>
                    </a:stretch>
                  </pic:blipFill>
                  <pic:spPr bwMode="auto">
                    <a:xfrm>
                      <a:off x="0" y="0"/>
                      <a:ext cx="5731510" cy="6372225"/>
                    </a:xfrm>
                    <a:prstGeom prst="rect">
                      <a:avLst/>
                    </a:prstGeom>
                    <a:noFill/>
                    <a:ln>
                      <a:noFill/>
                    </a:ln>
                  </pic:spPr>
                </pic:pic>
              </a:graphicData>
            </a:graphic>
          </wp:inline>
        </w:drawing>
      </w:r>
    </w:p>
    <w:p w14:paraId="08AB844B" w14:textId="77777777" w:rsidR="00BC3D30" w:rsidRDefault="00BC3D30" w:rsidP="00BC3D30">
      <w:pPr>
        <w:pStyle w:val="Source"/>
      </w:pPr>
      <w:r>
        <w:t>Source: JSA analysis of Department of Education NWC (2021) and CCS; ACECQA, National</w:t>
      </w:r>
      <w:r w:rsidDel="0049130D">
        <w:t xml:space="preserve"> </w:t>
      </w:r>
      <w:r>
        <w:t xml:space="preserve">Registers </w:t>
      </w:r>
    </w:p>
    <w:p w14:paraId="36FEE074" w14:textId="77777777" w:rsidR="00BC3D30" w:rsidRDefault="00BC3D30" w:rsidP="00BC3D30">
      <w:r>
        <w:t>Further, most services (around three quarters of CBDCs and two thirds of OSHCs) are fully utilising their approved places—as indicated by the ratio of the service’s maximum number of children cared for at any one time relative to their approved places.</w:t>
      </w:r>
      <w:r>
        <w:rPr>
          <w:rStyle w:val="FootnoteReference"/>
        </w:rPr>
        <w:footnoteReference w:id="27"/>
      </w:r>
      <w:r>
        <w:t xml:space="preserve"> That is, although half of CBDCs typically have additional capacity, just one quarter could theoretically accommodate more children based on their physical approved places.</w:t>
      </w:r>
    </w:p>
    <w:p w14:paraId="6AF58640" w14:textId="77777777" w:rsidR="00BC3D30" w:rsidRDefault="00BC3D30" w:rsidP="00BC3D30">
      <w:r>
        <w:lastRenderedPageBreak/>
        <w:t>This suggests that the sector is relatively efficient in its use of approved places. Over half of CBDC services, and almost half of OSHCs, that typically have a vacancy will fill those remaining places when at their maximum, allowing for day-to-day fluctuations in demand. These services likely have access to educators and other staff to care for these children, although potentially not on an ongoing basis or all at the same time.</w:t>
      </w:r>
      <w:r>
        <w:rPr>
          <w:rStyle w:val="FootnoteReference"/>
        </w:rPr>
        <w:footnoteReference w:id="28"/>
      </w:r>
    </w:p>
    <w:p w14:paraId="682C235C" w14:textId="7B66D558" w:rsidR="00BC3D30" w:rsidRDefault="00BC3D30" w:rsidP="00BC3D30">
      <w:r>
        <w:t xml:space="preserve">However, the availability of services with additional capacity is not distributed evenly across Australia. </w:t>
      </w:r>
      <w:r>
        <w:fldChar w:fldCharType="begin"/>
      </w:r>
      <w:r>
        <w:instrText xml:space="preserve"> REF _Ref168580205 \h </w:instrText>
      </w:r>
      <w:r>
        <w:fldChar w:fldCharType="separate"/>
      </w:r>
      <w:r w:rsidR="005F18C1">
        <w:t>Figure 1.</w:t>
      </w:r>
      <w:r>
        <w:fldChar w:fldCharType="end"/>
      </w:r>
      <w:r w:rsidR="005944DC">
        <w:t>18</w:t>
      </w:r>
      <w:r>
        <w:t xml:space="preserve"> below illustrates the share of services within each remoteness area with a vacancy, across both the typical and maximum levels of occupancy. Among CBDCs, services in more remote regions are more likely to have additional capacity despite having fewer services and places per child. </w:t>
      </w:r>
    </w:p>
    <w:p w14:paraId="00555FA9" w14:textId="4650E0DE" w:rsidR="00BC3D30" w:rsidRPr="008F2AD7" w:rsidRDefault="00BC3D30" w:rsidP="00BC3D30">
      <w:pPr>
        <w:pStyle w:val="Caption"/>
        <w:rPr>
          <w:b w:val="0"/>
          <w:bCs w:val="0"/>
        </w:rPr>
      </w:pPr>
      <w:bookmarkStart w:id="68" w:name="_Ref168580205"/>
      <w:r>
        <w:t>Figure 1.</w:t>
      </w:r>
      <w:bookmarkEnd w:id="68"/>
      <w:r w:rsidR="005944DC">
        <w:t>18</w:t>
      </w:r>
      <w:r>
        <w:t>: Share of services with additional capacity by remoteness, 2021</w:t>
      </w:r>
    </w:p>
    <w:p w14:paraId="664384B3" w14:textId="77777777" w:rsidR="00BC3D30" w:rsidRDefault="00BC3D30" w:rsidP="00BC3D30">
      <w:pPr>
        <w:jc w:val="center"/>
      </w:pPr>
      <w:r>
        <w:rPr>
          <w:noProof/>
        </w:rPr>
        <w:drawing>
          <wp:anchor distT="0" distB="0" distL="114300" distR="114300" simplePos="0" relativeHeight="251705347" behindDoc="0" locked="0" layoutInCell="1" allowOverlap="1" wp14:anchorId="41CC83E5" wp14:editId="4B6B06DE">
            <wp:simplePos x="0" y="0"/>
            <wp:positionH relativeFrom="column">
              <wp:posOffset>400050</wp:posOffset>
            </wp:positionH>
            <wp:positionV relativeFrom="paragraph">
              <wp:posOffset>-1270</wp:posOffset>
            </wp:positionV>
            <wp:extent cx="4936830" cy="4445663"/>
            <wp:effectExtent l="0" t="0" r="0" b="0"/>
            <wp:wrapNone/>
            <wp:docPr id="106484351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843514" name="Picture 2">
                      <a:extLst>
                        <a:ext uri="{C183D7F6-B498-43B3-948B-1728B52AA6E4}">
                          <adec:decorative xmlns:adec="http://schemas.microsoft.com/office/drawing/2017/decorative" val="1"/>
                        </a:ext>
                      </a:extLst>
                    </pic:cNvPr>
                    <pic:cNvPicPr>
                      <a:picLocks noChangeAspect="1" noChangeArrowheads="1"/>
                    </pic:cNvPicPr>
                  </pic:nvPicPr>
                  <pic:blipFill>
                    <a:blip r:embed="rId72" cstate="screen">
                      <a:extLst>
                        <a:ext uri="{28A0092B-C50C-407E-A947-70E740481C1C}">
                          <a14:useLocalDpi xmlns:a14="http://schemas.microsoft.com/office/drawing/2010/main" val="0"/>
                        </a:ext>
                      </a:extLst>
                    </a:blip>
                    <a:srcRect/>
                    <a:stretch>
                      <a:fillRect/>
                    </a:stretch>
                  </pic:blipFill>
                  <pic:spPr bwMode="auto">
                    <a:xfrm>
                      <a:off x="0" y="0"/>
                      <a:ext cx="4936830" cy="4445663"/>
                    </a:xfrm>
                    <a:prstGeom prst="rect">
                      <a:avLst/>
                    </a:prstGeom>
                    <a:noFill/>
                    <a:ln>
                      <a:noFill/>
                    </a:ln>
                  </pic:spPr>
                </pic:pic>
              </a:graphicData>
            </a:graphic>
          </wp:anchor>
        </w:drawing>
      </w:r>
    </w:p>
    <w:tbl>
      <w:tblPr>
        <w:tblStyle w:val="Box"/>
        <w:tblW w:w="0" w:type="auto"/>
        <w:jc w:val="center"/>
        <w:tblLook w:val="04A0" w:firstRow="1" w:lastRow="0" w:firstColumn="1" w:lastColumn="0" w:noHBand="0" w:noVBand="1"/>
      </w:tblPr>
      <w:tblGrid>
        <w:gridCol w:w="2835"/>
        <w:gridCol w:w="1182"/>
        <w:gridCol w:w="1275"/>
        <w:gridCol w:w="309"/>
      </w:tblGrid>
      <w:tr w:rsidR="00420FE3" w:rsidRPr="00420FE3" w14:paraId="111B4E60" w14:textId="77777777" w:rsidTr="00420FE3">
        <w:trPr>
          <w:trHeight w:val="300"/>
          <w:jc w:val="center"/>
        </w:trPr>
        <w:tc>
          <w:tcPr>
            <w:tcW w:w="2835" w:type="dxa"/>
            <w:noWrap/>
            <w:hideMark/>
          </w:tcPr>
          <w:p w14:paraId="5CC6E615" w14:textId="77777777" w:rsidR="00420FE3" w:rsidRPr="00420FE3" w:rsidRDefault="00420FE3" w:rsidP="00420FE3">
            <w:pPr>
              <w:pStyle w:val="Source"/>
              <w:rPr>
                <w:sz w:val="2"/>
                <w:szCs w:val="2"/>
              </w:rPr>
            </w:pPr>
          </w:p>
        </w:tc>
        <w:tc>
          <w:tcPr>
            <w:tcW w:w="1182" w:type="dxa"/>
            <w:noWrap/>
            <w:hideMark/>
          </w:tcPr>
          <w:p w14:paraId="55759915" w14:textId="77777777" w:rsidR="00420FE3" w:rsidRPr="00420FE3" w:rsidRDefault="00420FE3" w:rsidP="00420FE3">
            <w:pPr>
              <w:pStyle w:val="Source"/>
              <w:rPr>
                <w:sz w:val="2"/>
                <w:szCs w:val="2"/>
              </w:rPr>
            </w:pPr>
          </w:p>
        </w:tc>
        <w:tc>
          <w:tcPr>
            <w:tcW w:w="1275" w:type="dxa"/>
            <w:noWrap/>
            <w:hideMark/>
          </w:tcPr>
          <w:p w14:paraId="1B7E9239" w14:textId="77777777" w:rsidR="00420FE3" w:rsidRPr="00420FE3" w:rsidRDefault="00420FE3" w:rsidP="00420FE3">
            <w:pPr>
              <w:pStyle w:val="Source"/>
              <w:rPr>
                <w:b/>
                <w:bCs/>
                <w:sz w:val="2"/>
                <w:szCs w:val="2"/>
              </w:rPr>
            </w:pPr>
            <w:r w:rsidRPr="00420FE3">
              <w:rPr>
                <w:b/>
                <w:bCs/>
                <w:sz w:val="2"/>
                <w:szCs w:val="2"/>
              </w:rPr>
              <w:t>Typical demand</w:t>
            </w:r>
          </w:p>
        </w:tc>
        <w:tc>
          <w:tcPr>
            <w:tcW w:w="309" w:type="dxa"/>
            <w:noWrap/>
            <w:hideMark/>
          </w:tcPr>
          <w:p w14:paraId="61BC5525" w14:textId="77777777" w:rsidR="00420FE3" w:rsidRPr="00420FE3" w:rsidRDefault="00420FE3" w:rsidP="00420FE3">
            <w:pPr>
              <w:pStyle w:val="Source"/>
              <w:rPr>
                <w:b/>
                <w:bCs/>
                <w:sz w:val="2"/>
                <w:szCs w:val="2"/>
              </w:rPr>
            </w:pPr>
            <w:r w:rsidRPr="00420FE3">
              <w:rPr>
                <w:b/>
                <w:bCs/>
                <w:sz w:val="2"/>
                <w:szCs w:val="2"/>
              </w:rPr>
              <w:t>Maximum demand</w:t>
            </w:r>
          </w:p>
        </w:tc>
      </w:tr>
      <w:tr w:rsidR="00420FE3" w:rsidRPr="00420FE3" w14:paraId="534D1F8E" w14:textId="77777777" w:rsidTr="00420FE3">
        <w:trPr>
          <w:trHeight w:val="300"/>
          <w:jc w:val="center"/>
        </w:trPr>
        <w:tc>
          <w:tcPr>
            <w:tcW w:w="2835" w:type="dxa"/>
            <w:noWrap/>
            <w:hideMark/>
          </w:tcPr>
          <w:p w14:paraId="5F9A7BDC" w14:textId="77777777" w:rsidR="00420FE3" w:rsidRPr="00420FE3" w:rsidRDefault="00420FE3" w:rsidP="00420FE3">
            <w:pPr>
              <w:pStyle w:val="Source"/>
              <w:rPr>
                <w:b/>
                <w:bCs/>
                <w:sz w:val="2"/>
                <w:szCs w:val="2"/>
              </w:rPr>
            </w:pPr>
            <w:r w:rsidRPr="00420FE3">
              <w:rPr>
                <w:b/>
                <w:bCs/>
                <w:sz w:val="2"/>
                <w:szCs w:val="2"/>
              </w:rPr>
              <w:t>Centre based day care</w:t>
            </w:r>
          </w:p>
        </w:tc>
        <w:tc>
          <w:tcPr>
            <w:tcW w:w="1182" w:type="dxa"/>
            <w:noWrap/>
            <w:hideMark/>
          </w:tcPr>
          <w:p w14:paraId="448E8F99" w14:textId="77777777" w:rsidR="00420FE3" w:rsidRPr="00420FE3" w:rsidRDefault="00420FE3" w:rsidP="00420FE3">
            <w:pPr>
              <w:pStyle w:val="Source"/>
              <w:rPr>
                <w:sz w:val="2"/>
                <w:szCs w:val="2"/>
              </w:rPr>
            </w:pPr>
            <w:r w:rsidRPr="00420FE3">
              <w:rPr>
                <w:sz w:val="2"/>
                <w:szCs w:val="2"/>
              </w:rPr>
              <w:t>Major cities</w:t>
            </w:r>
          </w:p>
        </w:tc>
        <w:tc>
          <w:tcPr>
            <w:tcW w:w="1275" w:type="dxa"/>
            <w:noWrap/>
            <w:hideMark/>
          </w:tcPr>
          <w:p w14:paraId="2C27B0E8" w14:textId="77777777" w:rsidR="00420FE3" w:rsidRPr="00420FE3" w:rsidRDefault="00420FE3" w:rsidP="00420FE3">
            <w:pPr>
              <w:pStyle w:val="Source"/>
              <w:rPr>
                <w:sz w:val="2"/>
                <w:szCs w:val="2"/>
              </w:rPr>
            </w:pPr>
            <w:r w:rsidRPr="00420FE3">
              <w:rPr>
                <w:sz w:val="2"/>
                <w:szCs w:val="2"/>
              </w:rPr>
              <w:t>49%</w:t>
            </w:r>
          </w:p>
        </w:tc>
        <w:tc>
          <w:tcPr>
            <w:tcW w:w="309" w:type="dxa"/>
            <w:noWrap/>
            <w:hideMark/>
          </w:tcPr>
          <w:p w14:paraId="09BA8356" w14:textId="77777777" w:rsidR="00420FE3" w:rsidRPr="00420FE3" w:rsidRDefault="00420FE3" w:rsidP="00420FE3">
            <w:pPr>
              <w:pStyle w:val="Source"/>
              <w:rPr>
                <w:sz w:val="2"/>
                <w:szCs w:val="2"/>
              </w:rPr>
            </w:pPr>
            <w:r w:rsidRPr="00420FE3">
              <w:rPr>
                <w:sz w:val="2"/>
                <w:szCs w:val="2"/>
              </w:rPr>
              <w:t>19%</w:t>
            </w:r>
          </w:p>
        </w:tc>
      </w:tr>
      <w:tr w:rsidR="00420FE3" w:rsidRPr="00420FE3" w14:paraId="00F31A0A" w14:textId="77777777" w:rsidTr="00420FE3">
        <w:trPr>
          <w:trHeight w:val="300"/>
          <w:jc w:val="center"/>
        </w:trPr>
        <w:tc>
          <w:tcPr>
            <w:tcW w:w="2835" w:type="dxa"/>
            <w:noWrap/>
            <w:hideMark/>
          </w:tcPr>
          <w:p w14:paraId="50C075F5" w14:textId="77777777" w:rsidR="00420FE3" w:rsidRPr="00420FE3" w:rsidRDefault="00420FE3" w:rsidP="00420FE3">
            <w:pPr>
              <w:pStyle w:val="Source"/>
              <w:rPr>
                <w:sz w:val="2"/>
                <w:szCs w:val="2"/>
              </w:rPr>
            </w:pPr>
          </w:p>
        </w:tc>
        <w:tc>
          <w:tcPr>
            <w:tcW w:w="1182" w:type="dxa"/>
            <w:noWrap/>
            <w:hideMark/>
          </w:tcPr>
          <w:p w14:paraId="027A1D03" w14:textId="77777777" w:rsidR="00420FE3" w:rsidRPr="00420FE3" w:rsidRDefault="00420FE3" w:rsidP="00420FE3">
            <w:pPr>
              <w:pStyle w:val="Source"/>
              <w:rPr>
                <w:sz w:val="2"/>
                <w:szCs w:val="2"/>
              </w:rPr>
            </w:pPr>
            <w:r w:rsidRPr="00420FE3">
              <w:rPr>
                <w:sz w:val="2"/>
                <w:szCs w:val="2"/>
              </w:rPr>
              <w:t>Inner regional</w:t>
            </w:r>
          </w:p>
        </w:tc>
        <w:tc>
          <w:tcPr>
            <w:tcW w:w="1275" w:type="dxa"/>
            <w:noWrap/>
            <w:hideMark/>
          </w:tcPr>
          <w:p w14:paraId="21B7A9E0" w14:textId="77777777" w:rsidR="00420FE3" w:rsidRPr="00420FE3" w:rsidRDefault="00420FE3" w:rsidP="00420FE3">
            <w:pPr>
              <w:pStyle w:val="Source"/>
              <w:rPr>
                <w:sz w:val="2"/>
                <w:szCs w:val="2"/>
              </w:rPr>
            </w:pPr>
            <w:r w:rsidRPr="00420FE3">
              <w:rPr>
                <w:sz w:val="2"/>
                <w:szCs w:val="2"/>
              </w:rPr>
              <w:t>54%</w:t>
            </w:r>
          </w:p>
        </w:tc>
        <w:tc>
          <w:tcPr>
            <w:tcW w:w="309" w:type="dxa"/>
            <w:noWrap/>
            <w:hideMark/>
          </w:tcPr>
          <w:p w14:paraId="1DFCA92E" w14:textId="77777777" w:rsidR="00420FE3" w:rsidRPr="00420FE3" w:rsidRDefault="00420FE3" w:rsidP="00420FE3">
            <w:pPr>
              <w:pStyle w:val="Source"/>
              <w:rPr>
                <w:sz w:val="2"/>
                <w:szCs w:val="2"/>
              </w:rPr>
            </w:pPr>
            <w:r w:rsidRPr="00420FE3">
              <w:rPr>
                <w:sz w:val="2"/>
                <w:szCs w:val="2"/>
              </w:rPr>
              <w:t>28%</w:t>
            </w:r>
          </w:p>
        </w:tc>
      </w:tr>
      <w:tr w:rsidR="00420FE3" w:rsidRPr="00420FE3" w14:paraId="77E2B7A3" w14:textId="77777777" w:rsidTr="00420FE3">
        <w:trPr>
          <w:trHeight w:val="300"/>
          <w:jc w:val="center"/>
        </w:trPr>
        <w:tc>
          <w:tcPr>
            <w:tcW w:w="2835" w:type="dxa"/>
            <w:noWrap/>
            <w:hideMark/>
          </w:tcPr>
          <w:p w14:paraId="093A9A53" w14:textId="77777777" w:rsidR="00420FE3" w:rsidRPr="00420FE3" w:rsidRDefault="00420FE3" w:rsidP="00420FE3">
            <w:pPr>
              <w:pStyle w:val="Source"/>
              <w:rPr>
                <w:sz w:val="2"/>
                <w:szCs w:val="2"/>
              </w:rPr>
            </w:pPr>
          </w:p>
        </w:tc>
        <w:tc>
          <w:tcPr>
            <w:tcW w:w="1182" w:type="dxa"/>
            <w:noWrap/>
            <w:hideMark/>
          </w:tcPr>
          <w:p w14:paraId="283F0778" w14:textId="77777777" w:rsidR="00420FE3" w:rsidRPr="00420FE3" w:rsidRDefault="00420FE3" w:rsidP="00420FE3">
            <w:pPr>
              <w:pStyle w:val="Source"/>
              <w:rPr>
                <w:sz w:val="2"/>
                <w:szCs w:val="2"/>
              </w:rPr>
            </w:pPr>
            <w:r w:rsidRPr="00420FE3">
              <w:rPr>
                <w:sz w:val="2"/>
                <w:szCs w:val="2"/>
              </w:rPr>
              <w:t>Outer regional</w:t>
            </w:r>
          </w:p>
        </w:tc>
        <w:tc>
          <w:tcPr>
            <w:tcW w:w="1275" w:type="dxa"/>
            <w:noWrap/>
            <w:hideMark/>
          </w:tcPr>
          <w:p w14:paraId="150E571B" w14:textId="77777777" w:rsidR="00420FE3" w:rsidRPr="00420FE3" w:rsidRDefault="00420FE3" w:rsidP="00420FE3">
            <w:pPr>
              <w:pStyle w:val="Source"/>
              <w:rPr>
                <w:sz w:val="2"/>
                <w:szCs w:val="2"/>
              </w:rPr>
            </w:pPr>
            <w:r w:rsidRPr="00420FE3">
              <w:rPr>
                <w:sz w:val="2"/>
                <w:szCs w:val="2"/>
              </w:rPr>
              <w:t>62%</w:t>
            </w:r>
          </w:p>
        </w:tc>
        <w:tc>
          <w:tcPr>
            <w:tcW w:w="309" w:type="dxa"/>
            <w:noWrap/>
            <w:hideMark/>
          </w:tcPr>
          <w:p w14:paraId="62307418" w14:textId="77777777" w:rsidR="00420FE3" w:rsidRPr="00420FE3" w:rsidRDefault="00420FE3" w:rsidP="00420FE3">
            <w:pPr>
              <w:pStyle w:val="Source"/>
              <w:rPr>
                <w:sz w:val="2"/>
                <w:szCs w:val="2"/>
              </w:rPr>
            </w:pPr>
            <w:r w:rsidRPr="00420FE3">
              <w:rPr>
                <w:sz w:val="2"/>
                <w:szCs w:val="2"/>
              </w:rPr>
              <w:t>34%</w:t>
            </w:r>
          </w:p>
        </w:tc>
      </w:tr>
      <w:tr w:rsidR="00420FE3" w:rsidRPr="00420FE3" w14:paraId="4B29CAAD" w14:textId="77777777" w:rsidTr="00420FE3">
        <w:trPr>
          <w:trHeight w:val="300"/>
          <w:jc w:val="center"/>
        </w:trPr>
        <w:tc>
          <w:tcPr>
            <w:tcW w:w="2835" w:type="dxa"/>
            <w:noWrap/>
            <w:hideMark/>
          </w:tcPr>
          <w:p w14:paraId="4FABD48F" w14:textId="77777777" w:rsidR="00420FE3" w:rsidRPr="00420FE3" w:rsidRDefault="00420FE3" w:rsidP="00420FE3">
            <w:pPr>
              <w:pStyle w:val="Source"/>
              <w:rPr>
                <w:sz w:val="2"/>
                <w:szCs w:val="2"/>
              </w:rPr>
            </w:pPr>
          </w:p>
        </w:tc>
        <w:tc>
          <w:tcPr>
            <w:tcW w:w="1182" w:type="dxa"/>
            <w:noWrap/>
            <w:hideMark/>
          </w:tcPr>
          <w:p w14:paraId="0E0664F8" w14:textId="77777777" w:rsidR="00420FE3" w:rsidRPr="00420FE3" w:rsidRDefault="00420FE3" w:rsidP="00420FE3">
            <w:pPr>
              <w:pStyle w:val="Source"/>
              <w:rPr>
                <w:sz w:val="2"/>
                <w:szCs w:val="2"/>
              </w:rPr>
            </w:pPr>
            <w:r w:rsidRPr="00420FE3">
              <w:rPr>
                <w:sz w:val="2"/>
                <w:szCs w:val="2"/>
              </w:rPr>
              <w:t>Remote</w:t>
            </w:r>
          </w:p>
        </w:tc>
        <w:tc>
          <w:tcPr>
            <w:tcW w:w="1275" w:type="dxa"/>
            <w:noWrap/>
            <w:hideMark/>
          </w:tcPr>
          <w:p w14:paraId="265C2A9A" w14:textId="77777777" w:rsidR="00420FE3" w:rsidRPr="00420FE3" w:rsidRDefault="00420FE3" w:rsidP="00420FE3">
            <w:pPr>
              <w:pStyle w:val="Source"/>
              <w:rPr>
                <w:sz w:val="2"/>
                <w:szCs w:val="2"/>
              </w:rPr>
            </w:pPr>
            <w:r w:rsidRPr="00420FE3">
              <w:rPr>
                <w:sz w:val="2"/>
                <w:szCs w:val="2"/>
              </w:rPr>
              <w:t>61%</w:t>
            </w:r>
          </w:p>
        </w:tc>
        <w:tc>
          <w:tcPr>
            <w:tcW w:w="309" w:type="dxa"/>
            <w:noWrap/>
            <w:hideMark/>
          </w:tcPr>
          <w:p w14:paraId="38DB2BBD" w14:textId="77777777" w:rsidR="00420FE3" w:rsidRPr="00420FE3" w:rsidRDefault="00420FE3" w:rsidP="00420FE3">
            <w:pPr>
              <w:pStyle w:val="Source"/>
              <w:rPr>
                <w:sz w:val="2"/>
                <w:szCs w:val="2"/>
              </w:rPr>
            </w:pPr>
            <w:r w:rsidRPr="00420FE3">
              <w:rPr>
                <w:sz w:val="2"/>
                <w:szCs w:val="2"/>
              </w:rPr>
              <w:t>40%</w:t>
            </w:r>
          </w:p>
        </w:tc>
      </w:tr>
      <w:tr w:rsidR="00420FE3" w:rsidRPr="00420FE3" w14:paraId="591A7A88" w14:textId="77777777" w:rsidTr="00420FE3">
        <w:trPr>
          <w:trHeight w:val="300"/>
          <w:jc w:val="center"/>
        </w:trPr>
        <w:tc>
          <w:tcPr>
            <w:tcW w:w="2835" w:type="dxa"/>
            <w:noWrap/>
            <w:hideMark/>
          </w:tcPr>
          <w:p w14:paraId="1D512099" w14:textId="77777777" w:rsidR="00420FE3" w:rsidRPr="00420FE3" w:rsidRDefault="00420FE3" w:rsidP="00420FE3">
            <w:pPr>
              <w:pStyle w:val="Source"/>
              <w:rPr>
                <w:sz w:val="2"/>
                <w:szCs w:val="2"/>
              </w:rPr>
            </w:pPr>
          </w:p>
        </w:tc>
        <w:tc>
          <w:tcPr>
            <w:tcW w:w="1182" w:type="dxa"/>
            <w:noWrap/>
            <w:hideMark/>
          </w:tcPr>
          <w:p w14:paraId="4C5C4793" w14:textId="77777777" w:rsidR="00420FE3" w:rsidRPr="00420FE3" w:rsidRDefault="00420FE3" w:rsidP="00420FE3">
            <w:pPr>
              <w:pStyle w:val="Source"/>
              <w:rPr>
                <w:sz w:val="2"/>
                <w:szCs w:val="2"/>
              </w:rPr>
            </w:pPr>
            <w:r w:rsidRPr="00420FE3">
              <w:rPr>
                <w:sz w:val="2"/>
                <w:szCs w:val="2"/>
              </w:rPr>
              <w:t>Very remote</w:t>
            </w:r>
          </w:p>
        </w:tc>
        <w:tc>
          <w:tcPr>
            <w:tcW w:w="1275" w:type="dxa"/>
            <w:noWrap/>
            <w:hideMark/>
          </w:tcPr>
          <w:p w14:paraId="0B32C2E0" w14:textId="77777777" w:rsidR="00420FE3" w:rsidRPr="00420FE3" w:rsidRDefault="00420FE3" w:rsidP="00420FE3">
            <w:pPr>
              <w:pStyle w:val="Source"/>
              <w:rPr>
                <w:sz w:val="2"/>
                <w:szCs w:val="2"/>
              </w:rPr>
            </w:pPr>
            <w:r w:rsidRPr="00420FE3">
              <w:rPr>
                <w:sz w:val="2"/>
                <w:szCs w:val="2"/>
              </w:rPr>
              <w:t>83%</w:t>
            </w:r>
          </w:p>
        </w:tc>
        <w:tc>
          <w:tcPr>
            <w:tcW w:w="309" w:type="dxa"/>
            <w:noWrap/>
            <w:hideMark/>
          </w:tcPr>
          <w:p w14:paraId="356AB124" w14:textId="77777777" w:rsidR="00420FE3" w:rsidRPr="00420FE3" w:rsidRDefault="00420FE3" w:rsidP="00420FE3">
            <w:pPr>
              <w:pStyle w:val="Source"/>
              <w:rPr>
                <w:sz w:val="2"/>
                <w:szCs w:val="2"/>
              </w:rPr>
            </w:pPr>
            <w:r w:rsidRPr="00420FE3">
              <w:rPr>
                <w:sz w:val="2"/>
                <w:szCs w:val="2"/>
              </w:rPr>
              <w:t>44%</w:t>
            </w:r>
          </w:p>
        </w:tc>
      </w:tr>
      <w:tr w:rsidR="00420FE3" w:rsidRPr="00420FE3" w14:paraId="01BD6F46" w14:textId="77777777" w:rsidTr="00420FE3">
        <w:trPr>
          <w:trHeight w:val="300"/>
          <w:jc w:val="center"/>
        </w:trPr>
        <w:tc>
          <w:tcPr>
            <w:tcW w:w="2835" w:type="dxa"/>
            <w:noWrap/>
            <w:hideMark/>
          </w:tcPr>
          <w:p w14:paraId="67DBA60B" w14:textId="77777777" w:rsidR="00420FE3" w:rsidRPr="00420FE3" w:rsidRDefault="00420FE3" w:rsidP="00420FE3">
            <w:pPr>
              <w:pStyle w:val="Source"/>
              <w:rPr>
                <w:sz w:val="2"/>
                <w:szCs w:val="2"/>
              </w:rPr>
            </w:pPr>
          </w:p>
        </w:tc>
        <w:tc>
          <w:tcPr>
            <w:tcW w:w="1182" w:type="dxa"/>
            <w:noWrap/>
            <w:hideMark/>
          </w:tcPr>
          <w:p w14:paraId="707DF0C0" w14:textId="77777777" w:rsidR="00420FE3" w:rsidRPr="00420FE3" w:rsidRDefault="00420FE3" w:rsidP="00420FE3">
            <w:pPr>
              <w:pStyle w:val="Source"/>
              <w:rPr>
                <w:sz w:val="2"/>
                <w:szCs w:val="2"/>
              </w:rPr>
            </w:pPr>
          </w:p>
        </w:tc>
        <w:tc>
          <w:tcPr>
            <w:tcW w:w="1275" w:type="dxa"/>
            <w:noWrap/>
            <w:hideMark/>
          </w:tcPr>
          <w:p w14:paraId="2A89E026" w14:textId="77777777" w:rsidR="00420FE3" w:rsidRPr="00420FE3" w:rsidRDefault="00420FE3" w:rsidP="00420FE3">
            <w:pPr>
              <w:pStyle w:val="Source"/>
              <w:rPr>
                <w:b/>
                <w:bCs/>
                <w:sz w:val="2"/>
                <w:szCs w:val="2"/>
              </w:rPr>
            </w:pPr>
            <w:r w:rsidRPr="00420FE3">
              <w:rPr>
                <w:b/>
                <w:bCs/>
                <w:sz w:val="2"/>
                <w:szCs w:val="2"/>
              </w:rPr>
              <w:t>Typical demand</w:t>
            </w:r>
          </w:p>
        </w:tc>
        <w:tc>
          <w:tcPr>
            <w:tcW w:w="309" w:type="dxa"/>
            <w:noWrap/>
            <w:hideMark/>
          </w:tcPr>
          <w:p w14:paraId="0668E8F3" w14:textId="77777777" w:rsidR="00420FE3" w:rsidRPr="00420FE3" w:rsidRDefault="00420FE3" w:rsidP="00420FE3">
            <w:pPr>
              <w:pStyle w:val="Source"/>
              <w:rPr>
                <w:b/>
                <w:bCs/>
                <w:sz w:val="2"/>
                <w:szCs w:val="2"/>
              </w:rPr>
            </w:pPr>
            <w:r w:rsidRPr="00420FE3">
              <w:rPr>
                <w:b/>
                <w:bCs/>
                <w:sz w:val="2"/>
                <w:szCs w:val="2"/>
              </w:rPr>
              <w:t>Maximum demand</w:t>
            </w:r>
          </w:p>
        </w:tc>
      </w:tr>
      <w:tr w:rsidR="00420FE3" w:rsidRPr="00420FE3" w14:paraId="63CCD1F9" w14:textId="77777777" w:rsidTr="00420FE3">
        <w:trPr>
          <w:trHeight w:val="300"/>
          <w:jc w:val="center"/>
        </w:trPr>
        <w:tc>
          <w:tcPr>
            <w:tcW w:w="2835" w:type="dxa"/>
            <w:noWrap/>
            <w:hideMark/>
          </w:tcPr>
          <w:p w14:paraId="5B627E5C" w14:textId="77777777" w:rsidR="00420FE3" w:rsidRPr="00420FE3" w:rsidRDefault="00420FE3" w:rsidP="00420FE3">
            <w:pPr>
              <w:pStyle w:val="Source"/>
              <w:rPr>
                <w:b/>
                <w:bCs/>
                <w:sz w:val="2"/>
                <w:szCs w:val="2"/>
              </w:rPr>
            </w:pPr>
            <w:r w:rsidRPr="00420FE3">
              <w:rPr>
                <w:b/>
                <w:bCs/>
                <w:sz w:val="2"/>
                <w:szCs w:val="2"/>
              </w:rPr>
              <w:t>Out of school hours care</w:t>
            </w:r>
          </w:p>
        </w:tc>
        <w:tc>
          <w:tcPr>
            <w:tcW w:w="1182" w:type="dxa"/>
            <w:noWrap/>
            <w:hideMark/>
          </w:tcPr>
          <w:p w14:paraId="6C967686" w14:textId="77777777" w:rsidR="00420FE3" w:rsidRPr="00420FE3" w:rsidRDefault="00420FE3" w:rsidP="00420FE3">
            <w:pPr>
              <w:pStyle w:val="Source"/>
              <w:rPr>
                <w:sz w:val="2"/>
                <w:szCs w:val="2"/>
              </w:rPr>
            </w:pPr>
            <w:r w:rsidRPr="00420FE3">
              <w:rPr>
                <w:sz w:val="2"/>
                <w:szCs w:val="2"/>
              </w:rPr>
              <w:t>Major cities</w:t>
            </w:r>
          </w:p>
        </w:tc>
        <w:tc>
          <w:tcPr>
            <w:tcW w:w="1275" w:type="dxa"/>
            <w:noWrap/>
            <w:hideMark/>
          </w:tcPr>
          <w:p w14:paraId="634DE11F" w14:textId="77777777" w:rsidR="00420FE3" w:rsidRPr="00420FE3" w:rsidRDefault="00420FE3" w:rsidP="00420FE3">
            <w:pPr>
              <w:pStyle w:val="Source"/>
              <w:rPr>
                <w:sz w:val="2"/>
                <w:szCs w:val="2"/>
              </w:rPr>
            </w:pPr>
            <w:r w:rsidRPr="00420FE3">
              <w:rPr>
                <w:sz w:val="2"/>
                <w:szCs w:val="2"/>
              </w:rPr>
              <w:t>74%</w:t>
            </w:r>
          </w:p>
        </w:tc>
        <w:tc>
          <w:tcPr>
            <w:tcW w:w="309" w:type="dxa"/>
            <w:noWrap/>
            <w:hideMark/>
          </w:tcPr>
          <w:p w14:paraId="3DC25893" w14:textId="77777777" w:rsidR="00420FE3" w:rsidRPr="00420FE3" w:rsidRDefault="00420FE3" w:rsidP="00420FE3">
            <w:pPr>
              <w:pStyle w:val="Source"/>
              <w:rPr>
                <w:sz w:val="2"/>
                <w:szCs w:val="2"/>
              </w:rPr>
            </w:pPr>
            <w:r w:rsidRPr="00420FE3">
              <w:rPr>
                <w:sz w:val="2"/>
                <w:szCs w:val="2"/>
              </w:rPr>
              <w:t>36%</w:t>
            </w:r>
          </w:p>
        </w:tc>
      </w:tr>
      <w:tr w:rsidR="00420FE3" w:rsidRPr="00420FE3" w14:paraId="28F2215A" w14:textId="77777777" w:rsidTr="00420FE3">
        <w:trPr>
          <w:trHeight w:val="285"/>
          <w:jc w:val="center"/>
        </w:trPr>
        <w:tc>
          <w:tcPr>
            <w:tcW w:w="2835" w:type="dxa"/>
            <w:noWrap/>
            <w:hideMark/>
          </w:tcPr>
          <w:p w14:paraId="43A01DBD" w14:textId="77777777" w:rsidR="00420FE3" w:rsidRPr="00420FE3" w:rsidRDefault="00420FE3" w:rsidP="00420FE3">
            <w:pPr>
              <w:pStyle w:val="Source"/>
              <w:rPr>
                <w:sz w:val="2"/>
                <w:szCs w:val="2"/>
              </w:rPr>
            </w:pPr>
          </w:p>
        </w:tc>
        <w:tc>
          <w:tcPr>
            <w:tcW w:w="1182" w:type="dxa"/>
            <w:noWrap/>
            <w:hideMark/>
          </w:tcPr>
          <w:p w14:paraId="70A1C528" w14:textId="77777777" w:rsidR="00420FE3" w:rsidRPr="00420FE3" w:rsidRDefault="00420FE3" w:rsidP="00420FE3">
            <w:pPr>
              <w:pStyle w:val="Source"/>
              <w:rPr>
                <w:sz w:val="2"/>
                <w:szCs w:val="2"/>
              </w:rPr>
            </w:pPr>
            <w:r w:rsidRPr="00420FE3">
              <w:rPr>
                <w:sz w:val="2"/>
                <w:szCs w:val="2"/>
              </w:rPr>
              <w:t>Inner regional</w:t>
            </w:r>
          </w:p>
        </w:tc>
        <w:tc>
          <w:tcPr>
            <w:tcW w:w="1275" w:type="dxa"/>
            <w:noWrap/>
            <w:hideMark/>
          </w:tcPr>
          <w:p w14:paraId="09158625" w14:textId="77777777" w:rsidR="00420FE3" w:rsidRPr="00420FE3" w:rsidRDefault="00420FE3" w:rsidP="00420FE3">
            <w:pPr>
              <w:pStyle w:val="Source"/>
              <w:rPr>
                <w:sz w:val="2"/>
                <w:szCs w:val="2"/>
              </w:rPr>
            </w:pPr>
            <w:r w:rsidRPr="00420FE3">
              <w:rPr>
                <w:sz w:val="2"/>
                <w:szCs w:val="2"/>
              </w:rPr>
              <w:t>66%</w:t>
            </w:r>
          </w:p>
        </w:tc>
        <w:tc>
          <w:tcPr>
            <w:tcW w:w="309" w:type="dxa"/>
            <w:noWrap/>
            <w:hideMark/>
          </w:tcPr>
          <w:p w14:paraId="19C8019A" w14:textId="77777777" w:rsidR="00420FE3" w:rsidRPr="00420FE3" w:rsidRDefault="00420FE3" w:rsidP="00420FE3">
            <w:pPr>
              <w:pStyle w:val="Source"/>
              <w:rPr>
                <w:sz w:val="2"/>
                <w:szCs w:val="2"/>
              </w:rPr>
            </w:pPr>
            <w:r w:rsidRPr="00420FE3">
              <w:rPr>
                <w:sz w:val="2"/>
                <w:szCs w:val="2"/>
              </w:rPr>
              <w:t>36%</w:t>
            </w:r>
          </w:p>
        </w:tc>
      </w:tr>
      <w:tr w:rsidR="00420FE3" w:rsidRPr="00420FE3" w14:paraId="2D4E45D4" w14:textId="77777777" w:rsidTr="00420FE3">
        <w:trPr>
          <w:trHeight w:val="285"/>
          <w:jc w:val="center"/>
        </w:trPr>
        <w:tc>
          <w:tcPr>
            <w:tcW w:w="2835" w:type="dxa"/>
            <w:noWrap/>
            <w:hideMark/>
          </w:tcPr>
          <w:p w14:paraId="6BF63A35" w14:textId="77777777" w:rsidR="00420FE3" w:rsidRPr="00420FE3" w:rsidRDefault="00420FE3" w:rsidP="00420FE3">
            <w:pPr>
              <w:pStyle w:val="Source"/>
              <w:rPr>
                <w:sz w:val="2"/>
                <w:szCs w:val="2"/>
              </w:rPr>
            </w:pPr>
          </w:p>
        </w:tc>
        <w:tc>
          <w:tcPr>
            <w:tcW w:w="1182" w:type="dxa"/>
            <w:noWrap/>
            <w:hideMark/>
          </w:tcPr>
          <w:p w14:paraId="6023EC27" w14:textId="77777777" w:rsidR="00420FE3" w:rsidRPr="00420FE3" w:rsidRDefault="00420FE3" w:rsidP="00420FE3">
            <w:pPr>
              <w:pStyle w:val="Source"/>
              <w:rPr>
                <w:sz w:val="2"/>
                <w:szCs w:val="2"/>
              </w:rPr>
            </w:pPr>
            <w:r w:rsidRPr="00420FE3">
              <w:rPr>
                <w:sz w:val="2"/>
                <w:szCs w:val="2"/>
              </w:rPr>
              <w:t>Outer regional</w:t>
            </w:r>
          </w:p>
        </w:tc>
        <w:tc>
          <w:tcPr>
            <w:tcW w:w="1275" w:type="dxa"/>
            <w:noWrap/>
            <w:hideMark/>
          </w:tcPr>
          <w:p w14:paraId="5D277965" w14:textId="77777777" w:rsidR="00420FE3" w:rsidRPr="00420FE3" w:rsidRDefault="00420FE3" w:rsidP="00420FE3">
            <w:pPr>
              <w:pStyle w:val="Source"/>
              <w:rPr>
                <w:sz w:val="2"/>
                <w:szCs w:val="2"/>
              </w:rPr>
            </w:pPr>
            <w:r w:rsidRPr="00420FE3">
              <w:rPr>
                <w:sz w:val="2"/>
                <w:szCs w:val="2"/>
              </w:rPr>
              <w:t>74%</w:t>
            </w:r>
          </w:p>
        </w:tc>
        <w:tc>
          <w:tcPr>
            <w:tcW w:w="309" w:type="dxa"/>
            <w:noWrap/>
            <w:hideMark/>
          </w:tcPr>
          <w:p w14:paraId="4E6900BE" w14:textId="77777777" w:rsidR="00420FE3" w:rsidRPr="00420FE3" w:rsidRDefault="00420FE3" w:rsidP="00420FE3">
            <w:pPr>
              <w:pStyle w:val="Source"/>
              <w:rPr>
                <w:sz w:val="2"/>
                <w:szCs w:val="2"/>
              </w:rPr>
            </w:pPr>
            <w:r w:rsidRPr="00420FE3">
              <w:rPr>
                <w:sz w:val="2"/>
                <w:szCs w:val="2"/>
              </w:rPr>
              <w:t>46%</w:t>
            </w:r>
          </w:p>
        </w:tc>
      </w:tr>
      <w:tr w:rsidR="00420FE3" w:rsidRPr="00420FE3" w14:paraId="0D733DA0" w14:textId="77777777" w:rsidTr="00420FE3">
        <w:trPr>
          <w:trHeight w:val="285"/>
          <w:jc w:val="center"/>
        </w:trPr>
        <w:tc>
          <w:tcPr>
            <w:tcW w:w="2835" w:type="dxa"/>
            <w:noWrap/>
            <w:hideMark/>
          </w:tcPr>
          <w:p w14:paraId="2ED99076" w14:textId="77777777" w:rsidR="00420FE3" w:rsidRPr="00420FE3" w:rsidRDefault="00420FE3" w:rsidP="00420FE3">
            <w:pPr>
              <w:pStyle w:val="Source"/>
              <w:rPr>
                <w:sz w:val="2"/>
                <w:szCs w:val="2"/>
              </w:rPr>
            </w:pPr>
          </w:p>
        </w:tc>
        <w:tc>
          <w:tcPr>
            <w:tcW w:w="1182" w:type="dxa"/>
            <w:noWrap/>
            <w:hideMark/>
          </w:tcPr>
          <w:p w14:paraId="6B87CC6A" w14:textId="77777777" w:rsidR="00420FE3" w:rsidRPr="00420FE3" w:rsidRDefault="00420FE3" w:rsidP="00420FE3">
            <w:pPr>
              <w:pStyle w:val="Source"/>
              <w:rPr>
                <w:sz w:val="2"/>
                <w:szCs w:val="2"/>
              </w:rPr>
            </w:pPr>
            <w:r w:rsidRPr="00420FE3">
              <w:rPr>
                <w:sz w:val="2"/>
                <w:szCs w:val="2"/>
              </w:rPr>
              <w:t>Remote</w:t>
            </w:r>
          </w:p>
        </w:tc>
        <w:tc>
          <w:tcPr>
            <w:tcW w:w="1275" w:type="dxa"/>
            <w:noWrap/>
            <w:hideMark/>
          </w:tcPr>
          <w:p w14:paraId="53B9FEA2" w14:textId="77777777" w:rsidR="00420FE3" w:rsidRPr="00420FE3" w:rsidRDefault="00420FE3" w:rsidP="00420FE3">
            <w:pPr>
              <w:pStyle w:val="Source"/>
              <w:rPr>
                <w:sz w:val="2"/>
                <w:szCs w:val="2"/>
              </w:rPr>
            </w:pPr>
            <w:r w:rsidRPr="00420FE3">
              <w:rPr>
                <w:sz w:val="2"/>
                <w:szCs w:val="2"/>
              </w:rPr>
              <w:t>68%</w:t>
            </w:r>
          </w:p>
        </w:tc>
        <w:tc>
          <w:tcPr>
            <w:tcW w:w="309" w:type="dxa"/>
            <w:noWrap/>
            <w:hideMark/>
          </w:tcPr>
          <w:p w14:paraId="216A7E12" w14:textId="77777777" w:rsidR="00420FE3" w:rsidRPr="00420FE3" w:rsidRDefault="00420FE3" w:rsidP="00420FE3">
            <w:pPr>
              <w:pStyle w:val="Source"/>
              <w:rPr>
                <w:sz w:val="2"/>
                <w:szCs w:val="2"/>
              </w:rPr>
            </w:pPr>
            <w:r w:rsidRPr="00420FE3">
              <w:rPr>
                <w:sz w:val="2"/>
                <w:szCs w:val="2"/>
              </w:rPr>
              <w:t>42%</w:t>
            </w:r>
          </w:p>
        </w:tc>
      </w:tr>
      <w:tr w:rsidR="00420FE3" w:rsidRPr="00420FE3" w14:paraId="49E60FB9" w14:textId="77777777" w:rsidTr="00420FE3">
        <w:trPr>
          <w:trHeight w:val="285"/>
          <w:jc w:val="center"/>
        </w:trPr>
        <w:tc>
          <w:tcPr>
            <w:tcW w:w="2835" w:type="dxa"/>
            <w:noWrap/>
            <w:hideMark/>
          </w:tcPr>
          <w:p w14:paraId="190FE8BC" w14:textId="77777777" w:rsidR="00420FE3" w:rsidRPr="00420FE3" w:rsidRDefault="00420FE3" w:rsidP="00420FE3">
            <w:pPr>
              <w:pStyle w:val="Source"/>
              <w:rPr>
                <w:sz w:val="2"/>
                <w:szCs w:val="2"/>
              </w:rPr>
            </w:pPr>
          </w:p>
        </w:tc>
        <w:tc>
          <w:tcPr>
            <w:tcW w:w="1182" w:type="dxa"/>
            <w:noWrap/>
            <w:hideMark/>
          </w:tcPr>
          <w:p w14:paraId="12604453" w14:textId="77777777" w:rsidR="00420FE3" w:rsidRPr="00420FE3" w:rsidRDefault="00420FE3" w:rsidP="00420FE3">
            <w:pPr>
              <w:pStyle w:val="Source"/>
              <w:rPr>
                <w:sz w:val="2"/>
                <w:szCs w:val="2"/>
              </w:rPr>
            </w:pPr>
            <w:r w:rsidRPr="00420FE3">
              <w:rPr>
                <w:sz w:val="2"/>
                <w:szCs w:val="2"/>
              </w:rPr>
              <w:t>Very remote</w:t>
            </w:r>
          </w:p>
        </w:tc>
        <w:tc>
          <w:tcPr>
            <w:tcW w:w="1275" w:type="dxa"/>
            <w:noWrap/>
            <w:hideMark/>
          </w:tcPr>
          <w:p w14:paraId="1229D755" w14:textId="77777777" w:rsidR="00420FE3" w:rsidRPr="00420FE3" w:rsidRDefault="00420FE3" w:rsidP="00420FE3">
            <w:pPr>
              <w:pStyle w:val="Source"/>
              <w:rPr>
                <w:sz w:val="2"/>
                <w:szCs w:val="2"/>
              </w:rPr>
            </w:pPr>
            <w:r w:rsidRPr="00420FE3">
              <w:rPr>
                <w:sz w:val="2"/>
                <w:szCs w:val="2"/>
              </w:rPr>
              <w:t>67%</w:t>
            </w:r>
          </w:p>
        </w:tc>
        <w:tc>
          <w:tcPr>
            <w:tcW w:w="309" w:type="dxa"/>
            <w:noWrap/>
            <w:hideMark/>
          </w:tcPr>
          <w:p w14:paraId="6A368DAD" w14:textId="77777777" w:rsidR="00420FE3" w:rsidRPr="00420FE3" w:rsidRDefault="00420FE3" w:rsidP="00420FE3">
            <w:pPr>
              <w:pStyle w:val="Source"/>
              <w:rPr>
                <w:sz w:val="2"/>
                <w:szCs w:val="2"/>
              </w:rPr>
            </w:pPr>
            <w:r w:rsidRPr="00420FE3">
              <w:rPr>
                <w:sz w:val="2"/>
                <w:szCs w:val="2"/>
              </w:rPr>
              <w:t>27%</w:t>
            </w:r>
          </w:p>
        </w:tc>
      </w:tr>
    </w:tbl>
    <w:p w14:paraId="496915D2" w14:textId="77777777" w:rsidR="00420FE3" w:rsidRDefault="00420FE3" w:rsidP="00BC3D30">
      <w:pPr>
        <w:pStyle w:val="Source"/>
      </w:pPr>
    </w:p>
    <w:p w14:paraId="6FC1DD06" w14:textId="77777777" w:rsidR="00420FE3" w:rsidRDefault="00420FE3" w:rsidP="00BC3D30">
      <w:pPr>
        <w:pStyle w:val="Source"/>
      </w:pPr>
    </w:p>
    <w:p w14:paraId="3D504687" w14:textId="77777777" w:rsidR="00420FE3" w:rsidRDefault="00420FE3" w:rsidP="00BC3D30">
      <w:pPr>
        <w:pStyle w:val="Source"/>
      </w:pPr>
    </w:p>
    <w:p w14:paraId="0005739B" w14:textId="77777777" w:rsidR="00420FE3" w:rsidRDefault="00420FE3" w:rsidP="00BC3D30">
      <w:pPr>
        <w:pStyle w:val="Source"/>
      </w:pPr>
    </w:p>
    <w:p w14:paraId="24748A9B" w14:textId="77777777" w:rsidR="00420FE3" w:rsidRDefault="00420FE3" w:rsidP="00BC3D30">
      <w:pPr>
        <w:pStyle w:val="Source"/>
      </w:pPr>
    </w:p>
    <w:p w14:paraId="715FE349" w14:textId="77777777" w:rsidR="00420FE3" w:rsidRDefault="00420FE3" w:rsidP="00BC3D30">
      <w:pPr>
        <w:pStyle w:val="Source"/>
      </w:pPr>
    </w:p>
    <w:p w14:paraId="296F9795" w14:textId="77777777" w:rsidR="00420FE3" w:rsidRDefault="00420FE3" w:rsidP="00BC3D30">
      <w:pPr>
        <w:pStyle w:val="Source"/>
      </w:pPr>
    </w:p>
    <w:p w14:paraId="3E92BF63" w14:textId="77777777" w:rsidR="00420FE3" w:rsidRDefault="00420FE3" w:rsidP="00BC3D30">
      <w:pPr>
        <w:pStyle w:val="Source"/>
      </w:pPr>
    </w:p>
    <w:p w14:paraId="2D60EC12" w14:textId="77777777" w:rsidR="00420FE3" w:rsidRDefault="00420FE3" w:rsidP="00BC3D30">
      <w:pPr>
        <w:pStyle w:val="Source"/>
      </w:pPr>
    </w:p>
    <w:p w14:paraId="4746AA9C" w14:textId="1AD66156" w:rsidR="00BC3D30" w:rsidRDefault="00BC3D30" w:rsidP="00BC3D30">
      <w:pPr>
        <w:pStyle w:val="Source"/>
      </w:pPr>
      <w:r>
        <w:t>Source: JSA analysis of Department of Education NWC (2021) and CCS; ACECQA, National</w:t>
      </w:r>
      <w:r w:rsidDel="0049130D">
        <w:t xml:space="preserve"> </w:t>
      </w:r>
      <w:r>
        <w:t xml:space="preserve">Registers </w:t>
      </w:r>
    </w:p>
    <w:p w14:paraId="7D0BF3E4" w14:textId="77777777" w:rsidR="00BC3D30" w:rsidRPr="005F193C" w:rsidRDefault="00BC3D30" w:rsidP="00BC3D30">
      <w:r>
        <w:t>With just 22% of CBDCs and 36% of OHSCs accommodating a maximum level of demand less than approved places, the sector is most likely constrained by the number and size of existing services. Future growth and expansion will be driven by the opening of new services centred around major cities and inner regional areas. This will have implications for the required future staffing mix.</w:t>
      </w:r>
    </w:p>
    <w:p w14:paraId="4E986E22" w14:textId="77777777" w:rsidR="00BC3D30" w:rsidRPr="00A43352" w:rsidRDefault="00BC3D30" w:rsidP="00BC3D30">
      <w:pPr>
        <w:pStyle w:val="Heading2"/>
      </w:pPr>
      <w:bookmarkStart w:id="69" w:name="_Toc174363700"/>
      <w:r w:rsidRPr="00A43352">
        <w:lastRenderedPageBreak/>
        <w:t>Summary</w:t>
      </w:r>
      <w:bookmarkEnd w:id="69"/>
    </w:p>
    <w:p w14:paraId="48C5F561" w14:textId="77777777" w:rsidR="00BC3D30" w:rsidRDefault="00BC3D30" w:rsidP="00BC3D30">
      <w:r>
        <w:t>Chapter 1</w:t>
      </w:r>
      <w:r w:rsidRPr="2BFAD4C2">
        <w:t xml:space="preserve"> </w:t>
      </w:r>
      <w:r>
        <w:t xml:space="preserve">introduces the systems and structures making up the ECEC sector, including differences in the type and provision of services. ECEC services operate within a strong regulatory framework, which encompasses the number and qualifications of educators as well as the number of children in each service. The sector is responsive; the number and mix of services differs substantially across the country, reflecting the differing characteristics and needs of families and children. Service types reflect </w:t>
      </w:r>
      <w:r w:rsidRPr="356B3964">
        <w:t xml:space="preserve">specific community </w:t>
      </w:r>
      <w:r w:rsidRPr="48FA680F">
        <w:t xml:space="preserve">and family needs, </w:t>
      </w:r>
      <w:r w:rsidRPr="59551E21">
        <w:t xml:space="preserve">especially for </w:t>
      </w:r>
      <w:r w:rsidRPr="4F05C8CB">
        <w:t xml:space="preserve">First Nations children. </w:t>
      </w:r>
      <w:r>
        <w:t>However, g</w:t>
      </w:r>
      <w:r w:rsidRPr="4C2427F9">
        <w:t>reater access to quality</w:t>
      </w:r>
      <w:r w:rsidRPr="044774DA">
        <w:t xml:space="preserve"> and culturally accessible ECEC </w:t>
      </w:r>
      <w:r w:rsidRPr="741AEB39">
        <w:t xml:space="preserve">programs is </w:t>
      </w:r>
      <w:r w:rsidRPr="38A9CA92">
        <w:t xml:space="preserve">needed to increase First Nations </w:t>
      </w:r>
      <w:r w:rsidRPr="4758D632">
        <w:t>participation</w:t>
      </w:r>
      <w:r>
        <w:t xml:space="preserve">, noting current government investment in integrated services </w:t>
      </w:r>
      <w:r w:rsidRPr="009F6253">
        <w:t>delivered through culturally safe programs including Connected Beginnings, Aboriginal and Torres Strait Islander community-controlled organisations (ACCOs) and Aboriginal Child and Family Centres (ACFCs). However, ACCOs often face funding challenges and uncertainty (PC, 2023c).</w:t>
      </w:r>
    </w:p>
    <w:p w14:paraId="6D635AB5" w14:textId="77777777" w:rsidR="00BC3D30" w:rsidRDefault="00BC3D30" w:rsidP="00BC3D30">
      <w:r w:rsidRPr="59351DE1">
        <w:t xml:space="preserve">Analysis demonstrates several key features in the provision of ECEC, namely that ownership of CBDC and OSHC, the largest components, is quite centralised, dominated by private for-profit organisations, and concentrated in Australia’s major cities. Over the past decade, expansion of the sector has been driven almost entirely by private for-profit services, and this trend is likely to continue. The following chapter explores differences in key workforce characteristics across service provider type, including private for-profit services. </w:t>
      </w:r>
    </w:p>
    <w:p w14:paraId="179BD51B" w14:textId="77777777" w:rsidR="00BC3D30" w:rsidRDefault="00BC3D30" w:rsidP="00BC3D30">
      <w:r w:rsidRPr="0108E047">
        <w:t xml:space="preserve">Finally, the chapter examines the sector’s ability to accommodate additional demand. Regulatory waiver data indicates that very few services have a waiver for the number of educators. However, there has been a recent increase in waivers for ECTs and qualification requirements, suggesting a potential workforce limitation to future growth. The approved </w:t>
      </w:r>
      <w:proofErr w:type="gramStart"/>
      <w:r w:rsidRPr="0108E047">
        <w:t>places</w:t>
      </w:r>
      <w:proofErr w:type="gramEnd"/>
      <w:r w:rsidRPr="0108E047">
        <w:t xml:space="preserve"> of a service is a limiting factor to enrolling more children. Although around three fifths of services have additional capacity based on typical enrolments, more than half of these will fill remaining capacity if required. Hence, only around 27% of services reported additional physical capacity at their maximum level of demand. </w:t>
      </w:r>
    </w:p>
    <w:p w14:paraId="504B3051" w14:textId="77777777" w:rsidR="00BC3D30" w:rsidRDefault="00BC3D30" w:rsidP="00BC3D30">
      <w:r>
        <w:t xml:space="preserve">Looking ahead, the entry of new services will be required meet ongoing increases in demand for education and care, with limited scope for existing services to accommodate more children. It is likely that this many of these new services will be privately operated for-profits located around major cities. </w:t>
      </w:r>
    </w:p>
    <w:p w14:paraId="7DC136C2" w14:textId="77777777" w:rsidR="00F47B0F" w:rsidRDefault="00F47B0F" w:rsidP="00C17D9C">
      <w:pPr>
        <w:sectPr w:rsidR="00F47B0F" w:rsidSect="00333012">
          <w:headerReference w:type="default" r:id="rId73"/>
          <w:footerReference w:type="default" r:id="rId74"/>
          <w:pgSz w:w="11906" w:h="16838" w:code="9"/>
          <w:pgMar w:top="1440" w:right="1440" w:bottom="1440" w:left="1440" w:header="0" w:footer="709" w:gutter="0"/>
          <w:cols w:space="708"/>
          <w:docGrid w:linePitch="360"/>
        </w:sectPr>
      </w:pPr>
    </w:p>
    <w:p w14:paraId="11234F11" w14:textId="77777777" w:rsidR="00F47B0F" w:rsidRPr="00F47B0F" w:rsidRDefault="00F47B0F" w:rsidP="00F47B0F">
      <w:pPr>
        <w:pStyle w:val="Heading1"/>
      </w:pPr>
      <w:bookmarkStart w:id="70" w:name="_Toc174363701"/>
      <w:r w:rsidRPr="00F47B0F">
        <w:rPr>
          <w:noProof/>
        </w:rPr>
        <w:drawing>
          <wp:anchor distT="0" distB="0" distL="114300" distR="114300" simplePos="0" relativeHeight="251679747" behindDoc="0" locked="0" layoutInCell="1" allowOverlap="1" wp14:anchorId="624C71A7" wp14:editId="29B10809">
            <wp:simplePos x="0" y="0"/>
            <wp:positionH relativeFrom="page">
              <wp:align>left</wp:align>
            </wp:positionH>
            <wp:positionV relativeFrom="page">
              <wp:align>top</wp:align>
            </wp:positionV>
            <wp:extent cx="7560000" cy="10692000"/>
            <wp:effectExtent l="0" t="0" r="3175" b="0"/>
            <wp:wrapNone/>
            <wp:docPr id="14236185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61854" name="Picture 1">
                      <a:extLst>
                        <a:ext uri="{C183D7F6-B498-43B3-948B-1728B52AA6E4}">
                          <adec:decorative xmlns:adec="http://schemas.microsoft.com/office/drawing/2017/decorative" val="1"/>
                        </a:ext>
                      </a:extLst>
                    </pic:cNvPr>
                    <pic:cNvPicPr/>
                  </pic:nvPicPr>
                  <pic:blipFill>
                    <a:blip r:embed="rId75">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r w:rsidRPr="00F47B0F">
        <w:rPr>
          <w:noProof/>
        </w:rPr>
        <w:t>Chapter 2:</w:t>
      </w:r>
      <w:r w:rsidRPr="00F47B0F">
        <w:t xml:space="preserve"> </w:t>
      </w:r>
      <w:r w:rsidRPr="00F47B0F">
        <w:rPr>
          <w:noProof/>
        </w:rPr>
        <w:t>The ECEC Workforce</w:t>
      </w:r>
      <w:bookmarkEnd w:id="70"/>
      <w:r w:rsidRPr="00F47B0F">
        <w:rPr>
          <w:noProof/>
        </w:rPr>
        <w:t xml:space="preserve"> </w:t>
      </w:r>
    </w:p>
    <w:p w14:paraId="129CEB03" w14:textId="77777777" w:rsidR="00F47B0F" w:rsidRPr="00F47B0F" w:rsidRDefault="00F47B0F" w:rsidP="00F47B0F">
      <w:pPr>
        <w:widowControl w:val="0"/>
        <w:autoSpaceDE w:val="0"/>
        <w:autoSpaceDN w:val="0"/>
        <w:spacing w:before="521" w:after="0" w:line="247" w:lineRule="auto"/>
        <w:ind w:left="283" w:right="283"/>
        <w:rPr>
          <w:rFonts w:eastAsia="Arial" w:cs="Arial"/>
          <w:color w:val="auto"/>
          <w:sz w:val="32"/>
          <w:szCs w:val="32"/>
        </w:rPr>
      </w:pPr>
    </w:p>
    <w:p w14:paraId="28F08F88" w14:textId="77777777" w:rsidR="00F47B0F" w:rsidRPr="00F47B0F" w:rsidRDefault="00F47B0F" w:rsidP="00F47B0F">
      <w:pPr>
        <w:rPr>
          <w:sz w:val="18"/>
          <w:szCs w:val="18"/>
        </w:rPr>
      </w:pPr>
      <w:r w:rsidRPr="00F47B0F">
        <w:rPr>
          <w:sz w:val="18"/>
          <w:szCs w:val="18"/>
        </w:rPr>
        <w:br w:type="page"/>
      </w:r>
    </w:p>
    <w:p w14:paraId="2FBF2C26" w14:textId="77777777" w:rsidR="00F47B0F" w:rsidRPr="00F47B0F" w:rsidRDefault="00F47B0F" w:rsidP="00F47B0F">
      <w:r w:rsidRPr="00F47B0F">
        <w:lastRenderedPageBreak/>
        <w:t xml:space="preserve">The current ECEC workforce is at the core of this Study and this chapter aims to better understand who they are – the work they do, their characteristics and qualifications, the previous experience they bring to their work and their conditions of employment. </w:t>
      </w:r>
    </w:p>
    <w:p w14:paraId="540D7C2E" w14:textId="77777777" w:rsidR="00F47B0F" w:rsidRPr="00F47B0F" w:rsidRDefault="00F47B0F" w:rsidP="00F47B0F">
      <w:r w:rsidRPr="00F47B0F">
        <w:t xml:space="preserve">The chapter uses data classified by ANZSCO and </w:t>
      </w:r>
      <w:r w:rsidRPr="00F47B0F">
        <w:rPr>
          <w:rFonts w:eastAsia="Arial" w:cs="Arial"/>
        </w:rPr>
        <w:t>Australian and New Zealand Standard Industrial Classification</w:t>
      </w:r>
      <w:r w:rsidRPr="00F47B0F">
        <w:t xml:space="preserve"> (ANZSIC) to examine the size and characteristics of the ECEC sector, and other ABS and JSA data to explore hiring trends, occupational flows and the role of skilled migration. The chapter also identifies </w:t>
      </w:r>
      <w:proofErr w:type="gramStart"/>
      <w:r w:rsidRPr="00F47B0F">
        <w:t>particular trends</w:t>
      </w:r>
      <w:proofErr w:type="gramEnd"/>
      <w:r w:rsidRPr="00F47B0F">
        <w:t xml:space="preserve"> within the workforce, especially with regard to First Nations educators and migrant educators, and we examine how demand for the ECEC workforce varies across Australia. </w:t>
      </w:r>
    </w:p>
    <w:p w14:paraId="2461CA67" w14:textId="77777777" w:rsidR="00F47B0F" w:rsidRPr="00F47B0F" w:rsidRDefault="00F47B0F" w:rsidP="00F47B0F">
      <w:pPr>
        <w:pStyle w:val="Heading2"/>
      </w:pPr>
      <w:bookmarkStart w:id="71" w:name="_Toc156580795"/>
      <w:bookmarkStart w:id="72" w:name="_Toc162526354"/>
      <w:bookmarkStart w:id="73" w:name="_Toc174363702"/>
      <w:r w:rsidRPr="00F47B0F">
        <w:t>Defining the ECEC Workforce</w:t>
      </w:r>
      <w:bookmarkEnd w:id="71"/>
      <w:bookmarkEnd w:id="72"/>
      <w:bookmarkEnd w:id="73"/>
    </w:p>
    <w:p w14:paraId="569E9527" w14:textId="77777777" w:rsidR="00F47B0F" w:rsidRPr="00F47B0F" w:rsidRDefault="00F47B0F" w:rsidP="00F47B0F">
      <w:r w:rsidRPr="00F47B0F">
        <w:t>Our study broadly defines the ECEC workforce as all staff who operate in any ECEC service regulated by the NQF. The 2021 NWC reported approximately 217,000 staff within the scope of the NWC.</w:t>
      </w:r>
      <w:r w:rsidRPr="00F47B0F" w:rsidDel="000E707F">
        <w:t xml:space="preserve"> </w:t>
      </w:r>
      <w:r w:rsidRPr="00F47B0F">
        <w:fldChar w:fldCharType="begin" w:fldLock="1"/>
      </w:r>
      <w:r w:rsidRPr="00F47B0F">
        <w:instrText xml:space="preserve"> REF _Ref169102120 \h </w:instrText>
      </w:r>
      <w:r w:rsidRPr="00F47B0F">
        <w:fldChar w:fldCharType="separate"/>
      </w:r>
      <w:r w:rsidRPr="00F47B0F">
        <w:t>Table 2.</w:t>
      </w:r>
      <w:r w:rsidRPr="00F47B0F">
        <w:rPr>
          <w:noProof/>
        </w:rPr>
        <w:t>1</w:t>
      </w:r>
      <w:r w:rsidRPr="00F47B0F">
        <w:fldChar w:fldCharType="end"/>
      </w:r>
      <w:r w:rsidRPr="00F47B0F">
        <w:t xml:space="preserve"> provides the breakdown by service type and jurisdiction. </w:t>
      </w:r>
    </w:p>
    <w:p w14:paraId="1CCCDACD" w14:textId="702F5E8E" w:rsidR="00F47B0F" w:rsidRPr="00F47B0F" w:rsidRDefault="00F47B0F" w:rsidP="00887E52">
      <w:pPr>
        <w:pStyle w:val="Caption"/>
      </w:pPr>
      <w:bookmarkStart w:id="74" w:name="_Ref169102120"/>
      <w:r w:rsidRPr="00F47B0F">
        <w:t>Table 2</w:t>
      </w:r>
      <w:bookmarkEnd w:id="74"/>
      <w:r w:rsidRPr="00F47B0F">
        <w:t>.</w:t>
      </w:r>
      <w:r w:rsidRPr="00F47B0F">
        <w:fldChar w:fldCharType="begin"/>
      </w:r>
      <w:r w:rsidRPr="00F47B0F">
        <w:instrText xml:space="preserve"> SEQ Table \* ARABIC \s 1 </w:instrText>
      </w:r>
      <w:r w:rsidRPr="00F47B0F">
        <w:fldChar w:fldCharType="separate"/>
      </w:r>
      <w:r w:rsidR="005F18C1">
        <w:rPr>
          <w:noProof/>
        </w:rPr>
        <w:t>1</w:t>
      </w:r>
      <w:r w:rsidRPr="00F47B0F">
        <w:fldChar w:fldCharType="end"/>
      </w:r>
      <w:r w:rsidRPr="00F47B0F">
        <w:t xml:space="preserve"> Size of ECEC workforce, 2021 ECEC National Workforce Census</w:t>
      </w:r>
    </w:p>
    <w:tbl>
      <w:tblPr>
        <w:tblStyle w:val="JSATable1"/>
        <w:tblW w:w="5000" w:type="pct"/>
        <w:tblLook w:val="0020" w:firstRow="1" w:lastRow="0" w:firstColumn="0" w:lastColumn="0" w:noHBand="0" w:noVBand="0"/>
      </w:tblPr>
      <w:tblGrid>
        <w:gridCol w:w="1105"/>
        <w:gridCol w:w="1105"/>
        <w:gridCol w:w="1105"/>
        <w:gridCol w:w="1105"/>
        <w:gridCol w:w="1105"/>
        <w:gridCol w:w="1105"/>
        <w:gridCol w:w="1105"/>
        <w:gridCol w:w="1291"/>
      </w:tblGrid>
      <w:tr w:rsidR="00F47B0F" w:rsidRPr="00F47B0F" w14:paraId="74C6A127" w14:textId="77777777" w:rsidTr="005F6ADC">
        <w:trPr>
          <w:cnfStyle w:val="100000000000" w:firstRow="1" w:lastRow="0" w:firstColumn="0" w:lastColumn="0" w:oddVBand="0" w:evenVBand="0" w:oddHBand="0" w:evenHBand="0" w:firstRowFirstColumn="0" w:firstRowLastColumn="0" w:lastRowFirstColumn="0" w:lastRowLastColumn="0"/>
        </w:trPr>
        <w:tc>
          <w:tcPr>
            <w:tcW w:w="612" w:type="pct"/>
          </w:tcPr>
          <w:p w14:paraId="79F2B7F2" w14:textId="77777777" w:rsidR="00F47B0F" w:rsidRPr="00F47B0F" w:rsidRDefault="00F47B0F" w:rsidP="00F47B0F">
            <w:pPr>
              <w:rPr>
                <w:color w:val="FFFFFF" w:themeColor="background1"/>
              </w:rPr>
            </w:pPr>
          </w:p>
        </w:tc>
        <w:tc>
          <w:tcPr>
            <w:tcW w:w="612" w:type="pct"/>
          </w:tcPr>
          <w:p w14:paraId="6F87B812" w14:textId="77777777" w:rsidR="00F47B0F" w:rsidRPr="00F47B0F" w:rsidRDefault="00F47B0F" w:rsidP="00F47B0F">
            <w:pPr>
              <w:jc w:val="center"/>
              <w:rPr>
                <w:b/>
                <w:bCs/>
                <w:color w:val="FFFFFF" w:themeColor="background1"/>
              </w:rPr>
            </w:pPr>
            <w:r w:rsidRPr="00F47B0F">
              <w:rPr>
                <w:b/>
                <w:bCs/>
                <w:color w:val="FFFFFF" w:themeColor="background1"/>
              </w:rPr>
              <w:t>CBDC</w:t>
            </w:r>
          </w:p>
        </w:tc>
        <w:tc>
          <w:tcPr>
            <w:tcW w:w="612" w:type="pct"/>
          </w:tcPr>
          <w:p w14:paraId="44AD7FCD" w14:textId="77777777" w:rsidR="00F47B0F" w:rsidRPr="00F47B0F" w:rsidRDefault="00F47B0F" w:rsidP="00F47B0F">
            <w:pPr>
              <w:jc w:val="center"/>
              <w:rPr>
                <w:b/>
                <w:bCs/>
                <w:color w:val="FFFFFF" w:themeColor="background1"/>
              </w:rPr>
            </w:pPr>
            <w:r w:rsidRPr="00F47B0F">
              <w:rPr>
                <w:b/>
                <w:bCs/>
                <w:color w:val="FFFFFF" w:themeColor="background1"/>
              </w:rPr>
              <w:t>FDC</w:t>
            </w:r>
          </w:p>
        </w:tc>
        <w:tc>
          <w:tcPr>
            <w:tcW w:w="612" w:type="pct"/>
          </w:tcPr>
          <w:p w14:paraId="4F0CBFA7" w14:textId="77777777" w:rsidR="00F47B0F" w:rsidRPr="00F47B0F" w:rsidRDefault="00F47B0F" w:rsidP="00F47B0F">
            <w:pPr>
              <w:jc w:val="center"/>
              <w:rPr>
                <w:b/>
                <w:bCs/>
                <w:color w:val="FFFFFF" w:themeColor="background1"/>
              </w:rPr>
            </w:pPr>
            <w:r w:rsidRPr="00F47B0F">
              <w:rPr>
                <w:b/>
                <w:bCs/>
                <w:color w:val="FFFFFF" w:themeColor="background1"/>
              </w:rPr>
              <w:t>IHC</w:t>
            </w:r>
          </w:p>
        </w:tc>
        <w:tc>
          <w:tcPr>
            <w:tcW w:w="612" w:type="pct"/>
          </w:tcPr>
          <w:p w14:paraId="37213DE3" w14:textId="77777777" w:rsidR="00F47B0F" w:rsidRPr="00F47B0F" w:rsidRDefault="00F47B0F" w:rsidP="00F47B0F">
            <w:pPr>
              <w:jc w:val="center"/>
              <w:rPr>
                <w:b/>
                <w:bCs/>
                <w:color w:val="FFFFFF" w:themeColor="background1"/>
              </w:rPr>
            </w:pPr>
            <w:r w:rsidRPr="00F47B0F">
              <w:rPr>
                <w:b/>
                <w:bCs/>
                <w:color w:val="FFFFFF" w:themeColor="background1"/>
              </w:rPr>
              <w:t>OSHC</w:t>
            </w:r>
          </w:p>
        </w:tc>
        <w:tc>
          <w:tcPr>
            <w:tcW w:w="612" w:type="pct"/>
          </w:tcPr>
          <w:p w14:paraId="11500D9A" w14:textId="77777777" w:rsidR="00F47B0F" w:rsidRPr="00F47B0F" w:rsidRDefault="00F47B0F" w:rsidP="00F47B0F">
            <w:pPr>
              <w:jc w:val="center"/>
              <w:rPr>
                <w:b/>
                <w:bCs/>
                <w:color w:val="FFFFFF" w:themeColor="background1"/>
              </w:rPr>
            </w:pPr>
            <w:r w:rsidRPr="00F47B0F">
              <w:rPr>
                <w:b/>
                <w:bCs/>
                <w:color w:val="FFFFFF" w:themeColor="background1"/>
              </w:rPr>
              <w:t>VAC</w:t>
            </w:r>
          </w:p>
        </w:tc>
        <w:tc>
          <w:tcPr>
            <w:tcW w:w="612" w:type="pct"/>
            <w:tcBorders>
              <w:bottom w:val="nil"/>
            </w:tcBorders>
          </w:tcPr>
          <w:p w14:paraId="47268225" w14:textId="77777777" w:rsidR="00F47B0F" w:rsidRPr="00F47B0F" w:rsidRDefault="00F47B0F" w:rsidP="00F47B0F">
            <w:pPr>
              <w:jc w:val="center"/>
              <w:rPr>
                <w:b/>
                <w:bCs/>
                <w:color w:val="FFFFFF" w:themeColor="background1"/>
              </w:rPr>
            </w:pPr>
            <w:r w:rsidRPr="00F47B0F">
              <w:rPr>
                <w:b/>
                <w:bCs/>
                <w:color w:val="FFFFFF" w:themeColor="background1"/>
              </w:rPr>
              <w:t>Total</w:t>
            </w:r>
          </w:p>
        </w:tc>
        <w:tc>
          <w:tcPr>
            <w:tcW w:w="715" w:type="pct"/>
          </w:tcPr>
          <w:p w14:paraId="2B5B9DEF" w14:textId="77777777" w:rsidR="00F47B0F" w:rsidRPr="00F47B0F" w:rsidRDefault="00F47B0F" w:rsidP="00F47B0F">
            <w:pPr>
              <w:jc w:val="center"/>
              <w:rPr>
                <w:b/>
                <w:bCs/>
                <w:color w:val="FFFFFF" w:themeColor="background1"/>
              </w:rPr>
            </w:pPr>
            <w:r w:rsidRPr="00F47B0F">
              <w:rPr>
                <w:b/>
                <w:bCs/>
                <w:color w:val="FFFFFF" w:themeColor="background1"/>
              </w:rPr>
              <w:t>Total (%)</w:t>
            </w:r>
          </w:p>
        </w:tc>
      </w:tr>
      <w:tr w:rsidR="00F47B0F" w:rsidRPr="00F47B0F" w14:paraId="043E9E76" w14:textId="77777777" w:rsidTr="005F6ADC">
        <w:tc>
          <w:tcPr>
            <w:tcW w:w="612" w:type="pct"/>
            <w:vAlign w:val="center"/>
          </w:tcPr>
          <w:p w14:paraId="03215261" w14:textId="77777777" w:rsidR="00F47B0F" w:rsidRPr="00F47B0F" w:rsidRDefault="00F47B0F" w:rsidP="00F47B0F">
            <w:pPr>
              <w:spacing w:before="40" w:after="40"/>
              <w:rPr>
                <w:sz w:val="20"/>
                <w:szCs w:val="20"/>
              </w:rPr>
            </w:pPr>
            <w:r w:rsidRPr="00F47B0F">
              <w:rPr>
                <w:sz w:val="20"/>
                <w:szCs w:val="20"/>
              </w:rPr>
              <w:t>NSW</w:t>
            </w:r>
          </w:p>
        </w:tc>
        <w:tc>
          <w:tcPr>
            <w:tcW w:w="612" w:type="pct"/>
          </w:tcPr>
          <w:p w14:paraId="3061F46F" w14:textId="77777777" w:rsidR="00F47B0F" w:rsidRPr="00F47B0F" w:rsidRDefault="00F47B0F" w:rsidP="00F47B0F">
            <w:pPr>
              <w:spacing w:before="40" w:after="40"/>
              <w:jc w:val="center"/>
              <w:rPr>
                <w:sz w:val="20"/>
                <w:szCs w:val="20"/>
              </w:rPr>
            </w:pPr>
            <w:r w:rsidRPr="00F47B0F">
              <w:rPr>
                <w:sz w:val="20"/>
                <w:szCs w:val="20"/>
              </w:rPr>
              <w:t>48,995</w:t>
            </w:r>
          </w:p>
        </w:tc>
        <w:tc>
          <w:tcPr>
            <w:tcW w:w="612" w:type="pct"/>
          </w:tcPr>
          <w:p w14:paraId="38EB0BB6" w14:textId="77777777" w:rsidR="00F47B0F" w:rsidRPr="00F47B0F" w:rsidRDefault="00F47B0F" w:rsidP="00F47B0F">
            <w:pPr>
              <w:spacing w:before="40" w:after="40"/>
              <w:jc w:val="center"/>
              <w:rPr>
                <w:sz w:val="20"/>
                <w:szCs w:val="20"/>
              </w:rPr>
            </w:pPr>
            <w:r w:rsidRPr="00F47B0F">
              <w:rPr>
                <w:sz w:val="20"/>
                <w:szCs w:val="20"/>
              </w:rPr>
              <w:t>4,341</w:t>
            </w:r>
          </w:p>
        </w:tc>
        <w:tc>
          <w:tcPr>
            <w:tcW w:w="612" w:type="pct"/>
          </w:tcPr>
          <w:p w14:paraId="2C2D173D" w14:textId="77777777" w:rsidR="00F47B0F" w:rsidRPr="00F47B0F" w:rsidRDefault="00F47B0F" w:rsidP="00F47B0F">
            <w:pPr>
              <w:spacing w:before="40" w:after="40"/>
              <w:jc w:val="center"/>
              <w:rPr>
                <w:sz w:val="20"/>
                <w:szCs w:val="20"/>
              </w:rPr>
            </w:pPr>
            <w:r w:rsidRPr="00F47B0F">
              <w:rPr>
                <w:sz w:val="20"/>
                <w:szCs w:val="20"/>
              </w:rPr>
              <w:t>300</w:t>
            </w:r>
          </w:p>
        </w:tc>
        <w:tc>
          <w:tcPr>
            <w:tcW w:w="612" w:type="pct"/>
          </w:tcPr>
          <w:p w14:paraId="58E15BFF" w14:textId="77777777" w:rsidR="00F47B0F" w:rsidRPr="00F47B0F" w:rsidRDefault="00F47B0F" w:rsidP="00F47B0F">
            <w:pPr>
              <w:spacing w:before="40" w:after="40"/>
              <w:jc w:val="center"/>
              <w:rPr>
                <w:sz w:val="20"/>
                <w:szCs w:val="20"/>
              </w:rPr>
            </w:pPr>
            <w:r w:rsidRPr="00F47B0F">
              <w:rPr>
                <w:sz w:val="20"/>
                <w:szCs w:val="20"/>
              </w:rPr>
              <w:t>10,312</w:t>
            </w:r>
          </w:p>
        </w:tc>
        <w:tc>
          <w:tcPr>
            <w:tcW w:w="612" w:type="pct"/>
            <w:tcBorders>
              <w:right w:val="single" w:sz="2" w:space="0" w:color="808080" w:themeColor="background1" w:themeShade="80"/>
            </w:tcBorders>
          </w:tcPr>
          <w:p w14:paraId="5893217F" w14:textId="77777777" w:rsidR="00F47B0F" w:rsidRPr="00F47B0F" w:rsidRDefault="00F47B0F" w:rsidP="00F47B0F">
            <w:pPr>
              <w:spacing w:before="40" w:after="40"/>
              <w:jc w:val="center"/>
              <w:rPr>
                <w:sz w:val="20"/>
                <w:szCs w:val="20"/>
              </w:rPr>
            </w:pPr>
            <w:r w:rsidRPr="00F47B0F">
              <w:rPr>
                <w:sz w:val="20"/>
                <w:szCs w:val="20"/>
              </w:rPr>
              <w:t>7,841</w:t>
            </w:r>
          </w:p>
        </w:tc>
        <w:tc>
          <w:tcPr>
            <w:tcW w:w="612" w:type="pct"/>
            <w:tcBorders>
              <w:left w:val="single" w:sz="2" w:space="0" w:color="808080" w:themeColor="background1" w:themeShade="80"/>
            </w:tcBorders>
          </w:tcPr>
          <w:p w14:paraId="1F78F981" w14:textId="77777777" w:rsidR="00F47B0F" w:rsidRPr="00F47B0F" w:rsidRDefault="00F47B0F" w:rsidP="00F47B0F">
            <w:pPr>
              <w:spacing w:before="40" w:after="40"/>
              <w:jc w:val="center"/>
              <w:rPr>
                <w:b/>
                <w:bCs/>
                <w:sz w:val="20"/>
                <w:szCs w:val="20"/>
              </w:rPr>
            </w:pPr>
            <w:r w:rsidRPr="00F47B0F">
              <w:rPr>
                <w:b/>
                <w:bCs/>
                <w:sz w:val="20"/>
                <w:szCs w:val="20"/>
              </w:rPr>
              <w:t>71,789</w:t>
            </w:r>
          </w:p>
        </w:tc>
        <w:tc>
          <w:tcPr>
            <w:tcW w:w="715" w:type="pct"/>
          </w:tcPr>
          <w:p w14:paraId="7F0880B5" w14:textId="77777777" w:rsidR="00F47B0F" w:rsidRPr="00F47B0F" w:rsidRDefault="00F47B0F" w:rsidP="00F47B0F">
            <w:pPr>
              <w:spacing w:before="40" w:after="40"/>
              <w:jc w:val="center"/>
              <w:rPr>
                <w:sz w:val="20"/>
                <w:szCs w:val="20"/>
              </w:rPr>
            </w:pPr>
            <w:r w:rsidRPr="00F47B0F">
              <w:rPr>
                <w:sz w:val="20"/>
                <w:szCs w:val="20"/>
              </w:rPr>
              <w:t>33.1</w:t>
            </w:r>
          </w:p>
        </w:tc>
      </w:tr>
      <w:tr w:rsidR="00F47B0F" w:rsidRPr="00F47B0F" w14:paraId="155033C7" w14:textId="77777777" w:rsidTr="005F6ADC">
        <w:trPr>
          <w:cnfStyle w:val="000000010000" w:firstRow="0" w:lastRow="0" w:firstColumn="0" w:lastColumn="0" w:oddVBand="0" w:evenVBand="0" w:oddHBand="0" w:evenHBand="1" w:firstRowFirstColumn="0" w:firstRowLastColumn="0" w:lastRowFirstColumn="0" w:lastRowLastColumn="0"/>
        </w:trPr>
        <w:tc>
          <w:tcPr>
            <w:tcW w:w="612" w:type="pct"/>
            <w:vAlign w:val="center"/>
          </w:tcPr>
          <w:p w14:paraId="7151CE56" w14:textId="77777777" w:rsidR="00F47B0F" w:rsidRPr="00F47B0F" w:rsidRDefault="00F47B0F" w:rsidP="00F47B0F">
            <w:pPr>
              <w:spacing w:before="40" w:after="40"/>
              <w:rPr>
                <w:sz w:val="20"/>
                <w:szCs w:val="20"/>
              </w:rPr>
            </w:pPr>
            <w:r w:rsidRPr="00F47B0F">
              <w:rPr>
                <w:sz w:val="20"/>
                <w:szCs w:val="20"/>
              </w:rPr>
              <w:t>VIC</w:t>
            </w:r>
          </w:p>
        </w:tc>
        <w:tc>
          <w:tcPr>
            <w:tcW w:w="612" w:type="pct"/>
          </w:tcPr>
          <w:p w14:paraId="6A659F4B" w14:textId="77777777" w:rsidR="00F47B0F" w:rsidRPr="00F47B0F" w:rsidRDefault="00F47B0F" w:rsidP="00F47B0F">
            <w:pPr>
              <w:spacing w:before="40" w:after="40"/>
              <w:jc w:val="center"/>
              <w:rPr>
                <w:sz w:val="20"/>
                <w:szCs w:val="20"/>
              </w:rPr>
            </w:pPr>
            <w:r w:rsidRPr="00F47B0F">
              <w:rPr>
                <w:sz w:val="20"/>
                <w:szCs w:val="20"/>
              </w:rPr>
              <w:t>37,427</w:t>
            </w:r>
          </w:p>
        </w:tc>
        <w:tc>
          <w:tcPr>
            <w:tcW w:w="612" w:type="pct"/>
          </w:tcPr>
          <w:p w14:paraId="579CE95F" w14:textId="77777777" w:rsidR="00F47B0F" w:rsidRPr="00F47B0F" w:rsidRDefault="00F47B0F" w:rsidP="00F47B0F">
            <w:pPr>
              <w:spacing w:before="40" w:after="40"/>
              <w:jc w:val="center"/>
              <w:rPr>
                <w:sz w:val="20"/>
                <w:szCs w:val="20"/>
              </w:rPr>
            </w:pPr>
            <w:r w:rsidRPr="00F47B0F">
              <w:rPr>
                <w:sz w:val="20"/>
                <w:szCs w:val="20"/>
              </w:rPr>
              <w:t>3,873</w:t>
            </w:r>
          </w:p>
        </w:tc>
        <w:tc>
          <w:tcPr>
            <w:tcW w:w="612" w:type="pct"/>
          </w:tcPr>
          <w:p w14:paraId="39B1B548" w14:textId="77777777" w:rsidR="00F47B0F" w:rsidRPr="00F47B0F" w:rsidRDefault="00F47B0F" w:rsidP="00F47B0F">
            <w:pPr>
              <w:spacing w:before="40" w:after="40"/>
              <w:jc w:val="center"/>
              <w:rPr>
                <w:sz w:val="20"/>
                <w:szCs w:val="20"/>
              </w:rPr>
            </w:pPr>
            <w:r w:rsidRPr="00F47B0F">
              <w:rPr>
                <w:sz w:val="20"/>
                <w:szCs w:val="20"/>
              </w:rPr>
              <w:t>378</w:t>
            </w:r>
          </w:p>
        </w:tc>
        <w:tc>
          <w:tcPr>
            <w:tcW w:w="612" w:type="pct"/>
          </w:tcPr>
          <w:p w14:paraId="718467D7" w14:textId="77777777" w:rsidR="00F47B0F" w:rsidRPr="00F47B0F" w:rsidRDefault="00F47B0F" w:rsidP="00F47B0F">
            <w:pPr>
              <w:spacing w:before="40" w:after="40"/>
              <w:jc w:val="center"/>
              <w:rPr>
                <w:sz w:val="20"/>
                <w:szCs w:val="20"/>
              </w:rPr>
            </w:pPr>
            <w:r w:rsidRPr="00F47B0F">
              <w:rPr>
                <w:sz w:val="20"/>
                <w:szCs w:val="20"/>
              </w:rPr>
              <w:t>5,405</w:t>
            </w:r>
          </w:p>
        </w:tc>
        <w:tc>
          <w:tcPr>
            <w:tcW w:w="612" w:type="pct"/>
            <w:tcBorders>
              <w:right w:val="single" w:sz="2" w:space="0" w:color="808080" w:themeColor="background1" w:themeShade="80"/>
            </w:tcBorders>
          </w:tcPr>
          <w:p w14:paraId="7F909764" w14:textId="77777777" w:rsidR="00F47B0F" w:rsidRPr="00F47B0F" w:rsidRDefault="00F47B0F" w:rsidP="00F47B0F">
            <w:pPr>
              <w:spacing w:before="40" w:after="40"/>
              <w:jc w:val="center"/>
              <w:rPr>
                <w:sz w:val="20"/>
                <w:szCs w:val="20"/>
              </w:rPr>
            </w:pPr>
            <w:r w:rsidRPr="00F47B0F">
              <w:rPr>
                <w:sz w:val="20"/>
                <w:szCs w:val="20"/>
              </w:rPr>
              <w:t>3,156</w:t>
            </w:r>
          </w:p>
        </w:tc>
        <w:tc>
          <w:tcPr>
            <w:tcW w:w="612" w:type="pct"/>
            <w:tcBorders>
              <w:left w:val="single" w:sz="2" w:space="0" w:color="808080" w:themeColor="background1" w:themeShade="80"/>
            </w:tcBorders>
          </w:tcPr>
          <w:p w14:paraId="690CD3EF" w14:textId="77777777" w:rsidR="00F47B0F" w:rsidRPr="00F47B0F" w:rsidRDefault="00F47B0F" w:rsidP="00F47B0F">
            <w:pPr>
              <w:spacing w:before="40" w:after="40"/>
              <w:jc w:val="center"/>
              <w:rPr>
                <w:b/>
                <w:bCs/>
                <w:sz w:val="20"/>
                <w:szCs w:val="20"/>
              </w:rPr>
            </w:pPr>
            <w:r w:rsidRPr="00F47B0F">
              <w:rPr>
                <w:b/>
                <w:bCs/>
                <w:sz w:val="20"/>
                <w:szCs w:val="20"/>
              </w:rPr>
              <w:t>50,238</w:t>
            </w:r>
          </w:p>
        </w:tc>
        <w:tc>
          <w:tcPr>
            <w:tcW w:w="715" w:type="pct"/>
          </w:tcPr>
          <w:p w14:paraId="2C2B545D" w14:textId="77777777" w:rsidR="00F47B0F" w:rsidRPr="00F47B0F" w:rsidRDefault="00F47B0F" w:rsidP="00F47B0F">
            <w:pPr>
              <w:spacing w:before="40" w:after="40"/>
              <w:jc w:val="center"/>
              <w:rPr>
                <w:sz w:val="20"/>
                <w:szCs w:val="20"/>
              </w:rPr>
            </w:pPr>
            <w:r w:rsidRPr="00F47B0F">
              <w:rPr>
                <w:sz w:val="20"/>
                <w:szCs w:val="20"/>
              </w:rPr>
              <w:t>23.2</w:t>
            </w:r>
          </w:p>
        </w:tc>
      </w:tr>
      <w:tr w:rsidR="00F47B0F" w:rsidRPr="00F47B0F" w14:paraId="2260FBFD" w14:textId="77777777" w:rsidTr="005F6ADC">
        <w:tc>
          <w:tcPr>
            <w:tcW w:w="612" w:type="pct"/>
            <w:vAlign w:val="center"/>
          </w:tcPr>
          <w:p w14:paraId="40DF116A" w14:textId="77777777" w:rsidR="00F47B0F" w:rsidRPr="00F47B0F" w:rsidRDefault="00F47B0F" w:rsidP="00F47B0F">
            <w:pPr>
              <w:spacing w:before="40" w:after="40"/>
              <w:rPr>
                <w:sz w:val="20"/>
                <w:szCs w:val="20"/>
              </w:rPr>
            </w:pPr>
            <w:r w:rsidRPr="00F47B0F">
              <w:rPr>
                <w:sz w:val="20"/>
                <w:szCs w:val="20"/>
              </w:rPr>
              <w:t>QLD</w:t>
            </w:r>
          </w:p>
        </w:tc>
        <w:tc>
          <w:tcPr>
            <w:tcW w:w="612" w:type="pct"/>
          </w:tcPr>
          <w:p w14:paraId="48ABEB38" w14:textId="77777777" w:rsidR="00F47B0F" w:rsidRPr="00F47B0F" w:rsidRDefault="00F47B0F" w:rsidP="00F47B0F">
            <w:pPr>
              <w:spacing w:before="40" w:after="40"/>
              <w:jc w:val="center"/>
              <w:rPr>
                <w:sz w:val="20"/>
                <w:szCs w:val="20"/>
              </w:rPr>
            </w:pPr>
            <w:r w:rsidRPr="00F47B0F">
              <w:rPr>
                <w:sz w:val="20"/>
                <w:szCs w:val="20"/>
              </w:rPr>
              <w:t>32,093</w:t>
            </w:r>
          </w:p>
        </w:tc>
        <w:tc>
          <w:tcPr>
            <w:tcW w:w="612" w:type="pct"/>
          </w:tcPr>
          <w:p w14:paraId="066BA9C6" w14:textId="77777777" w:rsidR="00F47B0F" w:rsidRPr="00F47B0F" w:rsidRDefault="00F47B0F" w:rsidP="00F47B0F">
            <w:pPr>
              <w:spacing w:before="40" w:after="40"/>
              <w:jc w:val="center"/>
              <w:rPr>
                <w:sz w:val="20"/>
                <w:szCs w:val="20"/>
              </w:rPr>
            </w:pPr>
            <w:r w:rsidRPr="00F47B0F">
              <w:rPr>
                <w:sz w:val="20"/>
                <w:szCs w:val="20"/>
              </w:rPr>
              <w:t>2,783</w:t>
            </w:r>
          </w:p>
        </w:tc>
        <w:tc>
          <w:tcPr>
            <w:tcW w:w="612" w:type="pct"/>
          </w:tcPr>
          <w:p w14:paraId="6B5CD004" w14:textId="77777777" w:rsidR="00F47B0F" w:rsidRPr="00F47B0F" w:rsidRDefault="00F47B0F" w:rsidP="00F47B0F">
            <w:pPr>
              <w:spacing w:before="40" w:after="40"/>
              <w:jc w:val="center"/>
              <w:rPr>
                <w:sz w:val="20"/>
                <w:szCs w:val="20"/>
              </w:rPr>
            </w:pPr>
            <w:r w:rsidRPr="00F47B0F">
              <w:rPr>
                <w:sz w:val="20"/>
                <w:szCs w:val="20"/>
              </w:rPr>
              <w:t>204</w:t>
            </w:r>
          </w:p>
        </w:tc>
        <w:tc>
          <w:tcPr>
            <w:tcW w:w="612" w:type="pct"/>
          </w:tcPr>
          <w:p w14:paraId="62A52768" w14:textId="77777777" w:rsidR="00F47B0F" w:rsidRPr="00F47B0F" w:rsidRDefault="00F47B0F" w:rsidP="00F47B0F">
            <w:pPr>
              <w:spacing w:before="40" w:after="40"/>
              <w:jc w:val="center"/>
              <w:rPr>
                <w:sz w:val="20"/>
                <w:szCs w:val="20"/>
              </w:rPr>
            </w:pPr>
            <w:r w:rsidRPr="00F47B0F">
              <w:rPr>
                <w:sz w:val="20"/>
                <w:szCs w:val="20"/>
              </w:rPr>
              <w:t>6,604</w:t>
            </w:r>
          </w:p>
        </w:tc>
        <w:tc>
          <w:tcPr>
            <w:tcW w:w="612" w:type="pct"/>
            <w:tcBorders>
              <w:right w:val="single" w:sz="2" w:space="0" w:color="808080" w:themeColor="background1" w:themeShade="80"/>
            </w:tcBorders>
          </w:tcPr>
          <w:p w14:paraId="74E5A7A8" w14:textId="77777777" w:rsidR="00F47B0F" w:rsidRPr="00F47B0F" w:rsidRDefault="00F47B0F" w:rsidP="00F47B0F">
            <w:pPr>
              <w:spacing w:before="40" w:after="40"/>
              <w:jc w:val="center"/>
              <w:rPr>
                <w:sz w:val="20"/>
                <w:szCs w:val="20"/>
              </w:rPr>
            </w:pPr>
            <w:r w:rsidRPr="00F47B0F">
              <w:rPr>
                <w:sz w:val="20"/>
                <w:szCs w:val="20"/>
              </w:rPr>
              <w:t>6,573</w:t>
            </w:r>
          </w:p>
        </w:tc>
        <w:tc>
          <w:tcPr>
            <w:tcW w:w="612" w:type="pct"/>
            <w:tcBorders>
              <w:left w:val="single" w:sz="2" w:space="0" w:color="808080" w:themeColor="background1" w:themeShade="80"/>
            </w:tcBorders>
          </w:tcPr>
          <w:p w14:paraId="295DC0EF" w14:textId="77777777" w:rsidR="00F47B0F" w:rsidRPr="00F47B0F" w:rsidRDefault="00F47B0F" w:rsidP="00F47B0F">
            <w:pPr>
              <w:spacing w:before="40" w:after="40"/>
              <w:jc w:val="center"/>
              <w:rPr>
                <w:b/>
                <w:bCs/>
                <w:sz w:val="20"/>
                <w:szCs w:val="20"/>
              </w:rPr>
            </w:pPr>
            <w:r w:rsidRPr="00F47B0F">
              <w:rPr>
                <w:b/>
                <w:bCs/>
                <w:sz w:val="20"/>
                <w:szCs w:val="20"/>
              </w:rPr>
              <w:t>48,258</w:t>
            </w:r>
          </w:p>
        </w:tc>
        <w:tc>
          <w:tcPr>
            <w:tcW w:w="715" w:type="pct"/>
          </w:tcPr>
          <w:p w14:paraId="0CBF4FB1" w14:textId="77777777" w:rsidR="00F47B0F" w:rsidRPr="00F47B0F" w:rsidRDefault="00F47B0F" w:rsidP="00F47B0F">
            <w:pPr>
              <w:spacing w:before="40" w:after="40"/>
              <w:jc w:val="center"/>
              <w:rPr>
                <w:sz w:val="20"/>
                <w:szCs w:val="20"/>
              </w:rPr>
            </w:pPr>
            <w:r w:rsidRPr="00F47B0F">
              <w:rPr>
                <w:sz w:val="20"/>
                <w:szCs w:val="20"/>
              </w:rPr>
              <w:t>22.3</w:t>
            </w:r>
          </w:p>
        </w:tc>
      </w:tr>
      <w:tr w:rsidR="00F47B0F" w:rsidRPr="00F47B0F" w14:paraId="04231E3A" w14:textId="77777777" w:rsidTr="005F6ADC">
        <w:trPr>
          <w:cnfStyle w:val="000000010000" w:firstRow="0" w:lastRow="0" w:firstColumn="0" w:lastColumn="0" w:oddVBand="0" w:evenVBand="0" w:oddHBand="0" w:evenHBand="1" w:firstRowFirstColumn="0" w:firstRowLastColumn="0" w:lastRowFirstColumn="0" w:lastRowLastColumn="0"/>
        </w:trPr>
        <w:tc>
          <w:tcPr>
            <w:tcW w:w="612" w:type="pct"/>
            <w:vAlign w:val="center"/>
          </w:tcPr>
          <w:p w14:paraId="7DAFE5B5" w14:textId="77777777" w:rsidR="00F47B0F" w:rsidRPr="00F47B0F" w:rsidRDefault="00F47B0F" w:rsidP="00F47B0F">
            <w:pPr>
              <w:spacing w:before="40" w:after="40"/>
              <w:rPr>
                <w:sz w:val="20"/>
                <w:szCs w:val="20"/>
              </w:rPr>
            </w:pPr>
            <w:r w:rsidRPr="00F47B0F">
              <w:rPr>
                <w:sz w:val="20"/>
                <w:szCs w:val="20"/>
              </w:rPr>
              <w:t>SA</w:t>
            </w:r>
          </w:p>
        </w:tc>
        <w:tc>
          <w:tcPr>
            <w:tcW w:w="612" w:type="pct"/>
          </w:tcPr>
          <w:p w14:paraId="600C57EC" w14:textId="77777777" w:rsidR="00F47B0F" w:rsidRPr="00F47B0F" w:rsidRDefault="00F47B0F" w:rsidP="00F47B0F">
            <w:pPr>
              <w:spacing w:before="40" w:after="40"/>
              <w:jc w:val="center"/>
              <w:rPr>
                <w:sz w:val="20"/>
                <w:szCs w:val="20"/>
              </w:rPr>
            </w:pPr>
            <w:r w:rsidRPr="00F47B0F">
              <w:rPr>
                <w:sz w:val="20"/>
                <w:szCs w:val="20"/>
              </w:rPr>
              <w:t>8,910</w:t>
            </w:r>
          </w:p>
        </w:tc>
        <w:tc>
          <w:tcPr>
            <w:tcW w:w="612" w:type="pct"/>
          </w:tcPr>
          <w:p w14:paraId="5495ECA6" w14:textId="77777777" w:rsidR="00F47B0F" w:rsidRPr="00F47B0F" w:rsidRDefault="00F47B0F" w:rsidP="00F47B0F">
            <w:pPr>
              <w:spacing w:before="40" w:after="40"/>
              <w:jc w:val="center"/>
              <w:rPr>
                <w:sz w:val="20"/>
                <w:szCs w:val="20"/>
              </w:rPr>
            </w:pPr>
            <w:r w:rsidRPr="00F47B0F">
              <w:rPr>
                <w:sz w:val="20"/>
                <w:szCs w:val="20"/>
              </w:rPr>
              <w:t>379</w:t>
            </w:r>
          </w:p>
        </w:tc>
        <w:tc>
          <w:tcPr>
            <w:tcW w:w="612" w:type="pct"/>
          </w:tcPr>
          <w:p w14:paraId="16A47612" w14:textId="77777777" w:rsidR="00F47B0F" w:rsidRPr="00F47B0F" w:rsidRDefault="00F47B0F" w:rsidP="00F47B0F">
            <w:pPr>
              <w:spacing w:before="40" w:after="40"/>
              <w:jc w:val="center"/>
              <w:rPr>
                <w:sz w:val="20"/>
                <w:szCs w:val="20"/>
              </w:rPr>
            </w:pPr>
            <w:r w:rsidRPr="00F47B0F">
              <w:rPr>
                <w:sz w:val="20"/>
                <w:szCs w:val="20"/>
              </w:rPr>
              <w:t>51</w:t>
            </w:r>
          </w:p>
        </w:tc>
        <w:tc>
          <w:tcPr>
            <w:tcW w:w="612" w:type="pct"/>
          </w:tcPr>
          <w:p w14:paraId="3E525B3E" w14:textId="77777777" w:rsidR="00F47B0F" w:rsidRPr="00F47B0F" w:rsidRDefault="00F47B0F" w:rsidP="00F47B0F">
            <w:pPr>
              <w:spacing w:before="40" w:after="40"/>
              <w:jc w:val="center"/>
              <w:rPr>
                <w:sz w:val="20"/>
                <w:szCs w:val="20"/>
              </w:rPr>
            </w:pPr>
            <w:r w:rsidRPr="00F47B0F">
              <w:rPr>
                <w:sz w:val="20"/>
                <w:szCs w:val="20"/>
              </w:rPr>
              <w:t>3,198</w:t>
            </w:r>
          </w:p>
        </w:tc>
        <w:tc>
          <w:tcPr>
            <w:tcW w:w="612" w:type="pct"/>
            <w:tcBorders>
              <w:right w:val="single" w:sz="2" w:space="0" w:color="808080" w:themeColor="background1" w:themeShade="80"/>
            </w:tcBorders>
          </w:tcPr>
          <w:p w14:paraId="78833708" w14:textId="77777777" w:rsidR="00F47B0F" w:rsidRPr="00F47B0F" w:rsidRDefault="00F47B0F" w:rsidP="00F47B0F">
            <w:pPr>
              <w:spacing w:before="40" w:after="40"/>
              <w:jc w:val="center"/>
              <w:rPr>
                <w:sz w:val="20"/>
                <w:szCs w:val="20"/>
              </w:rPr>
            </w:pPr>
            <w:r w:rsidRPr="00F47B0F">
              <w:rPr>
                <w:sz w:val="20"/>
                <w:szCs w:val="20"/>
              </w:rPr>
              <w:t>3,195</w:t>
            </w:r>
          </w:p>
        </w:tc>
        <w:tc>
          <w:tcPr>
            <w:tcW w:w="612" w:type="pct"/>
            <w:tcBorders>
              <w:left w:val="single" w:sz="2" w:space="0" w:color="808080" w:themeColor="background1" w:themeShade="80"/>
            </w:tcBorders>
          </w:tcPr>
          <w:p w14:paraId="5CE3221E" w14:textId="77777777" w:rsidR="00F47B0F" w:rsidRPr="00F47B0F" w:rsidRDefault="00F47B0F" w:rsidP="00F47B0F">
            <w:pPr>
              <w:spacing w:before="40" w:after="40"/>
              <w:jc w:val="center"/>
              <w:rPr>
                <w:b/>
                <w:bCs/>
                <w:sz w:val="20"/>
                <w:szCs w:val="20"/>
              </w:rPr>
            </w:pPr>
            <w:r w:rsidRPr="00F47B0F">
              <w:rPr>
                <w:b/>
                <w:bCs/>
                <w:sz w:val="20"/>
                <w:szCs w:val="20"/>
              </w:rPr>
              <w:t>15,732</w:t>
            </w:r>
          </w:p>
        </w:tc>
        <w:tc>
          <w:tcPr>
            <w:tcW w:w="715" w:type="pct"/>
          </w:tcPr>
          <w:p w14:paraId="10A0CE9D" w14:textId="77777777" w:rsidR="00F47B0F" w:rsidRPr="00F47B0F" w:rsidRDefault="00F47B0F" w:rsidP="00F47B0F">
            <w:pPr>
              <w:spacing w:before="40" w:after="40"/>
              <w:jc w:val="center"/>
              <w:rPr>
                <w:sz w:val="20"/>
                <w:szCs w:val="20"/>
              </w:rPr>
            </w:pPr>
            <w:r w:rsidRPr="00F47B0F">
              <w:rPr>
                <w:sz w:val="20"/>
                <w:szCs w:val="20"/>
              </w:rPr>
              <w:t>7.3</w:t>
            </w:r>
          </w:p>
        </w:tc>
      </w:tr>
      <w:tr w:rsidR="00F47B0F" w:rsidRPr="00F47B0F" w14:paraId="7A995694" w14:textId="77777777" w:rsidTr="005F6ADC">
        <w:tc>
          <w:tcPr>
            <w:tcW w:w="612" w:type="pct"/>
            <w:vAlign w:val="center"/>
          </w:tcPr>
          <w:p w14:paraId="524B4B98" w14:textId="77777777" w:rsidR="00F47B0F" w:rsidRPr="00F47B0F" w:rsidRDefault="00F47B0F" w:rsidP="00F47B0F">
            <w:pPr>
              <w:spacing w:before="40" w:after="40"/>
              <w:rPr>
                <w:sz w:val="20"/>
                <w:szCs w:val="20"/>
              </w:rPr>
            </w:pPr>
            <w:r w:rsidRPr="00F47B0F">
              <w:rPr>
                <w:sz w:val="20"/>
                <w:szCs w:val="20"/>
              </w:rPr>
              <w:t>WA</w:t>
            </w:r>
          </w:p>
        </w:tc>
        <w:tc>
          <w:tcPr>
            <w:tcW w:w="612" w:type="pct"/>
          </w:tcPr>
          <w:p w14:paraId="2D9FECB9" w14:textId="77777777" w:rsidR="00F47B0F" w:rsidRPr="00F47B0F" w:rsidRDefault="00F47B0F" w:rsidP="00F47B0F">
            <w:pPr>
              <w:spacing w:before="40" w:after="40"/>
              <w:jc w:val="center"/>
              <w:rPr>
                <w:sz w:val="20"/>
                <w:szCs w:val="20"/>
              </w:rPr>
            </w:pPr>
            <w:r w:rsidRPr="00F47B0F">
              <w:rPr>
                <w:sz w:val="20"/>
                <w:szCs w:val="20"/>
              </w:rPr>
              <w:t>11,474</w:t>
            </w:r>
          </w:p>
        </w:tc>
        <w:tc>
          <w:tcPr>
            <w:tcW w:w="612" w:type="pct"/>
          </w:tcPr>
          <w:p w14:paraId="6B493B43" w14:textId="77777777" w:rsidR="00F47B0F" w:rsidRPr="00F47B0F" w:rsidRDefault="00F47B0F" w:rsidP="00F47B0F">
            <w:pPr>
              <w:spacing w:before="40" w:after="40"/>
              <w:jc w:val="center"/>
              <w:rPr>
                <w:sz w:val="20"/>
                <w:szCs w:val="20"/>
              </w:rPr>
            </w:pPr>
            <w:r w:rsidRPr="00F47B0F">
              <w:rPr>
                <w:sz w:val="20"/>
                <w:szCs w:val="20"/>
              </w:rPr>
              <w:t>1,189</w:t>
            </w:r>
          </w:p>
        </w:tc>
        <w:tc>
          <w:tcPr>
            <w:tcW w:w="612" w:type="pct"/>
          </w:tcPr>
          <w:p w14:paraId="7373732C" w14:textId="77777777" w:rsidR="00F47B0F" w:rsidRPr="00F47B0F" w:rsidRDefault="00F47B0F" w:rsidP="00F47B0F">
            <w:pPr>
              <w:spacing w:before="40" w:after="40"/>
              <w:jc w:val="center"/>
              <w:rPr>
                <w:sz w:val="20"/>
                <w:szCs w:val="20"/>
              </w:rPr>
            </w:pPr>
            <w:r w:rsidRPr="00F47B0F">
              <w:rPr>
                <w:sz w:val="20"/>
                <w:szCs w:val="20"/>
              </w:rPr>
              <w:t>100</w:t>
            </w:r>
          </w:p>
        </w:tc>
        <w:tc>
          <w:tcPr>
            <w:tcW w:w="612" w:type="pct"/>
          </w:tcPr>
          <w:p w14:paraId="2F164650" w14:textId="77777777" w:rsidR="00F47B0F" w:rsidRPr="00F47B0F" w:rsidRDefault="00F47B0F" w:rsidP="00F47B0F">
            <w:pPr>
              <w:spacing w:before="40" w:after="40"/>
              <w:jc w:val="center"/>
              <w:rPr>
                <w:sz w:val="20"/>
                <w:szCs w:val="20"/>
              </w:rPr>
            </w:pPr>
            <w:r w:rsidRPr="00F47B0F">
              <w:rPr>
                <w:sz w:val="20"/>
                <w:szCs w:val="20"/>
              </w:rPr>
              <w:t>3.059</w:t>
            </w:r>
          </w:p>
        </w:tc>
        <w:tc>
          <w:tcPr>
            <w:tcW w:w="612" w:type="pct"/>
            <w:tcBorders>
              <w:right w:val="single" w:sz="2" w:space="0" w:color="808080" w:themeColor="background1" w:themeShade="80"/>
            </w:tcBorders>
          </w:tcPr>
          <w:p w14:paraId="04943120" w14:textId="77777777" w:rsidR="00F47B0F" w:rsidRPr="00F47B0F" w:rsidRDefault="00F47B0F" w:rsidP="00F47B0F">
            <w:pPr>
              <w:spacing w:before="40" w:after="40"/>
              <w:jc w:val="center"/>
              <w:rPr>
                <w:sz w:val="20"/>
                <w:szCs w:val="20"/>
              </w:rPr>
            </w:pPr>
            <w:r w:rsidRPr="00F47B0F">
              <w:rPr>
                <w:sz w:val="20"/>
                <w:szCs w:val="20"/>
              </w:rPr>
              <w:t>2,209</w:t>
            </w:r>
          </w:p>
        </w:tc>
        <w:tc>
          <w:tcPr>
            <w:tcW w:w="612" w:type="pct"/>
            <w:tcBorders>
              <w:left w:val="single" w:sz="2" w:space="0" w:color="808080" w:themeColor="background1" w:themeShade="80"/>
            </w:tcBorders>
          </w:tcPr>
          <w:p w14:paraId="442D45BB" w14:textId="77777777" w:rsidR="00F47B0F" w:rsidRPr="00F47B0F" w:rsidRDefault="00F47B0F" w:rsidP="00F47B0F">
            <w:pPr>
              <w:spacing w:before="40" w:after="40"/>
              <w:jc w:val="center"/>
              <w:rPr>
                <w:b/>
                <w:bCs/>
                <w:sz w:val="20"/>
                <w:szCs w:val="20"/>
              </w:rPr>
            </w:pPr>
            <w:r w:rsidRPr="00F47B0F">
              <w:rPr>
                <w:b/>
                <w:bCs/>
                <w:sz w:val="20"/>
                <w:szCs w:val="20"/>
              </w:rPr>
              <w:t>18,030</w:t>
            </w:r>
          </w:p>
        </w:tc>
        <w:tc>
          <w:tcPr>
            <w:tcW w:w="715" w:type="pct"/>
          </w:tcPr>
          <w:p w14:paraId="17D8FE1D" w14:textId="77777777" w:rsidR="00F47B0F" w:rsidRPr="00F47B0F" w:rsidRDefault="00F47B0F" w:rsidP="00F47B0F">
            <w:pPr>
              <w:spacing w:before="40" w:after="40"/>
              <w:jc w:val="center"/>
              <w:rPr>
                <w:sz w:val="20"/>
                <w:szCs w:val="20"/>
              </w:rPr>
            </w:pPr>
            <w:r w:rsidRPr="00F47B0F">
              <w:rPr>
                <w:sz w:val="20"/>
                <w:szCs w:val="20"/>
              </w:rPr>
              <w:t>8.3</w:t>
            </w:r>
          </w:p>
        </w:tc>
      </w:tr>
      <w:tr w:rsidR="00F47B0F" w:rsidRPr="00F47B0F" w14:paraId="1D7D8E11" w14:textId="77777777" w:rsidTr="005F6ADC">
        <w:trPr>
          <w:cnfStyle w:val="000000010000" w:firstRow="0" w:lastRow="0" w:firstColumn="0" w:lastColumn="0" w:oddVBand="0" w:evenVBand="0" w:oddHBand="0" w:evenHBand="1" w:firstRowFirstColumn="0" w:firstRowLastColumn="0" w:lastRowFirstColumn="0" w:lastRowLastColumn="0"/>
        </w:trPr>
        <w:tc>
          <w:tcPr>
            <w:tcW w:w="612" w:type="pct"/>
            <w:vAlign w:val="center"/>
          </w:tcPr>
          <w:p w14:paraId="679B66DF" w14:textId="77777777" w:rsidR="00F47B0F" w:rsidRPr="00F47B0F" w:rsidRDefault="00F47B0F" w:rsidP="00F47B0F">
            <w:pPr>
              <w:spacing w:before="40" w:after="40"/>
              <w:rPr>
                <w:sz w:val="20"/>
                <w:szCs w:val="20"/>
              </w:rPr>
            </w:pPr>
            <w:r w:rsidRPr="00F47B0F">
              <w:rPr>
                <w:sz w:val="20"/>
                <w:szCs w:val="20"/>
              </w:rPr>
              <w:t>TAS</w:t>
            </w:r>
          </w:p>
        </w:tc>
        <w:tc>
          <w:tcPr>
            <w:tcW w:w="612" w:type="pct"/>
          </w:tcPr>
          <w:p w14:paraId="4FC663A2" w14:textId="77777777" w:rsidR="00F47B0F" w:rsidRPr="00F47B0F" w:rsidRDefault="00F47B0F" w:rsidP="00F47B0F">
            <w:pPr>
              <w:spacing w:before="40" w:after="40"/>
              <w:jc w:val="center"/>
              <w:rPr>
                <w:sz w:val="20"/>
                <w:szCs w:val="20"/>
              </w:rPr>
            </w:pPr>
            <w:r w:rsidRPr="00F47B0F">
              <w:rPr>
                <w:sz w:val="20"/>
                <w:szCs w:val="20"/>
              </w:rPr>
              <w:t>2,495</w:t>
            </w:r>
          </w:p>
        </w:tc>
        <w:tc>
          <w:tcPr>
            <w:tcW w:w="612" w:type="pct"/>
          </w:tcPr>
          <w:p w14:paraId="08E929E7" w14:textId="77777777" w:rsidR="00F47B0F" w:rsidRPr="00F47B0F" w:rsidRDefault="00F47B0F" w:rsidP="00F47B0F">
            <w:pPr>
              <w:spacing w:before="40" w:after="40"/>
              <w:jc w:val="center"/>
              <w:rPr>
                <w:sz w:val="20"/>
                <w:szCs w:val="20"/>
              </w:rPr>
            </w:pPr>
            <w:r w:rsidRPr="00F47B0F">
              <w:rPr>
                <w:sz w:val="20"/>
                <w:szCs w:val="20"/>
              </w:rPr>
              <w:t>311</w:t>
            </w:r>
          </w:p>
        </w:tc>
        <w:tc>
          <w:tcPr>
            <w:tcW w:w="612" w:type="pct"/>
          </w:tcPr>
          <w:p w14:paraId="73F9338B" w14:textId="77777777" w:rsidR="00F47B0F" w:rsidRPr="00F47B0F" w:rsidRDefault="00F47B0F" w:rsidP="00F47B0F">
            <w:pPr>
              <w:spacing w:before="40" w:after="40"/>
              <w:jc w:val="center"/>
              <w:rPr>
                <w:sz w:val="20"/>
                <w:szCs w:val="20"/>
              </w:rPr>
            </w:pPr>
            <w:r w:rsidRPr="00F47B0F">
              <w:rPr>
                <w:sz w:val="20"/>
                <w:szCs w:val="20"/>
              </w:rPr>
              <w:t>0</w:t>
            </w:r>
          </w:p>
        </w:tc>
        <w:tc>
          <w:tcPr>
            <w:tcW w:w="612" w:type="pct"/>
          </w:tcPr>
          <w:p w14:paraId="3A3B5747" w14:textId="77777777" w:rsidR="00F47B0F" w:rsidRPr="00F47B0F" w:rsidRDefault="00F47B0F" w:rsidP="00F47B0F">
            <w:pPr>
              <w:spacing w:before="40" w:after="40"/>
              <w:jc w:val="center"/>
              <w:rPr>
                <w:sz w:val="20"/>
                <w:szCs w:val="20"/>
              </w:rPr>
            </w:pPr>
            <w:r w:rsidRPr="00F47B0F">
              <w:rPr>
                <w:sz w:val="20"/>
                <w:szCs w:val="20"/>
              </w:rPr>
              <w:t>818</w:t>
            </w:r>
          </w:p>
        </w:tc>
        <w:tc>
          <w:tcPr>
            <w:tcW w:w="612" w:type="pct"/>
            <w:tcBorders>
              <w:right w:val="single" w:sz="2" w:space="0" w:color="808080" w:themeColor="background1" w:themeShade="80"/>
            </w:tcBorders>
          </w:tcPr>
          <w:p w14:paraId="11901B55" w14:textId="77777777" w:rsidR="00F47B0F" w:rsidRPr="00F47B0F" w:rsidRDefault="00F47B0F" w:rsidP="00F47B0F">
            <w:pPr>
              <w:spacing w:before="40" w:after="40"/>
              <w:jc w:val="center"/>
              <w:rPr>
                <w:sz w:val="20"/>
                <w:szCs w:val="20"/>
              </w:rPr>
            </w:pPr>
            <w:r w:rsidRPr="00F47B0F">
              <w:rPr>
                <w:sz w:val="20"/>
                <w:szCs w:val="20"/>
              </w:rPr>
              <w:t>440</w:t>
            </w:r>
          </w:p>
        </w:tc>
        <w:tc>
          <w:tcPr>
            <w:tcW w:w="612" w:type="pct"/>
            <w:tcBorders>
              <w:left w:val="single" w:sz="2" w:space="0" w:color="808080" w:themeColor="background1" w:themeShade="80"/>
            </w:tcBorders>
          </w:tcPr>
          <w:p w14:paraId="60754BDE" w14:textId="77777777" w:rsidR="00F47B0F" w:rsidRPr="00F47B0F" w:rsidRDefault="00F47B0F" w:rsidP="00F47B0F">
            <w:pPr>
              <w:spacing w:before="40" w:after="40"/>
              <w:jc w:val="center"/>
              <w:rPr>
                <w:b/>
                <w:bCs/>
                <w:sz w:val="20"/>
                <w:szCs w:val="20"/>
              </w:rPr>
            </w:pPr>
            <w:r w:rsidRPr="00F47B0F">
              <w:rPr>
                <w:b/>
                <w:bCs/>
                <w:sz w:val="20"/>
                <w:szCs w:val="20"/>
              </w:rPr>
              <w:t>4,064</w:t>
            </w:r>
          </w:p>
        </w:tc>
        <w:tc>
          <w:tcPr>
            <w:tcW w:w="715" w:type="pct"/>
          </w:tcPr>
          <w:p w14:paraId="0EEC6223" w14:textId="77777777" w:rsidR="00F47B0F" w:rsidRPr="00F47B0F" w:rsidRDefault="00F47B0F" w:rsidP="00F47B0F">
            <w:pPr>
              <w:spacing w:before="40" w:after="40"/>
              <w:jc w:val="center"/>
              <w:rPr>
                <w:sz w:val="20"/>
                <w:szCs w:val="20"/>
              </w:rPr>
            </w:pPr>
            <w:r w:rsidRPr="00F47B0F">
              <w:rPr>
                <w:sz w:val="20"/>
                <w:szCs w:val="20"/>
              </w:rPr>
              <w:t>1.9</w:t>
            </w:r>
          </w:p>
        </w:tc>
      </w:tr>
      <w:tr w:rsidR="00F47B0F" w:rsidRPr="00F47B0F" w14:paraId="22C8BF84" w14:textId="77777777" w:rsidTr="005F6ADC">
        <w:tc>
          <w:tcPr>
            <w:tcW w:w="612" w:type="pct"/>
            <w:vAlign w:val="center"/>
          </w:tcPr>
          <w:p w14:paraId="74BFE23D" w14:textId="77777777" w:rsidR="00F47B0F" w:rsidRPr="00F47B0F" w:rsidRDefault="00F47B0F" w:rsidP="00F47B0F">
            <w:pPr>
              <w:spacing w:before="40" w:after="40"/>
              <w:rPr>
                <w:sz w:val="20"/>
                <w:szCs w:val="20"/>
              </w:rPr>
            </w:pPr>
            <w:r w:rsidRPr="00F47B0F">
              <w:rPr>
                <w:sz w:val="20"/>
                <w:szCs w:val="20"/>
              </w:rPr>
              <w:t>NT</w:t>
            </w:r>
          </w:p>
        </w:tc>
        <w:tc>
          <w:tcPr>
            <w:tcW w:w="612" w:type="pct"/>
          </w:tcPr>
          <w:p w14:paraId="0057239E" w14:textId="77777777" w:rsidR="00F47B0F" w:rsidRPr="00F47B0F" w:rsidRDefault="00F47B0F" w:rsidP="00F47B0F">
            <w:pPr>
              <w:spacing w:before="40" w:after="40"/>
              <w:jc w:val="center"/>
              <w:rPr>
                <w:sz w:val="20"/>
                <w:szCs w:val="20"/>
              </w:rPr>
            </w:pPr>
            <w:r w:rsidRPr="00F47B0F">
              <w:rPr>
                <w:sz w:val="20"/>
                <w:szCs w:val="20"/>
              </w:rPr>
              <w:t>1,569</w:t>
            </w:r>
          </w:p>
        </w:tc>
        <w:tc>
          <w:tcPr>
            <w:tcW w:w="612" w:type="pct"/>
          </w:tcPr>
          <w:p w14:paraId="29FE15C7" w14:textId="77777777" w:rsidR="00F47B0F" w:rsidRPr="00F47B0F" w:rsidRDefault="00F47B0F" w:rsidP="00F47B0F">
            <w:pPr>
              <w:spacing w:before="40" w:after="40"/>
              <w:jc w:val="center"/>
              <w:rPr>
                <w:sz w:val="20"/>
                <w:szCs w:val="20"/>
              </w:rPr>
            </w:pPr>
            <w:r w:rsidRPr="00F47B0F">
              <w:rPr>
                <w:sz w:val="20"/>
                <w:szCs w:val="20"/>
              </w:rPr>
              <w:t>61</w:t>
            </w:r>
          </w:p>
        </w:tc>
        <w:tc>
          <w:tcPr>
            <w:tcW w:w="612" w:type="pct"/>
          </w:tcPr>
          <w:p w14:paraId="139641AC" w14:textId="77777777" w:rsidR="00F47B0F" w:rsidRPr="00F47B0F" w:rsidRDefault="00F47B0F" w:rsidP="00F47B0F">
            <w:pPr>
              <w:spacing w:before="40" w:after="40"/>
              <w:jc w:val="center"/>
              <w:rPr>
                <w:sz w:val="20"/>
                <w:szCs w:val="20"/>
              </w:rPr>
            </w:pPr>
            <w:r w:rsidRPr="00F47B0F">
              <w:rPr>
                <w:sz w:val="20"/>
                <w:szCs w:val="20"/>
              </w:rPr>
              <w:t>0</w:t>
            </w:r>
          </w:p>
        </w:tc>
        <w:tc>
          <w:tcPr>
            <w:tcW w:w="612" w:type="pct"/>
          </w:tcPr>
          <w:p w14:paraId="06622533" w14:textId="77777777" w:rsidR="00F47B0F" w:rsidRPr="00F47B0F" w:rsidRDefault="00F47B0F" w:rsidP="00F47B0F">
            <w:pPr>
              <w:spacing w:before="40" w:after="40"/>
              <w:jc w:val="center"/>
              <w:rPr>
                <w:sz w:val="20"/>
                <w:szCs w:val="20"/>
              </w:rPr>
            </w:pPr>
            <w:r w:rsidRPr="00F47B0F">
              <w:rPr>
                <w:sz w:val="20"/>
                <w:szCs w:val="20"/>
              </w:rPr>
              <w:t>432</w:t>
            </w:r>
          </w:p>
        </w:tc>
        <w:tc>
          <w:tcPr>
            <w:tcW w:w="612" w:type="pct"/>
            <w:tcBorders>
              <w:right w:val="single" w:sz="2" w:space="0" w:color="808080" w:themeColor="background1" w:themeShade="80"/>
            </w:tcBorders>
          </w:tcPr>
          <w:p w14:paraId="7E39D477" w14:textId="77777777" w:rsidR="00F47B0F" w:rsidRPr="00F47B0F" w:rsidRDefault="00F47B0F" w:rsidP="00F47B0F">
            <w:pPr>
              <w:spacing w:before="40" w:after="40"/>
              <w:jc w:val="center"/>
              <w:rPr>
                <w:sz w:val="20"/>
                <w:szCs w:val="20"/>
              </w:rPr>
            </w:pPr>
            <w:r w:rsidRPr="00F47B0F">
              <w:rPr>
                <w:sz w:val="20"/>
                <w:szCs w:val="20"/>
              </w:rPr>
              <w:t>303</w:t>
            </w:r>
          </w:p>
        </w:tc>
        <w:tc>
          <w:tcPr>
            <w:tcW w:w="612" w:type="pct"/>
            <w:tcBorders>
              <w:left w:val="single" w:sz="2" w:space="0" w:color="808080" w:themeColor="background1" w:themeShade="80"/>
            </w:tcBorders>
          </w:tcPr>
          <w:p w14:paraId="0B98C940" w14:textId="77777777" w:rsidR="00F47B0F" w:rsidRPr="00F47B0F" w:rsidRDefault="00F47B0F" w:rsidP="00F47B0F">
            <w:pPr>
              <w:spacing w:before="40" w:after="40"/>
              <w:jc w:val="center"/>
              <w:rPr>
                <w:b/>
                <w:bCs/>
                <w:sz w:val="20"/>
                <w:szCs w:val="20"/>
              </w:rPr>
            </w:pPr>
            <w:r w:rsidRPr="00F47B0F">
              <w:rPr>
                <w:b/>
                <w:bCs/>
                <w:sz w:val="20"/>
                <w:szCs w:val="20"/>
              </w:rPr>
              <w:t>2,365</w:t>
            </w:r>
          </w:p>
        </w:tc>
        <w:tc>
          <w:tcPr>
            <w:tcW w:w="715" w:type="pct"/>
          </w:tcPr>
          <w:p w14:paraId="7F6D6500" w14:textId="77777777" w:rsidR="00F47B0F" w:rsidRPr="00F47B0F" w:rsidRDefault="00F47B0F" w:rsidP="00F47B0F">
            <w:pPr>
              <w:spacing w:before="40" w:after="40"/>
              <w:jc w:val="center"/>
              <w:rPr>
                <w:sz w:val="20"/>
                <w:szCs w:val="20"/>
              </w:rPr>
            </w:pPr>
            <w:r w:rsidRPr="00F47B0F">
              <w:rPr>
                <w:sz w:val="20"/>
                <w:szCs w:val="20"/>
              </w:rPr>
              <w:t>1.1</w:t>
            </w:r>
          </w:p>
        </w:tc>
      </w:tr>
      <w:tr w:rsidR="00A2332E" w:rsidRPr="00F47B0F" w14:paraId="5D471577" w14:textId="77777777" w:rsidTr="005F6ADC">
        <w:trPr>
          <w:cnfStyle w:val="000000010000" w:firstRow="0" w:lastRow="0" w:firstColumn="0" w:lastColumn="0" w:oddVBand="0" w:evenVBand="0" w:oddHBand="0" w:evenHBand="1" w:firstRowFirstColumn="0" w:firstRowLastColumn="0" w:lastRowFirstColumn="0" w:lastRowLastColumn="0"/>
        </w:trPr>
        <w:tc>
          <w:tcPr>
            <w:tcW w:w="612" w:type="pct"/>
            <w:tcBorders>
              <w:bottom w:val="single" w:sz="2" w:space="0" w:color="808080" w:themeColor="background1" w:themeShade="80"/>
            </w:tcBorders>
            <w:vAlign w:val="center"/>
          </w:tcPr>
          <w:p w14:paraId="0A67F104" w14:textId="77777777" w:rsidR="00F47B0F" w:rsidRPr="00F47B0F" w:rsidRDefault="00F47B0F" w:rsidP="00F47B0F">
            <w:pPr>
              <w:spacing w:before="40" w:after="40"/>
              <w:rPr>
                <w:sz w:val="20"/>
                <w:szCs w:val="20"/>
              </w:rPr>
            </w:pPr>
            <w:r w:rsidRPr="00F47B0F">
              <w:rPr>
                <w:sz w:val="20"/>
                <w:szCs w:val="20"/>
              </w:rPr>
              <w:t>ACT</w:t>
            </w:r>
          </w:p>
        </w:tc>
        <w:tc>
          <w:tcPr>
            <w:tcW w:w="612" w:type="pct"/>
            <w:tcBorders>
              <w:bottom w:val="single" w:sz="2" w:space="0" w:color="808080" w:themeColor="background1" w:themeShade="80"/>
            </w:tcBorders>
          </w:tcPr>
          <w:p w14:paraId="5095D38F" w14:textId="77777777" w:rsidR="00F47B0F" w:rsidRPr="00F47B0F" w:rsidRDefault="00F47B0F" w:rsidP="00F47B0F">
            <w:pPr>
              <w:spacing w:before="40" w:after="40"/>
              <w:jc w:val="center"/>
              <w:rPr>
                <w:sz w:val="20"/>
                <w:szCs w:val="20"/>
              </w:rPr>
            </w:pPr>
            <w:r w:rsidRPr="00F47B0F">
              <w:rPr>
                <w:sz w:val="20"/>
                <w:szCs w:val="20"/>
              </w:rPr>
              <w:t>3,763</w:t>
            </w:r>
          </w:p>
        </w:tc>
        <w:tc>
          <w:tcPr>
            <w:tcW w:w="612" w:type="pct"/>
            <w:tcBorders>
              <w:bottom w:val="single" w:sz="2" w:space="0" w:color="808080" w:themeColor="background1" w:themeShade="80"/>
            </w:tcBorders>
          </w:tcPr>
          <w:p w14:paraId="1EE1FC21" w14:textId="77777777" w:rsidR="00F47B0F" w:rsidRPr="00F47B0F" w:rsidRDefault="00F47B0F" w:rsidP="00F47B0F">
            <w:pPr>
              <w:spacing w:before="40" w:after="40"/>
              <w:jc w:val="center"/>
              <w:rPr>
                <w:sz w:val="20"/>
                <w:szCs w:val="20"/>
              </w:rPr>
            </w:pPr>
            <w:r w:rsidRPr="00F47B0F">
              <w:rPr>
                <w:sz w:val="20"/>
                <w:szCs w:val="20"/>
              </w:rPr>
              <w:t>154</w:t>
            </w:r>
          </w:p>
        </w:tc>
        <w:tc>
          <w:tcPr>
            <w:tcW w:w="612" w:type="pct"/>
            <w:tcBorders>
              <w:bottom w:val="single" w:sz="2" w:space="0" w:color="808080" w:themeColor="background1" w:themeShade="80"/>
            </w:tcBorders>
          </w:tcPr>
          <w:p w14:paraId="5E923608" w14:textId="77777777" w:rsidR="00F47B0F" w:rsidRPr="00F47B0F" w:rsidRDefault="00F47B0F" w:rsidP="00F47B0F">
            <w:pPr>
              <w:spacing w:before="40" w:after="40"/>
              <w:jc w:val="center"/>
              <w:rPr>
                <w:sz w:val="20"/>
                <w:szCs w:val="20"/>
              </w:rPr>
            </w:pPr>
            <w:r w:rsidRPr="00F47B0F">
              <w:rPr>
                <w:sz w:val="20"/>
                <w:szCs w:val="20"/>
              </w:rPr>
              <w:t>5</w:t>
            </w:r>
          </w:p>
        </w:tc>
        <w:tc>
          <w:tcPr>
            <w:tcW w:w="612" w:type="pct"/>
            <w:tcBorders>
              <w:bottom w:val="single" w:sz="2" w:space="0" w:color="808080" w:themeColor="background1" w:themeShade="80"/>
            </w:tcBorders>
          </w:tcPr>
          <w:p w14:paraId="2A2FCC04" w14:textId="77777777" w:rsidR="00F47B0F" w:rsidRPr="00F47B0F" w:rsidRDefault="00F47B0F" w:rsidP="00F47B0F">
            <w:pPr>
              <w:spacing w:before="40" w:after="40"/>
              <w:jc w:val="center"/>
              <w:rPr>
                <w:sz w:val="20"/>
                <w:szCs w:val="20"/>
              </w:rPr>
            </w:pPr>
            <w:r w:rsidRPr="00F47B0F">
              <w:rPr>
                <w:sz w:val="20"/>
                <w:szCs w:val="20"/>
              </w:rPr>
              <w:t>1,259</w:t>
            </w:r>
          </w:p>
        </w:tc>
        <w:tc>
          <w:tcPr>
            <w:tcW w:w="612" w:type="pct"/>
            <w:tcBorders>
              <w:bottom w:val="single" w:sz="2" w:space="0" w:color="808080" w:themeColor="background1" w:themeShade="80"/>
              <w:right w:val="single" w:sz="2" w:space="0" w:color="808080" w:themeColor="background1" w:themeShade="80"/>
            </w:tcBorders>
          </w:tcPr>
          <w:p w14:paraId="06B279A4" w14:textId="77777777" w:rsidR="00F47B0F" w:rsidRPr="00F47B0F" w:rsidRDefault="00F47B0F" w:rsidP="00F47B0F">
            <w:pPr>
              <w:spacing w:before="40" w:after="40"/>
              <w:jc w:val="center"/>
              <w:rPr>
                <w:sz w:val="20"/>
                <w:szCs w:val="20"/>
              </w:rPr>
            </w:pPr>
            <w:r w:rsidRPr="00F47B0F">
              <w:rPr>
                <w:sz w:val="20"/>
                <w:szCs w:val="20"/>
              </w:rPr>
              <w:t>963</w:t>
            </w:r>
          </w:p>
        </w:tc>
        <w:tc>
          <w:tcPr>
            <w:tcW w:w="612" w:type="pct"/>
            <w:tcBorders>
              <w:left w:val="single" w:sz="2" w:space="0" w:color="808080" w:themeColor="background1" w:themeShade="80"/>
              <w:bottom w:val="single" w:sz="2" w:space="0" w:color="808080" w:themeColor="background1" w:themeShade="80"/>
            </w:tcBorders>
          </w:tcPr>
          <w:p w14:paraId="07F1474C" w14:textId="77777777" w:rsidR="00F47B0F" w:rsidRPr="00F47B0F" w:rsidRDefault="00F47B0F" w:rsidP="00F47B0F">
            <w:pPr>
              <w:spacing w:before="40" w:after="40"/>
              <w:jc w:val="center"/>
              <w:rPr>
                <w:b/>
                <w:bCs/>
                <w:sz w:val="20"/>
                <w:szCs w:val="20"/>
              </w:rPr>
            </w:pPr>
            <w:r w:rsidRPr="00F47B0F">
              <w:rPr>
                <w:b/>
                <w:bCs/>
                <w:sz w:val="20"/>
                <w:szCs w:val="20"/>
              </w:rPr>
              <w:t>6,144</w:t>
            </w:r>
          </w:p>
        </w:tc>
        <w:tc>
          <w:tcPr>
            <w:tcW w:w="715" w:type="pct"/>
            <w:tcBorders>
              <w:bottom w:val="single" w:sz="2" w:space="0" w:color="808080" w:themeColor="background1" w:themeShade="80"/>
            </w:tcBorders>
          </w:tcPr>
          <w:p w14:paraId="4E48E35C" w14:textId="77777777" w:rsidR="00F47B0F" w:rsidRPr="00F47B0F" w:rsidRDefault="00F47B0F" w:rsidP="00F47B0F">
            <w:pPr>
              <w:spacing w:before="40" w:after="40"/>
              <w:jc w:val="center"/>
              <w:rPr>
                <w:sz w:val="20"/>
                <w:szCs w:val="20"/>
              </w:rPr>
            </w:pPr>
            <w:r w:rsidRPr="00F47B0F">
              <w:rPr>
                <w:sz w:val="20"/>
                <w:szCs w:val="20"/>
              </w:rPr>
              <w:t>2.8</w:t>
            </w:r>
          </w:p>
        </w:tc>
      </w:tr>
      <w:tr w:rsidR="00F47B0F" w:rsidRPr="00F47B0F" w14:paraId="3F34715F" w14:textId="77777777" w:rsidTr="005F6ADC">
        <w:tc>
          <w:tcPr>
            <w:tcW w:w="612" w:type="pct"/>
            <w:tcBorders>
              <w:top w:val="single" w:sz="2" w:space="0" w:color="808080" w:themeColor="background1" w:themeShade="80"/>
              <w:bottom w:val="nil"/>
            </w:tcBorders>
            <w:vAlign w:val="center"/>
          </w:tcPr>
          <w:p w14:paraId="0B0F564B" w14:textId="77777777" w:rsidR="00F47B0F" w:rsidRPr="00F47B0F" w:rsidRDefault="00F47B0F" w:rsidP="00F47B0F">
            <w:pPr>
              <w:rPr>
                <w:b/>
                <w:bCs/>
                <w:sz w:val="20"/>
                <w:szCs w:val="20"/>
              </w:rPr>
            </w:pPr>
            <w:r w:rsidRPr="00F47B0F">
              <w:rPr>
                <w:b/>
                <w:bCs/>
                <w:sz w:val="20"/>
                <w:szCs w:val="20"/>
              </w:rPr>
              <w:t>Total</w:t>
            </w:r>
          </w:p>
        </w:tc>
        <w:tc>
          <w:tcPr>
            <w:tcW w:w="612" w:type="pct"/>
            <w:tcBorders>
              <w:top w:val="single" w:sz="2" w:space="0" w:color="808080" w:themeColor="background1" w:themeShade="80"/>
              <w:bottom w:val="nil"/>
            </w:tcBorders>
          </w:tcPr>
          <w:p w14:paraId="666E297A" w14:textId="77777777" w:rsidR="00F47B0F" w:rsidRPr="00F47B0F" w:rsidRDefault="00F47B0F" w:rsidP="00F47B0F">
            <w:pPr>
              <w:spacing w:before="40" w:after="40"/>
              <w:jc w:val="center"/>
              <w:rPr>
                <w:b/>
                <w:bCs/>
                <w:sz w:val="20"/>
                <w:szCs w:val="20"/>
              </w:rPr>
            </w:pPr>
            <w:r w:rsidRPr="00F47B0F">
              <w:rPr>
                <w:b/>
                <w:bCs/>
                <w:sz w:val="20"/>
                <w:szCs w:val="20"/>
              </w:rPr>
              <w:t>146,726</w:t>
            </w:r>
          </w:p>
        </w:tc>
        <w:tc>
          <w:tcPr>
            <w:tcW w:w="612" w:type="pct"/>
            <w:tcBorders>
              <w:top w:val="single" w:sz="2" w:space="0" w:color="808080" w:themeColor="background1" w:themeShade="80"/>
              <w:bottom w:val="nil"/>
            </w:tcBorders>
          </w:tcPr>
          <w:p w14:paraId="2B3A09EF" w14:textId="77777777" w:rsidR="00F47B0F" w:rsidRPr="00F47B0F" w:rsidRDefault="00F47B0F" w:rsidP="00F47B0F">
            <w:pPr>
              <w:spacing w:before="40" w:after="40"/>
              <w:jc w:val="center"/>
              <w:rPr>
                <w:b/>
                <w:bCs/>
                <w:sz w:val="20"/>
                <w:szCs w:val="20"/>
              </w:rPr>
            </w:pPr>
            <w:r w:rsidRPr="00F47B0F">
              <w:rPr>
                <w:b/>
                <w:bCs/>
                <w:sz w:val="20"/>
                <w:szCs w:val="20"/>
              </w:rPr>
              <w:t>13,091</w:t>
            </w:r>
          </w:p>
        </w:tc>
        <w:tc>
          <w:tcPr>
            <w:tcW w:w="612" w:type="pct"/>
            <w:tcBorders>
              <w:top w:val="single" w:sz="2" w:space="0" w:color="808080" w:themeColor="background1" w:themeShade="80"/>
              <w:bottom w:val="nil"/>
            </w:tcBorders>
          </w:tcPr>
          <w:p w14:paraId="6C9BDCC7" w14:textId="77777777" w:rsidR="00F47B0F" w:rsidRPr="00F47B0F" w:rsidRDefault="00F47B0F" w:rsidP="00F47B0F">
            <w:pPr>
              <w:spacing w:before="40" w:after="40"/>
              <w:jc w:val="center"/>
              <w:rPr>
                <w:b/>
                <w:bCs/>
                <w:sz w:val="20"/>
                <w:szCs w:val="20"/>
              </w:rPr>
            </w:pPr>
            <w:r w:rsidRPr="00F47B0F">
              <w:rPr>
                <w:b/>
                <w:bCs/>
                <w:sz w:val="20"/>
                <w:szCs w:val="20"/>
              </w:rPr>
              <w:t>1,038</w:t>
            </w:r>
          </w:p>
        </w:tc>
        <w:tc>
          <w:tcPr>
            <w:tcW w:w="612" w:type="pct"/>
            <w:tcBorders>
              <w:top w:val="single" w:sz="2" w:space="0" w:color="808080" w:themeColor="background1" w:themeShade="80"/>
              <w:bottom w:val="nil"/>
            </w:tcBorders>
          </w:tcPr>
          <w:p w14:paraId="3271BF05" w14:textId="77777777" w:rsidR="00F47B0F" w:rsidRPr="00F47B0F" w:rsidRDefault="00F47B0F" w:rsidP="00F47B0F">
            <w:pPr>
              <w:spacing w:before="40" w:after="40"/>
              <w:jc w:val="center"/>
              <w:rPr>
                <w:b/>
                <w:bCs/>
                <w:sz w:val="20"/>
                <w:szCs w:val="20"/>
              </w:rPr>
            </w:pPr>
            <w:r w:rsidRPr="00F47B0F">
              <w:rPr>
                <w:b/>
                <w:bCs/>
                <w:sz w:val="20"/>
                <w:szCs w:val="20"/>
              </w:rPr>
              <w:t>31,085</w:t>
            </w:r>
          </w:p>
        </w:tc>
        <w:tc>
          <w:tcPr>
            <w:tcW w:w="612" w:type="pct"/>
            <w:tcBorders>
              <w:top w:val="single" w:sz="2" w:space="0" w:color="808080" w:themeColor="background1" w:themeShade="80"/>
              <w:bottom w:val="nil"/>
              <w:right w:val="single" w:sz="2" w:space="0" w:color="808080" w:themeColor="background1" w:themeShade="80"/>
            </w:tcBorders>
          </w:tcPr>
          <w:p w14:paraId="50B9FF0D" w14:textId="77777777" w:rsidR="00F47B0F" w:rsidRPr="00F47B0F" w:rsidRDefault="00F47B0F" w:rsidP="00F47B0F">
            <w:pPr>
              <w:spacing w:before="40" w:after="40"/>
              <w:jc w:val="center"/>
              <w:rPr>
                <w:b/>
                <w:bCs/>
                <w:sz w:val="20"/>
                <w:szCs w:val="20"/>
              </w:rPr>
            </w:pPr>
            <w:r w:rsidRPr="00F47B0F">
              <w:rPr>
                <w:b/>
                <w:bCs/>
                <w:sz w:val="20"/>
                <w:szCs w:val="20"/>
              </w:rPr>
              <w:t>24,679</w:t>
            </w:r>
          </w:p>
        </w:tc>
        <w:tc>
          <w:tcPr>
            <w:tcW w:w="612" w:type="pct"/>
            <w:tcBorders>
              <w:top w:val="single" w:sz="2" w:space="0" w:color="808080" w:themeColor="background1" w:themeShade="80"/>
              <w:left w:val="single" w:sz="2" w:space="0" w:color="808080" w:themeColor="background1" w:themeShade="80"/>
              <w:bottom w:val="nil"/>
            </w:tcBorders>
          </w:tcPr>
          <w:p w14:paraId="0A7A8691" w14:textId="77777777" w:rsidR="00F47B0F" w:rsidRPr="00F47B0F" w:rsidRDefault="00F47B0F" w:rsidP="00F47B0F">
            <w:pPr>
              <w:spacing w:before="40" w:after="40"/>
              <w:jc w:val="center"/>
              <w:rPr>
                <w:b/>
                <w:bCs/>
                <w:sz w:val="20"/>
                <w:szCs w:val="20"/>
              </w:rPr>
            </w:pPr>
            <w:r w:rsidRPr="00F47B0F">
              <w:rPr>
                <w:b/>
                <w:bCs/>
                <w:sz w:val="20"/>
                <w:szCs w:val="20"/>
              </w:rPr>
              <w:t>216,619</w:t>
            </w:r>
          </w:p>
        </w:tc>
        <w:tc>
          <w:tcPr>
            <w:tcW w:w="715" w:type="pct"/>
            <w:tcBorders>
              <w:top w:val="single" w:sz="2" w:space="0" w:color="808080" w:themeColor="background1" w:themeShade="80"/>
              <w:bottom w:val="nil"/>
            </w:tcBorders>
          </w:tcPr>
          <w:p w14:paraId="19893149" w14:textId="77777777" w:rsidR="00F47B0F" w:rsidRPr="00F47B0F" w:rsidRDefault="00F47B0F" w:rsidP="00F47B0F">
            <w:pPr>
              <w:spacing w:before="40" w:after="40"/>
              <w:jc w:val="center"/>
              <w:rPr>
                <w:sz w:val="20"/>
                <w:szCs w:val="20"/>
              </w:rPr>
            </w:pPr>
            <w:r w:rsidRPr="00F47B0F">
              <w:rPr>
                <w:sz w:val="20"/>
                <w:szCs w:val="20"/>
              </w:rPr>
              <w:t>100</w:t>
            </w:r>
          </w:p>
        </w:tc>
      </w:tr>
      <w:tr w:rsidR="00A2332E" w:rsidRPr="00F47B0F" w14:paraId="459D37C4" w14:textId="77777777" w:rsidTr="005F6ADC">
        <w:trPr>
          <w:cnfStyle w:val="000000010000" w:firstRow="0" w:lastRow="0" w:firstColumn="0" w:lastColumn="0" w:oddVBand="0" w:evenVBand="0" w:oddHBand="0" w:evenHBand="1" w:firstRowFirstColumn="0" w:firstRowLastColumn="0" w:lastRowFirstColumn="0" w:lastRowLastColumn="0"/>
        </w:trPr>
        <w:tc>
          <w:tcPr>
            <w:tcW w:w="612" w:type="pct"/>
            <w:tcBorders>
              <w:top w:val="nil"/>
            </w:tcBorders>
            <w:vAlign w:val="center"/>
          </w:tcPr>
          <w:p w14:paraId="59EE17A9" w14:textId="77777777" w:rsidR="00F47B0F" w:rsidRPr="00F47B0F" w:rsidRDefault="00F47B0F" w:rsidP="00F47B0F">
            <w:pPr>
              <w:rPr>
                <w:sz w:val="20"/>
                <w:szCs w:val="20"/>
              </w:rPr>
            </w:pPr>
            <w:r w:rsidRPr="00F47B0F">
              <w:rPr>
                <w:sz w:val="20"/>
                <w:szCs w:val="20"/>
              </w:rPr>
              <w:t>Total (%)</w:t>
            </w:r>
          </w:p>
        </w:tc>
        <w:tc>
          <w:tcPr>
            <w:tcW w:w="612" w:type="pct"/>
            <w:tcBorders>
              <w:top w:val="nil"/>
            </w:tcBorders>
          </w:tcPr>
          <w:p w14:paraId="1E0E998B" w14:textId="77777777" w:rsidR="00F47B0F" w:rsidRPr="00F47B0F" w:rsidRDefault="00F47B0F" w:rsidP="00F47B0F">
            <w:pPr>
              <w:spacing w:before="40" w:after="40"/>
              <w:jc w:val="center"/>
              <w:rPr>
                <w:sz w:val="20"/>
                <w:szCs w:val="20"/>
              </w:rPr>
            </w:pPr>
            <w:r w:rsidRPr="00F47B0F">
              <w:rPr>
                <w:sz w:val="20"/>
                <w:szCs w:val="20"/>
              </w:rPr>
              <w:t>67.7</w:t>
            </w:r>
          </w:p>
        </w:tc>
        <w:tc>
          <w:tcPr>
            <w:tcW w:w="612" w:type="pct"/>
            <w:tcBorders>
              <w:top w:val="nil"/>
            </w:tcBorders>
          </w:tcPr>
          <w:p w14:paraId="31253998" w14:textId="77777777" w:rsidR="00F47B0F" w:rsidRPr="00F47B0F" w:rsidRDefault="00F47B0F" w:rsidP="00F47B0F">
            <w:pPr>
              <w:spacing w:before="40" w:after="40"/>
              <w:jc w:val="center"/>
              <w:rPr>
                <w:sz w:val="20"/>
                <w:szCs w:val="20"/>
              </w:rPr>
            </w:pPr>
            <w:r w:rsidRPr="00F47B0F">
              <w:rPr>
                <w:sz w:val="20"/>
                <w:szCs w:val="20"/>
              </w:rPr>
              <w:t>6.0</w:t>
            </w:r>
          </w:p>
        </w:tc>
        <w:tc>
          <w:tcPr>
            <w:tcW w:w="612" w:type="pct"/>
            <w:tcBorders>
              <w:top w:val="nil"/>
            </w:tcBorders>
          </w:tcPr>
          <w:p w14:paraId="7C1F5CB9" w14:textId="77777777" w:rsidR="00F47B0F" w:rsidRPr="00F47B0F" w:rsidRDefault="00F47B0F" w:rsidP="00F47B0F">
            <w:pPr>
              <w:spacing w:before="40" w:after="40"/>
              <w:jc w:val="center"/>
              <w:rPr>
                <w:sz w:val="20"/>
                <w:szCs w:val="20"/>
              </w:rPr>
            </w:pPr>
            <w:r w:rsidRPr="00F47B0F">
              <w:rPr>
                <w:sz w:val="20"/>
                <w:szCs w:val="20"/>
              </w:rPr>
              <w:t>0.5</w:t>
            </w:r>
          </w:p>
        </w:tc>
        <w:tc>
          <w:tcPr>
            <w:tcW w:w="612" w:type="pct"/>
            <w:tcBorders>
              <w:top w:val="nil"/>
            </w:tcBorders>
          </w:tcPr>
          <w:p w14:paraId="5A35239C" w14:textId="77777777" w:rsidR="00F47B0F" w:rsidRPr="00F47B0F" w:rsidRDefault="00F47B0F" w:rsidP="00F47B0F">
            <w:pPr>
              <w:spacing w:before="40" w:after="40"/>
              <w:jc w:val="center"/>
              <w:rPr>
                <w:sz w:val="20"/>
                <w:szCs w:val="20"/>
              </w:rPr>
            </w:pPr>
            <w:r w:rsidRPr="00F47B0F">
              <w:rPr>
                <w:sz w:val="20"/>
                <w:szCs w:val="20"/>
              </w:rPr>
              <w:t>14.3</w:t>
            </w:r>
          </w:p>
        </w:tc>
        <w:tc>
          <w:tcPr>
            <w:tcW w:w="612" w:type="pct"/>
            <w:tcBorders>
              <w:top w:val="nil"/>
              <w:right w:val="single" w:sz="2" w:space="0" w:color="808080" w:themeColor="background1" w:themeShade="80"/>
            </w:tcBorders>
          </w:tcPr>
          <w:p w14:paraId="43A401FF" w14:textId="77777777" w:rsidR="00F47B0F" w:rsidRPr="00F47B0F" w:rsidRDefault="00F47B0F" w:rsidP="00F47B0F">
            <w:pPr>
              <w:spacing w:before="40" w:after="40"/>
              <w:jc w:val="center"/>
              <w:rPr>
                <w:sz w:val="20"/>
                <w:szCs w:val="20"/>
              </w:rPr>
            </w:pPr>
            <w:r w:rsidRPr="00F47B0F">
              <w:rPr>
                <w:sz w:val="20"/>
                <w:szCs w:val="20"/>
              </w:rPr>
              <w:t>11.4</w:t>
            </w:r>
          </w:p>
        </w:tc>
        <w:tc>
          <w:tcPr>
            <w:tcW w:w="612" w:type="pct"/>
            <w:tcBorders>
              <w:top w:val="nil"/>
              <w:left w:val="single" w:sz="2" w:space="0" w:color="808080" w:themeColor="background1" w:themeShade="80"/>
              <w:bottom w:val="single" w:sz="4" w:space="0" w:color="4B0885"/>
            </w:tcBorders>
          </w:tcPr>
          <w:p w14:paraId="05ED63D0" w14:textId="77777777" w:rsidR="00F47B0F" w:rsidRPr="00F47B0F" w:rsidRDefault="00F47B0F" w:rsidP="00F47B0F">
            <w:pPr>
              <w:spacing w:before="40" w:after="40"/>
              <w:jc w:val="center"/>
              <w:rPr>
                <w:sz w:val="20"/>
                <w:szCs w:val="20"/>
              </w:rPr>
            </w:pPr>
            <w:r w:rsidRPr="00F47B0F">
              <w:rPr>
                <w:sz w:val="20"/>
                <w:szCs w:val="20"/>
              </w:rPr>
              <w:t>100</w:t>
            </w:r>
          </w:p>
        </w:tc>
        <w:tc>
          <w:tcPr>
            <w:tcW w:w="715" w:type="pct"/>
            <w:tcBorders>
              <w:top w:val="nil"/>
            </w:tcBorders>
          </w:tcPr>
          <w:p w14:paraId="7F1AE3AC" w14:textId="77777777" w:rsidR="00F47B0F" w:rsidRPr="00F47B0F" w:rsidRDefault="00F47B0F" w:rsidP="00F47B0F">
            <w:pPr>
              <w:spacing w:before="40" w:after="40"/>
              <w:jc w:val="center"/>
              <w:rPr>
                <w:sz w:val="20"/>
                <w:szCs w:val="20"/>
              </w:rPr>
            </w:pPr>
          </w:p>
        </w:tc>
      </w:tr>
    </w:tbl>
    <w:p w14:paraId="3B7144D4" w14:textId="77777777" w:rsidR="00F47B0F" w:rsidRPr="00F47B0F" w:rsidRDefault="00F47B0F" w:rsidP="00887E52">
      <w:pPr>
        <w:pStyle w:val="Source"/>
      </w:pPr>
      <w:r w:rsidRPr="00F47B0F">
        <w:t>Source: Social Research Centre 2022, Table 3, p. 16</w:t>
      </w:r>
    </w:p>
    <w:p w14:paraId="036A3EB4" w14:textId="77777777" w:rsidR="00F47B0F" w:rsidRPr="00F47B0F" w:rsidRDefault="00F47B0F" w:rsidP="00F47B0F">
      <w:r w:rsidRPr="00F47B0F">
        <w:t xml:space="preserve">The NWC excludes staff employed in dedicated preschools (for which participation in the NWC is not mandatory). In addition to the numbers reported in </w:t>
      </w:r>
      <w:r w:rsidRPr="00F47B0F">
        <w:fldChar w:fldCharType="begin" w:fldLock="1"/>
      </w:r>
      <w:r w:rsidRPr="00F47B0F">
        <w:instrText xml:space="preserve"> REF _Ref169102120 \h </w:instrText>
      </w:r>
      <w:r w:rsidRPr="00F47B0F">
        <w:fldChar w:fldCharType="separate"/>
      </w:r>
      <w:r w:rsidRPr="00F47B0F">
        <w:t>Table 2.</w:t>
      </w:r>
      <w:r w:rsidRPr="00F47B0F">
        <w:rPr>
          <w:noProof/>
        </w:rPr>
        <w:t>1</w:t>
      </w:r>
      <w:r w:rsidRPr="00F47B0F">
        <w:fldChar w:fldCharType="end"/>
      </w:r>
      <w:r w:rsidRPr="00F47B0F">
        <w:t xml:space="preserve">, the 2021 NWC estimates there are approximately 25,000 staff working in dedicated preschools across Australia (noting that the preschool data for Western Australia and South Australia is based on administrative rather than survey data), which makes for a total ECEC workforce of approximately 240,000. </w:t>
      </w:r>
    </w:p>
    <w:p w14:paraId="1DF43006" w14:textId="2929C659" w:rsidR="00F47B0F" w:rsidRPr="00F47B0F" w:rsidRDefault="00F47B0F" w:rsidP="00F47B0F">
      <w:r w:rsidRPr="00F47B0F">
        <w:t>This is around 10% larger than a corresponding estimate based on the 2021 ABS Census of Population and Housing, focusing on everyone employed in the categories of Child Care Services and Preschool Education, and roles clearly associated with ECEC (e.g</w:t>
      </w:r>
      <w:r w:rsidRPr="00F47B0F">
        <w:rPr>
          <w:i/>
          <w:iCs/>
        </w:rPr>
        <w:t>. Child Carer, Early Childhood Teacher)</w:t>
      </w:r>
      <w:r w:rsidRPr="00F47B0F">
        <w:t xml:space="preserve"> in other sectors such as Primary Schools and Local Government, which commonly operate preschools and other ECEC services. Further details are contained in Appendix 3</w:t>
      </w:r>
      <w:r w:rsidR="00B81E2B">
        <w:t>.</w:t>
      </w:r>
      <w:r w:rsidRPr="00F47B0F">
        <w:t xml:space="preserve"> </w:t>
      </w:r>
    </w:p>
    <w:p w14:paraId="3BE3053C" w14:textId="77777777" w:rsidR="00F47B0F" w:rsidRPr="00F47B0F" w:rsidRDefault="00F47B0F" w:rsidP="00F47B0F">
      <w:r w:rsidRPr="00F47B0F">
        <w:t xml:space="preserve">The discrepancy between the NWC and ABS Census estimates can be attributed to a range of factors, including multiple job holding (individuals working across multiple ECEC services, whereas in the Census they would be counted only once), inconsistencies in how casual </w:t>
      </w:r>
      <w:r w:rsidRPr="00F47B0F">
        <w:lastRenderedPageBreak/>
        <w:t xml:space="preserve">employment is counted, as well as measurement error across both data sources (for example, the Census has quite high rates of “not classified” for both occupation and sector, due to the respondent providing insufficient information. </w:t>
      </w:r>
    </w:p>
    <w:p w14:paraId="0F4CAB56" w14:textId="77777777" w:rsidR="00F47B0F" w:rsidRPr="00F47B0F" w:rsidRDefault="00F47B0F" w:rsidP="00F47B0F">
      <w:r w:rsidRPr="00F47B0F">
        <w:t>While the NWC estimates are more specific to the ECEC sector, using the ABS Census data is more useful for demographic characteristics, changes over time, and comparisons with other parts of the workforce where the data is only available in relation to the ANZSCO occupations. For this reason, the analysis derived from the ABS Census data is typically used to examine trends and proportions rather than absolute numbers.</w:t>
      </w:r>
    </w:p>
    <w:p w14:paraId="0B55C23C" w14:textId="77777777" w:rsidR="00F47B0F" w:rsidRPr="00F47B0F" w:rsidRDefault="00F47B0F" w:rsidP="00F47B0F">
      <w:pPr>
        <w:pStyle w:val="Heading3"/>
      </w:pPr>
      <w:r w:rsidRPr="00F47B0F">
        <w:t>Occupations in the ECEC sector</w:t>
      </w:r>
    </w:p>
    <w:p w14:paraId="74092FEA" w14:textId="77777777" w:rsidR="00F47B0F" w:rsidRPr="00F47B0F" w:rsidRDefault="00F47B0F" w:rsidP="00F47B0F">
      <w:r w:rsidRPr="00F47B0F">
        <w:t xml:space="preserve">For much of the workforce analysis using ABS data, we focus on occupation (ANZSCO) rather than sector (ANZSIC). This is for multiple reasons, such as the importance of occupation to training pathways and because some data sources, particularly for employment conditions, are only available by occupation at the level of detail we require. </w:t>
      </w:r>
    </w:p>
    <w:p w14:paraId="1F802616" w14:textId="248342E9" w:rsidR="00F47B0F" w:rsidRPr="00F47B0F" w:rsidRDefault="00F47B0F" w:rsidP="00F47B0F">
      <w:r w:rsidRPr="00F47B0F">
        <w:t xml:space="preserve">The key classification </w:t>
      </w:r>
      <w:r w:rsidR="00B81E2B" w:rsidRPr="00F47B0F">
        <w:t xml:space="preserve">ANZSCO </w:t>
      </w:r>
      <w:r w:rsidRPr="00F47B0F">
        <w:t xml:space="preserve">is used to group job roles into occupations but the current occupation titles and role descriptions relating to ECEC are widely acknowledged as out of date. The ABS has proposed changes to ANZSCO expected to take effect for data published from 2024 but for now historical data remains in the current categories. </w:t>
      </w:r>
    </w:p>
    <w:p w14:paraId="1241DA0F" w14:textId="77777777" w:rsidR="00F47B0F" w:rsidRPr="00F47B0F" w:rsidRDefault="00F47B0F" w:rsidP="00F47B0F">
      <w:r w:rsidRPr="00F47B0F">
        <w:t xml:space="preserve">In this report, we focus on 8 key ECEC ANZSCO occupations, drawn from 4 ANZSCO unit groups. </w:t>
      </w:r>
      <w:r w:rsidRPr="00F47B0F">
        <w:fldChar w:fldCharType="begin" w:fldLock="1"/>
      </w:r>
      <w:r w:rsidRPr="00F47B0F">
        <w:instrText xml:space="preserve"> REF _Ref169102155 \h </w:instrText>
      </w:r>
      <w:r w:rsidRPr="00F47B0F">
        <w:fldChar w:fldCharType="separate"/>
      </w:r>
      <w:r w:rsidRPr="00F47B0F">
        <w:t>Table 2.</w:t>
      </w:r>
      <w:r w:rsidRPr="00F47B0F">
        <w:rPr>
          <w:noProof/>
        </w:rPr>
        <w:t>2</w:t>
      </w:r>
      <w:r w:rsidRPr="00F47B0F">
        <w:fldChar w:fldCharType="end"/>
      </w:r>
      <w:r w:rsidRPr="00F47B0F">
        <w:t xml:space="preserve"> outlines the focus occupations, starting with the sector’s preferred language. The occupations in focus</w:t>
      </w:r>
      <w:r w:rsidRPr="00F47B0F">
        <w:rPr>
          <w:i/>
          <w:iCs/>
        </w:rPr>
        <w:t>, Child Care Workers, Child Care Centre Managers, Early Education (Pre-Primary School) Teachers</w:t>
      </w:r>
      <w:r w:rsidRPr="00F47B0F">
        <w:t xml:space="preserve">, </w:t>
      </w:r>
      <w:r w:rsidRPr="00F47B0F">
        <w:rPr>
          <w:i/>
          <w:iCs/>
        </w:rPr>
        <w:t>Family Day Care Workers, Out of School Hours Care Workers, Nannies, Preschool Aides</w:t>
      </w:r>
      <w:r w:rsidRPr="00F47B0F">
        <w:t xml:space="preserve">, and </w:t>
      </w:r>
      <w:r w:rsidRPr="00F47B0F">
        <w:rPr>
          <w:i/>
          <w:iCs/>
        </w:rPr>
        <w:t xml:space="preserve">Aboriginal and Torres Strait Islander Workers </w:t>
      </w:r>
      <w:r w:rsidRPr="00F47B0F">
        <w:t>(shown in the table below) comprise the overwhelming majority of the sector (over 85% of employees in Preschool Education and Child Care Services according to the 2021 ABS Census of Population and Housing).</w:t>
      </w:r>
    </w:p>
    <w:p w14:paraId="0357308B" w14:textId="6B4752DE" w:rsidR="00F47B0F" w:rsidRPr="00F47B0F" w:rsidRDefault="00F47B0F" w:rsidP="00887E52">
      <w:pPr>
        <w:pStyle w:val="Caption"/>
      </w:pPr>
      <w:bookmarkStart w:id="75" w:name="_Ref169102155"/>
      <w:r w:rsidRPr="00F47B0F">
        <w:t>Table 2.</w:t>
      </w:r>
      <w:r w:rsidRPr="00F47B0F">
        <w:fldChar w:fldCharType="begin"/>
      </w:r>
      <w:r w:rsidRPr="00F47B0F">
        <w:instrText xml:space="preserve"> SEQ Table \* ARABIC \s 1 </w:instrText>
      </w:r>
      <w:r w:rsidRPr="00F47B0F">
        <w:fldChar w:fldCharType="separate"/>
      </w:r>
      <w:r w:rsidR="005F18C1">
        <w:rPr>
          <w:noProof/>
        </w:rPr>
        <w:t>2</w:t>
      </w:r>
      <w:r w:rsidRPr="00F47B0F">
        <w:fldChar w:fldCharType="end"/>
      </w:r>
      <w:bookmarkEnd w:id="75"/>
      <w:r w:rsidRPr="00F47B0F">
        <w:t xml:space="preserve"> Focus Occupations</w:t>
      </w:r>
    </w:p>
    <w:tbl>
      <w:tblPr>
        <w:tblStyle w:val="JSATable1"/>
        <w:tblW w:w="9026" w:type="dxa"/>
        <w:tblLook w:val="04A0" w:firstRow="1" w:lastRow="0" w:firstColumn="1" w:lastColumn="0" w:noHBand="0" w:noVBand="1"/>
      </w:tblPr>
      <w:tblGrid>
        <w:gridCol w:w="2838"/>
        <w:gridCol w:w="2848"/>
        <w:gridCol w:w="3340"/>
      </w:tblGrid>
      <w:tr w:rsidR="00F47B0F" w:rsidRPr="00F47B0F" w14:paraId="39D73562" w14:textId="77777777" w:rsidTr="005F6ADC">
        <w:trPr>
          <w:cnfStyle w:val="100000000000" w:firstRow="1" w:lastRow="0" w:firstColumn="0" w:lastColumn="0" w:oddVBand="0" w:evenVBand="0" w:oddHBand="0" w:evenHBand="0" w:firstRowFirstColumn="0" w:firstRowLastColumn="0" w:lastRowFirstColumn="0" w:lastRowLastColumn="0"/>
          <w:trHeight w:val="270"/>
        </w:trPr>
        <w:tc>
          <w:tcPr>
            <w:tcW w:w="2838" w:type="dxa"/>
          </w:tcPr>
          <w:p w14:paraId="42EDF5B9" w14:textId="77777777" w:rsidR="00F47B0F" w:rsidRPr="00F47B0F" w:rsidRDefault="00F47B0F" w:rsidP="00F47B0F">
            <w:pPr>
              <w:spacing w:beforeAutospacing="1"/>
              <w:jc w:val="center"/>
              <w:textAlignment w:val="baseline"/>
              <w:rPr>
                <w:rFonts w:eastAsia="Times New Roman" w:cs="Arial"/>
                <w:b/>
                <w:bCs/>
                <w:color w:val="FFFFFF"/>
                <w:sz w:val="20"/>
                <w:szCs w:val="20"/>
                <w:lang w:eastAsia="en-AU"/>
              </w:rPr>
            </w:pPr>
            <w:r w:rsidRPr="00F47B0F">
              <w:rPr>
                <w:rFonts w:eastAsia="Times New Roman" w:cs="Arial"/>
                <w:b/>
                <w:bCs/>
                <w:color w:val="FFFFFF"/>
                <w:sz w:val="20"/>
                <w:szCs w:val="20"/>
                <w:lang w:eastAsia="en-AU"/>
              </w:rPr>
              <w:t>Terms used in this report</w:t>
            </w:r>
          </w:p>
        </w:tc>
        <w:tc>
          <w:tcPr>
            <w:tcW w:w="2848" w:type="dxa"/>
            <w:hideMark/>
          </w:tcPr>
          <w:p w14:paraId="3DF8A102" w14:textId="77777777" w:rsidR="00F47B0F" w:rsidRPr="00F47B0F" w:rsidRDefault="00F47B0F" w:rsidP="00F47B0F">
            <w:pPr>
              <w:spacing w:beforeAutospacing="1"/>
              <w:jc w:val="center"/>
              <w:textAlignment w:val="baseline"/>
              <w:rPr>
                <w:rFonts w:ascii="Times New Roman" w:eastAsia="Times New Roman" w:hAnsi="Times New Roman" w:cs="Times New Roman"/>
                <w:lang w:val="en-US" w:eastAsia="en-AU"/>
              </w:rPr>
            </w:pPr>
            <w:r w:rsidRPr="00F47B0F">
              <w:rPr>
                <w:rFonts w:eastAsia="Times New Roman" w:cs="Arial"/>
                <w:b/>
                <w:bCs/>
                <w:color w:val="FFFFFF"/>
                <w:sz w:val="20"/>
                <w:szCs w:val="20"/>
                <w:lang w:eastAsia="en-AU"/>
              </w:rPr>
              <w:t>ANZSCO Unit Group</w:t>
            </w:r>
            <w:r w:rsidRPr="00F47B0F">
              <w:rPr>
                <w:rFonts w:eastAsia="Times New Roman" w:cs="Arial"/>
                <w:color w:val="FFFFFF"/>
                <w:sz w:val="20"/>
                <w:szCs w:val="20"/>
                <w:lang w:val="en-US" w:eastAsia="en-AU"/>
              </w:rPr>
              <w:t> </w:t>
            </w:r>
          </w:p>
        </w:tc>
        <w:tc>
          <w:tcPr>
            <w:tcW w:w="3340" w:type="dxa"/>
            <w:hideMark/>
          </w:tcPr>
          <w:p w14:paraId="0645ABA9" w14:textId="77777777" w:rsidR="00F47B0F" w:rsidRPr="00F47B0F" w:rsidRDefault="00F47B0F" w:rsidP="00F47B0F">
            <w:pPr>
              <w:spacing w:beforeAutospacing="1"/>
              <w:jc w:val="center"/>
              <w:textAlignment w:val="baseline"/>
              <w:rPr>
                <w:rFonts w:ascii="Times New Roman" w:eastAsia="Times New Roman" w:hAnsi="Times New Roman" w:cs="Times New Roman"/>
                <w:lang w:val="en-US" w:eastAsia="en-AU"/>
              </w:rPr>
            </w:pPr>
            <w:r w:rsidRPr="00F47B0F">
              <w:rPr>
                <w:rFonts w:eastAsia="Times New Roman" w:cs="Arial"/>
                <w:b/>
                <w:bCs/>
                <w:color w:val="FFFFFF"/>
                <w:sz w:val="20"/>
                <w:szCs w:val="20"/>
                <w:lang w:eastAsia="en-AU"/>
              </w:rPr>
              <w:t>ANZSCO Occupation Code and Principal Title</w:t>
            </w:r>
            <w:r w:rsidRPr="00F47B0F">
              <w:rPr>
                <w:rFonts w:eastAsia="Times New Roman" w:cs="Arial"/>
                <w:color w:val="FFFFFF"/>
                <w:sz w:val="20"/>
                <w:szCs w:val="20"/>
                <w:lang w:val="en-US" w:eastAsia="en-AU"/>
              </w:rPr>
              <w:t> </w:t>
            </w:r>
          </w:p>
        </w:tc>
      </w:tr>
      <w:tr w:rsidR="00F47B0F" w:rsidRPr="00F47B0F" w14:paraId="58A51823" w14:textId="77777777" w:rsidTr="005F6ADC">
        <w:trPr>
          <w:trHeight w:val="315"/>
        </w:trPr>
        <w:tc>
          <w:tcPr>
            <w:tcW w:w="2838" w:type="dxa"/>
          </w:tcPr>
          <w:p w14:paraId="1027B2EB" w14:textId="77777777" w:rsidR="00F47B0F" w:rsidRPr="00F47B0F" w:rsidRDefault="00F47B0F" w:rsidP="00F47B0F">
            <w:pPr>
              <w:textAlignment w:val="baseline"/>
              <w:rPr>
                <w:rFonts w:eastAsia="Times New Roman" w:cs="Arial"/>
                <w:color w:val="000000"/>
                <w:sz w:val="20"/>
                <w:szCs w:val="20"/>
                <w:lang w:eastAsia="en-AU"/>
              </w:rPr>
            </w:pPr>
            <w:r w:rsidRPr="00F47B0F">
              <w:rPr>
                <w:rFonts w:eastAsia="Times New Roman" w:cs="Arial"/>
                <w:color w:val="000000"/>
                <w:sz w:val="20"/>
                <w:szCs w:val="20"/>
                <w:lang w:eastAsia="en-AU"/>
              </w:rPr>
              <w:t>Children’s Education and Care Service Director</w:t>
            </w:r>
          </w:p>
        </w:tc>
        <w:tc>
          <w:tcPr>
            <w:tcW w:w="2848" w:type="dxa"/>
            <w:hideMark/>
          </w:tcPr>
          <w:p w14:paraId="5E078B54" w14:textId="77777777" w:rsidR="00F47B0F" w:rsidRPr="00F47B0F" w:rsidRDefault="00F47B0F" w:rsidP="00F47B0F">
            <w:pPr>
              <w:textAlignment w:val="baseline"/>
              <w:rPr>
                <w:rFonts w:ascii="Times New Roman" w:eastAsia="Times New Roman" w:hAnsi="Times New Roman" w:cs="Times New Roman"/>
                <w:lang w:val="en-US" w:eastAsia="en-AU"/>
              </w:rPr>
            </w:pPr>
            <w:r w:rsidRPr="00F47B0F">
              <w:rPr>
                <w:rFonts w:eastAsia="Times New Roman" w:cs="Arial"/>
                <w:color w:val="000000"/>
                <w:sz w:val="20"/>
                <w:szCs w:val="20"/>
                <w:lang w:eastAsia="en-AU"/>
              </w:rPr>
              <w:t>1341 Child Care Centre Manager</w:t>
            </w:r>
            <w:r w:rsidRPr="00F47B0F">
              <w:rPr>
                <w:rFonts w:eastAsia="Times New Roman" w:cs="Arial"/>
                <w:color w:val="000000"/>
                <w:sz w:val="20"/>
                <w:szCs w:val="20"/>
                <w:lang w:val="en-US" w:eastAsia="en-AU"/>
              </w:rPr>
              <w:t> </w:t>
            </w:r>
          </w:p>
        </w:tc>
        <w:tc>
          <w:tcPr>
            <w:tcW w:w="3340" w:type="dxa"/>
            <w:hideMark/>
          </w:tcPr>
          <w:p w14:paraId="62790AED" w14:textId="77777777" w:rsidR="00F47B0F" w:rsidRPr="00F47B0F" w:rsidRDefault="00F47B0F" w:rsidP="00F47B0F">
            <w:pPr>
              <w:textAlignment w:val="baseline"/>
              <w:rPr>
                <w:rFonts w:ascii="Times New Roman" w:eastAsia="Times New Roman" w:hAnsi="Times New Roman" w:cs="Times New Roman"/>
                <w:lang w:val="en-US" w:eastAsia="en-AU"/>
              </w:rPr>
            </w:pPr>
            <w:r w:rsidRPr="00F47B0F">
              <w:rPr>
                <w:rFonts w:eastAsia="Times New Roman" w:cs="Arial"/>
                <w:color w:val="000000"/>
                <w:sz w:val="20"/>
                <w:szCs w:val="20"/>
                <w:lang w:eastAsia="en-AU"/>
              </w:rPr>
              <w:t>134111 Child Care Centre Manager</w:t>
            </w:r>
            <w:r w:rsidRPr="00F47B0F">
              <w:rPr>
                <w:rFonts w:eastAsia="Times New Roman" w:cs="Arial"/>
                <w:color w:val="000000"/>
                <w:sz w:val="20"/>
                <w:szCs w:val="20"/>
                <w:lang w:val="en-US" w:eastAsia="en-AU"/>
              </w:rPr>
              <w:t> </w:t>
            </w:r>
          </w:p>
        </w:tc>
      </w:tr>
      <w:tr w:rsidR="00F47B0F" w:rsidRPr="00F47B0F" w14:paraId="34F28DD2" w14:textId="77777777" w:rsidTr="005F6ADC">
        <w:trPr>
          <w:cnfStyle w:val="000000010000" w:firstRow="0" w:lastRow="0" w:firstColumn="0" w:lastColumn="0" w:oddVBand="0" w:evenVBand="0" w:oddHBand="0" w:evenHBand="1" w:firstRowFirstColumn="0" w:firstRowLastColumn="0" w:lastRowFirstColumn="0" w:lastRowLastColumn="0"/>
          <w:trHeight w:val="405"/>
        </w:trPr>
        <w:tc>
          <w:tcPr>
            <w:tcW w:w="2838" w:type="dxa"/>
          </w:tcPr>
          <w:p w14:paraId="509BE216" w14:textId="77777777" w:rsidR="00F47B0F" w:rsidRPr="00F47B0F" w:rsidRDefault="00F47B0F" w:rsidP="00F47B0F">
            <w:pPr>
              <w:textAlignment w:val="baseline"/>
              <w:rPr>
                <w:rFonts w:eastAsia="Times New Roman" w:cs="Arial"/>
                <w:color w:val="000000"/>
                <w:sz w:val="20"/>
                <w:szCs w:val="20"/>
                <w:lang w:eastAsia="en-AU"/>
              </w:rPr>
            </w:pPr>
            <w:r w:rsidRPr="00F47B0F">
              <w:rPr>
                <w:rFonts w:eastAsia="Times New Roman" w:cs="Arial"/>
                <w:color w:val="000000"/>
                <w:sz w:val="20"/>
                <w:szCs w:val="20"/>
                <w:lang w:eastAsia="en-AU"/>
              </w:rPr>
              <w:t>Early Childhood Teacher</w:t>
            </w:r>
          </w:p>
        </w:tc>
        <w:tc>
          <w:tcPr>
            <w:tcW w:w="2848" w:type="dxa"/>
            <w:hideMark/>
          </w:tcPr>
          <w:p w14:paraId="073D4B00" w14:textId="77777777" w:rsidR="00F47B0F" w:rsidRPr="00F47B0F" w:rsidRDefault="00F47B0F" w:rsidP="00F47B0F">
            <w:pPr>
              <w:textAlignment w:val="baseline"/>
              <w:rPr>
                <w:rFonts w:ascii="Times New Roman" w:eastAsia="Times New Roman" w:hAnsi="Times New Roman" w:cs="Times New Roman"/>
                <w:lang w:val="en-US" w:eastAsia="en-AU"/>
              </w:rPr>
            </w:pPr>
            <w:r w:rsidRPr="00F47B0F">
              <w:rPr>
                <w:rFonts w:eastAsia="Times New Roman" w:cs="Arial"/>
                <w:color w:val="000000"/>
                <w:sz w:val="20"/>
                <w:szCs w:val="20"/>
                <w:lang w:eastAsia="en-AU"/>
              </w:rPr>
              <w:t>2411 Early Childhood (Pre-primary School) Teacher</w:t>
            </w:r>
            <w:r w:rsidRPr="00F47B0F">
              <w:rPr>
                <w:rFonts w:eastAsia="Times New Roman" w:cs="Arial"/>
                <w:color w:val="000000"/>
                <w:sz w:val="20"/>
                <w:szCs w:val="20"/>
                <w:lang w:val="en-US" w:eastAsia="en-AU"/>
              </w:rPr>
              <w:t> </w:t>
            </w:r>
          </w:p>
        </w:tc>
        <w:tc>
          <w:tcPr>
            <w:tcW w:w="3340" w:type="dxa"/>
            <w:hideMark/>
          </w:tcPr>
          <w:p w14:paraId="5572ECC8" w14:textId="77777777" w:rsidR="00F47B0F" w:rsidRPr="00F47B0F" w:rsidRDefault="00F47B0F" w:rsidP="00F47B0F">
            <w:pPr>
              <w:textAlignment w:val="baseline"/>
              <w:rPr>
                <w:rFonts w:ascii="Times New Roman" w:eastAsia="Times New Roman" w:hAnsi="Times New Roman" w:cs="Times New Roman"/>
                <w:lang w:val="en-US" w:eastAsia="en-AU"/>
              </w:rPr>
            </w:pPr>
            <w:r w:rsidRPr="00F47B0F">
              <w:rPr>
                <w:rFonts w:eastAsia="Times New Roman" w:cs="Arial"/>
                <w:color w:val="000000"/>
                <w:sz w:val="20"/>
                <w:szCs w:val="20"/>
                <w:lang w:eastAsia="en-AU"/>
              </w:rPr>
              <w:t>241111 Early Childhood (Pre-primary School) Teacher</w:t>
            </w:r>
            <w:r w:rsidRPr="00F47B0F">
              <w:rPr>
                <w:rFonts w:eastAsia="Times New Roman" w:cs="Arial"/>
                <w:color w:val="000000"/>
                <w:sz w:val="20"/>
                <w:szCs w:val="20"/>
                <w:lang w:val="en-US" w:eastAsia="en-AU"/>
              </w:rPr>
              <w:t> </w:t>
            </w:r>
          </w:p>
        </w:tc>
      </w:tr>
      <w:tr w:rsidR="00F47B0F" w:rsidRPr="00F47B0F" w14:paraId="2D682B10" w14:textId="77777777" w:rsidTr="005F6ADC">
        <w:trPr>
          <w:trHeight w:val="450"/>
        </w:trPr>
        <w:tc>
          <w:tcPr>
            <w:tcW w:w="2838" w:type="dxa"/>
            <w:vMerge w:val="restart"/>
          </w:tcPr>
          <w:p w14:paraId="583790F9" w14:textId="77777777" w:rsidR="00F47B0F" w:rsidRPr="00F47B0F" w:rsidRDefault="00F47B0F" w:rsidP="00F47B0F">
            <w:pPr>
              <w:textAlignment w:val="baseline"/>
              <w:rPr>
                <w:rFonts w:eastAsia="Times New Roman" w:cs="Arial"/>
                <w:color w:val="000000"/>
                <w:sz w:val="20"/>
                <w:szCs w:val="20"/>
                <w:lang w:eastAsia="en-AU"/>
              </w:rPr>
            </w:pPr>
            <w:r w:rsidRPr="00F47B0F">
              <w:rPr>
                <w:rFonts w:eastAsia="Times New Roman" w:cs="Arial"/>
                <w:color w:val="000000"/>
                <w:sz w:val="20"/>
                <w:szCs w:val="20"/>
                <w:lang w:eastAsia="en-AU"/>
              </w:rPr>
              <w:t>Early Childhood Educator</w:t>
            </w:r>
          </w:p>
        </w:tc>
        <w:tc>
          <w:tcPr>
            <w:tcW w:w="2848" w:type="dxa"/>
            <w:vMerge w:val="restart"/>
            <w:hideMark/>
          </w:tcPr>
          <w:p w14:paraId="66C17892" w14:textId="77777777" w:rsidR="00F47B0F" w:rsidRPr="00F47B0F" w:rsidRDefault="00F47B0F" w:rsidP="00F47B0F">
            <w:pPr>
              <w:textAlignment w:val="baseline"/>
              <w:rPr>
                <w:rFonts w:ascii="Times New Roman" w:eastAsia="Times New Roman" w:hAnsi="Times New Roman" w:cs="Times New Roman"/>
                <w:lang w:val="en-US" w:eastAsia="en-AU"/>
              </w:rPr>
            </w:pPr>
            <w:r w:rsidRPr="00F47B0F">
              <w:rPr>
                <w:rFonts w:eastAsia="Times New Roman" w:cs="Arial"/>
                <w:color w:val="000000"/>
                <w:sz w:val="20"/>
                <w:szCs w:val="20"/>
                <w:lang w:eastAsia="en-AU"/>
              </w:rPr>
              <w:t>4211 Child Carer</w:t>
            </w:r>
            <w:r w:rsidRPr="00F47B0F">
              <w:rPr>
                <w:rFonts w:eastAsia="Times New Roman" w:cs="Arial"/>
                <w:color w:val="000000"/>
                <w:sz w:val="20"/>
                <w:szCs w:val="20"/>
                <w:lang w:val="en-US" w:eastAsia="en-AU"/>
              </w:rPr>
              <w:t> </w:t>
            </w:r>
          </w:p>
        </w:tc>
        <w:tc>
          <w:tcPr>
            <w:tcW w:w="3340" w:type="dxa"/>
            <w:hideMark/>
          </w:tcPr>
          <w:p w14:paraId="273B6A42" w14:textId="77777777" w:rsidR="00F47B0F" w:rsidRPr="00F47B0F" w:rsidRDefault="00F47B0F" w:rsidP="00F47B0F">
            <w:pPr>
              <w:textAlignment w:val="baseline"/>
              <w:rPr>
                <w:rFonts w:ascii="Times New Roman" w:eastAsia="Times New Roman" w:hAnsi="Times New Roman" w:cs="Times New Roman"/>
                <w:lang w:val="en-US" w:eastAsia="en-AU"/>
              </w:rPr>
            </w:pPr>
            <w:r w:rsidRPr="00F47B0F">
              <w:rPr>
                <w:rFonts w:eastAsia="Times New Roman" w:cs="Arial"/>
                <w:color w:val="000000"/>
                <w:sz w:val="20"/>
                <w:szCs w:val="20"/>
                <w:lang w:eastAsia="en-AU"/>
              </w:rPr>
              <w:t>421111 Child Care Worker</w:t>
            </w:r>
            <w:r w:rsidRPr="00F47B0F">
              <w:rPr>
                <w:rFonts w:eastAsia="Times New Roman" w:cs="Arial"/>
                <w:color w:val="000000"/>
                <w:sz w:val="20"/>
                <w:szCs w:val="20"/>
                <w:lang w:val="en-US" w:eastAsia="en-AU"/>
              </w:rPr>
              <w:t> </w:t>
            </w:r>
          </w:p>
        </w:tc>
      </w:tr>
      <w:tr w:rsidR="00F47B0F" w:rsidRPr="00F47B0F" w14:paraId="72B4761D" w14:textId="77777777" w:rsidTr="005F6ADC">
        <w:trPr>
          <w:cnfStyle w:val="000000010000" w:firstRow="0" w:lastRow="0" w:firstColumn="0" w:lastColumn="0" w:oddVBand="0" w:evenVBand="0" w:oddHBand="0" w:evenHBand="1" w:firstRowFirstColumn="0" w:firstRowLastColumn="0" w:lastRowFirstColumn="0" w:lastRowLastColumn="0"/>
          <w:trHeight w:val="390"/>
        </w:trPr>
        <w:tc>
          <w:tcPr>
            <w:tcW w:w="0" w:type="auto"/>
            <w:vMerge/>
          </w:tcPr>
          <w:p w14:paraId="1048CA6D" w14:textId="77777777" w:rsidR="00F47B0F" w:rsidRPr="00F47B0F" w:rsidRDefault="00F47B0F" w:rsidP="00F47B0F">
            <w:pPr>
              <w:rPr>
                <w:rFonts w:ascii="Times New Roman" w:eastAsia="Times New Roman" w:hAnsi="Times New Roman" w:cs="Times New Roman"/>
                <w:lang w:val="en-US" w:eastAsia="en-AU"/>
              </w:rPr>
            </w:pPr>
          </w:p>
        </w:tc>
        <w:tc>
          <w:tcPr>
            <w:tcW w:w="0" w:type="auto"/>
            <w:vMerge/>
            <w:hideMark/>
          </w:tcPr>
          <w:p w14:paraId="538A6142" w14:textId="77777777" w:rsidR="00F47B0F" w:rsidRPr="00F47B0F" w:rsidRDefault="00F47B0F" w:rsidP="00F47B0F">
            <w:pPr>
              <w:rPr>
                <w:rFonts w:ascii="Times New Roman" w:eastAsia="Times New Roman" w:hAnsi="Times New Roman" w:cs="Times New Roman"/>
                <w:lang w:val="en-US" w:eastAsia="en-AU"/>
              </w:rPr>
            </w:pPr>
          </w:p>
        </w:tc>
        <w:tc>
          <w:tcPr>
            <w:tcW w:w="3340" w:type="dxa"/>
            <w:hideMark/>
          </w:tcPr>
          <w:p w14:paraId="7EC1FA83" w14:textId="77777777" w:rsidR="00F47B0F" w:rsidRPr="00F47B0F" w:rsidRDefault="00F47B0F" w:rsidP="00F47B0F">
            <w:pPr>
              <w:textAlignment w:val="baseline"/>
              <w:rPr>
                <w:rFonts w:ascii="Times New Roman" w:eastAsia="Times New Roman" w:hAnsi="Times New Roman" w:cs="Times New Roman"/>
                <w:lang w:val="en-US" w:eastAsia="en-AU"/>
              </w:rPr>
            </w:pPr>
            <w:r w:rsidRPr="00F47B0F">
              <w:rPr>
                <w:rFonts w:eastAsia="Times New Roman" w:cs="Arial"/>
                <w:color w:val="000000"/>
                <w:sz w:val="20"/>
                <w:szCs w:val="20"/>
                <w:lang w:eastAsia="en-AU"/>
              </w:rPr>
              <w:t>421112 Family Day Care Worker</w:t>
            </w:r>
            <w:r w:rsidRPr="00F47B0F">
              <w:rPr>
                <w:rFonts w:eastAsia="Times New Roman" w:cs="Arial"/>
                <w:color w:val="000000"/>
                <w:sz w:val="20"/>
                <w:szCs w:val="20"/>
                <w:lang w:val="en-US" w:eastAsia="en-AU"/>
              </w:rPr>
              <w:t> </w:t>
            </w:r>
          </w:p>
        </w:tc>
      </w:tr>
      <w:tr w:rsidR="00F47B0F" w:rsidRPr="00F47B0F" w14:paraId="0976A32B" w14:textId="77777777" w:rsidTr="005F6ADC">
        <w:trPr>
          <w:trHeight w:val="390"/>
        </w:trPr>
        <w:tc>
          <w:tcPr>
            <w:tcW w:w="0" w:type="auto"/>
            <w:vMerge/>
          </w:tcPr>
          <w:p w14:paraId="10242090" w14:textId="77777777" w:rsidR="00F47B0F" w:rsidRPr="00F47B0F" w:rsidRDefault="00F47B0F" w:rsidP="00F47B0F">
            <w:pPr>
              <w:rPr>
                <w:rFonts w:ascii="Times New Roman" w:eastAsia="Times New Roman" w:hAnsi="Times New Roman" w:cs="Times New Roman"/>
                <w:lang w:val="en-US" w:eastAsia="en-AU"/>
              </w:rPr>
            </w:pPr>
          </w:p>
        </w:tc>
        <w:tc>
          <w:tcPr>
            <w:tcW w:w="0" w:type="auto"/>
            <w:vMerge/>
            <w:hideMark/>
          </w:tcPr>
          <w:p w14:paraId="5501E8B0" w14:textId="77777777" w:rsidR="00F47B0F" w:rsidRPr="00F47B0F" w:rsidRDefault="00F47B0F" w:rsidP="00F47B0F">
            <w:pPr>
              <w:rPr>
                <w:rFonts w:ascii="Times New Roman" w:eastAsia="Times New Roman" w:hAnsi="Times New Roman" w:cs="Times New Roman"/>
                <w:lang w:val="en-US" w:eastAsia="en-AU"/>
              </w:rPr>
            </w:pPr>
          </w:p>
        </w:tc>
        <w:tc>
          <w:tcPr>
            <w:tcW w:w="3340" w:type="dxa"/>
            <w:hideMark/>
          </w:tcPr>
          <w:p w14:paraId="45488081" w14:textId="77777777" w:rsidR="00F47B0F" w:rsidRPr="00F47B0F" w:rsidRDefault="00F47B0F" w:rsidP="00F47B0F">
            <w:pPr>
              <w:textAlignment w:val="baseline"/>
              <w:rPr>
                <w:rFonts w:ascii="Times New Roman" w:eastAsia="Times New Roman" w:hAnsi="Times New Roman" w:cs="Times New Roman"/>
                <w:lang w:val="en-US" w:eastAsia="en-AU"/>
              </w:rPr>
            </w:pPr>
            <w:r w:rsidRPr="00F47B0F">
              <w:rPr>
                <w:rFonts w:eastAsia="Times New Roman" w:cs="Arial"/>
                <w:color w:val="000000"/>
                <w:sz w:val="20"/>
                <w:szCs w:val="20"/>
                <w:lang w:eastAsia="en-AU"/>
              </w:rPr>
              <w:t>421113 Nanny</w:t>
            </w:r>
            <w:r w:rsidRPr="00F47B0F">
              <w:rPr>
                <w:rFonts w:eastAsia="Times New Roman" w:cs="Arial"/>
                <w:color w:val="000000"/>
                <w:sz w:val="20"/>
                <w:szCs w:val="20"/>
                <w:lang w:val="en-US" w:eastAsia="en-AU"/>
              </w:rPr>
              <w:t> </w:t>
            </w:r>
          </w:p>
        </w:tc>
      </w:tr>
      <w:tr w:rsidR="00F47B0F" w:rsidRPr="00F47B0F" w14:paraId="2E41CCD4" w14:textId="77777777" w:rsidTr="005F6ADC">
        <w:trPr>
          <w:cnfStyle w:val="000000010000" w:firstRow="0" w:lastRow="0" w:firstColumn="0" w:lastColumn="0" w:oddVBand="0" w:evenVBand="0" w:oddHBand="0" w:evenHBand="1" w:firstRowFirstColumn="0" w:firstRowLastColumn="0" w:lastRowFirstColumn="0" w:lastRowLastColumn="0"/>
          <w:trHeight w:val="405"/>
        </w:trPr>
        <w:tc>
          <w:tcPr>
            <w:tcW w:w="0" w:type="auto"/>
            <w:vMerge/>
          </w:tcPr>
          <w:p w14:paraId="275E54FB" w14:textId="77777777" w:rsidR="00F47B0F" w:rsidRPr="00F47B0F" w:rsidRDefault="00F47B0F" w:rsidP="00F47B0F">
            <w:pPr>
              <w:rPr>
                <w:rFonts w:ascii="Times New Roman" w:eastAsia="Times New Roman" w:hAnsi="Times New Roman" w:cs="Times New Roman"/>
                <w:lang w:val="en-US" w:eastAsia="en-AU"/>
              </w:rPr>
            </w:pPr>
          </w:p>
        </w:tc>
        <w:tc>
          <w:tcPr>
            <w:tcW w:w="0" w:type="auto"/>
            <w:vMerge/>
            <w:hideMark/>
          </w:tcPr>
          <w:p w14:paraId="68EEE90A" w14:textId="77777777" w:rsidR="00F47B0F" w:rsidRPr="00F47B0F" w:rsidRDefault="00F47B0F" w:rsidP="00F47B0F">
            <w:pPr>
              <w:rPr>
                <w:rFonts w:ascii="Times New Roman" w:eastAsia="Times New Roman" w:hAnsi="Times New Roman" w:cs="Times New Roman"/>
                <w:lang w:val="en-US" w:eastAsia="en-AU"/>
              </w:rPr>
            </w:pPr>
          </w:p>
        </w:tc>
        <w:tc>
          <w:tcPr>
            <w:tcW w:w="3340" w:type="dxa"/>
            <w:hideMark/>
          </w:tcPr>
          <w:p w14:paraId="306F05E4" w14:textId="77777777" w:rsidR="00F47B0F" w:rsidRPr="00F47B0F" w:rsidRDefault="00F47B0F" w:rsidP="00F47B0F">
            <w:pPr>
              <w:textAlignment w:val="baseline"/>
              <w:rPr>
                <w:rFonts w:ascii="Times New Roman" w:eastAsia="Times New Roman" w:hAnsi="Times New Roman" w:cs="Times New Roman"/>
                <w:lang w:val="en-US" w:eastAsia="en-AU"/>
              </w:rPr>
            </w:pPr>
            <w:r w:rsidRPr="00F47B0F">
              <w:rPr>
                <w:rFonts w:eastAsia="Times New Roman" w:cs="Arial"/>
                <w:color w:val="000000"/>
                <w:sz w:val="20"/>
                <w:szCs w:val="20"/>
                <w:lang w:eastAsia="en-AU"/>
              </w:rPr>
              <w:t>421114 Out of School Hours Care Worker</w:t>
            </w:r>
            <w:r w:rsidRPr="00F47B0F">
              <w:rPr>
                <w:rFonts w:eastAsia="Times New Roman" w:cs="Arial"/>
                <w:color w:val="000000"/>
                <w:sz w:val="20"/>
                <w:szCs w:val="20"/>
                <w:lang w:val="en-US" w:eastAsia="en-AU"/>
              </w:rPr>
              <w:t> </w:t>
            </w:r>
          </w:p>
        </w:tc>
      </w:tr>
      <w:tr w:rsidR="00F47B0F" w:rsidRPr="00F47B0F" w14:paraId="65C846C3" w14:textId="77777777" w:rsidTr="005F6ADC">
        <w:trPr>
          <w:trHeight w:val="450"/>
        </w:trPr>
        <w:tc>
          <w:tcPr>
            <w:tcW w:w="2838" w:type="dxa"/>
            <w:vMerge/>
            <w:shd w:val="clear" w:color="auto" w:fill="E6E6E6"/>
          </w:tcPr>
          <w:p w14:paraId="2D5BA20E" w14:textId="77777777" w:rsidR="00F47B0F" w:rsidRPr="00F47B0F" w:rsidRDefault="00F47B0F" w:rsidP="00F47B0F">
            <w:pPr>
              <w:textAlignment w:val="baseline"/>
              <w:rPr>
                <w:rFonts w:eastAsia="Times New Roman" w:cs="Arial"/>
                <w:color w:val="000000"/>
                <w:sz w:val="20"/>
                <w:szCs w:val="20"/>
                <w:lang w:eastAsia="en-AU"/>
              </w:rPr>
            </w:pPr>
          </w:p>
        </w:tc>
        <w:tc>
          <w:tcPr>
            <w:tcW w:w="2848" w:type="dxa"/>
            <w:vMerge w:val="restart"/>
            <w:shd w:val="clear" w:color="auto" w:fill="E6E6E6"/>
            <w:hideMark/>
          </w:tcPr>
          <w:p w14:paraId="2F64C00A" w14:textId="77777777" w:rsidR="00F47B0F" w:rsidRPr="00F47B0F" w:rsidRDefault="00F47B0F" w:rsidP="00F47B0F">
            <w:pPr>
              <w:textAlignment w:val="baseline"/>
              <w:rPr>
                <w:rFonts w:ascii="Times New Roman" w:eastAsia="Times New Roman" w:hAnsi="Times New Roman" w:cs="Times New Roman"/>
                <w:lang w:val="en-US" w:eastAsia="en-AU"/>
              </w:rPr>
            </w:pPr>
            <w:r w:rsidRPr="00F47B0F">
              <w:rPr>
                <w:rFonts w:eastAsia="Times New Roman" w:cs="Arial"/>
                <w:color w:val="000000"/>
                <w:sz w:val="20"/>
                <w:szCs w:val="20"/>
                <w:lang w:eastAsia="en-AU"/>
              </w:rPr>
              <w:t>4221 Education Aide (part)</w:t>
            </w:r>
            <w:r w:rsidRPr="00F47B0F">
              <w:rPr>
                <w:rFonts w:eastAsia="Times New Roman" w:cs="Arial"/>
                <w:color w:val="000000"/>
                <w:sz w:val="20"/>
                <w:szCs w:val="20"/>
                <w:lang w:val="en-US" w:eastAsia="en-AU"/>
              </w:rPr>
              <w:t> </w:t>
            </w:r>
          </w:p>
        </w:tc>
        <w:tc>
          <w:tcPr>
            <w:tcW w:w="3340" w:type="dxa"/>
            <w:hideMark/>
          </w:tcPr>
          <w:p w14:paraId="47280803" w14:textId="77777777" w:rsidR="00F47B0F" w:rsidRPr="00F47B0F" w:rsidRDefault="00F47B0F" w:rsidP="00F47B0F">
            <w:pPr>
              <w:textAlignment w:val="baseline"/>
              <w:rPr>
                <w:rFonts w:ascii="Times New Roman" w:eastAsia="Times New Roman" w:hAnsi="Times New Roman" w:cs="Times New Roman"/>
                <w:lang w:val="en-US" w:eastAsia="en-AU"/>
              </w:rPr>
            </w:pPr>
            <w:r w:rsidRPr="00F47B0F">
              <w:rPr>
                <w:rFonts w:eastAsia="Times New Roman" w:cs="Arial"/>
                <w:color w:val="000000"/>
                <w:sz w:val="20"/>
                <w:szCs w:val="20"/>
                <w:lang w:eastAsia="en-AU"/>
              </w:rPr>
              <w:t>422111 Aboriginal and Torres Strait Islander Education Worker</w:t>
            </w:r>
            <w:r w:rsidRPr="00F47B0F">
              <w:rPr>
                <w:rFonts w:eastAsia="Times New Roman" w:cs="Arial"/>
                <w:color w:val="000000"/>
                <w:sz w:val="20"/>
                <w:szCs w:val="20"/>
                <w:lang w:val="en-US" w:eastAsia="en-AU"/>
              </w:rPr>
              <w:t> </w:t>
            </w:r>
          </w:p>
        </w:tc>
      </w:tr>
      <w:tr w:rsidR="00F47B0F" w:rsidRPr="00F47B0F" w14:paraId="545B80D3" w14:textId="77777777" w:rsidTr="005F6ADC">
        <w:trPr>
          <w:cnfStyle w:val="000000010000" w:firstRow="0" w:lastRow="0" w:firstColumn="0" w:lastColumn="0" w:oddVBand="0" w:evenVBand="0" w:oddHBand="0" w:evenHBand="1" w:firstRowFirstColumn="0" w:firstRowLastColumn="0" w:lastRowFirstColumn="0" w:lastRowLastColumn="0"/>
          <w:trHeight w:val="450"/>
        </w:trPr>
        <w:tc>
          <w:tcPr>
            <w:tcW w:w="0" w:type="auto"/>
            <w:vMerge/>
          </w:tcPr>
          <w:p w14:paraId="4F4F815A" w14:textId="77777777" w:rsidR="00F47B0F" w:rsidRPr="00F47B0F" w:rsidRDefault="00F47B0F" w:rsidP="00F47B0F">
            <w:pPr>
              <w:rPr>
                <w:rFonts w:ascii="Times New Roman" w:eastAsia="Times New Roman" w:hAnsi="Times New Roman" w:cs="Times New Roman"/>
                <w:lang w:val="en-US" w:eastAsia="en-AU"/>
              </w:rPr>
            </w:pPr>
          </w:p>
        </w:tc>
        <w:tc>
          <w:tcPr>
            <w:tcW w:w="0" w:type="auto"/>
            <w:vMerge/>
            <w:hideMark/>
          </w:tcPr>
          <w:p w14:paraId="382243B8" w14:textId="77777777" w:rsidR="00F47B0F" w:rsidRPr="00F47B0F" w:rsidRDefault="00F47B0F" w:rsidP="00F47B0F">
            <w:pPr>
              <w:rPr>
                <w:rFonts w:ascii="Times New Roman" w:eastAsia="Times New Roman" w:hAnsi="Times New Roman" w:cs="Times New Roman"/>
                <w:lang w:val="en-US" w:eastAsia="en-AU"/>
              </w:rPr>
            </w:pPr>
          </w:p>
        </w:tc>
        <w:tc>
          <w:tcPr>
            <w:tcW w:w="3340" w:type="dxa"/>
            <w:hideMark/>
          </w:tcPr>
          <w:p w14:paraId="158CC483" w14:textId="77777777" w:rsidR="00F47B0F" w:rsidRPr="00F47B0F" w:rsidRDefault="00F47B0F" w:rsidP="00F47B0F">
            <w:pPr>
              <w:textAlignment w:val="baseline"/>
              <w:rPr>
                <w:rFonts w:ascii="Times New Roman" w:eastAsia="Times New Roman" w:hAnsi="Times New Roman" w:cs="Times New Roman"/>
                <w:lang w:val="en-US" w:eastAsia="en-AU"/>
              </w:rPr>
            </w:pPr>
            <w:r w:rsidRPr="00F47B0F">
              <w:rPr>
                <w:rFonts w:eastAsia="Times New Roman" w:cs="Arial"/>
                <w:color w:val="000000"/>
                <w:sz w:val="20"/>
                <w:szCs w:val="20"/>
                <w:lang w:eastAsia="en-AU"/>
              </w:rPr>
              <w:t>422115 Preschool Aide</w:t>
            </w:r>
            <w:r w:rsidRPr="00F47B0F">
              <w:rPr>
                <w:rFonts w:eastAsia="Times New Roman" w:cs="Arial"/>
                <w:color w:val="000000"/>
                <w:sz w:val="20"/>
                <w:szCs w:val="20"/>
                <w:lang w:val="en-US" w:eastAsia="en-AU"/>
              </w:rPr>
              <w:t> </w:t>
            </w:r>
          </w:p>
        </w:tc>
      </w:tr>
    </w:tbl>
    <w:p w14:paraId="5569F113" w14:textId="77777777" w:rsidR="00F47B0F" w:rsidRPr="00F47B0F" w:rsidRDefault="00F47B0F" w:rsidP="00887E52">
      <w:pPr>
        <w:pStyle w:val="Source"/>
      </w:pPr>
      <w:r w:rsidRPr="00F47B0F">
        <w:t>Source: ABS ANZSCO Classification</w:t>
      </w:r>
    </w:p>
    <w:p w14:paraId="5944BAA0" w14:textId="77777777" w:rsidR="00F47B0F" w:rsidRPr="00F47B0F" w:rsidRDefault="00F47B0F" w:rsidP="00F47B0F">
      <w:pPr>
        <w:spacing w:after="0" w:line="240" w:lineRule="auto"/>
        <w:textAlignment w:val="baseline"/>
      </w:pPr>
      <w:r w:rsidRPr="00F47B0F">
        <w:rPr>
          <w:rFonts w:eastAsia="Times New Roman" w:cs="Arial"/>
          <w:color w:val="000000"/>
          <w:lang w:val="en-US" w:eastAsia="en-AU"/>
        </w:rPr>
        <w:t xml:space="preserve">It is important to acknowledge the distinct contribution of other occupations to ECEC services. </w:t>
      </w:r>
      <w:r w:rsidRPr="00F47B0F">
        <w:t xml:space="preserve">There are three other occupations that each comprise at least 1% of total employment across the two sectors, namely: </w:t>
      </w:r>
      <w:r w:rsidRPr="00F47B0F">
        <w:rPr>
          <w:i/>
          <w:iCs/>
        </w:rPr>
        <w:t>Cooks</w:t>
      </w:r>
      <w:r w:rsidRPr="00F47B0F">
        <w:t xml:space="preserve">, </w:t>
      </w:r>
      <w:r w:rsidRPr="00F47B0F">
        <w:rPr>
          <w:i/>
          <w:iCs/>
        </w:rPr>
        <w:t xml:space="preserve">General Clerks </w:t>
      </w:r>
      <w:r w:rsidRPr="00F47B0F">
        <w:t>and</w:t>
      </w:r>
      <w:r w:rsidRPr="00F47B0F">
        <w:rPr>
          <w:i/>
          <w:iCs/>
        </w:rPr>
        <w:t xml:space="preserve"> Chefs</w:t>
      </w:r>
      <w:r w:rsidRPr="00F47B0F">
        <w:t xml:space="preserve">. While there </w:t>
      </w:r>
      <w:r w:rsidRPr="00F47B0F">
        <w:lastRenderedPageBreak/>
        <w:t xml:space="preserve">are comparatively fewer workers in the remaining occupations, they can be grouped into categories: </w:t>
      </w:r>
    </w:p>
    <w:p w14:paraId="3CB881FD" w14:textId="77777777" w:rsidR="00F47B0F" w:rsidRPr="00F47B0F" w:rsidRDefault="00F47B0F" w:rsidP="00F47B0F">
      <w:pPr>
        <w:spacing w:after="0" w:line="240" w:lineRule="auto"/>
        <w:textAlignment w:val="baseline"/>
      </w:pPr>
    </w:p>
    <w:p w14:paraId="0D5F960A" w14:textId="77777777" w:rsidR="00F47B0F" w:rsidRPr="00F47B0F" w:rsidRDefault="00F47B0F" w:rsidP="00F47B0F">
      <w:pPr>
        <w:numPr>
          <w:ilvl w:val="0"/>
          <w:numId w:val="1"/>
        </w:numPr>
        <w:spacing w:line="240" w:lineRule="atLeast"/>
        <w:rPr>
          <w:rFonts w:eastAsia="SimSun" w:cs="Times New Roman"/>
          <w:spacing w:val="-1"/>
          <w:szCs w:val="20"/>
          <w:lang w:val="en-GB" w:eastAsia="en-GB"/>
        </w:rPr>
      </w:pPr>
      <w:r w:rsidRPr="00F47B0F">
        <w:rPr>
          <w:rFonts w:eastAsia="SimSun" w:cs="Times New Roman"/>
          <w:b/>
          <w:bCs/>
          <w:spacing w:val="-1"/>
          <w:szCs w:val="20"/>
          <w:lang w:val="en-GB" w:eastAsia="en-GB"/>
        </w:rPr>
        <w:t>Other Education and Care occupations</w:t>
      </w:r>
      <w:r w:rsidRPr="00F47B0F">
        <w:rPr>
          <w:rFonts w:eastAsia="SimSun" w:cs="Times New Roman"/>
          <w:spacing w:val="-1"/>
          <w:szCs w:val="20"/>
          <w:lang w:val="en-GB" w:eastAsia="en-GB"/>
        </w:rPr>
        <w:t>: Welfare Support Workers, Aged and Disabled Carers, Education Advisers and Reviewers, Special Education Teachers, and Social Workers</w:t>
      </w:r>
    </w:p>
    <w:p w14:paraId="270BA9EB" w14:textId="77777777" w:rsidR="00F47B0F" w:rsidRPr="00F47B0F" w:rsidRDefault="00F47B0F" w:rsidP="00F47B0F">
      <w:pPr>
        <w:numPr>
          <w:ilvl w:val="0"/>
          <w:numId w:val="1"/>
        </w:numPr>
        <w:spacing w:line="240" w:lineRule="atLeast"/>
        <w:rPr>
          <w:rFonts w:eastAsia="SimSun" w:cs="Times New Roman"/>
          <w:spacing w:val="-1"/>
          <w:szCs w:val="20"/>
          <w:lang w:val="en-GB" w:eastAsia="en-GB"/>
        </w:rPr>
      </w:pPr>
      <w:r w:rsidRPr="00F47B0F">
        <w:rPr>
          <w:rFonts w:eastAsia="SimSun" w:cs="Times New Roman"/>
          <w:b/>
          <w:bCs/>
          <w:spacing w:val="-1"/>
          <w:szCs w:val="20"/>
          <w:lang w:val="en-GB" w:eastAsia="en-GB"/>
        </w:rPr>
        <w:t>ECEC support occupations</w:t>
      </w:r>
      <w:r w:rsidRPr="00F47B0F">
        <w:rPr>
          <w:rFonts w:eastAsia="SimSun" w:cs="Times New Roman"/>
          <w:spacing w:val="-1"/>
          <w:szCs w:val="20"/>
          <w:lang w:val="en-GB" w:eastAsia="en-GB"/>
        </w:rPr>
        <w:t>: Cooks and Chefs, followed by General Clerks, Office Managers, Commercial Cleaners, Accounting Clerks and Bookkeepers, etc.</w:t>
      </w:r>
    </w:p>
    <w:p w14:paraId="05825D43" w14:textId="77777777" w:rsidR="00F47B0F" w:rsidRPr="00F47B0F" w:rsidRDefault="00F47B0F" w:rsidP="00F47B0F">
      <w:pPr>
        <w:numPr>
          <w:ilvl w:val="0"/>
          <w:numId w:val="1"/>
        </w:numPr>
        <w:spacing w:line="240" w:lineRule="atLeast"/>
        <w:rPr>
          <w:rFonts w:eastAsia="SimSun" w:cs="Times New Roman"/>
          <w:spacing w:val="-1"/>
          <w:szCs w:val="20"/>
          <w:lang w:val="en-GB" w:eastAsia="en-GB"/>
        </w:rPr>
      </w:pPr>
      <w:r w:rsidRPr="00F47B0F">
        <w:rPr>
          <w:rFonts w:eastAsia="SimSun" w:cs="Times New Roman"/>
          <w:b/>
          <w:bCs/>
          <w:spacing w:val="-1"/>
          <w:szCs w:val="20"/>
          <w:lang w:val="en-GB" w:eastAsia="en-GB"/>
        </w:rPr>
        <w:t>Generalist manager roles</w:t>
      </w:r>
      <w:r w:rsidRPr="00F47B0F">
        <w:rPr>
          <w:rFonts w:eastAsia="SimSun" w:cs="Times New Roman"/>
          <w:spacing w:val="-1"/>
          <w:szCs w:val="20"/>
          <w:lang w:val="en-GB" w:eastAsia="en-GB"/>
        </w:rPr>
        <w:t xml:space="preserve">: Chief Executives and Managing Directors, General Managers, etc. </w:t>
      </w:r>
    </w:p>
    <w:p w14:paraId="7540925A" w14:textId="77777777" w:rsidR="00F47B0F" w:rsidRPr="00F47B0F" w:rsidRDefault="00F47B0F" w:rsidP="00F47B0F">
      <w:pPr>
        <w:spacing w:line="240" w:lineRule="atLeast"/>
        <w:rPr>
          <w:rFonts w:eastAsia="SimSun" w:cs="Times New Roman"/>
          <w:spacing w:val="-1"/>
          <w:szCs w:val="20"/>
          <w:lang w:val="en-GB" w:eastAsia="en-GB"/>
        </w:rPr>
      </w:pPr>
      <w:r w:rsidRPr="00F47B0F">
        <w:rPr>
          <w:rFonts w:eastAsia="SimSun" w:cs="Times New Roman"/>
          <w:spacing w:val="-1"/>
          <w:szCs w:val="20"/>
          <w:lang w:val="en-GB" w:eastAsia="en-GB"/>
        </w:rPr>
        <w:t>The significance of these roles is noted later in the report, in discussions on growing demand for specialised skills to service children with complex needs, and the increasing complexity of ECEC service management and administration.</w:t>
      </w:r>
    </w:p>
    <w:tbl>
      <w:tblPr>
        <w:tblStyle w:val="BoxC2"/>
        <w:tblW w:w="0" w:type="auto"/>
        <w:tblLook w:val="0620" w:firstRow="1" w:lastRow="0" w:firstColumn="0" w:lastColumn="0" w:noHBand="1" w:noVBand="1"/>
      </w:tblPr>
      <w:tblGrid>
        <w:gridCol w:w="9016"/>
      </w:tblGrid>
      <w:tr w:rsidR="00F47B0F" w:rsidRPr="00F47B0F" w14:paraId="27A20527" w14:textId="77777777" w:rsidTr="005D67F5">
        <w:tc>
          <w:tcPr>
            <w:tcW w:w="9016" w:type="dxa"/>
          </w:tcPr>
          <w:p w14:paraId="493B7DAE" w14:textId="77777777" w:rsidR="00F47B0F" w:rsidRPr="00F47B0F" w:rsidRDefault="00F47B0F" w:rsidP="00887E52">
            <w:pPr>
              <w:spacing w:after="160"/>
              <w:rPr>
                <w:rFonts w:eastAsiaTheme="majorEastAsia" w:cstheme="majorBidi"/>
                <w:b/>
                <w:color w:val="005D5D" w:themeColor="accent2"/>
                <w:sz w:val="32"/>
                <w:szCs w:val="24"/>
              </w:rPr>
            </w:pPr>
            <w:bookmarkStart w:id="76" w:name="_Hlk174106605"/>
            <w:r w:rsidRPr="00F47B0F">
              <w:rPr>
                <w:rFonts w:eastAsiaTheme="majorEastAsia" w:cstheme="majorBidi"/>
                <w:b/>
                <w:color w:val="005D5D" w:themeColor="accent2"/>
                <w:sz w:val="32"/>
                <w:szCs w:val="24"/>
              </w:rPr>
              <w:t>CASE STUDY – Permanent relief team at KU Children’s Services</w:t>
            </w:r>
          </w:p>
          <w:p w14:paraId="0A516723" w14:textId="77777777" w:rsidR="00F47B0F" w:rsidRPr="00F47B0F" w:rsidRDefault="00F47B0F" w:rsidP="00F47B0F">
            <w:pPr>
              <w:spacing w:after="160" w:line="259" w:lineRule="auto"/>
            </w:pPr>
            <w:r w:rsidRPr="00F47B0F">
              <w:t>While KU Children’s Services has been recognised as an Employer of Choice with over 30% of staff with a tenure of 10 years or more, it does experience workforce shortages. To address this, KU has built a permanent relief team with qualified teachers and educators to fill permanent staff vacancies and leave, allowing services to continue operating. A key part of this is hiring staff prepared to travel within specific regions, providing consistency and continuity for children and staff in the different services in a region.</w:t>
            </w:r>
          </w:p>
          <w:p w14:paraId="6FEE64E8" w14:textId="77777777" w:rsidR="00F47B0F" w:rsidRPr="00F47B0F" w:rsidRDefault="00F47B0F" w:rsidP="00F47B0F">
            <w:pPr>
              <w:spacing w:after="160" w:line="259" w:lineRule="auto"/>
              <w:rPr>
                <w:i/>
                <w:iCs/>
              </w:rPr>
            </w:pPr>
            <w:r w:rsidRPr="00F47B0F">
              <w:rPr>
                <w:i/>
                <w:iCs/>
              </w:rPr>
              <w:t>Submission 24 – KU Childrens Services</w:t>
            </w:r>
          </w:p>
        </w:tc>
      </w:tr>
      <w:bookmarkEnd w:id="76"/>
    </w:tbl>
    <w:p w14:paraId="0DAC802A" w14:textId="77777777" w:rsidR="00F47B0F" w:rsidRPr="00F47B0F" w:rsidRDefault="00F47B0F" w:rsidP="00F47B0F">
      <w:pPr>
        <w:spacing w:line="240" w:lineRule="atLeast"/>
        <w:rPr>
          <w:rFonts w:eastAsia="SimSun" w:cs="Times New Roman"/>
          <w:spacing w:val="-1"/>
          <w:szCs w:val="20"/>
          <w:lang w:val="en-GB" w:eastAsia="en-GB"/>
        </w:rPr>
      </w:pPr>
    </w:p>
    <w:p w14:paraId="2DBD7A50" w14:textId="77777777" w:rsidR="00F47B0F" w:rsidRPr="00F47B0F" w:rsidRDefault="00F47B0F" w:rsidP="00F47B0F">
      <w:pPr>
        <w:pStyle w:val="Heading3"/>
      </w:pPr>
      <w:r w:rsidRPr="00F47B0F">
        <w:t>Change Over Time</w:t>
      </w:r>
    </w:p>
    <w:p w14:paraId="590A2B99" w14:textId="77777777" w:rsidR="00F47B0F" w:rsidRPr="00F47B0F" w:rsidRDefault="00F47B0F" w:rsidP="00F47B0F">
      <w:r w:rsidRPr="00F47B0F">
        <w:t xml:space="preserve">With professionalisation and greater government funding, the ECEC workforce has grown over the last 35 years in absolute and relative terms. </w:t>
      </w:r>
      <w:r w:rsidRPr="00F47B0F">
        <w:fldChar w:fldCharType="begin" w:fldLock="1"/>
      </w:r>
      <w:r w:rsidRPr="00F47B0F">
        <w:instrText xml:space="preserve"> REF _Ref168058813 \h </w:instrText>
      </w:r>
      <w:r w:rsidRPr="00F47B0F">
        <w:fldChar w:fldCharType="separate"/>
      </w:r>
      <w:r w:rsidRPr="00F47B0F">
        <w:t>Figure 2.</w:t>
      </w:r>
      <w:r w:rsidRPr="00F47B0F">
        <w:rPr>
          <w:noProof/>
        </w:rPr>
        <w:t>1</w:t>
      </w:r>
      <w:r w:rsidRPr="00F47B0F">
        <w:fldChar w:fldCharType="end"/>
      </w:r>
      <w:r w:rsidRPr="00F47B0F">
        <w:t xml:space="preserve"> shows the data from the ABS Labour Force Survey quarterly occupation series on the number of </w:t>
      </w:r>
      <w:bookmarkStart w:id="77" w:name="_Int_GzzY5y1i"/>
      <w:r w:rsidRPr="00F47B0F">
        <w:rPr>
          <w:i/>
          <w:iCs/>
        </w:rPr>
        <w:t>Child Care</w:t>
      </w:r>
      <w:bookmarkEnd w:id="77"/>
      <w:r w:rsidRPr="00F47B0F">
        <w:rPr>
          <w:i/>
          <w:iCs/>
        </w:rPr>
        <w:t xml:space="preserve"> Centre Managers</w:t>
      </w:r>
      <w:r w:rsidRPr="00F47B0F">
        <w:t xml:space="preserve">, </w:t>
      </w:r>
      <w:r w:rsidRPr="00F47B0F">
        <w:rPr>
          <w:i/>
          <w:iCs/>
        </w:rPr>
        <w:t>Early Childhood (Pre-Primary School) Teachers</w:t>
      </w:r>
      <w:r w:rsidRPr="00F47B0F">
        <w:t xml:space="preserve">, and </w:t>
      </w:r>
      <w:r w:rsidRPr="00F47B0F">
        <w:rPr>
          <w:i/>
          <w:iCs/>
        </w:rPr>
        <w:t>Child Carers</w:t>
      </w:r>
      <w:r w:rsidRPr="00F47B0F">
        <w:t xml:space="preserve"> employed over time (left axis) and what proportion of the total workforce employees in these three ANZSCO occupations comprised (right axis).</w:t>
      </w:r>
    </w:p>
    <w:p w14:paraId="763772EE" w14:textId="3E23E883" w:rsidR="00F47B0F" w:rsidRPr="00F47B0F" w:rsidRDefault="00F47B0F" w:rsidP="00887E52">
      <w:pPr>
        <w:pStyle w:val="Caption"/>
      </w:pPr>
      <w:bookmarkStart w:id="78" w:name="_Ref168058813"/>
      <w:r w:rsidRPr="00F47B0F">
        <w:lastRenderedPageBreak/>
        <w:t>Figure 2</w:t>
      </w:r>
      <w:bookmarkEnd w:id="78"/>
      <w:r w:rsidRPr="00F47B0F">
        <w:t>.</w:t>
      </w:r>
      <w:r w:rsidRPr="00F47B0F">
        <w:fldChar w:fldCharType="begin"/>
      </w:r>
      <w:r w:rsidRPr="00F47B0F">
        <w:instrText xml:space="preserve"> SEQ Figure \* ARABIC \s 1 </w:instrText>
      </w:r>
      <w:r w:rsidRPr="00F47B0F">
        <w:fldChar w:fldCharType="separate"/>
      </w:r>
      <w:r w:rsidR="005F18C1">
        <w:rPr>
          <w:noProof/>
        </w:rPr>
        <w:t>1</w:t>
      </w:r>
      <w:r w:rsidRPr="00F47B0F">
        <w:fldChar w:fldCharType="end"/>
      </w:r>
      <w:r w:rsidRPr="00F47B0F">
        <w:t xml:space="preserve"> Proportion of total workforce in selected ECEC occupations, 1986-2023</w:t>
      </w:r>
    </w:p>
    <w:p w14:paraId="4841194F" w14:textId="77777777" w:rsidR="00F47B0F" w:rsidRPr="00F47B0F" w:rsidRDefault="00F47B0F" w:rsidP="00F47B0F">
      <w:r w:rsidRPr="00F47B0F">
        <w:rPr>
          <w:noProof/>
        </w:rPr>
        <w:drawing>
          <wp:inline distT="0" distB="0" distL="0" distR="0" wp14:anchorId="078DF81F" wp14:editId="7C8E3DBC">
            <wp:extent cx="5731200" cy="3384000"/>
            <wp:effectExtent l="0" t="0" r="3175" b="6985"/>
            <wp:docPr id="1483674309" name="Picture 4" descr="From 1986 to 2022 the total number of employed Child Carers, Child Care Centre Managers, and Early Childhood Teachers grew from approximately 36,000 to 243,3000. The proportion of staff employed in this occupations against all occupations grew from 0.5% to 1.7% between 1986 and 2022. This growth dropped between 2020 and 2022 due to the effects of COVID-19 and associated workforce restric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674309" name="Picture 4" descr="From 1986 to 2022 the total number of employed Child Carers, Child Care Centre Managers, and Early Childhood Teachers grew from approximately 36,000 to 243,3000. The proportion of staff employed in this occupations against all occupations grew from 0.5% to 1.7% between 1986 and 2022. This growth dropped between 2020 and 2022 due to the effects of COVID-19 and associated workforce restrictions.&#10;"/>
                    <pic:cNvPicPr>
                      <a:picLocks noChangeAspect="1" noChangeArrowheads="1"/>
                    </pic:cNvPicPr>
                  </pic:nvPicPr>
                  <pic:blipFill>
                    <a:blip r:embed="rId76" cstate="screen">
                      <a:extLst>
                        <a:ext uri="{28A0092B-C50C-407E-A947-70E740481C1C}">
                          <a14:useLocalDpi xmlns:a14="http://schemas.microsoft.com/office/drawing/2010/main" val="0"/>
                        </a:ext>
                      </a:extLst>
                    </a:blip>
                    <a:srcRect/>
                    <a:stretch>
                      <a:fillRect/>
                    </a:stretch>
                  </pic:blipFill>
                  <pic:spPr bwMode="auto">
                    <a:xfrm>
                      <a:off x="0" y="0"/>
                      <a:ext cx="5731200" cy="3384000"/>
                    </a:xfrm>
                    <a:prstGeom prst="rect">
                      <a:avLst/>
                    </a:prstGeom>
                    <a:noFill/>
                  </pic:spPr>
                </pic:pic>
              </a:graphicData>
            </a:graphic>
          </wp:inline>
        </w:drawing>
      </w:r>
    </w:p>
    <w:p w14:paraId="0474C77E" w14:textId="77777777" w:rsidR="00F47B0F" w:rsidRPr="00F47B0F" w:rsidRDefault="00F47B0F" w:rsidP="00887E52">
      <w:pPr>
        <w:pStyle w:val="Source"/>
      </w:pPr>
      <w:r w:rsidRPr="00F47B0F">
        <w:t>Source: ABS, Quarterly Labour Force Survey, EQ08, November 2023</w:t>
      </w:r>
    </w:p>
    <w:p w14:paraId="0F15CD72" w14:textId="77777777" w:rsidR="00F47B0F" w:rsidRPr="00F47B0F" w:rsidRDefault="00F47B0F" w:rsidP="00F47B0F">
      <w:r w:rsidRPr="00F47B0F">
        <w:t>These three core ECEC occupations have grown in absolute and relative terms between 1986 and 2024, with the number of staff employed in the three selected ECEC occupations increasing from approximately 36,000 to 243,000 people. At the same time, the proportion of staff employed in these three ECEC occupations increased as a proportion of the total workforce from 0.5% to 1.7% over the same period.</w:t>
      </w:r>
    </w:p>
    <w:p w14:paraId="52774962" w14:textId="77777777" w:rsidR="00F47B0F" w:rsidRPr="00F47B0F" w:rsidRDefault="00F47B0F" w:rsidP="00F47B0F">
      <w:r w:rsidRPr="00F47B0F">
        <w:t>While the rate of growth plateaued for both the individual occupations and the proportion of the workforce overall between 2020 and 2022, noting the effects of COVID-19 and associated workforce restrictions, these statistics suggest that the ECEC workforce has grown faster than the workforce overall.</w:t>
      </w:r>
    </w:p>
    <w:p w14:paraId="45470C91" w14:textId="77777777" w:rsidR="00F47B0F" w:rsidRPr="00F47B0F" w:rsidRDefault="00F47B0F" w:rsidP="00F47B0F">
      <w:r w:rsidRPr="00F47B0F">
        <w:t xml:space="preserve">Further, the growth in ECEC occupations between 1990 and 2010 was also driven almost entirely by growth in </w:t>
      </w:r>
      <w:r w:rsidRPr="00F47B0F">
        <w:rPr>
          <w:i/>
          <w:iCs/>
        </w:rPr>
        <w:t xml:space="preserve">Child Carers. </w:t>
      </w:r>
      <w:r w:rsidRPr="00F47B0F">
        <w:t xml:space="preserve">The number of </w:t>
      </w:r>
      <w:r w:rsidRPr="00F47B0F">
        <w:rPr>
          <w:i/>
          <w:iCs/>
        </w:rPr>
        <w:t>Early Childhood Teachers</w:t>
      </w:r>
      <w:r w:rsidRPr="00F47B0F">
        <w:t xml:space="preserve"> and </w:t>
      </w:r>
      <w:r w:rsidRPr="00F47B0F">
        <w:rPr>
          <w:i/>
          <w:iCs/>
        </w:rPr>
        <w:t>Child Care Centre Managers</w:t>
      </w:r>
      <w:r w:rsidRPr="00F47B0F">
        <w:t xml:space="preserve"> remained </w:t>
      </w:r>
      <w:bookmarkStart w:id="79" w:name="_Int_KSK8lcBe"/>
      <w:proofErr w:type="gramStart"/>
      <w:r w:rsidRPr="00F47B0F">
        <w:t>fairly constant</w:t>
      </w:r>
      <w:bookmarkEnd w:id="79"/>
      <w:proofErr w:type="gramEnd"/>
      <w:r w:rsidRPr="00F47B0F">
        <w:t xml:space="preserve">, though from 2012, the number of ECTs has increased at a similar rate </w:t>
      </w:r>
      <w:r w:rsidRPr="00F47B0F" w:rsidDel="00AA71E5">
        <w:t xml:space="preserve">to </w:t>
      </w:r>
      <w:r w:rsidRPr="00F47B0F">
        <w:rPr>
          <w:i/>
          <w:iCs/>
        </w:rPr>
        <w:t>Child Carers</w:t>
      </w:r>
      <w:r w:rsidRPr="00F47B0F">
        <w:t>.</w:t>
      </w:r>
    </w:p>
    <w:p w14:paraId="51B9F9F4" w14:textId="77777777" w:rsidR="00F47B0F" w:rsidRPr="00F47B0F" w:rsidRDefault="00F47B0F" w:rsidP="00F47B0F">
      <w:pPr>
        <w:pStyle w:val="Heading2"/>
      </w:pPr>
      <w:bookmarkStart w:id="80" w:name="_Toc161226890"/>
      <w:bookmarkStart w:id="81" w:name="_Toc174363703"/>
      <w:bookmarkStart w:id="82" w:name="_Toc162960653"/>
      <w:r w:rsidRPr="00F47B0F">
        <w:lastRenderedPageBreak/>
        <w:t xml:space="preserve">Characteristics of the ECEC </w:t>
      </w:r>
      <w:bookmarkEnd w:id="80"/>
      <w:r w:rsidRPr="00F47B0F">
        <w:t>Workforce</w:t>
      </w:r>
      <w:bookmarkEnd w:id="81"/>
      <w:r w:rsidRPr="00F47B0F">
        <w:t> </w:t>
      </w:r>
    </w:p>
    <w:p w14:paraId="66B6F954" w14:textId="77777777" w:rsidR="00F47B0F" w:rsidRPr="00F47B0F" w:rsidRDefault="00F47B0F" w:rsidP="00F47B0F">
      <w:pPr>
        <w:keepNext/>
        <w:keepLines/>
        <w:rPr>
          <w:rFonts w:asciiTheme="minorHAnsi" w:eastAsiaTheme="majorEastAsia" w:hAnsiTheme="minorHAnsi"/>
        </w:rPr>
      </w:pPr>
      <w:r w:rsidRPr="00F47B0F">
        <w:rPr>
          <w:rFonts w:asciiTheme="minorHAnsi" w:eastAsiaTheme="majorEastAsia" w:hAnsiTheme="minorHAnsi"/>
        </w:rPr>
        <w:t xml:space="preserve">This section provides an overview of the characteristics of the main ECEC occupations and how they differ from the overall Australian workforce. </w:t>
      </w:r>
      <w:r w:rsidRPr="00F47B0F">
        <w:rPr>
          <w:rFonts w:asciiTheme="minorHAnsi" w:eastAsiaTheme="majorEastAsia" w:hAnsiTheme="minorHAnsi"/>
        </w:rPr>
        <w:fldChar w:fldCharType="begin" w:fldLock="1"/>
      </w:r>
      <w:r w:rsidRPr="00F47B0F">
        <w:rPr>
          <w:rFonts w:asciiTheme="minorHAnsi" w:eastAsiaTheme="majorEastAsia" w:hAnsiTheme="minorHAnsi"/>
        </w:rPr>
        <w:instrText xml:space="preserve"> REF _Ref169103133 \h </w:instrText>
      </w:r>
      <w:r w:rsidRPr="00F47B0F">
        <w:rPr>
          <w:rFonts w:asciiTheme="minorHAnsi" w:eastAsiaTheme="majorEastAsia" w:hAnsiTheme="minorHAnsi"/>
        </w:rPr>
      </w:r>
      <w:r w:rsidRPr="00F47B0F">
        <w:rPr>
          <w:rFonts w:asciiTheme="minorHAnsi" w:eastAsiaTheme="majorEastAsia" w:hAnsiTheme="minorHAnsi"/>
        </w:rPr>
        <w:fldChar w:fldCharType="separate"/>
      </w:r>
      <w:r w:rsidRPr="00F47B0F">
        <w:t>Table 2.</w:t>
      </w:r>
      <w:r w:rsidRPr="00F47B0F">
        <w:rPr>
          <w:noProof/>
        </w:rPr>
        <w:t>3</w:t>
      </w:r>
      <w:r w:rsidRPr="00F47B0F">
        <w:rPr>
          <w:rFonts w:asciiTheme="minorHAnsi" w:eastAsiaTheme="majorEastAsia" w:hAnsiTheme="minorHAnsi"/>
        </w:rPr>
        <w:fldChar w:fldCharType="end"/>
      </w:r>
      <w:r w:rsidRPr="00F47B0F">
        <w:rPr>
          <w:rFonts w:asciiTheme="minorHAnsi" w:eastAsiaTheme="majorEastAsia" w:hAnsiTheme="minorHAnsi"/>
        </w:rPr>
        <w:t xml:space="preserve"> shows selected ECEC Workforce characteristics by each 4-digit unit group from the 2021 ABS Census of Population and Housing. </w:t>
      </w:r>
    </w:p>
    <w:p w14:paraId="1487F6BE" w14:textId="293CC123" w:rsidR="00F47B0F" w:rsidRPr="00F47B0F" w:rsidRDefault="00F47B0F" w:rsidP="00887E52">
      <w:pPr>
        <w:pStyle w:val="Caption"/>
      </w:pPr>
      <w:bookmarkStart w:id="83" w:name="_Ref169103133"/>
      <w:r w:rsidRPr="00F47B0F">
        <w:t>Table 2.</w:t>
      </w:r>
      <w:r w:rsidRPr="00F47B0F">
        <w:fldChar w:fldCharType="begin"/>
      </w:r>
      <w:r w:rsidRPr="00F47B0F">
        <w:instrText xml:space="preserve"> SEQ Table \* ARABIC \s 1 </w:instrText>
      </w:r>
      <w:r w:rsidRPr="00F47B0F">
        <w:fldChar w:fldCharType="separate"/>
      </w:r>
      <w:r w:rsidR="005F18C1">
        <w:rPr>
          <w:noProof/>
        </w:rPr>
        <w:t>3</w:t>
      </w:r>
      <w:r w:rsidRPr="00F47B0F">
        <w:fldChar w:fldCharType="end"/>
      </w:r>
      <w:bookmarkEnd w:id="83"/>
      <w:r w:rsidRPr="00F47B0F">
        <w:t xml:space="preserve"> Selected characteristics by unit group, 2021</w:t>
      </w:r>
      <w:r w:rsidRPr="00F47B0F">
        <w:rPr>
          <w:vertAlign w:val="superscript"/>
        </w:rPr>
        <w:footnoteReference w:id="29"/>
      </w:r>
    </w:p>
    <w:tbl>
      <w:tblPr>
        <w:tblStyle w:val="JSATable1"/>
        <w:tblW w:w="5000" w:type="pct"/>
        <w:tblLook w:val="04A0" w:firstRow="1" w:lastRow="0" w:firstColumn="1" w:lastColumn="0" w:noHBand="0" w:noVBand="1"/>
      </w:tblPr>
      <w:tblGrid>
        <w:gridCol w:w="2689"/>
        <w:gridCol w:w="784"/>
        <w:gridCol w:w="893"/>
        <w:gridCol w:w="941"/>
        <w:gridCol w:w="962"/>
        <w:gridCol w:w="1450"/>
        <w:gridCol w:w="1307"/>
      </w:tblGrid>
      <w:tr w:rsidR="00F47B0F" w:rsidRPr="00F47B0F" w14:paraId="03AD41ED" w14:textId="77777777" w:rsidTr="005F6ADC">
        <w:trPr>
          <w:cnfStyle w:val="100000000000" w:firstRow="1" w:lastRow="0" w:firstColumn="0" w:lastColumn="0" w:oddVBand="0" w:evenVBand="0" w:oddHBand="0" w:evenHBand="0" w:firstRowFirstColumn="0" w:firstRowLastColumn="0" w:lastRowFirstColumn="0" w:lastRowLastColumn="0"/>
          <w:trHeight w:val="340"/>
        </w:trPr>
        <w:tc>
          <w:tcPr>
            <w:tcW w:w="0" w:type="dxa"/>
          </w:tcPr>
          <w:p w14:paraId="3F1187BA" w14:textId="77777777" w:rsidR="00F47B0F" w:rsidRPr="00F47B0F" w:rsidRDefault="00F47B0F" w:rsidP="00F47B0F">
            <w:pPr>
              <w:rPr>
                <w:b/>
                <w:bCs/>
                <w:color w:val="FFFFFF" w:themeColor="background1"/>
                <w:sz w:val="20"/>
                <w:szCs w:val="20"/>
              </w:rPr>
            </w:pPr>
          </w:p>
        </w:tc>
        <w:tc>
          <w:tcPr>
            <w:tcW w:w="0" w:type="dxa"/>
          </w:tcPr>
          <w:p w14:paraId="1E90C6F6" w14:textId="77777777" w:rsidR="00F47B0F" w:rsidRPr="00F47B0F" w:rsidRDefault="00F47B0F" w:rsidP="00F47B0F">
            <w:pPr>
              <w:jc w:val="center"/>
              <w:rPr>
                <w:b/>
                <w:bCs/>
                <w:color w:val="FFFFFF" w:themeColor="background1"/>
                <w:sz w:val="20"/>
                <w:szCs w:val="20"/>
              </w:rPr>
            </w:pPr>
            <w:r w:rsidRPr="00F47B0F">
              <w:rPr>
                <w:b/>
                <w:bCs/>
                <w:color w:val="FFFFFF" w:themeColor="background1"/>
              </w:rPr>
              <w:t>4211</w:t>
            </w:r>
          </w:p>
          <w:p w14:paraId="332D7D6C" w14:textId="77777777" w:rsidR="00F47B0F" w:rsidRPr="00F47B0F" w:rsidRDefault="00F47B0F" w:rsidP="00F47B0F">
            <w:pPr>
              <w:jc w:val="center"/>
              <w:rPr>
                <w:b/>
                <w:bCs/>
                <w:color w:val="FFFFFF" w:themeColor="background1"/>
                <w:sz w:val="14"/>
                <w:szCs w:val="14"/>
              </w:rPr>
            </w:pPr>
            <w:r w:rsidRPr="00F47B0F">
              <w:rPr>
                <w:b/>
                <w:bCs/>
                <w:color w:val="FFFFFF" w:themeColor="background1"/>
                <w:sz w:val="14"/>
                <w:szCs w:val="14"/>
              </w:rPr>
              <w:t>Child Carers</w:t>
            </w:r>
          </w:p>
        </w:tc>
        <w:tc>
          <w:tcPr>
            <w:tcW w:w="0" w:type="dxa"/>
          </w:tcPr>
          <w:p w14:paraId="73315898" w14:textId="77777777" w:rsidR="00F47B0F" w:rsidRPr="00F47B0F" w:rsidRDefault="00F47B0F" w:rsidP="00F47B0F">
            <w:pPr>
              <w:jc w:val="center"/>
              <w:rPr>
                <w:b/>
                <w:bCs/>
                <w:color w:val="FFFFFF" w:themeColor="background1"/>
                <w:sz w:val="20"/>
                <w:szCs w:val="20"/>
              </w:rPr>
            </w:pPr>
            <w:r w:rsidRPr="00F47B0F">
              <w:rPr>
                <w:b/>
                <w:bCs/>
                <w:color w:val="FFFFFF" w:themeColor="background1"/>
              </w:rPr>
              <w:t>4221</w:t>
            </w:r>
          </w:p>
          <w:p w14:paraId="4720C08B" w14:textId="77777777" w:rsidR="00F47B0F" w:rsidRPr="00F47B0F" w:rsidRDefault="00F47B0F" w:rsidP="00F47B0F">
            <w:pPr>
              <w:jc w:val="center"/>
              <w:rPr>
                <w:b/>
                <w:bCs/>
                <w:color w:val="FFFFFF" w:themeColor="background1"/>
              </w:rPr>
            </w:pPr>
            <w:r w:rsidRPr="00F47B0F">
              <w:rPr>
                <w:b/>
                <w:bCs/>
                <w:color w:val="FFFFFF" w:themeColor="background1"/>
                <w:sz w:val="14"/>
                <w:szCs w:val="14"/>
              </w:rPr>
              <w:t>Education Aides</w:t>
            </w:r>
          </w:p>
        </w:tc>
        <w:tc>
          <w:tcPr>
            <w:tcW w:w="0" w:type="dxa"/>
          </w:tcPr>
          <w:p w14:paraId="4E87821E" w14:textId="77777777" w:rsidR="00F47B0F" w:rsidRPr="00F47B0F" w:rsidRDefault="00F47B0F" w:rsidP="00F47B0F">
            <w:pPr>
              <w:jc w:val="center"/>
              <w:rPr>
                <w:b/>
                <w:bCs/>
                <w:color w:val="FFFFFF" w:themeColor="background1"/>
                <w:sz w:val="20"/>
                <w:szCs w:val="20"/>
              </w:rPr>
            </w:pPr>
            <w:r w:rsidRPr="00F47B0F">
              <w:rPr>
                <w:b/>
                <w:bCs/>
                <w:color w:val="FFFFFF" w:themeColor="background1"/>
                <w:sz w:val="20"/>
                <w:szCs w:val="20"/>
              </w:rPr>
              <w:t xml:space="preserve">2411 </w:t>
            </w:r>
            <w:r w:rsidRPr="00F47B0F">
              <w:rPr>
                <w:b/>
                <w:bCs/>
                <w:color w:val="FFFFFF" w:themeColor="background1"/>
                <w:sz w:val="14"/>
                <w:szCs w:val="14"/>
              </w:rPr>
              <w:t>Early Childhood (Pre-primary School) Teachers</w:t>
            </w:r>
          </w:p>
        </w:tc>
        <w:tc>
          <w:tcPr>
            <w:tcW w:w="0" w:type="dxa"/>
          </w:tcPr>
          <w:p w14:paraId="3F9788C6" w14:textId="77777777" w:rsidR="00F47B0F" w:rsidRPr="00F47B0F" w:rsidRDefault="00F47B0F" w:rsidP="00F47B0F">
            <w:pPr>
              <w:jc w:val="center"/>
              <w:rPr>
                <w:b/>
                <w:bCs/>
                <w:color w:val="FFFFFF" w:themeColor="background1"/>
                <w:sz w:val="20"/>
                <w:szCs w:val="20"/>
              </w:rPr>
            </w:pPr>
            <w:r w:rsidRPr="00F47B0F">
              <w:rPr>
                <w:b/>
                <w:bCs/>
                <w:color w:val="FFFFFF" w:themeColor="background1"/>
                <w:sz w:val="20"/>
                <w:szCs w:val="20"/>
              </w:rPr>
              <w:t>1341</w:t>
            </w:r>
          </w:p>
          <w:p w14:paraId="3366DF89" w14:textId="77777777" w:rsidR="00F47B0F" w:rsidRPr="00F47B0F" w:rsidRDefault="00F47B0F" w:rsidP="00F47B0F">
            <w:pPr>
              <w:jc w:val="center"/>
              <w:rPr>
                <w:b/>
                <w:bCs/>
                <w:color w:val="FFFFFF" w:themeColor="background1"/>
                <w:sz w:val="20"/>
                <w:szCs w:val="20"/>
              </w:rPr>
            </w:pPr>
            <w:r w:rsidRPr="00F47B0F">
              <w:rPr>
                <w:b/>
                <w:bCs/>
                <w:color w:val="FFFFFF" w:themeColor="background1"/>
                <w:sz w:val="14"/>
                <w:szCs w:val="14"/>
              </w:rPr>
              <w:t>Child Care Centre Managers</w:t>
            </w:r>
          </w:p>
        </w:tc>
        <w:tc>
          <w:tcPr>
            <w:tcW w:w="0" w:type="dxa"/>
          </w:tcPr>
          <w:p w14:paraId="0C9A48D0" w14:textId="77777777" w:rsidR="00F47B0F" w:rsidRPr="00F47B0F" w:rsidRDefault="00F47B0F" w:rsidP="00F47B0F">
            <w:pPr>
              <w:jc w:val="center"/>
              <w:rPr>
                <w:b/>
                <w:bCs/>
                <w:color w:val="FFFFFF" w:themeColor="background1"/>
                <w:sz w:val="18"/>
                <w:szCs w:val="18"/>
              </w:rPr>
            </w:pPr>
            <w:r w:rsidRPr="00F47B0F">
              <w:rPr>
                <w:b/>
                <w:bCs/>
                <w:color w:val="FFFFFF" w:themeColor="background1"/>
                <w:sz w:val="18"/>
                <w:szCs w:val="18"/>
              </w:rPr>
              <w:t>Total ECEC Occupations</w:t>
            </w:r>
          </w:p>
        </w:tc>
        <w:tc>
          <w:tcPr>
            <w:tcW w:w="0" w:type="dxa"/>
          </w:tcPr>
          <w:p w14:paraId="15E81654" w14:textId="77777777" w:rsidR="00F47B0F" w:rsidRPr="00F47B0F" w:rsidRDefault="00F47B0F" w:rsidP="00F47B0F">
            <w:pPr>
              <w:jc w:val="center"/>
              <w:rPr>
                <w:b/>
                <w:bCs/>
                <w:color w:val="FFFFFF" w:themeColor="background1"/>
                <w:sz w:val="18"/>
                <w:szCs w:val="18"/>
              </w:rPr>
            </w:pPr>
            <w:r w:rsidRPr="00F47B0F">
              <w:rPr>
                <w:b/>
                <w:bCs/>
                <w:color w:val="FFFFFF" w:themeColor="background1"/>
                <w:sz w:val="18"/>
                <w:szCs w:val="18"/>
              </w:rPr>
              <w:t>All Occupations</w:t>
            </w:r>
          </w:p>
        </w:tc>
      </w:tr>
      <w:tr w:rsidR="00F47B0F" w:rsidRPr="00F47B0F" w14:paraId="1099CD1E" w14:textId="77777777" w:rsidTr="005F6ADC">
        <w:trPr>
          <w:trHeight w:val="230"/>
        </w:trPr>
        <w:tc>
          <w:tcPr>
            <w:tcW w:w="2912" w:type="dxa"/>
          </w:tcPr>
          <w:p w14:paraId="28C6D76C" w14:textId="77777777" w:rsidR="00F47B0F" w:rsidRPr="00F47B0F" w:rsidRDefault="00F47B0F" w:rsidP="00F47B0F">
            <w:pPr>
              <w:rPr>
                <w:rFonts w:eastAsiaTheme="majorEastAsia" w:cs="Arial"/>
                <w:color w:val="auto"/>
                <w:sz w:val="20"/>
                <w:szCs w:val="20"/>
                <w:lang w:eastAsia="en-AU"/>
              </w:rPr>
            </w:pPr>
            <w:r w:rsidRPr="00F47B0F">
              <w:rPr>
                <w:rFonts w:eastAsiaTheme="majorEastAsia" w:cs="Arial"/>
                <w:color w:val="auto"/>
                <w:sz w:val="20"/>
                <w:szCs w:val="20"/>
                <w:lang w:eastAsia="en-AU"/>
              </w:rPr>
              <w:t>Median age</w:t>
            </w:r>
          </w:p>
        </w:tc>
        <w:tc>
          <w:tcPr>
            <w:tcW w:w="784" w:type="dxa"/>
          </w:tcPr>
          <w:p w14:paraId="6F431828"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34</w:t>
            </w:r>
          </w:p>
        </w:tc>
        <w:tc>
          <w:tcPr>
            <w:tcW w:w="784" w:type="dxa"/>
          </w:tcPr>
          <w:p w14:paraId="7C02B322"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45</w:t>
            </w:r>
          </w:p>
        </w:tc>
        <w:tc>
          <w:tcPr>
            <w:tcW w:w="945" w:type="dxa"/>
          </w:tcPr>
          <w:p w14:paraId="0E9F2241"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40</w:t>
            </w:r>
          </w:p>
        </w:tc>
        <w:tc>
          <w:tcPr>
            <w:tcW w:w="975" w:type="dxa"/>
          </w:tcPr>
          <w:p w14:paraId="09F1D7AE"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41</w:t>
            </w:r>
          </w:p>
        </w:tc>
        <w:tc>
          <w:tcPr>
            <w:tcW w:w="1470" w:type="dxa"/>
          </w:tcPr>
          <w:p w14:paraId="1DEBED4E"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37.0</w:t>
            </w:r>
          </w:p>
        </w:tc>
        <w:tc>
          <w:tcPr>
            <w:tcW w:w="1268" w:type="dxa"/>
          </w:tcPr>
          <w:p w14:paraId="7EFB7A8F"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40.8</w:t>
            </w:r>
          </w:p>
        </w:tc>
      </w:tr>
      <w:tr w:rsidR="00F47B0F" w:rsidRPr="00F47B0F" w14:paraId="270055CA" w14:textId="77777777" w:rsidTr="005F6ADC">
        <w:trPr>
          <w:cnfStyle w:val="000000010000" w:firstRow="0" w:lastRow="0" w:firstColumn="0" w:lastColumn="0" w:oddVBand="0" w:evenVBand="0" w:oddHBand="0" w:evenHBand="1" w:firstRowFirstColumn="0" w:firstRowLastColumn="0" w:lastRowFirstColumn="0" w:lastRowLastColumn="0"/>
          <w:trHeight w:val="232"/>
        </w:trPr>
        <w:tc>
          <w:tcPr>
            <w:tcW w:w="2912" w:type="dxa"/>
          </w:tcPr>
          <w:p w14:paraId="775EB377" w14:textId="77777777" w:rsidR="00F47B0F" w:rsidRPr="00F47B0F" w:rsidRDefault="00F47B0F" w:rsidP="00F47B0F">
            <w:pPr>
              <w:rPr>
                <w:rFonts w:eastAsiaTheme="majorEastAsia" w:cs="Arial"/>
                <w:color w:val="auto"/>
                <w:sz w:val="20"/>
                <w:szCs w:val="20"/>
                <w:lang w:eastAsia="en-AU"/>
              </w:rPr>
            </w:pPr>
            <w:r w:rsidRPr="00F47B0F">
              <w:rPr>
                <w:rFonts w:eastAsiaTheme="majorEastAsia" w:cs="Arial"/>
                <w:color w:val="auto"/>
                <w:sz w:val="20"/>
                <w:szCs w:val="20"/>
                <w:lang w:eastAsia="en-AU"/>
              </w:rPr>
              <w:t>Female (%)</w:t>
            </w:r>
          </w:p>
        </w:tc>
        <w:tc>
          <w:tcPr>
            <w:tcW w:w="784" w:type="dxa"/>
          </w:tcPr>
          <w:p w14:paraId="0717C595"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95.6%</w:t>
            </w:r>
          </w:p>
        </w:tc>
        <w:tc>
          <w:tcPr>
            <w:tcW w:w="784" w:type="dxa"/>
          </w:tcPr>
          <w:p w14:paraId="3603A797"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88.6%</w:t>
            </w:r>
          </w:p>
        </w:tc>
        <w:tc>
          <w:tcPr>
            <w:tcW w:w="945" w:type="dxa"/>
          </w:tcPr>
          <w:p w14:paraId="45412A1E"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97.6%</w:t>
            </w:r>
          </w:p>
        </w:tc>
        <w:tc>
          <w:tcPr>
            <w:tcW w:w="975" w:type="dxa"/>
          </w:tcPr>
          <w:p w14:paraId="6FF987B4"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91.8%</w:t>
            </w:r>
          </w:p>
        </w:tc>
        <w:tc>
          <w:tcPr>
            <w:tcW w:w="1470" w:type="dxa"/>
          </w:tcPr>
          <w:p w14:paraId="52D7F72E"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93.3%</w:t>
            </w:r>
          </w:p>
        </w:tc>
        <w:tc>
          <w:tcPr>
            <w:tcW w:w="1268" w:type="dxa"/>
          </w:tcPr>
          <w:p w14:paraId="4232840A"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48.8%</w:t>
            </w:r>
          </w:p>
        </w:tc>
      </w:tr>
      <w:tr w:rsidR="00F47B0F" w:rsidRPr="00F47B0F" w14:paraId="5CF23914" w14:textId="77777777" w:rsidTr="005F6ADC">
        <w:trPr>
          <w:trHeight w:val="230"/>
        </w:trPr>
        <w:tc>
          <w:tcPr>
            <w:tcW w:w="2912" w:type="dxa"/>
          </w:tcPr>
          <w:p w14:paraId="52E7FE46" w14:textId="77777777" w:rsidR="00F47B0F" w:rsidRPr="00F47B0F" w:rsidRDefault="00F47B0F" w:rsidP="00F47B0F">
            <w:pPr>
              <w:rPr>
                <w:rFonts w:eastAsiaTheme="majorEastAsia" w:cs="Arial"/>
                <w:color w:val="auto"/>
                <w:sz w:val="20"/>
                <w:szCs w:val="20"/>
                <w:lang w:eastAsia="en-AU"/>
              </w:rPr>
            </w:pPr>
            <w:r w:rsidRPr="00F47B0F">
              <w:rPr>
                <w:rFonts w:eastAsiaTheme="majorEastAsia" w:cs="Arial"/>
                <w:color w:val="auto"/>
                <w:sz w:val="20"/>
                <w:szCs w:val="20"/>
                <w:lang w:eastAsia="en-AU"/>
              </w:rPr>
              <w:t>Aboriginal and/or Torres Strait Islander (%)</w:t>
            </w:r>
          </w:p>
        </w:tc>
        <w:tc>
          <w:tcPr>
            <w:tcW w:w="784" w:type="dxa"/>
          </w:tcPr>
          <w:p w14:paraId="29129FBE"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2.9%</w:t>
            </w:r>
          </w:p>
        </w:tc>
        <w:tc>
          <w:tcPr>
            <w:tcW w:w="784" w:type="dxa"/>
          </w:tcPr>
          <w:p w14:paraId="4A870D78"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5.7%</w:t>
            </w:r>
          </w:p>
        </w:tc>
        <w:tc>
          <w:tcPr>
            <w:tcW w:w="945" w:type="dxa"/>
          </w:tcPr>
          <w:p w14:paraId="3A1C9F71"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1.7%</w:t>
            </w:r>
          </w:p>
        </w:tc>
        <w:tc>
          <w:tcPr>
            <w:tcW w:w="975" w:type="dxa"/>
          </w:tcPr>
          <w:p w14:paraId="771D8CA3"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2.5%</w:t>
            </w:r>
          </w:p>
        </w:tc>
        <w:tc>
          <w:tcPr>
            <w:tcW w:w="1470" w:type="dxa"/>
          </w:tcPr>
          <w:p w14:paraId="43A93A35"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3.7%</w:t>
            </w:r>
          </w:p>
        </w:tc>
        <w:tc>
          <w:tcPr>
            <w:tcW w:w="1268" w:type="dxa"/>
          </w:tcPr>
          <w:p w14:paraId="4E2AD9CC"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1.7%</w:t>
            </w:r>
          </w:p>
        </w:tc>
      </w:tr>
      <w:tr w:rsidR="00F47B0F" w:rsidRPr="00F47B0F" w14:paraId="5331C4B3" w14:textId="77777777" w:rsidTr="005F6ADC">
        <w:trPr>
          <w:cnfStyle w:val="000000010000" w:firstRow="0" w:lastRow="0" w:firstColumn="0" w:lastColumn="0" w:oddVBand="0" w:evenVBand="0" w:oddHBand="0" w:evenHBand="1" w:firstRowFirstColumn="0" w:firstRowLastColumn="0" w:lastRowFirstColumn="0" w:lastRowLastColumn="0"/>
          <w:trHeight w:val="230"/>
        </w:trPr>
        <w:tc>
          <w:tcPr>
            <w:tcW w:w="2912" w:type="dxa"/>
          </w:tcPr>
          <w:p w14:paraId="5384A987" w14:textId="77777777" w:rsidR="00F47B0F" w:rsidRPr="00F47B0F" w:rsidRDefault="00F47B0F" w:rsidP="00F47B0F">
            <w:pPr>
              <w:rPr>
                <w:rFonts w:eastAsiaTheme="majorEastAsia" w:cs="Arial"/>
                <w:color w:val="auto"/>
                <w:sz w:val="20"/>
                <w:szCs w:val="20"/>
                <w:lang w:eastAsia="en-AU"/>
              </w:rPr>
            </w:pPr>
            <w:r w:rsidRPr="00F47B0F">
              <w:rPr>
                <w:rFonts w:eastAsiaTheme="majorEastAsia" w:cs="Arial"/>
                <w:color w:val="auto"/>
                <w:sz w:val="20"/>
                <w:szCs w:val="20"/>
                <w:lang w:eastAsia="en-AU"/>
              </w:rPr>
              <w:t>Has a Certificate III and above (%)</w:t>
            </w:r>
          </w:p>
        </w:tc>
        <w:tc>
          <w:tcPr>
            <w:tcW w:w="784" w:type="dxa"/>
          </w:tcPr>
          <w:p w14:paraId="23688426"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79.1%</w:t>
            </w:r>
          </w:p>
        </w:tc>
        <w:tc>
          <w:tcPr>
            <w:tcW w:w="784" w:type="dxa"/>
          </w:tcPr>
          <w:p w14:paraId="7BA2730D"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71.3%</w:t>
            </w:r>
          </w:p>
        </w:tc>
        <w:tc>
          <w:tcPr>
            <w:tcW w:w="945" w:type="dxa"/>
          </w:tcPr>
          <w:p w14:paraId="2224C458"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95.6%</w:t>
            </w:r>
          </w:p>
        </w:tc>
        <w:tc>
          <w:tcPr>
            <w:tcW w:w="975" w:type="dxa"/>
          </w:tcPr>
          <w:p w14:paraId="778D18F1"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93.1%</w:t>
            </w:r>
          </w:p>
        </w:tc>
        <w:tc>
          <w:tcPr>
            <w:tcW w:w="1470" w:type="dxa"/>
          </w:tcPr>
          <w:p w14:paraId="7B02BF7F"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78.7%</w:t>
            </w:r>
          </w:p>
        </w:tc>
        <w:tc>
          <w:tcPr>
            <w:tcW w:w="1268" w:type="dxa"/>
          </w:tcPr>
          <w:p w14:paraId="33796559"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66.1%</w:t>
            </w:r>
          </w:p>
        </w:tc>
      </w:tr>
      <w:tr w:rsidR="00F47B0F" w:rsidRPr="00F47B0F" w14:paraId="48CD65EC" w14:textId="77777777" w:rsidTr="005F6ADC">
        <w:trPr>
          <w:trHeight w:val="230"/>
        </w:trPr>
        <w:tc>
          <w:tcPr>
            <w:tcW w:w="2912" w:type="dxa"/>
          </w:tcPr>
          <w:p w14:paraId="3753D7CD" w14:textId="77777777" w:rsidR="00F47B0F" w:rsidRPr="00F47B0F" w:rsidRDefault="00F47B0F" w:rsidP="00F47B0F">
            <w:pPr>
              <w:rPr>
                <w:rFonts w:eastAsiaTheme="majorEastAsia" w:cs="Arial"/>
                <w:color w:val="auto"/>
                <w:sz w:val="20"/>
                <w:szCs w:val="20"/>
                <w:lang w:eastAsia="en-AU"/>
              </w:rPr>
            </w:pPr>
            <w:r w:rsidRPr="00F47B0F">
              <w:rPr>
                <w:rFonts w:eastAsiaTheme="majorEastAsia" w:cs="Arial"/>
                <w:color w:val="auto"/>
                <w:sz w:val="20"/>
                <w:szCs w:val="20"/>
                <w:lang w:eastAsia="en-AU"/>
              </w:rPr>
              <w:t>Born overseas (%)</w:t>
            </w:r>
          </w:p>
        </w:tc>
        <w:tc>
          <w:tcPr>
            <w:tcW w:w="784" w:type="dxa"/>
          </w:tcPr>
          <w:p w14:paraId="268AA5F8"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37.4%</w:t>
            </w:r>
          </w:p>
        </w:tc>
        <w:tc>
          <w:tcPr>
            <w:tcW w:w="784" w:type="dxa"/>
          </w:tcPr>
          <w:p w14:paraId="300DF469"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20.8%</w:t>
            </w:r>
          </w:p>
        </w:tc>
        <w:tc>
          <w:tcPr>
            <w:tcW w:w="945" w:type="dxa"/>
          </w:tcPr>
          <w:p w14:paraId="22662767"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29.0%</w:t>
            </w:r>
          </w:p>
        </w:tc>
        <w:tc>
          <w:tcPr>
            <w:tcW w:w="975" w:type="dxa"/>
          </w:tcPr>
          <w:p w14:paraId="44026A4B"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25.9%</w:t>
            </w:r>
          </w:p>
        </w:tc>
        <w:tc>
          <w:tcPr>
            <w:tcW w:w="1470" w:type="dxa"/>
          </w:tcPr>
          <w:p w14:paraId="2BB48ADA"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30.5%</w:t>
            </w:r>
          </w:p>
        </w:tc>
        <w:tc>
          <w:tcPr>
            <w:tcW w:w="1268" w:type="dxa"/>
          </w:tcPr>
          <w:p w14:paraId="483F8B3C"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28.5%</w:t>
            </w:r>
          </w:p>
        </w:tc>
      </w:tr>
      <w:tr w:rsidR="00F47B0F" w:rsidRPr="00F47B0F" w14:paraId="3DF9E7B2" w14:textId="77777777" w:rsidTr="005F6ADC">
        <w:trPr>
          <w:cnfStyle w:val="000000010000" w:firstRow="0" w:lastRow="0" w:firstColumn="0" w:lastColumn="0" w:oddVBand="0" w:evenVBand="0" w:oddHBand="0" w:evenHBand="1" w:firstRowFirstColumn="0" w:firstRowLastColumn="0" w:lastRowFirstColumn="0" w:lastRowLastColumn="0"/>
          <w:trHeight w:val="230"/>
        </w:trPr>
        <w:tc>
          <w:tcPr>
            <w:tcW w:w="2912" w:type="dxa"/>
          </w:tcPr>
          <w:p w14:paraId="0ACBE282" w14:textId="77777777" w:rsidR="00F47B0F" w:rsidRPr="00F47B0F" w:rsidRDefault="00F47B0F" w:rsidP="00F47B0F">
            <w:pPr>
              <w:rPr>
                <w:rFonts w:eastAsiaTheme="majorEastAsia" w:cs="Arial"/>
                <w:color w:val="auto"/>
                <w:sz w:val="20"/>
                <w:szCs w:val="20"/>
                <w:lang w:eastAsia="en-AU"/>
              </w:rPr>
            </w:pPr>
            <w:r w:rsidRPr="00F47B0F">
              <w:rPr>
                <w:rFonts w:eastAsiaTheme="majorEastAsia" w:cs="Arial"/>
                <w:color w:val="auto"/>
                <w:sz w:val="20"/>
                <w:szCs w:val="20"/>
                <w:lang w:eastAsia="en-AU"/>
              </w:rPr>
              <w:t>Main language spoken other than English (%)</w:t>
            </w:r>
          </w:p>
        </w:tc>
        <w:tc>
          <w:tcPr>
            <w:tcW w:w="784" w:type="dxa"/>
          </w:tcPr>
          <w:p w14:paraId="4ABD4B8D"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31.4%</w:t>
            </w:r>
          </w:p>
        </w:tc>
        <w:tc>
          <w:tcPr>
            <w:tcW w:w="784" w:type="dxa"/>
          </w:tcPr>
          <w:p w14:paraId="5B082E26"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12.9%</w:t>
            </w:r>
          </w:p>
        </w:tc>
        <w:tc>
          <w:tcPr>
            <w:tcW w:w="945" w:type="dxa"/>
          </w:tcPr>
          <w:p w14:paraId="63DF3E0C"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21.7%</w:t>
            </w:r>
          </w:p>
        </w:tc>
        <w:tc>
          <w:tcPr>
            <w:tcW w:w="975" w:type="dxa"/>
          </w:tcPr>
          <w:p w14:paraId="065C2ED3"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17.0%</w:t>
            </w:r>
          </w:p>
        </w:tc>
        <w:tc>
          <w:tcPr>
            <w:tcW w:w="1470" w:type="dxa"/>
          </w:tcPr>
          <w:p w14:paraId="197D0DAD"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23.6%</w:t>
            </w:r>
          </w:p>
        </w:tc>
        <w:tc>
          <w:tcPr>
            <w:tcW w:w="1268" w:type="dxa"/>
          </w:tcPr>
          <w:p w14:paraId="6D826216"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21.3%</w:t>
            </w:r>
          </w:p>
        </w:tc>
      </w:tr>
      <w:tr w:rsidR="00F47B0F" w:rsidRPr="00F47B0F" w14:paraId="0A225AC1" w14:textId="77777777" w:rsidTr="005F6ADC">
        <w:trPr>
          <w:trHeight w:val="230"/>
        </w:trPr>
        <w:tc>
          <w:tcPr>
            <w:tcW w:w="2912" w:type="dxa"/>
          </w:tcPr>
          <w:p w14:paraId="373A5B53" w14:textId="77777777" w:rsidR="00F47B0F" w:rsidRPr="00F47B0F" w:rsidRDefault="00F47B0F" w:rsidP="00F47B0F">
            <w:pPr>
              <w:rPr>
                <w:rFonts w:eastAsiaTheme="majorEastAsia" w:cs="Arial"/>
                <w:color w:val="auto"/>
                <w:sz w:val="20"/>
                <w:szCs w:val="20"/>
                <w:lang w:eastAsia="en-AU"/>
              </w:rPr>
            </w:pPr>
            <w:r w:rsidRPr="00F47B0F">
              <w:rPr>
                <w:rFonts w:eastAsiaTheme="majorEastAsia" w:cs="Arial"/>
                <w:color w:val="auto"/>
                <w:sz w:val="20"/>
                <w:szCs w:val="20"/>
                <w:lang w:eastAsia="en-AU"/>
              </w:rPr>
              <w:t>Has a long-term health condition (%)</w:t>
            </w:r>
          </w:p>
        </w:tc>
        <w:tc>
          <w:tcPr>
            <w:tcW w:w="784" w:type="dxa"/>
          </w:tcPr>
          <w:p w14:paraId="54CE59D1"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30.5%</w:t>
            </w:r>
          </w:p>
        </w:tc>
        <w:tc>
          <w:tcPr>
            <w:tcW w:w="784" w:type="dxa"/>
          </w:tcPr>
          <w:p w14:paraId="0B587887"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36.7%</w:t>
            </w:r>
          </w:p>
        </w:tc>
        <w:tc>
          <w:tcPr>
            <w:tcW w:w="945" w:type="dxa"/>
          </w:tcPr>
          <w:p w14:paraId="5C147F19"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36.4%</w:t>
            </w:r>
          </w:p>
        </w:tc>
        <w:tc>
          <w:tcPr>
            <w:tcW w:w="975" w:type="dxa"/>
          </w:tcPr>
          <w:p w14:paraId="195CDACB"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32.4%</w:t>
            </w:r>
          </w:p>
        </w:tc>
        <w:tc>
          <w:tcPr>
            <w:tcW w:w="1470" w:type="dxa"/>
          </w:tcPr>
          <w:p w14:paraId="1A426920" w14:textId="77777777" w:rsidR="00F47B0F" w:rsidRPr="00F47B0F" w:rsidRDefault="00F47B0F" w:rsidP="00F47B0F">
            <w:pPr>
              <w:keepNext/>
              <w:jc w:val="center"/>
              <w:rPr>
                <w:rFonts w:eastAsiaTheme="majorEastAsia" w:cs="Arial"/>
                <w:color w:val="auto"/>
                <w:sz w:val="20"/>
                <w:szCs w:val="20"/>
                <w:lang w:eastAsia="en-AU"/>
              </w:rPr>
            </w:pPr>
            <w:r w:rsidRPr="00F47B0F">
              <w:rPr>
                <w:rFonts w:eastAsiaTheme="majorEastAsia" w:cs="Arial"/>
                <w:color w:val="auto"/>
                <w:sz w:val="20"/>
                <w:szCs w:val="20"/>
                <w:lang w:eastAsia="en-AU"/>
              </w:rPr>
              <w:t>33.0%</w:t>
            </w:r>
          </w:p>
        </w:tc>
        <w:tc>
          <w:tcPr>
            <w:tcW w:w="1268" w:type="dxa"/>
          </w:tcPr>
          <w:p w14:paraId="00C7C021" w14:textId="77777777" w:rsidR="00F47B0F" w:rsidRPr="00F47B0F" w:rsidRDefault="00F47B0F" w:rsidP="00F47B0F">
            <w:pPr>
              <w:keepNext/>
              <w:jc w:val="center"/>
              <w:rPr>
                <w:rFonts w:eastAsiaTheme="majorEastAsia" w:cs="Arial"/>
                <w:color w:val="auto"/>
                <w:sz w:val="20"/>
                <w:szCs w:val="20"/>
                <w:lang w:eastAsia="en-AU"/>
              </w:rPr>
            </w:pPr>
            <w:r w:rsidRPr="00F47B0F">
              <w:rPr>
                <w:rFonts w:eastAsiaTheme="majorEastAsia" w:cs="Arial"/>
                <w:color w:val="auto"/>
                <w:sz w:val="20"/>
                <w:szCs w:val="20"/>
                <w:lang w:eastAsia="en-AU"/>
              </w:rPr>
              <w:t>28.6%</w:t>
            </w:r>
          </w:p>
        </w:tc>
      </w:tr>
    </w:tbl>
    <w:p w14:paraId="63004A65" w14:textId="77777777" w:rsidR="00F47B0F" w:rsidRPr="00F47B0F" w:rsidRDefault="00F47B0F" w:rsidP="00887E52">
      <w:pPr>
        <w:pStyle w:val="Source"/>
      </w:pPr>
      <w:r w:rsidRPr="00F47B0F">
        <w:t>Source: ABS Census of Population and Housing, 2021, TableBuilder</w:t>
      </w:r>
    </w:p>
    <w:p w14:paraId="1D32F772" w14:textId="77777777" w:rsidR="00F47B0F" w:rsidRPr="00F47B0F" w:rsidRDefault="00F47B0F" w:rsidP="00F47B0F">
      <w:pPr>
        <w:rPr>
          <w:rFonts w:eastAsia="Arial" w:cs="Arial"/>
        </w:rPr>
      </w:pPr>
      <w:r w:rsidRPr="00F47B0F">
        <w:rPr>
          <w:rFonts w:eastAsia="Arial" w:cs="Arial"/>
        </w:rPr>
        <w:t xml:space="preserve">Several key insights arise from using ABS Census data to examine the ECEC workforce characteristics, these include: </w:t>
      </w:r>
    </w:p>
    <w:p w14:paraId="474B9E0A" w14:textId="77777777" w:rsidR="00F47B0F" w:rsidRPr="00F47B0F" w:rsidRDefault="00F47B0F" w:rsidP="00887E52">
      <w:pPr>
        <w:pStyle w:val="ListBullet"/>
      </w:pPr>
      <w:r w:rsidRPr="00F47B0F">
        <w:t xml:space="preserve">The ECEC workforce is overwhelmingly female in all occupations, and around 93% female overall. </w:t>
      </w:r>
    </w:p>
    <w:p w14:paraId="3AFAC65E" w14:textId="77777777" w:rsidR="00F47B0F" w:rsidRPr="00F47B0F" w:rsidRDefault="00F47B0F" w:rsidP="00887E52">
      <w:pPr>
        <w:pStyle w:val="ListBullet"/>
        <w:rPr>
          <w:rFonts w:eastAsia="Arial" w:cs="Arial"/>
        </w:rPr>
      </w:pPr>
      <w:r w:rsidRPr="00F47B0F">
        <w:rPr>
          <w:rFonts w:eastAsia="Arial" w:cs="Arial"/>
        </w:rPr>
        <w:t>Overall, the average age of staff in ECEC occupations is 37, slightly younger than the average age for all Australian workers (40.8). However, across and within ECEC occupations there is marked variation:</w:t>
      </w:r>
    </w:p>
    <w:p w14:paraId="4198CABB" w14:textId="77777777" w:rsidR="00F47B0F" w:rsidRPr="00F47B0F" w:rsidRDefault="00F47B0F" w:rsidP="00887E52">
      <w:pPr>
        <w:pStyle w:val="ListBullet2"/>
      </w:pPr>
      <w:r w:rsidRPr="00F47B0F">
        <w:rPr>
          <w:i/>
          <w:iCs/>
        </w:rPr>
        <w:t>Child Care Workers</w:t>
      </w:r>
      <w:r w:rsidRPr="00F47B0F">
        <w:t xml:space="preserve"> are younger on average, and </w:t>
      </w:r>
      <w:r w:rsidRPr="00F47B0F">
        <w:rPr>
          <w:i/>
          <w:iCs/>
        </w:rPr>
        <w:t>Nannies</w:t>
      </w:r>
      <w:r w:rsidRPr="00F47B0F">
        <w:t xml:space="preserve"> and </w:t>
      </w:r>
      <w:r w:rsidRPr="00F47B0F">
        <w:rPr>
          <w:i/>
          <w:iCs/>
        </w:rPr>
        <w:t>Out of School Hours Care Workers</w:t>
      </w:r>
      <w:r w:rsidRPr="00F47B0F">
        <w:t xml:space="preserve"> even more so. More than 70% of </w:t>
      </w:r>
      <w:r w:rsidRPr="00F47B0F">
        <w:rPr>
          <w:i/>
          <w:iCs/>
        </w:rPr>
        <w:t>Out of School Hours Care Workers</w:t>
      </w:r>
      <w:r w:rsidRPr="00F47B0F">
        <w:t xml:space="preserve"> are under 35 years of age (not shown in table). </w:t>
      </w:r>
    </w:p>
    <w:p w14:paraId="1DA645D2" w14:textId="77777777" w:rsidR="00F47B0F" w:rsidRPr="00F47B0F" w:rsidRDefault="00F47B0F" w:rsidP="00887E52">
      <w:pPr>
        <w:pStyle w:val="ListBullet2"/>
      </w:pPr>
      <w:r w:rsidRPr="00F47B0F">
        <w:rPr>
          <w:i/>
          <w:iCs/>
        </w:rPr>
        <w:t>Education Aides,</w:t>
      </w:r>
      <w:r w:rsidRPr="00F47B0F">
        <w:t xml:space="preserve"> while having a similar skill level, are on average older, with nearly 40% aged 50 years or older. </w:t>
      </w:r>
      <w:r w:rsidRPr="00F47B0F">
        <w:rPr>
          <w:i/>
          <w:iCs/>
        </w:rPr>
        <w:t>Family Day Care Workers</w:t>
      </w:r>
      <w:r w:rsidRPr="00F47B0F">
        <w:t xml:space="preserve"> have a similar age distribution.</w:t>
      </w:r>
    </w:p>
    <w:p w14:paraId="0ED1539F" w14:textId="77777777" w:rsidR="00F47B0F" w:rsidRPr="00F47B0F" w:rsidRDefault="00F47B0F" w:rsidP="00887E52">
      <w:pPr>
        <w:pStyle w:val="ListBullet"/>
      </w:pPr>
      <w:r w:rsidRPr="00F47B0F">
        <w:t xml:space="preserve">First Nations Australians participate in the ECEC workforce at a higher rate than in the overall workforce, as shown in Table 2.4 above. </w:t>
      </w:r>
    </w:p>
    <w:p w14:paraId="0F81B56F" w14:textId="77777777" w:rsidR="00F47B0F" w:rsidRPr="00F47B0F" w:rsidRDefault="00F47B0F" w:rsidP="00887E52">
      <w:pPr>
        <w:pStyle w:val="ListBullet"/>
      </w:pPr>
      <w:r w:rsidRPr="00F47B0F">
        <w:t>The largest non-English language groups in the ECEC workforce are South Asian, Chinese and Arabic (not shown in table).</w:t>
      </w:r>
    </w:p>
    <w:p w14:paraId="7E1A1F6A" w14:textId="736BD509" w:rsidR="00F47B0F" w:rsidRPr="00F47B0F" w:rsidRDefault="00F47B0F" w:rsidP="00F47B0F">
      <w:pPr>
        <w:keepLines/>
        <w:rPr>
          <w:rFonts w:eastAsia="Arial" w:cs="Arial"/>
        </w:rPr>
      </w:pPr>
      <w:r w:rsidRPr="00F47B0F">
        <w:rPr>
          <w:rFonts w:eastAsia="Arial" w:cs="Arial"/>
        </w:rPr>
        <w:lastRenderedPageBreak/>
        <w:t xml:space="preserve">As a sector with such a high level of female employment and comparatively young workforce, the impact of employment arrangements and workforce settings on the retention of workers with young children is particularly important to consider. Drawing on data from the Australian Census Longitudinal Dataset 2016-2021, JSA has estimated the rate of return to employment following birth of first child (70% for Child Carers) is lower than for occupations such as </w:t>
      </w:r>
      <w:r w:rsidRPr="0037361A">
        <w:rPr>
          <w:rFonts w:eastAsia="Arial" w:cs="Arial"/>
          <w:i/>
          <w:iCs/>
        </w:rPr>
        <w:t>Aged and disabled carers</w:t>
      </w:r>
      <w:r w:rsidRPr="00F47B0F">
        <w:rPr>
          <w:rFonts w:eastAsia="Arial" w:cs="Arial"/>
        </w:rPr>
        <w:t xml:space="preserve"> (76%), and </w:t>
      </w:r>
      <w:r w:rsidRPr="0037361A">
        <w:rPr>
          <w:rFonts w:eastAsia="Arial" w:cs="Arial"/>
          <w:i/>
          <w:iCs/>
        </w:rPr>
        <w:t>General clerks</w:t>
      </w:r>
      <w:r w:rsidRPr="00F47B0F">
        <w:rPr>
          <w:rFonts w:eastAsia="Arial" w:cs="Arial"/>
        </w:rPr>
        <w:t xml:space="preserve"> (78%). However, women in ECEC occupations return to employment in the sector at slightly higher levels than </w:t>
      </w:r>
      <w:r w:rsidRPr="0037361A">
        <w:rPr>
          <w:rFonts w:eastAsia="Arial" w:cs="Arial"/>
          <w:i/>
          <w:iCs/>
        </w:rPr>
        <w:t>Hairdressers</w:t>
      </w:r>
      <w:r w:rsidRPr="00F47B0F">
        <w:rPr>
          <w:rFonts w:eastAsia="Arial" w:cs="Arial"/>
        </w:rPr>
        <w:t xml:space="preserve">, </w:t>
      </w:r>
      <w:r w:rsidRPr="0037361A">
        <w:rPr>
          <w:rFonts w:eastAsia="Arial" w:cs="Arial"/>
          <w:i/>
          <w:iCs/>
        </w:rPr>
        <w:t>Waiters</w:t>
      </w:r>
      <w:r w:rsidRPr="00F47B0F">
        <w:rPr>
          <w:rFonts w:eastAsia="Arial" w:cs="Arial"/>
        </w:rPr>
        <w:t xml:space="preserve">, </w:t>
      </w:r>
      <w:r w:rsidRPr="0037361A">
        <w:rPr>
          <w:rFonts w:eastAsia="Arial" w:cs="Arial"/>
          <w:i/>
          <w:iCs/>
        </w:rPr>
        <w:t>Beauty therapists</w:t>
      </w:r>
      <w:r w:rsidRPr="00F47B0F">
        <w:rPr>
          <w:rFonts w:eastAsia="Arial" w:cs="Arial"/>
        </w:rPr>
        <w:t xml:space="preserve">, and </w:t>
      </w:r>
      <w:r w:rsidRPr="0037361A">
        <w:rPr>
          <w:rFonts w:eastAsia="Arial" w:cs="Arial"/>
          <w:i/>
          <w:iCs/>
        </w:rPr>
        <w:t>Sales assistants</w:t>
      </w:r>
      <w:r w:rsidRPr="00F47B0F">
        <w:rPr>
          <w:rFonts w:eastAsia="Arial" w:cs="Arial"/>
        </w:rPr>
        <w:t xml:space="preserve"> (65%, 62%, 61%, and 63%, respectively).</w:t>
      </w:r>
    </w:p>
    <w:tbl>
      <w:tblPr>
        <w:tblStyle w:val="BoxC2"/>
        <w:tblW w:w="0" w:type="auto"/>
        <w:tblLook w:val="0620" w:firstRow="1" w:lastRow="0" w:firstColumn="0" w:lastColumn="0" w:noHBand="1" w:noVBand="1"/>
      </w:tblPr>
      <w:tblGrid>
        <w:gridCol w:w="9016"/>
      </w:tblGrid>
      <w:tr w:rsidR="00F47B0F" w:rsidRPr="00F47B0F" w14:paraId="59D3FB3B" w14:textId="77777777" w:rsidTr="005D67F5">
        <w:tc>
          <w:tcPr>
            <w:tcW w:w="9016" w:type="dxa"/>
          </w:tcPr>
          <w:p w14:paraId="4B341946" w14:textId="4209AF6E" w:rsidR="00F47B0F" w:rsidRPr="00F47B0F" w:rsidRDefault="00F47B0F" w:rsidP="00887E52">
            <w:pPr>
              <w:spacing w:after="160"/>
              <w:rPr>
                <w:rFonts w:eastAsiaTheme="majorEastAsia" w:cstheme="majorBidi"/>
                <w:b/>
                <w:color w:val="005D5D" w:themeColor="accent2"/>
                <w:sz w:val="32"/>
                <w:szCs w:val="24"/>
              </w:rPr>
            </w:pPr>
            <w:r w:rsidRPr="00F47B0F">
              <w:rPr>
                <w:rFonts w:eastAsiaTheme="majorEastAsia" w:cstheme="majorBidi"/>
                <w:b/>
                <w:color w:val="005D5D" w:themeColor="accent2"/>
                <w:sz w:val="32"/>
                <w:szCs w:val="24"/>
              </w:rPr>
              <w:t>CASE STUDY – Attracting, supporting and retaining diverse cohorts in education and training programs</w:t>
            </w:r>
          </w:p>
          <w:p w14:paraId="28BA5E55" w14:textId="43849D5E" w:rsidR="00F47B0F" w:rsidRPr="00F47B0F" w:rsidRDefault="00F47B0F" w:rsidP="00F47B0F">
            <w:pPr>
              <w:spacing w:after="160" w:line="259" w:lineRule="auto"/>
            </w:pPr>
            <w:r w:rsidRPr="00F47B0F">
              <w:t>The Victorian Government has provided funding to support Victorian students looking for a career in ECEC. There are 11 courses being supported through the Early Childhood Tertiary Partnerships (ECTP) program. The type of support given is dependent on the place of enrolment (university, TAFE, or RTO). For example, Victoria University (VU) TAFE, supports to Certificate III and Diploma ECEC students through the Diversity and Innovation in Childhood Education (DICE) program. The DICE program target diverse cohorts such as First Nations students, males, people with disabilities, and culturally and linguistic diverse (CALD) people. DICE aims to improve student retention and provide wraparound student support (language, literacy and numeracy [LLN] assistance, work ready skills, cultural ambassadors and mentor) which helps ensure a successful transition to employment in the sector.</w:t>
            </w:r>
          </w:p>
          <w:p w14:paraId="10C1BCCC" w14:textId="77777777" w:rsidR="00F47B0F" w:rsidRPr="00F47B0F" w:rsidRDefault="00F47B0F" w:rsidP="00F47B0F">
            <w:pPr>
              <w:spacing w:after="160" w:line="259" w:lineRule="auto"/>
            </w:pPr>
            <w:r w:rsidRPr="00F47B0F">
              <w:t>Submission 28 – Victoria University</w:t>
            </w:r>
          </w:p>
          <w:p w14:paraId="73749062" w14:textId="3FC8B327" w:rsidR="00F47B0F" w:rsidRPr="00F47B0F" w:rsidRDefault="00F47B0F" w:rsidP="00887E52">
            <w:pPr>
              <w:pStyle w:val="Source"/>
              <w:rPr>
                <w:sz w:val="14"/>
                <w:szCs w:val="14"/>
              </w:rPr>
            </w:pPr>
            <w:r w:rsidRPr="00F47B0F">
              <w:t xml:space="preserve">Source: State Government of Victoria, (2024), </w:t>
            </w:r>
            <w:r w:rsidRPr="00F47B0F">
              <w:rPr>
                <w:i/>
                <w:iCs/>
              </w:rPr>
              <w:t>Early Childhood Tertiary Partnerships Program</w:t>
            </w:r>
            <w:r w:rsidRPr="00F47B0F">
              <w:t xml:space="preserve">, Vic Gov, </w:t>
            </w:r>
            <w:hyperlink r:id="rId77" w:history="1">
              <w:r w:rsidRPr="00F47B0F">
                <w:rPr>
                  <w:color w:val="215E9E" w:themeColor="hyperlink"/>
                  <w:u w:val="single"/>
                </w:rPr>
                <w:t>https://www.vic.gov.au/early-childhood-tertiary-partnerships-program</w:t>
              </w:r>
            </w:hyperlink>
            <w:r w:rsidRPr="00F47B0F">
              <w:t xml:space="preserve">. </w:t>
            </w:r>
          </w:p>
        </w:tc>
      </w:tr>
    </w:tbl>
    <w:p w14:paraId="3459FB8C" w14:textId="57340041" w:rsidR="00F47B0F" w:rsidRPr="00F47B0F" w:rsidRDefault="00F47B0F" w:rsidP="00F47B0F">
      <w:pPr>
        <w:rPr>
          <w:rFonts w:eastAsia="Arial" w:cs="Arial"/>
        </w:rPr>
      </w:pPr>
    </w:p>
    <w:p w14:paraId="7B140006" w14:textId="77777777" w:rsidR="00F47B0F" w:rsidRPr="00F47B0F" w:rsidRDefault="00F47B0F" w:rsidP="00F47B0F">
      <w:pPr>
        <w:pStyle w:val="Heading3"/>
      </w:pPr>
      <w:r w:rsidRPr="00F47B0F">
        <w:t>First Nations ECEC Staff</w:t>
      </w:r>
    </w:p>
    <w:p w14:paraId="4951E209" w14:textId="5E7E6A3F" w:rsidR="00F47B0F" w:rsidRPr="00F47B0F" w:rsidRDefault="00F47B0F" w:rsidP="00F47B0F">
      <w:pPr>
        <w:rPr>
          <w:i/>
          <w:iCs/>
        </w:rPr>
      </w:pPr>
      <w:r w:rsidRPr="00F47B0F">
        <w:fldChar w:fldCharType="begin" w:fldLock="1"/>
      </w:r>
      <w:r w:rsidRPr="00F47B0F">
        <w:instrText xml:space="preserve"> REF _Ref169157973 \h </w:instrText>
      </w:r>
      <w:r w:rsidRPr="00F47B0F">
        <w:fldChar w:fldCharType="separate"/>
      </w:r>
      <w:r w:rsidRPr="00F47B0F">
        <w:t>Figure 2.</w:t>
      </w:r>
      <w:r w:rsidRPr="00F47B0F">
        <w:rPr>
          <w:noProof/>
        </w:rPr>
        <w:t>2</w:t>
      </w:r>
      <w:r w:rsidRPr="00F47B0F">
        <w:fldChar w:fldCharType="end"/>
      </w:r>
      <w:r w:rsidRPr="00F47B0F">
        <w:t xml:space="preserve"> shows that the proportion of First Nations people employed in ECEC occupations are higher in the </w:t>
      </w:r>
      <w:r w:rsidRPr="00F47B0F">
        <w:rPr>
          <w:i/>
          <w:iCs/>
        </w:rPr>
        <w:t>Education Aides</w:t>
      </w:r>
      <w:r w:rsidRPr="00F47B0F">
        <w:t xml:space="preserve"> (5.7%) and </w:t>
      </w:r>
      <w:r w:rsidRPr="00F47B0F">
        <w:rPr>
          <w:i/>
          <w:iCs/>
        </w:rPr>
        <w:t>Child Carers</w:t>
      </w:r>
      <w:r w:rsidRPr="00F47B0F">
        <w:t xml:space="preserve"> (2.9%) which have a lower indicative skill level than </w:t>
      </w:r>
      <w:r w:rsidRPr="00F47B0F">
        <w:rPr>
          <w:i/>
          <w:iCs/>
        </w:rPr>
        <w:t>Early Childhood (Pre-primary) Teacher</w:t>
      </w:r>
      <w:r w:rsidRPr="00F47B0F">
        <w:t xml:space="preserve">s (1.7%) and </w:t>
      </w:r>
      <w:r w:rsidRPr="00F47B0F">
        <w:rPr>
          <w:i/>
          <w:iCs/>
        </w:rPr>
        <w:t>Child Care Centre Managers</w:t>
      </w:r>
      <w:r w:rsidRPr="00F47B0F">
        <w:t xml:space="preserve"> (2.9%). This figure also shows that the Northern Territory has the highest proportion of First Nations people employed in the ECEC workforce, with 34.4% employed as </w:t>
      </w:r>
      <w:r w:rsidRPr="00F47B0F">
        <w:rPr>
          <w:i/>
          <w:iCs/>
        </w:rPr>
        <w:t xml:space="preserve">Education Aides, </w:t>
      </w:r>
      <w:r w:rsidRPr="00F47B0F">
        <w:t>14.4% as</w:t>
      </w:r>
      <w:r w:rsidRPr="00F47B0F">
        <w:rPr>
          <w:i/>
          <w:iCs/>
        </w:rPr>
        <w:t xml:space="preserve"> Child Care Workers, </w:t>
      </w:r>
      <w:r w:rsidRPr="00F47B0F">
        <w:t>10.9% as</w:t>
      </w:r>
      <w:r w:rsidRPr="00F47B0F">
        <w:rPr>
          <w:i/>
          <w:iCs/>
        </w:rPr>
        <w:t xml:space="preserve"> Early Childhood Teachers</w:t>
      </w:r>
      <w:r w:rsidRPr="00F47B0F">
        <w:t xml:space="preserve">, and 6.8% as </w:t>
      </w:r>
      <w:r w:rsidRPr="00F47B0F">
        <w:rPr>
          <w:i/>
          <w:iCs/>
        </w:rPr>
        <w:t>Child Care Centre Managers</w:t>
      </w:r>
      <w:r w:rsidRPr="00F47B0F">
        <w:t xml:space="preserve">. This figure may indicate a lack of development and educational opportunities for First Nations ECEC educators. This is particularly noticeable in the Northern Territory with a </w:t>
      </w:r>
      <w:proofErr w:type="gramStart"/>
      <w:r w:rsidRPr="00F47B0F">
        <w:t>27 percentage</w:t>
      </w:r>
      <w:proofErr w:type="gramEnd"/>
      <w:r w:rsidRPr="00F47B0F">
        <w:t xml:space="preserve"> point difference between </w:t>
      </w:r>
      <w:r w:rsidRPr="00F47B0F">
        <w:rPr>
          <w:i/>
          <w:iCs/>
        </w:rPr>
        <w:t>Education Aides</w:t>
      </w:r>
      <w:r w:rsidRPr="00F47B0F">
        <w:t xml:space="preserve"> and </w:t>
      </w:r>
      <w:r w:rsidRPr="00F47B0F">
        <w:rPr>
          <w:i/>
          <w:iCs/>
        </w:rPr>
        <w:t xml:space="preserve">Child Care Centre Managers. </w:t>
      </w:r>
    </w:p>
    <w:p w14:paraId="0484FFA2" w14:textId="77777777" w:rsidR="00420FE3" w:rsidRDefault="00420FE3">
      <w:pPr>
        <w:rPr>
          <w:b/>
          <w:bCs/>
          <w:color w:val="auto"/>
          <w:sz w:val="18"/>
          <w:szCs w:val="18"/>
        </w:rPr>
      </w:pPr>
      <w:bookmarkStart w:id="84" w:name="_Ref169157973"/>
      <w:bookmarkStart w:id="85" w:name="_Ref169157960"/>
      <w:bookmarkStart w:id="86" w:name="_Ref168060109"/>
      <w:r>
        <w:br w:type="page"/>
      </w:r>
    </w:p>
    <w:p w14:paraId="3D702EAB" w14:textId="43F302A3" w:rsidR="00420FE3" w:rsidRDefault="00420FE3" w:rsidP="00420FE3">
      <w:pPr>
        <w:pStyle w:val="Caption"/>
      </w:pPr>
      <w:r w:rsidRPr="00F47B0F">
        <w:rPr>
          <w:noProof/>
        </w:rPr>
        <w:lastRenderedPageBreak/>
        <w:drawing>
          <wp:anchor distT="0" distB="0" distL="114300" distR="114300" simplePos="0" relativeHeight="251706371" behindDoc="0" locked="0" layoutInCell="1" allowOverlap="1" wp14:anchorId="49DC56EB" wp14:editId="2EEB301A">
            <wp:simplePos x="0" y="0"/>
            <wp:positionH relativeFrom="margin">
              <wp:align>right</wp:align>
            </wp:positionH>
            <wp:positionV relativeFrom="paragraph">
              <wp:posOffset>203200</wp:posOffset>
            </wp:positionV>
            <wp:extent cx="5718412" cy="5791200"/>
            <wp:effectExtent l="0" t="0" r="15875" b="0"/>
            <wp:wrapNone/>
            <wp:docPr id="923832231" name="Chart 1">
              <a:extLst xmlns:a="http://schemas.openxmlformats.org/drawingml/2006/main">
                <a:ext uri="{FF2B5EF4-FFF2-40B4-BE49-F238E27FC236}">
                  <a16:creationId xmlns:a16="http://schemas.microsoft.com/office/drawing/2014/main" id="{ED707454-3C4E-6C8B-E32E-F5F838DFC577}"/>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anchor>
        </w:drawing>
      </w:r>
      <w:r w:rsidR="00F47B0F" w:rsidRPr="00F47B0F">
        <w:t>Figure 2</w:t>
      </w:r>
      <w:bookmarkEnd w:id="84"/>
      <w:r w:rsidR="00F47B0F" w:rsidRPr="00F47B0F">
        <w:t>.</w:t>
      </w:r>
      <w:r w:rsidR="00F47B0F" w:rsidRPr="00F47B0F">
        <w:fldChar w:fldCharType="begin"/>
      </w:r>
      <w:r w:rsidR="00F47B0F" w:rsidRPr="00F47B0F">
        <w:instrText xml:space="preserve"> SEQ Figure \* ARABIC \s 1 </w:instrText>
      </w:r>
      <w:r w:rsidR="00F47B0F" w:rsidRPr="00F47B0F">
        <w:fldChar w:fldCharType="separate"/>
      </w:r>
      <w:r w:rsidR="005F18C1">
        <w:rPr>
          <w:noProof/>
        </w:rPr>
        <w:t>2</w:t>
      </w:r>
      <w:r w:rsidR="00F47B0F" w:rsidRPr="00F47B0F">
        <w:fldChar w:fldCharType="end"/>
      </w:r>
      <w:r w:rsidR="00F47B0F" w:rsidRPr="00F47B0F">
        <w:t xml:space="preserve"> Indigenous status by jurisdiction and occupation 2021</w:t>
      </w:r>
      <w:bookmarkEnd w:id="85"/>
      <w:bookmarkEnd w:id="86"/>
    </w:p>
    <w:tbl>
      <w:tblPr>
        <w:tblStyle w:val="Box"/>
        <w:tblW w:w="0" w:type="auto"/>
        <w:jc w:val="center"/>
        <w:tblLook w:val="04A0" w:firstRow="1" w:lastRow="0" w:firstColumn="1" w:lastColumn="0" w:noHBand="0" w:noVBand="1"/>
      </w:tblPr>
      <w:tblGrid>
        <w:gridCol w:w="1560"/>
        <w:gridCol w:w="1319"/>
        <w:gridCol w:w="545"/>
        <w:gridCol w:w="665"/>
        <w:gridCol w:w="777"/>
        <w:gridCol w:w="881"/>
        <w:gridCol w:w="598"/>
        <w:gridCol w:w="601"/>
        <w:gridCol w:w="824"/>
        <w:gridCol w:w="516"/>
      </w:tblGrid>
      <w:tr w:rsidR="00420FE3" w:rsidRPr="00420FE3" w14:paraId="37BE0886" w14:textId="77777777" w:rsidTr="00420FE3">
        <w:trPr>
          <w:trHeight w:val="300"/>
          <w:jc w:val="center"/>
        </w:trPr>
        <w:tc>
          <w:tcPr>
            <w:tcW w:w="1560" w:type="dxa"/>
            <w:noWrap/>
            <w:hideMark/>
          </w:tcPr>
          <w:p w14:paraId="13BB37AE" w14:textId="77777777" w:rsidR="00420FE3" w:rsidRPr="00420FE3" w:rsidRDefault="00420FE3" w:rsidP="00420FE3">
            <w:pPr>
              <w:pStyle w:val="Source"/>
              <w:rPr>
                <w:sz w:val="2"/>
                <w:szCs w:val="2"/>
              </w:rPr>
            </w:pPr>
          </w:p>
        </w:tc>
        <w:tc>
          <w:tcPr>
            <w:tcW w:w="1319" w:type="dxa"/>
            <w:noWrap/>
            <w:hideMark/>
          </w:tcPr>
          <w:p w14:paraId="1053D4B9" w14:textId="4F20BEE0" w:rsidR="00420FE3" w:rsidRPr="00420FE3" w:rsidRDefault="00420FE3" w:rsidP="00420FE3">
            <w:pPr>
              <w:pStyle w:val="Source"/>
              <w:rPr>
                <w:b/>
                <w:bCs/>
                <w:sz w:val="2"/>
                <w:szCs w:val="2"/>
              </w:rPr>
            </w:pPr>
            <w:r w:rsidRPr="00420FE3">
              <w:rPr>
                <w:b/>
                <w:bCs/>
                <w:sz w:val="2"/>
                <w:szCs w:val="2"/>
              </w:rPr>
              <w:t>New South Wales</w:t>
            </w:r>
          </w:p>
        </w:tc>
        <w:tc>
          <w:tcPr>
            <w:tcW w:w="545" w:type="dxa"/>
            <w:noWrap/>
            <w:hideMark/>
          </w:tcPr>
          <w:p w14:paraId="7B146DC2" w14:textId="77777777" w:rsidR="00420FE3" w:rsidRPr="00420FE3" w:rsidRDefault="00420FE3" w:rsidP="00420FE3">
            <w:pPr>
              <w:pStyle w:val="Source"/>
              <w:rPr>
                <w:b/>
                <w:bCs/>
                <w:sz w:val="2"/>
                <w:szCs w:val="2"/>
              </w:rPr>
            </w:pPr>
            <w:r w:rsidRPr="00420FE3">
              <w:rPr>
                <w:b/>
                <w:bCs/>
                <w:sz w:val="2"/>
                <w:szCs w:val="2"/>
              </w:rPr>
              <w:t>Victoria</w:t>
            </w:r>
          </w:p>
        </w:tc>
        <w:tc>
          <w:tcPr>
            <w:tcW w:w="665" w:type="dxa"/>
            <w:noWrap/>
            <w:hideMark/>
          </w:tcPr>
          <w:p w14:paraId="59C3A04A" w14:textId="77777777" w:rsidR="00420FE3" w:rsidRPr="00420FE3" w:rsidRDefault="00420FE3" w:rsidP="00420FE3">
            <w:pPr>
              <w:pStyle w:val="Source"/>
              <w:rPr>
                <w:b/>
                <w:bCs/>
                <w:sz w:val="2"/>
                <w:szCs w:val="2"/>
              </w:rPr>
            </w:pPr>
            <w:r w:rsidRPr="00420FE3">
              <w:rPr>
                <w:b/>
                <w:bCs/>
                <w:sz w:val="2"/>
                <w:szCs w:val="2"/>
              </w:rPr>
              <w:t>Queensland</w:t>
            </w:r>
          </w:p>
        </w:tc>
        <w:tc>
          <w:tcPr>
            <w:tcW w:w="777" w:type="dxa"/>
            <w:noWrap/>
            <w:hideMark/>
          </w:tcPr>
          <w:p w14:paraId="40E9179E" w14:textId="77777777" w:rsidR="00420FE3" w:rsidRPr="00420FE3" w:rsidRDefault="00420FE3" w:rsidP="00420FE3">
            <w:pPr>
              <w:pStyle w:val="Source"/>
              <w:rPr>
                <w:b/>
                <w:bCs/>
                <w:sz w:val="2"/>
                <w:szCs w:val="2"/>
              </w:rPr>
            </w:pPr>
            <w:r w:rsidRPr="00420FE3">
              <w:rPr>
                <w:b/>
                <w:bCs/>
                <w:sz w:val="2"/>
                <w:szCs w:val="2"/>
              </w:rPr>
              <w:t>South Australia</w:t>
            </w:r>
          </w:p>
        </w:tc>
        <w:tc>
          <w:tcPr>
            <w:tcW w:w="881" w:type="dxa"/>
            <w:noWrap/>
            <w:hideMark/>
          </w:tcPr>
          <w:p w14:paraId="493BCEFB" w14:textId="77777777" w:rsidR="00420FE3" w:rsidRPr="00420FE3" w:rsidRDefault="00420FE3" w:rsidP="00420FE3">
            <w:pPr>
              <w:pStyle w:val="Source"/>
              <w:rPr>
                <w:b/>
                <w:bCs/>
                <w:sz w:val="2"/>
                <w:szCs w:val="2"/>
              </w:rPr>
            </w:pPr>
            <w:r w:rsidRPr="00420FE3">
              <w:rPr>
                <w:b/>
                <w:bCs/>
                <w:sz w:val="2"/>
                <w:szCs w:val="2"/>
              </w:rPr>
              <w:t>Western Australia</w:t>
            </w:r>
          </w:p>
        </w:tc>
        <w:tc>
          <w:tcPr>
            <w:tcW w:w="598" w:type="dxa"/>
            <w:noWrap/>
            <w:hideMark/>
          </w:tcPr>
          <w:p w14:paraId="16805112" w14:textId="77777777" w:rsidR="00420FE3" w:rsidRPr="00420FE3" w:rsidRDefault="00420FE3" w:rsidP="00420FE3">
            <w:pPr>
              <w:pStyle w:val="Source"/>
              <w:rPr>
                <w:b/>
                <w:bCs/>
                <w:sz w:val="2"/>
                <w:szCs w:val="2"/>
              </w:rPr>
            </w:pPr>
            <w:r w:rsidRPr="00420FE3">
              <w:rPr>
                <w:b/>
                <w:bCs/>
                <w:sz w:val="2"/>
                <w:szCs w:val="2"/>
              </w:rPr>
              <w:t>Tasmania</w:t>
            </w:r>
          </w:p>
        </w:tc>
        <w:tc>
          <w:tcPr>
            <w:tcW w:w="601" w:type="dxa"/>
            <w:noWrap/>
            <w:hideMark/>
          </w:tcPr>
          <w:p w14:paraId="53B2E9DE" w14:textId="77777777" w:rsidR="00420FE3" w:rsidRPr="00420FE3" w:rsidRDefault="00420FE3" w:rsidP="00420FE3">
            <w:pPr>
              <w:pStyle w:val="Source"/>
              <w:rPr>
                <w:b/>
                <w:bCs/>
                <w:sz w:val="2"/>
                <w:szCs w:val="2"/>
              </w:rPr>
            </w:pPr>
            <w:r w:rsidRPr="00420FE3">
              <w:rPr>
                <w:b/>
                <w:bCs/>
                <w:sz w:val="2"/>
                <w:szCs w:val="2"/>
              </w:rPr>
              <w:t>Northern Territory</w:t>
            </w:r>
          </w:p>
        </w:tc>
        <w:tc>
          <w:tcPr>
            <w:tcW w:w="824" w:type="dxa"/>
            <w:noWrap/>
            <w:hideMark/>
          </w:tcPr>
          <w:p w14:paraId="11C2CAAF" w14:textId="77777777" w:rsidR="00420FE3" w:rsidRPr="00420FE3" w:rsidRDefault="00420FE3" w:rsidP="00420FE3">
            <w:pPr>
              <w:pStyle w:val="Source"/>
              <w:rPr>
                <w:b/>
                <w:bCs/>
                <w:sz w:val="2"/>
                <w:szCs w:val="2"/>
              </w:rPr>
            </w:pPr>
            <w:r w:rsidRPr="00420FE3">
              <w:rPr>
                <w:b/>
                <w:bCs/>
                <w:sz w:val="2"/>
                <w:szCs w:val="2"/>
              </w:rPr>
              <w:t>Australian Capital Territory</w:t>
            </w:r>
          </w:p>
        </w:tc>
        <w:tc>
          <w:tcPr>
            <w:tcW w:w="516" w:type="dxa"/>
            <w:noWrap/>
            <w:hideMark/>
          </w:tcPr>
          <w:p w14:paraId="78E657AA" w14:textId="77777777" w:rsidR="00420FE3" w:rsidRPr="00420FE3" w:rsidRDefault="00420FE3" w:rsidP="00420FE3">
            <w:pPr>
              <w:pStyle w:val="Source"/>
              <w:rPr>
                <w:b/>
                <w:bCs/>
                <w:sz w:val="2"/>
                <w:szCs w:val="2"/>
              </w:rPr>
            </w:pPr>
            <w:r w:rsidRPr="00420FE3">
              <w:rPr>
                <w:b/>
                <w:bCs/>
                <w:sz w:val="2"/>
                <w:szCs w:val="2"/>
              </w:rPr>
              <w:t>Australia</w:t>
            </w:r>
          </w:p>
        </w:tc>
      </w:tr>
      <w:tr w:rsidR="00420FE3" w:rsidRPr="00420FE3" w14:paraId="172C1E28" w14:textId="77777777" w:rsidTr="00420FE3">
        <w:trPr>
          <w:trHeight w:val="285"/>
          <w:jc w:val="center"/>
        </w:trPr>
        <w:tc>
          <w:tcPr>
            <w:tcW w:w="1560" w:type="dxa"/>
            <w:noWrap/>
            <w:hideMark/>
          </w:tcPr>
          <w:p w14:paraId="1059C896" w14:textId="77777777" w:rsidR="00420FE3" w:rsidRPr="00420FE3" w:rsidRDefault="00420FE3" w:rsidP="00420FE3">
            <w:pPr>
              <w:pStyle w:val="Source"/>
              <w:rPr>
                <w:sz w:val="2"/>
                <w:szCs w:val="2"/>
              </w:rPr>
            </w:pPr>
            <w:r w:rsidRPr="00420FE3">
              <w:rPr>
                <w:sz w:val="2"/>
                <w:szCs w:val="2"/>
              </w:rPr>
              <w:t>Education Aides</w:t>
            </w:r>
          </w:p>
        </w:tc>
        <w:tc>
          <w:tcPr>
            <w:tcW w:w="1319" w:type="dxa"/>
            <w:noWrap/>
            <w:hideMark/>
          </w:tcPr>
          <w:p w14:paraId="5F70D60B" w14:textId="7693E242" w:rsidR="00420FE3" w:rsidRPr="00420FE3" w:rsidRDefault="00420FE3" w:rsidP="00420FE3">
            <w:pPr>
              <w:pStyle w:val="Source"/>
              <w:rPr>
                <w:sz w:val="2"/>
                <w:szCs w:val="2"/>
              </w:rPr>
            </w:pPr>
            <w:r w:rsidRPr="00420FE3">
              <w:rPr>
                <w:sz w:val="2"/>
                <w:szCs w:val="2"/>
              </w:rPr>
              <w:t>8.3%</w:t>
            </w:r>
          </w:p>
        </w:tc>
        <w:tc>
          <w:tcPr>
            <w:tcW w:w="545" w:type="dxa"/>
            <w:noWrap/>
            <w:hideMark/>
          </w:tcPr>
          <w:p w14:paraId="06D03CA4" w14:textId="77777777" w:rsidR="00420FE3" w:rsidRPr="00420FE3" w:rsidRDefault="00420FE3" w:rsidP="00420FE3">
            <w:pPr>
              <w:pStyle w:val="Source"/>
              <w:rPr>
                <w:sz w:val="2"/>
                <w:szCs w:val="2"/>
              </w:rPr>
            </w:pPr>
            <w:r w:rsidRPr="00420FE3">
              <w:rPr>
                <w:sz w:val="2"/>
                <w:szCs w:val="2"/>
              </w:rPr>
              <w:t>1.5%</w:t>
            </w:r>
          </w:p>
        </w:tc>
        <w:tc>
          <w:tcPr>
            <w:tcW w:w="665" w:type="dxa"/>
            <w:noWrap/>
            <w:hideMark/>
          </w:tcPr>
          <w:p w14:paraId="7DB30E7B" w14:textId="77777777" w:rsidR="00420FE3" w:rsidRPr="00420FE3" w:rsidRDefault="00420FE3" w:rsidP="00420FE3">
            <w:pPr>
              <w:pStyle w:val="Source"/>
              <w:rPr>
                <w:sz w:val="2"/>
                <w:szCs w:val="2"/>
              </w:rPr>
            </w:pPr>
            <w:r w:rsidRPr="00420FE3">
              <w:rPr>
                <w:sz w:val="2"/>
                <w:szCs w:val="2"/>
              </w:rPr>
              <w:t>6.1%</w:t>
            </w:r>
          </w:p>
        </w:tc>
        <w:tc>
          <w:tcPr>
            <w:tcW w:w="777" w:type="dxa"/>
            <w:noWrap/>
            <w:hideMark/>
          </w:tcPr>
          <w:p w14:paraId="593F79A5" w14:textId="77777777" w:rsidR="00420FE3" w:rsidRPr="00420FE3" w:rsidRDefault="00420FE3" w:rsidP="00420FE3">
            <w:pPr>
              <w:pStyle w:val="Source"/>
              <w:rPr>
                <w:sz w:val="2"/>
                <w:szCs w:val="2"/>
              </w:rPr>
            </w:pPr>
            <w:r w:rsidRPr="00420FE3">
              <w:rPr>
                <w:sz w:val="2"/>
                <w:szCs w:val="2"/>
              </w:rPr>
              <w:t>5.3%</w:t>
            </w:r>
          </w:p>
        </w:tc>
        <w:tc>
          <w:tcPr>
            <w:tcW w:w="881" w:type="dxa"/>
            <w:noWrap/>
            <w:hideMark/>
          </w:tcPr>
          <w:p w14:paraId="732A9D9C" w14:textId="77777777" w:rsidR="00420FE3" w:rsidRPr="00420FE3" w:rsidRDefault="00420FE3" w:rsidP="00420FE3">
            <w:pPr>
              <w:pStyle w:val="Source"/>
              <w:rPr>
                <w:sz w:val="2"/>
                <w:szCs w:val="2"/>
              </w:rPr>
            </w:pPr>
            <w:r w:rsidRPr="00420FE3">
              <w:rPr>
                <w:sz w:val="2"/>
                <w:szCs w:val="2"/>
              </w:rPr>
              <w:t>5.2%</w:t>
            </w:r>
          </w:p>
        </w:tc>
        <w:tc>
          <w:tcPr>
            <w:tcW w:w="598" w:type="dxa"/>
            <w:noWrap/>
            <w:hideMark/>
          </w:tcPr>
          <w:p w14:paraId="44ED4E60" w14:textId="77777777" w:rsidR="00420FE3" w:rsidRPr="00420FE3" w:rsidRDefault="00420FE3" w:rsidP="00420FE3">
            <w:pPr>
              <w:pStyle w:val="Source"/>
              <w:rPr>
                <w:sz w:val="2"/>
                <w:szCs w:val="2"/>
              </w:rPr>
            </w:pPr>
            <w:r w:rsidRPr="00420FE3">
              <w:rPr>
                <w:sz w:val="2"/>
                <w:szCs w:val="2"/>
              </w:rPr>
              <w:t>5.7%</w:t>
            </w:r>
          </w:p>
        </w:tc>
        <w:tc>
          <w:tcPr>
            <w:tcW w:w="601" w:type="dxa"/>
            <w:noWrap/>
            <w:hideMark/>
          </w:tcPr>
          <w:p w14:paraId="5EE49782" w14:textId="77777777" w:rsidR="00420FE3" w:rsidRPr="00420FE3" w:rsidRDefault="00420FE3" w:rsidP="00420FE3">
            <w:pPr>
              <w:pStyle w:val="Source"/>
              <w:rPr>
                <w:sz w:val="2"/>
                <w:szCs w:val="2"/>
              </w:rPr>
            </w:pPr>
            <w:r w:rsidRPr="00420FE3">
              <w:rPr>
                <w:sz w:val="2"/>
                <w:szCs w:val="2"/>
              </w:rPr>
              <w:t>34.4%</w:t>
            </w:r>
          </w:p>
        </w:tc>
        <w:tc>
          <w:tcPr>
            <w:tcW w:w="824" w:type="dxa"/>
            <w:noWrap/>
            <w:hideMark/>
          </w:tcPr>
          <w:p w14:paraId="02953FE1" w14:textId="77777777" w:rsidR="00420FE3" w:rsidRPr="00420FE3" w:rsidRDefault="00420FE3" w:rsidP="00420FE3">
            <w:pPr>
              <w:pStyle w:val="Source"/>
              <w:rPr>
                <w:sz w:val="2"/>
                <w:szCs w:val="2"/>
              </w:rPr>
            </w:pPr>
            <w:r w:rsidRPr="00420FE3">
              <w:rPr>
                <w:sz w:val="2"/>
                <w:szCs w:val="2"/>
              </w:rPr>
              <w:t>3.0%</w:t>
            </w:r>
          </w:p>
        </w:tc>
        <w:tc>
          <w:tcPr>
            <w:tcW w:w="516" w:type="dxa"/>
            <w:noWrap/>
            <w:hideMark/>
          </w:tcPr>
          <w:p w14:paraId="32C05290" w14:textId="77777777" w:rsidR="00420FE3" w:rsidRPr="00420FE3" w:rsidRDefault="00420FE3" w:rsidP="00420FE3">
            <w:pPr>
              <w:pStyle w:val="Source"/>
              <w:rPr>
                <w:sz w:val="2"/>
                <w:szCs w:val="2"/>
              </w:rPr>
            </w:pPr>
            <w:r w:rsidRPr="00420FE3">
              <w:rPr>
                <w:sz w:val="2"/>
                <w:szCs w:val="2"/>
              </w:rPr>
              <w:t>5.7%</w:t>
            </w:r>
          </w:p>
        </w:tc>
      </w:tr>
      <w:tr w:rsidR="00420FE3" w:rsidRPr="00420FE3" w14:paraId="14E529C9" w14:textId="77777777" w:rsidTr="00420FE3">
        <w:trPr>
          <w:trHeight w:val="300"/>
          <w:jc w:val="center"/>
        </w:trPr>
        <w:tc>
          <w:tcPr>
            <w:tcW w:w="1560" w:type="dxa"/>
            <w:noWrap/>
            <w:hideMark/>
          </w:tcPr>
          <w:p w14:paraId="128DA5B9" w14:textId="77777777" w:rsidR="00420FE3" w:rsidRPr="00420FE3" w:rsidRDefault="00420FE3" w:rsidP="00420FE3">
            <w:pPr>
              <w:pStyle w:val="Source"/>
              <w:rPr>
                <w:sz w:val="2"/>
                <w:szCs w:val="2"/>
              </w:rPr>
            </w:pPr>
            <w:r w:rsidRPr="00420FE3">
              <w:rPr>
                <w:sz w:val="2"/>
                <w:szCs w:val="2"/>
              </w:rPr>
              <w:t>Child Carers</w:t>
            </w:r>
          </w:p>
        </w:tc>
        <w:tc>
          <w:tcPr>
            <w:tcW w:w="1319" w:type="dxa"/>
            <w:noWrap/>
            <w:hideMark/>
          </w:tcPr>
          <w:p w14:paraId="5F1B5EBB" w14:textId="63D347BA" w:rsidR="00420FE3" w:rsidRPr="00420FE3" w:rsidRDefault="00420FE3" w:rsidP="00420FE3">
            <w:pPr>
              <w:pStyle w:val="Source"/>
              <w:rPr>
                <w:sz w:val="2"/>
                <w:szCs w:val="2"/>
              </w:rPr>
            </w:pPr>
            <w:r w:rsidRPr="00420FE3">
              <w:rPr>
                <w:sz w:val="2"/>
                <w:szCs w:val="2"/>
              </w:rPr>
              <w:t>3.8%</w:t>
            </w:r>
          </w:p>
        </w:tc>
        <w:tc>
          <w:tcPr>
            <w:tcW w:w="545" w:type="dxa"/>
            <w:noWrap/>
            <w:hideMark/>
          </w:tcPr>
          <w:p w14:paraId="380E1270" w14:textId="77777777" w:rsidR="00420FE3" w:rsidRPr="00420FE3" w:rsidRDefault="00420FE3" w:rsidP="00420FE3">
            <w:pPr>
              <w:pStyle w:val="Source"/>
              <w:rPr>
                <w:sz w:val="2"/>
                <w:szCs w:val="2"/>
              </w:rPr>
            </w:pPr>
            <w:r w:rsidRPr="00420FE3">
              <w:rPr>
                <w:sz w:val="2"/>
                <w:szCs w:val="2"/>
              </w:rPr>
              <w:t>1.0%</w:t>
            </w:r>
          </w:p>
        </w:tc>
        <w:tc>
          <w:tcPr>
            <w:tcW w:w="665" w:type="dxa"/>
            <w:noWrap/>
            <w:hideMark/>
          </w:tcPr>
          <w:p w14:paraId="0EE618C0" w14:textId="77777777" w:rsidR="00420FE3" w:rsidRPr="00420FE3" w:rsidRDefault="00420FE3" w:rsidP="00420FE3">
            <w:pPr>
              <w:pStyle w:val="Source"/>
              <w:rPr>
                <w:sz w:val="2"/>
                <w:szCs w:val="2"/>
              </w:rPr>
            </w:pPr>
            <w:r w:rsidRPr="00420FE3">
              <w:rPr>
                <w:sz w:val="2"/>
                <w:szCs w:val="2"/>
              </w:rPr>
              <w:t>4.2%</w:t>
            </w:r>
          </w:p>
        </w:tc>
        <w:tc>
          <w:tcPr>
            <w:tcW w:w="777" w:type="dxa"/>
            <w:noWrap/>
            <w:hideMark/>
          </w:tcPr>
          <w:p w14:paraId="2C502ADC" w14:textId="77777777" w:rsidR="00420FE3" w:rsidRPr="00420FE3" w:rsidRDefault="00420FE3" w:rsidP="00420FE3">
            <w:pPr>
              <w:pStyle w:val="Source"/>
              <w:rPr>
                <w:sz w:val="2"/>
                <w:szCs w:val="2"/>
              </w:rPr>
            </w:pPr>
            <w:r w:rsidRPr="00420FE3">
              <w:rPr>
                <w:sz w:val="2"/>
                <w:szCs w:val="2"/>
              </w:rPr>
              <w:t>1.7%</w:t>
            </w:r>
          </w:p>
        </w:tc>
        <w:tc>
          <w:tcPr>
            <w:tcW w:w="881" w:type="dxa"/>
            <w:noWrap/>
            <w:hideMark/>
          </w:tcPr>
          <w:p w14:paraId="1A88FABD" w14:textId="77777777" w:rsidR="00420FE3" w:rsidRPr="00420FE3" w:rsidRDefault="00420FE3" w:rsidP="00420FE3">
            <w:pPr>
              <w:pStyle w:val="Source"/>
              <w:rPr>
                <w:sz w:val="2"/>
                <w:szCs w:val="2"/>
              </w:rPr>
            </w:pPr>
            <w:r w:rsidRPr="00420FE3">
              <w:rPr>
                <w:sz w:val="2"/>
                <w:szCs w:val="2"/>
              </w:rPr>
              <w:t>2.0%</w:t>
            </w:r>
          </w:p>
        </w:tc>
        <w:tc>
          <w:tcPr>
            <w:tcW w:w="598" w:type="dxa"/>
            <w:noWrap/>
            <w:hideMark/>
          </w:tcPr>
          <w:p w14:paraId="1407DCB6" w14:textId="77777777" w:rsidR="00420FE3" w:rsidRPr="00420FE3" w:rsidRDefault="00420FE3" w:rsidP="00420FE3">
            <w:pPr>
              <w:pStyle w:val="Source"/>
              <w:rPr>
                <w:sz w:val="2"/>
                <w:szCs w:val="2"/>
              </w:rPr>
            </w:pPr>
            <w:r w:rsidRPr="00420FE3">
              <w:rPr>
                <w:sz w:val="2"/>
                <w:szCs w:val="2"/>
              </w:rPr>
              <w:t>6.2%</w:t>
            </w:r>
          </w:p>
        </w:tc>
        <w:tc>
          <w:tcPr>
            <w:tcW w:w="601" w:type="dxa"/>
            <w:noWrap/>
            <w:hideMark/>
          </w:tcPr>
          <w:p w14:paraId="0CAAE080" w14:textId="77777777" w:rsidR="00420FE3" w:rsidRPr="00420FE3" w:rsidRDefault="00420FE3" w:rsidP="00420FE3">
            <w:pPr>
              <w:pStyle w:val="Source"/>
              <w:rPr>
                <w:sz w:val="2"/>
                <w:szCs w:val="2"/>
              </w:rPr>
            </w:pPr>
            <w:r w:rsidRPr="00420FE3">
              <w:rPr>
                <w:sz w:val="2"/>
                <w:szCs w:val="2"/>
              </w:rPr>
              <w:t>14.4%</w:t>
            </w:r>
          </w:p>
        </w:tc>
        <w:tc>
          <w:tcPr>
            <w:tcW w:w="824" w:type="dxa"/>
            <w:noWrap/>
            <w:hideMark/>
          </w:tcPr>
          <w:p w14:paraId="127352B0" w14:textId="77777777" w:rsidR="00420FE3" w:rsidRPr="00420FE3" w:rsidRDefault="00420FE3" w:rsidP="00420FE3">
            <w:pPr>
              <w:pStyle w:val="Source"/>
              <w:rPr>
                <w:sz w:val="2"/>
                <w:szCs w:val="2"/>
              </w:rPr>
            </w:pPr>
            <w:r w:rsidRPr="00420FE3">
              <w:rPr>
                <w:sz w:val="2"/>
                <w:szCs w:val="2"/>
              </w:rPr>
              <w:t>1.2%</w:t>
            </w:r>
          </w:p>
        </w:tc>
        <w:tc>
          <w:tcPr>
            <w:tcW w:w="516" w:type="dxa"/>
            <w:noWrap/>
            <w:hideMark/>
          </w:tcPr>
          <w:p w14:paraId="6D37E8A6" w14:textId="77777777" w:rsidR="00420FE3" w:rsidRPr="00420FE3" w:rsidRDefault="00420FE3" w:rsidP="00420FE3">
            <w:pPr>
              <w:pStyle w:val="Source"/>
              <w:rPr>
                <w:sz w:val="2"/>
                <w:szCs w:val="2"/>
              </w:rPr>
            </w:pPr>
            <w:r w:rsidRPr="00420FE3">
              <w:rPr>
                <w:sz w:val="2"/>
                <w:szCs w:val="2"/>
              </w:rPr>
              <w:t>2.9%</w:t>
            </w:r>
          </w:p>
        </w:tc>
      </w:tr>
      <w:tr w:rsidR="00420FE3" w:rsidRPr="00420FE3" w14:paraId="6A250A1B" w14:textId="77777777" w:rsidTr="00420FE3">
        <w:trPr>
          <w:trHeight w:val="300"/>
          <w:jc w:val="center"/>
        </w:trPr>
        <w:tc>
          <w:tcPr>
            <w:tcW w:w="1560" w:type="dxa"/>
            <w:noWrap/>
            <w:hideMark/>
          </w:tcPr>
          <w:p w14:paraId="3680B2B3" w14:textId="77777777" w:rsidR="00420FE3" w:rsidRPr="00420FE3" w:rsidRDefault="00420FE3" w:rsidP="00420FE3">
            <w:pPr>
              <w:pStyle w:val="Source"/>
              <w:rPr>
                <w:sz w:val="2"/>
                <w:szCs w:val="2"/>
              </w:rPr>
            </w:pPr>
            <w:r w:rsidRPr="00420FE3">
              <w:rPr>
                <w:sz w:val="2"/>
                <w:szCs w:val="2"/>
              </w:rPr>
              <w:t>Early Childhood (Pre-primary School) Teachers</w:t>
            </w:r>
          </w:p>
        </w:tc>
        <w:tc>
          <w:tcPr>
            <w:tcW w:w="1319" w:type="dxa"/>
            <w:noWrap/>
            <w:hideMark/>
          </w:tcPr>
          <w:p w14:paraId="02545D17" w14:textId="77777777" w:rsidR="00420FE3" w:rsidRPr="00420FE3" w:rsidRDefault="00420FE3" w:rsidP="00420FE3">
            <w:pPr>
              <w:pStyle w:val="Source"/>
              <w:rPr>
                <w:sz w:val="2"/>
                <w:szCs w:val="2"/>
              </w:rPr>
            </w:pPr>
            <w:r w:rsidRPr="00420FE3">
              <w:rPr>
                <w:sz w:val="2"/>
                <w:szCs w:val="2"/>
              </w:rPr>
              <w:t>2.3%</w:t>
            </w:r>
          </w:p>
        </w:tc>
        <w:tc>
          <w:tcPr>
            <w:tcW w:w="545" w:type="dxa"/>
            <w:noWrap/>
            <w:hideMark/>
          </w:tcPr>
          <w:p w14:paraId="7983E995" w14:textId="77777777" w:rsidR="00420FE3" w:rsidRPr="00420FE3" w:rsidRDefault="00420FE3" w:rsidP="00420FE3">
            <w:pPr>
              <w:pStyle w:val="Source"/>
              <w:rPr>
                <w:sz w:val="2"/>
                <w:szCs w:val="2"/>
              </w:rPr>
            </w:pPr>
            <w:r w:rsidRPr="00420FE3">
              <w:rPr>
                <w:sz w:val="2"/>
                <w:szCs w:val="2"/>
              </w:rPr>
              <w:t>0.5%</w:t>
            </w:r>
          </w:p>
        </w:tc>
        <w:tc>
          <w:tcPr>
            <w:tcW w:w="665" w:type="dxa"/>
            <w:noWrap/>
            <w:hideMark/>
          </w:tcPr>
          <w:p w14:paraId="54A4FC1B" w14:textId="77777777" w:rsidR="00420FE3" w:rsidRPr="00420FE3" w:rsidRDefault="00420FE3" w:rsidP="00420FE3">
            <w:pPr>
              <w:pStyle w:val="Source"/>
              <w:rPr>
                <w:sz w:val="2"/>
                <w:szCs w:val="2"/>
              </w:rPr>
            </w:pPr>
            <w:r w:rsidRPr="00420FE3">
              <w:rPr>
                <w:sz w:val="2"/>
                <w:szCs w:val="2"/>
              </w:rPr>
              <w:t>2.2%</w:t>
            </w:r>
          </w:p>
        </w:tc>
        <w:tc>
          <w:tcPr>
            <w:tcW w:w="777" w:type="dxa"/>
            <w:noWrap/>
            <w:hideMark/>
          </w:tcPr>
          <w:p w14:paraId="586875D8" w14:textId="77777777" w:rsidR="00420FE3" w:rsidRPr="00420FE3" w:rsidRDefault="00420FE3" w:rsidP="00420FE3">
            <w:pPr>
              <w:pStyle w:val="Source"/>
              <w:rPr>
                <w:sz w:val="2"/>
                <w:szCs w:val="2"/>
              </w:rPr>
            </w:pPr>
            <w:r w:rsidRPr="00420FE3">
              <w:rPr>
                <w:sz w:val="2"/>
                <w:szCs w:val="2"/>
              </w:rPr>
              <w:t>1.5%</w:t>
            </w:r>
          </w:p>
        </w:tc>
        <w:tc>
          <w:tcPr>
            <w:tcW w:w="881" w:type="dxa"/>
            <w:noWrap/>
            <w:hideMark/>
          </w:tcPr>
          <w:p w14:paraId="3A7DB7BC" w14:textId="77777777" w:rsidR="00420FE3" w:rsidRPr="00420FE3" w:rsidRDefault="00420FE3" w:rsidP="00420FE3">
            <w:pPr>
              <w:pStyle w:val="Source"/>
              <w:rPr>
                <w:sz w:val="2"/>
                <w:szCs w:val="2"/>
              </w:rPr>
            </w:pPr>
            <w:r w:rsidRPr="00420FE3">
              <w:rPr>
                <w:sz w:val="2"/>
                <w:szCs w:val="2"/>
              </w:rPr>
              <w:t>1.2%</w:t>
            </w:r>
          </w:p>
        </w:tc>
        <w:tc>
          <w:tcPr>
            <w:tcW w:w="598" w:type="dxa"/>
            <w:noWrap/>
            <w:hideMark/>
          </w:tcPr>
          <w:p w14:paraId="03FE8017" w14:textId="77777777" w:rsidR="00420FE3" w:rsidRPr="00420FE3" w:rsidRDefault="00420FE3" w:rsidP="00420FE3">
            <w:pPr>
              <w:pStyle w:val="Source"/>
              <w:rPr>
                <w:sz w:val="2"/>
                <w:szCs w:val="2"/>
              </w:rPr>
            </w:pPr>
            <w:r w:rsidRPr="00420FE3">
              <w:rPr>
                <w:sz w:val="2"/>
                <w:szCs w:val="2"/>
              </w:rPr>
              <w:t>2.2%</w:t>
            </w:r>
          </w:p>
        </w:tc>
        <w:tc>
          <w:tcPr>
            <w:tcW w:w="601" w:type="dxa"/>
            <w:noWrap/>
            <w:hideMark/>
          </w:tcPr>
          <w:p w14:paraId="5584AF32" w14:textId="77777777" w:rsidR="00420FE3" w:rsidRPr="00420FE3" w:rsidRDefault="00420FE3" w:rsidP="00420FE3">
            <w:pPr>
              <w:pStyle w:val="Source"/>
              <w:rPr>
                <w:sz w:val="2"/>
                <w:szCs w:val="2"/>
              </w:rPr>
            </w:pPr>
            <w:r w:rsidRPr="00420FE3">
              <w:rPr>
                <w:sz w:val="2"/>
                <w:szCs w:val="2"/>
              </w:rPr>
              <w:t>10.9%</w:t>
            </w:r>
          </w:p>
        </w:tc>
        <w:tc>
          <w:tcPr>
            <w:tcW w:w="824" w:type="dxa"/>
            <w:noWrap/>
            <w:hideMark/>
          </w:tcPr>
          <w:p w14:paraId="5E41FDE2" w14:textId="77777777" w:rsidR="00420FE3" w:rsidRPr="00420FE3" w:rsidRDefault="00420FE3" w:rsidP="00420FE3">
            <w:pPr>
              <w:pStyle w:val="Source"/>
              <w:rPr>
                <w:sz w:val="2"/>
                <w:szCs w:val="2"/>
              </w:rPr>
            </w:pPr>
            <w:r w:rsidRPr="00420FE3">
              <w:rPr>
                <w:sz w:val="2"/>
                <w:szCs w:val="2"/>
              </w:rPr>
              <w:t>1.0%</w:t>
            </w:r>
          </w:p>
        </w:tc>
        <w:tc>
          <w:tcPr>
            <w:tcW w:w="516" w:type="dxa"/>
            <w:noWrap/>
            <w:hideMark/>
          </w:tcPr>
          <w:p w14:paraId="24B5B672" w14:textId="77777777" w:rsidR="00420FE3" w:rsidRPr="00420FE3" w:rsidRDefault="00420FE3" w:rsidP="00420FE3">
            <w:pPr>
              <w:pStyle w:val="Source"/>
              <w:rPr>
                <w:sz w:val="2"/>
                <w:szCs w:val="2"/>
              </w:rPr>
            </w:pPr>
            <w:r w:rsidRPr="00420FE3">
              <w:rPr>
                <w:sz w:val="2"/>
                <w:szCs w:val="2"/>
              </w:rPr>
              <w:t>1.7%</w:t>
            </w:r>
          </w:p>
        </w:tc>
      </w:tr>
      <w:tr w:rsidR="00420FE3" w:rsidRPr="00420FE3" w14:paraId="2D7960A9" w14:textId="77777777" w:rsidTr="00420FE3">
        <w:trPr>
          <w:trHeight w:val="300"/>
          <w:jc w:val="center"/>
        </w:trPr>
        <w:tc>
          <w:tcPr>
            <w:tcW w:w="1560" w:type="dxa"/>
            <w:noWrap/>
            <w:hideMark/>
          </w:tcPr>
          <w:p w14:paraId="2A018DB8" w14:textId="77777777" w:rsidR="00420FE3" w:rsidRPr="00420FE3" w:rsidRDefault="00420FE3" w:rsidP="00420FE3">
            <w:pPr>
              <w:pStyle w:val="Source"/>
              <w:rPr>
                <w:sz w:val="2"/>
                <w:szCs w:val="2"/>
              </w:rPr>
            </w:pPr>
            <w:r w:rsidRPr="00420FE3">
              <w:rPr>
                <w:sz w:val="2"/>
                <w:szCs w:val="2"/>
              </w:rPr>
              <w:t>Child Care Centre Managers</w:t>
            </w:r>
          </w:p>
        </w:tc>
        <w:tc>
          <w:tcPr>
            <w:tcW w:w="1319" w:type="dxa"/>
            <w:noWrap/>
            <w:hideMark/>
          </w:tcPr>
          <w:p w14:paraId="18A69281" w14:textId="143AC246" w:rsidR="00420FE3" w:rsidRPr="00420FE3" w:rsidRDefault="00420FE3" w:rsidP="00420FE3">
            <w:pPr>
              <w:pStyle w:val="Source"/>
              <w:rPr>
                <w:sz w:val="2"/>
                <w:szCs w:val="2"/>
              </w:rPr>
            </w:pPr>
            <w:r w:rsidRPr="00420FE3">
              <w:rPr>
                <w:sz w:val="2"/>
                <w:szCs w:val="2"/>
              </w:rPr>
              <w:t>2.5%</w:t>
            </w:r>
          </w:p>
        </w:tc>
        <w:tc>
          <w:tcPr>
            <w:tcW w:w="545" w:type="dxa"/>
            <w:noWrap/>
            <w:hideMark/>
          </w:tcPr>
          <w:p w14:paraId="494F1D5A" w14:textId="77777777" w:rsidR="00420FE3" w:rsidRPr="00420FE3" w:rsidRDefault="00420FE3" w:rsidP="00420FE3">
            <w:pPr>
              <w:pStyle w:val="Source"/>
              <w:rPr>
                <w:sz w:val="2"/>
                <w:szCs w:val="2"/>
              </w:rPr>
            </w:pPr>
            <w:r w:rsidRPr="00420FE3">
              <w:rPr>
                <w:sz w:val="2"/>
                <w:szCs w:val="2"/>
              </w:rPr>
              <w:t>1.0%</w:t>
            </w:r>
          </w:p>
        </w:tc>
        <w:tc>
          <w:tcPr>
            <w:tcW w:w="665" w:type="dxa"/>
            <w:noWrap/>
            <w:hideMark/>
          </w:tcPr>
          <w:p w14:paraId="7B25F243" w14:textId="77777777" w:rsidR="00420FE3" w:rsidRPr="00420FE3" w:rsidRDefault="00420FE3" w:rsidP="00420FE3">
            <w:pPr>
              <w:pStyle w:val="Source"/>
              <w:rPr>
                <w:sz w:val="2"/>
                <w:szCs w:val="2"/>
              </w:rPr>
            </w:pPr>
            <w:r w:rsidRPr="00420FE3">
              <w:rPr>
                <w:sz w:val="2"/>
                <w:szCs w:val="2"/>
              </w:rPr>
              <w:t>3.9%</w:t>
            </w:r>
          </w:p>
        </w:tc>
        <w:tc>
          <w:tcPr>
            <w:tcW w:w="777" w:type="dxa"/>
            <w:noWrap/>
            <w:hideMark/>
          </w:tcPr>
          <w:p w14:paraId="79CBFC1B" w14:textId="77777777" w:rsidR="00420FE3" w:rsidRPr="00420FE3" w:rsidRDefault="00420FE3" w:rsidP="00420FE3">
            <w:pPr>
              <w:pStyle w:val="Source"/>
              <w:rPr>
                <w:sz w:val="2"/>
                <w:szCs w:val="2"/>
              </w:rPr>
            </w:pPr>
            <w:r w:rsidRPr="00420FE3">
              <w:rPr>
                <w:sz w:val="2"/>
                <w:szCs w:val="2"/>
              </w:rPr>
              <w:t>1.0%</w:t>
            </w:r>
          </w:p>
        </w:tc>
        <w:tc>
          <w:tcPr>
            <w:tcW w:w="881" w:type="dxa"/>
            <w:noWrap/>
            <w:hideMark/>
          </w:tcPr>
          <w:p w14:paraId="21939D1C" w14:textId="77777777" w:rsidR="00420FE3" w:rsidRPr="00420FE3" w:rsidRDefault="00420FE3" w:rsidP="00420FE3">
            <w:pPr>
              <w:pStyle w:val="Source"/>
              <w:rPr>
                <w:sz w:val="2"/>
                <w:szCs w:val="2"/>
              </w:rPr>
            </w:pPr>
            <w:r w:rsidRPr="00420FE3">
              <w:rPr>
                <w:sz w:val="2"/>
                <w:szCs w:val="2"/>
              </w:rPr>
              <w:t>1.8%</w:t>
            </w:r>
          </w:p>
        </w:tc>
        <w:tc>
          <w:tcPr>
            <w:tcW w:w="598" w:type="dxa"/>
            <w:noWrap/>
            <w:hideMark/>
          </w:tcPr>
          <w:p w14:paraId="36FEF40B" w14:textId="77777777" w:rsidR="00420FE3" w:rsidRPr="00420FE3" w:rsidRDefault="00420FE3" w:rsidP="00420FE3">
            <w:pPr>
              <w:pStyle w:val="Source"/>
              <w:rPr>
                <w:sz w:val="2"/>
                <w:szCs w:val="2"/>
              </w:rPr>
            </w:pPr>
            <w:r w:rsidRPr="00420FE3">
              <w:rPr>
                <w:sz w:val="2"/>
                <w:szCs w:val="2"/>
              </w:rPr>
              <w:t>5.2%</w:t>
            </w:r>
          </w:p>
        </w:tc>
        <w:tc>
          <w:tcPr>
            <w:tcW w:w="601" w:type="dxa"/>
            <w:noWrap/>
            <w:hideMark/>
          </w:tcPr>
          <w:p w14:paraId="6DE51EAA" w14:textId="77777777" w:rsidR="00420FE3" w:rsidRPr="00420FE3" w:rsidRDefault="00420FE3" w:rsidP="00420FE3">
            <w:pPr>
              <w:pStyle w:val="Source"/>
              <w:rPr>
                <w:sz w:val="2"/>
                <w:szCs w:val="2"/>
              </w:rPr>
            </w:pPr>
            <w:r w:rsidRPr="00420FE3">
              <w:rPr>
                <w:sz w:val="2"/>
                <w:szCs w:val="2"/>
              </w:rPr>
              <w:t>6.8%</w:t>
            </w:r>
          </w:p>
        </w:tc>
        <w:tc>
          <w:tcPr>
            <w:tcW w:w="824" w:type="dxa"/>
            <w:noWrap/>
            <w:hideMark/>
          </w:tcPr>
          <w:p w14:paraId="09D64357" w14:textId="77777777" w:rsidR="00420FE3" w:rsidRPr="00420FE3" w:rsidRDefault="00420FE3" w:rsidP="00420FE3">
            <w:pPr>
              <w:pStyle w:val="Source"/>
              <w:rPr>
                <w:sz w:val="2"/>
                <w:szCs w:val="2"/>
              </w:rPr>
            </w:pPr>
            <w:r w:rsidRPr="00420FE3">
              <w:rPr>
                <w:sz w:val="2"/>
                <w:szCs w:val="2"/>
              </w:rPr>
              <w:t>1.9%</w:t>
            </w:r>
          </w:p>
        </w:tc>
        <w:tc>
          <w:tcPr>
            <w:tcW w:w="516" w:type="dxa"/>
            <w:noWrap/>
            <w:hideMark/>
          </w:tcPr>
          <w:p w14:paraId="7BE22383" w14:textId="77777777" w:rsidR="00420FE3" w:rsidRPr="00420FE3" w:rsidRDefault="00420FE3" w:rsidP="00420FE3">
            <w:pPr>
              <w:pStyle w:val="Source"/>
              <w:rPr>
                <w:sz w:val="2"/>
                <w:szCs w:val="2"/>
              </w:rPr>
            </w:pPr>
            <w:r w:rsidRPr="00420FE3">
              <w:rPr>
                <w:sz w:val="2"/>
                <w:szCs w:val="2"/>
              </w:rPr>
              <w:t>2.5%</w:t>
            </w:r>
          </w:p>
        </w:tc>
      </w:tr>
    </w:tbl>
    <w:p w14:paraId="67EC3A51" w14:textId="37045D23" w:rsidR="00420FE3" w:rsidRDefault="00420FE3" w:rsidP="00887E52">
      <w:pPr>
        <w:pStyle w:val="Source"/>
      </w:pPr>
    </w:p>
    <w:p w14:paraId="6FB961B7" w14:textId="77777777" w:rsidR="00420FE3" w:rsidRDefault="00420FE3" w:rsidP="00887E52">
      <w:pPr>
        <w:pStyle w:val="Source"/>
      </w:pPr>
    </w:p>
    <w:p w14:paraId="6B1A0690" w14:textId="77777777" w:rsidR="00420FE3" w:rsidRDefault="00420FE3" w:rsidP="00887E52">
      <w:pPr>
        <w:pStyle w:val="Source"/>
      </w:pPr>
    </w:p>
    <w:p w14:paraId="5E7CCB2E" w14:textId="77777777" w:rsidR="00420FE3" w:rsidRDefault="00420FE3" w:rsidP="00887E52">
      <w:pPr>
        <w:pStyle w:val="Source"/>
      </w:pPr>
    </w:p>
    <w:p w14:paraId="2AEE4743" w14:textId="77777777" w:rsidR="00420FE3" w:rsidRDefault="00420FE3" w:rsidP="00887E52">
      <w:pPr>
        <w:pStyle w:val="Source"/>
      </w:pPr>
    </w:p>
    <w:p w14:paraId="6C8A39C0" w14:textId="77777777" w:rsidR="00420FE3" w:rsidRDefault="00420FE3" w:rsidP="00887E52">
      <w:pPr>
        <w:pStyle w:val="Source"/>
      </w:pPr>
    </w:p>
    <w:p w14:paraId="73696BBC" w14:textId="77777777" w:rsidR="00420FE3" w:rsidRDefault="00420FE3" w:rsidP="00887E52">
      <w:pPr>
        <w:pStyle w:val="Source"/>
      </w:pPr>
    </w:p>
    <w:p w14:paraId="5D38959F" w14:textId="77777777" w:rsidR="00420FE3" w:rsidRDefault="00420FE3" w:rsidP="00887E52">
      <w:pPr>
        <w:pStyle w:val="Source"/>
      </w:pPr>
    </w:p>
    <w:p w14:paraId="0D44C818" w14:textId="77777777" w:rsidR="00420FE3" w:rsidRDefault="00420FE3" w:rsidP="00887E52">
      <w:pPr>
        <w:pStyle w:val="Source"/>
      </w:pPr>
    </w:p>
    <w:p w14:paraId="449AE33A" w14:textId="77777777" w:rsidR="00420FE3" w:rsidRDefault="00420FE3" w:rsidP="00887E52">
      <w:pPr>
        <w:pStyle w:val="Source"/>
      </w:pPr>
    </w:p>
    <w:p w14:paraId="3761C873" w14:textId="77777777" w:rsidR="00420FE3" w:rsidRDefault="00420FE3" w:rsidP="00887E52">
      <w:pPr>
        <w:pStyle w:val="Source"/>
      </w:pPr>
    </w:p>
    <w:p w14:paraId="4E11A56D" w14:textId="77777777" w:rsidR="00420FE3" w:rsidRDefault="00420FE3" w:rsidP="00887E52">
      <w:pPr>
        <w:pStyle w:val="Source"/>
      </w:pPr>
    </w:p>
    <w:p w14:paraId="398241A9" w14:textId="77777777" w:rsidR="00420FE3" w:rsidRDefault="00420FE3" w:rsidP="00887E52">
      <w:pPr>
        <w:pStyle w:val="Source"/>
      </w:pPr>
    </w:p>
    <w:p w14:paraId="6FD93483" w14:textId="77777777" w:rsidR="00420FE3" w:rsidRDefault="00420FE3" w:rsidP="00887E52">
      <w:pPr>
        <w:pStyle w:val="Source"/>
      </w:pPr>
    </w:p>
    <w:p w14:paraId="476C27F9" w14:textId="77777777" w:rsidR="00420FE3" w:rsidRDefault="00420FE3" w:rsidP="00887E52">
      <w:pPr>
        <w:pStyle w:val="Source"/>
      </w:pPr>
    </w:p>
    <w:p w14:paraId="738B1E8E" w14:textId="77777777" w:rsidR="00420FE3" w:rsidRDefault="00420FE3" w:rsidP="00887E52">
      <w:pPr>
        <w:pStyle w:val="Source"/>
      </w:pPr>
    </w:p>
    <w:p w14:paraId="5BC0392E" w14:textId="77777777" w:rsidR="00420FE3" w:rsidRDefault="00420FE3" w:rsidP="00887E52">
      <w:pPr>
        <w:pStyle w:val="Source"/>
      </w:pPr>
    </w:p>
    <w:p w14:paraId="5E7A6C3E" w14:textId="77777777" w:rsidR="00420FE3" w:rsidRDefault="00420FE3" w:rsidP="00887E52">
      <w:pPr>
        <w:pStyle w:val="Source"/>
      </w:pPr>
    </w:p>
    <w:p w14:paraId="5FC01CCD" w14:textId="77777777" w:rsidR="00420FE3" w:rsidRDefault="00420FE3" w:rsidP="00887E52">
      <w:pPr>
        <w:pStyle w:val="Source"/>
      </w:pPr>
    </w:p>
    <w:p w14:paraId="58CD0CB7" w14:textId="77777777" w:rsidR="00420FE3" w:rsidRDefault="00420FE3" w:rsidP="00887E52">
      <w:pPr>
        <w:pStyle w:val="Source"/>
      </w:pPr>
    </w:p>
    <w:p w14:paraId="03DBDFBD" w14:textId="77777777" w:rsidR="00420FE3" w:rsidRDefault="00420FE3" w:rsidP="00887E52">
      <w:pPr>
        <w:pStyle w:val="Source"/>
      </w:pPr>
    </w:p>
    <w:p w14:paraId="165506F5" w14:textId="77777777" w:rsidR="00420FE3" w:rsidRDefault="00420FE3" w:rsidP="00887E52">
      <w:pPr>
        <w:pStyle w:val="Source"/>
      </w:pPr>
    </w:p>
    <w:p w14:paraId="2F65AC08" w14:textId="41A29C5A" w:rsidR="00F47B0F" w:rsidRPr="00F47B0F" w:rsidRDefault="00F47B0F" w:rsidP="00887E52">
      <w:pPr>
        <w:pStyle w:val="Source"/>
      </w:pPr>
      <w:r w:rsidRPr="00F47B0F">
        <w:t>Source: ABS, Census of Population and Housing, 2021, TableBuilder</w:t>
      </w:r>
    </w:p>
    <w:p w14:paraId="6A8589A4" w14:textId="77777777" w:rsidR="00F47B0F" w:rsidRPr="00F47B0F" w:rsidRDefault="00F47B0F" w:rsidP="00F47B0F">
      <w:pPr>
        <w:pStyle w:val="Heading2"/>
      </w:pPr>
      <w:bookmarkStart w:id="87" w:name="_Toc174363704"/>
      <w:r w:rsidRPr="00F47B0F">
        <w:t>Migration Routes</w:t>
      </w:r>
      <w:bookmarkEnd w:id="87"/>
    </w:p>
    <w:p w14:paraId="1FFE5782" w14:textId="71BFF543" w:rsidR="00F47B0F" w:rsidRPr="00F47B0F" w:rsidRDefault="00F47B0F" w:rsidP="00F47B0F">
      <w:r w:rsidRPr="00F47B0F">
        <w:t>Approximately one third of ECEC educators in the report’s focus occupations were born outside Australia (</w:t>
      </w:r>
      <w:r w:rsidRPr="00F47B0F">
        <w:fldChar w:fldCharType="begin"/>
      </w:r>
      <w:r w:rsidRPr="00F47B0F">
        <w:instrText xml:space="preserve"> REF _Ref169103133 \h </w:instrText>
      </w:r>
      <w:r w:rsidRPr="00F47B0F">
        <w:fldChar w:fldCharType="separate"/>
      </w:r>
      <w:r w:rsidR="005F18C1" w:rsidRPr="00F47B0F">
        <w:t>Table 2.</w:t>
      </w:r>
      <w:r w:rsidR="005F18C1">
        <w:rPr>
          <w:noProof/>
        </w:rPr>
        <w:t>3</w:t>
      </w:r>
      <w:r w:rsidRPr="00F47B0F">
        <w:fldChar w:fldCharType="end"/>
      </w:r>
      <w:r w:rsidRPr="00F47B0F">
        <w:t xml:space="preserve">) and 15% of ECEC workers in focus occupations were not Australian citizens at the time of the 2021 Australian Census. However, there is considerable variation by occupation, including within the ANZSCO </w:t>
      </w:r>
      <w:r w:rsidRPr="00F47B0F">
        <w:rPr>
          <w:i/>
          <w:iCs/>
        </w:rPr>
        <w:t>Child Carer</w:t>
      </w:r>
      <w:r w:rsidRPr="00F47B0F">
        <w:t xml:space="preserve"> categories. </w:t>
      </w:r>
      <w:r w:rsidRPr="00F47B0F">
        <w:fldChar w:fldCharType="begin" w:fldLock="1"/>
      </w:r>
      <w:r w:rsidRPr="00F47B0F">
        <w:instrText xml:space="preserve"> REF _Ref169158046 \h </w:instrText>
      </w:r>
      <w:r w:rsidRPr="00F47B0F">
        <w:fldChar w:fldCharType="separate"/>
      </w:r>
      <w:r w:rsidRPr="00F47B0F">
        <w:t>Figure 2.</w:t>
      </w:r>
      <w:r w:rsidRPr="00F47B0F">
        <w:rPr>
          <w:noProof/>
        </w:rPr>
        <w:t>3</w:t>
      </w:r>
      <w:r w:rsidRPr="00F47B0F">
        <w:fldChar w:fldCharType="end"/>
      </w:r>
      <w:r w:rsidRPr="00F47B0F">
        <w:t xml:space="preserve">, shows that </w:t>
      </w:r>
      <w:r w:rsidRPr="00F47B0F">
        <w:rPr>
          <w:i/>
          <w:iCs/>
        </w:rPr>
        <w:t>Child Care Centre Managers</w:t>
      </w:r>
      <w:r w:rsidRPr="00F47B0F">
        <w:t xml:space="preserve">, </w:t>
      </w:r>
      <w:r w:rsidRPr="00F47B0F">
        <w:rPr>
          <w:i/>
          <w:iCs/>
        </w:rPr>
        <w:t>Preschool Aides</w:t>
      </w:r>
      <w:r w:rsidRPr="00F47B0F">
        <w:t xml:space="preserve"> and </w:t>
      </w:r>
      <w:r w:rsidRPr="00F47B0F">
        <w:rPr>
          <w:i/>
          <w:iCs/>
        </w:rPr>
        <w:t>Out of School Hours Care Workers</w:t>
      </w:r>
      <w:r w:rsidRPr="00F47B0F">
        <w:t xml:space="preserve"> are the most likely to be Australian citizens and born in Australia. </w:t>
      </w:r>
      <w:r w:rsidRPr="00F47B0F">
        <w:rPr>
          <w:i/>
          <w:iCs/>
        </w:rPr>
        <w:t>Nannies</w:t>
      </w:r>
      <w:r w:rsidRPr="00F47B0F">
        <w:t xml:space="preserve"> were the least likely to be Australian citizens and </w:t>
      </w:r>
      <w:r w:rsidRPr="00F47B0F">
        <w:rPr>
          <w:i/>
          <w:iCs/>
        </w:rPr>
        <w:t>Family Day Care Workers</w:t>
      </w:r>
      <w:r w:rsidRPr="00F47B0F">
        <w:t xml:space="preserve"> were the least likely to be an Australian citizen since birth. </w:t>
      </w:r>
    </w:p>
    <w:p w14:paraId="347D8241" w14:textId="77777777" w:rsidR="00420FE3" w:rsidRDefault="00420FE3">
      <w:pPr>
        <w:rPr>
          <w:b/>
          <w:bCs/>
          <w:color w:val="auto"/>
          <w:sz w:val="18"/>
          <w:szCs w:val="18"/>
        </w:rPr>
      </w:pPr>
      <w:bookmarkStart w:id="88" w:name="_Ref169158046"/>
      <w:r>
        <w:br w:type="page"/>
      </w:r>
    </w:p>
    <w:p w14:paraId="7B6FE486" w14:textId="3F5987AB" w:rsidR="00F47B0F" w:rsidRPr="00F47B0F" w:rsidRDefault="00F47B0F" w:rsidP="00887E52">
      <w:pPr>
        <w:pStyle w:val="Caption"/>
      </w:pPr>
      <w:r w:rsidRPr="00F47B0F">
        <w:lastRenderedPageBreak/>
        <w:t>Figure 2</w:t>
      </w:r>
      <w:bookmarkEnd w:id="88"/>
      <w:r w:rsidRPr="00F47B0F">
        <w:t>.</w:t>
      </w:r>
      <w:r w:rsidRPr="00F47B0F">
        <w:fldChar w:fldCharType="begin"/>
      </w:r>
      <w:r w:rsidRPr="00F47B0F">
        <w:instrText xml:space="preserve"> SEQ Figure \* ARABIC \s 1 </w:instrText>
      </w:r>
      <w:r w:rsidRPr="00F47B0F">
        <w:fldChar w:fldCharType="separate"/>
      </w:r>
      <w:r w:rsidR="005F18C1">
        <w:rPr>
          <w:noProof/>
        </w:rPr>
        <w:t>3</w:t>
      </w:r>
      <w:r w:rsidRPr="00F47B0F">
        <w:fldChar w:fldCharType="end"/>
      </w:r>
      <w:r w:rsidRPr="00F47B0F">
        <w:t xml:space="preserve"> Citizenship status and year of arrival by ECEC occupation 2021</w:t>
      </w:r>
      <w:r w:rsidRPr="00F47B0F">
        <w:rPr>
          <w:vertAlign w:val="superscript"/>
        </w:rPr>
        <w:footnoteReference w:id="30"/>
      </w:r>
    </w:p>
    <w:p w14:paraId="0E9EE1C4" w14:textId="77777777" w:rsidR="00F47B0F" w:rsidRPr="00F47B0F" w:rsidRDefault="00F47B0F" w:rsidP="00F47B0F">
      <w:r w:rsidRPr="00F47B0F">
        <w:rPr>
          <w:noProof/>
        </w:rPr>
        <w:drawing>
          <wp:inline distT="0" distB="0" distL="0" distR="0" wp14:anchorId="725D92FA" wp14:editId="77ECBF80">
            <wp:extent cx="5732060" cy="4991100"/>
            <wp:effectExtent l="0" t="0" r="2540" b="0"/>
            <wp:docPr id="1961715069" name="Chart 1" descr="In 2021, across all early childhood education and care occupations, approximately 15% were not an Australian citizen. This varies by occupation. Nannies (18.5%), Child Care Workers (16.6%), Family Day Care Workers (13.8%), Child Carers not further defined (13.6%), Early Childhood Teachers (12.8%), Child Care Centre Managers (8.8%), Out of School Hours Care Workers (7.8%) and Preschool Aides (6.3%) were not Australian citizens. The proportion of Australian citizens since birth varied significantly across occupations. Out of School Hours Care Worker (78.2%), Preschool Aides (75.3%), Child Care Centre Managers (73.5%), Early Childhood Teacher (70.5%), Nannnies (70.2%), Child Carers not further defined (67.6%), Child Care Workers (61.0%) and Family Day Care Workers (41.3%) were Australian citizens since birth. ">
              <a:extLst xmlns:a="http://schemas.openxmlformats.org/drawingml/2006/main">
                <a:ext uri="{FF2B5EF4-FFF2-40B4-BE49-F238E27FC236}">
                  <a16:creationId xmlns:a16="http://schemas.microsoft.com/office/drawing/2014/main" id="{E760F4CF-DBEE-A89A-E9DF-180A54B964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0047E410" w14:textId="77777777" w:rsidR="00F47B0F" w:rsidRPr="00F47B0F" w:rsidRDefault="00F47B0F" w:rsidP="00887E52">
      <w:pPr>
        <w:pStyle w:val="Source"/>
      </w:pPr>
      <w:r w:rsidRPr="00F47B0F">
        <w:t xml:space="preserve">Source: ABS, Census of Australian Population and Housing, 2021, TableBuilder </w:t>
      </w:r>
    </w:p>
    <w:p w14:paraId="6104F4B4" w14:textId="77777777" w:rsidR="00F47B0F" w:rsidRPr="00F47B0F" w:rsidRDefault="00F47B0F" w:rsidP="00F47B0F">
      <w:r w:rsidRPr="00F47B0F">
        <w:fldChar w:fldCharType="begin" w:fldLock="1"/>
      </w:r>
      <w:r w:rsidRPr="00F47B0F">
        <w:instrText xml:space="preserve"> REF _Ref169158088 \h </w:instrText>
      </w:r>
      <w:r w:rsidRPr="00F47B0F">
        <w:fldChar w:fldCharType="separate"/>
      </w:r>
      <w:r w:rsidRPr="00F47B0F">
        <w:t>Figure 2.</w:t>
      </w:r>
      <w:r w:rsidRPr="00F47B0F">
        <w:rPr>
          <w:noProof/>
        </w:rPr>
        <w:t>4</w:t>
      </w:r>
      <w:r w:rsidRPr="00F47B0F">
        <w:fldChar w:fldCharType="end"/>
      </w:r>
      <w:r w:rsidRPr="00F47B0F">
        <w:t xml:space="preserve"> uses data from the linked Census-Migrants dataset to compare the temporary visa arrangements of ECEC staff with the overall temporary migrant workforce. There are some limitations to this analysis given 2021 was heavily impacted by COVID-19 restrictions on entry to Australia. Compared with the overall temporary migrant workforce population, the ECEC workforce has a higher proportion of staff on student visas, graduate visas and temporary activity visas and a lower reliance on skilled migration visas (and workers from New Zealand). </w:t>
      </w:r>
    </w:p>
    <w:p w14:paraId="162C94C1" w14:textId="5FD9B1B6" w:rsidR="00F47B0F" w:rsidRPr="00F47B0F" w:rsidRDefault="00F47B0F" w:rsidP="00887E52">
      <w:pPr>
        <w:pStyle w:val="Caption"/>
      </w:pPr>
      <w:bookmarkStart w:id="89" w:name="_Ref169158088"/>
      <w:r w:rsidRPr="00F47B0F">
        <w:lastRenderedPageBreak/>
        <w:t>Figure 2</w:t>
      </w:r>
      <w:bookmarkEnd w:id="89"/>
      <w:r w:rsidRPr="00F47B0F">
        <w:t>.</w:t>
      </w:r>
      <w:r w:rsidRPr="00F47B0F">
        <w:fldChar w:fldCharType="begin"/>
      </w:r>
      <w:r w:rsidRPr="00F47B0F">
        <w:instrText xml:space="preserve"> SEQ Figure \* ARABIC \s 1 </w:instrText>
      </w:r>
      <w:r w:rsidRPr="00F47B0F">
        <w:fldChar w:fldCharType="separate"/>
      </w:r>
      <w:r w:rsidR="005F18C1">
        <w:rPr>
          <w:noProof/>
        </w:rPr>
        <w:t>4</w:t>
      </w:r>
      <w:r w:rsidRPr="00F47B0F">
        <w:fldChar w:fldCharType="end"/>
      </w:r>
      <w:r w:rsidRPr="00F47B0F">
        <w:t xml:space="preserve"> Visa category for temporary migrants in an ECEC occupation, 2021</w:t>
      </w:r>
      <w:r w:rsidRPr="00F47B0F">
        <w:rPr>
          <w:vertAlign w:val="superscript"/>
        </w:rPr>
        <w:footnoteReference w:id="31"/>
      </w:r>
    </w:p>
    <w:p w14:paraId="47537F8A" w14:textId="77777777" w:rsidR="00F47B0F" w:rsidRPr="00F47B0F" w:rsidRDefault="00F47B0F" w:rsidP="00F47B0F">
      <w:r w:rsidRPr="00F47B0F">
        <w:rPr>
          <w:noProof/>
        </w:rPr>
        <w:drawing>
          <wp:inline distT="0" distB="0" distL="0" distR="0" wp14:anchorId="44048654" wp14:editId="68D6CAD0">
            <wp:extent cx="5904267" cy="3819525"/>
            <wp:effectExtent l="0" t="0" r="1270" b="0"/>
            <wp:docPr id="470666578" name="Picture 2" descr="In 2021, the most common visa category for temporary migrants in all Early Childhood Education and Care occupations were Special Category (34.0%), Student (27.7%) and Bridging (18.7%) visas. Proportions of visa categories was fairly consistent across all occupations, with the exception of Aboriginal and Torres Strait Islander Education Workers (90.3%), Family Day Care Workers (70.6%) and Child Care Centre Managers (57.2%) which had predominately Special Category visas. Child Care Centre Managers (5.1%) and Family Day Care Workers (3.5%) also had a very small propotion of Student visas compared to other early childhood occup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666578" name="Picture 2" descr="In 2021, the most common visa category for temporary migrants in all Early Childhood Education and Care occupations were Special Category (34.0%), Student (27.7%) and Bridging (18.7%) visas. Proportions of visa categories was fairly consistent across all occupations, with the exception of Aboriginal and Torres Strait Islander Education Workers (90.3%), Family Day Care Workers (70.6%) and Child Care Centre Managers (57.2%) which had predominately Special Category visas. Child Care Centre Managers (5.1%) and Family Day Care Workers (3.5%) also had a very small propotion of Student visas compared to other early childhood occupations. "/>
                    <pic:cNvPicPr>
                      <a:picLocks noChangeAspect="1" noChangeArrowheads="1"/>
                    </pic:cNvPicPr>
                  </pic:nvPicPr>
                  <pic:blipFill>
                    <a:blip r:embed="rId80" cstate="screen">
                      <a:extLst>
                        <a:ext uri="{28A0092B-C50C-407E-A947-70E740481C1C}">
                          <a14:useLocalDpi xmlns:a14="http://schemas.microsoft.com/office/drawing/2010/main" val="0"/>
                        </a:ext>
                      </a:extLst>
                    </a:blip>
                    <a:srcRect/>
                    <a:stretch>
                      <a:fillRect/>
                    </a:stretch>
                  </pic:blipFill>
                  <pic:spPr bwMode="auto">
                    <a:xfrm>
                      <a:off x="0" y="0"/>
                      <a:ext cx="5904267" cy="3819525"/>
                    </a:xfrm>
                    <a:prstGeom prst="rect">
                      <a:avLst/>
                    </a:prstGeom>
                    <a:noFill/>
                  </pic:spPr>
                </pic:pic>
              </a:graphicData>
            </a:graphic>
          </wp:inline>
        </w:drawing>
      </w:r>
    </w:p>
    <w:p w14:paraId="69509949" w14:textId="30582AD0" w:rsidR="00F47B0F" w:rsidRPr="00F47B0F" w:rsidRDefault="00F47B0F" w:rsidP="00887E52">
      <w:pPr>
        <w:pStyle w:val="Source"/>
      </w:pPr>
      <w:r w:rsidRPr="00F47B0F">
        <w:t>Source: ABS, Australian Census and Migrants Integrated Dataset (ACMID), 2021, TableBuilder</w:t>
      </w:r>
    </w:p>
    <w:p w14:paraId="541582A6" w14:textId="77777777" w:rsidR="00F47B0F" w:rsidRPr="00F47B0F" w:rsidRDefault="00F47B0F" w:rsidP="00F47B0F">
      <w:pPr>
        <w:rPr>
          <w:rFonts w:cs="Arial"/>
        </w:rPr>
      </w:pPr>
      <w:r w:rsidRPr="00F47B0F">
        <w:rPr>
          <w:rFonts w:cs="Arial"/>
        </w:rPr>
        <w:t xml:space="preserve">The participation of temporary migrants in the ECEC workforce is </w:t>
      </w:r>
      <w:proofErr w:type="gramStart"/>
      <w:r w:rsidRPr="00F47B0F">
        <w:rPr>
          <w:rFonts w:cs="Arial"/>
        </w:rPr>
        <w:t>similar to</w:t>
      </w:r>
      <w:proofErr w:type="gramEnd"/>
      <w:r w:rsidRPr="00F47B0F">
        <w:rPr>
          <w:rFonts w:cs="Arial"/>
        </w:rPr>
        <w:t xml:space="preserve"> the workforce overall. However, there is considerable variation by occupation/service type, with large proportion of </w:t>
      </w:r>
      <w:r w:rsidRPr="00F47B0F">
        <w:rPr>
          <w:rFonts w:cs="Arial"/>
          <w:i/>
          <w:iCs/>
        </w:rPr>
        <w:t>Family Day Care Workers</w:t>
      </w:r>
      <w:r w:rsidRPr="00F47B0F">
        <w:rPr>
          <w:rFonts w:cs="Arial"/>
        </w:rPr>
        <w:t xml:space="preserve"> and</w:t>
      </w:r>
      <w:r w:rsidRPr="00F47B0F">
        <w:rPr>
          <w:rFonts w:cs="Arial"/>
          <w:i/>
          <w:iCs/>
        </w:rPr>
        <w:t xml:space="preserve"> Nannies </w:t>
      </w:r>
      <w:r w:rsidRPr="00F47B0F">
        <w:rPr>
          <w:rFonts w:cs="Arial"/>
        </w:rPr>
        <w:t xml:space="preserve">born outside Australia. </w:t>
      </w:r>
    </w:p>
    <w:p w14:paraId="5842012E" w14:textId="77777777" w:rsidR="00F47B0F" w:rsidRPr="00F47B0F" w:rsidRDefault="00F47B0F" w:rsidP="00F47B0F">
      <w:r w:rsidRPr="00F47B0F">
        <w:t>For educators trained overseas,</w:t>
      </w:r>
      <w:r w:rsidRPr="00F47B0F" w:rsidDel="006855E2">
        <w:t xml:space="preserve"> </w:t>
      </w:r>
      <w:r w:rsidRPr="00F47B0F">
        <w:t>it is a very involved process to work in NQF approved services, without additional local training, due to the complexities around assessments and approval process (ACECQA, 2019). In addition to their visa assessments and approvals, overseas trained educators may also be required to undergo multiple assessment and approval processes. For example, an overseas trained ECT may need to apply to Australian Institute for Teaching and School Leadership (AITSL) for a skills</w:t>
      </w:r>
      <w:r w:rsidRPr="00F47B0F" w:rsidDel="0030470B">
        <w:t xml:space="preserve"> </w:t>
      </w:r>
      <w:r w:rsidRPr="00F47B0F">
        <w:t xml:space="preserve">assessment as an </w:t>
      </w:r>
      <w:r w:rsidRPr="00F47B0F">
        <w:rPr>
          <w:i/>
          <w:iCs/>
        </w:rPr>
        <w:t>Early Childhood (Pre-Primary School) Teacher</w:t>
      </w:r>
      <w:r w:rsidRPr="00F47B0F">
        <w:t xml:space="preserve"> and then apply to the relevant jurisdiction’s regulatory authority for teacher registration.</w:t>
      </w:r>
    </w:p>
    <w:p w14:paraId="77342A9C" w14:textId="77777777" w:rsidR="00F47B0F" w:rsidRPr="00F47B0F" w:rsidRDefault="00F47B0F" w:rsidP="00F47B0F">
      <w:r w:rsidRPr="00F47B0F">
        <w:t xml:space="preserve">The linked ACMID-Census data suggests that the migrant ECEC workforce is well qualified and may be held back from career progression by a lack of recognition for qualifications gained outside Australia. </w:t>
      </w:r>
      <w:r w:rsidRPr="00F47B0F">
        <w:rPr>
          <w:highlight w:val="yellow"/>
        </w:rPr>
        <w:fldChar w:fldCharType="begin" w:fldLock="1"/>
      </w:r>
      <w:r w:rsidRPr="00F47B0F">
        <w:instrText xml:space="preserve"> REF _Ref169158177 \h </w:instrText>
      </w:r>
      <w:r w:rsidRPr="00F47B0F">
        <w:rPr>
          <w:highlight w:val="yellow"/>
        </w:rPr>
      </w:r>
      <w:r w:rsidRPr="00F47B0F">
        <w:rPr>
          <w:highlight w:val="yellow"/>
        </w:rPr>
        <w:fldChar w:fldCharType="separate"/>
      </w:r>
      <w:r w:rsidRPr="00F47B0F">
        <w:t>Figure 2.</w:t>
      </w:r>
      <w:r w:rsidRPr="00F47B0F">
        <w:rPr>
          <w:noProof/>
        </w:rPr>
        <w:t>5</w:t>
      </w:r>
      <w:r w:rsidRPr="00F47B0F">
        <w:rPr>
          <w:highlight w:val="yellow"/>
        </w:rPr>
        <w:fldChar w:fldCharType="end"/>
      </w:r>
      <w:r w:rsidRPr="00F47B0F">
        <w:t xml:space="preserve"> shows 55.7% of migrants working in ECEC hold undergraduate or postgraduate qualifications, much higher than observed for the general ECEC workforce. In particular, a majority of ECEC staff on temporary visa arrangements have at least a </w:t>
      </w:r>
      <w:proofErr w:type="gramStart"/>
      <w:r w:rsidRPr="00F47B0F">
        <w:t>bachelor</w:t>
      </w:r>
      <w:proofErr w:type="gramEnd"/>
      <w:r w:rsidRPr="00F47B0F">
        <w:t xml:space="preserve"> degree or higher. As you’d expect, the majority of temporary migrant </w:t>
      </w:r>
      <w:r w:rsidRPr="00F47B0F">
        <w:rPr>
          <w:i/>
          <w:iCs/>
        </w:rPr>
        <w:t>Early Childhood Teachers</w:t>
      </w:r>
      <w:r w:rsidRPr="00F47B0F">
        <w:t xml:space="preserve"> have a degree with Education as their field of study (81%). However, while half of temporary migrant </w:t>
      </w:r>
      <w:r w:rsidRPr="00F47B0F">
        <w:rPr>
          <w:i/>
          <w:iCs/>
        </w:rPr>
        <w:t>Child Carer Workers</w:t>
      </w:r>
      <w:r w:rsidRPr="00F47B0F">
        <w:t xml:space="preserve"> have a degree, only a minority of such migrant staff report that the field of education of their highest qualification is </w:t>
      </w:r>
      <w:r w:rsidRPr="00F47B0F">
        <w:lastRenderedPageBreak/>
        <w:t>in Education (36%), with the next most common field of education being Management and Commerce (21%) (Source: Australian Census and Migrants Integrated Dataset (ACMID), 2021).</w:t>
      </w:r>
    </w:p>
    <w:p w14:paraId="275387E7" w14:textId="57A220E2" w:rsidR="00F47B0F" w:rsidRPr="00F47B0F" w:rsidRDefault="00F26358" w:rsidP="00887E52">
      <w:pPr>
        <w:pStyle w:val="Caption"/>
      </w:pPr>
      <w:bookmarkStart w:id="90" w:name="_Ref169158177"/>
      <w:r w:rsidRPr="00F47B0F">
        <w:rPr>
          <w:noProof/>
          <w14:ligatures w14:val="standardContextual"/>
        </w:rPr>
        <w:drawing>
          <wp:anchor distT="0" distB="0" distL="114300" distR="114300" simplePos="0" relativeHeight="251707395" behindDoc="0" locked="0" layoutInCell="1" allowOverlap="1" wp14:anchorId="73A12D26" wp14:editId="66B2DB8E">
            <wp:simplePos x="0" y="0"/>
            <wp:positionH relativeFrom="column">
              <wp:posOffset>0</wp:posOffset>
            </wp:positionH>
            <wp:positionV relativeFrom="paragraph">
              <wp:posOffset>311785</wp:posOffset>
            </wp:positionV>
            <wp:extent cx="5984240" cy="3619500"/>
            <wp:effectExtent l="0" t="0" r="16510" b="0"/>
            <wp:wrapNone/>
            <wp:docPr id="69392492" name="Chart 1">
              <a:extLst xmlns:a="http://schemas.openxmlformats.org/drawingml/2006/main">
                <a:ext uri="{FF2B5EF4-FFF2-40B4-BE49-F238E27FC236}">
                  <a16:creationId xmlns:a16="http://schemas.microsoft.com/office/drawing/2014/main" id="{5ACABCF5-AEE1-3320-7C09-FAEDD1072E78}"/>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anchor>
        </w:drawing>
      </w:r>
      <w:r w:rsidR="00F47B0F" w:rsidRPr="00F47B0F">
        <w:t>Figure 2</w:t>
      </w:r>
      <w:bookmarkEnd w:id="90"/>
      <w:r w:rsidR="00F47B0F" w:rsidRPr="00F47B0F">
        <w:t>.</w:t>
      </w:r>
      <w:r w:rsidR="00F47B0F" w:rsidRPr="00F47B0F">
        <w:fldChar w:fldCharType="begin"/>
      </w:r>
      <w:r w:rsidR="00F47B0F" w:rsidRPr="00F47B0F">
        <w:instrText xml:space="preserve"> SEQ Figure \* ARABIC \s 1 </w:instrText>
      </w:r>
      <w:r w:rsidR="00F47B0F" w:rsidRPr="00F47B0F">
        <w:fldChar w:fldCharType="separate"/>
      </w:r>
      <w:r w:rsidR="005F18C1">
        <w:rPr>
          <w:noProof/>
        </w:rPr>
        <w:t>5</w:t>
      </w:r>
      <w:r w:rsidR="00F47B0F" w:rsidRPr="00F47B0F">
        <w:fldChar w:fldCharType="end"/>
      </w:r>
      <w:r w:rsidR="00F47B0F" w:rsidRPr="00F47B0F">
        <w:t xml:space="preserve"> Highest education level for temporary migrants in ECEC occupation, 2021</w:t>
      </w:r>
      <w:r w:rsidR="00F47B0F" w:rsidRPr="00F47B0F">
        <w:rPr>
          <w:vertAlign w:val="superscript"/>
        </w:rPr>
        <w:footnoteReference w:id="32"/>
      </w:r>
    </w:p>
    <w:p w14:paraId="4A916BAE" w14:textId="30DF3897" w:rsidR="00F47B0F" w:rsidRPr="00F47B0F" w:rsidRDefault="00F47B0F" w:rsidP="00F47B0F">
      <w:pPr>
        <w:spacing w:before="120" w:after="120" w:line="264" w:lineRule="auto"/>
        <w:rPr>
          <w:color w:val="auto"/>
        </w:rPr>
      </w:pPr>
    </w:p>
    <w:tbl>
      <w:tblPr>
        <w:tblStyle w:val="Box"/>
        <w:tblW w:w="0" w:type="auto"/>
        <w:jc w:val="center"/>
        <w:tblLook w:val="04A0" w:firstRow="1" w:lastRow="0" w:firstColumn="1" w:lastColumn="0" w:noHBand="0" w:noVBand="1"/>
      </w:tblPr>
      <w:tblGrid>
        <w:gridCol w:w="1664"/>
        <w:gridCol w:w="780"/>
        <w:gridCol w:w="962"/>
        <w:gridCol w:w="539"/>
        <w:gridCol w:w="656"/>
        <w:gridCol w:w="765"/>
        <w:gridCol w:w="868"/>
        <w:gridCol w:w="999"/>
        <w:gridCol w:w="564"/>
        <w:gridCol w:w="667"/>
      </w:tblGrid>
      <w:tr w:rsidR="00F26358" w:rsidRPr="00F26358" w14:paraId="41857DDA" w14:textId="77777777" w:rsidTr="00F26358">
        <w:trPr>
          <w:trHeight w:val="900"/>
          <w:jc w:val="center"/>
        </w:trPr>
        <w:tc>
          <w:tcPr>
            <w:tcW w:w="1664" w:type="dxa"/>
            <w:hideMark/>
          </w:tcPr>
          <w:p w14:paraId="76B363F8" w14:textId="77777777" w:rsidR="00F26358" w:rsidRPr="00F26358" w:rsidRDefault="00F26358" w:rsidP="00F26358">
            <w:pPr>
              <w:pStyle w:val="Source"/>
              <w:rPr>
                <w:sz w:val="2"/>
                <w:szCs w:val="2"/>
              </w:rPr>
            </w:pPr>
          </w:p>
        </w:tc>
        <w:tc>
          <w:tcPr>
            <w:tcW w:w="780" w:type="dxa"/>
            <w:hideMark/>
          </w:tcPr>
          <w:p w14:paraId="5B0F2B09" w14:textId="77777777" w:rsidR="00F26358" w:rsidRPr="00F26358" w:rsidRDefault="00F26358" w:rsidP="00F26358">
            <w:pPr>
              <w:pStyle w:val="Source"/>
              <w:rPr>
                <w:b/>
                <w:bCs/>
                <w:sz w:val="2"/>
                <w:szCs w:val="2"/>
              </w:rPr>
            </w:pPr>
            <w:r w:rsidRPr="00F26358">
              <w:rPr>
                <w:b/>
                <w:bCs/>
                <w:sz w:val="2"/>
                <w:szCs w:val="2"/>
              </w:rPr>
              <w:t>Preschool Aide</w:t>
            </w:r>
          </w:p>
        </w:tc>
        <w:tc>
          <w:tcPr>
            <w:tcW w:w="962" w:type="dxa"/>
            <w:hideMark/>
          </w:tcPr>
          <w:p w14:paraId="6FF2E18B" w14:textId="77777777" w:rsidR="00F26358" w:rsidRPr="00F26358" w:rsidRDefault="00F26358" w:rsidP="00F26358">
            <w:pPr>
              <w:pStyle w:val="Source"/>
              <w:rPr>
                <w:b/>
                <w:bCs/>
                <w:sz w:val="2"/>
                <w:szCs w:val="2"/>
              </w:rPr>
            </w:pPr>
            <w:r w:rsidRPr="00F26358">
              <w:rPr>
                <w:b/>
                <w:bCs/>
                <w:sz w:val="2"/>
                <w:szCs w:val="2"/>
              </w:rPr>
              <w:t>Out of School Hours Care Worker</w:t>
            </w:r>
          </w:p>
        </w:tc>
        <w:tc>
          <w:tcPr>
            <w:tcW w:w="539" w:type="dxa"/>
            <w:hideMark/>
          </w:tcPr>
          <w:p w14:paraId="53C37334" w14:textId="77777777" w:rsidR="00F26358" w:rsidRPr="00F26358" w:rsidRDefault="00F26358" w:rsidP="00F26358">
            <w:pPr>
              <w:pStyle w:val="Source"/>
              <w:rPr>
                <w:b/>
                <w:bCs/>
                <w:sz w:val="2"/>
                <w:szCs w:val="2"/>
              </w:rPr>
            </w:pPr>
            <w:r w:rsidRPr="00F26358">
              <w:rPr>
                <w:b/>
                <w:bCs/>
                <w:sz w:val="2"/>
                <w:szCs w:val="2"/>
              </w:rPr>
              <w:t>Nanny</w:t>
            </w:r>
          </w:p>
        </w:tc>
        <w:tc>
          <w:tcPr>
            <w:tcW w:w="656" w:type="dxa"/>
            <w:hideMark/>
          </w:tcPr>
          <w:p w14:paraId="0C276657" w14:textId="77777777" w:rsidR="00F26358" w:rsidRPr="00F26358" w:rsidRDefault="00F26358" w:rsidP="00F26358">
            <w:pPr>
              <w:pStyle w:val="Source"/>
              <w:rPr>
                <w:b/>
                <w:bCs/>
                <w:sz w:val="2"/>
                <w:szCs w:val="2"/>
              </w:rPr>
            </w:pPr>
            <w:r w:rsidRPr="00F26358">
              <w:rPr>
                <w:b/>
                <w:bCs/>
                <w:sz w:val="2"/>
                <w:szCs w:val="2"/>
              </w:rPr>
              <w:t>Family Day Care Worker</w:t>
            </w:r>
          </w:p>
        </w:tc>
        <w:tc>
          <w:tcPr>
            <w:tcW w:w="765" w:type="dxa"/>
            <w:hideMark/>
          </w:tcPr>
          <w:p w14:paraId="5E8DBFEA" w14:textId="77777777" w:rsidR="00F26358" w:rsidRPr="00F26358" w:rsidRDefault="00F26358" w:rsidP="00F26358">
            <w:pPr>
              <w:pStyle w:val="Source"/>
              <w:rPr>
                <w:b/>
                <w:bCs/>
                <w:sz w:val="2"/>
                <w:szCs w:val="2"/>
              </w:rPr>
            </w:pPr>
            <w:r w:rsidRPr="00F26358">
              <w:rPr>
                <w:b/>
                <w:bCs/>
                <w:sz w:val="2"/>
                <w:szCs w:val="2"/>
              </w:rPr>
              <w:t>Child Care Worker</w:t>
            </w:r>
          </w:p>
        </w:tc>
        <w:tc>
          <w:tcPr>
            <w:tcW w:w="868" w:type="dxa"/>
            <w:hideMark/>
          </w:tcPr>
          <w:p w14:paraId="7F086991" w14:textId="77777777" w:rsidR="00F26358" w:rsidRPr="00F26358" w:rsidRDefault="00F26358" w:rsidP="00F26358">
            <w:pPr>
              <w:pStyle w:val="Source"/>
              <w:rPr>
                <w:b/>
                <w:bCs/>
                <w:sz w:val="2"/>
                <w:szCs w:val="2"/>
              </w:rPr>
            </w:pPr>
            <w:r w:rsidRPr="00F26358">
              <w:rPr>
                <w:b/>
                <w:bCs/>
                <w:sz w:val="2"/>
                <w:szCs w:val="2"/>
              </w:rPr>
              <w:t>Child Carers nfd</w:t>
            </w:r>
          </w:p>
        </w:tc>
        <w:tc>
          <w:tcPr>
            <w:tcW w:w="999" w:type="dxa"/>
            <w:hideMark/>
          </w:tcPr>
          <w:p w14:paraId="00C6DFA8" w14:textId="77777777" w:rsidR="00F26358" w:rsidRPr="00F26358" w:rsidRDefault="00F26358" w:rsidP="00F26358">
            <w:pPr>
              <w:pStyle w:val="Source"/>
              <w:rPr>
                <w:b/>
                <w:bCs/>
                <w:sz w:val="2"/>
                <w:szCs w:val="2"/>
              </w:rPr>
            </w:pPr>
            <w:r w:rsidRPr="00F26358">
              <w:rPr>
                <w:b/>
                <w:bCs/>
                <w:sz w:val="2"/>
                <w:szCs w:val="2"/>
              </w:rPr>
              <w:t>Early Childhood (Pre-primary School) Teacher</w:t>
            </w:r>
          </w:p>
        </w:tc>
        <w:tc>
          <w:tcPr>
            <w:tcW w:w="564" w:type="dxa"/>
            <w:hideMark/>
          </w:tcPr>
          <w:p w14:paraId="687EECCC" w14:textId="77777777" w:rsidR="00F26358" w:rsidRPr="00F26358" w:rsidRDefault="00F26358" w:rsidP="00F26358">
            <w:pPr>
              <w:pStyle w:val="Source"/>
              <w:rPr>
                <w:b/>
                <w:bCs/>
                <w:sz w:val="2"/>
                <w:szCs w:val="2"/>
              </w:rPr>
            </w:pPr>
            <w:r w:rsidRPr="00F26358">
              <w:rPr>
                <w:b/>
                <w:bCs/>
                <w:sz w:val="2"/>
                <w:szCs w:val="2"/>
              </w:rPr>
              <w:t>Child Care Centre Manager</w:t>
            </w:r>
          </w:p>
        </w:tc>
        <w:tc>
          <w:tcPr>
            <w:tcW w:w="667" w:type="dxa"/>
            <w:hideMark/>
          </w:tcPr>
          <w:p w14:paraId="684F33DC" w14:textId="77777777" w:rsidR="00F26358" w:rsidRPr="00F26358" w:rsidRDefault="00F26358" w:rsidP="00F26358">
            <w:pPr>
              <w:pStyle w:val="Source"/>
              <w:rPr>
                <w:b/>
                <w:bCs/>
                <w:sz w:val="2"/>
                <w:szCs w:val="2"/>
              </w:rPr>
            </w:pPr>
            <w:r w:rsidRPr="00F26358">
              <w:rPr>
                <w:b/>
                <w:bCs/>
                <w:sz w:val="2"/>
                <w:szCs w:val="2"/>
              </w:rPr>
              <w:t>All selected ECEC Occupations</w:t>
            </w:r>
          </w:p>
        </w:tc>
      </w:tr>
      <w:tr w:rsidR="00F26358" w:rsidRPr="00F26358" w14:paraId="47F159A9" w14:textId="77777777" w:rsidTr="00F26358">
        <w:trPr>
          <w:trHeight w:val="285"/>
          <w:jc w:val="center"/>
        </w:trPr>
        <w:tc>
          <w:tcPr>
            <w:tcW w:w="1664" w:type="dxa"/>
            <w:noWrap/>
            <w:hideMark/>
          </w:tcPr>
          <w:p w14:paraId="3939E27F" w14:textId="77777777" w:rsidR="00F26358" w:rsidRPr="00F26358" w:rsidRDefault="00F26358" w:rsidP="00F26358">
            <w:pPr>
              <w:pStyle w:val="Source"/>
              <w:rPr>
                <w:sz w:val="2"/>
                <w:szCs w:val="2"/>
              </w:rPr>
            </w:pPr>
            <w:proofErr w:type="gramStart"/>
            <w:r w:rsidRPr="00F26358">
              <w:rPr>
                <w:sz w:val="2"/>
                <w:szCs w:val="2"/>
              </w:rPr>
              <w:t>Bachelor</w:t>
            </w:r>
            <w:proofErr w:type="gramEnd"/>
            <w:r w:rsidRPr="00F26358">
              <w:rPr>
                <w:sz w:val="2"/>
                <w:szCs w:val="2"/>
              </w:rPr>
              <w:t xml:space="preserve"> degree or higher</w:t>
            </w:r>
          </w:p>
        </w:tc>
        <w:tc>
          <w:tcPr>
            <w:tcW w:w="780" w:type="dxa"/>
            <w:noWrap/>
            <w:hideMark/>
          </w:tcPr>
          <w:p w14:paraId="7CB2F4DB" w14:textId="77777777" w:rsidR="00F26358" w:rsidRPr="00F26358" w:rsidRDefault="00F26358" w:rsidP="00F26358">
            <w:pPr>
              <w:pStyle w:val="Source"/>
              <w:rPr>
                <w:sz w:val="2"/>
                <w:szCs w:val="2"/>
              </w:rPr>
            </w:pPr>
            <w:r w:rsidRPr="00F26358">
              <w:rPr>
                <w:sz w:val="2"/>
                <w:szCs w:val="2"/>
              </w:rPr>
              <w:t>42.5%</w:t>
            </w:r>
          </w:p>
        </w:tc>
        <w:tc>
          <w:tcPr>
            <w:tcW w:w="962" w:type="dxa"/>
            <w:noWrap/>
            <w:hideMark/>
          </w:tcPr>
          <w:p w14:paraId="786863C6" w14:textId="77777777" w:rsidR="00F26358" w:rsidRPr="00F26358" w:rsidRDefault="00F26358" w:rsidP="00F26358">
            <w:pPr>
              <w:pStyle w:val="Source"/>
              <w:rPr>
                <w:sz w:val="2"/>
                <w:szCs w:val="2"/>
              </w:rPr>
            </w:pPr>
            <w:r w:rsidRPr="00F26358">
              <w:rPr>
                <w:sz w:val="2"/>
                <w:szCs w:val="2"/>
              </w:rPr>
              <w:t>51.9%</w:t>
            </w:r>
          </w:p>
        </w:tc>
        <w:tc>
          <w:tcPr>
            <w:tcW w:w="539" w:type="dxa"/>
            <w:noWrap/>
            <w:hideMark/>
          </w:tcPr>
          <w:p w14:paraId="57C8AAA0" w14:textId="77777777" w:rsidR="00F26358" w:rsidRPr="00F26358" w:rsidRDefault="00F26358" w:rsidP="00F26358">
            <w:pPr>
              <w:pStyle w:val="Source"/>
              <w:rPr>
                <w:sz w:val="2"/>
                <w:szCs w:val="2"/>
              </w:rPr>
            </w:pPr>
            <w:r w:rsidRPr="00F26358">
              <w:rPr>
                <w:sz w:val="2"/>
                <w:szCs w:val="2"/>
              </w:rPr>
              <w:t>42.2%</w:t>
            </w:r>
          </w:p>
        </w:tc>
        <w:tc>
          <w:tcPr>
            <w:tcW w:w="656" w:type="dxa"/>
            <w:noWrap/>
            <w:hideMark/>
          </w:tcPr>
          <w:p w14:paraId="4846942A" w14:textId="77777777" w:rsidR="00F26358" w:rsidRPr="00F26358" w:rsidRDefault="00F26358" w:rsidP="00F26358">
            <w:pPr>
              <w:pStyle w:val="Source"/>
              <w:rPr>
                <w:sz w:val="2"/>
                <w:szCs w:val="2"/>
              </w:rPr>
            </w:pPr>
            <w:r w:rsidRPr="00F26358">
              <w:rPr>
                <w:sz w:val="2"/>
                <w:szCs w:val="2"/>
              </w:rPr>
              <w:t>30.2%</w:t>
            </w:r>
          </w:p>
        </w:tc>
        <w:tc>
          <w:tcPr>
            <w:tcW w:w="765" w:type="dxa"/>
            <w:noWrap/>
            <w:hideMark/>
          </w:tcPr>
          <w:p w14:paraId="56AEF981" w14:textId="77777777" w:rsidR="00F26358" w:rsidRPr="00F26358" w:rsidRDefault="00F26358" w:rsidP="00F26358">
            <w:pPr>
              <w:pStyle w:val="Source"/>
              <w:rPr>
                <w:sz w:val="2"/>
                <w:szCs w:val="2"/>
              </w:rPr>
            </w:pPr>
            <w:r w:rsidRPr="00F26358">
              <w:rPr>
                <w:sz w:val="2"/>
                <w:szCs w:val="2"/>
              </w:rPr>
              <w:t>52.7%</w:t>
            </w:r>
          </w:p>
        </w:tc>
        <w:tc>
          <w:tcPr>
            <w:tcW w:w="868" w:type="dxa"/>
            <w:noWrap/>
            <w:hideMark/>
          </w:tcPr>
          <w:p w14:paraId="11A6B96F" w14:textId="77777777" w:rsidR="00F26358" w:rsidRPr="00F26358" w:rsidRDefault="00F26358" w:rsidP="00F26358">
            <w:pPr>
              <w:pStyle w:val="Source"/>
              <w:rPr>
                <w:sz w:val="2"/>
                <w:szCs w:val="2"/>
              </w:rPr>
            </w:pPr>
            <w:r w:rsidRPr="00F26358">
              <w:rPr>
                <w:sz w:val="2"/>
                <w:szCs w:val="2"/>
              </w:rPr>
              <w:t>30.1%</w:t>
            </w:r>
          </w:p>
        </w:tc>
        <w:tc>
          <w:tcPr>
            <w:tcW w:w="999" w:type="dxa"/>
            <w:noWrap/>
            <w:hideMark/>
          </w:tcPr>
          <w:p w14:paraId="44249C8F" w14:textId="77777777" w:rsidR="00F26358" w:rsidRPr="00F26358" w:rsidRDefault="00F26358" w:rsidP="00F26358">
            <w:pPr>
              <w:pStyle w:val="Source"/>
              <w:rPr>
                <w:sz w:val="2"/>
                <w:szCs w:val="2"/>
              </w:rPr>
            </w:pPr>
            <w:r w:rsidRPr="00F26358">
              <w:rPr>
                <w:sz w:val="2"/>
                <w:szCs w:val="2"/>
              </w:rPr>
              <w:t>86.5%</w:t>
            </w:r>
          </w:p>
        </w:tc>
        <w:tc>
          <w:tcPr>
            <w:tcW w:w="564" w:type="dxa"/>
            <w:noWrap/>
            <w:hideMark/>
          </w:tcPr>
          <w:p w14:paraId="4B96ED7E" w14:textId="77777777" w:rsidR="00F26358" w:rsidRPr="00F26358" w:rsidRDefault="00F26358" w:rsidP="00F26358">
            <w:pPr>
              <w:pStyle w:val="Source"/>
              <w:rPr>
                <w:sz w:val="2"/>
                <w:szCs w:val="2"/>
              </w:rPr>
            </w:pPr>
            <w:r w:rsidRPr="00F26358">
              <w:rPr>
                <w:sz w:val="2"/>
                <w:szCs w:val="2"/>
              </w:rPr>
              <w:t>62.5%</w:t>
            </w:r>
          </w:p>
        </w:tc>
        <w:tc>
          <w:tcPr>
            <w:tcW w:w="667" w:type="dxa"/>
            <w:noWrap/>
            <w:hideMark/>
          </w:tcPr>
          <w:p w14:paraId="7821E8EA" w14:textId="77777777" w:rsidR="00F26358" w:rsidRPr="00F26358" w:rsidRDefault="00F26358" w:rsidP="00F26358">
            <w:pPr>
              <w:pStyle w:val="Source"/>
              <w:rPr>
                <w:sz w:val="2"/>
                <w:szCs w:val="2"/>
              </w:rPr>
            </w:pPr>
            <w:r w:rsidRPr="00F26358">
              <w:rPr>
                <w:sz w:val="2"/>
                <w:szCs w:val="2"/>
              </w:rPr>
              <w:t>55.7%</w:t>
            </w:r>
          </w:p>
        </w:tc>
      </w:tr>
      <w:tr w:rsidR="00F26358" w:rsidRPr="00F26358" w14:paraId="61BF5DF8" w14:textId="77777777" w:rsidTr="00F26358">
        <w:trPr>
          <w:trHeight w:val="300"/>
          <w:jc w:val="center"/>
        </w:trPr>
        <w:tc>
          <w:tcPr>
            <w:tcW w:w="1664" w:type="dxa"/>
            <w:noWrap/>
            <w:hideMark/>
          </w:tcPr>
          <w:p w14:paraId="11097D97" w14:textId="77777777" w:rsidR="00F26358" w:rsidRPr="00F26358" w:rsidRDefault="00F26358" w:rsidP="00F26358">
            <w:pPr>
              <w:pStyle w:val="Source"/>
              <w:rPr>
                <w:sz w:val="2"/>
                <w:szCs w:val="2"/>
              </w:rPr>
            </w:pPr>
            <w:r w:rsidRPr="00F26358">
              <w:rPr>
                <w:sz w:val="2"/>
                <w:szCs w:val="2"/>
              </w:rPr>
              <w:t>Advanced Diploma and Diploma Level</w:t>
            </w:r>
          </w:p>
        </w:tc>
        <w:tc>
          <w:tcPr>
            <w:tcW w:w="780" w:type="dxa"/>
            <w:noWrap/>
            <w:hideMark/>
          </w:tcPr>
          <w:p w14:paraId="3423D17D" w14:textId="77777777" w:rsidR="00F26358" w:rsidRPr="00F26358" w:rsidRDefault="00F26358" w:rsidP="00F26358">
            <w:pPr>
              <w:pStyle w:val="Source"/>
              <w:rPr>
                <w:sz w:val="2"/>
                <w:szCs w:val="2"/>
              </w:rPr>
            </w:pPr>
            <w:r w:rsidRPr="00F26358">
              <w:rPr>
                <w:sz w:val="2"/>
                <w:szCs w:val="2"/>
              </w:rPr>
              <w:t>16.3%</w:t>
            </w:r>
          </w:p>
        </w:tc>
        <w:tc>
          <w:tcPr>
            <w:tcW w:w="962" w:type="dxa"/>
            <w:noWrap/>
            <w:hideMark/>
          </w:tcPr>
          <w:p w14:paraId="5D2874C3" w14:textId="77777777" w:rsidR="00F26358" w:rsidRPr="00F26358" w:rsidRDefault="00F26358" w:rsidP="00F26358">
            <w:pPr>
              <w:pStyle w:val="Source"/>
              <w:rPr>
                <w:sz w:val="2"/>
                <w:szCs w:val="2"/>
              </w:rPr>
            </w:pPr>
            <w:r w:rsidRPr="00F26358">
              <w:rPr>
                <w:sz w:val="2"/>
                <w:szCs w:val="2"/>
              </w:rPr>
              <w:t>14.5%</w:t>
            </w:r>
          </w:p>
        </w:tc>
        <w:tc>
          <w:tcPr>
            <w:tcW w:w="539" w:type="dxa"/>
            <w:noWrap/>
            <w:hideMark/>
          </w:tcPr>
          <w:p w14:paraId="74143A33" w14:textId="77777777" w:rsidR="00F26358" w:rsidRPr="00F26358" w:rsidRDefault="00F26358" w:rsidP="00F26358">
            <w:pPr>
              <w:pStyle w:val="Source"/>
              <w:rPr>
                <w:sz w:val="2"/>
                <w:szCs w:val="2"/>
              </w:rPr>
            </w:pPr>
            <w:r w:rsidRPr="00F26358">
              <w:rPr>
                <w:sz w:val="2"/>
                <w:szCs w:val="2"/>
              </w:rPr>
              <w:t>15.4%</w:t>
            </w:r>
          </w:p>
        </w:tc>
        <w:tc>
          <w:tcPr>
            <w:tcW w:w="656" w:type="dxa"/>
            <w:noWrap/>
            <w:hideMark/>
          </w:tcPr>
          <w:p w14:paraId="47099CCE" w14:textId="77777777" w:rsidR="00F26358" w:rsidRPr="00F26358" w:rsidRDefault="00F26358" w:rsidP="00F26358">
            <w:pPr>
              <w:pStyle w:val="Source"/>
              <w:rPr>
                <w:sz w:val="2"/>
                <w:szCs w:val="2"/>
              </w:rPr>
            </w:pPr>
            <w:r w:rsidRPr="00F26358">
              <w:rPr>
                <w:sz w:val="2"/>
                <w:szCs w:val="2"/>
              </w:rPr>
              <w:t>30.0%</w:t>
            </w:r>
          </w:p>
        </w:tc>
        <w:tc>
          <w:tcPr>
            <w:tcW w:w="765" w:type="dxa"/>
            <w:noWrap/>
            <w:hideMark/>
          </w:tcPr>
          <w:p w14:paraId="56D1626D" w14:textId="77777777" w:rsidR="00F26358" w:rsidRPr="00F26358" w:rsidRDefault="00F26358" w:rsidP="00F26358">
            <w:pPr>
              <w:pStyle w:val="Source"/>
              <w:rPr>
                <w:sz w:val="2"/>
                <w:szCs w:val="2"/>
              </w:rPr>
            </w:pPr>
            <w:r w:rsidRPr="00F26358">
              <w:rPr>
                <w:sz w:val="2"/>
                <w:szCs w:val="2"/>
              </w:rPr>
              <w:t>23.8%</w:t>
            </w:r>
          </w:p>
        </w:tc>
        <w:tc>
          <w:tcPr>
            <w:tcW w:w="868" w:type="dxa"/>
            <w:noWrap/>
            <w:hideMark/>
          </w:tcPr>
          <w:p w14:paraId="39B9D666" w14:textId="77777777" w:rsidR="00F26358" w:rsidRPr="00F26358" w:rsidRDefault="00F26358" w:rsidP="00F26358">
            <w:pPr>
              <w:pStyle w:val="Source"/>
              <w:rPr>
                <w:sz w:val="2"/>
                <w:szCs w:val="2"/>
              </w:rPr>
            </w:pPr>
            <w:r w:rsidRPr="00F26358">
              <w:rPr>
                <w:sz w:val="2"/>
                <w:szCs w:val="2"/>
              </w:rPr>
              <w:t>26.8%</w:t>
            </w:r>
          </w:p>
        </w:tc>
        <w:tc>
          <w:tcPr>
            <w:tcW w:w="999" w:type="dxa"/>
            <w:noWrap/>
            <w:hideMark/>
          </w:tcPr>
          <w:p w14:paraId="2962E8FD" w14:textId="77777777" w:rsidR="00F26358" w:rsidRPr="00F26358" w:rsidRDefault="00F26358" w:rsidP="00F26358">
            <w:pPr>
              <w:pStyle w:val="Source"/>
              <w:rPr>
                <w:sz w:val="2"/>
                <w:szCs w:val="2"/>
              </w:rPr>
            </w:pPr>
            <w:r w:rsidRPr="00F26358">
              <w:rPr>
                <w:sz w:val="2"/>
                <w:szCs w:val="2"/>
              </w:rPr>
              <w:t>7.3%</w:t>
            </w:r>
          </w:p>
        </w:tc>
        <w:tc>
          <w:tcPr>
            <w:tcW w:w="564" w:type="dxa"/>
            <w:noWrap/>
            <w:hideMark/>
          </w:tcPr>
          <w:p w14:paraId="5290F4E5" w14:textId="77777777" w:rsidR="00F26358" w:rsidRPr="00F26358" w:rsidRDefault="00F26358" w:rsidP="00F26358">
            <w:pPr>
              <w:pStyle w:val="Source"/>
              <w:rPr>
                <w:sz w:val="2"/>
                <w:szCs w:val="2"/>
              </w:rPr>
            </w:pPr>
            <w:r w:rsidRPr="00F26358">
              <w:rPr>
                <w:sz w:val="2"/>
                <w:szCs w:val="2"/>
              </w:rPr>
              <w:t>30.1%</w:t>
            </w:r>
          </w:p>
        </w:tc>
        <w:tc>
          <w:tcPr>
            <w:tcW w:w="667" w:type="dxa"/>
            <w:noWrap/>
            <w:hideMark/>
          </w:tcPr>
          <w:p w14:paraId="1E0FDDDE" w14:textId="77777777" w:rsidR="00F26358" w:rsidRPr="00F26358" w:rsidRDefault="00F26358" w:rsidP="00F26358">
            <w:pPr>
              <w:pStyle w:val="Source"/>
              <w:rPr>
                <w:sz w:val="2"/>
                <w:szCs w:val="2"/>
              </w:rPr>
            </w:pPr>
            <w:r w:rsidRPr="00F26358">
              <w:rPr>
                <w:sz w:val="2"/>
                <w:szCs w:val="2"/>
              </w:rPr>
              <w:t>20.9%</w:t>
            </w:r>
          </w:p>
        </w:tc>
      </w:tr>
      <w:tr w:rsidR="00F26358" w:rsidRPr="00F26358" w14:paraId="0F5D07FF" w14:textId="77777777" w:rsidTr="00F26358">
        <w:trPr>
          <w:trHeight w:val="300"/>
          <w:jc w:val="center"/>
        </w:trPr>
        <w:tc>
          <w:tcPr>
            <w:tcW w:w="1664" w:type="dxa"/>
            <w:noWrap/>
            <w:hideMark/>
          </w:tcPr>
          <w:p w14:paraId="0584E883" w14:textId="77777777" w:rsidR="00F26358" w:rsidRPr="00F26358" w:rsidRDefault="00F26358" w:rsidP="00F26358">
            <w:pPr>
              <w:pStyle w:val="Source"/>
              <w:rPr>
                <w:sz w:val="2"/>
                <w:szCs w:val="2"/>
              </w:rPr>
            </w:pPr>
            <w:proofErr w:type="gramStart"/>
            <w:r w:rsidRPr="00F26358">
              <w:rPr>
                <w:sz w:val="2"/>
                <w:szCs w:val="2"/>
              </w:rPr>
              <w:t>Certificate</w:t>
            </w:r>
            <w:proofErr w:type="gramEnd"/>
            <w:r w:rsidRPr="00F26358">
              <w:rPr>
                <w:sz w:val="2"/>
                <w:szCs w:val="2"/>
              </w:rPr>
              <w:t xml:space="preserve"> III &amp; IV Level</w:t>
            </w:r>
          </w:p>
        </w:tc>
        <w:tc>
          <w:tcPr>
            <w:tcW w:w="780" w:type="dxa"/>
            <w:noWrap/>
            <w:hideMark/>
          </w:tcPr>
          <w:p w14:paraId="56D88EE7" w14:textId="77777777" w:rsidR="00F26358" w:rsidRPr="00F26358" w:rsidRDefault="00F26358" w:rsidP="00F26358">
            <w:pPr>
              <w:pStyle w:val="Source"/>
              <w:rPr>
                <w:sz w:val="2"/>
                <w:szCs w:val="2"/>
              </w:rPr>
            </w:pPr>
            <w:r w:rsidRPr="00F26358">
              <w:rPr>
                <w:sz w:val="2"/>
                <w:szCs w:val="2"/>
              </w:rPr>
              <w:t>21.9%</w:t>
            </w:r>
          </w:p>
        </w:tc>
        <w:tc>
          <w:tcPr>
            <w:tcW w:w="962" w:type="dxa"/>
            <w:noWrap/>
            <w:hideMark/>
          </w:tcPr>
          <w:p w14:paraId="4CEF1F4A" w14:textId="77777777" w:rsidR="00F26358" w:rsidRPr="00F26358" w:rsidRDefault="00F26358" w:rsidP="00F26358">
            <w:pPr>
              <w:pStyle w:val="Source"/>
              <w:rPr>
                <w:sz w:val="2"/>
                <w:szCs w:val="2"/>
              </w:rPr>
            </w:pPr>
            <w:r w:rsidRPr="00F26358">
              <w:rPr>
                <w:sz w:val="2"/>
                <w:szCs w:val="2"/>
              </w:rPr>
              <w:t>10.2%</w:t>
            </w:r>
          </w:p>
        </w:tc>
        <w:tc>
          <w:tcPr>
            <w:tcW w:w="539" w:type="dxa"/>
            <w:noWrap/>
            <w:hideMark/>
          </w:tcPr>
          <w:p w14:paraId="0C903EE4" w14:textId="77777777" w:rsidR="00F26358" w:rsidRPr="00F26358" w:rsidRDefault="00F26358" w:rsidP="00F26358">
            <w:pPr>
              <w:pStyle w:val="Source"/>
              <w:rPr>
                <w:sz w:val="2"/>
                <w:szCs w:val="2"/>
              </w:rPr>
            </w:pPr>
            <w:r w:rsidRPr="00F26358">
              <w:rPr>
                <w:sz w:val="2"/>
                <w:szCs w:val="2"/>
              </w:rPr>
              <w:t>7.6%</w:t>
            </w:r>
          </w:p>
        </w:tc>
        <w:tc>
          <w:tcPr>
            <w:tcW w:w="656" w:type="dxa"/>
            <w:noWrap/>
            <w:hideMark/>
          </w:tcPr>
          <w:p w14:paraId="14C95E9D" w14:textId="77777777" w:rsidR="00F26358" w:rsidRPr="00F26358" w:rsidRDefault="00F26358" w:rsidP="00F26358">
            <w:pPr>
              <w:pStyle w:val="Source"/>
              <w:rPr>
                <w:sz w:val="2"/>
                <w:szCs w:val="2"/>
              </w:rPr>
            </w:pPr>
            <w:r w:rsidRPr="00F26358">
              <w:rPr>
                <w:sz w:val="2"/>
                <w:szCs w:val="2"/>
              </w:rPr>
              <w:t>20.0%</w:t>
            </w:r>
          </w:p>
        </w:tc>
        <w:tc>
          <w:tcPr>
            <w:tcW w:w="765" w:type="dxa"/>
            <w:noWrap/>
            <w:hideMark/>
          </w:tcPr>
          <w:p w14:paraId="0C3F5FD7" w14:textId="77777777" w:rsidR="00F26358" w:rsidRPr="00F26358" w:rsidRDefault="00F26358" w:rsidP="00F26358">
            <w:pPr>
              <w:pStyle w:val="Source"/>
              <w:rPr>
                <w:sz w:val="2"/>
                <w:szCs w:val="2"/>
              </w:rPr>
            </w:pPr>
            <w:r w:rsidRPr="00F26358">
              <w:rPr>
                <w:sz w:val="2"/>
                <w:szCs w:val="2"/>
              </w:rPr>
              <w:t>11.5%</w:t>
            </w:r>
          </w:p>
        </w:tc>
        <w:tc>
          <w:tcPr>
            <w:tcW w:w="868" w:type="dxa"/>
            <w:noWrap/>
            <w:hideMark/>
          </w:tcPr>
          <w:p w14:paraId="764C746C" w14:textId="77777777" w:rsidR="00F26358" w:rsidRPr="00F26358" w:rsidRDefault="00F26358" w:rsidP="00F26358">
            <w:pPr>
              <w:pStyle w:val="Source"/>
              <w:rPr>
                <w:sz w:val="2"/>
                <w:szCs w:val="2"/>
              </w:rPr>
            </w:pPr>
            <w:r w:rsidRPr="00F26358">
              <w:rPr>
                <w:sz w:val="2"/>
                <w:szCs w:val="2"/>
              </w:rPr>
              <w:t>9.7%</w:t>
            </w:r>
          </w:p>
        </w:tc>
        <w:tc>
          <w:tcPr>
            <w:tcW w:w="999" w:type="dxa"/>
            <w:noWrap/>
            <w:hideMark/>
          </w:tcPr>
          <w:p w14:paraId="6E1B51B6" w14:textId="77777777" w:rsidR="00F26358" w:rsidRPr="00F26358" w:rsidRDefault="00F26358" w:rsidP="00F26358">
            <w:pPr>
              <w:pStyle w:val="Source"/>
              <w:rPr>
                <w:sz w:val="2"/>
                <w:szCs w:val="2"/>
              </w:rPr>
            </w:pPr>
            <w:r w:rsidRPr="00F26358">
              <w:rPr>
                <w:sz w:val="2"/>
                <w:szCs w:val="2"/>
              </w:rPr>
              <w:t>2.1%</w:t>
            </w:r>
          </w:p>
        </w:tc>
        <w:tc>
          <w:tcPr>
            <w:tcW w:w="564" w:type="dxa"/>
            <w:noWrap/>
            <w:hideMark/>
          </w:tcPr>
          <w:p w14:paraId="291AA456" w14:textId="77777777" w:rsidR="00F26358" w:rsidRPr="00F26358" w:rsidRDefault="00F26358" w:rsidP="00F26358">
            <w:pPr>
              <w:pStyle w:val="Source"/>
              <w:rPr>
                <w:sz w:val="2"/>
                <w:szCs w:val="2"/>
              </w:rPr>
            </w:pPr>
            <w:r w:rsidRPr="00F26358">
              <w:rPr>
                <w:sz w:val="2"/>
                <w:szCs w:val="2"/>
              </w:rPr>
              <w:t>3.3%</w:t>
            </w:r>
          </w:p>
        </w:tc>
        <w:tc>
          <w:tcPr>
            <w:tcW w:w="667" w:type="dxa"/>
            <w:noWrap/>
            <w:hideMark/>
          </w:tcPr>
          <w:p w14:paraId="7E1F3C66" w14:textId="77777777" w:rsidR="00F26358" w:rsidRPr="00F26358" w:rsidRDefault="00F26358" w:rsidP="00F26358">
            <w:pPr>
              <w:pStyle w:val="Source"/>
              <w:rPr>
                <w:sz w:val="2"/>
                <w:szCs w:val="2"/>
              </w:rPr>
            </w:pPr>
            <w:r w:rsidRPr="00F26358">
              <w:rPr>
                <w:sz w:val="2"/>
                <w:szCs w:val="2"/>
              </w:rPr>
              <w:t>9.6%</w:t>
            </w:r>
          </w:p>
        </w:tc>
      </w:tr>
      <w:tr w:rsidR="00F26358" w:rsidRPr="00F26358" w14:paraId="2185DE98" w14:textId="77777777" w:rsidTr="00F26358">
        <w:trPr>
          <w:trHeight w:val="300"/>
          <w:jc w:val="center"/>
        </w:trPr>
        <w:tc>
          <w:tcPr>
            <w:tcW w:w="1664" w:type="dxa"/>
            <w:noWrap/>
            <w:hideMark/>
          </w:tcPr>
          <w:p w14:paraId="7F088DAF" w14:textId="77777777" w:rsidR="00F26358" w:rsidRPr="00F26358" w:rsidRDefault="00F26358" w:rsidP="00F26358">
            <w:pPr>
              <w:pStyle w:val="Source"/>
              <w:rPr>
                <w:sz w:val="2"/>
                <w:szCs w:val="2"/>
              </w:rPr>
            </w:pPr>
            <w:r w:rsidRPr="00F26358">
              <w:rPr>
                <w:sz w:val="2"/>
                <w:szCs w:val="2"/>
              </w:rPr>
              <w:t>All other education levels (inc not stated)</w:t>
            </w:r>
          </w:p>
        </w:tc>
        <w:tc>
          <w:tcPr>
            <w:tcW w:w="780" w:type="dxa"/>
            <w:noWrap/>
            <w:hideMark/>
          </w:tcPr>
          <w:p w14:paraId="063080CB" w14:textId="77777777" w:rsidR="00F26358" w:rsidRPr="00F26358" w:rsidRDefault="00F26358" w:rsidP="00F26358">
            <w:pPr>
              <w:pStyle w:val="Source"/>
              <w:rPr>
                <w:sz w:val="2"/>
                <w:szCs w:val="2"/>
              </w:rPr>
            </w:pPr>
            <w:r w:rsidRPr="00F26358">
              <w:rPr>
                <w:sz w:val="2"/>
                <w:szCs w:val="2"/>
              </w:rPr>
              <w:t>9.9%</w:t>
            </w:r>
          </w:p>
        </w:tc>
        <w:tc>
          <w:tcPr>
            <w:tcW w:w="962" w:type="dxa"/>
            <w:noWrap/>
            <w:hideMark/>
          </w:tcPr>
          <w:p w14:paraId="0DC995EF" w14:textId="77777777" w:rsidR="00F26358" w:rsidRPr="00F26358" w:rsidRDefault="00F26358" w:rsidP="00F26358">
            <w:pPr>
              <w:pStyle w:val="Source"/>
              <w:rPr>
                <w:sz w:val="2"/>
                <w:szCs w:val="2"/>
              </w:rPr>
            </w:pPr>
            <w:r w:rsidRPr="00F26358">
              <w:rPr>
                <w:sz w:val="2"/>
                <w:szCs w:val="2"/>
              </w:rPr>
              <w:t>23.2%</w:t>
            </w:r>
          </w:p>
        </w:tc>
        <w:tc>
          <w:tcPr>
            <w:tcW w:w="539" w:type="dxa"/>
            <w:noWrap/>
            <w:hideMark/>
          </w:tcPr>
          <w:p w14:paraId="0989AF6B" w14:textId="77777777" w:rsidR="00F26358" w:rsidRPr="00F26358" w:rsidRDefault="00F26358" w:rsidP="00F26358">
            <w:pPr>
              <w:pStyle w:val="Source"/>
              <w:rPr>
                <w:sz w:val="2"/>
                <w:szCs w:val="2"/>
              </w:rPr>
            </w:pPr>
            <w:r w:rsidRPr="00F26358">
              <w:rPr>
                <w:sz w:val="2"/>
                <w:szCs w:val="2"/>
              </w:rPr>
              <w:t>34.9%</w:t>
            </w:r>
          </w:p>
        </w:tc>
        <w:tc>
          <w:tcPr>
            <w:tcW w:w="656" w:type="dxa"/>
            <w:noWrap/>
            <w:hideMark/>
          </w:tcPr>
          <w:p w14:paraId="021B5B31" w14:textId="77777777" w:rsidR="00F26358" w:rsidRPr="00F26358" w:rsidRDefault="00F26358" w:rsidP="00F26358">
            <w:pPr>
              <w:pStyle w:val="Source"/>
              <w:rPr>
                <w:sz w:val="2"/>
                <w:szCs w:val="2"/>
              </w:rPr>
            </w:pPr>
            <w:r w:rsidRPr="00F26358">
              <w:rPr>
                <w:sz w:val="2"/>
                <w:szCs w:val="2"/>
              </w:rPr>
              <w:t>21.5%</w:t>
            </w:r>
          </w:p>
        </w:tc>
        <w:tc>
          <w:tcPr>
            <w:tcW w:w="765" w:type="dxa"/>
            <w:noWrap/>
            <w:hideMark/>
          </w:tcPr>
          <w:p w14:paraId="6E860691" w14:textId="77777777" w:rsidR="00F26358" w:rsidRPr="00F26358" w:rsidRDefault="00F26358" w:rsidP="00F26358">
            <w:pPr>
              <w:pStyle w:val="Source"/>
              <w:rPr>
                <w:sz w:val="2"/>
                <w:szCs w:val="2"/>
              </w:rPr>
            </w:pPr>
            <w:r w:rsidRPr="00F26358">
              <w:rPr>
                <w:sz w:val="2"/>
                <w:szCs w:val="2"/>
              </w:rPr>
              <w:t>12.1%</w:t>
            </w:r>
          </w:p>
        </w:tc>
        <w:tc>
          <w:tcPr>
            <w:tcW w:w="868" w:type="dxa"/>
            <w:noWrap/>
            <w:hideMark/>
          </w:tcPr>
          <w:p w14:paraId="26B6E97B" w14:textId="77777777" w:rsidR="00F26358" w:rsidRPr="00F26358" w:rsidRDefault="00F26358" w:rsidP="00F26358">
            <w:pPr>
              <w:pStyle w:val="Source"/>
              <w:rPr>
                <w:sz w:val="2"/>
                <w:szCs w:val="2"/>
              </w:rPr>
            </w:pPr>
            <w:r w:rsidRPr="00F26358">
              <w:rPr>
                <w:sz w:val="2"/>
                <w:szCs w:val="2"/>
              </w:rPr>
              <w:t>34.7%</w:t>
            </w:r>
          </w:p>
        </w:tc>
        <w:tc>
          <w:tcPr>
            <w:tcW w:w="999" w:type="dxa"/>
            <w:noWrap/>
            <w:hideMark/>
          </w:tcPr>
          <w:p w14:paraId="5227E761" w14:textId="77777777" w:rsidR="00F26358" w:rsidRPr="00F26358" w:rsidRDefault="00F26358" w:rsidP="00F26358">
            <w:pPr>
              <w:pStyle w:val="Source"/>
              <w:rPr>
                <w:sz w:val="2"/>
                <w:szCs w:val="2"/>
              </w:rPr>
            </w:pPr>
            <w:r w:rsidRPr="00F26358">
              <w:rPr>
                <w:sz w:val="2"/>
                <w:szCs w:val="2"/>
              </w:rPr>
              <w:t>4.0%</w:t>
            </w:r>
          </w:p>
        </w:tc>
        <w:tc>
          <w:tcPr>
            <w:tcW w:w="564" w:type="dxa"/>
            <w:noWrap/>
            <w:hideMark/>
          </w:tcPr>
          <w:p w14:paraId="5FE449F4" w14:textId="77777777" w:rsidR="00F26358" w:rsidRPr="00F26358" w:rsidRDefault="00F26358" w:rsidP="00F26358">
            <w:pPr>
              <w:pStyle w:val="Source"/>
              <w:rPr>
                <w:sz w:val="2"/>
                <w:szCs w:val="2"/>
              </w:rPr>
            </w:pPr>
            <w:r w:rsidRPr="00F26358">
              <w:rPr>
                <w:sz w:val="2"/>
                <w:szCs w:val="2"/>
              </w:rPr>
              <w:t>4.8%</w:t>
            </w:r>
          </w:p>
        </w:tc>
        <w:tc>
          <w:tcPr>
            <w:tcW w:w="667" w:type="dxa"/>
            <w:noWrap/>
            <w:hideMark/>
          </w:tcPr>
          <w:p w14:paraId="53F60E0D" w14:textId="77777777" w:rsidR="00F26358" w:rsidRPr="00F26358" w:rsidRDefault="00F26358" w:rsidP="00F26358">
            <w:pPr>
              <w:pStyle w:val="Source"/>
              <w:rPr>
                <w:sz w:val="2"/>
                <w:szCs w:val="2"/>
              </w:rPr>
            </w:pPr>
            <w:r w:rsidRPr="00F26358">
              <w:rPr>
                <w:sz w:val="2"/>
                <w:szCs w:val="2"/>
              </w:rPr>
              <w:t>13.7%</w:t>
            </w:r>
          </w:p>
        </w:tc>
      </w:tr>
    </w:tbl>
    <w:p w14:paraId="61DA1134" w14:textId="77777777" w:rsidR="00F26358" w:rsidRDefault="00F26358" w:rsidP="00887E52">
      <w:pPr>
        <w:pStyle w:val="Source"/>
      </w:pPr>
    </w:p>
    <w:p w14:paraId="08792E6C" w14:textId="77777777" w:rsidR="00F26358" w:rsidRDefault="00F26358" w:rsidP="00887E52">
      <w:pPr>
        <w:pStyle w:val="Source"/>
      </w:pPr>
    </w:p>
    <w:p w14:paraId="2E2DB137" w14:textId="77777777" w:rsidR="00F26358" w:rsidRDefault="00F26358" w:rsidP="00887E52">
      <w:pPr>
        <w:pStyle w:val="Source"/>
      </w:pPr>
    </w:p>
    <w:p w14:paraId="1B06F4ED" w14:textId="77777777" w:rsidR="00F26358" w:rsidRDefault="00F26358" w:rsidP="00887E52">
      <w:pPr>
        <w:pStyle w:val="Source"/>
      </w:pPr>
    </w:p>
    <w:p w14:paraId="0E1C1D88" w14:textId="77777777" w:rsidR="00F26358" w:rsidRDefault="00F26358" w:rsidP="00887E52">
      <w:pPr>
        <w:pStyle w:val="Source"/>
      </w:pPr>
    </w:p>
    <w:p w14:paraId="55A1500D" w14:textId="77777777" w:rsidR="00F26358" w:rsidRDefault="00F26358" w:rsidP="00887E52">
      <w:pPr>
        <w:pStyle w:val="Source"/>
      </w:pPr>
    </w:p>
    <w:p w14:paraId="275F7C85" w14:textId="77777777" w:rsidR="00F26358" w:rsidRDefault="00F26358" w:rsidP="00887E52">
      <w:pPr>
        <w:pStyle w:val="Source"/>
      </w:pPr>
    </w:p>
    <w:p w14:paraId="3B560C13" w14:textId="77777777" w:rsidR="00F26358" w:rsidRDefault="00F26358" w:rsidP="00887E52">
      <w:pPr>
        <w:pStyle w:val="Source"/>
      </w:pPr>
    </w:p>
    <w:p w14:paraId="523948C9" w14:textId="77777777" w:rsidR="00F26358" w:rsidRDefault="00F26358" w:rsidP="00887E52">
      <w:pPr>
        <w:pStyle w:val="Source"/>
      </w:pPr>
    </w:p>
    <w:p w14:paraId="47DCC5FB" w14:textId="14CA5613" w:rsidR="00F47B0F" w:rsidRPr="00F47B0F" w:rsidRDefault="00F47B0F" w:rsidP="00887E52">
      <w:pPr>
        <w:pStyle w:val="Source"/>
      </w:pPr>
      <w:r w:rsidRPr="00F47B0F">
        <w:t>Source: ABS, Australian Census and Migrants Integrated Dataset (ACMID), 2021, TableBuilder</w:t>
      </w:r>
    </w:p>
    <w:p w14:paraId="7BA40ADE" w14:textId="77777777" w:rsidR="00F47B0F" w:rsidRPr="00F47B0F" w:rsidRDefault="00F47B0F" w:rsidP="00F47B0F">
      <w:r w:rsidRPr="00F47B0F">
        <w:t>In their consultation paper submitted to JSA, the Australian Childcare Alliance observed some difficulties and barriers migrants face with visas and having their prior overseas qualifications recognised, which is reflective of the above Census data:</w:t>
      </w:r>
    </w:p>
    <w:p w14:paraId="5F41DAF0" w14:textId="77777777" w:rsidR="00F47B0F" w:rsidRPr="00F47B0F" w:rsidRDefault="00F47B0F" w:rsidP="00846EE4">
      <w:pPr>
        <w:pStyle w:val="IntenseQuote"/>
        <w:rPr>
          <w:lang w:val="en-US"/>
        </w:rPr>
      </w:pPr>
      <w:r w:rsidRPr="00F47B0F">
        <w:rPr>
          <w:lang w:val="en-US"/>
        </w:rPr>
        <w:t xml:space="preserve">There are range of challenges in creating a culturally diverse ECEC workforce, particularly for migrants to Australia who would like to work in the ECEC sector, or currently work in the sector but need visa extensions or their previous studies recognised </w:t>
      </w:r>
      <w:proofErr w:type="gramStart"/>
      <w:r w:rsidRPr="00F47B0F">
        <w:rPr>
          <w:lang w:val="en-US"/>
        </w:rPr>
        <w:t>in order to</w:t>
      </w:r>
      <w:proofErr w:type="gramEnd"/>
      <w:r w:rsidRPr="00F47B0F">
        <w:rPr>
          <w:lang w:val="en-US"/>
        </w:rPr>
        <w:t xml:space="preserve"> fulfil more senior roles. Currently, 28% of staff working in ECEC services across Australia are migrants obtaining visas, with many ECEC roles not recognised under the Skilled Migration List having their prior ECEC skills and qualification recognised equally and consistently across all states and territories. (Submission 25 – ACA) </w:t>
      </w:r>
    </w:p>
    <w:p w14:paraId="7C78FF6D" w14:textId="77777777" w:rsidR="00F47B0F" w:rsidRPr="00F47B0F" w:rsidRDefault="00F47B0F" w:rsidP="00F47B0F">
      <w:pPr>
        <w:pStyle w:val="Heading2"/>
      </w:pPr>
      <w:bookmarkStart w:id="91" w:name="_Toc174363705"/>
      <w:r w:rsidRPr="00F47B0F">
        <w:lastRenderedPageBreak/>
        <w:t>Remuneration and Other Employment Conditions</w:t>
      </w:r>
      <w:bookmarkEnd w:id="91"/>
      <w:r w:rsidRPr="00F47B0F">
        <w:t> </w:t>
      </w:r>
    </w:p>
    <w:p w14:paraId="48EBFB6C" w14:textId="77777777" w:rsidR="00F47B0F" w:rsidRPr="00F47B0F" w:rsidRDefault="00F47B0F" w:rsidP="00F47B0F">
      <w:pPr>
        <w:rPr>
          <w:rFonts w:eastAsiaTheme="minorEastAsia" w:cs="Arial"/>
        </w:rPr>
      </w:pPr>
      <w:r w:rsidRPr="00F47B0F">
        <w:rPr>
          <w:rFonts w:eastAsia="Arial" w:cs="Arial"/>
        </w:rPr>
        <w:fldChar w:fldCharType="begin" w:fldLock="1"/>
      </w:r>
      <w:r w:rsidRPr="00F47B0F">
        <w:rPr>
          <w:rFonts w:eastAsia="Arial" w:cs="Arial"/>
        </w:rPr>
        <w:instrText xml:space="preserve"> REF _Ref169103220 \h </w:instrText>
      </w:r>
      <w:r w:rsidRPr="00F47B0F">
        <w:rPr>
          <w:rFonts w:eastAsia="Arial" w:cs="Arial"/>
        </w:rPr>
      </w:r>
      <w:r w:rsidRPr="00F47B0F">
        <w:rPr>
          <w:rFonts w:eastAsia="Arial" w:cs="Arial"/>
        </w:rPr>
        <w:fldChar w:fldCharType="separate"/>
      </w:r>
      <w:r w:rsidRPr="00F47B0F">
        <w:t>Table 2.</w:t>
      </w:r>
      <w:r w:rsidRPr="00F47B0F">
        <w:rPr>
          <w:noProof/>
        </w:rPr>
        <w:t>4</w:t>
      </w:r>
      <w:r w:rsidRPr="00F47B0F">
        <w:rPr>
          <w:rFonts w:eastAsia="Arial" w:cs="Arial"/>
        </w:rPr>
        <w:fldChar w:fldCharType="end"/>
      </w:r>
      <w:r w:rsidRPr="00F47B0F">
        <w:rPr>
          <w:rFonts w:eastAsia="Arial" w:cs="Arial"/>
        </w:rPr>
        <w:t xml:space="preserve"> provide</w:t>
      </w:r>
      <w:r w:rsidRPr="00F47B0F">
        <w:rPr>
          <w:rFonts w:eastAsiaTheme="minorEastAsia" w:cs="Arial"/>
        </w:rPr>
        <w:t>s an overview of employment conditions by each 4-digit ECEC occupation compared to all occupations. It shows significant differences between ECEC occupations and all occupations, except for casual employment.</w:t>
      </w:r>
    </w:p>
    <w:p w14:paraId="20193DC5" w14:textId="12B7F1F7" w:rsidR="00F47B0F" w:rsidRPr="00F47B0F" w:rsidRDefault="00F47B0F" w:rsidP="00887E52">
      <w:pPr>
        <w:pStyle w:val="Caption"/>
        <w:rPr>
          <w:rFonts w:eastAsiaTheme="minorEastAsia" w:cs="Arial"/>
        </w:rPr>
      </w:pPr>
      <w:bookmarkStart w:id="92" w:name="_Ref169103220"/>
      <w:r w:rsidRPr="00F47B0F">
        <w:t>Table 2</w:t>
      </w:r>
      <w:bookmarkEnd w:id="92"/>
      <w:r w:rsidRPr="00F47B0F">
        <w:t>.</w:t>
      </w:r>
      <w:r w:rsidRPr="00F47B0F">
        <w:fldChar w:fldCharType="begin"/>
      </w:r>
      <w:r w:rsidRPr="00F47B0F">
        <w:instrText xml:space="preserve"> SEQ Table \* ARABIC \s 1 </w:instrText>
      </w:r>
      <w:r w:rsidRPr="00F47B0F">
        <w:fldChar w:fldCharType="separate"/>
      </w:r>
      <w:r w:rsidR="005F18C1">
        <w:rPr>
          <w:noProof/>
        </w:rPr>
        <w:t>4</w:t>
      </w:r>
      <w:r w:rsidRPr="00F47B0F">
        <w:fldChar w:fldCharType="end"/>
      </w:r>
      <w:r w:rsidRPr="00F47B0F">
        <w:t xml:space="preserve"> Employment conditions by occupation, 2023</w:t>
      </w:r>
    </w:p>
    <w:tbl>
      <w:tblPr>
        <w:tblStyle w:val="JSATable1"/>
        <w:tblW w:w="0" w:type="auto"/>
        <w:tblLayout w:type="fixed"/>
        <w:tblLook w:val="04A0" w:firstRow="1" w:lastRow="0" w:firstColumn="1" w:lastColumn="0" w:noHBand="0" w:noVBand="1"/>
      </w:tblPr>
      <w:tblGrid>
        <w:gridCol w:w="1468"/>
        <w:gridCol w:w="900"/>
        <w:gridCol w:w="1178"/>
        <w:gridCol w:w="1247"/>
        <w:gridCol w:w="1204"/>
        <w:gridCol w:w="1469"/>
        <w:gridCol w:w="1560"/>
      </w:tblGrid>
      <w:tr w:rsidR="00F47B0F" w:rsidRPr="00F47B0F" w14:paraId="7B6FF300" w14:textId="77777777" w:rsidTr="005F6ADC">
        <w:trPr>
          <w:cnfStyle w:val="100000000000" w:firstRow="1" w:lastRow="0" w:firstColumn="0" w:lastColumn="0" w:oddVBand="0" w:evenVBand="0" w:oddHBand="0" w:evenHBand="0" w:firstRowFirstColumn="0" w:firstRowLastColumn="0" w:lastRowFirstColumn="0" w:lastRowLastColumn="0"/>
          <w:trHeight w:val="340"/>
          <w:tblHeader/>
        </w:trPr>
        <w:tc>
          <w:tcPr>
            <w:tcW w:w="1468" w:type="dxa"/>
          </w:tcPr>
          <w:p w14:paraId="036378C0" w14:textId="77777777" w:rsidR="00F47B0F" w:rsidRPr="00F47B0F" w:rsidRDefault="00F47B0F" w:rsidP="00F47B0F">
            <w:pPr>
              <w:rPr>
                <w:b/>
                <w:bCs/>
                <w:color w:val="FFFFFF" w:themeColor="background1"/>
                <w:sz w:val="20"/>
                <w:szCs w:val="20"/>
              </w:rPr>
            </w:pPr>
          </w:p>
        </w:tc>
        <w:tc>
          <w:tcPr>
            <w:tcW w:w="900" w:type="dxa"/>
          </w:tcPr>
          <w:p w14:paraId="1A1C0A7C" w14:textId="77777777" w:rsidR="00F47B0F" w:rsidRPr="00F47B0F" w:rsidRDefault="00F47B0F" w:rsidP="00F47B0F">
            <w:pPr>
              <w:rPr>
                <w:b/>
                <w:bCs/>
                <w:color w:val="FFFFFF" w:themeColor="background1"/>
                <w:sz w:val="14"/>
                <w:szCs w:val="14"/>
              </w:rPr>
            </w:pPr>
            <w:r w:rsidRPr="00F47B0F">
              <w:rPr>
                <w:b/>
                <w:bCs/>
                <w:color w:val="FFFFFF" w:themeColor="background1"/>
                <w:sz w:val="20"/>
                <w:szCs w:val="20"/>
              </w:rPr>
              <w:t>4</w:t>
            </w:r>
            <w:r w:rsidRPr="00F47B0F">
              <w:rPr>
                <w:b/>
                <w:bCs/>
                <w:color w:val="FFFFFF" w:themeColor="background1"/>
              </w:rPr>
              <w:t>211</w:t>
            </w:r>
          </w:p>
          <w:p w14:paraId="40CAFB62" w14:textId="77777777" w:rsidR="00F47B0F" w:rsidRPr="00F47B0F" w:rsidRDefault="00F47B0F" w:rsidP="00F47B0F">
            <w:pPr>
              <w:rPr>
                <w:b/>
                <w:bCs/>
                <w:color w:val="FFFFFF" w:themeColor="background1"/>
                <w:sz w:val="14"/>
                <w:szCs w:val="14"/>
              </w:rPr>
            </w:pPr>
            <w:r w:rsidRPr="00F47B0F">
              <w:rPr>
                <w:b/>
                <w:bCs/>
                <w:color w:val="FFFFFF" w:themeColor="background1"/>
                <w:sz w:val="14"/>
                <w:szCs w:val="14"/>
              </w:rPr>
              <w:t>Child Carers</w:t>
            </w:r>
          </w:p>
        </w:tc>
        <w:tc>
          <w:tcPr>
            <w:tcW w:w="1178" w:type="dxa"/>
          </w:tcPr>
          <w:p w14:paraId="461AAB41" w14:textId="77777777" w:rsidR="00F47B0F" w:rsidRPr="00F47B0F" w:rsidRDefault="00F47B0F" w:rsidP="00F47B0F">
            <w:pPr>
              <w:rPr>
                <w:b/>
                <w:bCs/>
                <w:color w:val="FFFFFF" w:themeColor="background1"/>
                <w:sz w:val="20"/>
                <w:szCs w:val="20"/>
              </w:rPr>
            </w:pPr>
            <w:r w:rsidRPr="00F47B0F">
              <w:rPr>
                <w:b/>
                <w:bCs/>
                <w:color w:val="FFFFFF" w:themeColor="background1"/>
                <w:sz w:val="20"/>
                <w:szCs w:val="20"/>
              </w:rPr>
              <w:t>4</w:t>
            </w:r>
            <w:r w:rsidRPr="00F47B0F">
              <w:rPr>
                <w:b/>
                <w:bCs/>
                <w:color w:val="FFFFFF" w:themeColor="background1"/>
              </w:rPr>
              <w:t>221</w:t>
            </w:r>
          </w:p>
          <w:p w14:paraId="0828AF7D" w14:textId="77777777" w:rsidR="00F47B0F" w:rsidRPr="00F47B0F" w:rsidRDefault="00F47B0F" w:rsidP="00F47B0F">
            <w:pPr>
              <w:rPr>
                <w:b/>
                <w:bCs/>
                <w:color w:val="FFFFFF" w:themeColor="background1"/>
              </w:rPr>
            </w:pPr>
            <w:r w:rsidRPr="00F47B0F">
              <w:rPr>
                <w:b/>
                <w:bCs/>
                <w:color w:val="FFFFFF" w:themeColor="background1"/>
                <w:sz w:val="14"/>
                <w:szCs w:val="14"/>
              </w:rPr>
              <w:t>Education Aides</w:t>
            </w:r>
          </w:p>
        </w:tc>
        <w:tc>
          <w:tcPr>
            <w:tcW w:w="1247" w:type="dxa"/>
          </w:tcPr>
          <w:p w14:paraId="1BE0FDD8" w14:textId="77777777" w:rsidR="00F47B0F" w:rsidRPr="00F47B0F" w:rsidRDefault="00F47B0F" w:rsidP="00F47B0F">
            <w:pPr>
              <w:rPr>
                <w:b/>
                <w:bCs/>
                <w:color w:val="FFFFFF" w:themeColor="background1"/>
                <w:sz w:val="20"/>
                <w:szCs w:val="20"/>
              </w:rPr>
            </w:pPr>
            <w:r w:rsidRPr="00F47B0F">
              <w:rPr>
                <w:b/>
                <w:bCs/>
                <w:color w:val="FFFFFF" w:themeColor="background1"/>
                <w:sz w:val="20"/>
                <w:szCs w:val="20"/>
              </w:rPr>
              <w:t xml:space="preserve">2411 </w:t>
            </w:r>
          </w:p>
          <w:p w14:paraId="2176FA1F" w14:textId="77777777" w:rsidR="00F47B0F" w:rsidRPr="00F47B0F" w:rsidRDefault="00F47B0F" w:rsidP="00F47B0F">
            <w:pPr>
              <w:rPr>
                <w:b/>
                <w:bCs/>
                <w:color w:val="FFFFFF" w:themeColor="background1"/>
                <w:sz w:val="20"/>
                <w:szCs w:val="20"/>
              </w:rPr>
            </w:pPr>
            <w:r w:rsidRPr="00F47B0F">
              <w:rPr>
                <w:b/>
                <w:bCs/>
                <w:color w:val="FFFFFF" w:themeColor="background1"/>
                <w:sz w:val="14"/>
                <w:szCs w:val="14"/>
              </w:rPr>
              <w:t>Early Childhood (Pre-primary School) Teachers</w:t>
            </w:r>
          </w:p>
        </w:tc>
        <w:tc>
          <w:tcPr>
            <w:tcW w:w="1204" w:type="dxa"/>
          </w:tcPr>
          <w:p w14:paraId="6C664902" w14:textId="77777777" w:rsidR="00F47B0F" w:rsidRPr="00F47B0F" w:rsidRDefault="00F47B0F" w:rsidP="00F47B0F">
            <w:pPr>
              <w:rPr>
                <w:b/>
                <w:bCs/>
                <w:color w:val="FFFFFF" w:themeColor="background1"/>
                <w:sz w:val="20"/>
                <w:szCs w:val="20"/>
              </w:rPr>
            </w:pPr>
            <w:r w:rsidRPr="00F47B0F">
              <w:rPr>
                <w:b/>
                <w:bCs/>
                <w:color w:val="FFFFFF" w:themeColor="background1"/>
                <w:sz w:val="20"/>
                <w:szCs w:val="20"/>
              </w:rPr>
              <w:t>1341</w:t>
            </w:r>
          </w:p>
          <w:p w14:paraId="2B0BB216" w14:textId="77777777" w:rsidR="00F47B0F" w:rsidRPr="00F47B0F" w:rsidRDefault="00F47B0F" w:rsidP="00F47B0F">
            <w:pPr>
              <w:rPr>
                <w:b/>
                <w:bCs/>
                <w:color w:val="FFFFFF" w:themeColor="background1"/>
                <w:sz w:val="20"/>
                <w:szCs w:val="20"/>
              </w:rPr>
            </w:pPr>
            <w:r w:rsidRPr="00F47B0F">
              <w:rPr>
                <w:b/>
                <w:bCs/>
                <w:color w:val="FFFFFF" w:themeColor="background1"/>
                <w:sz w:val="14"/>
                <w:szCs w:val="14"/>
              </w:rPr>
              <w:t>Child Care Centre Managers</w:t>
            </w:r>
          </w:p>
        </w:tc>
        <w:tc>
          <w:tcPr>
            <w:tcW w:w="1469" w:type="dxa"/>
          </w:tcPr>
          <w:p w14:paraId="7ABBC03E" w14:textId="77777777" w:rsidR="00F47B0F" w:rsidRPr="00F47B0F" w:rsidRDefault="00F47B0F" w:rsidP="00F47B0F">
            <w:pPr>
              <w:rPr>
                <w:b/>
                <w:bCs/>
                <w:color w:val="FFFFFF" w:themeColor="background1"/>
                <w:sz w:val="20"/>
                <w:szCs w:val="20"/>
              </w:rPr>
            </w:pPr>
            <w:r w:rsidRPr="00F47B0F">
              <w:rPr>
                <w:b/>
                <w:bCs/>
                <w:color w:val="FFFFFF" w:themeColor="background1"/>
                <w:sz w:val="20"/>
                <w:szCs w:val="20"/>
              </w:rPr>
              <w:t>Total ECEC Occupation</w:t>
            </w:r>
          </w:p>
        </w:tc>
        <w:tc>
          <w:tcPr>
            <w:tcW w:w="1560" w:type="dxa"/>
          </w:tcPr>
          <w:p w14:paraId="0FCB0AF4" w14:textId="77777777" w:rsidR="00F47B0F" w:rsidRPr="00F47B0F" w:rsidRDefault="00F47B0F" w:rsidP="00F47B0F">
            <w:pPr>
              <w:rPr>
                <w:b/>
                <w:bCs/>
                <w:color w:val="FFFFFF" w:themeColor="background1"/>
                <w:sz w:val="20"/>
                <w:szCs w:val="20"/>
              </w:rPr>
            </w:pPr>
            <w:r w:rsidRPr="00F47B0F">
              <w:rPr>
                <w:b/>
                <w:bCs/>
                <w:color w:val="FFFFFF" w:themeColor="background1"/>
                <w:sz w:val="20"/>
                <w:szCs w:val="20"/>
              </w:rPr>
              <w:t>All Occupations</w:t>
            </w:r>
          </w:p>
        </w:tc>
      </w:tr>
      <w:tr w:rsidR="00F47B0F" w:rsidRPr="00F47B0F" w14:paraId="73E21A08" w14:textId="77777777" w:rsidTr="005F6ADC">
        <w:trPr>
          <w:trHeight w:val="230"/>
        </w:trPr>
        <w:tc>
          <w:tcPr>
            <w:tcW w:w="1468" w:type="dxa"/>
          </w:tcPr>
          <w:p w14:paraId="10CA4854" w14:textId="77777777" w:rsidR="00F47B0F" w:rsidRPr="00F47B0F" w:rsidRDefault="00F47B0F" w:rsidP="00F47B0F">
            <w:pPr>
              <w:rPr>
                <w:rFonts w:eastAsiaTheme="majorEastAsia" w:cs="Arial"/>
                <w:color w:val="auto"/>
                <w:sz w:val="20"/>
                <w:szCs w:val="20"/>
                <w:vertAlign w:val="superscript"/>
                <w:lang w:eastAsia="en-AU"/>
              </w:rPr>
            </w:pPr>
            <w:r w:rsidRPr="00F47B0F">
              <w:rPr>
                <w:rFonts w:eastAsiaTheme="majorEastAsia" w:cs="Arial"/>
                <w:color w:val="auto"/>
                <w:sz w:val="20"/>
                <w:szCs w:val="20"/>
                <w:lang w:eastAsia="en-AU"/>
              </w:rPr>
              <w:t>Average weekly hours</w:t>
            </w:r>
            <w:r w:rsidRPr="00F47B0F">
              <w:rPr>
                <w:rFonts w:eastAsiaTheme="majorEastAsia" w:cs="Arial"/>
                <w:color w:val="auto"/>
                <w:sz w:val="20"/>
                <w:szCs w:val="20"/>
                <w:vertAlign w:val="superscript"/>
                <w:lang w:eastAsia="en-AU"/>
              </w:rPr>
              <w:t>1</w:t>
            </w:r>
          </w:p>
        </w:tc>
        <w:tc>
          <w:tcPr>
            <w:tcW w:w="900" w:type="dxa"/>
            <w:vAlign w:val="center"/>
          </w:tcPr>
          <w:p w14:paraId="3B4585C6"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25.7</w:t>
            </w:r>
          </w:p>
        </w:tc>
        <w:tc>
          <w:tcPr>
            <w:tcW w:w="1178" w:type="dxa"/>
            <w:vAlign w:val="center"/>
          </w:tcPr>
          <w:p w14:paraId="7529CCCD"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22.7</w:t>
            </w:r>
          </w:p>
        </w:tc>
        <w:tc>
          <w:tcPr>
            <w:tcW w:w="1247" w:type="dxa"/>
            <w:vAlign w:val="center"/>
          </w:tcPr>
          <w:p w14:paraId="5FA2C670"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24.6</w:t>
            </w:r>
          </w:p>
        </w:tc>
        <w:tc>
          <w:tcPr>
            <w:tcW w:w="1204" w:type="dxa"/>
            <w:vAlign w:val="center"/>
          </w:tcPr>
          <w:p w14:paraId="02A39B2C"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32.7</w:t>
            </w:r>
          </w:p>
        </w:tc>
        <w:tc>
          <w:tcPr>
            <w:tcW w:w="1469" w:type="dxa"/>
            <w:vAlign w:val="center"/>
          </w:tcPr>
          <w:p w14:paraId="59848A59"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24.9</w:t>
            </w:r>
          </w:p>
        </w:tc>
        <w:tc>
          <w:tcPr>
            <w:tcW w:w="1560" w:type="dxa"/>
            <w:vAlign w:val="center"/>
          </w:tcPr>
          <w:p w14:paraId="4CBC6E59"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30.5</w:t>
            </w:r>
          </w:p>
        </w:tc>
      </w:tr>
      <w:tr w:rsidR="00F47B0F" w:rsidRPr="00F47B0F" w14:paraId="516E9722" w14:textId="77777777" w:rsidTr="005F6ADC">
        <w:trPr>
          <w:cnfStyle w:val="000000010000" w:firstRow="0" w:lastRow="0" w:firstColumn="0" w:lastColumn="0" w:oddVBand="0" w:evenVBand="0" w:oddHBand="0" w:evenHBand="1" w:firstRowFirstColumn="0" w:firstRowLastColumn="0" w:lastRowFirstColumn="0" w:lastRowLastColumn="0"/>
          <w:trHeight w:val="232"/>
        </w:trPr>
        <w:tc>
          <w:tcPr>
            <w:tcW w:w="1468" w:type="dxa"/>
          </w:tcPr>
          <w:p w14:paraId="440D8C9B" w14:textId="77777777" w:rsidR="00F47B0F" w:rsidRPr="00F47B0F" w:rsidRDefault="00F47B0F" w:rsidP="00F47B0F">
            <w:pPr>
              <w:rPr>
                <w:rFonts w:eastAsiaTheme="majorEastAsia" w:cs="Arial"/>
                <w:color w:val="auto"/>
                <w:sz w:val="20"/>
                <w:szCs w:val="20"/>
                <w:vertAlign w:val="superscript"/>
                <w:lang w:eastAsia="en-AU"/>
              </w:rPr>
            </w:pPr>
            <w:r w:rsidRPr="00F47B0F">
              <w:rPr>
                <w:rFonts w:eastAsiaTheme="majorEastAsia" w:cs="Arial"/>
                <w:color w:val="auto"/>
                <w:sz w:val="20"/>
                <w:szCs w:val="20"/>
                <w:lang w:eastAsia="en-AU"/>
              </w:rPr>
              <w:t>Average weekly earnings</w:t>
            </w:r>
            <w:r w:rsidRPr="00F47B0F">
              <w:rPr>
                <w:rFonts w:eastAsiaTheme="majorEastAsia" w:cs="Arial"/>
                <w:color w:val="auto"/>
                <w:sz w:val="20"/>
                <w:szCs w:val="20"/>
                <w:vertAlign w:val="superscript"/>
                <w:lang w:eastAsia="en-AU"/>
              </w:rPr>
              <w:t>1</w:t>
            </w:r>
          </w:p>
        </w:tc>
        <w:tc>
          <w:tcPr>
            <w:tcW w:w="900" w:type="dxa"/>
            <w:vAlign w:val="center"/>
          </w:tcPr>
          <w:p w14:paraId="56D7FF22"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$758.7</w:t>
            </w:r>
          </w:p>
        </w:tc>
        <w:tc>
          <w:tcPr>
            <w:tcW w:w="1178" w:type="dxa"/>
            <w:vAlign w:val="center"/>
          </w:tcPr>
          <w:p w14:paraId="3763999D"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$752.3</w:t>
            </w:r>
          </w:p>
        </w:tc>
        <w:tc>
          <w:tcPr>
            <w:tcW w:w="1247" w:type="dxa"/>
            <w:vAlign w:val="center"/>
          </w:tcPr>
          <w:p w14:paraId="0308E2D9"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$1094.7</w:t>
            </w:r>
          </w:p>
        </w:tc>
        <w:tc>
          <w:tcPr>
            <w:tcW w:w="1204" w:type="dxa"/>
            <w:vAlign w:val="center"/>
          </w:tcPr>
          <w:p w14:paraId="06F344E6"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$1374.0</w:t>
            </w:r>
          </w:p>
        </w:tc>
        <w:tc>
          <w:tcPr>
            <w:tcW w:w="1469" w:type="dxa"/>
            <w:vAlign w:val="center"/>
          </w:tcPr>
          <w:p w14:paraId="3DA6E986"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$816.4</w:t>
            </w:r>
          </w:p>
        </w:tc>
        <w:tc>
          <w:tcPr>
            <w:tcW w:w="1560" w:type="dxa"/>
            <w:vAlign w:val="center"/>
          </w:tcPr>
          <w:p w14:paraId="47598C77"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$1439.1</w:t>
            </w:r>
          </w:p>
        </w:tc>
      </w:tr>
      <w:tr w:rsidR="00F47B0F" w:rsidRPr="00F47B0F" w14:paraId="4395F045" w14:textId="77777777" w:rsidTr="005F6ADC">
        <w:trPr>
          <w:trHeight w:val="230"/>
        </w:trPr>
        <w:tc>
          <w:tcPr>
            <w:tcW w:w="1468" w:type="dxa"/>
          </w:tcPr>
          <w:p w14:paraId="1AA8CE64" w14:textId="77777777" w:rsidR="00F47B0F" w:rsidRPr="00F47B0F" w:rsidRDefault="00F47B0F" w:rsidP="00F47B0F">
            <w:pPr>
              <w:rPr>
                <w:rFonts w:eastAsiaTheme="majorEastAsia" w:cs="Arial"/>
                <w:color w:val="auto"/>
                <w:sz w:val="20"/>
                <w:szCs w:val="20"/>
                <w:lang w:eastAsia="en-AU"/>
              </w:rPr>
            </w:pPr>
            <w:r w:rsidRPr="00F47B0F">
              <w:rPr>
                <w:rFonts w:eastAsiaTheme="majorEastAsia" w:cs="Arial"/>
                <w:color w:val="auto"/>
                <w:sz w:val="20"/>
                <w:szCs w:val="20"/>
                <w:lang w:eastAsia="en-AU"/>
              </w:rPr>
              <w:t>Union Membership</w:t>
            </w:r>
            <w:r w:rsidRPr="00F47B0F">
              <w:rPr>
                <w:rFonts w:eastAsiaTheme="majorEastAsia" w:cs="Arial"/>
                <w:color w:val="auto"/>
                <w:sz w:val="20"/>
                <w:szCs w:val="20"/>
                <w:vertAlign w:val="superscript"/>
                <w:lang w:eastAsia="en-AU"/>
              </w:rPr>
              <w:t xml:space="preserve">2 </w:t>
            </w:r>
          </w:p>
        </w:tc>
        <w:tc>
          <w:tcPr>
            <w:tcW w:w="900" w:type="dxa"/>
            <w:vAlign w:val="center"/>
          </w:tcPr>
          <w:p w14:paraId="5902A067"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4.8%</w:t>
            </w:r>
          </w:p>
        </w:tc>
        <w:tc>
          <w:tcPr>
            <w:tcW w:w="1178" w:type="dxa"/>
            <w:vAlign w:val="center"/>
          </w:tcPr>
          <w:p w14:paraId="54D07399"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32.5%</w:t>
            </w:r>
          </w:p>
        </w:tc>
        <w:tc>
          <w:tcPr>
            <w:tcW w:w="1247" w:type="dxa"/>
            <w:vAlign w:val="center"/>
          </w:tcPr>
          <w:p w14:paraId="5BEF88CD"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7.0%</w:t>
            </w:r>
          </w:p>
        </w:tc>
        <w:tc>
          <w:tcPr>
            <w:tcW w:w="1204" w:type="dxa"/>
            <w:vAlign w:val="center"/>
          </w:tcPr>
          <w:p w14:paraId="0F60009C"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13.0%</w:t>
            </w:r>
          </w:p>
        </w:tc>
        <w:tc>
          <w:tcPr>
            <w:tcW w:w="1469" w:type="dxa"/>
            <w:vAlign w:val="center"/>
          </w:tcPr>
          <w:p w14:paraId="710415DE"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15.1%</w:t>
            </w:r>
          </w:p>
        </w:tc>
        <w:tc>
          <w:tcPr>
            <w:tcW w:w="1560" w:type="dxa"/>
            <w:vAlign w:val="center"/>
          </w:tcPr>
          <w:p w14:paraId="44C7E481"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11.6%</w:t>
            </w:r>
          </w:p>
        </w:tc>
      </w:tr>
      <w:tr w:rsidR="00F47B0F" w:rsidRPr="00F47B0F" w14:paraId="54F9855C" w14:textId="77777777" w:rsidTr="005F6ADC">
        <w:trPr>
          <w:cnfStyle w:val="000000010000" w:firstRow="0" w:lastRow="0" w:firstColumn="0" w:lastColumn="0" w:oddVBand="0" w:evenVBand="0" w:oddHBand="0" w:evenHBand="1" w:firstRowFirstColumn="0" w:firstRowLastColumn="0" w:lastRowFirstColumn="0" w:lastRowLastColumn="0"/>
          <w:trHeight w:val="230"/>
        </w:trPr>
        <w:tc>
          <w:tcPr>
            <w:tcW w:w="1468" w:type="dxa"/>
          </w:tcPr>
          <w:p w14:paraId="6A2F64E0" w14:textId="77777777" w:rsidR="00F47B0F" w:rsidRPr="00F47B0F" w:rsidRDefault="00F47B0F" w:rsidP="00F47B0F">
            <w:pPr>
              <w:rPr>
                <w:rFonts w:eastAsiaTheme="majorEastAsia" w:cs="Arial"/>
                <w:color w:val="auto"/>
                <w:sz w:val="20"/>
                <w:szCs w:val="20"/>
                <w:vertAlign w:val="superscript"/>
                <w:lang w:eastAsia="en-AU"/>
              </w:rPr>
            </w:pPr>
            <w:r w:rsidRPr="00F47B0F">
              <w:rPr>
                <w:rFonts w:eastAsiaTheme="majorEastAsia" w:cs="Arial"/>
                <w:color w:val="auto"/>
                <w:sz w:val="20"/>
                <w:szCs w:val="20"/>
                <w:lang w:eastAsia="en-AU"/>
              </w:rPr>
              <w:t>Has a second job</w:t>
            </w:r>
            <w:r w:rsidRPr="00F47B0F">
              <w:rPr>
                <w:rFonts w:eastAsiaTheme="majorEastAsia" w:cs="Arial"/>
                <w:color w:val="auto"/>
                <w:sz w:val="20"/>
                <w:szCs w:val="20"/>
                <w:vertAlign w:val="superscript"/>
                <w:lang w:eastAsia="en-AU"/>
              </w:rPr>
              <w:t>2</w:t>
            </w:r>
          </w:p>
        </w:tc>
        <w:tc>
          <w:tcPr>
            <w:tcW w:w="900" w:type="dxa"/>
            <w:vAlign w:val="center"/>
          </w:tcPr>
          <w:p w14:paraId="373DCF1A"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6.8%</w:t>
            </w:r>
          </w:p>
        </w:tc>
        <w:tc>
          <w:tcPr>
            <w:tcW w:w="1178" w:type="dxa"/>
            <w:vAlign w:val="center"/>
          </w:tcPr>
          <w:p w14:paraId="593ED73C"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12.9%</w:t>
            </w:r>
          </w:p>
        </w:tc>
        <w:tc>
          <w:tcPr>
            <w:tcW w:w="1247" w:type="dxa"/>
            <w:vAlign w:val="center"/>
          </w:tcPr>
          <w:p w14:paraId="5AD3FAE0"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10.4%</w:t>
            </w:r>
          </w:p>
        </w:tc>
        <w:tc>
          <w:tcPr>
            <w:tcW w:w="1204" w:type="dxa"/>
            <w:vAlign w:val="center"/>
          </w:tcPr>
          <w:p w14:paraId="114C5AAA"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6.6%</w:t>
            </w:r>
          </w:p>
        </w:tc>
        <w:tc>
          <w:tcPr>
            <w:tcW w:w="1469" w:type="dxa"/>
            <w:vAlign w:val="center"/>
          </w:tcPr>
          <w:p w14:paraId="393EE5D4"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9.2%</w:t>
            </w:r>
          </w:p>
        </w:tc>
        <w:tc>
          <w:tcPr>
            <w:tcW w:w="1560" w:type="dxa"/>
            <w:vAlign w:val="center"/>
          </w:tcPr>
          <w:p w14:paraId="3D03C717" w14:textId="77777777" w:rsidR="00F47B0F" w:rsidRPr="00F47B0F" w:rsidRDefault="00F47B0F" w:rsidP="00F47B0F">
            <w:pPr>
              <w:jc w:val="center"/>
              <w:rPr>
                <w:rFonts w:eastAsiaTheme="majorEastAsia" w:cs="Arial"/>
                <w:color w:val="auto"/>
                <w:sz w:val="20"/>
                <w:szCs w:val="20"/>
                <w:highlight w:val="yellow"/>
                <w:lang w:eastAsia="en-AU"/>
              </w:rPr>
            </w:pPr>
            <w:r w:rsidRPr="00F47B0F">
              <w:rPr>
                <w:rFonts w:eastAsiaTheme="majorEastAsia" w:cs="Arial"/>
                <w:color w:val="auto"/>
                <w:sz w:val="20"/>
                <w:szCs w:val="20"/>
                <w:lang w:eastAsia="en-AU"/>
              </w:rPr>
              <w:t>6.8%</w:t>
            </w:r>
          </w:p>
        </w:tc>
      </w:tr>
      <w:tr w:rsidR="00F47B0F" w:rsidRPr="00F47B0F" w14:paraId="6E9C46DB" w14:textId="77777777" w:rsidTr="005F6ADC">
        <w:trPr>
          <w:trHeight w:val="230"/>
        </w:trPr>
        <w:tc>
          <w:tcPr>
            <w:tcW w:w="1468" w:type="dxa"/>
          </w:tcPr>
          <w:p w14:paraId="037E099F" w14:textId="77777777" w:rsidR="00F47B0F" w:rsidRPr="00F47B0F" w:rsidRDefault="00F47B0F" w:rsidP="00F47B0F">
            <w:pPr>
              <w:rPr>
                <w:rFonts w:eastAsiaTheme="majorEastAsia" w:cs="Arial"/>
                <w:color w:val="auto"/>
                <w:sz w:val="20"/>
                <w:szCs w:val="20"/>
                <w:vertAlign w:val="superscript"/>
                <w:lang w:eastAsia="en-AU"/>
              </w:rPr>
            </w:pPr>
            <w:r w:rsidRPr="00F47B0F">
              <w:rPr>
                <w:rFonts w:eastAsiaTheme="majorEastAsia" w:cs="Arial"/>
                <w:color w:val="auto"/>
                <w:sz w:val="20"/>
                <w:szCs w:val="20"/>
                <w:lang w:eastAsia="en-AU"/>
              </w:rPr>
              <w:t>Fixed term employment</w:t>
            </w:r>
            <w:r w:rsidRPr="00F47B0F">
              <w:rPr>
                <w:rFonts w:eastAsiaTheme="majorEastAsia" w:cs="Arial"/>
                <w:color w:val="auto"/>
                <w:sz w:val="20"/>
                <w:szCs w:val="20"/>
                <w:vertAlign w:val="superscript"/>
                <w:lang w:eastAsia="en-AU"/>
              </w:rPr>
              <w:t>3</w:t>
            </w:r>
          </w:p>
        </w:tc>
        <w:tc>
          <w:tcPr>
            <w:tcW w:w="900" w:type="dxa"/>
            <w:vAlign w:val="center"/>
          </w:tcPr>
          <w:p w14:paraId="1543BB28"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2.4%</w:t>
            </w:r>
          </w:p>
        </w:tc>
        <w:tc>
          <w:tcPr>
            <w:tcW w:w="1178" w:type="dxa"/>
            <w:vAlign w:val="center"/>
          </w:tcPr>
          <w:p w14:paraId="626FAF51"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29.8%</w:t>
            </w:r>
          </w:p>
        </w:tc>
        <w:tc>
          <w:tcPr>
            <w:tcW w:w="1247" w:type="dxa"/>
            <w:vAlign w:val="center"/>
          </w:tcPr>
          <w:p w14:paraId="71A5A2B2"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4.0%</w:t>
            </w:r>
          </w:p>
        </w:tc>
        <w:tc>
          <w:tcPr>
            <w:tcW w:w="1204" w:type="dxa"/>
            <w:vAlign w:val="center"/>
          </w:tcPr>
          <w:p w14:paraId="7A5F728F"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0.0%</w:t>
            </w:r>
          </w:p>
        </w:tc>
        <w:tc>
          <w:tcPr>
            <w:tcW w:w="1469" w:type="dxa"/>
            <w:vAlign w:val="center"/>
          </w:tcPr>
          <w:p w14:paraId="3ABAC75E"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12.5%</w:t>
            </w:r>
          </w:p>
        </w:tc>
        <w:tc>
          <w:tcPr>
            <w:tcW w:w="1560" w:type="dxa"/>
            <w:vAlign w:val="center"/>
          </w:tcPr>
          <w:p w14:paraId="2A7F3EE3"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4.7%</w:t>
            </w:r>
          </w:p>
        </w:tc>
      </w:tr>
      <w:tr w:rsidR="00F47B0F" w:rsidRPr="00F47B0F" w14:paraId="2103E5FF" w14:textId="77777777" w:rsidTr="005F6ADC">
        <w:trPr>
          <w:cnfStyle w:val="000000010000" w:firstRow="0" w:lastRow="0" w:firstColumn="0" w:lastColumn="0" w:oddVBand="0" w:evenVBand="0" w:oddHBand="0" w:evenHBand="1" w:firstRowFirstColumn="0" w:firstRowLastColumn="0" w:lastRowFirstColumn="0" w:lastRowLastColumn="0"/>
          <w:trHeight w:val="230"/>
        </w:trPr>
        <w:tc>
          <w:tcPr>
            <w:tcW w:w="1468" w:type="dxa"/>
          </w:tcPr>
          <w:p w14:paraId="7C5728D4" w14:textId="77777777" w:rsidR="00F47B0F" w:rsidRPr="00F47B0F" w:rsidRDefault="00F47B0F" w:rsidP="00F47B0F">
            <w:pPr>
              <w:rPr>
                <w:rFonts w:eastAsiaTheme="majorEastAsia" w:cs="Arial"/>
                <w:color w:val="auto"/>
                <w:sz w:val="20"/>
                <w:szCs w:val="20"/>
                <w:vertAlign w:val="superscript"/>
                <w:lang w:eastAsia="en-AU"/>
              </w:rPr>
            </w:pPr>
            <w:r w:rsidRPr="00F47B0F">
              <w:rPr>
                <w:rFonts w:eastAsiaTheme="majorEastAsia" w:cs="Arial"/>
                <w:color w:val="auto"/>
                <w:sz w:val="20"/>
                <w:szCs w:val="20"/>
                <w:lang w:eastAsia="en-AU"/>
              </w:rPr>
              <w:t>Casual employment</w:t>
            </w:r>
            <w:r w:rsidRPr="00F47B0F">
              <w:rPr>
                <w:rFonts w:eastAsiaTheme="majorEastAsia" w:cs="Arial"/>
                <w:color w:val="auto"/>
                <w:sz w:val="20"/>
                <w:szCs w:val="20"/>
                <w:vertAlign w:val="superscript"/>
                <w:lang w:eastAsia="en-AU"/>
              </w:rPr>
              <w:t>3</w:t>
            </w:r>
          </w:p>
        </w:tc>
        <w:tc>
          <w:tcPr>
            <w:tcW w:w="900" w:type="dxa"/>
            <w:vAlign w:val="center"/>
          </w:tcPr>
          <w:p w14:paraId="36C65529"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30.2%</w:t>
            </w:r>
          </w:p>
        </w:tc>
        <w:tc>
          <w:tcPr>
            <w:tcW w:w="1178" w:type="dxa"/>
            <w:vAlign w:val="center"/>
          </w:tcPr>
          <w:p w14:paraId="71BDE161"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14.5%</w:t>
            </w:r>
          </w:p>
        </w:tc>
        <w:tc>
          <w:tcPr>
            <w:tcW w:w="1247" w:type="dxa"/>
            <w:vAlign w:val="center"/>
          </w:tcPr>
          <w:p w14:paraId="1C7C3E20"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8.9%</w:t>
            </w:r>
          </w:p>
        </w:tc>
        <w:tc>
          <w:tcPr>
            <w:tcW w:w="1204" w:type="dxa"/>
            <w:vAlign w:val="center"/>
          </w:tcPr>
          <w:p w14:paraId="65681D13"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0.0%</w:t>
            </w:r>
          </w:p>
        </w:tc>
        <w:tc>
          <w:tcPr>
            <w:tcW w:w="1469" w:type="dxa"/>
            <w:vAlign w:val="center"/>
          </w:tcPr>
          <w:p w14:paraId="66305EBB"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21.2%</w:t>
            </w:r>
          </w:p>
        </w:tc>
        <w:tc>
          <w:tcPr>
            <w:tcW w:w="1560" w:type="dxa"/>
            <w:vAlign w:val="center"/>
          </w:tcPr>
          <w:p w14:paraId="68AF1D4C"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21.9%</w:t>
            </w:r>
          </w:p>
        </w:tc>
      </w:tr>
      <w:tr w:rsidR="00F47B0F" w:rsidRPr="00F47B0F" w14:paraId="5C9C83A2" w14:textId="77777777" w:rsidTr="005F6ADC">
        <w:trPr>
          <w:trHeight w:val="230"/>
        </w:trPr>
        <w:tc>
          <w:tcPr>
            <w:tcW w:w="1468" w:type="dxa"/>
          </w:tcPr>
          <w:p w14:paraId="2D9B2501" w14:textId="77777777" w:rsidR="00F47B0F" w:rsidRPr="00F47B0F" w:rsidRDefault="00F47B0F" w:rsidP="00F47B0F">
            <w:pPr>
              <w:rPr>
                <w:rFonts w:eastAsiaTheme="majorEastAsia" w:cs="Arial"/>
                <w:color w:val="auto"/>
                <w:sz w:val="20"/>
                <w:szCs w:val="20"/>
                <w:vertAlign w:val="superscript"/>
                <w:lang w:eastAsia="en-AU"/>
              </w:rPr>
            </w:pPr>
            <w:r w:rsidRPr="00F47B0F">
              <w:rPr>
                <w:rFonts w:eastAsiaTheme="majorEastAsia" w:cs="Arial"/>
                <w:color w:val="auto"/>
                <w:sz w:val="20"/>
                <w:szCs w:val="20"/>
                <w:lang w:eastAsia="en-AU"/>
              </w:rPr>
              <w:t>Paid award only</w:t>
            </w:r>
            <w:r w:rsidRPr="00F47B0F">
              <w:rPr>
                <w:rFonts w:eastAsiaTheme="majorEastAsia" w:cs="Arial"/>
                <w:color w:val="auto"/>
                <w:sz w:val="20"/>
                <w:szCs w:val="20"/>
                <w:vertAlign w:val="superscript"/>
                <w:lang w:eastAsia="en-AU"/>
              </w:rPr>
              <w:t>3</w:t>
            </w:r>
          </w:p>
        </w:tc>
        <w:tc>
          <w:tcPr>
            <w:tcW w:w="900" w:type="dxa"/>
            <w:vAlign w:val="center"/>
          </w:tcPr>
          <w:p w14:paraId="33E76823"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70.1%</w:t>
            </w:r>
          </w:p>
        </w:tc>
        <w:tc>
          <w:tcPr>
            <w:tcW w:w="1178" w:type="dxa"/>
            <w:vAlign w:val="center"/>
          </w:tcPr>
          <w:p w14:paraId="4F92D936"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3.7%</w:t>
            </w:r>
          </w:p>
        </w:tc>
        <w:tc>
          <w:tcPr>
            <w:tcW w:w="1247" w:type="dxa"/>
            <w:vAlign w:val="center"/>
          </w:tcPr>
          <w:p w14:paraId="4FA3C5EE"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29.0%</w:t>
            </w:r>
          </w:p>
        </w:tc>
        <w:tc>
          <w:tcPr>
            <w:tcW w:w="1204" w:type="dxa"/>
            <w:vAlign w:val="center"/>
          </w:tcPr>
          <w:p w14:paraId="58ED2914"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15.9%</w:t>
            </w:r>
          </w:p>
        </w:tc>
        <w:tc>
          <w:tcPr>
            <w:tcW w:w="1469" w:type="dxa"/>
            <w:vAlign w:val="center"/>
          </w:tcPr>
          <w:p w14:paraId="1D4DDA81" w14:textId="77777777" w:rsidR="00F47B0F" w:rsidRPr="00F47B0F" w:rsidRDefault="00F47B0F" w:rsidP="00F47B0F">
            <w:pPr>
              <w:keepNext/>
              <w:jc w:val="center"/>
              <w:rPr>
                <w:rFonts w:eastAsiaTheme="majorEastAsia" w:cs="Arial"/>
                <w:color w:val="auto"/>
                <w:sz w:val="20"/>
                <w:szCs w:val="20"/>
                <w:lang w:eastAsia="en-AU"/>
              </w:rPr>
            </w:pPr>
            <w:r w:rsidRPr="00F47B0F">
              <w:rPr>
                <w:rFonts w:eastAsiaTheme="majorEastAsia" w:cs="Arial"/>
                <w:color w:val="auto"/>
                <w:sz w:val="20"/>
                <w:szCs w:val="20"/>
                <w:lang w:eastAsia="en-AU"/>
              </w:rPr>
              <w:t>39.8%</w:t>
            </w:r>
          </w:p>
        </w:tc>
        <w:tc>
          <w:tcPr>
            <w:tcW w:w="1560" w:type="dxa"/>
            <w:vAlign w:val="center"/>
          </w:tcPr>
          <w:p w14:paraId="4EC45277" w14:textId="77777777" w:rsidR="00F47B0F" w:rsidRPr="00F47B0F" w:rsidRDefault="00F47B0F" w:rsidP="00F47B0F">
            <w:pPr>
              <w:keepNext/>
              <w:jc w:val="center"/>
              <w:rPr>
                <w:rFonts w:eastAsiaTheme="majorEastAsia" w:cs="Arial"/>
                <w:color w:val="auto"/>
                <w:sz w:val="20"/>
                <w:szCs w:val="20"/>
                <w:lang w:eastAsia="en-AU"/>
              </w:rPr>
            </w:pPr>
            <w:r w:rsidRPr="00F47B0F">
              <w:rPr>
                <w:rFonts w:eastAsiaTheme="majorEastAsia" w:cs="Arial"/>
                <w:color w:val="auto"/>
                <w:sz w:val="20"/>
                <w:szCs w:val="20"/>
                <w:lang w:eastAsia="en-AU"/>
              </w:rPr>
              <w:t>23.2%</w:t>
            </w:r>
          </w:p>
        </w:tc>
      </w:tr>
      <w:tr w:rsidR="00F47B0F" w:rsidRPr="00F47B0F" w14:paraId="7A74076B" w14:textId="77777777" w:rsidTr="005F6ADC">
        <w:trPr>
          <w:cnfStyle w:val="000000010000" w:firstRow="0" w:lastRow="0" w:firstColumn="0" w:lastColumn="0" w:oddVBand="0" w:evenVBand="0" w:oddHBand="0" w:evenHBand="1" w:firstRowFirstColumn="0" w:firstRowLastColumn="0" w:lastRowFirstColumn="0" w:lastRowLastColumn="0"/>
          <w:trHeight w:val="230"/>
        </w:trPr>
        <w:tc>
          <w:tcPr>
            <w:tcW w:w="1468" w:type="dxa"/>
          </w:tcPr>
          <w:p w14:paraId="7B72C6F9" w14:textId="77777777" w:rsidR="00F47B0F" w:rsidRPr="00F47B0F" w:rsidRDefault="00F47B0F" w:rsidP="00F47B0F">
            <w:pPr>
              <w:rPr>
                <w:rFonts w:eastAsiaTheme="majorEastAsia" w:cs="Arial"/>
                <w:color w:val="auto"/>
                <w:sz w:val="20"/>
                <w:szCs w:val="20"/>
                <w:vertAlign w:val="superscript"/>
                <w:lang w:eastAsia="en-AU"/>
              </w:rPr>
            </w:pPr>
            <w:r w:rsidRPr="00F47B0F">
              <w:rPr>
                <w:rFonts w:eastAsiaTheme="majorEastAsia" w:cs="Arial"/>
                <w:color w:val="auto"/>
                <w:sz w:val="20"/>
                <w:szCs w:val="20"/>
                <w:lang w:eastAsia="en-AU"/>
              </w:rPr>
              <w:t>Paid collective agreement</w:t>
            </w:r>
            <w:r w:rsidRPr="00F47B0F">
              <w:rPr>
                <w:rFonts w:eastAsiaTheme="majorEastAsia" w:cs="Arial"/>
                <w:color w:val="auto"/>
                <w:sz w:val="20"/>
                <w:szCs w:val="20"/>
                <w:vertAlign w:val="superscript"/>
                <w:lang w:eastAsia="en-AU"/>
              </w:rPr>
              <w:t>3</w:t>
            </w:r>
          </w:p>
        </w:tc>
        <w:tc>
          <w:tcPr>
            <w:tcW w:w="900" w:type="dxa"/>
            <w:vAlign w:val="center"/>
          </w:tcPr>
          <w:p w14:paraId="7D483896"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11.7%</w:t>
            </w:r>
          </w:p>
        </w:tc>
        <w:tc>
          <w:tcPr>
            <w:tcW w:w="1178" w:type="dxa"/>
            <w:vAlign w:val="center"/>
          </w:tcPr>
          <w:p w14:paraId="56AFD5B1"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86.7%</w:t>
            </w:r>
          </w:p>
        </w:tc>
        <w:tc>
          <w:tcPr>
            <w:tcW w:w="1247" w:type="dxa"/>
            <w:vAlign w:val="center"/>
          </w:tcPr>
          <w:p w14:paraId="32A5C33D"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54.6%</w:t>
            </w:r>
          </w:p>
        </w:tc>
        <w:tc>
          <w:tcPr>
            <w:tcW w:w="1204" w:type="dxa"/>
            <w:vAlign w:val="center"/>
          </w:tcPr>
          <w:p w14:paraId="1C3FD022"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14.9%</w:t>
            </w:r>
          </w:p>
        </w:tc>
        <w:tc>
          <w:tcPr>
            <w:tcW w:w="1469" w:type="dxa"/>
            <w:vAlign w:val="center"/>
          </w:tcPr>
          <w:p w14:paraId="57205B14" w14:textId="77777777" w:rsidR="00F47B0F" w:rsidRPr="00F47B0F" w:rsidRDefault="00F47B0F" w:rsidP="00F47B0F">
            <w:pPr>
              <w:keepNext/>
              <w:jc w:val="center"/>
              <w:rPr>
                <w:rFonts w:eastAsiaTheme="majorEastAsia" w:cs="Arial"/>
                <w:color w:val="auto"/>
                <w:sz w:val="20"/>
                <w:szCs w:val="20"/>
                <w:lang w:eastAsia="en-AU"/>
              </w:rPr>
            </w:pPr>
            <w:r w:rsidRPr="00F47B0F">
              <w:rPr>
                <w:rFonts w:eastAsiaTheme="majorEastAsia" w:cs="Arial"/>
                <w:color w:val="auto"/>
                <w:sz w:val="20"/>
                <w:szCs w:val="20"/>
                <w:lang w:eastAsia="en-AU"/>
              </w:rPr>
              <w:t>42.8%</w:t>
            </w:r>
          </w:p>
        </w:tc>
        <w:tc>
          <w:tcPr>
            <w:tcW w:w="1560" w:type="dxa"/>
            <w:vAlign w:val="center"/>
          </w:tcPr>
          <w:p w14:paraId="0F52E6FC" w14:textId="77777777" w:rsidR="00F47B0F" w:rsidRPr="00F47B0F" w:rsidRDefault="00F47B0F" w:rsidP="00F47B0F">
            <w:pPr>
              <w:keepNext/>
              <w:jc w:val="center"/>
              <w:rPr>
                <w:rFonts w:eastAsiaTheme="majorEastAsia" w:cs="Arial"/>
                <w:color w:val="auto"/>
                <w:sz w:val="20"/>
                <w:szCs w:val="20"/>
                <w:lang w:eastAsia="en-AU"/>
              </w:rPr>
            </w:pPr>
            <w:r w:rsidRPr="00F47B0F">
              <w:rPr>
                <w:rFonts w:eastAsiaTheme="majorEastAsia" w:cs="Arial"/>
                <w:color w:val="auto"/>
                <w:sz w:val="20"/>
                <w:szCs w:val="20"/>
                <w:lang w:eastAsia="en-AU"/>
              </w:rPr>
              <w:t>34.0%</w:t>
            </w:r>
          </w:p>
        </w:tc>
      </w:tr>
      <w:tr w:rsidR="00F47B0F" w:rsidRPr="00F47B0F" w14:paraId="501E16E8" w14:textId="77777777" w:rsidTr="005F6ADC">
        <w:trPr>
          <w:trHeight w:val="230"/>
        </w:trPr>
        <w:tc>
          <w:tcPr>
            <w:tcW w:w="1468" w:type="dxa"/>
          </w:tcPr>
          <w:p w14:paraId="504D84B6" w14:textId="77777777" w:rsidR="00F47B0F" w:rsidRPr="00F47B0F" w:rsidRDefault="00F47B0F" w:rsidP="00F47B0F">
            <w:pPr>
              <w:rPr>
                <w:rFonts w:eastAsiaTheme="majorEastAsia" w:cs="Arial"/>
                <w:color w:val="auto"/>
                <w:sz w:val="20"/>
                <w:szCs w:val="20"/>
                <w:vertAlign w:val="superscript"/>
                <w:lang w:eastAsia="en-AU"/>
              </w:rPr>
            </w:pPr>
            <w:r w:rsidRPr="00F47B0F">
              <w:rPr>
                <w:rFonts w:eastAsiaTheme="majorEastAsia" w:cs="Arial"/>
                <w:color w:val="auto"/>
                <w:sz w:val="20"/>
                <w:szCs w:val="20"/>
                <w:lang w:eastAsia="en-AU"/>
              </w:rPr>
              <w:t>Paid individual arrangement</w:t>
            </w:r>
            <w:r w:rsidRPr="00F47B0F">
              <w:rPr>
                <w:rFonts w:eastAsiaTheme="majorEastAsia" w:cs="Arial"/>
                <w:color w:val="auto"/>
                <w:sz w:val="20"/>
                <w:szCs w:val="20"/>
                <w:vertAlign w:val="superscript"/>
                <w:lang w:eastAsia="en-AU"/>
              </w:rPr>
              <w:t>3</w:t>
            </w:r>
          </w:p>
        </w:tc>
        <w:tc>
          <w:tcPr>
            <w:tcW w:w="900" w:type="dxa"/>
            <w:vAlign w:val="center"/>
          </w:tcPr>
          <w:p w14:paraId="48E9293C"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17.8%</w:t>
            </w:r>
          </w:p>
        </w:tc>
        <w:tc>
          <w:tcPr>
            <w:tcW w:w="1178" w:type="dxa"/>
            <w:vAlign w:val="center"/>
          </w:tcPr>
          <w:p w14:paraId="33DFCAF3"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9.2%</w:t>
            </w:r>
          </w:p>
        </w:tc>
        <w:tc>
          <w:tcPr>
            <w:tcW w:w="1247" w:type="dxa"/>
            <w:vAlign w:val="center"/>
          </w:tcPr>
          <w:p w14:paraId="2B799230"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13.2%</w:t>
            </w:r>
          </w:p>
        </w:tc>
        <w:tc>
          <w:tcPr>
            <w:tcW w:w="1204" w:type="dxa"/>
            <w:vAlign w:val="center"/>
          </w:tcPr>
          <w:p w14:paraId="71EA00F8" w14:textId="77777777" w:rsidR="00F47B0F" w:rsidRPr="00F47B0F" w:rsidRDefault="00F47B0F" w:rsidP="00F47B0F">
            <w:pPr>
              <w:jc w:val="center"/>
              <w:rPr>
                <w:rFonts w:eastAsiaTheme="majorEastAsia" w:cs="Arial"/>
                <w:color w:val="auto"/>
                <w:sz w:val="20"/>
                <w:szCs w:val="20"/>
                <w:lang w:eastAsia="en-AU"/>
              </w:rPr>
            </w:pPr>
            <w:r w:rsidRPr="00F47B0F">
              <w:rPr>
                <w:rFonts w:eastAsiaTheme="majorEastAsia" w:cs="Arial"/>
                <w:color w:val="auto"/>
                <w:sz w:val="20"/>
                <w:szCs w:val="20"/>
                <w:lang w:eastAsia="en-AU"/>
              </w:rPr>
              <w:t>44.9%</w:t>
            </w:r>
          </w:p>
        </w:tc>
        <w:tc>
          <w:tcPr>
            <w:tcW w:w="1469" w:type="dxa"/>
            <w:vAlign w:val="center"/>
          </w:tcPr>
          <w:p w14:paraId="39341983" w14:textId="77777777" w:rsidR="00F47B0F" w:rsidRPr="00F47B0F" w:rsidRDefault="00F47B0F" w:rsidP="00F47B0F">
            <w:pPr>
              <w:keepNext/>
              <w:jc w:val="center"/>
              <w:rPr>
                <w:rFonts w:eastAsiaTheme="majorEastAsia" w:cs="Arial"/>
                <w:color w:val="auto"/>
                <w:sz w:val="20"/>
                <w:szCs w:val="20"/>
                <w:lang w:eastAsia="en-AU"/>
              </w:rPr>
            </w:pPr>
            <w:r w:rsidRPr="00F47B0F">
              <w:rPr>
                <w:rFonts w:eastAsiaTheme="majorEastAsia" w:cs="Arial"/>
                <w:color w:val="auto"/>
                <w:sz w:val="20"/>
                <w:szCs w:val="20"/>
                <w:lang w:eastAsia="en-AU"/>
              </w:rPr>
              <w:t>16.0%</w:t>
            </w:r>
          </w:p>
        </w:tc>
        <w:tc>
          <w:tcPr>
            <w:tcW w:w="1560" w:type="dxa"/>
            <w:vAlign w:val="center"/>
          </w:tcPr>
          <w:p w14:paraId="1EC39454" w14:textId="77777777" w:rsidR="00F47B0F" w:rsidRPr="00F47B0F" w:rsidRDefault="00F47B0F" w:rsidP="00F47B0F">
            <w:pPr>
              <w:keepNext/>
              <w:jc w:val="center"/>
              <w:rPr>
                <w:rFonts w:eastAsiaTheme="majorEastAsia" w:cs="Arial"/>
                <w:color w:val="auto"/>
                <w:sz w:val="20"/>
                <w:szCs w:val="20"/>
                <w:lang w:eastAsia="en-AU"/>
              </w:rPr>
            </w:pPr>
            <w:r w:rsidRPr="00F47B0F">
              <w:rPr>
                <w:rFonts w:eastAsiaTheme="majorEastAsia" w:cs="Arial"/>
                <w:color w:val="auto"/>
                <w:sz w:val="20"/>
                <w:szCs w:val="20"/>
                <w:lang w:eastAsia="en-AU"/>
              </w:rPr>
              <w:t>38.7%</w:t>
            </w:r>
          </w:p>
        </w:tc>
      </w:tr>
    </w:tbl>
    <w:p w14:paraId="2D61AB8F" w14:textId="77777777" w:rsidR="00F47B0F" w:rsidRPr="00F47B0F" w:rsidRDefault="00F47B0F" w:rsidP="00887E52">
      <w:pPr>
        <w:pStyle w:val="Source"/>
      </w:pPr>
      <w:r w:rsidRPr="00F47B0F">
        <w:t>Sources:</w:t>
      </w:r>
      <w:r w:rsidRPr="00F47B0F">
        <w:br/>
        <w:t>(1) ABS (2023), Employee Earnings and Hours, TableBuilder, ordinary time</w:t>
      </w:r>
      <w:r w:rsidRPr="00F47B0F">
        <w:br/>
        <w:t>(2) ABS (2023), Characteristics of Employment, TableBuilder</w:t>
      </w:r>
      <w:r w:rsidRPr="00F47B0F">
        <w:br/>
        <w:t>(3) ABS (2023), Employee Earnings and Hours, TableBuilder</w:t>
      </w:r>
    </w:p>
    <w:p w14:paraId="16FF484C" w14:textId="77777777" w:rsidR="00F47B0F" w:rsidRPr="00F47B0F" w:rsidRDefault="00F47B0F" w:rsidP="00F47B0F">
      <w:pPr>
        <w:spacing w:after="0"/>
        <w:textAlignment w:val="baseline"/>
        <w:rPr>
          <w:rFonts w:cs="Arial"/>
        </w:rPr>
      </w:pPr>
    </w:p>
    <w:p w14:paraId="5A8539B0" w14:textId="77777777" w:rsidR="00F47B0F" w:rsidRPr="00F47B0F" w:rsidRDefault="00F47B0F" w:rsidP="00F47B0F">
      <w:pPr>
        <w:rPr>
          <w:rFonts w:cs="Arial"/>
          <w:color w:val="000000"/>
          <w:shd w:val="clear" w:color="auto" w:fill="FFFFFF"/>
        </w:rPr>
      </w:pPr>
      <w:r w:rsidRPr="00F47B0F">
        <w:rPr>
          <w:rFonts w:cs="Arial"/>
        </w:rPr>
        <w:t xml:space="preserve">Among the ECEC workforce, </w:t>
      </w:r>
      <w:r w:rsidRPr="00F47B0F">
        <w:rPr>
          <w:rFonts w:cs="Arial"/>
          <w:i/>
          <w:iCs/>
        </w:rPr>
        <w:t>Child Carers</w:t>
      </w:r>
      <w:r w:rsidRPr="00F47B0F">
        <w:rPr>
          <w:rFonts w:cs="Arial"/>
        </w:rPr>
        <w:t xml:space="preserve"> are overwhelmingly reliant on the award (70.1%) which is well above the level for workers in all occupations (23.3%). The 2021 ECEC National Workforce Census indicated more than half of all employees were paid at award rates, while noting the proportion was slightly lower for workers with a bachelor’s degree or above (PC, 2023c). </w:t>
      </w:r>
    </w:p>
    <w:p w14:paraId="440309FA" w14:textId="77777777" w:rsidR="00F47B0F" w:rsidRPr="00F47B0F" w:rsidRDefault="00F47B0F" w:rsidP="00F47B0F">
      <w:pPr>
        <w:rPr>
          <w:rFonts w:eastAsia="Arial" w:cs="Arial"/>
          <w:i/>
          <w:iCs/>
        </w:rPr>
      </w:pPr>
      <w:r w:rsidRPr="00F47B0F">
        <w:t>Remuneration in ECEC occupations is relatively low, including when compared with sectors with similar training requirements and even some (such as retail and clerical roles) with no or lower formal training requirements. As noted by Charles Sturt University in their submission to JSA, the relatively low renumeration rates for ECEC staff is viewed as a challenge and does not reflect the formal qualifications needed and informal expectations required to work in ECEC:</w:t>
      </w:r>
      <w:r w:rsidRPr="00F47B0F">
        <w:br/>
      </w:r>
    </w:p>
    <w:p w14:paraId="43A28B05" w14:textId="77777777" w:rsidR="00F47B0F" w:rsidRPr="00F47B0F" w:rsidRDefault="00F47B0F" w:rsidP="00846EE4">
      <w:pPr>
        <w:pStyle w:val="IntenseQuote"/>
      </w:pPr>
      <w:r w:rsidRPr="00F47B0F">
        <w:lastRenderedPageBreak/>
        <w:t>There are extraordinary everyday challenges for the ECEC workforce, which is largely female, often underpaid, and significantly undervalued, yet charged with the huge responsibility of the education, care and safety of our youngest citizens. (Submission 36)</w:t>
      </w:r>
    </w:p>
    <w:p w14:paraId="4DBC186E" w14:textId="77777777" w:rsidR="00F47B0F" w:rsidRPr="00F47B0F" w:rsidRDefault="00F47B0F" w:rsidP="00F47B0F">
      <w:r w:rsidRPr="00F47B0F">
        <w:rPr>
          <w:rFonts w:cs="Arial"/>
        </w:rPr>
        <w:t>Remuneration in ECEC occupations</w:t>
      </w:r>
      <w:r w:rsidRPr="00F47B0F">
        <w:t xml:space="preserve"> was canvassed in the Productivity Commission 2023 draft ECEC report, and some further evidence is provided in </w:t>
      </w:r>
      <w:r w:rsidRPr="00F47B0F">
        <w:rPr>
          <w:highlight w:val="lightGray"/>
        </w:rPr>
        <w:fldChar w:fldCharType="begin" w:fldLock="1"/>
      </w:r>
      <w:r w:rsidRPr="00F47B0F">
        <w:instrText xml:space="preserve"> REF _Ref169158227 \h </w:instrText>
      </w:r>
      <w:r w:rsidRPr="00F47B0F">
        <w:rPr>
          <w:highlight w:val="lightGray"/>
        </w:rPr>
      </w:r>
      <w:r w:rsidRPr="00F47B0F">
        <w:rPr>
          <w:highlight w:val="lightGray"/>
        </w:rPr>
        <w:fldChar w:fldCharType="separate"/>
      </w:r>
      <w:r w:rsidRPr="00F47B0F">
        <w:t>Figure 2.</w:t>
      </w:r>
      <w:r w:rsidRPr="00F47B0F">
        <w:rPr>
          <w:noProof/>
        </w:rPr>
        <w:t>6</w:t>
      </w:r>
      <w:r w:rsidRPr="00F47B0F">
        <w:rPr>
          <w:highlight w:val="lightGray"/>
        </w:rPr>
        <w:fldChar w:fldCharType="end"/>
      </w:r>
      <w:r w:rsidRPr="00F47B0F">
        <w:t xml:space="preserve"> which depicts median weekly wages (ordinary time) for the four ECEC 4-digit occupations as well as a select number of comparators. </w:t>
      </w:r>
      <w:r w:rsidRPr="00F47B0F">
        <w:rPr>
          <w:i/>
          <w:iCs/>
        </w:rPr>
        <w:t>Child Carers</w:t>
      </w:r>
      <w:r w:rsidRPr="00F47B0F">
        <w:t xml:space="preserve"> earn similar wages on average to </w:t>
      </w:r>
      <w:r w:rsidRPr="00F47B0F">
        <w:rPr>
          <w:i/>
          <w:iCs/>
        </w:rPr>
        <w:t>Aged and Disabled Carers</w:t>
      </w:r>
      <w:r w:rsidRPr="00F47B0F">
        <w:t xml:space="preserve"> despite working around five additional hours per week, (noting there are sector differences in common employment conditions with </w:t>
      </w:r>
      <w:r w:rsidRPr="00F47B0F">
        <w:rPr>
          <w:i/>
          <w:iCs/>
        </w:rPr>
        <w:t>Aged and Disabled Carers</w:t>
      </w:r>
      <w:r w:rsidRPr="00F47B0F">
        <w:t xml:space="preserve"> more often receiving casual loading as compensation for more precarious employment). A similar pattern occurs for </w:t>
      </w:r>
      <w:r w:rsidRPr="00F47B0F">
        <w:rPr>
          <w:i/>
          <w:iCs/>
        </w:rPr>
        <w:t>Education Aides</w:t>
      </w:r>
      <w:r w:rsidRPr="00F47B0F">
        <w:t xml:space="preserve"> (albeit working fewer hours on average than </w:t>
      </w:r>
      <w:r w:rsidRPr="00F47B0F">
        <w:rPr>
          <w:i/>
          <w:iCs/>
        </w:rPr>
        <w:t>Child Carers</w:t>
      </w:r>
      <w:r w:rsidRPr="00F47B0F">
        <w:t xml:space="preserve">). </w:t>
      </w:r>
      <w:r w:rsidRPr="00F47B0F">
        <w:rPr>
          <w:i/>
          <w:iCs/>
        </w:rPr>
        <w:t>Early Childhood Teachers</w:t>
      </w:r>
      <w:r w:rsidRPr="00F47B0F">
        <w:t xml:space="preserve"> earn substantially less than teachers in primary and secondary schools, even though in 2021 all three occupations had similar median working hours. </w:t>
      </w:r>
    </w:p>
    <w:p w14:paraId="44021717" w14:textId="77777777" w:rsidR="00F47B0F" w:rsidRPr="00F47B0F" w:rsidRDefault="00F47B0F" w:rsidP="00F47B0F">
      <w:r w:rsidRPr="00F47B0F">
        <w:fldChar w:fldCharType="begin" w:fldLock="1"/>
      </w:r>
      <w:r w:rsidRPr="00F47B0F">
        <w:instrText xml:space="preserve"> REF _Ref169158227 \h </w:instrText>
      </w:r>
      <w:r w:rsidRPr="00F47B0F">
        <w:fldChar w:fldCharType="separate"/>
      </w:r>
      <w:r w:rsidRPr="00F47B0F">
        <w:t>Figure 2.</w:t>
      </w:r>
      <w:r w:rsidRPr="00F47B0F">
        <w:rPr>
          <w:noProof/>
        </w:rPr>
        <w:t>6</w:t>
      </w:r>
      <w:r w:rsidRPr="00F47B0F">
        <w:fldChar w:fldCharType="end"/>
      </w:r>
      <w:r w:rsidRPr="00F47B0F">
        <w:t xml:space="preserve"> also shows that </w:t>
      </w:r>
      <w:r w:rsidRPr="00F47B0F">
        <w:rPr>
          <w:i/>
          <w:iCs/>
        </w:rPr>
        <w:t xml:space="preserve">Child Carers </w:t>
      </w:r>
      <w:r w:rsidRPr="00F47B0F">
        <w:t xml:space="preserve">earn less than </w:t>
      </w:r>
      <w:r w:rsidRPr="00F47B0F">
        <w:rPr>
          <w:i/>
          <w:iCs/>
        </w:rPr>
        <w:t>General Clerks</w:t>
      </w:r>
      <w:r w:rsidRPr="00F47B0F">
        <w:t xml:space="preserve">, and a similar amount to </w:t>
      </w:r>
      <w:r w:rsidRPr="00F47B0F">
        <w:rPr>
          <w:i/>
          <w:iCs/>
        </w:rPr>
        <w:t>Sales Assistants</w:t>
      </w:r>
      <w:r w:rsidRPr="00F47B0F">
        <w:t xml:space="preserve">. </w:t>
      </w:r>
      <w:bookmarkStart w:id="93" w:name="_Int_NLc7k9Te"/>
      <w:r w:rsidRPr="00F47B0F">
        <w:rPr>
          <w:i/>
          <w:iCs/>
        </w:rPr>
        <w:t>Child Care</w:t>
      </w:r>
      <w:bookmarkEnd w:id="93"/>
      <w:r w:rsidRPr="00F47B0F">
        <w:rPr>
          <w:i/>
          <w:iCs/>
        </w:rPr>
        <w:t xml:space="preserve"> Centre Managers</w:t>
      </w:r>
      <w:r w:rsidRPr="00F47B0F">
        <w:t xml:space="preserve"> on average earn less than </w:t>
      </w:r>
      <w:r w:rsidRPr="00F47B0F">
        <w:rPr>
          <w:i/>
          <w:iCs/>
        </w:rPr>
        <w:t>Early Childhood Teachers</w:t>
      </w:r>
      <w:r w:rsidRPr="00F47B0F">
        <w:t xml:space="preserve"> and </w:t>
      </w:r>
      <w:r w:rsidRPr="00F47B0F">
        <w:rPr>
          <w:i/>
          <w:iCs/>
        </w:rPr>
        <w:t>Health and Welfare Services Managers</w:t>
      </w:r>
      <w:r w:rsidRPr="00F47B0F">
        <w:t xml:space="preserve">. </w:t>
      </w:r>
      <w:r w:rsidRPr="00F47B0F">
        <w:rPr>
          <w:i/>
          <w:iCs/>
        </w:rPr>
        <w:t>Child Care Centre Managers</w:t>
      </w:r>
      <w:r w:rsidRPr="00F47B0F">
        <w:t xml:space="preserve"> earned a similar weekly median wage to </w:t>
      </w:r>
      <w:r w:rsidRPr="00F47B0F">
        <w:rPr>
          <w:i/>
          <w:iCs/>
        </w:rPr>
        <w:t>Early Childhood Teachers</w:t>
      </w:r>
      <w:r w:rsidRPr="00F47B0F">
        <w:t xml:space="preserve"> 2021, although typically worked two more hours per week. </w:t>
      </w:r>
    </w:p>
    <w:p w14:paraId="0AC35E43" w14:textId="77777777" w:rsidR="00F26358" w:rsidRDefault="00F26358">
      <w:pPr>
        <w:rPr>
          <w:b/>
          <w:bCs/>
          <w:color w:val="auto"/>
          <w:sz w:val="18"/>
          <w:szCs w:val="18"/>
        </w:rPr>
      </w:pPr>
      <w:bookmarkStart w:id="94" w:name="_Ref169158227"/>
      <w:bookmarkStart w:id="95" w:name="_Ref156573790"/>
      <w:r>
        <w:br w:type="page"/>
      </w:r>
    </w:p>
    <w:p w14:paraId="1F3CB31C" w14:textId="7344C662" w:rsidR="00F47B0F" w:rsidRPr="00F47B0F" w:rsidRDefault="00F47B0F" w:rsidP="00887E52">
      <w:pPr>
        <w:pStyle w:val="Caption"/>
      </w:pPr>
      <w:r w:rsidRPr="00F47B0F">
        <w:lastRenderedPageBreak/>
        <w:t>Figure 2</w:t>
      </w:r>
      <w:bookmarkEnd w:id="94"/>
      <w:r w:rsidRPr="00F47B0F">
        <w:t>.</w:t>
      </w:r>
      <w:r w:rsidRPr="00F47B0F">
        <w:fldChar w:fldCharType="begin"/>
      </w:r>
      <w:r w:rsidRPr="00F47B0F">
        <w:instrText xml:space="preserve"> SEQ Figure \* ARABIC \s 1 </w:instrText>
      </w:r>
      <w:r w:rsidRPr="00F47B0F">
        <w:fldChar w:fldCharType="separate"/>
      </w:r>
      <w:r w:rsidR="005F18C1">
        <w:rPr>
          <w:noProof/>
        </w:rPr>
        <w:t>6</w:t>
      </w:r>
      <w:r w:rsidRPr="00F47B0F">
        <w:fldChar w:fldCharType="end"/>
      </w:r>
      <w:r w:rsidRPr="00F47B0F">
        <w:t xml:space="preserve"> Median weekly wages, ECEC and comparative occupations</w:t>
      </w:r>
    </w:p>
    <w:bookmarkEnd w:id="95"/>
    <w:p w14:paraId="76B00645" w14:textId="77777777" w:rsidR="00F47B0F" w:rsidRPr="00F47B0F" w:rsidRDefault="00F47B0F" w:rsidP="00F47B0F">
      <w:r w:rsidRPr="00F47B0F">
        <w:rPr>
          <w:noProof/>
        </w:rPr>
        <w:drawing>
          <wp:anchor distT="0" distB="0" distL="114300" distR="114300" simplePos="0" relativeHeight="251708419" behindDoc="0" locked="0" layoutInCell="1" allowOverlap="1" wp14:anchorId="105FB09E" wp14:editId="332B8ECB">
            <wp:simplePos x="0" y="0"/>
            <wp:positionH relativeFrom="column">
              <wp:posOffset>0</wp:posOffset>
            </wp:positionH>
            <wp:positionV relativeFrom="paragraph">
              <wp:posOffset>-1270</wp:posOffset>
            </wp:positionV>
            <wp:extent cx="5731510" cy="5731510"/>
            <wp:effectExtent l="0" t="0" r="2540" b="2540"/>
            <wp:wrapNone/>
            <wp:docPr id="1621188265"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188265" name="Picture 16">
                      <a:extLst>
                        <a:ext uri="{C183D7F6-B498-43B3-948B-1728B52AA6E4}">
                          <adec:decorative xmlns:adec="http://schemas.microsoft.com/office/drawing/2017/decorative" val="1"/>
                        </a:ext>
                      </a:extLst>
                    </pic:cNvPr>
                    <pic:cNvPicPr>
                      <a:picLocks noChangeAspect="1" noChangeArrowheads="1"/>
                    </pic:cNvPicPr>
                  </pic:nvPicPr>
                  <pic:blipFill>
                    <a:blip r:embed="rId82" cstate="screen">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anchor>
        </w:drawing>
      </w:r>
    </w:p>
    <w:tbl>
      <w:tblPr>
        <w:tblStyle w:val="Box"/>
        <w:tblW w:w="0" w:type="auto"/>
        <w:jc w:val="center"/>
        <w:tblLook w:val="04A0" w:firstRow="1" w:lastRow="0" w:firstColumn="1" w:lastColumn="0" w:noHBand="0" w:noVBand="1"/>
      </w:tblPr>
      <w:tblGrid>
        <w:gridCol w:w="4253"/>
        <w:gridCol w:w="940"/>
        <w:gridCol w:w="940"/>
        <w:gridCol w:w="757"/>
      </w:tblGrid>
      <w:tr w:rsidR="00F26358" w:rsidRPr="00F26358" w14:paraId="33218144" w14:textId="77777777" w:rsidTr="00F26358">
        <w:trPr>
          <w:trHeight w:val="300"/>
          <w:jc w:val="center"/>
        </w:trPr>
        <w:tc>
          <w:tcPr>
            <w:tcW w:w="4253" w:type="dxa"/>
            <w:hideMark/>
          </w:tcPr>
          <w:p w14:paraId="6A944309" w14:textId="77777777" w:rsidR="00F26358" w:rsidRPr="00F26358" w:rsidRDefault="00F26358" w:rsidP="00F26358">
            <w:pPr>
              <w:pStyle w:val="Source"/>
              <w:rPr>
                <w:sz w:val="2"/>
                <w:szCs w:val="2"/>
              </w:rPr>
            </w:pPr>
          </w:p>
        </w:tc>
        <w:tc>
          <w:tcPr>
            <w:tcW w:w="940" w:type="dxa"/>
            <w:hideMark/>
          </w:tcPr>
          <w:p w14:paraId="54DCA2E9" w14:textId="77777777" w:rsidR="00F26358" w:rsidRPr="00F26358" w:rsidRDefault="00F26358" w:rsidP="00F26358">
            <w:pPr>
              <w:pStyle w:val="Source"/>
              <w:rPr>
                <w:b/>
                <w:bCs/>
                <w:sz w:val="2"/>
                <w:szCs w:val="2"/>
              </w:rPr>
            </w:pPr>
            <w:r w:rsidRPr="00F26358">
              <w:rPr>
                <w:b/>
                <w:bCs/>
                <w:sz w:val="2"/>
                <w:szCs w:val="2"/>
              </w:rPr>
              <w:t>2018</w:t>
            </w:r>
          </w:p>
        </w:tc>
        <w:tc>
          <w:tcPr>
            <w:tcW w:w="940" w:type="dxa"/>
            <w:hideMark/>
          </w:tcPr>
          <w:p w14:paraId="2F629B0A" w14:textId="77777777" w:rsidR="00F26358" w:rsidRPr="00F26358" w:rsidRDefault="00F26358" w:rsidP="00F26358">
            <w:pPr>
              <w:pStyle w:val="Source"/>
              <w:rPr>
                <w:b/>
                <w:bCs/>
                <w:sz w:val="2"/>
                <w:szCs w:val="2"/>
              </w:rPr>
            </w:pPr>
            <w:r w:rsidRPr="00F26358">
              <w:rPr>
                <w:b/>
                <w:bCs/>
                <w:sz w:val="2"/>
                <w:szCs w:val="2"/>
              </w:rPr>
              <w:t>2021</w:t>
            </w:r>
          </w:p>
        </w:tc>
        <w:tc>
          <w:tcPr>
            <w:tcW w:w="757" w:type="dxa"/>
            <w:hideMark/>
          </w:tcPr>
          <w:p w14:paraId="74E292AA" w14:textId="77777777" w:rsidR="00F26358" w:rsidRPr="00F26358" w:rsidRDefault="00F26358" w:rsidP="00F26358">
            <w:pPr>
              <w:pStyle w:val="Source"/>
              <w:rPr>
                <w:b/>
                <w:bCs/>
                <w:sz w:val="2"/>
                <w:szCs w:val="2"/>
              </w:rPr>
            </w:pPr>
            <w:r w:rsidRPr="00F26358">
              <w:rPr>
                <w:b/>
                <w:bCs/>
                <w:sz w:val="2"/>
                <w:szCs w:val="2"/>
              </w:rPr>
              <w:t>2023</w:t>
            </w:r>
          </w:p>
        </w:tc>
      </w:tr>
      <w:tr w:rsidR="00F26358" w:rsidRPr="00F26358" w14:paraId="4FC2165B" w14:textId="77777777" w:rsidTr="00F26358">
        <w:trPr>
          <w:trHeight w:val="285"/>
          <w:jc w:val="center"/>
        </w:trPr>
        <w:tc>
          <w:tcPr>
            <w:tcW w:w="4253" w:type="dxa"/>
            <w:noWrap/>
            <w:hideMark/>
          </w:tcPr>
          <w:p w14:paraId="2768CAC6" w14:textId="77777777" w:rsidR="00F26358" w:rsidRPr="00F26358" w:rsidRDefault="00F26358" w:rsidP="00F26358">
            <w:pPr>
              <w:pStyle w:val="Source"/>
              <w:rPr>
                <w:sz w:val="2"/>
                <w:szCs w:val="2"/>
              </w:rPr>
            </w:pPr>
            <w:r w:rsidRPr="00F26358">
              <w:rPr>
                <w:sz w:val="2"/>
                <w:szCs w:val="2"/>
              </w:rPr>
              <w:t xml:space="preserve">1341 </w:t>
            </w:r>
            <w:proofErr w:type="gramStart"/>
            <w:r w:rsidRPr="00F26358">
              <w:rPr>
                <w:sz w:val="2"/>
                <w:szCs w:val="2"/>
              </w:rPr>
              <w:t>Child care</w:t>
            </w:r>
            <w:proofErr w:type="gramEnd"/>
            <w:r w:rsidRPr="00F26358">
              <w:rPr>
                <w:sz w:val="2"/>
                <w:szCs w:val="2"/>
              </w:rPr>
              <w:t xml:space="preserve"> centre managers</w:t>
            </w:r>
          </w:p>
        </w:tc>
        <w:tc>
          <w:tcPr>
            <w:tcW w:w="940" w:type="dxa"/>
            <w:noWrap/>
            <w:hideMark/>
          </w:tcPr>
          <w:p w14:paraId="7A37C2D3" w14:textId="77777777" w:rsidR="00F26358" w:rsidRPr="00F26358" w:rsidRDefault="00F26358" w:rsidP="00F26358">
            <w:pPr>
              <w:pStyle w:val="Source"/>
              <w:rPr>
                <w:sz w:val="2"/>
                <w:szCs w:val="2"/>
              </w:rPr>
            </w:pPr>
            <w:r w:rsidRPr="00F26358">
              <w:rPr>
                <w:sz w:val="2"/>
                <w:szCs w:val="2"/>
              </w:rPr>
              <w:t>$1,270.4</w:t>
            </w:r>
          </w:p>
        </w:tc>
        <w:tc>
          <w:tcPr>
            <w:tcW w:w="940" w:type="dxa"/>
            <w:noWrap/>
            <w:hideMark/>
          </w:tcPr>
          <w:p w14:paraId="483A21FF" w14:textId="77777777" w:rsidR="00F26358" w:rsidRPr="00F26358" w:rsidRDefault="00F26358" w:rsidP="00F26358">
            <w:pPr>
              <w:pStyle w:val="Source"/>
              <w:rPr>
                <w:sz w:val="2"/>
                <w:szCs w:val="2"/>
              </w:rPr>
            </w:pPr>
            <w:r w:rsidRPr="00F26358">
              <w:rPr>
                <w:sz w:val="2"/>
                <w:szCs w:val="2"/>
              </w:rPr>
              <w:t>$1,220.0</w:t>
            </w:r>
          </w:p>
        </w:tc>
        <w:tc>
          <w:tcPr>
            <w:tcW w:w="757" w:type="dxa"/>
            <w:noWrap/>
            <w:hideMark/>
          </w:tcPr>
          <w:p w14:paraId="79370B86" w14:textId="77777777" w:rsidR="00F26358" w:rsidRPr="00F26358" w:rsidRDefault="00F26358" w:rsidP="00F26358">
            <w:pPr>
              <w:pStyle w:val="Source"/>
              <w:rPr>
                <w:sz w:val="2"/>
                <w:szCs w:val="2"/>
              </w:rPr>
            </w:pPr>
            <w:r w:rsidRPr="00F26358">
              <w:rPr>
                <w:sz w:val="2"/>
                <w:szCs w:val="2"/>
              </w:rPr>
              <w:t>$1,389.0</w:t>
            </w:r>
          </w:p>
        </w:tc>
      </w:tr>
      <w:tr w:rsidR="00F26358" w:rsidRPr="00F26358" w14:paraId="756CF524" w14:textId="77777777" w:rsidTr="00F26358">
        <w:trPr>
          <w:trHeight w:val="300"/>
          <w:jc w:val="center"/>
        </w:trPr>
        <w:tc>
          <w:tcPr>
            <w:tcW w:w="4253" w:type="dxa"/>
            <w:noWrap/>
            <w:hideMark/>
          </w:tcPr>
          <w:p w14:paraId="63E07281" w14:textId="77777777" w:rsidR="00F26358" w:rsidRPr="00F26358" w:rsidRDefault="00F26358" w:rsidP="00F26358">
            <w:pPr>
              <w:pStyle w:val="Source"/>
              <w:rPr>
                <w:sz w:val="2"/>
                <w:szCs w:val="2"/>
              </w:rPr>
            </w:pPr>
            <w:r w:rsidRPr="00F26358">
              <w:rPr>
                <w:sz w:val="2"/>
                <w:szCs w:val="2"/>
              </w:rPr>
              <w:t>1342 Health and welfare services managers</w:t>
            </w:r>
          </w:p>
        </w:tc>
        <w:tc>
          <w:tcPr>
            <w:tcW w:w="940" w:type="dxa"/>
            <w:noWrap/>
            <w:hideMark/>
          </w:tcPr>
          <w:p w14:paraId="3495A9B6" w14:textId="77777777" w:rsidR="00F26358" w:rsidRPr="00F26358" w:rsidRDefault="00F26358" w:rsidP="00F26358">
            <w:pPr>
              <w:pStyle w:val="Source"/>
              <w:rPr>
                <w:sz w:val="2"/>
                <w:szCs w:val="2"/>
              </w:rPr>
            </w:pPr>
            <w:r w:rsidRPr="00F26358">
              <w:rPr>
                <w:sz w:val="2"/>
                <w:szCs w:val="2"/>
              </w:rPr>
              <w:t>$2,026.6</w:t>
            </w:r>
          </w:p>
        </w:tc>
        <w:tc>
          <w:tcPr>
            <w:tcW w:w="940" w:type="dxa"/>
            <w:noWrap/>
            <w:hideMark/>
          </w:tcPr>
          <w:p w14:paraId="6C9C85B4" w14:textId="77777777" w:rsidR="00F26358" w:rsidRPr="00F26358" w:rsidRDefault="00F26358" w:rsidP="00F26358">
            <w:pPr>
              <w:pStyle w:val="Source"/>
              <w:rPr>
                <w:sz w:val="2"/>
                <w:szCs w:val="2"/>
              </w:rPr>
            </w:pPr>
            <w:r w:rsidRPr="00F26358">
              <w:rPr>
                <w:sz w:val="2"/>
                <w:szCs w:val="2"/>
              </w:rPr>
              <w:t>$2,324.0</w:t>
            </w:r>
          </w:p>
        </w:tc>
        <w:tc>
          <w:tcPr>
            <w:tcW w:w="757" w:type="dxa"/>
            <w:noWrap/>
            <w:hideMark/>
          </w:tcPr>
          <w:p w14:paraId="4BC23B62" w14:textId="77777777" w:rsidR="00F26358" w:rsidRPr="00F26358" w:rsidRDefault="00F26358" w:rsidP="00F26358">
            <w:pPr>
              <w:pStyle w:val="Source"/>
              <w:rPr>
                <w:sz w:val="2"/>
                <w:szCs w:val="2"/>
              </w:rPr>
            </w:pPr>
            <w:r w:rsidRPr="00F26358">
              <w:rPr>
                <w:sz w:val="2"/>
                <w:szCs w:val="2"/>
              </w:rPr>
              <w:t>$1,071.0</w:t>
            </w:r>
          </w:p>
        </w:tc>
      </w:tr>
      <w:tr w:rsidR="00F26358" w:rsidRPr="00F26358" w14:paraId="2ACA7C08" w14:textId="77777777" w:rsidTr="00F26358">
        <w:trPr>
          <w:trHeight w:val="300"/>
          <w:jc w:val="center"/>
        </w:trPr>
        <w:tc>
          <w:tcPr>
            <w:tcW w:w="4253" w:type="dxa"/>
            <w:noWrap/>
            <w:hideMark/>
          </w:tcPr>
          <w:p w14:paraId="70055E69" w14:textId="77777777" w:rsidR="00F26358" w:rsidRPr="00F26358" w:rsidRDefault="00F26358" w:rsidP="00F26358">
            <w:pPr>
              <w:pStyle w:val="Source"/>
              <w:rPr>
                <w:sz w:val="2"/>
                <w:szCs w:val="2"/>
              </w:rPr>
            </w:pPr>
            <w:r w:rsidRPr="00F26358">
              <w:rPr>
                <w:sz w:val="2"/>
                <w:szCs w:val="2"/>
              </w:rPr>
              <w:t>2412 Primary school teachers</w:t>
            </w:r>
          </w:p>
        </w:tc>
        <w:tc>
          <w:tcPr>
            <w:tcW w:w="940" w:type="dxa"/>
            <w:noWrap/>
            <w:hideMark/>
          </w:tcPr>
          <w:p w14:paraId="1903D78F" w14:textId="77777777" w:rsidR="00F26358" w:rsidRPr="00F26358" w:rsidRDefault="00F26358" w:rsidP="00F26358">
            <w:pPr>
              <w:pStyle w:val="Source"/>
              <w:rPr>
                <w:sz w:val="2"/>
                <w:szCs w:val="2"/>
              </w:rPr>
            </w:pPr>
            <w:r w:rsidRPr="00F26358">
              <w:rPr>
                <w:sz w:val="2"/>
                <w:szCs w:val="2"/>
              </w:rPr>
              <w:t>$1,090.8</w:t>
            </w:r>
          </w:p>
        </w:tc>
        <w:tc>
          <w:tcPr>
            <w:tcW w:w="940" w:type="dxa"/>
            <w:noWrap/>
            <w:hideMark/>
          </w:tcPr>
          <w:p w14:paraId="437154B4" w14:textId="77777777" w:rsidR="00F26358" w:rsidRPr="00F26358" w:rsidRDefault="00F26358" w:rsidP="00F26358">
            <w:pPr>
              <w:pStyle w:val="Source"/>
              <w:rPr>
                <w:sz w:val="2"/>
                <w:szCs w:val="2"/>
              </w:rPr>
            </w:pPr>
            <w:r w:rsidRPr="00F26358">
              <w:rPr>
                <w:sz w:val="2"/>
                <w:szCs w:val="2"/>
              </w:rPr>
              <w:t>$1,663.3</w:t>
            </w:r>
          </w:p>
        </w:tc>
        <w:tc>
          <w:tcPr>
            <w:tcW w:w="757" w:type="dxa"/>
            <w:noWrap/>
            <w:hideMark/>
          </w:tcPr>
          <w:p w14:paraId="6DCB495E" w14:textId="77777777" w:rsidR="00F26358" w:rsidRPr="00F26358" w:rsidRDefault="00F26358" w:rsidP="00F26358">
            <w:pPr>
              <w:pStyle w:val="Source"/>
              <w:rPr>
                <w:sz w:val="2"/>
                <w:szCs w:val="2"/>
              </w:rPr>
            </w:pPr>
            <w:r w:rsidRPr="00F26358">
              <w:rPr>
                <w:sz w:val="2"/>
                <w:szCs w:val="2"/>
              </w:rPr>
              <w:t>$767.0</w:t>
            </w:r>
          </w:p>
        </w:tc>
      </w:tr>
      <w:tr w:rsidR="00F26358" w:rsidRPr="00F26358" w14:paraId="05D777CE" w14:textId="77777777" w:rsidTr="00F26358">
        <w:trPr>
          <w:trHeight w:val="300"/>
          <w:jc w:val="center"/>
        </w:trPr>
        <w:tc>
          <w:tcPr>
            <w:tcW w:w="4253" w:type="dxa"/>
            <w:noWrap/>
            <w:hideMark/>
          </w:tcPr>
          <w:p w14:paraId="35051380" w14:textId="77777777" w:rsidR="00F26358" w:rsidRPr="00F26358" w:rsidRDefault="00F26358" w:rsidP="00F26358">
            <w:pPr>
              <w:pStyle w:val="Source"/>
              <w:rPr>
                <w:sz w:val="2"/>
                <w:szCs w:val="2"/>
              </w:rPr>
            </w:pPr>
            <w:r w:rsidRPr="00F26358">
              <w:rPr>
                <w:sz w:val="2"/>
                <w:szCs w:val="2"/>
              </w:rPr>
              <w:t>2414 Secondary school teachers</w:t>
            </w:r>
          </w:p>
        </w:tc>
        <w:tc>
          <w:tcPr>
            <w:tcW w:w="940" w:type="dxa"/>
            <w:noWrap/>
            <w:hideMark/>
          </w:tcPr>
          <w:p w14:paraId="1EC9F21D" w14:textId="77777777" w:rsidR="00F26358" w:rsidRPr="00F26358" w:rsidRDefault="00F26358" w:rsidP="00F26358">
            <w:pPr>
              <w:pStyle w:val="Source"/>
              <w:rPr>
                <w:sz w:val="2"/>
                <w:szCs w:val="2"/>
              </w:rPr>
            </w:pPr>
            <w:r w:rsidRPr="00F26358">
              <w:rPr>
                <w:sz w:val="2"/>
                <w:szCs w:val="2"/>
              </w:rPr>
              <w:t>$1,439.6</w:t>
            </w:r>
          </w:p>
        </w:tc>
        <w:tc>
          <w:tcPr>
            <w:tcW w:w="940" w:type="dxa"/>
            <w:noWrap/>
            <w:hideMark/>
          </w:tcPr>
          <w:p w14:paraId="445A097E" w14:textId="77777777" w:rsidR="00F26358" w:rsidRPr="00F26358" w:rsidRDefault="00F26358" w:rsidP="00F26358">
            <w:pPr>
              <w:pStyle w:val="Source"/>
              <w:rPr>
                <w:sz w:val="2"/>
                <w:szCs w:val="2"/>
              </w:rPr>
            </w:pPr>
            <w:r w:rsidRPr="00F26358">
              <w:rPr>
                <w:sz w:val="2"/>
                <w:szCs w:val="2"/>
              </w:rPr>
              <w:t>$1,847.7</w:t>
            </w:r>
          </w:p>
        </w:tc>
        <w:tc>
          <w:tcPr>
            <w:tcW w:w="757" w:type="dxa"/>
            <w:noWrap/>
            <w:hideMark/>
          </w:tcPr>
          <w:p w14:paraId="4D2B0123" w14:textId="77777777" w:rsidR="00F26358" w:rsidRPr="00F26358" w:rsidRDefault="00F26358" w:rsidP="00F26358">
            <w:pPr>
              <w:pStyle w:val="Source"/>
              <w:rPr>
                <w:sz w:val="2"/>
                <w:szCs w:val="2"/>
              </w:rPr>
            </w:pPr>
            <w:r w:rsidRPr="00F26358">
              <w:rPr>
                <w:sz w:val="2"/>
                <w:szCs w:val="2"/>
              </w:rPr>
              <w:t>$761.0</w:t>
            </w:r>
          </w:p>
        </w:tc>
      </w:tr>
      <w:tr w:rsidR="00F26358" w:rsidRPr="00F26358" w14:paraId="70A7E8A8" w14:textId="77777777" w:rsidTr="00F26358">
        <w:trPr>
          <w:trHeight w:val="300"/>
          <w:jc w:val="center"/>
        </w:trPr>
        <w:tc>
          <w:tcPr>
            <w:tcW w:w="4253" w:type="dxa"/>
            <w:noWrap/>
            <w:hideMark/>
          </w:tcPr>
          <w:p w14:paraId="361BD661" w14:textId="77777777" w:rsidR="00F26358" w:rsidRPr="00F26358" w:rsidRDefault="00F26358" w:rsidP="00F26358">
            <w:pPr>
              <w:pStyle w:val="Source"/>
              <w:rPr>
                <w:sz w:val="2"/>
                <w:szCs w:val="2"/>
              </w:rPr>
            </w:pPr>
            <w:r w:rsidRPr="00F26358">
              <w:rPr>
                <w:sz w:val="2"/>
                <w:szCs w:val="2"/>
              </w:rPr>
              <w:t>2411 Early childhood (pre-primary school) teachers</w:t>
            </w:r>
          </w:p>
        </w:tc>
        <w:tc>
          <w:tcPr>
            <w:tcW w:w="940" w:type="dxa"/>
            <w:noWrap/>
            <w:hideMark/>
          </w:tcPr>
          <w:p w14:paraId="64FC1815" w14:textId="77777777" w:rsidR="00F26358" w:rsidRPr="00F26358" w:rsidRDefault="00F26358" w:rsidP="00F26358">
            <w:pPr>
              <w:pStyle w:val="Source"/>
              <w:rPr>
                <w:sz w:val="2"/>
                <w:szCs w:val="2"/>
              </w:rPr>
            </w:pPr>
            <w:r w:rsidRPr="00F26358">
              <w:rPr>
                <w:sz w:val="2"/>
                <w:szCs w:val="2"/>
              </w:rPr>
              <w:t>$1,704.0</w:t>
            </w:r>
          </w:p>
        </w:tc>
        <w:tc>
          <w:tcPr>
            <w:tcW w:w="940" w:type="dxa"/>
            <w:noWrap/>
            <w:hideMark/>
          </w:tcPr>
          <w:p w14:paraId="3634DD75" w14:textId="77777777" w:rsidR="00F26358" w:rsidRPr="00F26358" w:rsidRDefault="00F26358" w:rsidP="00F26358">
            <w:pPr>
              <w:pStyle w:val="Source"/>
              <w:rPr>
                <w:sz w:val="2"/>
                <w:szCs w:val="2"/>
              </w:rPr>
            </w:pPr>
            <w:r w:rsidRPr="00F26358">
              <w:rPr>
                <w:sz w:val="2"/>
                <w:szCs w:val="2"/>
              </w:rPr>
              <w:t>$1,219.1</w:t>
            </w:r>
          </w:p>
        </w:tc>
        <w:tc>
          <w:tcPr>
            <w:tcW w:w="757" w:type="dxa"/>
            <w:noWrap/>
            <w:hideMark/>
          </w:tcPr>
          <w:p w14:paraId="2520A6B3" w14:textId="77777777" w:rsidR="00F26358" w:rsidRPr="00F26358" w:rsidRDefault="00F26358" w:rsidP="00F26358">
            <w:pPr>
              <w:pStyle w:val="Source"/>
              <w:rPr>
                <w:sz w:val="2"/>
                <w:szCs w:val="2"/>
              </w:rPr>
            </w:pPr>
            <w:r w:rsidRPr="00F26358">
              <w:rPr>
                <w:sz w:val="2"/>
                <w:szCs w:val="2"/>
              </w:rPr>
              <w:t>$2,274.0</w:t>
            </w:r>
          </w:p>
        </w:tc>
      </w:tr>
      <w:tr w:rsidR="00F26358" w:rsidRPr="00F26358" w14:paraId="1E7F745C" w14:textId="77777777" w:rsidTr="00F26358">
        <w:trPr>
          <w:trHeight w:val="300"/>
          <w:jc w:val="center"/>
        </w:trPr>
        <w:tc>
          <w:tcPr>
            <w:tcW w:w="4253" w:type="dxa"/>
            <w:noWrap/>
            <w:hideMark/>
          </w:tcPr>
          <w:p w14:paraId="749567BE" w14:textId="77777777" w:rsidR="00F26358" w:rsidRPr="00F26358" w:rsidRDefault="00F26358" w:rsidP="00F26358">
            <w:pPr>
              <w:pStyle w:val="Source"/>
              <w:rPr>
                <w:sz w:val="2"/>
                <w:szCs w:val="2"/>
              </w:rPr>
            </w:pPr>
            <w:r w:rsidRPr="00F26358">
              <w:rPr>
                <w:sz w:val="2"/>
                <w:szCs w:val="2"/>
              </w:rPr>
              <w:t>4211 Child carers</w:t>
            </w:r>
          </w:p>
        </w:tc>
        <w:tc>
          <w:tcPr>
            <w:tcW w:w="940" w:type="dxa"/>
            <w:noWrap/>
            <w:hideMark/>
          </w:tcPr>
          <w:p w14:paraId="22B9E7D3" w14:textId="77777777" w:rsidR="00F26358" w:rsidRPr="00F26358" w:rsidRDefault="00F26358" w:rsidP="00F26358">
            <w:pPr>
              <w:pStyle w:val="Source"/>
              <w:rPr>
                <w:sz w:val="2"/>
                <w:szCs w:val="2"/>
              </w:rPr>
            </w:pPr>
            <w:r w:rsidRPr="00F26358">
              <w:rPr>
                <w:sz w:val="2"/>
                <w:szCs w:val="2"/>
              </w:rPr>
              <w:t>$687.4</w:t>
            </w:r>
          </w:p>
        </w:tc>
        <w:tc>
          <w:tcPr>
            <w:tcW w:w="940" w:type="dxa"/>
            <w:noWrap/>
            <w:hideMark/>
          </w:tcPr>
          <w:p w14:paraId="50FF509C" w14:textId="77777777" w:rsidR="00F26358" w:rsidRPr="00F26358" w:rsidRDefault="00F26358" w:rsidP="00F26358">
            <w:pPr>
              <w:pStyle w:val="Source"/>
              <w:rPr>
                <w:sz w:val="2"/>
                <w:szCs w:val="2"/>
              </w:rPr>
            </w:pPr>
            <w:r w:rsidRPr="00F26358">
              <w:rPr>
                <w:sz w:val="2"/>
                <w:szCs w:val="2"/>
              </w:rPr>
              <w:t>$798.7</w:t>
            </w:r>
          </w:p>
        </w:tc>
        <w:tc>
          <w:tcPr>
            <w:tcW w:w="757" w:type="dxa"/>
            <w:noWrap/>
            <w:hideMark/>
          </w:tcPr>
          <w:p w14:paraId="6DC44B08" w14:textId="77777777" w:rsidR="00F26358" w:rsidRPr="00F26358" w:rsidRDefault="00F26358" w:rsidP="00F26358">
            <w:pPr>
              <w:pStyle w:val="Source"/>
              <w:rPr>
                <w:sz w:val="2"/>
                <w:szCs w:val="2"/>
              </w:rPr>
            </w:pPr>
            <w:r w:rsidRPr="00F26358">
              <w:rPr>
                <w:sz w:val="2"/>
                <w:szCs w:val="2"/>
              </w:rPr>
              <w:t>$1,722.0</w:t>
            </w:r>
          </w:p>
        </w:tc>
      </w:tr>
      <w:tr w:rsidR="00F26358" w:rsidRPr="00F26358" w14:paraId="5ECCB75C" w14:textId="77777777" w:rsidTr="00F26358">
        <w:trPr>
          <w:trHeight w:val="300"/>
          <w:jc w:val="center"/>
        </w:trPr>
        <w:tc>
          <w:tcPr>
            <w:tcW w:w="4253" w:type="dxa"/>
            <w:noWrap/>
            <w:hideMark/>
          </w:tcPr>
          <w:p w14:paraId="1A9FAA0B" w14:textId="77777777" w:rsidR="00F26358" w:rsidRPr="00F26358" w:rsidRDefault="00F26358" w:rsidP="00F26358">
            <w:pPr>
              <w:pStyle w:val="Source"/>
              <w:rPr>
                <w:sz w:val="2"/>
                <w:szCs w:val="2"/>
              </w:rPr>
            </w:pPr>
            <w:r w:rsidRPr="00F26358">
              <w:rPr>
                <w:sz w:val="2"/>
                <w:szCs w:val="2"/>
              </w:rPr>
              <w:t>4221 Education aides</w:t>
            </w:r>
          </w:p>
        </w:tc>
        <w:tc>
          <w:tcPr>
            <w:tcW w:w="940" w:type="dxa"/>
            <w:noWrap/>
            <w:hideMark/>
          </w:tcPr>
          <w:p w14:paraId="7A4B1972" w14:textId="77777777" w:rsidR="00F26358" w:rsidRPr="00F26358" w:rsidRDefault="00F26358" w:rsidP="00F26358">
            <w:pPr>
              <w:pStyle w:val="Source"/>
              <w:rPr>
                <w:sz w:val="2"/>
                <w:szCs w:val="2"/>
              </w:rPr>
            </w:pPr>
            <w:r w:rsidRPr="00F26358">
              <w:rPr>
                <w:sz w:val="2"/>
                <w:szCs w:val="2"/>
              </w:rPr>
              <w:t>$681.2</w:t>
            </w:r>
          </w:p>
        </w:tc>
        <w:tc>
          <w:tcPr>
            <w:tcW w:w="940" w:type="dxa"/>
            <w:noWrap/>
            <w:hideMark/>
          </w:tcPr>
          <w:p w14:paraId="2E1C261F" w14:textId="77777777" w:rsidR="00F26358" w:rsidRPr="00F26358" w:rsidRDefault="00F26358" w:rsidP="00F26358">
            <w:pPr>
              <w:pStyle w:val="Source"/>
              <w:rPr>
                <w:sz w:val="2"/>
                <w:szCs w:val="2"/>
              </w:rPr>
            </w:pPr>
            <w:r w:rsidRPr="00F26358">
              <w:rPr>
                <w:sz w:val="2"/>
                <w:szCs w:val="2"/>
              </w:rPr>
              <w:t>$780.2</w:t>
            </w:r>
          </w:p>
        </w:tc>
        <w:tc>
          <w:tcPr>
            <w:tcW w:w="757" w:type="dxa"/>
            <w:noWrap/>
            <w:hideMark/>
          </w:tcPr>
          <w:p w14:paraId="08EF48E9" w14:textId="77777777" w:rsidR="00F26358" w:rsidRPr="00F26358" w:rsidRDefault="00F26358" w:rsidP="00F26358">
            <w:pPr>
              <w:pStyle w:val="Source"/>
              <w:rPr>
                <w:sz w:val="2"/>
                <w:szCs w:val="2"/>
              </w:rPr>
            </w:pPr>
            <w:r w:rsidRPr="00F26358">
              <w:rPr>
                <w:sz w:val="2"/>
                <w:szCs w:val="2"/>
              </w:rPr>
              <w:t>$1,921.0</w:t>
            </w:r>
          </w:p>
        </w:tc>
      </w:tr>
      <w:tr w:rsidR="00F26358" w:rsidRPr="00F26358" w14:paraId="53CEBE23" w14:textId="77777777" w:rsidTr="00F26358">
        <w:trPr>
          <w:trHeight w:val="300"/>
          <w:jc w:val="center"/>
        </w:trPr>
        <w:tc>
          <w:tcPr>
            <w:tcW w:w="4253" w:type="dxa"/>
            <w:noWrap/>
            <w:hideMark/>
          </w:tcPr>
          <w:p w14:paraId="6EA31E69" w14:textId="77777777" w:rsidR="00F26358" w:rsidRPr="00F26358" w:rsidRDefault="00F26358" w:rsidP="00F26358">
            <w:pPr>
              <w:pStyle w:val="Source"/>
              <w:rPr>
                <w:sz w:val="2"/>
                <w:szCs w:val="2"/>
              </w:rPr>
            </w:pPr>
            <w:r w:rsidRPr="00F26358">
              <w:rPr>
                <w:sz w:val="2"/>
                <w:szCs w:val="2"/>
              </w:rPr>
              <w:t>4231 Aged and disabled carers</w:t>
            </w:r>
          </w:p>
        </w:tc>
        <w:tc>
          <w:tcPr>
            <w:tcW w:w="940" w:type="dxa"/>
            <w:noWrap/>
            <w:hideMark/>
          </w:tcPr>
          <w:p w14:paraId="02D281C2" w14:textId="77777777" w:rsidR="00F26358" w:rsidRPr="00F26358" w:rsidRDefault="00F26358" w:rsidP="00F26358">
            <w:pPr>
              <w:pStyle w:val="Source"/>
              <w:rPr>
                <w:sz w:val="2"/>
                <w:szCs w:val="2"/>
              </w:rPr>
            </w:pPr>
            <w:r w:rsidRPr="00F26358">
              <w:rPr>
                <w:sz w:val="2"/>
                <w:szCs w:val="2"/>
              </w:rPr>
              <w:t>$707.1</w:t>
            </w:r>
          </w:p>
        </w:tc>
        <w:tc>
          <w:tcPr>
            <w:tcW w:w="940" w:type="dxa"/>
            <w:noWrap/>
            <w:hideMark/>
          </w:tcPr>
          <w:p w14:paraId="60C89A42" w14:textId="77777777" w:rsidR="00F26358" w:rsidRPr="00F26358" w:rsidRDefault="00F26358" w:rsidP="00F26358">
            <w:pPr>
              <w:pStyle w:val="Source"/>
              <w:rPr>
                <w:sz w:val="2"/>
                <w:szCs w:val="2"/>
              </w:rPr>
            </w:pPr>
            <w:r w:rsidRPr="00F26358">
              <w:rPr>
                <w:sz w:val="2"/>
                <w:szCs w:val="2"/>
              </w:rPr>
              <w:t>$802.4</w:t>
            </w:r>
          </w:p>
        </w:tc>
        <w:tc>
          <w:tcPr>
            <w:tcW w:w="757" w:type="dxa"/>
            <w:noWrap/>
            <w:hideMark/>
          </w:tcPr>
          <w:p w14:paraId="0AD2CB52" w14:textId="77777777" w:rsidR="00F26358" w:rsidRPr="00F26358" w:rsidRDefault="00F26358" w:rsidP="00F26358">
            <w:pPr>
              <w:pStyle w:val="Source"/>
              <w:rPr>
                <w:sz w:val="2"/>
                <w:szCs w:val="2"/>
              </w:rPr>
            </w:pPr>
            <w:r w:rsidRPr="00F26358">
              <w:rPr>
                <w:sz w:val="2"/>
                <w:szCs w:val="2"/>
              </w:rPr>
              <w:t>$894.0</w:t>
            </w:r>
          </w:p>
        </w:tc>
      </w:tr>
      <w:tr w:rsidR="00F26358" w:rsidRPr="00F26358" w14:paraId="1236B89F" w14:textId="77777777" w:rsidTr="00F26358">
        <w:trPr>
          <w:trHeight w:val="300"/>
          <w:jc w:val="center"/>
        </w:trPr>
        <w:tc>
          <w:tcPr>
            <w:tcW w:w="4253" w:type="dxa"/>
            <w:noWrap/>
            <w:hideMark/>
          </w:tcPr>
          <w:p w14:paraId="3D612B24" w14:textId="77777777" w:rsidR="00F26358" w:rsidRPr="00F26358" w:rsidRDefault="00F26358" w:rsidP="00F26358">
            <w:pPr>
              <w:pStyle w:val="Source"/>
              <w:rPr>
                <w:sz w:val="2"/>
                <w:szCs w:val="2"/>
              </w:rPr>
            </w:pPr>
            <w:r w:rsidRPr="00F26358">
              <w:rPr>
                <w:sz w:val="2"/>
                <w:szCs w:val="2"/>
              </w:rPr>
              <w:t>5311 General clerks</w:t>
            </w:r>
          </w:p>
        </w:tc>
        <w:tc>
          <w:tcPr>
            <w:tcW w:w="940" w:type="dxa"/>
            <w:noWrap/>
            <w:hideMark/>
          </w:tcPr>
          <w:p w14:paraId="53C0E988" w14:textId="77777777" w:rsidR="00F26358" w:rsidRPr="00F26358" w:rsidRDefault="00F26358" w:rsidP="00F26358">
            <w:pPr>
              <w:pStyle w:val="Source"/>
              <w:rPr>
                <w:sz w:val="2"/>
                <w:szCs w:val="2"/>
              </w:rPr>
            </w:pPr>
            <w:r w:rsidRPr="00F26358">
              <w:rPr>
                <w:sz w:val="2"/>
                <w:szCs w:val="2"/>
              </w:rPr>
              <w:t>$897.5</w:t>
            </w:r>
          </w:p>
        </w:tc>
        <w:tc>
          <w:tcPr>
            <w:tcW w:w="940" w:type="dxa"/>
            <w:noWrap/>
            <w:hideMark/>
          </w:tcPr>
          <w:p w14:paraId="2ACBDE00" w14:textId="77777777" w:rsidR="00F26358" w:rsidRPr="00F26358" w:rsidRDefault="00F26358" w:rsidP="00F26358">
            <w:pPr>
              <w:pStyle w:val="Source"/>
              <w:rPr>
                <w:sz w:val="2"/>
                <w:szCs w:val="2"/>
              </w:rPr>
            </w:pPr>
            <w:r w:rsidRPr="00F26358">
              <w:rPr>
                <w:sz w:val="2"/>
                <w:szCs w:val="2"/>
              </w:rPr>
              <w:t>$932.2</w:t>
            </w:r>
          </w:p>
        </w:tc>
        <w:tc>
          <w:tcPr>
            <w:tcW w:w="757" w:type="dxa"/>
            <w:noWrap/>
            <w:hideMark/>
          </w:tcPr>
          <w:p w14:paraId="6A106670" w14:textId="77777777" w:rsidR="00F26358" w:rsidRPr="00F26358" w:rsidRDefault="00F26358" w:rsidP="00F26358">
            <w:pPr>
              <w:pStyle w:val="Source"/>
              <w:rPr>
                <w:sz w:val="2"/>
                <w:szCs w:val="2"/>
              </w:rPr>
            </w:pPr>
            <w:r w:rsidRPr="00F26358">
              <w:rPr>
                <w:sz w:val="2"/>
                <w:szCs w:val="2"/>
              </w:rPr>
              <w:t>$1,030.0</w:t>
            </w:r>
          </w:p>
        </w:tc>
      </w:tr>
      <w:tr w:rsidR="00F26358" w:rsidRPr="00F26358" w14:paraId="3186BFE2" w14:textId="77777777" w:rsidTr="00F26358">
        <w:trPr>
          <w:trHeight w:val="300"/>
          <w:jc w:val="center"/>
        </w:trPr>
        <w:tc>
          <w:tcPr>
            <w:tcW w:w="4253" w:type="dxa"/>
            <w:noWrap/>
            <w:hideMark/>
          </w:tcPr>
          <w:p w14:paraId="58556EBF" w14:textId="77777777" w:rsidR="00F26358" w:rsidRPr="00F26358" w:rsidRDefault="00F26358" w:rsidP="00F26358">
            <w:pPr>
              <w:pStyle w:val="Source"/>
              <w:rPr>
                <w:sz w:val="2"/>
                <w:szCs w:val="2"/>
              </w:rPr>
            </w:pPr>
            <w:r w:rsidRPr="00F26358">
              <w:rPr>
                <w:sz w:val="2"/>
                <w:szCs w:val="2"/>
              </w:rPr>
              <w:t>6211 Sales assistants (general)</w:t>
            </w:r>
          </w:p>
        </w:tc>
        <w:tc>
          <w:tcPr>
            <w:tcW w:w="940" w:type="dxa"/>
            <w:noWrap/>
            <w:hideMark/>
          </w:tcPr>
          <w:p w14:paraId="60867E0F" w14:textId="77777777" w:rsidR="00F26358" w:rsidRPr="00F26358" w:rsidRDefault="00F26358" w:rsidP="00F26358">
            <w:pPr>
              <w:pStyle w:val="Source"/>
              <w:rPr>
                <w:sz w:val="2"/>
                <w:szCs w:val="2"/>
              </w:rPr>
            </w:pPr>
            <w:r w:rsidRPr="00F26358">
              <w:rPr>
                <w:sz w:val="2"/>
                <w:szCs w:val="2"/>
              </w:rPr>
              <w:t>$484.0</w:t>
            </w:r>
          </w:p>
        </w:tc>
        <w:tc>
          <w:tcPr>
            <w:tcW w:w="940" w:type="dxa"/>
            <w:noWrap/>
            <w:hideMark/>
          </w:tcPr>
          <w:p w14:paraId="229EFC23" w14:textId="77777777" w:rsidR="00F26358" w:rsidRPr="00F26358" w:rsidRDefault="00F26358" w:rsidP="00F26358">
            <w:pPr>
              <w:pStyle w:val="Source"/>
              <w:rPr>
                <w:sz w:val="2"/>
                <w:szCs w:val="2"/>
              </w:rPr>
            </w:pPr>
            <w:r w:rsidRPr="00F26358">
              <w:rPr>
                <w:sz w:val="2"/>
                <w:szCs w:val="2"/>
              </w:rPr>
              <w:t>$493.0</w:t>
            </w:r>
          </w:p>
        </w:tc>
        <w:tc>
          <w:tcPr>
            <w:tcW w:w="757" w:type="dxa"/>
            <w:noWrap/>
            <w:hideMark/>
          </w:tcPr>
          <w:p w14:paraId="483B99C4" w14:textId="77777777" w:rsidR="00F26358" w:rsidRPr="00F26358" w:rsidRDefault="00F26358" w:rsidP="00F26358">
            <w:pPr>
              <w:pStyle w:val="Source"/>
              <w:rPr>
                <w:sz w:val="2"/>
                <w:szCs w:val="2"/>
              </w:rPr>
            </w:pPr>
            <w:r w:rsidRPr="00F26358">
              <w:rPr>
                <w:sz w:val="2"/>
                <w:szCs w:val="2"/>
              </w:rPr>
              <w:t>$491.0</w:t>
            </w:r>
          </w:p>
        </w:tc>
      </w:tr>
    </w:tbl>
    <w:p w14:paraId="24AC3613" w14:textId="77777777" w:rsidR="00F26358" w:rsidRDefault="00F26358" w:rsidP="00887E52">
      <w:pPr>
        <w:pStyle w:val="Source"/>
      </w:pPr>
    </w:p>
    <w:p w14:paraId="78EDEDC7" w14:textId="77777777" w:rsidR="00F26358" w:rsidRDefault="00F26358" w:rsidP="00887E52">
      <w:pPr>
        <w:pStyle w:val="Source"/>
      </w:pPr>
    </w:p>
    <w:p w14:paraId="3F4F5F2A" w14:textId="77777777" w:rsidR="00F26358" w:rsidRDefault="00F26358" w:rsidP="00887E52">
      <w:pPr>
        <w:pStyle w:val="Source"/>
      </w:pPr>
    </w:p>
    <w:p w14:paraId="77C6BAF3" w14:textId="77777777" w:rsidR="00F26358" w:rsidRDefault="00F26358" w:rsidP="00887E52">
      <w:pPr>
        <w:pStyle w:val="Source"/>
      </w:pPr>
    </w:p>
    <w:p w14:paraId="5917B8A4" w14:textId="77777777" w:rsidR="00F26358" w:rsidRDefault="00F26358" w:rsidP="00887E52">
      <w:pPr>
        <w:pStyle w:val="Source"/>
      </w:pPr>
    </w:p>
    <w:p w14:paraId="45777EBD" w14:textId="77777777" w:rsidR="00F26358" w:rsidRDefault="00F26358" w:rsidP="00887E52">
      <w:pPr>
        <w:pStyle w:val="Source"/>
      </w:pPr>
    </w:p>
    <w:p w14:paraId="5C8012A2" w14:textId="77777777" w:rsidR="00F26358" w:rsidRDefault="00F26358" w:rsidP="00887E52">
      <w:pPr>
        <w:pStyle w:val="Source"/>
      </w:pPr>
    </w:p>
    <w:p w14:paraId="18BFFD02" w14:textId="77777777" w:rsidR="00F26358" w:rsidRDefault="00F26358" w:rsidP="00887E52">
      <w:pPr>
        <w:pStyle w:val="Source"/>
      </w:pPr>
    </w:p>
    <w:p w14:paraId="4BE7067A" w14:textId="77777777" w:rsidR="00F26358" w:rsidRDefault="00F26358" w:rsidP="00887E52">
      <w:pPr>
        <w:pStyle w:val="Source"/>
      </w:pPr>
    </w:p>
    <w:p w14:paraId="36A781E9" w14:textId="77777777" w:rsidR="00F26358" w:rsidRDefault="00F26358" w:rsidP="00887E52">
      <w:pPr>
        <w:pStyle w:val="Source"/>
      </w:pPr>
    </w:p>
    <w:p w14:paraId="660ADB71" w14:textId="77777777" w:rsidR="00F26358" w:rsidRDefault="00F26358" w:rsidP="00887E52">
      <w:pPr>
        <w:pStyle w:val="Source"/>
      </w:pPr>
    </w:p>
    <w:p w14:paraId="688C4FFF" w14:textId="77777777" w:rsidR="00F26358" w:rsidRDefault="00F26358" w:rsidP="00887E52">
      <w:pPr>
        <w:pStyle w:val="Source"/>
      </w:pPr>
    </w:p>
    <w:p w14:paraId="32E43ED1" w14:textId="77777777" w:rsidR="00F26358" w:rsidRDefault="00F26358" w:rsidP="00887E52">
      <w:pPr>
        <w:pStyle w:val="Source"/>
      </w:pPr>
    </w:p>
    <w:p w14:paraId="3D98EBA8" w14:textId="77777777" w:rsidR="00F26358" w:rsidRDefault="00F26358" w:rsidP="00887E52">
      <w:pPr>
        <w:pStyle w:val="Source"/>
      </w:pPr>
    </w:p>
    <w:p w14:paraId="3488ECA6" w14:textId="77777777" w:rsidR="00F26358" w:rsidRDefault="00F26358" w:rsidP="00887E52">
      <w:pPr>
        <w:pStyle w:val="Source"/>
      </w:pPr>
    </w:p>
    <w:p w14:paraId="7BDDF293" w14:textId="77777777" w:rsidR="00F26358" w:rsidRDefault="00F26358" w:rsidP="00887E52">
      <w:pPr>
        <w:pStyle w:val="Source"/>
      </w:pPr>
    </w:p>
    <w:p w14:paraId="59ED81BF" w14:textId="03EB7B18" w:rsidR="00F47B0F" w:rsidRPr="00F47B0F" w:rsidRDefault="00F47B0F" w:rsidP="00887E52">
      <w:pPr>
        <w:pStyle w:val="Source"/>
      </w:pPr>
      <w:r w:rsidRPr="00F47B0F">
        <w:t>Source: ABS Employee Earnings and Hours, 2018, 2021, and 2023, Tablebuilder</w:t>
      </w:r>
    </w:p>
    <w:p w14:paraId="07975FD2" w14:textId="77777777" w:rsidR="00F47B0F" w:rsidRPr="00F47B0F" w:rsidRDefault="00F47B0F" w:rsidP="00F47B0F">
      <w:r w:rsidRPr="00F47B0F">
        <w:t xml:space="preserve">As detailed above, the ECEC workforce (particularly the educator role) has a high degree of award reliance, as do many of the comparator occupations. </w:t>
      </w:r>
      <w:r w:rsidRPr="00F47B0F">
        <w:fldChar w:fldCharType="begin" w:fldLock="1"/>
      </w:r>
      <w:r w:rsidRPr="00F47B0F">
        <w:instrText xml:space="preserve"> REF _Ref169103396 \h </w:instrText>
      </w:r>
      <w:r w:rsidRPr="00F47B0F">
        <w:fldChar w:fldCharType="separate"/>
      </w:r>
      <w:r w:rsidRPr="00F47B0F">
        <w:t>Table 2.</w:t>
      </w:r>
      <w:r w:rsidRPr="00F47B0F">
        <w:rPr>
          <w:noProof/>
        </w:rPr>
        <w:t>5</w:t>
      </w:r>
      <w:r w:rsidRPr="00F47B0F">
        <w:fldChar w:fldCharType="end"/>
      </w:r>
      <w:r w:rsidRPr="00F47B0F">
        <w:t xml:space="preserve"> shows selected award rates of pay (as </w:t>
      </w:r>
      <w:bookmarkStart w:id="96" w:name="_Int_HrDvtUjS"/>
      <w:proofErr w:type="gramStart"/>
      <w:r w:rsidRPr="00F47B0F">
        <w:t>at</w:t>
      </w:r>
      <w:bookmarkEnd w:id="96"/>
      <w:proofErr w:type="gramEnd"/>
      <w:r w:rsidRPr="00F47B0F">
        <w:t xml:space="preserve"> 4 January 2024) for award classifications in the Children’s Services, Aged Care, Hospitality (General), General Retail and Clerical – Private Sector modern awards. The chosen classifications are the minimum for a worker with a relevant Certificate III-level classification in Children’s Services and Aged Care, and the minimum classification for the other awards. Pay rates in all cases reflect adults aged 21 years or older who are employed casually and not apprentices or trainees nor receiving a supported wage. The table also includes the current national minimum wage for a casual employee. The results support the above findings, reflecting that minimum rates of pay for Certificate III qualified workers in Children’s Services are lower than in Aged Care, and only 10% above the rates for workers not requiring a qualification or significant experience in the retail and hospitality industries or clerical roles. </w:t>
      </w:r>
    </w:p>
    <w:p w14:paraId="5543B030" w14:textId="50D7BF90" w:rsidR="00F47B0F" w:rsidRPr="00F47B0F" w:rsidRDefault="00F47B0F" w:rsidP="00887E52">
      <w:pPr>
        <w:pStyle w:val="Caption"/>
      </w:pPr>
      <w:bookmarkStart w:id="97" w:name="_Ref155372310"/>
      <w:bookmarkStart w:id="98" w:name="_Ref169103396"/>
      <w:r w:rsidRPr="00F47B0F">
        <w:lastRenderedPageBreak/>
        <w:t>Table 2.</w:t>
      </w:r>
      <w:r w:rsidRPr="00F47B0F">
        <w:fldChar w:fldCharType="begin"/>
      </w:r>
      <w:r w:rsidRPr="00F47B0F">
        <w:instrText xml:space="preserve"> SEQ Table \* ARABIC \s 1 </w:instrText>
      </w:r>
      <w:r w:rsidRPr="00F47B0F">
        <w:fldChar w:fldCharType="separate"/>
      </w:r>
      <w:r w:rsidR="005F18C1">
        <w:rPr>
          <w:noProof/>
        </w:rPr>
        <w:t>5</w:t>
      </w:r>
      <w:r w:rsidRPr="00F47B0F">
        <w:fldChar w:fldCharType="end"/>
      </w:r>
      <w:bookmarkEnd w:id="97"/>
      <w:bookmarkEnd w:id="98"/>
      <w:r w:rsidRPr="00F47B0F">
        <w:t xml:space="preserve"> Award rates of pay</w:t>
      </w:r>
    </w:p>
    <w:tbl>
      <w:tblPr>
        <w:tblW w:w="0" w:type="auto"/>
        <w:tblLook w:val="0020" w:firstRow="1" w:lastRow="0" w:firstColumn="0" w:lastColumn="0" w:noHBand="0" w:noVBand="0"/>
      </w:tblPr>
      <w:tblGrid>
        <w:gridCol w:w="4536"/>
        <w:gridCol w:w="2268"/>
        <w:gridCol w:w="2222"/>
      </w:tblGrid>
      <w:tr w:rsidR="00F47B0F" w:rsidRPr="00F47B0F" w14:paraId="1056D4BA" w14:textId="77777777" w:rsidTr="000F6884">
        <w:trPr>
          <w:tblHeader/>
        </w:trPr>
        <w:tc>
          <w:tcPr>
            <w:tcW w:w="4536" w:type="dxa"/>
            <w:shd w:val="clear" w:color="auto" w:fill="320C53" w:themeFill="text2" w:themeFillShade="BF"/>
          </w:tcPr>
          <w:p w14:paraId="20CB046C" w14:textId="77777777" w:rsidR="00F47B0F" w:rsidRPr="00F47B0F" w:rsidRDefault="00F47B0F" w:rsidP="00F47B0F">
            <w:pPr>
              <w:rPr>
                <w:b/>
                <w:bCs/>
                <w:color w:val="FFFFFF" w:themeColor="background1"/>
                <w:sz w:val="20"/>
                <w:szCs w:val="20"/>
              </w:rPr>
            </w:pPr>
          </w:p>
        </w:tc>
        <w:tc>
          <w:tcPr>
            <w:tcW w:w="2268" w:type="dxa"/>
            <w:shd w:val="clear" w:color="auto" w:fill="320C53" w:themeFill="text2" w:themeFillShade="BF"/>
          </w:tcPr>
          <w:p w14:paraId="277554B0" w14:textId="77777777" w:rsidR="00F47B0F" w:rsidRPr="00F47B0F" w:rsidRDefault="00F47B0F" w:rsidP="00F47B0F">
            <w:pPr>
              <w:jc w:val="center"/>
              <w:rPr>
                <w:b/>
                <w:bCs/>
                <w:color w:val="FFFFFF" w:themeColor="background1"/>
                <w:sz w:val="20"/>
                <w:szCs w:val="20"/>
              </w:rPr>
            </w:pPr>
            <w:r w:rsidRPr="00F47B0F">
              <w:rPr>
                <w:b/>
                <w:bCs/>
                <w:color w:val="FFFFFF" w:themeColor="background1"/>
                <w:sz w:val="20"/>
                <w:szCs w:val="20"/>
              </w:rPr>
              <w:t>Hourly rate of pay (casual) ($)</w:t>
            </w:r>
          </w:p>
        </w:tc>
        <w:tc>
          <w:tcPr>
            <w:tcW w:w="2222" w:type="dxa"/>
            <w:shd w:val="clear" w:color="auto" w:fill="320C53" w:themeFill="text2" w:themeFillShade="BF"/>
          </w:tcPr>
          <w:p w14:paraId="5B3EB948" w14:textId="77777777" w:rsidR="00F47B0F" w:rsidRPr="00F47B0F" w:rsidRDefault="00F47B0F" w:rsidP="00F47B0F">
            <w:pPr>
              <w:jc w:val="center"/>
              <w:rPr>
                <w:b/>
                <w:bCs/>
                <w:color w:val="FFFFFF" w:themeColor="background1"/>
                <w:sz w:val="20"/>
                <w:szCs w:val="20"/>
              </w:rPr>
            </w:pPr>
            <w:r w:rsidRPr="00F47B0F">
              <w:rPr>
                <w:b/>
                <w:bCs/>
                <w:color w:val="FFFFFF" w:themeColor="background1"/>
                <w:sz w:val="20"/>
                <w:szCs w:val="20"/>
              </w:rPr>
              <w:t>% of Children’s Services 3.1</w:t>
            </w:r>
            <w:r w:rsidRPr="00F47B0F">
              <w:rPr>
                <w:b/>
                <w:bCs/>
                <w:color w:val="FFFFFF" w:themeColor="background1"/>
                <w:sz w:val="20"/>
                <w:szCs w:val="20"/>
                <w:vertAlign w:val="superscript"/>
              </w:rPr>
              <w:footnoteReference w:id="33"/>
            </w:r>
            <w:r w:rsidRPr="00F47B0F">
              <w:rPr>
                <w:b/>
                <w:bCs/>
                <w:color w:val="FFFFFF" w:themeColor="background1"/>
                <w:sz w:val="20"/>
                <w:szCs w:val="20"/>
              </w:rPr>
              <w:t xml:space="preserve"> rate</w:t>
            </w:r>
          </w:p>
        </w:tc>
      </w:tr>
      <w:tr w:rsidR="00F47B0F" w:rsidRPr="00F47B0F" w14:paraId="761A1BD8" w14:textId="77777777" w:rsidTr="000F6884">
        <w:tc>
          <w:tcPr>
            <w:tcW w:w="4536" w:type="dxa"/>
            <w:vAlign w:val="bottom"/>
          </w:tcPr>
          <w:p w14:paraId="6E2BA7AD" w14:textId="77777777" w:rsidR="00F47B0F" w:rsidRPr="00F47B0F" w:rsidRDefault="00F47B0F" w:rsidP="00F47B0F">
            <w:pPr>
              <w:rPr>
                <w:sz w:val="20"/>
                <w:szCs w:val="20"/>
              </w:rPr>
            </w:pPr>
            <w:r w:rsidRPr="00F47B0F">
              <w:rPr>
                <w:sz w:val="20"/>
                <w:szCs w:val="20"/>
              </w:rPr>
              <w:t>Children's Services employee level 3.1</w:t>
            </w:r>
          </w:p>
        </w:tc>
        <w:tc>
          <w:tcPr>
            <w:tcW w:w="2268" w:type="dxa"/>
            <w:vAlign w:val="bottom"/>
          </w:tcPr>
          <w:p w14:paraId="1BCC9C53" w14:textId="77777777" w:rsidR="00F47B0F" w:rsidRPr="00F47B0F" w:rsidRDefault="00F47B0F" w:rsidP="00F47B0F">
            <w:pPr>
              <w:jc w:val="center"/>
              <w:rPr>
                <w:rFonts w:asciiTheme="majorHAnsi" w:hAnsiTheme="majorHAnsi" w:cstheme="majorBidi"/>
                <w:sz w:val="20"/>
                <w:szCs w:val="20"/>
              </w:rPr>
            </w:pPr>
            <w:r w:rsidRPr="00F47B0F">
              <w:rPr>
                <w:rFonts w:asciiTheme="majorHAnsi" w:hAnsiTheme="majorHAnsi" w:cstheme="majorBidi"/>
                <w:sz w:val="20"/>
                <w:szCs w:val="20"/>
              </w:rPr>
              <w:t>32.73</w:t>
            </w:r>
          </w:p>
        </w:tc>
        <w:tc>
          <w:tcPr>
            <w:tcW w:w="2222" w:type="dxa"/>
            <w:vAlign w:val="bottom"/>
          </w:tcPr>
          <w:p w14:paraId="1395D507" w14:textId="77777777" w:rsidR="00F47B0F" w:rsidRPr="00F47B0F" w:rsidRDefault="00F47B0F" w:rsidP="00F47B0F">
            <w:pPr>
              <w:jc w:val="center"/>
              <w:rPr>
                <w:rFonts w:asciiTheme="majorHAnsi" w:hAnsiTheme="majorHAnsi" w:cstheme="majorBidi"/>
                <w:sz w:val="20"/>
                <w:szCs w:val="20"/>
              </w:rPr>
            </w:pPr>
            <w:r w:rsidRPr="00F47B0F">
              <w:rPr>
                <w:rFonts w:asciiTheme="majorHAnsi" w:hAnsiTheme="majorHAnsi" w:cstheme="majorBidi"/>
                <w:sz w:val="20"/>
                <w:szCs w:val="20"/>
              </w:rPr>
              <w:t>100.0%</w:t>
            </w:r>
          </w:p>
        </w:tc>
      </w:tr>
      <w:tr w:rsidR="00F47B0F" w:rsidRPr="00F47B0F" w14:paraId="4EFEA436" w14:textId="77777777" w:rsidTr="000F6884">
        <w:tc>
          <w:tcPr>
            <w:tcW w:w="4536" w:type="dxa"/>
            <w:shd w:val="clear" w:color="auto" w:fill="D9D9D9" w:themeFill="background1" w:themeFillShade="D9"/>
            <w:vAlign w:val="bottom"/>
          </w:tcPr>
          <w:p w14:paraId="62AB3769" w14:textId="77777777" w:rsidR="00F47B0F" w:rsidRPr="00F47B0F" w:rsidRDefault="00F47B0F" w:rsidP="00F47B0F">
            <w:pPr>
              <w:rPr>
                <w:sz w:val="20"/>
                <w:szCs w:val="20"/>
              </w:rPr>
            </w:pPr>
            <w:r w:rsidRPr="00F47B0F">
              <w:rPr>
                <w:sz w:val="20"/>
                <w:szCs w:val="20"/>
              </w:rPr>
              <w:t>Aged care employee - direct care - level 4</w:t>
            </w:r>
          </w:p>
        </w:tc>
        <w:tc>
          <w:tcPr>
            <w:tcW w:w="2268" w:type="dxa"/>
            <w:shd w:val="clear" w:color="auto" w:fill="D9D9D9" w:themeFill="background1" w:themeFillShade="D9"/>
            <w:vAlign w:val="bottom"/>
          </w:tcPr>
          <w:p w14:paraId="5D79A06B" w14:textId="77777777" w:rsidR="00F47B0F" w:rsidRPr="00F47B0F" w:rsidRDefault="00F47B0F" w:rsidP="00F47B0F">
            <w:pPr>
              <w:jc w:val="center"/>
              <w:rPr>
                <w:rFonts w:asciiTheme="majorHAnsi" w:hAnsiTheme="majorHAnsi" w:cstheme="majorBidi"/>
                <w:sz w:val="20"/>
                <w:szCs w:val="20"/>
              </w:rPr>
            </w:pPr>
            <w:r w:rsidRPr="00F47B0F">
              <w:rPr>
                <w:rFonts w:asciiTheme="majorHAnsi" w:hAnsiTheme="majorHAnsi" w:cstheme="majorBidi"/>
                <w:sz w:val="20"/>
                <w:szCs w:val="20"/>
              </w:rPr>
              <w:t>37.64</w:t>
            </w:r>
          </w:p>
        </w:tc>
        <w:tc>
          <w:tcPr>
            <w:tcW w:w="2222" w:type="dxa"/>
            <w:shd w:val="clear" w:color="auto" w:fill="D9D9D9" w:themeFill="background1" w:themeFillShade="D9"/>
            <w:vAlign w:val="bottom"/>
          </w:tcPr>
          <w:p w14:paraId="1E0C0A94" w14:textId="77777777" w:rsidR="00F47B0F" w:rsidRPr="00F47B0F" w:rsidRDefault="00F47B0F" w:rsidP="00F47B0F">
            <w:pPr>
              <w:jc w:val="center"/>
              <w:rPr>
                <w:rFonts w:asciiTheme="majorHAnsi" w:hAnsiTheme="majorHAnsi" w:cstheme="majorBidi"/>
                <w:sz w:val="20"/>
                <w:szCs w:val="20"/>
              </w:rPr>
            </w:pPr>
            <w:r w:rsidRPr="00F47B0F">
              <w:rPr>
                <w:rFonts w:asciiTheme="majorHAnsi" w:hAnsiTheme="majorHAnsi" w:cstheme="majorBidi"/>
                <w:sz w:val="20"/>
                <w:szCs w:val="20"/>
              </w:rPr>
              <w:t>115.0%</w:t>
            </w:r>
          </w:p>
        </w:tc>
      </w:tr>
      <w:tr w:rsidR="00F47B0F" w:rsidRPr="00F47B0F" w14:paraId="401D90AC" w14:textId="77777777" w:rsidTr="000F6884">
        <w:tc>
          <w:tcPr>
            <w:tcW w:w="4536" w:type="dxa"/>
            <w:vAlign w:val="bottom"/>
          </w:tcPr>
          <w:p w14:paraId="19EE7A4B" w14:textId="77777777" w:rsidR="00F47B0F" w:rsidRPr="00F47B0F" w:rsidRDefault="00F47B0F" w:rsidP="00F47B0F">
            <w:pPr>
              <w:rPr>
                <w:sz w:val="20"/>
                <w:szCs w:val="20"/>
              </w:rPr>
            </w:pPr>
            <w:r w:rsidRPr="00F47B0F">
              <w:rPr>
                <w:sz w:val="20"/>
                <w:szCs w:val="20"/>
              </w:rPr>
              <w:t>Retail employee level 1</w:t>
            </w:r>
          </w:p>
        </w:tc>
        <w:tc>
          <w:tcPr>
            <w:tcW w:w="2268" w:type="dxa"/>
            <w:vAlign w:val="bottom"/>
          </w:tcPr>
          <w:p w14:paraId="6CD65E71" w14:textId="77777777" w:rsidR="00F47B0F" w:rsidRPr="00F47B0F" w:rsidRDefault="00F47B0F" w:rsidP="00F47B0F">
            <w:pPr>
              <w:jc w:val="center"/>
              <w:rPr>
                <w:rFonts w:asciiTheme="majorHAnsi" w:hAnsiTheme="majorHAnsi" w:cstheme="majorBidi"/>
                <w:sz w:val="20"/>
                <w:szCs w:val="20"/>
              </w:rPr>
            </w:pPr>
            <w:r w:rsidRPr="00F47B0F">
              <w:rPr>
                <w:rFonts w:asciiTheme="majorHAnsi" w:hAnsiTheme="majorHAnsi" w:cstheme="majorBidi"/>
                <w:sz w:val="20"/>
                <w:szCs w:val="20"/>
              </w:rPr>
              <w:t>30.91</w:t>
            </w:r>
          </w:p>
        </w:tc>
        <w:tc>
          <w:tcPr>
            <w:tcW w:w="2222" w:type="dxa"/>
            <w:vAlign w:val="bottom"/>
          </w:tcPr>
          <w:p w14:paraId="76F21506" w14:textId="77777777" w:rsidR="00F47B0F" w:rsidRPr="00F47B0F" w:rsidRDefault="00F47B0F" w:rsidP="00F47B0F">
            <w:pPr>
              <w:jc w:val="center"/>
              <w:rPr>
                <w:rFonts w:asciiTheme="majorHAnsi" w:hAnsiTheme="majorHAnsi" w:cstheme="majorBidi"/>
                <w:sz w:val="20"/>
                <w:szCs w:val="20"/>
              </w:rPr>
            </w:pPr>
            <w:r w:rsidRPr="00F47B0F">
              <w:rPr>
                <w:rFonts w:asciiTheme="majorHAnsi" w:hAnsiTheme="majorHAnsi" w:cstheme="majorBidi"/>
                <w:sz w:val="20"/>
                <w:szCs w:val="20"/>
              </w:rPr>
              <w:t>94.4%</w:t>
            </w:r>
          </w:p>
        </w:tc>
      </w:tr>
      <w:tr w:rsidR="00F47B0F" w:rsidRPr="00F47B0F" w14:paraId="605CE5AA" w14:textId="77777777" w:rsidTr="000F6884">
        <w:tc>
          <w:tcPr>
            <w:tcW w:w="4536" w:type="dxa"/>
            <w:shd w:val="clear" w:color="auto" w:fill="D9D9D9" w:themeFill="background1" w:themeFillShade="D9"/>
            <w:vAlign w:val="bottom"/>
          </w:tcPr>
          <w:p w14:paraId="4943FC50" w14:textId="77777777" w:rsidR="00F47B0F" w:rsidRPr="00F47B0F" w:rsidRDefault="00F47B0F" w:rsidP="00F47B0F">
            <w:pPr>
              <w:rPr>
                <w:sz w:val="20"/>
                <w:szCs w:val="20"/>
              </w:rPr>
            </w:pPr>
            <w:r w:rsidRPr="00F47B0F">
              <w:rPr>
                <w:sz w:val="20"/>
                <w:szCs w:val="20"/>
              </w:rPr>
              <w:t>Clerks - Private Sector Award - Level 1, year 1</w:t>
            </w:r>
          </w:p>
        </w:tc>
        <w:tc>
          <w:tcPr>
            <w:tcW w:w="2268" w:type="dxa"/>
            <w:shd w:val="clear" w:color="auto" w:fill="D9D9D9" w:themeFill="background1" w:themeFillShade="D9"/>
            <w:vAlign w:val="bottom"/>
          </w:tcPr>
          <w:p w14:paraId="50335D22" w14:textId="77777777" w:rsidR="00F47B0F" w:rsidRPr="00F47B0F" w:rsidRDefault="00F47B0F" w:rsidP="00F47B0F">
            <w:pPr>
              <w:jc w:val="center"/>
              <w:rPr>
                <w:rFonts w:asciiTheme="majorHAnsi" w:hAnsiTheme="majorHAnsi" w:cstheme="majorBidi"/>
                <w:sz w:val="20"/>
                <w:szCs w:val="20"/>
              </w:rPr>
            </w:pPr>
            <w:r w:rsidRPr="00F47B0F">
              <w:rPr>
                <w:rFonts w:asciiTheme="majorHAnsi" w:hAnsiTheme="majorHAnsi" w:cstheme="majorBidi"/>
                <w:sz w:val="20"/>
                <w:szCs w:val="20"/>
              </w:rPr>
              <w:t>29.96</w:t>
            </w:r>
          </w:p>
        </w:tc>
        <w:tc>
          <w:tcPr>
            <w:tcW w:w="2222" w:type="dxa"/>
            <w:shd w:val="clear" w:color="auto" w:fill="D9D9D9" w:themeFill="background1" w:themeFillShade="D9"/>
            <w:vAlign w:val="bottom"/>
          </w:tcPr>
          <w:p w14:paraId="5D88B38C" w14:textId="77777777" w:rsidR="00F47B0F" w:rsidRPr="00F47B0F" w:rsidRDefault="00F47B0F" w:rsidP="00F47B0F">
            <w:pPr>
              <w:jc w:val="center"/>
              <w:rPr>
                <w:rFonts w:asciiTheme="majorHAnsi" w:hAnsiTheme="majorHAnsi" w:cstheme="majorBidi"/>
                <w:sz w:val="20"/>
                <w:szCs w:val="20"/>
              </w:rPr>
            </w:pPr>
            <w:r w:rsidRPr="00F47B0F">
              <w:rPr>
                <w:rFonts w:asciiTheme="majorHAnsi" w:hAnsiTheme="majorHAnsi" w:cstheme="majorBidi"/>
                <w:sz w:val="20"/>
                <w:szCs w:val="20"/>
              </w:rPr>
              <w:t>91.5%</w:t>
            </w:r>
          </w:p>
        </w:tc>
      </w:tr>
      <w:tr w:rsidR="00F47B0F" w:rsidRPr="00F47B0F" w14:paraId="31F894EA" w14:textId="77777777" w:rsidTr="000F6884">
        <w:tc>
          <w:tcPr>
            <w:tcW w:w="4536" w:type="dxa"/>
            <w:vAlign w:val="bottom"/>
          </w:tcPr>
          <w:p w14:paraId="66E3827F" w14:textId="77777777" w:rsidR="00F47B0F" w:rsidRPr="00F47B0F" w:rsidRDefault="00F47B0F" w:rsidP="00F47B0F">
            <w:pPr>
              <w:rPr>
                <w:sz w:val="20"/>
                <w:szCs w:val="20"/>
              </w:rPr>
            </w:pPr>
            <w:r w:rsidRPr="00F47B0F">
              <w:rPr>
                <w:sz w:val="20"/>
                <w:szCs w:val="20"/>
              </w:rPr>
              <w:t>Hospitality Industry (General) Award - Level 1 guest service grade 1</w:t>
            </w:r>
          </w:p>
        </w:tc>
        <w:tc>
          <w:tcPr>
            <w:tcW w:w="2268" w:type="dxa"/>
            <w:vAlign w:val="bottom"/>
          </w:tcPr>
          <w:p w14:paraId="411236E0" w14:textId="77777777" w:rsidR="00F47B0F" w:rsidRPr="00F47B0F" w:rsidRDefault="00F47B0F" w:rsidP="00F47B0F">
            <w:pPr>
              <w:jc w:val="center"/>
              <w:rPr>
                <w:rFonts w:asciiTheme="majorHAnsi" w:hAnsiTheme="majorHAnsi" w:cstheme="majorBidi"/>
                <w:sz w:val="20"/>
                <w:szCs w:val="20"/>
              </w:rPr>
            </w:pPr>
            <w:r w:rsidRPr="00F47B0F">
              <w:rPr>
                <w:rFonts w:asciiTheme="majorHAnsi" w:hAnsiTheme="majorHAnsi" w:cstheme="majorBidi"/>
                <w:sz w:val="20"/>
                <w:szCs w:val="20"/>
              </w:rPr>
              <w:t>29.04</w:t>
            </w:r>
          </w:p>
        </w:tc>
        <w:tc>
          <w:tcPr>
            <w:tcW w:w="2222" w:type="dxa"/>
            <w:vAlign w:val="bottom"/>
          </w:tcPr>
          <w:p w14:paraId="72D00910" w14:textId="77777777" w:rsidR="00F47B0F" w:rsidRPr="00F47B0F" w:rsidRDefault="00F47B0F" w:rsidP="00F47B0F">
            <w:pPr>
              <w:jc w:val="center"/>
              <w:rPr>
                <w:rFonts w:asciiTheme="majorHAnsi" w:hAnsiTheme="majorHAnsi" w:cstheme="majorBidi"/>
                <w:sz w:val="20"/>
                <w:szCs w:val="20"/>
              </w:rPr>
            </w:pPr>
            <w:r w:rsidRPr="00F47B0F">
              <w:rPr>
                <w:rFonts w:asciiTheme="majorHAnsi" w:hAnsiTheme="majorHAnsi" w:cstheme="majorBidi"/>
                <w:sz w:val="20"/>
                <w:szCs w:val="20"/>
              </w:rPr>
              <w:t>88.7%</w:t>
            </w:r>
          </w:p>
        </w:tc>
      </w:tr>
      <w:tr w:rsidR="00F47B0F" w:rsidRPr="00F47B0F" w14:paraId="184E5B1D" w14:textId="77777777" w:rsidTr="000F6884">
        <w:tc>
          <w:tcPr>
            <w:tcW w:w="4536" w:type="dxa"/>
            <w:tcBorders>
              <w:bottom w:val="single" w:sz="4" w:space="0" w:color="auto"/>
            </w:tcBorders>
            <w:shd w:val="clear" w:color="auto" w:fill="D9D9D9" w:themeFill="background1" w:themeFillShade="D9"/>
            <w:vAlign w:val="bottom"/>
          </w:tcPr>
          <w:p w14:paraId="28759047" w14:textId="77777777" w:rsidR="00F47B0F" w:rsidRPr="00F47B0F" w:rsidRDefault="00F47B0F" w:rsidP="00F47B0F">
            <w:pPr>
              <w:rPr>
                <w:sz w:val="20"/>
                <w:szCs w:val="20"/>
              </w:rPr>
            </w:pPr>
            <w:r w:rsidRPr="00F47B0F">
              <w:rPr>
                <w:sz w:val="20"/>
                <w:szCs w:val="20"/>
              </w:rPr>
              <w:t xml:space="preserve">National Minimum Wage </w:t>
            </w:r>
          </w:p>
        </w:tc>
        <w:tc>
          <w:tcPr>
            <w:tcW w:w="2268" w:type="dxa"/>
            <w:tcBorders>
              <w:bottom w:val="single" w:sz="4" w:space="0" w:color="auto"/>
            </w:tcBorders>
            <w:shd w:val="clear" w:color="auto" w:fill="D9D9D9" w:themeFill="background1" w:themeFillShade="D9"/>
            <w:vAlign w:val="bottom"/>
          </w:tcPr>
          <w:p w14:paraId="412CC145" w14:textId="77777777" w:rsidR="00F47B0F" w:rsidRPr="00F47B0F" w:rsidRDefault="00F47B0F" w:rsidP="00F47B0F">
            <w:pPr>
              <w:jc w:val="center"/>
              <w:rPr>
                <w:rFonts w:asciiTheme="majorHAnsi" w:hAnsiTheme="majorHAnsi" w:cstheme="majorBidi"/>
                <w:sz w:val="20"/>
                <w:szCs w:val="20"/>
              </w:rPr>
            </w:pPr>
            <w:r w:rsidRPr="00F47B0F">
              <w:rPr>
                <w:rFonts w:asciiTheme="majorHAnsi" w:hAnsiTheme="majorHAnsi" w:cstheme="majorBidi"/>
                <w:sz w:val="20"/>
                <w:szCs w:val="20"/>
              </w:rPr>
              <w:t>29.04</w:t>
            </w:r>
          </w:p>
        </w:tc>
        <w:tc>
          <w:tcPr>
            <w:tcW w:w="2222" w:type="dxa"/>
            <w:tcBorders>
              <w:bottom w:val="single" w:sz="4" w:space="0" w:color="auto"/>
            </w:tcBorders>
            <w:shd w:val="clear" w:color="auto" w:fill="D9D9D9" w:themeFill="background1" w:themeFillShade="D9"/>
            <w:vAlign w:val="bottom"/>
          </w:tcPr>
          <w:p w14:paraId="6CFF46DC" w14:textId="77777777" w:rsidR="00F47B0F" w:rsidRPr="00F47B0F" w:rsidRDefault="00F47B0F" w:rsidP="00F47B0F">
            <w:pPr>
              <w:jc w:val="center"/>
              <w:rPr>
                <w:rFonts w:asciiTheme="majorHAnsi" w:hAnsiTheme="majorHAnsi" w:cstheme="majorBidi"/>
                <w:sz w:val="20"/>
                <w:szCs w:val="20"/>
              </w:rPr>
            </w:pPr>
            <w:r w:rsidRPr="00F47B0F">
              <w:rPr>
                <w:rFonts w:asciiTheme="majorHAnsi" w:hAnsiTheme="majorHAnsi" w:cstheme="majorBidi"/>
                <w:sz w:val="20"/>
                <w:szCs w:val="20"/>
              </w:rPr>
              <w:t>88.7%</w:t>
            </w:r>
          </w:p>
        </w:tc>
      </w:tr>
    </w:tbl>
    <w:p w14:paraId="110A1E50" w14:textId="77777777" w:rsidR="00F47B0F" w:rsidRPr="00F47B0F" w:rsidRDefault="00F47B0F" w:rsidP="00887E52">
      <w:pPr>
        <w:pStyle w:val="Source"/>
      </w:pPr>
      <w:r w:rsidRPr="00F47B0F">
        <w:t xml:space="preserve">Source: Fair Work Ombudsman “Pay and Conditions Tool”, as </w:t>
      </w:r>
      <w:bookmarkStart w:id="99" w:name="_Int_5WyoBWGS"/>
      <w:proofErr w:type="gramStart"/>
      <w:r w:rsidRPr="00F47B0F">
        <w:t>at</w:t>
      </w:r>
      <w:bookmarkEnd w:id="99"/>
      <w:proofErr w:type="gramEnd"/>
      <w:r w:rsidRPr="00F47B0F">
        <w:t xml:space="preserve"> 4 January 2024.</w:t>
      </w:r>
    </w:p>
    <w:p w14:paraId="4C398E12" w14:textId="77777777" w:rsidR="00F47B0F" w:rsidRPr="00F47B0F" w:rsidRDefault="00F47B0F" w:rsidP="00F47B0F">
      <w:pPr>
        <w:rPr>
          <w:rFonts w:cs="Arial"/>
        </w:rPr>
      </w:pPr>
      <w:r w:rsidRPr="00F47B0F">
        <w:rPr>
          <w:rFonts w:cs="Arial"/>
        </w:rPr>
        <w:t>Low remuneration is consistently identified by stakeholders as a driver of poor retention within the sector. Differences in remuneration also play a role in driving movement within the ECEC workforce between different service types. For example, preschools within the public education system offer significantly higher wages than</w:t>
      </w:r>
      <w:r w:rsidRPr="00F47B0F">
        <w:rPr>
          <w:rFonts w:cs="Arial"/>
          <w:i/>
          <w:iCs/>
        </w:rPr>
        <w:t xml:space="preserve"> Early Childhood Teachers</w:t>
      </w:r>
      <w:r w:rsidRPr="00F47B0F">
        <w:rPr>
          <w:rFonts w:cs="Arial"/>
        </w:rPr>
        <w:t xml:space="preserve"> in CBDC services and the significantly higher wage and better conditions (such as reduced teaching calendar due to pre-school holidays mirroring school terms) draws early childhood education graduates into primary school teaching. </w:t>
      </w:r>
    </w:p>
    <w:p w14:paraId="570C2C6B" w14:textId="77777777" w:rsidR="00F47B0F" w:rsidRPr="00F47B0F" w:rsidRDefault="00F47B0F" w:rsidP="00F47B0F">
      <w:pPr>
        <w:pStyle w:val="Heading3"/>
      </w:pPr>
      <w:r w:rsidRPr="00F47B0F">
        <w:t>Role of Industrial Relations Settings in Workforce</w:t>
      </w:r>
    </w:p>
    <w:p w14:paraId="0910E396" w14:textId="77777777" w:rsidR="00F47B0F" w:rsidRPr="00F47B0F" w:rsidRDefault="00F47B0F" w:rsidP="00F47B0F">
      <w:pPr>
        <w:rPr>
          <w:rFonts w:asciiTheme="minorHAnsi" w:eastAsia="Calibri" w:hAnsiTheme="minorHAnsi" w:cstheme="minorHAnsi"/>
        </w:rPr>
      </w:pPr>
      <w:r w:rsidRPr="00F47B0F">
        <w:rPr>
          <w:rFonts w:asciiTheme="minorHAnsi" w:eastAsia="Calibri" w:hAnsiTheme="minorHAnsi" w:cstheme="minorHAnsi"/>
        </w:rPr>
        <w:t xml:space="preserve">The sector is characterised by a high level of award reliance and commensurately low levels of collective bargaining agreement coverage. Employees covered by collective agreements often have higher remuneration levels than those under the relevant award. </w:t>
      </w:r>
    </w:p>
    <w:p w14:paraId="67F79561" w14:textId="77777777" w:rsidR="00F47B0F" w:rsidRPr="00F47B0F" w:rsidRDefault="00F47B0F" w:rsidP="00F47B0F">
      <w:pPr>
        <w:rPr>
          <w:rFonts w:asciiTheme="minorHAnsi" w:eastAsia="Calibri" w:hAnsiTheme="minorHAnsi" w:cstheme="minorHAnsi"/>
        </w:rPr>
      </w:pPr>
      <w:r w:rsidRPr="00F47B0F">
        <w:rPr>
          <w:rFonts w:asciiTheme="minorHAnsi" w:eastAsia="Calibri" w:hAnsiTheme="minorHAnsi" w:cstheme="minorHAnsi"/>
        </w:rPr>
        <w:t xml:space="preserve">In 2022, the Parliament passed the Government’s </w:t>
      </w:r>
      <w:r w:rsidRPr="00F47B0F">
        <w:rPr>
          <w:rFonts w:asciiTheme="minorHAnsi" w:eastAsia="Calibri" w:hAnsiTheme="minorHAnsi" w:cstheme="minorHAnsi"/>
          <w:i/>
          <w:iCs/>
        </w:rPr>
        <w:t xml:space="preserve">Fair Work Legislation Amendment (Secure Jobs, Better Pay) Act 2022 </w:t>
      </w:r>
      <w:r w:rsidRPr="00F47B0F">
        <w:rPr>
          <w:rFonts w:asciiTheme="minorHAnsi" w:eastAsia="Calibri" w:hAnsiTheme="minorHAnsi" w:cstheme="minorHAnsi"/>
        </w:rPr>
        <w:t xml:space="preserve">which amended the </w:t>
      </w:r>
      <w:r w:rsidRPr="00F47B0F">
        <w:rPr>
          <w:rFonts w:asciiTheme="minorHAnsi" w:eastAsia="Calibri" w:hAnsiTheme="minorHAnsi" w:cstheme="minorHAnsi"/>
          <w:i/>
          <w:iCs/>
        </w:rPr>
        <w:t xml:space="preserve">Fair Work Act 2009, </w:t>
      </w:r>
      <w:r w:rsidRPr="00F47B0F">
        <w:rPr>
          <w:rFonts w:asciiTheme="minorHAnsi" w:eastAsia="Calibri" w:hAnsiTheme="minorHAnsi" w:cstheme="minorHAnsi"/>
        </w:rPr>
        <w:t xml:space="preserve">introducing the ‘supported bargaining stream’ which replaced the previous low-paid bargaining stream. The intent of the supported bargaining stream, explained in the Revised Supplementary Explanatory Memorandum to the Secure Jobs, Better Pay Bill 2022 is to ‘assist those employees and employers who may have difficulty bargaining at the single-enterprise level’ (para 921). ECEC was also specifically mentioned in the explanatory memorandum as an industry where employers may ‘lack the necessary skills, resources and power to bargain effectively’ as single enterprises (para 921). </w:t>
      </w:r>
    </w:p>
    <w:p w14:paraId="202AAAAB" w14:textId="77777777" w:rsidR="00F47B0F" w:rsidRPr="00F47B0F" w:rsidRDefault="00F47B0F" w:rsidP="00F47B0F">
      <w:pPr>
        <w:rPr>
          <w:rFonts w:asciiTheme="minorHAnsi" w:eastAsia="Calibri" w:hAnsiTheme="minorHAnsi" w:cstheme="minorHAnsi"/>
        </w:rPr>
      </w:pPr>
      <w:r w:rsidRPr="00F47B0F">
        <w:rPr>
          <w:rFonts w:asciiTheme="minorHAnsi" w:eastAsia="Calibri" w:hAnsiTheme="minorHAnsi" w:cstheme="minorHAnsi"/>
        </w:rPr>
        <w:t xml:space="preserve">To assist those bargaining in the supported bargaining stream, which are often reliant on third party funding, the Fair Work Commission (FWC) can direct third party funders, such as the Commonwealth, to attend bargaining conferences if satisfied that the party exercises such a degree of control over the terms and conditions of the </w:t>
      </w:r>
      <w:hyperlink r:id="rId83" w:anchor="employee" w:history="1">
        <w:r w:rsidRPr="00F47B0F">
          <w:rPr>
            <w:rFonts w:asciiTheme="minorHAnsi" w:eastAsia="Calibri" w:hAnsiTheme="minorHAnsi" w:cstheme="minorHAnsi"/>
          </w:rPr>
          <w:t>employees</w:t>
        </w:r>
      </w:hyperlink>
      <w:r w:rsidRPr="00F47B0F">
        <w:rPr>
          <w:rFonts w:asciiTheme="minorHAnsi" w:eastAsia="Calibri" w:hAnsiTheme="minorHAnsi" w:cstheme="minorHAnsi"/>
        </w:rPr>
        <w:t xml:space="preserve"> who will be covered by the agreement that their participation in bargaining is necessary for the agreement to be </w:t>
      </w:r>
      <w:hyperlink r:id="rId84" w:anchor="made" w:history="1">
        <w:r w:rsidRPr="00F47B0F">
          <w:rPr>
            <w:rFonts w:asciiTheme="minorHAnsi" w:eastAsia="Calibri" w:hAnsiTheme="minorHAnsi" w:cstheme="minorHAnsi"/>
          </w:rPr>
          <w:t>made</w:t>
        </w:r>
      </w:hyperlink>
      <w:r w:rsidRPr="00F47B0F">
        <w:rPr>
          <w:rFonts w:asciiTheme="minorHAnsi" w:eastAsia="Calibri" w:hAnsiTheme="minorHAnsi" w:cstheme="minorHAnsi"/>
        </w:rPr>
        <w:t>.</w:t>
      </w:r>
    </w:p>
    <w:p w14:paraId="1FE22256" w14:textId="77777777" w:rsidR="00F47B0F" w:rsidRPr="00F47B0F" w:rsidRDefault="00F47B0F" w:rsidP="00F47B0F">
      <w:pPr>
        <w:rPr>
          <w:rFonts w:asciiTheme="minorHAnsi" w:eastAsia="Calibri" w:hAnsiTheme="minorHAnsi" w:cstheme="minorHAnsi"/>
        </w:rPr>
      </w:pPr>
      <w:r w:rsidRPr="00F47B0F">
        <w:rPr>
          <w:rFonts w:asciiTheme="minorHAnsi" w:eastAsia="Calibri" w:hAnsiTheme="minorHAnsi" w:cstheme="minorHAnsi"/>
        </w:rPr>
        <w:t xml:space="preserve">On 6 June 2023, an application was lodged in the FWC by three trade unions for authorisation to bargain </w:t>
      </w:r>
      <w:r w:rsidRPr="00F47B0F" w:rsidDel="4F5673F2">
        <w:rPr>
          <w:rFonts w:asciiTheme="minorHAnsi" w:eastAsia="Calibri" w:hAnsiTheme="minorHAnsi" w:cstheme="minorHAnsi"/>
        </w:rPr>
        <w:t>in</w:t>
      </w:r>
      <w:r w:rsidRPr="00F47B0F">
        <w:rPr>
          <w:rFonts w:asciiTheme="minorHAnsi" w:eastAsia="Calibri" w:hAnsiTheme="minorHAnsi" w:cstheme="minorHAnsi"/>
        </w:rPr>
        <w:t xml:space="preserve"> the supported bargaining stream for a multi-enterprise agreement </w:t>
      </w:r>
      <w:r w:rsidRPr="00F47B0F">
        <w:rPr>
          <w:rFonts w:asciiTheme="minorHAnsi" w:eastAsia="Calibri" w:hAnsiTheme="minorHAnsi" w:cstheme="minorHAnsi"/>
        </w:rPr>
        <w:lastRenderedPageBreak/>
        <w:t xml:space="preserve">in a part of the ECEC sector (covering 64 employers and approximately 14,000 employees). On 27 September 2023, the FWC authorised the parties to bargain in the supported bargaining stream. </w:t>
      </w:r>
    </w:p>
    <w:p w14:paraId="414C0A45" w14:textId="77777777" w:rsidR="00F47B0F" w:rsidRPr="00F47B0F" w:rsidRDefault="00F47B0F" w:rsidP="00F47B0F">
      <w:pPr>
        <w:rPr>
          <w:rFonts w:asciiTheme="minorHAnsi" w:eastAsia="Calibri" w:hAnsiTheme="minorHAnsi" w:cstheme="minorHAnsi"/>
        </w:rPr>
      </w:pPr>
      <w:r w:rsidRPr="00F47B0F">
        <w:rPr>
          <w:rFonts w:asciiTheme="minorHAnsi" w:eastAsia="Calibri" w:hAnsiTheme="minorHAnsi" w:cstheme="minorHAnsi"/>
        </w:rPr>
        <w:t xml:space="preserve">As part of the 2024-25 Federal Budget, the Government confirmed that it has committed to provide funding towards a wage increase for childcare workers with details to be finalised following consideration of relevant FWC </w:t>
      </w:r>
      <w:r w:rsidRPr="00F47B0F" w:rsidDel="001771BA">
        <w:rPr>
          <w:rFonts w:asciiTheme="minorHAnsi" w:eastAsia="Calibri" w:hAnsiTheme="minorHAnsi" w:cstheme="minorHAnsi"/>
        </w:rPr>
        <w:t>processes</w:t>
      </w:r>
      <w:r w:rsidRPr="00F47B0F">
        <w:rPr>
          <w:rFonts w:asciiTheme="minorHAnsi" w:eastAsia="Calibri" w:hAnsiTheme="minorHAnsi" w:cstheme="minorHAnsi"/>
        </w:rPr>
        <w:t>.</w:t>
      </w:r>
    </w:p>
    <w:p w14:paraId="1D32C86B" w14:textId="77777777" w:rsidR="00F47B0F" w:rsidRPr="00F47B0F" w:rsidRDefault="00F47B0F" w:rsidP="00F47B0F">
      <w:pPr>
        <w:rPr>
          <w:rFonts w:ascii="Calibri" w:hAnsi="Calibri"/>
          <w:color w:val="auto"/>
          <w:sz w:val="24"/>
          <w:szCs w:val="24"/>
        </w:rPr>
      </w:pPr>
      <w:r w:rsidRPr="00F47B0F">
        <w:t xml:space="preserve">The FWC has also commenced proceedings to consider variations to five modern awards to remedy potential gender undervaluation, including the </w:t>
      </w:r>
      <w:r w:rsidRPr="00F47B0F">
        <w:rPr>
          <w:i/>
          <w:iCs/>
        </w:rPr>
        <w:t>Children’s Services Award 2010</w:t>
      </w:r>
      <w:r w:rsidRPr="00F47B0F">
        <w:t xml:space="preserve">. The FWC intends for the proceedings to be completed by the time of the Annual Wage Review 2025 decision, anticipated to occur in June 2025. Note that Early Childhood Teachers (ECTs), covered by the </w:t>
      </w:r>
      <w:r w:rsidRPr="00F47B0F">
        <w:rPr>
          <w:i/>
          <w:iCs/>
        </w:rPr>
        <w:t>Educational Services (Teachers) Award 2020,</w:t>
      </w:r>
      <w:r w:rsidRPr="00F47B0F">
        <w:t xml:space="preserve"> were recently the subject of a full assessment of work value and will not be considered as part of this process.  </w:t>
      </w:r>
    </w:p>
    <w:p w14:paraId="403F720F" w14:textId="77777777" w:rsidR="00F47B0F" w:rsidRPr="00F47B0F" w:rsidRDefault="00F47B0F" w:rsidP="00F47B0F">
      <w:pPr>
        <w:pStyle w:val="Heading3"/>
      </w:pPr>
      <w:r w:rsidRPr="00F47B0F">
        <w:t xml:space="preserve">Geographic Distribution </w:t>
      </w:r>
    </w:p>
    <w:p w14:paraId="5D078456" w14:textId="0DB27F99" w:rsidR="00F47B0F" w:rsidRDefault="00F47B0F" w:rsidP="00A83EE4">
      <w:r w:rsidRPr="00F47B0F">
        <w:t xml:space="preserve">Over the last decade, there has been steady growth of employment in ECEC. </w:t>
      </w:r>
      <w:r w:rsidRPr="00F47B0F">
        <w:fldChar w:fldCharType="begin"/>
      </w:r>
      <w:r w:rsidRPr="00F47B0F">
        <w:instrText xml:space="preserve"> REF _Ref172633705 \h </w:instrText>
      </w:r>
      <w:r w:rsidRPr="00F47B0F">
        <w:fldChar w:fldCharType="separate"/>
      </w:r>
      <w:r w:rsidR="005F18C1" w:rsidRPr="00F47B0F">
        <w:t>Figure 2.</w:t>
      </w:r>
      <w:r w:rsidR="005F18C1">
        <w:rPr>
          <w:noProof/>
        </w:rPr>
        <w:t>7</w:t>
      </w:r>
      <w:r w:rsidRPr="00F47B0F">
        <w:fldChar w:fldCharType="end"/>
      </w:r>
      <w:r w:rsidRPr="00F47B0F">
        <w:t xml:space="preserve"> below illustrates the distribution of contact staff, as well as the typical number of children in a service, across remoteness areas.</w:t>
      </w:r>
      <w:r w:rsidRPr="00F47B0F">
        <w:rPr>
          <w:vertAlign w:val="superscript"/>
        </w:rPr>
        <w:footnoteReference w:id="34"/>
      </w:r>
      <w:r w:rsidRPr="00F47B0F">
        <w:t xml:space="preserve"> Across all service types, </w:t>
      </w:r>
      <w:proofErr w:type="gramStart"/>
      <w:r w:rsidRPr="00F47B0F">
        <w:t>the majority of</w:t>
      </w:r>
      <w:proofErr w:type="gramEnd"/>
      <w:r w:rsidRPr="00F47B0F">
        <w:t xml:space="preserve"> educators and children are located in major cities, reflecting the general population distribution. The share in regional and remote regions is slightly higher in IHC, and the regional share higher for FDC services. </w:t>
      </w:r>
    </w:p>
    <w:p w14:paraId="5A5CD627" w14:textId="36907CF8" w:rsidR="002E6C02" w:rsidRDefault="002E6C02">
      <w:r>
        <w:br w:type="page"/>
      </w:r>
    </w:p>
    <w:p w14:paraId="046CBDC0" w14:textId="048FD77C" w:rsidR="00F47B0F" w:rsidRPr="00F47B0F" w:rsidRDefault="00F47B0F" w:rsidP="00887E52">
      <w:pPr>
        <w:pStyle w:val="Caption"/>
      </w:pPr>
      <w:bookmarkStart w:id="100" w:name="_Ref172633705"/>
      <w:r w:rsidRPr="00F47B0F">
        <w:lastRenderedPageBreak/>
        <w:t>Figure 2.</w:t>
      </w:r>
      <w:r w:rsidRPr="00F47B0F">
        <w:fldChar w:fldCharType="begin"/>
      </w:r>
      <w:r w:rsidRPr="00F47B0F">
        <w:instrText xml:space="preserve"> SEQ Figure \* ARABIC \s 1 </w:instrText>
      </w:r>
      <w:r w:rsidRPr="00F47B0F">
        <w:fldChar w:fldCharType="separate"/>
      </w:r>
      <w:r w:rsidR="005F18C1">
        <w:rPr>
          <w:noProof/>
        </w:rPr>
        <w:t>7</w:t>
      </w:r>
      <w:r w:rsidRPr="00F47B0F">
        <w:fldChar w:fldCharType="end"/>
      </w:r>
      <w:bookmarkEnd w:id="100"/>
      <w:r w:rsidRPr="00F47B0F">
        <w:t xml:space="preserve"> Remoteness distribution of contact staff and children in ECEC, 2021</w:t>
      </w:r>
      <w:r w:rsidRPr="00F47B0F">
        <w:rPr>
          <w:vertAlign w:val="superscript"/>
        </w:rPr>
        <w:footnoteReference w:id="35"/>
      </w:r>
    </w:p>
    <w:p w14:paraId="5AB80E72" w14:textId="77777777" w:rsidR="00F47B0F" w:rsidRPr="00F47B0F" w:rsidRDefault="00F47B0F" w:rsidP="00F47B0F">
      <w:pPr>
        <w:rPr>
          <w:rFonts w:cstheme="minorHAnsi"/>
        </w:rPr>
      </w:pPr>
      <w:r w:rsidRPr="00F47B0F">
        <w:rPr>
          <w:noProof/>
        </w:rPr>
        <w:drawing>
          <wp:anchor distT="0" distB="0" distL="114300" distR="114300" simplePos="0" relativeHeight="251709443" behindDoc="0" locked="0" layoutInCell="1" allowOverlap="1" wp14:anchorId="2E1B0E86" wp14:editId="54367D57">
            <wp:simplePos x="0" y="0"/>
            <wp:positionH relativeFrom="column">
              <wp:posOffset>0</wp:posOffset>
            </wp:positionH>
            <wp:positionV relativeFrom="paragraph">
              <wp:posOffset>-1270</wp:posOffset>
            </wp:positionV>
            <wp:extent cx="5731510" cy="6452870"/>
            <wp:effectExtent l="0" t="0" r="2540" b="5080"/>
            <wp:wrapNone/>
            <wp:docPr id="2008646607"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646607" name="Picture 6">
                      <a:extLst>
                        <a:ext uri="{C183D7F6-B498-43B3-948B-1728B52AA6E4}">
                          <adec:decorative xmlns:adec="http://schemas.microsoft.com/office/drawing/2017/decorative" val="1"/>
                        </a:ext>
                      </a:extLst>
                    </pic:cNvPr>
                    <pic:cNvPicPr>
                      <a:picLocks noChangeAspect="1" noChangeArrowheads="1"/>
                    </pic:cNvPicPr>
                  </pic:nvPicPr>
                  <pic:blipFill>
                    <a:blip r:embed="rId85" cstate="screen">
                      <a:extLst>
                        <a:ext uri="{28A0092B-C50C-407E-A947-70E740481C1C}">
                          <a14:useLocalDpi xmlns:a14="http://schemas.microsoft.com/office/drawing/2010/main" val="0"/>
                        </a:ext>
                      </a:extLst>
                    </a:blip>
                    <a:srcRect/>
                    <a:stretch>
                      <a:fillRect/>
                    </a:stretch>
                  </pic:blipFill>
                  <pic:spPr bwMode="auto">
                    <a:xfrm>
                      <a:off x="0" y="0"/>
                      <a:ext cx="5731510" cy="6452870"/>
                    </a:xfrm>
                    <a:prstGeom prst="rect">
                      <a:avLst/>
                    </a:prstGeom>
                    <a:noFill/>
                    <a:ln>
                      <a:noFill/>
                    </a:ln>
                  </pic:spPr>
                </pic:pic>
              </a:graphicData>
            </a:graphic>
          </wp:anchor>
        </w:drawing>
      </w:r>
    </w:p>
    <w:tbl>
      <w:tblPr>
        <w:tblStyle w:val="Box"/>
        <w:tblW w:w="0" w:type="auto"/>
        <w:jc w:val="center"/>
        <w:tblLook w:val="04A0" w:firstRow="1" w:lastRow="0" w:firstColumn="1" w:lastColumn="0" w:noHBand="0" w:noVBand="1"/>
      </w:tblPr>
      <w:tblGrid>
        <w:gridCol w:w="2869"/>
        <w:gridCol w:w="2234"/>
        <w:gridCol w:w="1495"/>
        <w:gridCol w:w="1044"/>
        <w:gridCol w:w="689"/>
      </w:tblGrid>
      <w:tr w:rsidR="00F26358" w:rsidRPr="00F26358" w14:paraId="503CF476" w14:textId="77777777" w:rsidTr="00F26358">
        <w:trPr>
          <w:trHeight w:val="300"/>
          <w:jc w:val="center"/>
        </w:trPr>
        <w:tc>
          <w:tcPr>
            <w:tcW w:w="2869" w:type="dxa"/>
            <w:hideMark/>
          </w:tcPr>
          <w:p w14:paraId="56F4D9A7" w14:textId="77777777" w:rsidR="00F26358" w:rsidRPr="00F26358" w:rsidRDefault="00F26358" w:rsidP="00F26358">
            <w:pPr>
              <w:pStyle w:val="Source"/>
              <w:rPr>
                <w:sz w:val="2"/>
                <w:szCs w:val="2"/>
              </w:rPr>
            </w:pPr>
          </w:p>
        </w:tc>
        <w:tc>
          <w:tcPr>
            <w:tcW w:w="2234" w:type="dxa"/>
            <w:hideMark/>
          </w:tcPr>
          <w:p w14:paraId="0A4EB570" w14:textId="77777777" w:rsidR="00F26358" w:rsidRPr="00F26358" w:rsidRDefault="00F26358" w:rsidP="00F26358">
            <w:pPr>
              <w:pStyle w:val="Source"/>
              <w:rPr>
                <w:sz w:val="2"/>
                <w:szCs w:val="2"/>
              </w:rPr>
            </w:pPr>
          </w:p>
        </w:tc>
        <w:tc>
          <w:tcPr>
            <w:tcW w:w="1495" w:type="dxa"/>
            <w:noWrap/>
            <w:hideMark/>
          </w:tcPr>
          <w:p w14:paraId="08932E08" w14:textId="77777777" w:rsidR="00F26358" w:rsidRPr="00F26358" w:rsidRDefault="00F26358" w:rsidP="00F26358">
            <w:pPr>
              <w:pStyle w:val="Source"/>
              <w:rPr>
                <w:b/>
                <w:bCs/>
                <w:sz w:val="2"/>
                <w:szCs w:val="2"/>
              </w:rPr>
            </w:pPr>
            <w:r w:rsidRPr="00F26358">
              <w:rPr>
                <w:b/>
                <w:bCs/>
                <w:sz w:val="2"/>
                <w:szCs w:val="2"/>
              </w:rPr>
              <w:t>Major Cities</w:t>
            </w:r>
          </w:p>
        </w:tc>
        <w:tc>
          <w:tcPr>
            <w:tcW w:w="1044" w:type="dxa"/>
            <w:noWrap/>
            <w:hideMark/>
          </w:tcPr>
          <w:p w14:paraId="1159A00F" w14:textId="77777777" w:rsidR="00F26358" w:rsidRPr="00F26358" w:rsidRDefault="00F26358" w:rsidP="00F26358">
            <w:pPr>
              <w:pStyle w:val="Source"/>
              <w:rPr>
                <w:b/>
                <w:bCs/>
                <w:sz w:val="2"/>
                <w:szCs w:val="2"/>
              </w:rPr>
            </w:pPr>
            <w:r w:rsidRPr="00F26358">
              <w:rPr>
                <w:b/>
                <w:bCs/>
                <w:sz w:val="2"/>
                <w:szCs w:val="2"/>
              </w:rPr>
              <w:t>Regional</w:t>
            </w:r>
          </w:p>
        </w:tc>
        <w:tc>
          <w:tcPr>
            <w:tcW w:w="689" w:type="dxa"/>
            <w:noWrap/>
            <w:hideMark/>
          </w:tcPr>
          <w:p w14:paraId="365E06F0" w14:textId="77777777" w:rsidR="00F26358" w:rsidRPr="00F26358" w:rsidRDefault="00F26358" w:rsidP="00F26358">
            <w:pPr>
              <w:pStyle w:val="Source"/>
              <w:rPr>
                <w:b/>
                <w:bCs/>
                <w:sz w:val="2"/>
                <w:szCs w:val="2"/>
              </w:rPr>
            </w:pPr>
            <w:r w:rsidRPr="00F26358">
              <w:rPr>
                <w:b/>
                <w:bCs/>
                <w:sz w:val="2"/>
                <w:szCs w:val="2"/>
              </w:rPr>
              <w:t>Remote</w:t>
            </w:r>
          </w:p>
        </w:tc>
      </w:tr>
      <w:tr w:rsidR="00F26358" w:rsidRPr="00F26358" w14:paraId="5932CA26" w14:textId="77777777" w:rsidTr="00F26358">
        <w:trPr>
          <w:trHeight w:val="300"/>
          <w:jc w:val="center"/>
        </w:trPr>
        <w:tc>
          <w:tcPr>
            <w:tcW w:w="2869" w:type="dxa"/>
            <w:noWrap/>
            <w:hideMark/>
          </w:tcPr>
          <w:p w14:paraId="4D7B3373" w14:textId="77777777" w:rsidR="00F26358" w:rsidRPr="00F26358" w:rsidRDefault="00F26358" w:rsidP="00F26358">
            <w:pPr>
              <w:pStyle w:val="Source"/>
              <w:rPr>
                <w:b/>
                <w:bCs/>
                <w:sz w:val="2"/>
                <w:szCs w:val="2"/>
              </w:rPr>
            </w:pPr>
            <w:r w:rsidRPr="00F26358">
              <w:rPr>
                <w:b/>
                <w:bCs/>
                <w:sz w:val="2"/>
                <w:szCs w:val="2"/>
              </w:rPr>
              <w:t>Centre Based Day Care</w:t>
            </w:r>
          </w:p>
        </w:tc>
        <w:tc>
          <w:tcPr>
            <w:tcW w:w="2234" w:type="dxa"/>
            <w:noWrap/>
            <w:hideMark/>
          </w:tcPr>
          <w:p w14:paraId="0A71A1CA" w14:textId="77777777" w:rsidR="00F26358" w:rsidRPr="00F26358" w:rsidRDefault="00F26358" w:rsidP="00F26358">
            <w:pPr>
              <w:pStyle w:val="Source"/>
              <w:rPr>
                <w:sz w:val="2"/>
                <w:szCs w:val="2"/>
              </w:rPr>
            </w:pPr>
            <w:r w:rsidRPr="00F26358">
              <w:rPr>
                <w:sz w:val="2"/>
                <w:szCs w:val="2"/>
              </w:rPr>
              <w:t>Typical number of children</w:t>
            </w:r>
          </w:p>
        </w:tc>
        <w:tc>
          <w:tcPr>
            <w:tcW w:w="1495" w:type="dxa"/>
            <w:noWrap/>
            <w:hideMark/>
          </w:tcPr>
          <w:p w14:paraId="44588226" w14:textId="77777777" w:rsidR="00F26358" w:rsidRPr="00F26358" w:rsidRDefault="00F26358" w:rsidP="00F26358">
            <w:pPr>
              <w:pStyle w:val="Source"/>
              <w:rPr>
                <w:sz w:val="2"/>
                <w:szCs w:val="2"/>
              </w:rPr>
            </w:pPr>
            <w:r w:rsidRPr="00F26358">
              <w:rPr>
                <w:sz w:val="2"/>
                <w:szCs w:val="2"/>
              </w:rPr>
              <w:t>78.2%</w:t>
            </w:r>
          </w:p>
        </w:tc>
        <w:tc>
          <w:tcPr>
            <w:tcW w:w="1044" w:type="dxa"/>
            <w:noWrap/>
            <w:hideMark/>
          </w:tcPr>
          <w:p w14:paraId="1285B563" w14:textId="77777777" w:rsidR="00F26358" w:rsidRPr="00F26358" w:rsidRDefault="00F26358" w:rsidP="00F26358">
            <w:pPr>
              <w:pStyle w:val="Source"/>
              <w:rPr>
                <w:sz w:val="2"/>
                <w:szCs w:val="2"/>
              </w:rPr>
            </w:pPr>
            <w:r w:rsidRPr="00F26358">
              <w:rPr>
                <w:sz w:val="2"/>
                <w:szCs w:val="2"/>
              </w:rPr>
              <w:t>20.5%</w:t>
            </w:r>
          </w:p>
        </w:tc>
        <w:tc>
          <w:tcPr>
            <w:tcW w:w="689" w:type="dxa"/>
            <w:noWrap/>
            <w:hideMark/>
          </w:tcPr>
          <w:p w14:paraId="2E8C58AE" w14:textId="77777777" w:rsidR="00F26358" w:rsidRPr="00F26358" w:rsidRDefault="00F26358" w:rsidP="00F26358">
            <w:pPr>
              <w:pStyle w:val="Source"/>
              <w:rPr>
                <w:sz w:val="2"/>
                <w:szCs w:val="2"/>
              </w:rPr>
            </w:pPr>
            <w:r w:rsidRPr="00F26358">
              <w:rPr>
                <w:sz w:val="2"/>
                <w:szCs w:val="2"/>
              </w:rPr>
              <w:t>1.3%</w:t>
            </w:r>
          </w:p>
        </w:tc>
      </w:tr>
      <w:tr w:rsidR="00F26358" w:rsidRPr="00F26358" w14:paraId="6BD3E8F4" w14:textId="77777777" w:rsidTr="00F26358">
        <w:trPr>
          <w:trHeight w:val="300"/>
          <w:jc w:val="center"/>
        </w:trPr>
        <w:tc>
          <w:tcPr>
            <w:tcW w:w="2869" w:type="dxa"/>
            <w:noWrap/>
            <w:hideMark/>
          </w:tcPr>
          <w:p w14:paraId="0C8203D3" w14:textId="77777777" w:rsidR="00F26358" w:rsidRPr="00F26358" w:rsidRDefault="00F26358" w:rsidP="00F26358">
            <w:pPr>
              <w:pStyle w:val="Source"/>
              <w:rPr>
                <w:sz w:val="2"/>
                <w:szCs w:val="2"/>
              </w:rPr>
            </w:pPr>
          </w:p>
        </w:tc>
        <w:tc>
          <w:tcPr>
            <w:tcW w:w="2234" w:type="dxa"/>
            <w:noWrap/>
            <w:hideMark/>
          </w:tcPr>
          <w:p w14:paraId="72D97E54" w14:textId="77777777" w:rsidR="00F26358" w:rsidRPr="00F26358" w:rsidRDefault="00F26358" w:rsidP="00F26358">
            <w:pPr>
              <w:pStyle w:val="Source"/>
              <w:rPr>
                <w:sz w:val="2"/>
                <w:szCs w:val="2"/>
              </w:rPr>
            </w:pPr>
            <w:r w:rsidRPr="00F26358">
              <w:rPr>
                <w:sz w:val="2"/>
                <w:szCs w:val="2"/>
              </w:rPr>
              <w:t>Number of contact staff</w:t>
            </w:r>
          </w:p>
        </w:tc>
        <w:tc>
          <w:tcPr>
            <w:tcW w:w="1495" w:type="dxa"/>
            <w:noWrap/>
            <w:hideMark/>
          </w:tcPr>
          <w:p w14:paraId="1CD06410" w14:textId="77777777" w:rsidR="00F26358" w:rsidRPr="00F26358" w:rsidRDefault="00F26358" w:rsidP="00F26358">
            <w:pPr>
              <w:pStyle w:val="Source"/>
              <w:rPr>
                <w:sz w:val="2"/>
                <w:szCs w:val="2"/>
              </w:rPr>
            </w:pPr>
            <w:r w:rsidRPr="00F26358">
              <w:rPr>
                <w:sz w:val="2"/>
                <w:szCs w:val="2"/>
              </w:rPr>
              <w:t>77.7%</w:t>
            </w:r>
          </w:p>
        </w:tc>
        <w:tc>
          <w:tcPr>
            <w:tcW w:w="1044" w:type="dxa"/>
            <w:noWrap/>
            <w:hideMark/>
          </w:tcPr>
          <w:p w14:paraId="019B83EC" w14:textId="77777777" w:rsidR="00F26358" w:rsidRPr="00F26358" w:rsidRDefault="00F26358" w:rsidP="00F26358">
            <w:pPr>
              <w:pStyle w:val="Source"/>
              <w:rPr>
                <w:sz w:val="2"/>
                <w:szCs w:val="2"/>
              </w:rPr>
            </w:pPr>
            <w:r w:rsidRPr="00F26358">
              <w:rPr>
                <w:sz w:val="2"/>
                <w:szCs w:val="2"/>
              </w:rPr>
              <w:t>21.0%</w:t>
            </w:r>
          </w:p>
        </w:tc>
        <w:tc>
          <w:tcPr>
            <w:tcW w:w="689" w:type="dxa"/>
            <w:noWrap/>
            <w:hideMark/>
          </w:tcPr>
          <w:p w14:paraId="46209A80" w14:textId="77777777" w:rsidR="00F26358" w:rsidRPr="00F26358" w:rsidRDefault="00F26358" w:rsidP="00F26358">
            <w:pPr>
              <w:pStyle w:val="Source"/>
              <w:rPr>
                <w:sz w:val="2"/>
                <w:szCs w:val="2"/>
              </w:rPr>
            </w:pPr>
            <w:r w:rsidRPr="00F26358">
              <w:rPr>
                <w:sz w:val="2"/>
                <w:szCs w:val="2"/>
              </w:rPr>
              <w:t>1.3%</w:t>
            </w:r>
          </w:p>
        </w:tc>
      </w:tr>
      <w:tr w:rsidR="00F26358" w:rsidRPr="00F26358" w14:paraId="1310DAF7" w14:textId="77777777" w:rsidTr="00F26358">
        <w:trPr>
          <w:trHeight w:val="300"/>
          <w:jc w:val="center"/>
        </w:trPr>
        <w:tc>
          <w:tcPr>
            <w:tcW w:w="2869" w:type="dxa"/>
            <w:hideMark/>
          </w:tcPr>
          <w:p w14:paraId="3B9CD6BF" w14:textId="77777777" w:rsidR="00F26358" w:rsidRPr="00F26358" w:rsidRDefault="00F26358" w:rsidP="00F26358">
            <w:pPr>
              <w:pStyle w:val="Source"/>
              <w:rPr>
                <w:sz w:val="2"/>
                <w:szCs w:val="2"/>
              </w:rPr>
            </w:pPr>
          </w:p>
        </w:tc>
        <w:tc>
          <w:tcPr>
            <w:tcW w:w="2234" w:type="dxa"/>
            <w:hideMark/>
          </w:tcPr>
          <w:p w14:paraId="0AE72BD7" w14:textId="77777777" w:rsidR="00F26358" w:rsidRPr="00F26358" w:rsidRDefault="00F26358" w:rsidP="00F26358">
            <w:pPr>
              <w:pStyle w:val="Source"/>
              <w:rPr>
                <w:sz w:val="2"/>
                <w:szCs w:val="2"/>
              </w:rPr>
            </w:pPr>
          </w:p>
        </w:tc>
        <w:tc>
          <w:tcPr>
            <w:tcW w:w="1495" w:type="dxa"/>
            <w:noWrap/>
            <w:hideMark/>
          </w:tcPr>
          <w:p w14:paraId="61899166" w14:textId="77777777" w:rsidR="00F26358" w:rsidRPr="00F26358" w:rsidRDefault="00F26358" w:rsidP="00F26358">
            <w:pPr>
              <w:pStyle w:val="Source"/>
              <w:rPr>
                <w:b/>
                <w:bCs/>
                <w:sz w:val="2"/>
                <w:szCs w:val="2"/>
              </w:rPr>
            </w:pPr>
            <w:r w:rsidRPr="00F26358">
              <w:rPr>
                <w:b/>
                <w:bCs/>
                <w:sz w:val="2"/>
                <w:szCs w:val="2"/>
              </w:rPr>
              <w:t>Major Cities</w:t>
            </w:r>
          </w:p>
        </w:tc>
        <w:tc>
          <w:tcPr>
            <w:tcW w:w="1044" w:type="dxa"/>
            <w:noWrap/>
            <w:hideMark/>
          </w:tcPr>
          <w:p w14:paraId="759BDC07" w14:textId="77777777" w:rsidR="00F26358" w:rsidRPr="00F26358" w:rsidRDefault="00F26358" w:rsidP="00F26358">
            <w:pPr>
              <w:pStyle w:val="Source"/>
              <w:rPr>
                <w:b/>
                <w:bCs/>
                <w:sz w:val="2"/>
                <w:szCs w:val="2"/>
              </w:rPr>
            </w:pPr>
            <w:r w:rsidRPr="00F26358">
              <w:rPr>
                <w:b/>
                <w:bCs/>
                <w:sz w:val="2"/>
                <w:szCs w:val="2"/>
              </w:rPr>
              <w:t>Regional</w:t>
            </w:r>
          </w:p>
        </w:tc>
        <w:tc>
          <w:tcPr>
            <w:tcW w:w="689" w:type="dxa"/>
            <w:noWrap/>
            <w:hideMark/>
          </w:tcPr>
          <w:p w14:paraId="775500E9" w14:textId="77777777" w:rsidR="00F26358" w:rsidRPr="00F26358" w:rsidRDefault="00F26358" w:rsidP="00F26358">
            <w:pPr>
              <w:pStyle w:val="Source"/>
              <w:rPr>
                <w:b/>
                <w:bCs/>
                <w:sz w:val="2"/>
                <w:szCs w:val="2"/>
              </w:rPr>
            </w:pPr>
            <w:r w:rsidRPr="00F26358">
              <w:rPr>
                <w:b/>
                <w:bCs/>
                <w:sz w:val="2"/>
                <w:szCs w:val="2"/>
              </w:rPr>
              <w:t>Remote</w:t>
            </w:r>
          </w:p>
        </w:tc>
      </w:tr>
      <w:tr w:rsidR="00F26358" w:rsidRPr="00F26358" w14:paraId="7F84D37C" w14:textId="77777777" w:rsidTr="00F26358">
        <w:trPr>
          <w:trHeight w:val="300"/>
          <w:jc w:val="center"/>
        </w:trPr>
        <w:tc>
          <w:tcPr>
            <w:tcW w:w="2869" w:type="dxa"/>
            <w:noWrap/>
            <w:hideMark/>
          </w:tcPr>
          <w:p w14:paraId="08ACF400" w14:textId="77777777" w:rsidR="00F26358" w:rsidRPr="00F26358" w:rsidRDefault="00F26358" w:rsidP="00F26358">
            <w:pPr>
              <w:pStyle w:val="Source"/>
              <w:rPr>
                <w:b/>
                <w:bCs/>
                <w:sz w:val="2"/>
                <w:szCs w:val="2"/>
              </w:rPr>
            </w:pPr>
            <w:r w:rsidRPr="00F26358">
              <w:rPr>
                <w:b/>
                <w:bCs/>
                <w:sz w:val="2"/>
                <w:szCs w:val="2"/>
              </w:rPr>
              <w:t>Out of School Hours Care</w:t>
            </w:r>
          </w:p>
        </w:tc>
        <w:tc>
          <w:tcPr>
            <w:tcW w:w="2234" w:type="dxa"/>
            <w:noWrap/>
            <w:hideMark/>
          </w:tcPr>
          <w:p w14:paraId="6E19554D" w14:textId="77777777" w:rsidR="00F26358" w:rsidRPr="00F26358" w:rsidRDefault="00F26358" w:rsidP="00F26358">
            <w:pPr>
              <w:pStyle w:val="Source"/>
              <w:rPr>
                <w:sz w:val="2"/>
                <w:szCs w:val="2"/>
              </w:rPr>
            </w:pPr>
            <w:r w:rsidRPr="00F26358">
              <w:rPr>
                <w:sz w:val="2"/>
                <w:szCs w:val="2"/>
              </w:rPr>
              <w:t>Typical number of children</w:t>
            </w:r>
          </w:p>
        </w:tc>
        <w:tc>
          <w:tcPr>
            <w:tcW w:w="1495" w:type="dxa"/>
            <w:noWrap/>
            <w:hideMark/>
          </w:tcPr>
          <w:p w14:paraId="5CEA58BE" w14:textId="77777777" w:rsidR="00F26358" w:rsidRPr="00F26358" w:rsidRDefault="00F26358" w:rsidP="00F26358">
            <w:pPr>
              <w:pStyle w:val="Source"/>
              <w:rPr>
                <w:sz w:val="2"/>
                <w:szCs w:val="2"/>
              </w:rPr>
            </w:pPr>
            <w:r w:rsidRPr="00F26358">
              <w:rPr>
                <w:sz w:val="2"/>
                <w:szCs w:val="2"/>
              </w:rPr>
              <w:t>82.2%</w:t>
            </w:r>
          </w:p>
        </w:tc>
        <w:tc>
          <w:tcPr>
            <w:tcW w:w="1044" w:type="dxa"/>
            <w:noWrap/>
            <w:hideMark/>
          </w:tcPr>
          <w:p w14:paraId="255B4EE9" w14:textId="77777777" w:rsidR="00F26358" w:rsidRPr="00F26358" w:rsidRDefault="00F26358" w:rsidP="00F26358">
            <w:pPr>
              <w:pStyle w:val="Source"/>
              <w:rPr>
                <w:sz w:val="2"/>
                <w:szCs w:val="2"/>
              </w:rPr>
            </w:pPr>
            <w:r w:rsidRPr="00F26358">
              <w:rPr>
                <w:sz w:val="2"/>
                <w:szCs w:val="2"/>
              </w:rPr>
              <w:t>17.3%</w:t>
            </w:r>
          </w:p>
        </w:tc>
        <w:tc>
          <w:tcPr>
            <w:tcW w:w="689" w:type="dxa"/>
            <w:noWrap/>
            <w:hideMark/>
          </w:tcPr>
          <w:p w14:paraId="3AEF0AF9" w14:textId="77777777" w:rsidR="00F26358" w:rsidRPr="00F26358" w:rsidRDefault="00F26358" w:rsidP="00F26358">
            <w:pPr>
              <w:pStyle w:val="Source"/>
              <w:rPr>
                <w:sz w:val="2"/>
                <w:szCs w:val="2"/>
              </w:rPr>
            </w:pPr>
            <w:r w:rsidRPr="00F26358">
              <w:rPr>
                <w:sz w:val="2"/>
                <w:szCs w:val="2"/>
              </w:rPr>
              <w:t>0.6%</w:t>
            </w:r>
          </w:p>
        </w:tc>
      </w:tr>
      <w:tr w:rsidR="00F26358" w:rsidRPr="00F26358" w14:paraId="6E4E793B" w14:textId="77777777" w:rsidTr="00F26358">
        <w:trPr>
          <w:trHeight w:val="300"/>
          <w:jc w:val="center"/>
        </w:trPr>
        <w:tc>
          <w:tcPr>
            <w:tcW w:w="2869" w:type="dxa"/>
            <w:noWrap/>
            <w:hideMark/>
          </w:tcPr>
          <w:p w14:paraId="25B244DE" w14:textId="77777777" w:rsidR="00F26358" w:rsidRPr="00F26358" w:rsidRDefault="00F26358" w:rsidP="00F26358">
            <w:pPr>
              <w:pStyle w:val="Source"/>
              <w:rPr>
                <w:sz w:val="2"/>
                <w:szCs w:val="2"/>
              </w:rPr>
            </w:pPr>
          </w:p>
        </w:tc>
        <w:tc>
          <w:tcPr>
            <w:tcW w:w="2234" w:type="dxa"/>
            <w:noWrap/>
            <w:hideMark/>
          </w:tcPr>
          <w:p w14:paraId="4308C633" w14:textId="77777777" w:rsidR="00F26358" w:rsidRPr="00F26358" w:rsidRDefault="00F26358" w:rsidP="00F26358">
            <w:pPr>
              <w:pStyle w:val="Source"/>
              <w:rPr>
                <w:sz w:val="2"/>
                <w:szCs w:val="2"/>
              </w:rPr>
            </w:pPr>
            <w:r w:rsidRPr="00F26358">
              <w:rPr>
                <w:sz w:val="2"/>
                <w:szCs w:val="2"/>
              </w:rPr>
              <w:t>Number of contact staff</w:t>
            </w:r>
          </w:p>
        </w:tc>
        <w:tc>
          <w:tcPr>
            <w:tcW w:w="1495" w:type="dxa"/>
            <w:noWrap/>
            <w:hideMark/>
          </w:tcPr>
          <w:p w14:paraId="42A86C4B" w14:textId="77777777" w:rsidR="00F26358" w:rsidRPr="00F26358" w:rsidRDefault="00F26358" w:rsidP="00F26358">
            <w:pPr>
              <w:pStyle w:val="Source"/>
              <w:rPr>
                <w:sz w:val="2"/>
                <w:szCs w:val="2"/>
              </w:rPr>
            </w:pPr>
            <w:r w:rsidRPr="00F26358">
              <w:rPr>
                <w:sz w:val="2"/>
                <w:szCs w:val="2"/>
              </w:rPr>
              <w:t>81.9%</w:t>
            </w:r>
          </w:p>
        </w:tc>
        <w:tc>
          <w:tcPr>
            <w:tcW w:w="1044" w:type="dxa"/>
            <w:noWrap/>
            <w:hideMark/>
          </w:tcPr>
          <w:p w14:paraId="524F43F3" w14:textId="77777777" w:rsidR="00F26358" w:rsidRPr="00F26358" w:rsidRDefault="00F26358" w:rsidP="00F26358">
            <w:pPr>
              <w:pStyle w:val="Source"/>
              <w:rPr>
                <w:sz w:val="2"/>
                <w:szCs w:val="2"/>
              </w:rPr>
            </w:pPr>
            <w:r w:rsidRPr="00F26358">
              <w:rPr>
                <w:sz w:val="2"/>
                <w:szCs w:val="2"/>
              </w:rPr>
              <w:t>17.5%</w:t>
            </w:r>
          </w:p>
        </w:tc>
        <w:tc>
          <w:tcPr>
            <w:tcW w:w="689" w:type="dxa"/>
            <w:noWrap/>
            <w:hideMark/>
          </w:tcPr>
          <w:p w14:paraId="45EE9ECA" w14:textId="77777777" w:rsidR="00F26358" w:rsidRPr="00F26358" w:rsidRDefault="00F26358" w:rsidP="00F26358">
            <w:pPr>
              <w:pStyle w:val="Source"/>
              <w:rPr>
                <w:sz w:val="2"/>
                <w:szCs w:val="2"/>
              </w:rPr>
            </w:pPr>
            <w:r w:rsidRPr="00F26358">
              <w:rPr>
                <w:sz w:val="2"/>
                <w:szCs w:val="2"/>
              </w:rPr>
              <w:t>0.6%</w:t>
            </w:r>
          </w:p>
        </w:tc>
      </w:tr>
      <w:tr w:rsidR="00F26358" w:rsidRPr="00F26358" w14:paraId="02CAD803" w14:textId="77777777" w:rsidTr="00F26358">
        <w:trPr>
          <w:trHeight w:val="300"/>
          <w:jc w:val="center"/>
        </w:trPr>
        <w:tc>
          <w:tcPr>
            <w:tcW w:w="2869" w:type="dxa"/>
            <w:hideMark/>
          </w:tcPr>
          <w:p w14:paraId="538DC212" w14:textId="77777777" w:rsidR="00F26358" w:rsidRPr="00F26358" w:rsidRDefault="00F26358" w:rsidP="00F26358">
            <w:pPr>
              <w:pStyle w:val="Source"/>
              <w:rPr>
                <w:sz w:val="2"/>
                <w:szCs w:val="2"/>
              </w:rPr>
            </w:pPr>
          </w:p>
        </w:tc>
        <w:tc>
          <w:tcPr>
            <w:tcW w:w="2234" w:type="dxa"/>
            <w:hideMark/>
          </w:tcPr>
          <w:p w14:paraId="005B0D47" w14:textId="77777777" w:rsidR="00F26358" w:rsidRPr="00F26358" w:rsidRDefault="00F26358" w:rsidP="00F26358">
            <w:pPr>
              <w:pStyle w:val="Source"/>
              <w:rPr>
                <w:sz w:val="2"/>
                <w:szCs w:val="2"/>
              </w:rPr>
            </w:pPr>
          </w:p>
        </w:tc>
        <w:tc>
          <w:tcPr>
            <w:tcW w:w="1495" w:type="dxa"/>
            <w:noWrap/>
            <w:hideMark/>
          </w:tcPr>
          <w:p w14:paraId="4018FD03" w14:textId="77777777" w:rsidR="00F26358" w:rsidRPr="00F26358" w:rsidRDefault="00F26358" w:rsidP="00F26358">
            <w:pPr>
              <w:pStyle w:val="Source"/>
              <w:rPr>
                <w:b/>
                <w:bCs/>
                <w:sz w:val="2"/>
                <w:szCs w:val="2"/>
              </w:rPr>
            </w:pPr>
            <w:r w:rsidRPr="00F26358">
              <w:rPr>
                <w:b/>
                <w:bCs/>
                <w:sz w:val="2"/>
                <w:szCs w:val="2"/>
              </w:rPr>
              <w:t>Major Cities</w:t>
            </w:r>
          </w:p>
        </w:tc>
        <w:tc>
          <w:tcPr>
            <w:tcW w:w="1044" w:type="dxa"/>
            <w:noWrap/>
            <w:hideMark/>
          </w:tcPr>
          <w:p w14:paraId="19AF39FB" w14:textId="77777777" w:rsidR="00F26358" w:rsidRPr="00F26358" w:rsidRDefault="00F26358" w:rsidP="00F26358">
            <w:pPr>
              <w:pStyle w:val="Source"/>
              <w:rPr>
                <w:b/>
                <w:bCs/>
                <w:sz w:val="2"/>
                <w:szCs w:val="2"/>
              </w:rPr>
            </w:pPr>
            <w:r w:rsidRPr="00F26358">
              <w:rPr>
                <w:b/>
                <w:bCs/>
                <w:sz w:val="2"/>
                <w:szCs w:val="2"/>
              </w:rPr>
              <w:t>Regional</w:t>
            </w:r>
          </w:p>
        </w:tc>
        <w:tc>
          <w:tcPr>
            <w:tcW w:w="689" w:type="dxa"/>
            <w:noWrap/>
            <w:hideMark/>
          </w:tcPr>
          <w:p w14:paraId="72500488" w14:textId="77777777" w:rsidR="00F26358" w:rsidRPr="00F26358" w:rsidRDefault="00F26358" w:rsidP="00F26358">
            <w:pPr>
              <w:pStyle w:val="Source"/>
              <w:rPr>
                <w:b/>
                <w:bCs/>
                <w:sz w:val="2"/>
                <w:szCs w:val="2"/>
              </w:rPr>
            </w:pPr>
            <w:r w:rsidRPr="00F26358">
              <w:rPr>
                <w:b/>
                <w:bCs/>
                <w:sz w:val="2"/>
                <w:szCs w:val="2"/>
              </w:rPr>
              <w:t>Remote</w:t>
            </w:r>
          </w:p>
        </w:tc>
      </w:tr>
      <w:tr w:rsidR="00F26358" w:rsidRPr="00F26358" w14:paraId="28BF1A95" w14:textId="77777777" w:rsidTr="00F26358">
        <w:trPr>
          <w:trHeight w:val="300"/>
          <w:jc w:val="center"/>
        </w:trPr>
        <w:tc>
          <w:tcPr>
            <w:tcW w:w="2869" w:type="dxa"/>
            <w:noWrap/>
            <w:hideMark/>
          </w:tcPr>
          <w:p w14:paraId="3ACD8F48" w14:textId="77777777" w:rsidR="00F26358" w:rsidRPr="00F26358" w:rsidRDefault="00F26358" w:rsidP="00F26358">
            <w:pPr>
              <w:pStyle w:val="Source"/>
              <w:rPr>
                <w:b/>
                <w:bCs/>
                <w:sz w:val="2"/>
                <w:szCs w:val="2"/>
              </w:rPr>
            </w:pPr>
            <w:r w:rsidRPr="00F26358">
              <w:rPr>
                <w:b/>
                <w:bCs/>
                <w:sz w:val="2"/>
                <w:szCs w:val="2"/>
              </w:rPr>
              <w:t>In Home Care</w:t>
            </w:r>
          </w:p>
        </w:tc>
        <w:tc>
          <w:tcPr>
            <w:tcW w:w="2234" w:type="dxa"/>
            <w:noWrap/>
            <w:hideMark/>
          </w:tcPr>
          <w:p w14:paraId="7AFE8CBB" w14:textId="77777777" w:rsidR="00F26358" w:rsidRPr="00F26358" w:rsidRDefault="00F26358" w:rsidP="00F26358">
            <w:pPr>
              <w:pStyle w:val="Source"/>
              <w:rPr>
                <w:sz w:val="2"/>
                <w:szCs w:val="2"/>
              </w:rPr>
            </w:pPr>
            <w:r w:rsidRPr="00F26358">
              <w:rPr>
                <w:sz w:val="2"/>
                <w:szCs w:val="2"/>
              </w:rPr>
              <w:t>Typical number of children</w:t>
            </w:r>
          </w:p>
        </w:tc>
        <w:tc>
          <w:tcPr>
            <w:tcW w:w="1495" w:type="dxa"/>
            <w:noWrap/>
            <w:hideMark/>
          </w:tcPr>
          <w:p w14:paraId="1269CF08" w14:textId="77777777" w:rsidR="00F26358" w:rsidRPr="00F26358" w:rsidRDefault="00F26358" w:rsidP="00F26358">
            <w:pPr>
              <w:pStyle w:val="Source"/>
              <w:rPr>
                <w:sz w:val="2"/>
                <w:szCs w:val="2"/>
              </w:rPr>
            </w:pPr>
            <w:r w:rsidRPr="00F26358">
              <w:rPr>
                <w:sz w:val="2"/>
                <w:szCs w:val="2"/>
              </w:rPr>
              <w:t>70.3%</w:t>
            </w:r>
          </w:p>
        </w:tc>
        <w:tc>
          <w:tcPr>
            <w:tcW w:w="1044" w:type="dxa"/>
            <w:noWrap/>
            <w:hideMark/>
          </w:tcPr>
          <w:p w14:paraId="00382B5E" w14:textId="77777777" w:rsidR="00F26358" w:rsidRPr="00F26358" w:rsidRDefault="00F26358" w:rsidP="00F26358">
            <w:pPr>
              <w:pStyle w:val="Source"/>
              <w:rPr>
                <w:sz w:val="2"/>
                <w:szCs w:val="2"/>
              </w:rPr>
            </w:pPr>
            <w:r w:rsidRPr="00F26358">
              <w:rPr>
                <w:sz w:val="2"/>
                <w:szCs w:val="2"/>
              </w:rPr>
              <w:t>24.1%</w:t>
            </w:r>
          </w:p>
        </w:tc>
        <w:tc>
          <w:tcPr>
            <w:tcW w:w="689" w:type="dxa"/>
            <w:noWrap/>
            <w:hideMark/>
          </w:tcPr>
          <w:p w14:paraId="05E4773D" w14:textId="77777777" w:rsidR="00F26358" w:rsidRPr="00F26358" w:rsidRDefault="00F26358" w:rsidP="00F26358">
            <w:pPr>
              <w:pStyle w:val="Source"/>
              <w:rPr>
                <w:sz w:val="2"/>
                <w:szCs w:val="2"/>
              </w:rPr>
            </w:pPr>
            <w:r w:rsidRPr="00F26358">
              <w:rPr>
                <w:sz w:val="2"/>
                <w:szCs w:val="2"/>
              </w:rPr>
              <w:t>5.6%</w:t>
            </w:r>
          </w:p>
        </w:tc>
      </w:tr>
      <w:tr w:rsidR="00F26358" w:rsidRPr="00F26358" w14:paraId="4BF5A677" w14:textId="77777777" w:rsidTr="00F26358">
        <w:trPr>
          <w:trHeight w:val="300"/>
          <w:jc w:val="center"/>
        </w:trPr>
        <w:tc>
          <w:tcPr>
            <w:tcW w:w="2869" w:type="dxa"/>
            <w:noWrap/>
            <w:hideMark/>
          </w:tcPr>
          <w:p w14:paraId="466B898D" w14:textId="77777777" w:rsidR="00F26358" w:rsidRPr="00F26358" w:rsidRDefault="00F26358" w:rsidP="00F26358">
            <w:pPr>
              <w:pStyle w:val="Source"/>
              <w:rPr>
                <w:sz w:val="2"/>
                <w:szCs w:val="2"/>
              </w:rPr>
            </w:pPr>
          </w:p>
        </w:tc>
        <w:tc>
          <w:tcPr>
            <w:tcW w:w="2234" w:type="dxa"/>
            <w:noWrap/>
            <w:hideMark/>
          </w:tcPr>
          <w:p w14:paraId="2688BB75" w14:textId="77777777" w:rsidR="00F26358" w:rsidRPr="00F26358" w:rsidRDefault="00F26358" w:rsidP="00F26358">
            <w:pPr>
              <w:pStyle w:val="Source"/>
              <w:rPr>
                <w:sz w:val="2"/>
                <w:szCs w:val="2"/>
              </w:rPr>
            </w:pPr>
            <w:r w:rsidRPr="00F26358">
              <w:rPr>
                <w:sz w:val="2"/>
                <w:szCs w:val="2"/>
              </w:rPr>
              <w:t>Number of contact staff</w:t>
            </w:r>
          </w:p>
        </w:tc>
        <w:tc>
          <w:tcPr>
            <w:tcW w:w="1495" w:type="dxa"/>
            <w:noWrap/>
            <w:hideMark/>
          </w:tcPr>
          <w:p w14:paraId="668C2F66" w14:textId="77777777" w:rsidR="00F26358" w:rsidRPr="00F26358" w:rsidRDefault="00F26358" w:rsidP="00F26358">
            <w:pPr>
              <w:pStyle w:val="Source"/>
              <w:rPr>
                <w:sz w:val="2"/>
                <w:szCs w:val="2"/>
              </w:rPr>
            </w:pPr>
            <w:r w:rsidRPr="00F26358">
              <w:rPr>
                <w:sz w:val="2"/>
                <w:szCs w:val="2"/>
              </w:rPr>
              <w:t>75.7%</w:t>
            </w:r>
          </w:p>
        </w:tc>
        <w:tc>
          <w:tcPr>
            <w:tcW w:w="1044" w:type="dxa"/>
            <w:noWrap/>
            <w:hideMark/>
          </w:tcPr>
          <w:p w14:paraId="2B03493A" w14:textId="77777777" w:rsidR="00F26358" w:rsidRPr="00F26358" w:rsidRDefault="00F26358" w:rsidP="00F26358">
            <w:pPr>
              <w:pStyle w:val="Source"/>
              <w:rPr>
                <w:sz w:val="2"/>
                <w:szCs w:val="2"/>
              </w:rPr>
            </w:pPr>
            <w:r w:rsidRPr="00F26358">
              <w:rPr>
                <w:sz w:val="2"/>
                <w:szCs w:val="2"/>
              </w:rPr>
              <w:t>19.4%</w:t>
            </w:r>
          </w:p>
        </w:tc>
        <w:tc>
          <w:tcPr>
            <w:tcW w:w="689" w:type="dxa"/>
            <w:noWrap/>
            <w:hideMark/>
          </w:tcPr>
          <w:p w14:paraId="381D027F" w14:textId="77777777" w:rsidR="00F26358" w:rsidRPr="00F26358" w:rsidRDefault="00F26358" w:rsidP="00F26358">
            <w:pPr>
              <w:pStyle w:val="Source"/>
              <w:rPr>
                <w:sz w:val="2"/>
                <w:szCs w:val="2"/>
              </w:rPr>
            </w:pPr>
            <w:r w:rsidRPr="00F26358">
              <w:rPr>
                <w:sz w:val="2"/>
                <w:szCs w:val="2"/>
              </w:rPr>
              <w:t>4.9%</w:t>
            </w:r>
          </w:p>
        </w:tc>
      </w:tr>
      <w:tr w:rsidR="00F26358" w:rsidRPr="00F26358" w14:paraId="35C57949" w14:textId="77777777" w:rsidTr="00F26358">
        <w:trPr>
          <w:trHeight w:val="300"/>
          <w:jc w:val="center"/>
        </w:trPr>
        <w:tc>
          <w:tcPr>
            <w:tcW w:w="2869" w:type="dxa"/>
            <w:hideMark/>
          </w:tcPr>
          <w:p w14:paraId="2A000563" w14:textId="77777777" w:rsidR="00F26358" w:rsidRPr="00F26358" w:rsidRDefault="00F26358" w:rsidP="00F26358">
            <w:pPr>
              <w:pStyle w:val="Source"/>
              <w:rPr>
                <w:sz w:val="2"/>
                <w:szCs w:val="2"/>
              </w:rPr>
            </w:pPr>
          </w:p>
        </w:tc>
        <w:tc>
          <w:tcPr>
            <w:tcW w:w="2234" w:type="dxa"/>
            <w:hideMark/>
          </w:tcPr>
          <w:p w14:paraId="5DDB7EDB" w14:textId="77777777" w:rsidR="00F26358" w:rsidRPr="00F26358" w:rsidRDefault="00F26358" w:rsidP="00F26358">
            <w:pPr>
              <w:pStyle w:val="Source"/>
              <w:rPr>
                <w:sz w:val="2"/>
                <w:szCs w:val="2"/>
              </w:rPr>
            </w:pPr>
          </w:p>
        </w:tc>
        <w:tc>
          <w:tcPr>
            <w:tcW w:w="1495" w:type="dxa"/>
            <w:noWrap/>
            <w:hideMark/>
          </w:tcPr>
          <w:p w14:paraId="489E73DF" w14:textId="77777777" w:rsidR="00F26358" w:rsidRPr="00F26358" w:rsidRDefault="00F26358" w:rsidP="00F26358">
            <w:pPr>
              <w:pStyle w:val="Source"/>
              <w:rPr>
                <w:b/>
                <w:bCs/>
                <w:sz w:val="2"/>
                <w:szCs w:val="2"/>
              </w:rPr>
            </w:pPr>
            <w:r w:rsidRPr="00F26358">
              <w:rPr>
                <w:b/>
                <w:bCs/>
                <w:sz w:val="2"/>
                <w:szCs w:val="2"/>
              </w:rPr>
              <w:t>Major Cities</w:t>
            </w:r>
          </w:p>
        </w:tc>
        <w:tc>
          <w:tcPr>
            <w:tcW w:w="1044" w:type="dxa"/>
            <w:noWrap/>
            <w:hideMark/>
          </w:tcPr>
          <w:p w14:paraId="01D00377" w14:textId="77777777" w:rsidR="00F26358" w:rsidRPr="00F26358" w:rsidRDefault="00F26358" w:rsidP="00F26358">
            <w:pPr>
              <w:pStyle w:val="Source"/>
              <w:rPr>
                <w:b/>
                <w:bCs/>
                <w:sz w:val="2"/>
                <w:szCs w:val="2"/>
              </w:rPr>
            </w:pPr>
            <w:r w:rsidRPr="00F26358">
              <w:rPr>
                <w:b/>
                <w:bCs/>
                <w:sz w:val="2"/>
                <w:szCs w:val="2"/>
              </w:rPr>
              <w:t>Regional</w:t>
            </w:r>
          </w:p>
        </w:tc>
        <w:tc>
          <w:tcPr>
            <w:tcW w:w="689" w:type="dxa"/>
            <w:noWrap/>
            <w:hideMark/>
          </w:tcPr>
          <w:p w14:paraId="24218A5B" w14:textId="77777777" w:rsidR="00F26358" w:rsidRPr="00F26358" w:rsidRDefault="00F26358" w:rsidP="00F26358">
            <w:pPr>
              <w:pStyle w:val="Source"/>
              <w:rPr>
                <w:b/>
                <w:bCs/>
                <w:sz w:val="2"/>
                <w:szCs w:val="2"/>
              </w:rPr>
            </w:pPr>
            <w:r w:rsidRPr="00F26358">
              <w:rPr>
                <w:b/>
                <w:bCs/>
                <w:sz w:val="2"/>
                <w:szCs w:val="2"/>
              </w:rPr>
              <w:t>Remote</w:t>
            </w:r>
          </w:p>
        </w:tc>
      </w:tr>
      <w:tr w:rsidR="00F26358" w:rsidRPr="00F26358" w14:paraId="51427BDA" w14:textId="77777777" w:rsidTr="00F26358">
        <w:trPr>
          <w:trHeight w:val="300"/>
          <w:jc w:val="center"/>
        </w:trPr>
        <w:tc>
          <w:tcPr>
            <w:tcW w:w="2869" w:type="dxa"/>
            <w:noWrap/>
            <w:hideMark/>
          </w:tcPr>
          <w:p w14:paraId="73CAC726" w14:textId="77777777" w:rsidR="00F26358" w:rsidRPr="00F26358" w:rsidRDefault="00F26358" w:rsidP="00F26358">
            <w:pPr>
              <w:pStyle w:val="Source"/>
              <w:rPr>
                <w:b/>
                <w:bCs/>
                <w:sz w:val="2"/>
                <w:szCs w:val="2"/>
              </w:rPr>
            </w:pPr>
            <w:r w:rsidRPr="00F26358">
              <w:rPr>
                <w:b/>
                <w:bCs/>
                <w:sz w:val="2"/>
                <w:szCs w:val="2"/>
              </w:rPr>
              <w:t>Family Day Care</w:t>
            </w:r>
          </w:p>
        </w:tc>
        <w:tc>
          <w:tcPr>
            <w:tcW w:w="2234" w:type="dxa"/>
            <w:noWrap/>
            <w:hideMark/>
          </w:tcPr>
          <w:p w14:paraId="4546F0A5" w14:textId="77777777" w:rsidR="00F26358" w:rsidRPr="00F26358" w:rsidRDefault="00F26358" w:rsidP="00F26358">
            <w:pPr>
              <w:pStyle w:val="Source"/>
              <w:rPr>
                <w:sz w:val="2"/>
                <w:szCs w:val="2"/>
              </w:rPr>
            </w:pPr>
            <w:r w:rsidRPr="00F26358">
              <w:rPr>
                <w:sz w:val="2"/>
                <w:szCs w:val="2"/>
              </w:rPr>
              <w:t>Typical number of children</w:t>
            </w:r>
          </w:p>
        </w:tc>
        <w:tc>
          <w:tcPr>
            <w:tcW w:w="1495" w:type="dxa"/>
            <w:noWrap/>
            <w:hideMark/>
          </w:tcPr>
          <w:p w14:paraId="4D8ABCE3" w14:textId="77777777" w:rsidR="00F26358" w:rsidRPr="00F26358" w:rsidRDefault="00F26358" w:rsidP="00F26358">
            <w:pPr>
              <w:pStyle w:val="Source"/>
              <w:rPr>
                <w:sz w:val="2"/>
                <w:szCs w:val="2"/>
              </w:rPr>
            </w:pPr>
            <w:r w:rsidRPr="00F26358">
              <w:rPr>
                <w:sz w:val="2"/>
                <w:szCs w:val="2"/>
              </w:rPr>
              <w:t>73.5%</w:t>
            </w:r>
          </w:p>
        </w:tc>
        <w:tc>
          <w:tcPr>
            <w:tcW w:w="1044" w:type="dxa"/>
            <w:noWrap/>
            <w:hideMark/>
          </w:tcPr>
          <w:p w14:paraId="5E7D2D39" w14:textId="77777777" w:rsidR="00F26358" w:rsidRPr="00F26358" w:rsidRDefault="00F26358" w:rsidP="00F26358">
            <w:pPr>
              <w:pStyle w:val="Source"/>
              <w:rPr>
                <w:sz w:val="2"/>
                <w:szCs w:val="2"/>
              </w:rPr>
            </w:pPr>
            <w:r w:rsidRPr="00F26358">
              <w:rPr>
                <w:sz w:val="2"/>
                <w:szCs w:val="2"/>
              </w:rPr>
              <w:t>26.0%</w:t>
            </w:r>
          </w:p>
        </w:tc>
        <w:tc>
          <w:tcPr>
            <w:tcW w:w="689" w:type="dxa"/>
            <w:noWrap/>
            <w:hideMark/>
          </w:tcPr>
          <w:p w14:paraId="033CDEF8" w14:textId="77777777" w:rsidR="00F26358" w:rsidRPr="00F26358" w:rsidRDefault="00F26358" w:rsidP="00F26358">
            <w:pPr>
              <w:pStyle w:val="Source"/>
              <w:rPr>
                <w:sz w:val="2"/>
                <w:szCs w:val="2"/>
              </w:rPr>
            </w:pPr>
            <w:r w:rsidRPr="00F26358">
              <w:rPr>
                <w:sz w:val="2"/>
                <w:szCs w:val="2"/>
              </w:rPr>
              <w:t>0.5%</w:t>
            </w:r>
          </w:p>
        </w:tc>
      </w:tr>
      <w:tr w:rsidR="00F26358" w:rsidRPr="00F26358" w14:paraId="49E7C814" w14:textId="77777777" w:rsidTr="00F26358">
        <w:trPr>
          <w:trHeight w:val="300"/>
          <w:jc w:val="center"/>
        </w:trPr>
        <w:tc>
          <w:tcPr>
            <w:tcW w:w="2869" w:type="dxa"/>
            <w:noWrap/>
            <w:hideMark/>
          </w:tcPr>
          <w:p w14:paraId="7E963708" w14:textId="77777777" w:rsidR="00F26358" w:rsidRPr="00F26358" w:rsidRDefault="00F26358" w:rsidP="00F26358">
            <w:pPr>
              <w:pStyle w:val="Source"/>
              <w:rPr>
                <w:sz w:val="2"/>
                <w:szCs w:val="2"/>
              </w:rPr>
            </w:pPr>
          </w:p>
        </w:tc>
        <w:tc>
          <w:tcPr>
            <w:tcW w:w="2234" w:type="dxa"/>
            <w:noWrap/>
            <w:hideMark/>
          </w:tcPr>
          <w:p w14:paraId="63CA20C5" w14:textId="77777777" w:rsidR="00F26358" w:rsidRPr="00F26358" w:rsidRDefault="00F26358" w:rsidP="00F26358">
            <w:pPr>
              <w:pStyle w:val="Source"/>
              <w:rPr>
                <w:sz w:val="2"/>
                <w:szCs w:val="2"/>
              </w:rPr>
            </w:pPr>
            <w:r w:rsidRPr="00F26358">
              <w:rPr>
                <w:sz w:val="2"/>
                <w:szCs w:val="2"/>
              </w:rPr>
              <w:t>Number of contact staff</w:t>
            </w:r>
          </w:p>
        </w:tc>
        <w:tc>
          <w:tcPr>
            <w:tcW w:w="1495" w:type="dxa"/>
            <w:noWrap/>
            <w:hideMark/>
          </w:tcPr>
          <w:p w14:paraId="5C5810F0" w14:textId="77777777" w:rsidR="00F26358" w:rsidRPr="00F26358" w:rsidRDefault="00F26358" w:rsidP="00F26358">
            <w:pPr>
              <w:pStyle w:val="Source"/>
              <w:rPr>
                <w:sz w:val="2"/>
                <w:szCs w:val="2"/>
              </w:rPr>
            </w:pPr>
            <w:r w:rsidRPr="00F26358">
              <w:rPr>
                <w:sz w:val="2"/>
                <w:szCs w:val="2"/>
              </w:rPr>
              <w:t>74.8%</w:t>
            </w:r>
          </w:p>
        </w:tc>
        <w:tc>
          <w:tcPr>
            <w:tcW w:w="1044" w:type="dxa"/>
            <w:noWrap/>
            <w:hideMark/>
          </w:tcPr>
          <w:p w14:paraId="398EAC31" w14:textId="77777777" w:rsidR="00F26358" w:rsidRPr="00F26358" w:rsidRDefault="00F26358" w:rsidP="00F26358">
            <w:pPr>
              <w:pStyle w:val="Source"/>
              <w:rPr>
                <w:sz w:val="2"/>
                <w:szCs w:val="2"/>
              </w:rPr>
            </w:pPr>
            <w:r w:rsidRPr="00F26358">
              <w:rPr>
                <w:sz w:val="2"/>
                <w:szCs w:val="2"/>
              </w:rPr>
              <w:t>24.7%</w:t>
            </w:r>
          </w:p>
        </w:tc>
        <w:tc>
          <w:tcPr>
            <w:tcW w:w="689" w:type="dxa"/>
            <w:noWrap/>
            <w:hideMark/>
          </w:tcPr>
          <w:p w14:paraId="3170A7F2" w14:textId="77777777" w:rsidR="00F26358" w:rsidRPr="00F26358" w:rsidRDefault="00F26358" w:rsidP="00F26358">
            <w:pPr>
              <w:pStyle w:val="Source"/>
              <w:rPr>
                <w:sz w:val="2"/>
                <w:szCs w:val="2"/>
              </w:rPr>
            </w:pPr>
            <w:r w:rsidRPr="00F26358">
              <w:rPr>
                <w:sz w:val="2"/>
                <w:szCs w:val="2"/>
              </w:rPr>
              <w:t>0.5%</w:t>
            </w:r>
          </w:p>
        </w:tc>
      </w:tr>
    </w:tbl>
    <w:p w14:paraId="2B13D2D5" w14:textId="77777777" w:rsidR="00F26358" w:rsidRDefault="00F26358" w:rsidP="00887E52">
      <w:pPr>
        <w:pStyle w:val="Source"/>
      </w:pPr>
    </w:p>
    <w:p w14:paraId="4028606D" w14:textId="77777777" w:rsidR="00F26358" w:rsidRDefault="00F26358" w:rsidP="00887E52">
      <w:pPr>
        <w:pStyle w:val="Source"/>
      </w:pPr>
    </w:p>
    <w:p w14:paraId="150092FF" w14:textId="77777777" w:rsidR="00F26358" w:rsidRDefault="00F26358" w:rsidP="00887E52">
      <w:pPr>
        <w:pStyle w:val="Source"/>
      </w:pPr>
    </w:p>
    <w:p w14:paraId="63F5DDC8" w14:textId="77777777" w:rsidR="00F26358" w:rsidRDefault="00F26358" w:rsidP="00887E52">
      <w:pPr>
        <w:pStyle w:val="Source"/>
      </w:pPr>
    </w:p>
    <w:p w14:paraId="3A0A71EB" w14:textId="77777777" w:rsidR="00F26358" w:rsidRDefault="00F26358" w:rsidP="00887E52">
      <w:pPr>
        <w:pStyle w:val="Source"/>
      </w:pPr>
    </w:p>
    <w:p w14:paraId="348B70F9" w14:textId="77777777" w:rsidR="00F26358" w:rsidRDefault="00F26358" w:rsidP="00887E52">
      <w:pPr>
        <w:pStyle w:val="Source"/>
      </w:pPr>
    </w:p>
    <w:p w14:paraId="2E2EF005" w14:textId="77777777" w:rsidR="00F26358" w:rsidRDefault="00F26358" w:rsidP="00887E52">
      <w:pPr>
        <w:pStyle w:val="Source"/>
      </w:pPr>
    </w:p>
    <w:p w14:paraId="6CD72F36" w14:textId="77777777" w:rsidR="00F26358" w:rsidRDefault="00F26358" w:rsidP="00887E52">
      <w:pPr>
        <w:pStyle w:val="Source"/>
      </w:pPr>
    </w:p>
    <w:p w14:paraId="744E89D5" w14:textId="77777777" w:rsidR="00F26358" w:rsidRDefault="00F26358" w:rsidP="00887E52">
      <w:pPr>
        <w:pStyle w:val="Source"/>
      </w:pPr>
    </w:p>
    <w:p w14:paraId="2802C304" w14:textId="77777777" w:rsidR="00F26358" w:rsidRDefault="00F26358" w:rsidP="00887E52">
      <w:pPr>
        <w:pStyle w:val="Source"/>
      </w:pPr>
    </w:p>
    <w:p w14:paraId="5A9745D0" w14:textId="77777777" w:rsidR="00F26358" w:rsidRDefault="00F26358" w:rsidP="00887E52">
      <w:pPr>
        <w:pStyle w:val="Source"/>
      </w:pPr>
    </w:p>
    <w:p w14:paraId="4C1E2422" w14:textId="77777777" w:rsidR="00F26358" w:rsidRDefault="00F26358" w:rsidP="00887E52">
      <w:pPr>
        <w:pStyle w:val="Source"/>
      </w:pPr>
    </w:p>
    <w:p w14:paraId="7BCBCB92" w14:textId="77777777" w:rsidR="00F26358" w:rsidRDefault="00F26358" w:rsidP="00887E52">
      <w:pPr>
        <w:pStyle w:val="Source"/>
      </w:pPr>
    </w:p>
    <w:p w14:paraId="41A47549" w14:textId="77777777" w:rsidR="00F26358" w:rsidRDefault="00F26358" w:rsidP="00887E52">
      <w:pPr>
        <w:pStyle w:val="Source"/>
      </w:pPr>
    </w:p>
    <w:p w14:paraId="3C5B21A7" w14:textId="77777777" w:rsidR="00F26358" w:rsidRDefault="00F26358" w:rsidP="00887E52">
      <w:pPr>
        <w:pStyle w:val="Source"/>
      </w:pPr>
    </w:p>
    <w:p w14:paraId="5F3DCAB8" w14:textId="77777777" w:rsidR="00F26358" w:rsidRDefault="00F26358" w:rsidP="00887E52">
      <w:pPr>
        <w:pStyle w:val="Source"/>
      </w:pPr>
    </w:p>
    <w:p w14:paraId="1624AE7F" w14:textId="77777777" w:rsidR="00F26358" w:rsidRDefault="00F26358" w:rsidP="00887E52">
      <w:pPr>
        <w:pStyle w:val="Source"/>
      </w:pPr>
    </w:p>
    <w:p w14:paraId="770E6A6B" w14:textId="77777777" w:rsidR="00F26358" w:rsidRDefault="00F26358" w:rsidP="00887E52">
      <w:pPr>
        <w:pStyle w:val="Source"/>
      </w:pPr>
    </w:p>
    <w:p w14:paraId="620EFEE2" w14:textId="1847016D" w:rsidR="00F47B0F" w:rsidRPr="00F47B0F" w:rsidRDefault="00F47B0F" w:rsidP="00887E52">
      <w:pPr>
        <w:pStyle w:val="Source"/>
        <w:rPr>
          <w:rFonts w:cstheme="minorHAnsi"/>
        </w:rPr>
      </w:pPr>
      <w:r w:rsidRPr="00F47B0F">
        <w:t>Source: JSA analysis of DoE’s CCS and NWC (2021)</w:t>
      </w:r>
    </w:p>
    <w:p w14:paraId="74550B46" w14:textId="77777777" w:rsidR="00F47B0F" w:rsidRPr="00F47B0F" w:rsidRDefault="00F47B0F" w:rsidP="00F47B0F">
      <w:r w:rsidRPr="00F47B0F">
        <w:t xml:space="preserve">Although maintaining specific educator to child ratios is a regulatory requirement, measuring the actual ratios presents an empirical challenge. Required ratios differ across age groups and apply at the service-level, implying that a comparison of ratios may be driven by differences in the composition of child ages rather than underlying differences in the specific ratios. Further, the data does not accurately capture the number of children in a service at any one time—which is how the ratios are specified—and instead captures measures such </w:t>
      </w:r>
      <w:r w:rsidRPr="00F47B0F">
        <w:lastRenderedPageBreak/>
        <w:t>as the total number of children attending over a period, or the typical number of children on a given day.</w:t>
      </w:r>
    </w:p>
    <w:p w14:paraId="7D9E8133" w14:textId="20EBE9E1" w:rsidR="00F47B0F" w:rsidRPr="00F47B0F" w:rsidRDefault="00F47B0F" w:rsidP="00F47B0F">
      <w:r w:rsidRPr="00F47B0F">
        <w:fldChar w:fldCharType="begin"/>
      </w:r>
      <w:r w:rsidRPr="00F47B0F">
        <w:instrText xml:space="preserve"> REF _Ref172633907 \h </w:instrText>
      </w:r>
      <w:r w:rsidRPr="00F47B0F">
        <w:fldChar w:fldCharType="separate"/>
      </w:r>
      <w:r w:rsidR="005F18C1" w:rsidRPr="00F47B0F">
        <w:t>Figure 2.</w:t>
      </w:r>
      <w:r w:rsidR="005F18C1">
        <w:rPr>
          <w:noProof/>
        </w:rPr>
        <w:t>8</w:t>
      </w:r>
      <w:r w:rsidRPr="00F47B0F">
        <w:fldChar w:fldCharType="end"/>
      </w:r>
      <w:r w:rsidRPr="00F47B0F">
        <w:t xml:space="preserve"> below illustrates the educator to child ratio by remoteness for each service type, where educators include all contact staff. Two different ratios are presented, based on the “total number of children on a typical day” and the “maximum number of children to whom care is offered at any one time”. For CBDC, there are typically fewer educators per child in more central regions. For OSHC, the number of educators per maximum number of children in care tends to increase from Major Cities to Remote regions. </w:t>
      </w:r>
    </w:p>
    <w:p w14:paraId="44CF7CA2" w14:textId="0EE710C8" w:rsidR="00F47B0F" w:rsidRPr="00F47B0F" w:rsidRDefault="00F47B0F" w:rsidP="00887E52">
      <w:pPr>
        <w:pStyle w:val="Caption"/>
      </w:pPr>
      <w:bookmarkStart w:id="101" w:name="_Ref172633907"/>
      <w:r w:rsidRPr="00F47B0F">
        <w:t>Figure 2.</w:t>
      </w:r>
      <w:r w:rsidRPr="00F47B0F">
        <w:fldChar w:fldCharType="begin"/>
      </w:r>
      <w:r w:rsidRPr="00F47B0F">
        <w:instrText xml:space="preserve"> SEQ Figure \* ARABIC \s 1 </w:instrText>
      </w:r>
      <w:r w:rsidRPr="00F47B0F">
        <w:fldChar w:fldCharType="separate"/>
      </w:r>
      <w:r w:rsidR="005F18C1">
        <w:rPr>
          <w:noProof/>
        </w:rPr>
        <w:t>8</w:t>
      </w:r>
      <w:r w:rsidRPr="00F47B0F">
        <w:fldChar w:fldCharType="end"/>
      </w:r>
      <w:bookmarkEnd w:id="101"/>
      <w:r w:rsidRPr="00F47B0F">
        <w:t xml:space="preserve"> Educator to child ratio by remoteness area and service type, 2021</w:t>
      </w:r>
      <w:r w:rsidRPr="00F47B0F">
        <w:rPr>
          <w:vertAlign w:val="superscript"/>
        </w:rPr>
        <w:footnoteReference w:id="36"/>
      </w:r>
    </w:p>
    <w:p w14:paraId="66ED3D79" w14:textId="77777777" w:rsidR="00F47B0F" w:rsidRPr="00F47B0F" w:rsidRDefault="00F47B0F" w:rsidP="00F47B0F">
      <w:pPr>
        <w:spacing w:before="100" w:beforeAutospacing="1" w:after="100" w:afterAutospacing="1" w:line="240" w:lineRule="auto"/>
        <w:jc w:val="center"/>
        <w:rPr>
          <w:rFonts w:ascii="Times New Roman" w:eastAsia="Times New Roman" w:hAnsi="Times New Roman" w:cs="Times New Roman"/>
          <w:color w:val="auto"/>
          <w:sz w:val="24"/>
          <w:szCs w:val="24"/>
          <w:lang w:eastAsia="en-AU"/>
        </w:rPr>
      </w:pPr>
      <w:r w:rsidRPr="00F47B0F">
        <w:rPr>
          <w:rFonts w:ascii="Times New Roman" w:eastAsia="Times New Roman" w:hAnsi="Times New Roman" w:cs="Times New Roman"/>
          <w:noProof/>
          <w:color w:val="auto"/>
          <w:sz w:val="24"/>
          <w:szCs w:val="24"/>
          <w:lang w:eastAsia="en-AU"/>
        </w:rPr>
        <w:drawing>
          <wp:anchor distT="0" distB="0" distL="114300" distR="114300" simplePos="0" relativeHeight="251710467" behindDoc="0" locked="0" layoutInCell="1" allowOverlap="1" wp14:anchorId="738FC712" wp14:editId="7BB24377">
            <wp:simplePos x="0" y="0"/>
            <wp:positionH relativeFrom="column">
              <wp:posOffset>0</wp:posOffset>
            </wp:positionH>
            <wp:positionV relativeFrom="paragraph">
              <wp:posOffset>50165</wp:posOffset>
            </wp:positionV>
            <wp:extent cx="5731510" cy="5014595"/>
            <wp:effectExtent l="0" t="0" r="2540" b="0"/>
            <wp:wrapNone/>
            <wp:docPr id="36135476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354765" name="Picture 2">
                      <a:extLst>
                        <a:ext uri="{C183D7F6-B498-43B3-948B-1728B52AA6E4}">
                          <adec:decorative xmlns:adec="http://schemas.microsoft.com/office/drawing/2017/decorative" val="1"/>
                        </a:ext>
                      </a:extLst>
                    </pic:cNvPr>
                    <pic:cNvPicPr>
                      <a:picLocks noChangeAspect="1" noChangeArrowheads="1"/>
                    </pic:cNvPicPr>
                  </pic:nvPicPr>
                  <pic:blipFill>
                    <a:blip r:embed="rId86" cstate="screen">
                      <a:extLst>
                        <a:ext uri="{28A0092B-C50C-407E-A947-70E740481C1C}">
                          <a14:useLocalDpi xmlns:a14="http://schemas.microsoft.com/office/drawing/2010/main" val="0"/>
                        </a:ext>
                      </a:extLst>
                    </a:blip>
                    <a:srcRect/>
                    <a:stretch>
                      <a:fillRect/>
                    </a:stretch>
                  </pic:blipFill>
                  <pic:spPr bwMode="auto">
                    <a:xfrm>
                      <a:off x="0" y="0"/>
                      <a:ext cx="5731510" cy="5014595"/>
                    </a:xfrm>
                    <a:prstGeom prst="rect">
                      <a:avLst/>
                    </a:prstGeom>
                    <a:noFill/>
                    <a:ln>
                      <a:noFill/>
                    </a:ln>
                  </pic:spPr>
                </pic:pic>
              </a:graphicData>
            </a:graphic>
          </wp:anchor>
        </w:drawing>
      </w:r>
      <w:r w:rsidRPr="00F47B0F" w:rsidDel="001A5806">
        <w:rPr>
          <w:rFonts w:ascii="Times New Roman" w:eastAsia="Times New Roman" w:hAnsi="Times New Roman" w:cs="Times New Roman"/>
          <w:noProof/>
          <w:color w:val="auto"/>
          <w:sz w:val="24"/>
          <w:szCs w:val="24"/>
          <w:lang w:eastAsia="en-AU"/>
        </w:rPr>
        <w:t xml:space="preserve"> </w:t>
      </w:r>
    </w:p>
    <w:tbl>
      <w:tblPr>
        <w:tblStyle w:val="Box"/>
        <w:tblW w:w="0" w:type="auto"/>
        <w:jc w:val="center"/>
        <w:tblLook w:val="04A0" w:firstRow="1" w:lastRow="0" w:firstColumn="1" w:lastColumn="0" w:noHBand="0" w:noVBand="1"/>
      </w:tblPr>
      <w:tblGrid>
        <w:gridCol w:w="2268"/>
        <w:gridCol w:w="2692"/>
        <w:gridCol w:w="1495"/>
        <w:gridCol w:w="1044"/>
        <w:gridCol w:w="926"/>
      </w:tblGrid>
      <w:tr w:rsidR="00F26358" w:rsidRPr="00F26358" w14:paraId="670AFDAC" w14:textId="77777777" w:rsidTr="00F26358">
        <w:trPr>
          <w:trHeight w:val="300"/>
          <w:jc w:val="center"/>
        </w:trPr>
        <w:tc>
          <w:tcPr>
            <w:tcW w:w="2268" w:type="dxa"/>
            <w:hideMark/>
          </w:tcPr>
          <w:p w14:paraId="4191A633" w14:textId="77777777" w:rsidR="00F26358" w:rsidRPr="00F26358" w:rsidRDefault="00F26358" w:rsidP="00F26358">
            <w:pPr>
              <w:pStyle w:val="Source"/>
              <w:rPr>
                <w:sz w:val="2"/>
                <w:szCs w:val="2"/>
              </w:rPr>
            </w:pPr>
          </w:p>
        </w:tc>
        <w:tc>
          <w:tcPr>
            <w:tcW w:w="2692" w:type="dxa"/>
            <w:hideMark/>
          </w:tcPr>
          <w:p w14:paraId="0BA1CFAB" w14:textId="77777777" w:rsidR="00F26358" w:rsidRPr="00F26358" w:rsidRDefault="00F26358" w:rsidP="00F26358">
            <w:pPr>
              <w:pStyle w:val="Source"/>
              <w:rPr>
                <w:sz w:val="2"/>
                <w:szCs w:val="2"/>
              </w:rPr>
            </w:pPr>
          </w:p>
        </w:tc>
        <w:tc>
          <w:tcPr>
            <w:tcW w:w="1495" w:type="dxa"/>
            <w:noWrap/>
            <w:hideMark/>
          </w:tcPr>
          <w:p w14:paraId="59A87E21" w14:textId="77777777" w:rsidR="00F26358" w:rsidRPr="00F26358" w:rsidRDefault="00F26358" w:rsidP="00F26358">
            <w:pPr>
              <w:pStyle w:val="Source"/>
              <w:rPr>
                <w:b/>
                <w:bCs/>
                <w:sz w:val="2"/>
                <w:szCs w:val="2"/>
              </w:rPr>
            </w:pPr>
            <w:r w:rsidRPr="00F26358">
              <w:rPr>
                <w:b/>
                <w:bCs/>
                <w:sz w:val="2"/>
                <w:szCs w:val="2"/>
              </w:rPr>
              <w:t>Major Cities</w:t>
            </w:r>
          </w:p>
        </w:tc>
        <w:tc>
          <w:tcPr>
            <w:tcW w:w="1044" w:type="dxa"/>
            <w:noWrap/>
            <w:hideMark/>
          </w:tcPr>
          <w:p w14:paraId="2FFB9BDE" w14:textId="77777777" w:rsidR="00F26358" w:rsidRPr="00F26358" w:rsidRDefault="00F26358" w:rsidP="00F26358">
            <w:pPr>
              <w:pStyle w:val="Source"/>
              <w:rPr>
                <w:b/>
                <w:bCs/>
                <w:sz w:val="2"/>
                <w:szCs w:val="2"/>
              </w:rPr>
            </w:pPr>
            <w:r w:rsidRPr="00F26358">
              <w:rPr>
                <w:b/>
                <w:bCs/>
                <w:sz w:val="2"/>
                <w:szCs w:val="2"/>
              </w:rPr>
              <w:t>Regional</w:t>
            </w:r>
          </w:p>
        </w:tc>
        <w:tc>
          <w:tcPr>
            <w:tcW w:w="926" w:type="dxa"/>
            <w:noWrap/>
            <w:hideMark/>
          </w:tcPr>
          <w:p w14:paraId="6297725B" w14:textId="77777777" w:rsidR="00F26358" w:rsidRPr="00F26358" w:rsidRDefault="00F26358" w:rsidP="00F26358">
            <w:pPr>
              <w:pStyle w:val="Source"/>
              <w:rPr>
                <w:b/>
                <w:bCs/>
                <w:sz w:val="2"/>
                <w:szCs w:val="2"/>
              </w:rPr>
            </w:pPr>
            <w:r w:rsidRPr="00F26358">
              <w:rPr>
                <w:b/>
                <w:bCs/>
                <w:sz w:val="2"/>
                <w:szCs w:val="2"/>
              </w:rPr>
              <w:t>Remote</w:t>
            </w:r>
          </w:p>
        </w:tc>
      </w:tr>
      <w:tr w:rsidR="00F26358" w:rsidRPr="00F26358" w14:paraId="7F586FDF" w14:textId="77777777" w:rsidTr="00F26358">
        <w:trPr>
          <w:trHeight w:val="300"/>
          <w:jc w:val="center"/>
        </w:trPr>
        <w:tc>
          <w:tcPr>
            <w:tcW w:w="2268" w:type="dxa"/>
            <w:noWrap/>
            <w:hideMark/>
          </w:tcPr>
          <w:p w14:paraId="2BB2AFEA" w14:textId="77777777" w:rsidR="00F26358" w:rsidRPr="00F26358" w:rsidRDefault="00F26358" w:rsidP="00F26358">
            <w:pPr>
              <w:pStyle w:val="Source"/>
              <w:rPr>
                <w:b/>
                <w:bCs/>
                <w:sz w:val="2"/>
                <w:szCs w:val="2"/>
              </w:rPr>
            </w:pPr>
            <w:r w:rsidRPr="00F26358">
              <w:rPr>
                <w:b/>
                <w:bCs/>
                <w:sz w:val="2"/>
                <w:szCs w:val="2"/>
              </w:rPr>
              <w:t>Centre Based Day Care</w:t>
            </w:r>
          </w:p>
        </w:tc>
        <w:tc>
          <w:tcPr>
            <w:tcW w:w="2692" w:type="dxa"/>
            <w:noWrap/>
            <w:hideMark/>
          </w:tcPr>
          <w:p w14:paraId="0113643A" w14:textId="77777777" w:rsidR="00F26358" w:rsidRPr="00F26358" w:rsidRDefault="00F26358" w:rsidP="00F26358">
            <w:pPr>
              <w:pStyle w:val="Source"/>
              <w:rPr>
                <w:sz w:val="2"/>
                <w:szCs w:val="2"/>
              </w:rPr>
            </w:pPr>
            <w:r w:rsidRPr="00F26358">
              <w:rPr>
                <w:sz w:val="2"/>
                <w:szCs w:val="2"/>
              </w:rPr>
              <w:t>Typical number of children</w:t>
            </w:r>
          </w:p>
        </w:tc>
        <w:tc>
          <w:tcPr>
            <w:tcW w:w="1495" w:type="dxa"/>
            <w:noWrap/>
            <w:hideMark/>
          </w:tcPr>
          <w:p w14:paraId="5FF8ABBB" w14:textId="77777777" w:rsidR="00F26358" w:rsidRPr="00F26358" w:rsidRDefault="00F26358" w:rsidP="00F26358">
            <w:pPr>
              <w:pStyle w:val="Source"/>
              <w:rPr>
                <w:sz w:val="2"/>
                <w:szCs w:val="2"/>
              </w:rPr>
            </w:pPr>
            <w:r w:rsidRPr="00F26358">
              <w:rPr>
                <w:sz w:val="2"/>
                <w:szCs w:val="2"/>
              </w:rPr>
              <w:t>78.2%</w:t>
            </w:r>
          </w:p>
        </w:tc>
        <w:tc>
          <w:tcPr>
            <w:tcW w:w="1044" w:type="dxa"/>
            <w:noWrap/>
            <w:hideMark/>
          </w:tcPr>
          <w:p w14:paraId="61E11AA5" w14:textId="77777777" w:rsidR="00F26358" w:rsidRPr="00F26358" w:rsidRDefault="00F26358" w:rsidP="00F26358">
            <w:pPr>
              <w:pStyle w:val="Source"/>
              <w:rPr>
                <w:sz w:val="2"/>
                <w:szCs w:val="2"/>
              </w:rPr>
            </w:pPr>
            <w:r w:rsidRPr="00F26358">
              <w:rPr>
                <w:sz w:val="2"/>
                <w:szCs w:val="2"/>
              </w:rPr>
              <w:t>20.5%</w:t>
            </w:r>
          </w:p>
        </w:tc>
        <w:tc>
          <w:tcPr>
            <w:tcW w:w="926" w:type="dxa"/>
            <w:noWrap/>
            <w:hideMark/>
          </w:tcPr>
          <w:p w14:paraId="13C81EF6" w14:textId="77777777" w:rsidR="00F26358" w:rsidRPr="00F26358" w:rsidRDefault="00F26358" w:rsidP="00F26358">
            <w:pPr>
              <w:pStyle w:val="Source"/>
              <w:rPr>
                <w:sz w:val="2"/>
                <w:szCs w:val="2"/>
              </w:rPr>
            </w:pPr>
            <w:r w:rsidRPr="00F26358">
              <w:rPr>
                <w:sz w:val="2"/>
                <w:szCs w:val="2"/>
              </w:rPr>
              <w:t>1.3%</w:t>
            </w:r>
          </w:p>
        </w:tc>
      </w:tr>
      <w:tr w:rsidR="00F26358" w:rsidRPr="00F26358" w14:paraId="1BE7E671" w14:textId="77777777" w:rsidTr="00F26358">
        <w:trPr>
          <w:trHeight w:val="300"/>
          <w:jc w:val="center"/>
        </w:trPr>
        <w:tc>
          <w:tcPr>
            <w:tcW w:w="2268" w:type="dxa"/>
            <w:noWrap/>
            <w:hideMark/>
          </w:tcPr>
          <w:p w14:paraId="7EC8BA2A" w14:textId="77777777" w:rsidR="00F26358" w:rsidRPr="00F26358" w:rsidRDefault="00F26358" w:rsidP="00F26358">
            <w:pPr>
              <w:pStyle w:val="Source"/>
              <w:rPr>
                <w:sz w:val="2"/>
                <w:szCs w:val="2"/>
              </w:rPr>
            </w:pPr>
          </w:p>
        </w:tc>
        <w:tc>
          <w:tcPr>
            <w:tcW w:w="2692" w:type="dxa"/>
            <w:noWrap/>
            <w:hideMark/>
          </w:tcPr>
          <w:p w14:paraId="759ADCB5" w14:textId="77777777" w:rsidR="00F26358" w:rsidRPr="00F26358" w:rsidRDefault="00F26358" w:rsidP="00F26358">
            <w:pPr>
              <w:pStyle w:val="Source"/>
              <w:rPr>
                <w:sz w:val="2"/>
                <w:szCs w:val="2"/>
              </w:rPr>
            </w:pPr>
            <w:r w:rsidRPr="00F26358">
              <w:rPr>
                <w:sz w:val="2"/>
                <w:szCs w:val="2"/>
              </w:rPr>
              <w:t>Number of contact staff</w:t>
            </w:r>
          </w:p>
        </w:tc>
        <w:tc>
          <w:tcPr>
            <w:tcW w:w="1495" w:type="dxa"/>
            <w:noWrap/>
            <w:hideMark/>
          </w:tcPr>
          <w:p w14:paraId="51120AE8" w14:textId="77777777" w:rsidR="00F26358" w:rsidRPr="00F26358" w:rsidRDefault="00F26358" w:rsidP="00F26358">
            <w:pPr>
              <w:pStyle w:val="Source"/>
              <w:rPr>
                <w:sz w:val="2"/>
                <w:szCs w:val="2"/>
              </w:rPr>
            </w:pPr>
            <w:r w:rsidRPr="00F26358">
              <w:rPr>
                <w:sz w:val="2"/>
                <w:szCs w:val="2"/>
              </w:rPr>
              <w:t>77.7%</w:t>
            </w:r>
          </w:p>
        </w:tc>
        <w:tc>
          <w:tcPr>
            <w:tcW w:w="1044" w:type="dxa"/>
            <w:noWrap/>
            <w:hideMark/>
          </w:tcPr>
          <w:p w14:paraId="3C394990" w14:textId="77777777" w:rsidR="00F26358" w:rsidRPr="00F26358" w:rsidRDefault="00F26358" w:rsidP="00F26358">
            <w:pPr>
              <w:pStyle w:val="Source"/>
              <w:rPr>
                <w:sz w:val="2"/>
                <w:szCs w:val="2"/>
              </w:rPr>
            </w:pPr>
            <w:r w:rsidRPr="00F26358">
              <w:rPr>
                <w:sz w:val="2"/>
                <w:szCs w:val="2"/>
              </w:rPr>
              <w:t>21.0%</w:t>
            </w:r>
          </w:p>
        </w:tc>
        <w:tc>
          <w:tcPr>
            <w:tcW w:w="926" w:type="dxa"/>
            <w:noWrap/>
            <w:hideMark/>
          </w:tcPr>
          <w:p w14:paraId="7CC7E6A3" w14:textId="77777777" w:rsidR="00F26358" w:rsidRPr="00F26358" w:rsidRDefault="00F26358" w:rsidP="00F26358">
            <w:pPr>
              <w:pStyle w:val="Source"/>
              <w:rPr>
                <w:sz w:val="2"/>
                <w:szCs w:val="2"/>
              </w:rPr>
            </w:pPr>
            <w:r w:rsidRPr="00F26358">
              <w:rPr>
                <w:sz w:val="2"/>
                <w:szCs w:val="2"/>
              </w:rPr>
              <w:t>1.3%</w:t>
            </w:r>
          </w:p>
        </w:tc>
      </w:tr>
      <w:tr w:rsidR="00F26358" w:rsidRPr="00F26358" w14:paraId="6E0C9D5A" w14:textId="77777777" w:rsidTr="00F26358">
        <w:trPr>
          <w:trHeight w:val="300"/>
          <w:jc w:val="center"/>
        </w:trPr>
        <w:tc>
          <w:tcPr>
            <w:tcW w:w="2268" w:type="dxa"/>
            <w:hideMark/>
          </w:tcPr>
          <w:p w14:paraId="2A802DD5" w14:textId="77777777" w:rsidR="00F26358" w:rsidRPr="00F26358" w:rsidRDefault="00F26358" w:rsidP="00F26358">
            <w:pPr>
              <w:pStyle w:val="Source"/>
              <w:rPr>
                <w:sz w:val="2"/>
                <w:szCs w:val="2"/>
              </w:rPr>
            </w:pPr>
          </w:p>
        </w:tc>
        <w:tc>
          <w:tcPr>
            <w:tcW w:w="2692" w:type="dxa"/>
            <w:hideMark/>
          </w:tcPr>
          <w:p w14:paraId="126B0160" w14:textId="77777777" w:rsidR="00F26358" w:rsidRPr="00F26358" w:rsidRDefault="00F26358" w:rsidP="00F26358">
            <w:pPr>
              <w:pStyle w:val="Source"/>
              <w:rPr>
                <w:sz w:val="2"/>
                <w:szCs w:val="2"/>
              </w:rPr>
            </w:pPr>
          </w:p>
        </w:tc>
        <w:tc>
          <w:tcPr>
            <w:tcW w:w="1495" w:type="dxa"/>
            <w:noWrap/>
            <w:hideMark/>
          </w:tcPr>
          <w:p w14:paraId="2E206DCF" w14:textId="77777777" w:rsidR="00F26358" w:rsidRPr="00F26358" w:rsidRDefault="00F26358" w:rsidP="00F26358">
            <w:pPr>
              <w:pStyle w:val="Source"/>
              <w:rPr>
                <w:b/>
                <w:bCs/>
                <w:sz w:val="2"/>
                <w:szCs w:val="2"/>
              </w:rPr>
            </w:pPr>
            <w:r w:rsidRPr="00F26358">
              <w:rPr>
                <w:b/>
                <w:bCs/>
                <w:sz w:val="2"/>
                <w:szCs w:val="2"/>
              </w:rPr>
              <w:t>Major Cities</w:t>
            </w:r>
          </w:p>
        </w:tc>
        <w:tc>
          <w:tcPr>
            <w:tcW w:w="1044" w:type="dxa"/>
            <w:noWrap/>
            <w:hideMark/>
          </w:tcPr>
          <w:p w14:paraId="2D215EF0" w14:textId="77777777" w:rsidR="00F26358" w:rsidRPr="00F26358" w:rsidRDefault="00F26358" w:rsidP="00F26358">
            <w:pPr>
              <w:pStyle w:val="Source"/>
              <w:rPr>
                <w:b/>
                <w:bCs/>
                <w:sz w:val="2"/>
                <w:szCs w:val="2"/>
              </w:rPr>
            </w:pPr>
            <w:r w:rsidRPr="00F26358">
              <w:rPr>
                <w:b/>
                <w:bCs/>
                <w:sz w:val="2"/>
                <w:szCs w:val="2"/>
              </w:rPr>
              <w:t>Regional</w:t>
            </w:r>
          </w:p>
        </w:tc>
        <w:tc>
          <w:tcPr>
            <w:tcW w:w="926" w:type="dxa"/>
            <w:noWrap/>
            <w:hideMark/>
          </w:tcPr>
          <w:p w14:paraId="7443F4A0" w14:textId="77777777" w:rsidR="00F26358" w:rsidRPr="00F26358" w:rsidRDefault="00F26358" w:rsidP="00F26358">
            <w:pPr>
              <w:pStyle w:val="Source"/>
              <w:rPr>
                <w:b/>
                <w:bCs/>
                <w:sz w:val="2"/>
                <w:szCs w:val="2"/>
              </w:rPr>
            </w:pPr>
            <w:r w:rsidRPr="00F26358">
              <w:rPr>
                <w:b/>
                <w:bCs/>
                <w:sz w:val="2"/>
                <w:szCs w:val="2"/>
              </w:rPr>
              <w:t>Remote</w:t>
            </w:r>
          </w:p>
        </w:tc>
      </w:tr>
      <w:tr w:rsidR="00F26358" w:rsidRPr="00F26358" w14:paraId="380869A4" w14:textId="77777777" w:rsidTr="00F26358">
        <w:trPr>
          <w:trHeight w:val="300"/>
          <w:jc w:val="center"/>
        </w:trPr>
        <w:tc>
          <w:tcPr>
            <w:tcW w:w="2268" w:type="dxa"/>
            <w:noWrap/>
            <w:hideMark/>
          </w:tcPr>
          <w:p w14:paraId="74FD7004" w14:textId="77777777" w:rsidR="00F26358" w:rsidRPr="00F26358" w:rsidRDefault="00F26358" w:rsidP="00F26358">
            <w:pPr>
              <w:pStyle w:val="Source"/>
              <w:rPr>
                <w:b/>
                <w:bCs/>
                <w:sz w:val="2"/>
                <w:szCs w:val="2"/>
              </w:rPr>
            </w:pPr>
            <w:r w:rsidRPr="00F26358">
              <w:rPr>
                <w:b/>
                <w:bCs/>
                <w:sz w:val="2"/>
                <w:szCs w:val="2"/>
              </w:rPr>
              <w:t>Out of School Hours Care</w:t>
            </w:r>
          </w:p>
        </w:tc>
        <w:tc>
          <w:tcPr>
            <w:tcW w:w="2692" w:type="dxa"/>
            <w:noWrap/>
            <w:hideMark/>
          </w:tcPr>
          <w:p w14:paraId="39BF4011" w14:textId="77777777" w:rsidR="00F26358" w:rsidRPr="00F26358" w:rsidRDefault="00F26358" w:rsidP="00F26358">
            <w:pPr>
              <w:pStyle w:val="Source"/>
              <w:rPr>
                <w:sz w:val="2"/>
                <w:szCs w:val="2"/>
              </w:rPr>
            </w:pPr>
            <w:r w:rsidRPr="00F26358">
              <w:rPr>
                <w:sz w:val="2"/>
                <w:szCs w:val="2"/>
              </w:rPr>
              <w:t>Typical number of children</w:t>
            </w:r>
          </w:p>
        </w:tc>
        <w:tc>
          <w:tcPr>
            <w:tcW w:w="1495" w:type="dxa"/>
            <w:noWrap/>
            <w:hideMark/>
          </w:tcPr>
          <w:p w14:paraId="79099454" w14:textId="77777777" w:rsidR="00F26358" w:rsidRPr="00F26358" w:rsidRDefault="00F26358" w:rsidP="00F26358">
            <w:pPr>
              <w:pStyle w:val="Source"/>
              <w:rPr>
                <w:sz w:val="2"/>
                <w:szCs w:val="2"/>
              </w:rPr>
            </w:pPr>
            <w:r w:rsidRPr="00F26358">
              <w:rPr>
                <w:sz w:val="2"/>
                <w:szCs w:val="2"/>
              </w:rPr>
              <w:t>82.2%</w:t>
            </w:r>
          </w:p>
        </w:tc>
        <w:tc>
          <w:tcPr>
            <w:tcW w:w="1044" w:type="dxa"/>
            <w:noWrap/>
            <w:hideMark/>
          </w:tcPr>
          <w:p w14:paraId="7F8C57A4" w14:textId="77777777" w:rsidR="00F26358" w:rsidRPr="00F26358" w:rsidRDefault="00F26358" w:rsidP="00F26358">
            <w:pPr>
              <w:pStyle w:val="Source"/>
              <w:rPr>
                <w:sz w:val="2"/>
                <w:szCs w:val="2"/>
              </w:rPr>
            </w:pPr>
            <w:r w:rsidRPr="00F26358">
              <w:rPr>
                <w:sz w:val="2"/>
                <w:szCs w:val="2"/>
              </w:rPr>
              <w:t>17.3%</w:t>
            </w:r>
          </w:p>
        </w:tc>
        <w:tc>
          <w:tcPr>
            <w:tcW w:w="926" w:type="dxa"/>
            <w:noWrap/>
            <w:hideMark/>
          </w:tcPr>
          <w:p w14:paraId="460B3BF8" w14:textId="77777777" w:rsidR="00F26358" w:rsidRPr="00F26358" w:rsidRDefault="00F26358" w:rsidP="00F26358">
            <w:pPr>
              <w:pStyle w:val="Source"/>
              <w:rPr>
                <w:sz w:val="2"/>
                <w:szCs w:val="2"/>
              </w:rPr>
            </w:pPr>
            <w:r w:rsidRPr="00F26358">
              <w:rPr>
                <w:sz w:val="2"/>
                <w:szCs w:val="2"/>
              </w:rPr>
              <w:t>0.6%</w:t>
            </w:r>
          </w:p>
        </w:tc>
      </w:tr>
      <w:tr w:rsidR="00F26358" w:rsidRPr="00F26358" w14:paraId="0E265E70" w14:textId="77777777" w:rsidTr="00F26358">
        <w:trPr>
          <w:trHeight w:val="300"/>
          <w:jc w:val="center"/>
        </w:trPr>
        <w:tc>
          <w:tcPr>
            <w:tcW w:w="2268" w:type="dxa"/>
            <w:noWrap/>
            <w:hideMark/>
          </w:tcPr>
          <w:p w14:paraId="35C99C89" w14:textId="77777777" w:rsidR="00F26358" w:rsidRPr="00F26358" w:rsidRDefault="00F26358" w:rsidP="00F26358">
            <w:pPr>
              <w:pStyle w:val="Source"/>
              <w:rPr>
                <w:sz w:val="2"/>
                <w:szCs w:val="2"/>
              </w:rPr>
            </w:pPr>
          </w:p>
        </w:tc>
        <w:tc>
          <w:tcPr>
            <w:tcW w:w="2692" w:type="dxa"/>
            <w:noWrap/>
            <w:hideMark/>
          </w:tcPr>
          <w:p w14:paraId="1286F316" w14:textId="77777777" w:rsidR="00F26358" w:rsidRPr="00F26358" w:rsidRDefault="00F26358" w:rsidP="00F26358">
            <w:pPr>
              <w:pStyle w:val="Source"/>
              <w:rPr>
                <w:sz w:val="2"/>
                <w:szCs w:val="2"/>
              </w:rPr>
            </w:pPr>
            <w:r w:rsidRPr="00F26358">
              <w:rPr>
                <w:sz w:val="2"/>
                <w:szCs w:val="2"/>
              </w:rPr>
              <w:t>Number of contact staff</w:t>
            </w:r>
          </w:p>
        </w:tc>
        <w:tc>
          <w:tcPr>
            <w:tcW w:w="1495" w:type="dxa"/>
            <w:noWrap/>
            <w:hideMark/>
          </w:tcPr>
          <w:p w14:paraId="5E285920" w14:textId="77777777" w:rsidR="00F26358" w:rsidRPr="00F26358" w:rsidRDefault="00F26358" w:rsidP="00F26358">
            <w:pPr>
              <w:pStyle w:val="Source"/>
              <w:rPr>
                <w:sz w:val="2"/>
                <w:szCs w:val="2"/>
              </w:rPr>
            </w:pPr>
            <w:r w:rsidRPr="00F26358">
              <w:rPr>
                <w:sz w:val="2"/>
                <w:szCs w:val="2"/>
              </w:rPr>
              <w:t>81.9%</w:t>
            </w:r>
          </w:p>
        </w:tc>
        <w:tc>
          <w:tcPr>
            <w:tcW w:w="1044" w:type="dxa"/>
            <w:noWrap/>
            <w:hideMark/>
          </w:tcPr>
          <w:p w14:paraId="4CEFFB10" w14:textId="77777777" w:rsidR="00F26358" w:rsidRPr="00F26358" w:rsidRDefault="00F26358" w:rsidP="00F26358">
            <w:pPr>
              <w:pStyle w:val="Source"/>
              <w:rPr>
                <w:sz w:val="2"/>
                <w:szCs w:val="2"/>
              </w:rPr>
            </w:pPr>
            <w:r w:rsidRPr="00F26358">
              <w:rPr>
                <w:sz w:val="2"/>
                <w:szCs w:val="2"/>
              </w:rPr>
              <w:t>17.5%</w:t>
            </w:r>
          </w:p>
        </w:tc>
        <w:tc>
          <w:tcPr>
            <w:tcW w:w="926" w:type="dxa"/>
            <w:noWrap/>
            <w:hideMark/>
          </w:tcPr>
          <w:p w14:paraId="2D7F77DF" w14:textId="77777777" w:rsidR="00F26358" w:rsidRPr="00F26358" w:rsidRDefault="00F26358" w:rsidP="00F26358">
            <w:pPr>
              <w:pStyle w:val="Source"/>
              <w:rPr>
                <w:sz w:val="2"/>
                <w:szCs w:val="2"/>
              </w:rPr>
            </w:pPr>
            <w:r w:rsidRPr="00F26358">
              <w:rPr>
                <w:sz w:val="2"/>
                <w:szCs w:val="2"/>
              </w:rPr>
              <w:t>0.6%</w:t>
            </w:r>
          </w:p>
        </w:tc>
      </w:tr>
      <w:tr w:rsidR="00F26358" w:rsidRPr="00F26358" w14:paraId="0EDE2FEE" w14:textId="77777777" w:rsidTr="00F26358">
        <w:trPr>
          <w:trHeight w:val="300"/>
          <w:jc w:val="center"/>
        </w:trPr>
        <w:tc>
          <w:tcPr>
            <w:tcW w:w="2268" w:type="dxa"/>
            <w:hideMark/>
          </w:tcPr>
          <w:p w14:paraId="7101998B" w14:textId="77777777" w:rsidR="00F26358" w:rsidRPr="00F26358" w:rsidRDefault="00F26358" w:rsidP="00F26358">
            <w:pPr>
              <w:pStyle w:val="Source"/>
              <w:rPr>
                <w:sz w:val="2"/>
                <w:szCs w:val="2"/>
              </w:rPr>
            </w:pPr>
          </w:p>
        </w:tc>
        <w:tc>
          <w:tcPr>
            <w:tcW w:w="2692" w:type="dxa"/>
            <w:hideMark/>
          </w:tcPr>
          <w:p w14:paraId="656C65CD" w14:textId="77777777" w:rsidR="00F26358" w:rsidRPr="00F26358" w:rsidRDefault="00F26358" w:rsidP="00F26358">
            <w:pPr>
              <w:pStyle w:val="Source"/>
              <w:rPr>
                <w:sz w:val="2"/>
                <w:szCs w:val="2"/>
              </w:rPr>
            </w:pPr>
          </w:p>
        </w:tc>
        <w:tc>
          <w:tcPr>
            <w:tcW w:w="1495" w:type="dxa"/>
            <w:noWrap/>
            <w:hideMark/>
          </w:tcPr>
          <w:p w14:paraId="0A8A5081" w14:textId="77777777" w:rsidR="00F26358" w:rsidRPr="00F26358" w:rsidRDefault="00F26358" w:rsidP="00F26358">
            <w:pPr>
              <w:pStyle w:val="Source"/>
              <w:rPr>
                <w:b/>
                <w:bCs/>
                <w:sz w:val="2"/>
                <w:szCs w:val="2"/>
              </w:rPr>
            </w:pPr>
            <w:r w:rsidRPr="00F26358">
              <w:rPr>
                <w:b/>
                <w:bCs/>
                <w:sz w:val="2"/>
                <w:szCs w:val="2"/>
              </w:rPr>
              <w:t>Major Cities</w:t>
            </w:r>
          </w:p>
        </w:tc>
        <w:tc>
          <w:tcPr>
            <w:tcW w:w="1044" w:type="dxa"/>
            <w:noWrap/>
            <w:hideMark/>
          </w:tcPr>
          <w:p w14:paraId="773F0EF8" w14:textId="77777777" w:rsidR="00F26358" w:rsidRPr="00F26358" w:rsidRDefault="00F26358" w:rsidP="00F26358">
            <w:pPr>
              <w:pStyle w:val="Source"/>
              <w:rPr>
                <w:b/>
                <w:bCs/>
                <w:sz w:val="2"/>
                <w:szCs w:val="2"/>
              </w:rPr>
            </w:pPr>
            <w:r w:rsidRPr="00F26358">
              <w:rPr>
                <w:b/>
                <w:bCs/>
                <w:sz w:val="2"/>
                <w:szCs w:val="2"/>
              </w:rPr>
              <w:t>Regional</w:t>
            </w:r>
          </w:p>
        </w:tc>
        <w:tc>
          <w:tcPr>
            <w:tcW w:w="926" w:type="dxa"/>
            <w:noWrap/>
            <w:hideMark/>
          </w:tcPr>
          <w:p w14:paraId="492E4371" w14:textId="77777777" w:rsidR="00F26358" w:rsidRPr="00F26358" w:rsidRDefault="00F26358" w:rsidP="00F26358">
            <w:pPr>
              <w:pStyle w:val="Source"/>
              <w:rPr>
                <w:b/>
                <w:bCs/>
                <w:sz w:val="2"/>
                <w:szCs w:val="2"/>
              </w:rPr>
            </w:pPr>
            <w:r w:rsidRPr="00F26358">
              <w:rPr>
                <w:b/>
                <w:bCs/>
                <w:sz w:val="2"/>
                <w:szCs w:val="2"/>
              </w:rPr>
              <w:t>Remote</w:t>
            </w:r>
          </w:p>
        </w:tc>
      </w:tr>
      <w:tr w:rsidR="00F26358" w:rsidRPr="00F26358" w14:paraId="2FCCC0CF" w14:textId="77777777" w:rsidTr="00F26358">
        <w:trPr>
          <w:trHeight w:val="300"/>
          <w:jc w:val="center"/>
        </w:trPr>
        <w:tc>
          <w:tcPr>
            <w:tcW w:w="2268" w:type="dxa"/>
            <w:noWrap/>
            <w:hideMark/>
          </w:tcPr>
          <w:p w14:paraId="7CE163D2" w14:textId="77777777" w:rsidR="00F26358" w:rsidRPr="00F26358" w:rsidRDefault="00F26358" w:rsidP="00F26358">
            <w:pPr>
              <w:pStyle w:val="Source"/>
              <w:rPr>
                <w:b/>
                <w:bCs/>
                <w:sz w:val="2"/>
                <w:szCs w:val="2"/>
              </w:rPr>
            </w:pPr>
            <w:r w:rsidRPr="00F26358">
              <w:rPr>
                <w:b/>
                <w:bCs/>
                <w:sz w:val="2"/>
                <w:szCs w:val="2"/>
              </w:rPr>
              <w:t>In Home Care</w:t>
            </w:r>
          </w:p>
        </w:tc>
        <w:tc>
          <w:tcPr>
            <w:tcW w:w="2692" w:type="dxa"/>
            <w:noWrap/>
            <w:hideMark/>
          </w:tcPr>
          <w:p w14:paraId="6DBF6F7D" w14:textId="77777777" w:rsidR="00F26358" w:rsidRPr="00F26358" w:rsidRDefault="00F26358" w:rsidP="00F26358">
            <w:pPr>
              <w:pStyle w:val="Source"/>
              <w:rPr>
                <w:sz w:val="2"/>
                <w:szCs w:val="2"/>
              </w:rPr>
            </w:pPr>
            <w:r w:rsidRPr="00F26358">
              <w:rPr>
                <w:sz w:val="2"/>
                <w:szCs w:val="2"/>
              </w:rPr>
              <w:t>Typical number of children</w:t>
            </w:r>
          </w:p>
        </w:tc>
        <w:tc>
          <w:tcPr>
            <w:tcW w:w="1495" w:type="dxa"/>
            <w:noWrap/>
            <w:hideMark/>
          </w:tcPr>
          <w:p w14:paraId="64250685" w14:textId="77777777" w:rsidR="00F26358" w:rsidRPr="00F26358" w:rsidRDefault="00F26358" w:rsidP="00F26358">
            <w:pPr>
              <w:pStyle w:val="Source"/>
              <w:rPr>
                <w:sz w:val="2"/>
                <w:szCs w:val="2"/>
              </w:rPr>
            </w:pPr>
            <w:r w:rsidRPr="00F26358">
              <w:rPr>
                <w:sz w:val="2"/>
                <w:szCs w:val="2"/>
              </w:rPr>
              <w:t>70.3%</w:t>
            </w:r>
          </w:p>
        </w:tc>
        <w:tc>
          <w:tcPr>
            <w:tcW w:w="1044" w:type="dxa"/>
            <w:noWrap/>
            <w:hideMark/>
          </w:tcPr>
          <w:p w14:paraId="7B77FCBF" w14:textId="77777777" w:rsidR="00F26358" w:rsidRPr="00F26358" w:rsidRDefault="00F26358" w:rsidP="00F26358">
            <w:pPr>
              <w:pStyle w:val="Source"/>
              <w:rPr>
                <w:sz w:val="2"/>
                <w:szCs w:val="2"/>
              </w:rPr>
            </w:pPr>
            <w:r w:rsidRPr="00F26358">
              <w:rPr>
                <w:sz w:val="2"/>
                <w:szCs w:val="2"/>
              </w:rPr>
              <w:t>24.1%</w:t>
            </w:r>
          </w:p>
        </w:tc>
        <w:tc>
          <w:tcPr>
            <w:tcW w:w="926" w:type="dxa"/>
            <w:noWrap/>
            <w:hideMark/>
          </w:tcPr>
          <w:p w14:paraId="452822D3" w14:textId="77777777" w:rsidR="00F26358" w:rsidRPr="00F26358" w:rsidRDefault="00F26358" w:rsidP="00F26358">
            <w:pPr>
              <w:pStyle w:val="Source"/>
              <w:rPr>
                <w:sz w:val="2"/>
                <w:szCs w:val="2"/>
              </w:rPr>
            </w:pPr>
            <w:r w:rsidRPr="00F26358">
              <w:rPr>
                <w:sz w:val="2"/>
                <w:szCs w:val="2"/>
              </w:rPr>
              <w:t>5.6%</w:t>
            </w:r>
          </w:p>
        </w:tc>
      </w:tr>
      <w:tr w:rsidR="00F26358" w:rsidRPr="00F26358" w14:paraId="0E2ED21A" w14:textId="77777777" w:rsidTr="00F26358">
        <w:trPr>
          <w:trHeight w:val="300"/>
          <w:jc w:val="center"/>
        </w:trPr>
        <w:tc>
          <w:tcPr>
            <w:tcW w:w="2268" w:type="dxa"/>
            <w:noWrap/>
            <w:hideMark/>
          </w:tcPr>
          <w:p w14:paraId="5D0D9BF7" w14:textId="77777777" w:rsidR="00F26358" w:rsidRPr="00F26358" w:rsidRDefault="00F26358" w:rsidP="00F26358">
            <w:pPr>
              <w:pStyle w:val="Source"/>
              <w:rPr>
                <w:sz w:val="2"/>
                <w:szCs w:val="2"/>
              </w:rPr>
            </w:pPr>
          </w:p>
        </w:tc>
        <w:tc>
          <w:tcPr>
            <w:tcW w:w="2692" w:type="dxa"/>
            <w:noWrap/>
            <w:hideMark/>
          </w:tcPr>
          <w:p w14:paraId="6E25399B" w14:textId="77777777" w:rsidR="00F26358" w:rsidRPr="00F26358" w:rsidRDefault="00F26358" w:rsidP="00F26358">
            <w:pPr>
              <w:pStyle w:val="Source"/>
              <w:rPr>
                <w:sz w:val="2"/>
                <w:szCs w:val="2"/>
              </w:rPr>
            </w:pPr>
            <w:r w:rsidRPr="00F26358">
              <w:rPr>
                <w:sz w:val="2"/>
                <w:szCs w:val="2"/>
              </w:rPr>
              <w:t>Number of contact staff</w:t>
            </w:r>
          </w:p>
        </w:tc>
        <w:tc>
          <w:tcPr>
            <w:tcW w:w="1495" w:type="dxa"/>
            <w:noWrap/>
            <w:hideMark/>
          </w:tcPr>
          <w:p w14:paraId="251FD836" w14:textId="77777777" w:rsidR="00F26358" w:rsidRPr="00F26358" w:rsidRDefault="00F26358" w:rsidP="00F26358">
            <w:pPr>
              <w:pStyle w:val="Source"/>
              <w:rPr>
                <w:sz w:val="2"/>
                <w:szCs w:val="2"/>
              </w:rPr>
            </w:pPr>
            <w:r w:rsidRPr="00F26358">
              <w:rPr>
                <w:sz w:val="2"/>
                <w:szCs w:val="2"/>
              </w:rPr>
              <w:t>75.7%</w:t>
            </w:r>
          </w:p>
        </w:tc>
        <w:tc>
          <w:tcPr>
            <w:tcW w:w="1044" w:type="dxa"/>
            <w:noWrap/>
            <w:hideMark/>
          </w:tcPr>
          <w:p w14:paraId="51B64E7B" w14:textId="77777777" w:rsidR="00F26358" w:rsidRPr="00F26358" w:rsidRDefault="00F26358" w:rsidP="00F26358">
            <w:pPr>
              <w:pStyle w:val="Source"/>
              <w:rPr>
                <w:sz w:val="2"/>
                <w:szCs w:val="2"/>
              </w:rPr>
            </w:pPr>
            <w:r w:rsidRPr="00F26358">
              <w:rPr>
                <w:sz w:val="2"/>
                <w:szCs w:val="2"/>
              </w:rPr>
              <w:t>19.4%</w:t>
            </w:r>
          </w:p>
        </w:tc>
        <w:tc>
          <w:tcPr>
            <w:tcW w:w="926" w:type="dxa"/>
            <w:noWrap/>
            <w:hideMark/>
          </w:tcPr>
          <w:p w14:paraId="59EDADBB" w14:textId="77777777" w:rsidR="00F26358" w:rsidRPr="00F26358" w:rsidRDefault="00F26358" w:rsidP="00F26358">
            <w:pPr>
              <w:pStyle w:val="Source"/>
              <w:rPr>
                <w:sz w:val="2"/>
                <w:szCs w:val="2"/>
              </w:rPr>
            </w:pPr>
            <w:r w:rsidRPr="00F26358">
              <w:rPr>
                <w:sz w:val="2"/>
                <w:szCs w:val="2"/>
              </w:rPr>
              <w:t>4.9%</w:t>
            </w:r>
          </w:p>
        </w:tc>
      </w:tr>
      <w:tr w:rsidR="00F26358" w:rsidRPr="00F26358" w14:paraId="4CC7A7CA" w14:textId="77777777" w:rsidTr="00F26358">
        <w:trPr>
          <w:trHeight w:val="300"/>
          <w:jc w:val="center"/>
        </w:trPr>
        <w:tc>
          <w:tcPr>
            <w:tcW w:w="2268" w:type="dxa"/>
            <w:hideMark/>
          </w:tcPr>
          <w:p w14:paraId="353EE9E4" w14:textId="77777777" w:rsidR="00F26358" w:rsidRPr="00F26358" w:rsidRDefault="00F26358" w:rsidP="00F26358">
            <w:pPr>
              <w:pStyle w:val="Source"/>
              <w:rPr>
                <w:sz w:val="2"/>
                <w:szCs w:val="2"/>
              </w:rPr>
            </w:pPr>
          </w:p>
        </w:tc>
        <w:tc>
          <w:tcPr>
            <w:tcW w:w="2692" w:type="dxa"/>
            <w:hideMark/>
          </w:tcPr>
          <w:p w14:paraId="499F9D61" w14:textId="77777777" w:rsidR="00F26358" w:rsidRPr="00F26358" w:rsidRDefault="00F26358" w:rsidP="00F26358">
            <w:pPr>
              <w:pStyle w:val="Source"/>
              <w:rPr>
                <w:sz w:val="2"/>
                <w:szCs w:val="2"/>
              </w:rPr>
            </w:pPr>
          </w:p>
        </w:tc>
        <w:tc>
          <w:tcPr>
            <w:tcW w:w="1495" w:type="dxa"/>
            <w:noWrap/>
            <w:hideMark/>
          </w:tcPr>
          <w:p w14:paraId="0B656C02" w14:textId="77777777" w:rsidR="00F26358" w:rsidRPr="00F26358" w:rsidRDefault="00F26358" w:rsidP="00F26358">
            <w:pPr>
              <w:pStyle w:val="Source"/>
              <w:rPr>
                <w:b/>
                <w:bCs/>
                <w:sz w:val="2"/>
                <w:szCs w:val="2"/>
              </w:rPr>
            </w:pPr>
            <w:r w:rsidRPr="00F26358">
              <w:rPr>
                <w:b/>
                <w:bCs/>
                <w:sz w:val="2"/>
                <w:szCs w:val="2"/>
              </w:rPr>
              <w:t>Major Cities</w:t>
            </w:r>
          </w:p>
        </w:tc>
        <w:tc>
          <w:tcPr>
            <w:tcW w:w="1044" w:type="dxa"/>
            <w:noWrap/>
            <w:hideMark/>
          </w:tcPr>
          <w:p w14:paraId="4CED2D11" w14:textId="77777777" w:rsidR="00F26358" w:rsidRPr="00F26358" w:rsidRDefault="00F26358" w:rsidP="00F26358">
            <w:pPr>
              <w:pStyle w:val="Source"/>
              <w:rPr>
                <w:b/>
                <w:bCs/>
                <w:sz w:val="2"/>
                <w:szCs w:val="2"/>
              </w:rPr>
            </w:pPr>
            <w:r w:rsidRPr="00F26358">
              <w:rPr>
                <w:b/>
                <w:bCs/>
                <w:sz w:val="2"/>
                <w:szCs w:val="2"/>
              </w:rPr>
              <w:t>Regional</w:t>
            </w:r>
          </w:p>
        </w:tc>
        <w:tc>
          <w:tcPr>
            <w:tcW w:w="926" w:type="dxa"/>
            <w:noWrap/>
            <w:hideMark/>
          </w:tcPr>
          <w:p w14:paraId="41E6C2B0" w14:textId="77777777" w:rsidR="00F26358" w:rsidRPr="00F26358" w:rsidRDefault="00F26358" w:rsidP="00F26358">
            <w:pPr>
              <w:pStyle w:val="Source"/>
              <w:rPr>
                <w:b/>
                <w:bCs/>
                <w:sz w:val="2"/>
                <w:szCs w:val="2"/>
              </w:rPr>
            </w:pPr>
            <w:r w:rsidRPr="00F26358">
              <w:rPr>
                <w:b/>
                <w:bCs/>
                <w:sz w:val="2"/>
                <w:szCs w:val="2"/>
              </w:rPr>
              <w:t>Remote</w:t>
            </w:r>
          </w:p>
        </w:tc>
      </w:tr>
      <w:tr w:rsidR="00F26358" w:rsidRPr="00F26358" w14:paraId="7AD02DF6" w14:textId="77777777" w:rsidTr="00F26358">
        <w:trPr>
          <w:trHeight w:val="300"/>
          <w:jc w:val="center"/>
        </w:trPr>
        <w:tc>
          <w:tcPr>
            <w:tcW w:w="2268" w:type="dxa"/>
            <w:noWrap/>
            <w:hideMark/>
          </w:tcPr>
          <w:p w14:paraId="227CBFA9" w14:textId="77777777" w:rsidR="00F26358" w:rsidRPr="00F26358" w:rsidRDefault="00F26358" w:rsidP="00F26358">
            <w:pPr>
              <w:pStyle w:val="Source"/>
              <w:rPr>
                <w:b/>
                <w:bCs/>
                <w:sz w:val="2"/>
                <w:szCs w:val="2"/>
              </w:rPr>
            </w:pPr>
            <w:r w:rsidRPr="00F26358">
              <w:rPr>
                <w:b/>
                <w:bCs/>
                <w:sz w:val="2"/>
                <w:szCs w:val="2"/>
              </w:rPr>
              <w:t>Family Day Care</w:t>
            </w:r>
          </w:p>
        </w:tc>
        <w:tc>
          <w:tcPr>
            <w:tcW w:w="2692" w:type="dxa"/>
            <w:noWrap/>
            <w:hideMark/>
          </w:tcPr>
          <w:p w14:paraId="26D1709E" w14:textId="77777777" w:rsidR="00F26358" w:rsidRPr="00F26358" w:rsidRDefault="00F26358" w:rsidP="00F26358">
            <w:pPr>
              <w:pStyle w:val="Source"/>
              <w:rPr>
                <w:sz w:val="2"/>
                <w:szCs w:val="2"/>
              </w:rPr>
            </w:pPr>
            <w:r w:rsidRPr="00F26358">
              <w:rPr>
                <w:sz w:val="2"/>
                <w:szCs w:val="2"/>
              </w:rPr>
              <w:t>Typical number of children</w:t>
            </w:r>
          </w:p>
        </w:tc>
        <w:tc>
          <w:tcPr>
            <w:tcW w:w="1495" w:type="dxa"/>
            <w:noWrap/>
            <w:hideMark/>
          </w:tcPr>
          <w:p w14:paraId="4BDA160B" w14:textId="77777777" w:rsidR="00F26358" w:rsidRPr="00F26358" w:rsidRDefault="00F26358" w:rsidP="00F26358">
            <w:pPr>
              <w:pStyle w:val="Source"/>
              <w:rPr>
                <w:sz w:val="2"/>
                <w:szCs w:val="2"/>
              </w:rPr>
            </w:pPr>
            <w:r w:rsidRPr="00F26358">
              <w:rPr>
                <w:sz w:val="2"/>
                <w:szCs w:val="2"/>
              </w:rPr>
              <w:t>73.5%</w:t>
            </w:r>
          </w:p>
        </w:tc>
        <w:tc>
          <w:tcPr>
            <w:tcW w:w="1044" w:type="dxa"/>
            <w:noWrap/>
            <w:hideMark/>
          </w:tcPr>
          <w:p w14:paraId="088C8A21" w14:textId="77777777" w:rsidR="00F26358" w:rsidRPr="00F26358" w:rsidRDefault="00F26358" w:rsidP="00F26358">
            <w:pPr>
              <w:pStyle w:val="Source"/>
              <w:rPr>
                <w:sz w:val="2"/>
                <w:szCs w:val="2"/>
              </w:rPr>
            </w:pPr>
            <w:r w:rsidRPr="00F26358">
              <w:rPr>
                <w:sz w:val="2"/>
                <w:szCs w:val="2"/>
              </w:rPr>
              <w:t>26.0%</w:t>
            </w:r>
          </w:p>
        </w:tc>
        <w:tc>
          <w:tcPr>
            <w:tcW w:w="926" w:type="dxa"/>
            <w:noWrap/>
            <w:hideMark/>
          </w:tcPr>
          <w:p w14:paraId="129BB735" w14:textId="77777777" w:rsidR="00F26358" w:rsidRPr="00F26358" w:rsidRDefault="00F26358" w:rsidP="00F26358">
            <w:pPr>
              <w:pStyle w:val="Source"/>
              <w:rPr>
                <w:sz w:val="2"/>
                <w:szCs w:val="2"/>
              </w:rPr>
            </w:pPr>
            <w:r w:rsidRPr="00F26358">
              <w:rPr>
                <w:sz w:val="2"/>
                <w:szCs w:val="2"/>
              </w:rPr>
              <w:t>0.5%</w:t>
            </w:r>
          </w:p>
        </w:tc>
      </w:tr>
      <w:tr w:rsidR="00F26358" w:rsidRPr="00F26358" w14:paraId="1D7BAEDB" w14:textId="77777777" w:rsidTr="00F26358">
        <w:trPr>
          <w:trHeight w:val="300"/>
          <w:jc w:val="center"/>
        </w:trPr>
        <w:tc>
          <w:tcPr>
            <w:tcW w:w="2268" w:type="dxa"/>
            <w:noWrap/>
            <w:hideMark/>
          </w:tcPr>
          <w:p w14:paraId="1F804209" w14:textId="77777777" w:rsidR="00F26358" w:rsidRPr="00F26358" w:rsidRDefault="00F26358" w:rsidP="00F26358">
            <w:pPr>
              <w:pStyle w:val="Source"/>
              <w:rPr>
                <w:sz w:val="2"/>
                <w:szCs w:val="2"/>
              </w:rPr>
            </w:pPr>
          </w:p>
        </w:tc>
        <w:tc>
          <w:tcPr>
            <w:tcW w:w="2692" w:type="dxa"/>
            <w:noWrap/>
            <w:hideMark/>
          </w:tcPr>
          <w:p w14:paraId="16721CED" w14:textId="77777777" w:rsidR="00F26358" w:rsidRPr="00F26358" w:rsidRDefault="00F26358" w:rsidP="00F26358">
            <w:pPr>
              <w:pStyle w:val="Source"/>
              <w:rPr>
                <w:sz w:val="2"/>
                <w:szCs w:val="2"/>
              </w:rPr>
            </w:pPr>
            <w:r w:rsidRPr="00F26358">
              <w:rPr>
                <w:sz w:val="2"/>
                <w:szCs w:val="2"/>
              </w:rPr>
              <w:t>Number of contact staff</w:t>
            </w:r>
          </w:p>
        </w:tc>
        <w:tc>
          <w:tcPr>
            <w:tcW w:w="1495" w:type="dxa"/>
            <w:noWrap/>
            <w:hideMark/>
          </w:tcPr>
          <w:p w14:paraId="32CC78C7" w14:textId="77777777" w:rsidR="00F26358" w:rsidRPr="00F26358" w:rsidRDefault="00F26358" w:rsidP="00F26358">
            <w:pPr>
              <w:pStyle w:val="Source"/>
              <w:rPr>
                <w:sz w:val="2"/>
                <w:szCs w:val="2"/>
              </w:rPr>
            </w:pPr>
            <w:r w:rsidRPr="00F26358">
              <w:rPr>
                <w:sz w:val="2"/>
                <w:szCs w:val="2"/>
              </w:rPr>
              <w:t>74.8%</w:t>
            </w:r>
          </w:p>
        </w:tc>
        <w:tc>
          <w:tcPr>
            <w:tcW w:w="1044" w:type="dxa"/>
            <w:noWrap/>
            <w:hideMark/>
          </w:tcPr>
          <w:p w14:paraId="69424B79" w14:textId="77777777" w:rsidR="00F26358" w:rsidRPr="00F26358" w:rsidRDefault="00F26358" w:rsidP="00F26358">
            <w:pPr>
              <w:pStyle w:val="Source"/>
              <w:rPr>
                <w:sz w:val="2"/>
                <w:szCs w:val="2"/>
              </w:rPr>
            </w:pPr>
            <w:r w:rsidRPr="00F26358">
              <w:rPr>
                <w:sz w:val="2"/>
                <w:szCs w:val="2"/>
              </w:rPr>
              <w:t>24.7%</w:t>
            </w:r>
          </w:p>
        </w:tc>
        <w:tc>
          <w:tcPr>
            <w:tcW w:w="926" w:type="dxa"/>
            <w:noWrap/>
            <w:hideMark/>
          </w:tcPr>
          <w:p w14:paraId="2F56515A" w14:textId="77777777" w:rsidR="00F26358" w:rsidRPr="00F26358" w:rsidRDefault="00F26358" w:rsidP="00F26358">
            <w:pPr>
              <w:pStyle w:val="Source"/>
              <w:rPr>
                <w:sz w:val="2"/>
                <w:szCs w:val="2"/>
              </w:rPr>
            </w:pPr>
            <w:r w:rsidRPr="00F26358">
              <w:rPr>
                <w:sz w:val="2"/>
                <w:szCs w:val="2"/>
              </w:rPr>
              <w:t>0.5%</w:t>
            </w:r>
          </w:p>
        </w:tc>
      </w:tr>
    </w:tbl>
    <w:p w14:paraId="6770C146" w14:textId="77777777" w:rsidR="00F26358" w:rsidRDefault="00F26358" w:rsidP="00887E52">
      <w:pPr>
        <w:pStyle w:val="Source"/>
      </w:pPr>
    </w:p>
    <w:p w14:paraId="61492CAA" w14:textId="77777777" w:rsidR="00F26358" w:rsidRDefault="00F26358" w:rsidP="00887E52">
      <w:pPr>
        <w:pStyle w:val="Source"/>
      </w:pPr>
    </w:p>
    <w:p w14:paraId="6656DAF9" w14:textId="77777777" w:rsidR="00F26358" w:rsidRDefault="00F26358" w:rsidP="00887E52">
      <w:pPr>
        <w:pStyle w:val="Source"/>
      </w:pPr>
    </w:p>
    <w:p w14:paraId="1170B617" w14:textId="77777777" w:rsidR="00F26358" w:rsidRDefault="00F26358" w:rsidP="00887E52">
      <w:pPr>
        <w:pStyle w:val="Source"/>
      </w:pPr>
    </w:p>
    <w:p w14:paraId="08060CD0" w14:textId="77777777" w:rsidR="00F26358" w:rsidRDefault="00F26358" w:rsidP="00887E52">
      <w:pPr>
        <w:pStyle w:val="Source"/>
      </w:pPr>
    </w:p>
    <w:p w14:paraId="348B821E" w14:textId="77777777" w:rsidR="00F26358" w:rsidRDefault="00F26358" w:rsidP="00887E52">
      <w:pPr>
        <w:pStyle w:val="Source"/>
      </w:pPr>
    </w:p>
    <w:p w14:paraId="3F1DCFF5" w14:textId="77777777" w:rsidR="00F26358" w:rsidRDefault="00F26358" w:rsidP="00887E52">
      <w:pPr>
        <w:pStyle w:val="Source"/>
      </w:pPr>
    </w:p>
    <w:p w14:paraId="58504C92" w14:textId="77777777" w:rsidR="00F26358" w:rsidRDefault="00F26358" w:rsidP="00887E52">
      <w:pPr>
        <w:pStyle w:val="Source"/>
      </w:pPr>
    </w:p>
    <w:p w14:paraId="746FA64D" w14:textId="77777777" w:rsidR="00F26358" w:rsidRDefault="00F26358" w:rsidP="00887E52">
      <w:pPr>
        <w:pStyle w:val="Source"/>
      </w:pPr>
    </w:p>
    <w:p w14:paraId="47BFE9FA" w14:textId="77777777" w:rsidR="00F26358" w:rsidRDefault="00F26358" w:rsidP="00887E52">
      <w:pPr>
        <w:pStyle w:val="Source"/>
      </w:pPr>
    </w:p>
    <w:p w14:paraId="15428938" w14:textId="77777777" w:rsidR="00F26358" w:rsidRDefault="00F26358" w:rsidP="00887E52">
      <w:pPr>
        <w:pStyle w:val="Source"/>
      </w:pPr>
    </w:p>
    <w:p w14:paraId="365C3701" w14:textId="2466C28E" w:rsidR="00F47B0F" w:rsidRPr="00F47B0F" w:rsidRDefault="00F47B0F" w:rsidP="00887E52">
      <w:pPr>
        <w:pStyle w:val="Source"/>
      </w:pPr>
      <w:r w:rsidRPr="00F47B0F">
        <w:t>Source: JSA analysis of DoE’s CCS and NWC (2021)</w:t>
      </w:r>
    </w:p>
    <w:p w14:paraId="0AB6F85C" w14:textId="77777777" w:rsidR="00F47B0F" w:rsidRPr="00F47B0F" w:rsidRDefault="00F47B0F" w:rsidP="00F47B0F">
      <w:pPr>
        <w:rPr>
          <w:rFonts w:cstheme="minorHAnsi"/>
        </w:rPr>
      </w:pPr>
      <w:r w:rsidRPr="00F47B0F">
        <w:rPr>
          <w:rFonts w:cstheme="minorHAnsi"/>
        </w:rPr>
        <w:t xml:space="preserve">Breaking down these ratios by staff role, analogous to occupation, highlights differences in composition across regionality and service type. For CBDCs and OSHCs the relative shares of non-management educators—including educators, group leaders, and ECTs—decreases with remoteness. In OSHCs, directors tend to make up a relatively large share of the </w:t>
      </w:r>
      <w:r w:rsidRPr="00F47B0F">
        <w:rPr>
          <w:rFonts w:cstheme="minorHAnsi"/>
        </w:rPr>
        <w:lastRenderedPageBreak/>
        <w:t>workforce, with slightly fewer group leaders and ECTs. FDC is predominantly delivered by educators, as is IHC in major cities and inner regional areas.</w:t>
      </w:r>
    </w:p>
    <w:p w14:paraId="2862907B" w14:textId="51A2E86B" w:rsidR="00F47B0F" w:rsidRPr="00F47B0F" w:rsidRDefault="00F47B0F" w:rsidP="00887E52">
      <w:pPr>
        <w:pStyle w:val="Caption"/>
      </w:pPr>
      <w:bookmarkStart w:id="102" w:name="_Ref169158617"/>
      <w:bookmarkStart w:id="103" w:name="_Ref169158603"/>
      <w:r w:rsidRPr="00F47B0F">
        <w:t>Figure 2</w:t>
      </w:r>
      <w:bookmarkEnd w:id="102"/>
      <w:r w:rsidRPr="00F47B0F">
        <w:t>.</w:t>
      </w:r>
      <w:r w:rsidRPr="00F47B0F">
        <w:fldChar w:fldCharType="begin"/>
      </w:r>
      <w:r w:rsidRPr="00F47B0F">
        <w:instrText xml:space="preserve"> SEQ Figure \* ARABIC \s 1 </w:instrText>
      </w:r>
      <w:r w:rsidRPr="00F47B0F">
        <w:fldChar w:fldCharType="separate"/>
      </w:r>
      <w:r w:rsidR="005F18C1">
        <w:rPr>
          <w:noProof/>
        </w:rPr>
        <w:t>9</w:t>
      </w:r>
      <w:r w:rsidRPr="00F47B0F">
        <w:fldChar w:fldCharType="end"/>
      </w:r>
      <w:r w:rsidRPr="00F47B0F">
        <w:t xml:space="preserve"> Employment role breakdown of staff per child, 2021</w:t>
      </w:r>
      <w:r w:rsidRPr="00F47B0F">
        <w:rPr>
          <w:vertAlign w:val="superscript"/>
        </w:rPr>
        <w:footnoteReference w:id="37"/>
      </w:r>
      <w:bookmarkEnd w:id="103"/>
    </w:p>
    <w:p w14:paraId="684D74DB" w14:textId="77777777" w:rsidR="00F47B0F" w:rsidRPr="00F47B0F" w:rsidRDefault="00F47B0F" w:rsidP="00F47B0F">
      <w:pPr>
        <w:spacing w:before="100" w:beforeAutospacing="1" w:after="100" w:afterAutospacing="1" w:line="240" w:lineRule="auto"/>
        <w:rPr>
          <w:rFonts w:ascii="Times New Roman" w:eastAsia="Times New Roman" w:hAnsi="Times New Roman" w:cs="Times New Roman"/>
          <w:color w:val="auto"/>
          <w:sz w:val="24"/>
          <w:szCs w:val="24"/>
          <w:lang w:eastAsia="en-AU"/>
        </w:rPr>
      </w:pPr>
      <w:r w:rsidRPr="00F47B0F">
        <w:rPr>
          <w:rFonts w:ascii="Times New Roman" w:eastAsia="Times New Roman" w:hAnsi="Times New Roman" w:cs="Times New Roman"/>
          <w:noProof/>
          <w:color w:val="auto"/>
          <w:sz w:val="24"/>
          <w:szCs w:val="24"/>
          <w:lang w:eastAsia="en-AU"/>
        </w:rPr>
        <w:drawing>
          <wp:anchor distT="0" distB="0" distL="114300" distR="114300" simplePos="0" relativeHeight="251711491" behindDoc="0" locked="0" layoutInCell="1" allowOverlap="1" wp14:anchorId="1BC17A42" wp14:editId="5A31C872">
            <wp:simplePos x="0" y="0"/>
            <wp:positionH relativeFrom="margin">
              <wp:align>left</wp:align>
            </wp:positionH>
            <wp:positionV relativeFrom="paragraph">
              <wp:posOffset>48896</wp:posOffset>
            </wp:positionV>
            <wp:extent cx="5619750" cy="6560526"/>
            <wp:effectExtent l="0" t="0" r="0" b="0"/>
            <wp:wrapNone/>
            <wp:docPr id="1355037459"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037459" name="Picture 7">
                      <a:extLst>
                        <a:ext uri="{C183D7F6-B498-43B3-948B-1728B52AA6E4}">
                          <adec:decorative xmlns:adec="http://schemas.microsoft.com/office/drawing/2017/decorative" val="1"/>
                        </a:ext>
                      </a:extLst>
                    </pic:cNvPr>
                    <pic:cNvPicPr>
                      <a:picLocks noChangeAspect="1" noChangeArrowheads="1"/>
                    </pic:cNvPicPr>
                  </pic:nvPicPr>
                  <pic:blipFill>
                    <a:blip r:embed="rId87" cstate="screen">
                      <a:extLst>
                        <a:ext uri="{28A0092B-C50C-407E-A947-70E740481C1C}">
                          <a14:useLocalDpi xmlns:a14="http://schemas.microsoft.com/office/drawing/2010/main" val="0"/>
                        </a:ext>
                      </a:extLst>
                    </a:blip>
                    <a:srcRect/>
                    <a:stretch>
                      <a:fillRect/>
                    </a:stretch>
                  </pic:blipFill>
                  <pic:spPr bwMode="auto">
                    <a:xfrm>
                      <a:off x="0" y="0"/>
                      <a:ext cx="5619750" cy="6560526"/>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Box"/>
        <w:tblW w:w="0" w:type="auto"/>
        <w:jc w:val="center"/>
        <w:tblLook w:val="04A0" w:firstRow="1" w:lastRow="0" w:firstColumn="1" w:lastColumn="0" w:noHBand="0" w:noVBand="1"/>
      </w:tblPr>
      <w:tblGrid>
        <w:gridCol w:w="1985"/>
        <w:gridCol w:w="2341"/>
        <w:gridCol w:w="1314"/>
        <w:gridCol w:w="1381"/>
        <w:gridCol w:w="1059"/>
      </w:tblGrid>
      <w:tr w:rsidR="00F26358" w:rsidRPr="00F26358" w14:paraId="204577DA" w14:textId="77777777" w:rsidTr="00F26358">
        <w:trPr>
          <w:trHeight w:val="300"/>
          <w:jc w:val="center"/>
        </w:trPr>
        <w:tc>
          <w:tcPr>
            <w:tcW w:w="1985" w:type="dxa"/>
            <w:hideMark/>
          </w:tcPr>
          <w:p w14:paraId="5AACF95C" w14:textId="77777777" w:rsidR="00F26358" w:rsidRPr="00F26358" w:rsidRDefault="00F26358" w:rsidP="00F26358">
            <w:pPr>
              <w:pStyle w:val="Source"/>
              <w:rPr>
                <w:sz w:val="2"/>
                <w:szCs w:val="2"/>
              </w:rPr>
            </w:pPr>
          </w:p>
        </w:tc>
        <w:tc>
          <w:tcPr>
            <w:tcW w:w="2341" w:type="dxa"/>
            <w:hideMark/>
          </w:tcPr>
          <w:p w14:paraId="38E715B7" w14:textId="77777777" w:rsidR="00F26358" w:rsidRPr="00F26358" w:rsidRDefault="00F26358" w:rsidP="00F26358">
            <w:pPr>
              <w:pStyle w:val="Source"/>
              <w:rPr>
                <w:sz w:val="2"/>
                <w:szCs w:val="2"/>
              </w:rPr>
            </w:pPr>
          </w:p>
        </w:tc>
        <w:tc>
          <w:tcPr>
            <w:tcW w:w="1314" w:type="dxa"/>
            <w:noWrap/>
            <w:hideMark/>
          </w:tcPr>
          <w:p w14:paraId="1438D869" w14:textId="77777777" w:rsidR="00F26358" w:rsidRPr="00F26358" w:rsidRDefault="00F26358" w:rsidP="00F26358">
            <w:pPr>
              <w:pStyle w:val="Source"/>
              <w:rPr>
                <w:b/>
                <w:bCs/>
                <w:sz w:val="2"/>
                <w:szCs w:val="2"/>
              </w:rPr>
            </w:pPr>
            <w:r w:rsidRPr="00F26358">
              <w:rPr>
                <w:b/>
                <w:bCs/>
                <w:sz w:val="2"/>
                <w:szCs w:val="2"/>
              </w:rPr>
              <w:t>Major Cities</w:t>
            </w:r>
          </w:p>
        </w:tc>
        <w:tc>
          <w:tcPr>
            <w:tcW w:w="1381" w:type="dxa"/>
            <w:noWrap/>
            <w:hideMark/>
          </w:tcPr>
          <w:p w14:paraId="63D30032" w14:textId="77777777" w:rsidR="00F26358" w:rsidRPr="00F26358" w:rsidRDefault="00F26358" w:rsidP="00F26358">
            <w:pPr>
              <w:pStyle w:val="Source"/>
              <w:rPr>
                <w:b/>
                <w:bCs/>
                <w:sz w:val="2"/>
                <w:szCs w:val="2"/>
              </w:rPr>
            </w:pPr>
            <w:r w:rsidRPr="00F26358">
              <w:rPr>
                <w:b/>
                <w:bCs/>
                <w:sz w:val="2"/>
                <w:szCs w:val="2"/>
              </w:rPr>
              <w:t>Regional</w:t>
            </w:r>
          </w:p>
        </w:tc>
        <w:tc>
          <w:tcPr>
            <w:tcW w:w="1059" w:type="dxa"/>
            <w:noWrap/>
            <w:hideMark/>
          </w:tcPr>
          <w:p w14:paraId="30BB6604" w14:textId="77777777" w:rsidR="00F26358" w:rsidRPr="00F26358" w:rsidRDefault="00F26358" w:rsidP="00F26358">
            <w:pPr>
              <w:pStyle w:val="Source"/>
              <w:rPr>
                <w:b/>
                <w:bCs/>
                <w:sz w:val="2"/>
                <w:szCs w:val="2"/>
              </w:rPr>
            </w:pPr>
            <w:r w:rsidRPr="00F26358">
              <w:rPr>
                <w:b/>
                <w:bCs/>
                <w:sz w:val="2"/>
                <w:szCs w:val="2"/>
              </w:rPr>
              <w:t>Remote</w:t>
            </w:r>
          </w:p>
        </w:tc>
      </w:tr>
      <w:tr w:rsidR="00F26358" w:rsidRPr="00F26358" w14:paraId="276A051C" w14:textId="77777777" w:rsidTr="00F26358">
        <w:trPr>
          <w:trHeight w:val="300"/>
          <w:jc w:val="center"/>
        </w:trPr>
        <w:tc>
          <w:tcPr>
            <w:tcW w:w="1985" w:type="dxa"/>
            <w:noWrap/>
            <w:hideMark/>
          </w:tcPr>
          <w:p w14:paraId="2413BC37" w14:textId="77777777" w:rsidR="00F26358" w:rsidRPr="00F26358" w:rsidRDefault="00F26358" w:rsidP="00F26358">
            <w:pPr>
              <w:pStyle w:val="Source"/>
              <w:rPr>
                <w:b/>
                <w:bCs/>
                <w:sz w:val="2"/>
                <w:szCs w:val="2"/>
              </w:rPr>
            </w:pPr>
            <w:r w:rsidRPr="00F26358">
              <w:rPr>
                <w:b/>
                <w:bCs/>
                <w:sz w:val="2"/>
                <w:szCs w:val="2"/>
              </w:rPr>
              <w:t>Centre Based Day Care</w:t>
            </w:r>
          </w:p>
        </w:tc>
        <w:tc>
          <w:tcPr>
            <w:tcW w:w="2341" w:type="dxa"/>
            <w:noWrap/>
            <w:hideMark/>
          </w:tcPr>
          <w:p w14:paraId="2428518A" w14:textId="77777777" w:rsidR="00F26358" w:rsidRPr="00F26358" w:rsidRDefault="00F26358" w:rsidP="00F26358">
            <w:pPr>
              <w:pStyle w:val="Source"/>
              <w:rPr>
                <w:i/>
                <w:iCs/>
                <w:sz w:val="2"/>
                <w:szCs w:val="2"/>
              </w:rPr>
            </w:pPr>
            <w:r w:rsidRPr="00F26358">
              <w:rPr>
                <w:i/>
                <w:iCs/>
                <w:sz w:val="2"/>
                <w:szCs w:val="2"/>
              </w:rPr>
              <w:t>Staff per child</w:t>
            </w:r>
          </w:p>
        </w:tc>
        <w:tc>
          <w:tcPr>
            <w:tcW w:w="1314" w:type="dxa"/>
            <w:noWrap/>
            <w:hideMark/>
          </w:tcPr>
          <w:p w14:paraId="39CCE084" w14:textId="77777777" w:rsidR="00F26358" w:rsidRPr="00F26358" w:rsidRDefault="00F26358" w:rsidP="00F26358">
            <w:pPr>
              <w:pStyle w:val="Source"/>
              <w:rPr>
                <w:i/>
                <w:iCs/>
                <w:sz w:val="2"/>
                <w:szCs w:val="2"/>
              </w:rPr>
            </w:pPr>
            <w:r w:rsidRPr="00F26358">
              <w:rPr>
                <w:i/>
                <w:iCs/>
                <w:sz w:val="2"/>
                <w:szCs w:val="2"/>
              </w:rPr>
              <w:t>0.3</w:t>
            </w:r>
          </w:p>
        </w:tc>
        <w:tc>
          <w:tcPr>
            <w:tcW w:w="1381" w:type="dxa"/>
            <w:noWrap/>
            <w:hideMark/>
          </w:tcPr>
          <w:p w14:paraId="03CE0970" w14:textId="77777777" w:rsidR="00F26358" w:rsidRPr="00F26358" w:rsidRDefault="00F26358" w:rsidP="00F26358">
            <w:pPr>
              <w:pStyle w:val="Source"/>
              <w:rPr>
                <w:i/>
                <w:iCs/>
                <w:sz w:val="2"/>
                <w:szCs w:val="2"/>
              </w:rPr>
            </w:pPr>
            <w:r w:rsidRPr="00F26358">
              <w:rPr>
                <w:i/>
                <w:iCs/>
                <w:sz w:val="2"/>
                <w:szCs w:val="2"/>
              </w:rPr>
              <w:t>0.31</w:t>
            </w:r>
          </w:p>
        </w:tc>
        <w:tc>
          <w:tcPr>
            <w:tcW w:w="1059" w:type="dxa"/>
            <w:noWrap/>
            <w:hideMark/>
          </w:tcPr>
          <w:p w14:paraId="124CCD3B" w14:textId="77777777" w:rsidR="00F26358" w:rsidRPr="00F26358" w:rsidRDefault="00F26358" w:rsidP="00F26358">
            <w:pPr>
              <w:pStyle w:val="Source"/>
              <w:rPr>
                <w:i/>
                <w:iCs/>
                <w:sz w:val="2"/>
                <w:szCs w:val="2"/>
              </w:rPr>
            </w:pPr>
            <w:r w:rsidRPr="00F26358">
              <w:rPr>
                <w:i/>
                <w:iCs/>
                <w:sz w:val="2"/>
                <w:szCs w:val="2"/>
              </w:rPr>
              <w:t>0.34</w:t>
            </w:r>
          </w:p>
        </w:tc>
      </w:tr>
      <w:tr w:rsidR="00F26358" w:rsidRPr="00F26358" w14:paraId="0DB3BC79" w14:textId="77777777" w:rsidTr="00F26358">
        <w:trPr>
          <w:trHeight w:val="300"/>
          <w:jc w:val="center"/>
        </w:trPr>
        <w:tc>
          <w:tcPr>
            <w:tcW w:w="1985" w:type="dxa"/>
            <w:noWrap/>
            <w:hideMark/>
          </w:tcPr>
          <w:p w14:paraId="2952D140" w14:textId="77777777" w:rsidR="00F26358" w:rsidRPr="00F26358" w:rsidRDefault="00F26358" w:rsidP="00F26358">
            <w:pPr>
              <w:pStyle w:val="Source"/>
              <w:rPr>
                <w:i/>
                <w:iCs/>
                <w:sz w:val="2"/>
                <w:szCs w:val="2"/>
              </w:rPr>
            </w:pPr>
          </w:p>
        </w:tc>
        <w:tc>
          <w:tcPr>
            <w:tcW w:w="2341" w:type="dxa"/>
            <w:noWrap/>
            <w:hideMark/>
          </w:tcPr>
          <w:p w14:paraId="69324210" w14:textId="77777777" w:rsidR="00F26358" w:rsidRPr="00F26358" w:rsidRDefault="00F26358" w:rsidP="00F26358">
            <w:pPr>
              <w:pStyle w:val="Source"/>
              <w:rPr>
                <w:sz w:val="2"/>
                <w:szCs w:val="2"/>
              </w:rPr>
            </w:pPr>
            <w:r w:rsidRPr="00F26358">
              <w:rPr>
                <w:sz w:val="2"/>
                <w:szCs w:val="2"/>
              </w:rPr>
              <w:t>Non-contact</w:t>
            </w:r>
          </w:p>
        </w:tc>
        <w:tc>
          <w:tcPr>
            <w:tcW w:w="1314" w:type="dxa"/>
            <w:noWrap/>
            <w:hideMark/>
          </w:tcPr>
          <w:p w14:paraId="481D5A65" w14:textId="77777777" w:rsidR="00F26358" w:rsidRPr="00F26358" w:rsidRDefault="00F26358" w:rsidP="00F26358">
            <w:pPr>
              <w:pStyle w:val="Source"/>
              <w:rPr>
                <w:sz w:val="2"/>
                <w:szCs w:val="2"/>
              </w:rPr>
            </w:pPr>
            <w:r w:rsidRPr="00F26358">
              <w:rPr>
                <w:sz w:val="2"/>
                <w:szCs w:val="2"/>
              </w:rPr>
              <w:t>6%</w:t>
            </w:r>
          </w:p>
        </w:tc>
        <w:tc>
          <w:tcPr>
            <w:tcW w:w="1381" w:type="dxa"/>
            <w:noWrap/>
            <w:hideMark/>
          </w:tcPr>
          <w:p w14:paraId="2921B4D3" w14:textId="77777777" w:rsidR="00F26358" w:rsidRPr="00F26358" w:rsidRDefault="00F26358" w:rsidP="00F26358">
            <w:pPr>
              <w:pStyle w:val="Source"/>
              <w:rPr>
                <w:sz w:val="2"/>
                <w:szCs w:val="2"/>
              </w:rPr>
            </w:pPr>
          </w:p>
        </w:tc>
        <w:tc>
          <w:tcPr>
            <w:tcW w:w="1059" w:type="dxa"/>
            <w:noWrap/>
            <w:hideMark/>
          </w:tcPr>
          <w:p w14:paraId="0D22DE38" w14:textId="77777777" w:rsidR="00F26358" w:rsidRPr="00F26358" w:rsidRDefault="00F26358" w:rsidP="00F26358">
            <w:pPr>
              <w:pStyle w:val="Source"/>
              <w:rPr>
                <w:sz w:val="2"/>
                <w:szCs w:val="2"/>
              </w:rPr>
            </w:pPr>
          </w:p>
        </w:tc>
      </w:tr>
      <w:tr w:rsidR="00F26358" w:rsidRPr="00F26358" w14:paraId="5B3FAEF9" w14:textId="77777777" w:rsidTr="00F26358">
        <w:trPr>
          <w:trHeight w:val="300"/>
          <w:jc w:val="center"/>
        </w:trPr>
        <w:tc>
          <w:tcPr>
            <w:tcW w:w="1985" w:type="dxa"/>
            <w:noWrap/>
            <w:hideMark/>
          </w:tcPr>
          <w:p w14:paraId="4352354A" w14:textId="77777777" w:rsidR="00F26358" w:rsidRPr="00F26358" w:rsidRDefault="00F26358" w:rsidP="00F26358">
            <w:pPr>
              <w:pStyle w:val="Source"/>
              <w:rPr>
                <w:sz w:val="2"/>
                <w:szCs w:val="2"/>
              </w:rPr>
            </w:pPr>
          </w:p>
        </w:tc>
        <w:tc>
          <w:tcPr>
            <w:tcW w:w="2341" w:type="dxa"/>
            <w:noWrap/>
            <w:hideMark/>
          </w:tcPr>
          <w:p w14:paraId="43D32EBA" w14:textId="77777777" w:rsidR="00F26358" w:rsidRPr="00F26358" w:rsidRDefault="00F26358" w:rsidP="00F26358">
            <w:pPr>
              <w:pStyle w:val="Source"/>
              <w:rPr>
                <w:sz w:val="2"/>
                <w:szCs w:val="2"/>
              </w:rPr>
            </w:pPr>
            <w:r w:rsidRPr="00F26358">
              <w:rPr>
                <w:sz w:val="2"/>
                <w:szCs w:val="2"/>
              </w:rPr>
              <w:t>Director</w:t>
            </w:r>
          </w:p>
        </w:tc>
        <w:tc>
          <w:tcPr>
            <w:tcW w:w="1314" w:type="dxa"/>
            <w:noWrap/>
            <w:hideMark/>
          </w:tcPr>
          <w:p w14:paraId="17B45D0E" w14:textId="77777777" w:rsidR="00F26358" w:rsidRPr="00F26358" w:rsidRDefault="00F26358" w:rsidP="00F26358">
            <w:pPr>
              <w:pStyle w:val="Source"/>
              <w:rPr>
                <w:sz w:val="2"/>
                <w:szCs w:val="2"/>
              </w:rPr>
            </w:pPr>
            <w:r w:rsidRPr="00F26358">
              <w:rPr>
                <w:sz w:val="2"/>
                <w:szCs w:val="2"/>
              </w:rPr>
              <w:t>8%</w:t>
            </w:r>
          </w:p>
        </w:tc>
        <w:tc>
          <w:tcPr>
            <w:tcW w:w="1381" w:type="dxa"/>
            <w:noWrap/>
            <w:hideMark/>
          </w:tcPr>
          <w:p w14:paraId="7D62A07F" w14:textId="77777777" w:rsidR="00F26358" w:rsidRPr="00F26358" w:rsidRDefault="00F26358" w:rsidP="00F26358">
            <w:pPr>
              <w:pStyle w:val="Source"/>
              <w:rPr>
                <w:sz w:val="2"/>
                <w:szCs w:val="2"/>
              </w:rPr>
            </w:pPr>
          </w:p>
        </w:tc>
        <w:tc>
          <w:tcPr>
            <w:tcW w:w="1059" w:type="dxa"/>
            <w:noWrap/>
            <w:hideMark/>
          </w:tcPr>
          <w:p w14:paraId="4BB4341A" w14:textId="77777777" w:rsidR="00F26358" w:rsidRPr="00F26358" w:rsidRDefault="00F26358" w:rsidP="00F26358">
            <w:pPr>
              <w:pStyle w:val="Source"/>
              <w:rPr>
                <w:sz w:val="2"/>
                <w:szCs w:val="2"/>
              </w:rPr>
            </w:pPr>
          </w:p>
        </w:tc>
      </w:tr>
      <w:tr w:rsidR="00F26358" w:rsidRPr="00F26358" w14:paraId="4B476278" w14:textId="77777777" w:rsidTr="00F26358">
        <w:trPr>
          <w:trHeight w:val="300"/>
          <w:jc w:val="center"/>
        </w:trPr>
        <w:tc>
          <w:tcPr>
            <w:tcW w:w="1985" w:type="dxa"/>
            <w:noWrap/>
            <w:hideMark/>
          </w:tcPr>
          <w:p w14:paraId="35286504" w14:textId="77777777" w:rsidR="00F26358" w:rsidRPr="00F26358" w:rsidRDefault="00F26358" w:rsidP="00F26358">
            <w:pPr>
              <w:pStyle w:val="Source"/>
              <w:rPr>
                <w:sz w:val="2"/>
                <w:szCs w:val="2"/>
              </w:rPr>
            </w:pPr>
          </w:p>
        </w:tc>
        <w:tc>
          <w:tcPr>
            <w:tcW w:w="2341" w:type="dxa"/>
            <w:noWrap/>
            <w:hideMark/>
          </w:tcPr>
          <w:p w14:paraId="69B82D22" w14:textId="77777777" w:rsidR="00F26358" w:rsidRPr="00F26358" w:rsidRDefault="00F26358" w:rsidP="00F26358">
            <w:pPr>
              <w:pStyle w:val="Source"/>
              <w:rPr>
                <w:sz w:val="2"/>
                <w:szCs w:val="2"/>
              </w:rPr>
            </w:pPr>
            <w:r w:rsidRPr="00F26358">
              <w:rPr>
                <w:sz w:val="2"/>
                <w:szCs w:val="2"/>
              </w:rPr>
              <w:t>Early Childhood Teacher</w:t>
            </w:r>
          </w:p>
        </w:tc>
        <w:tc>
          <w:tcPr>
            <w:tcW w:w="1314" w:type="dxa"/>
            <w:noWrap/>
            <w:hideMark/>
          </w:tcPr>
          <w:p w14:paraId="59A853A8" w14:textId="77777777" w:rsidR="00F26358" w:rsidRPr="00F26358" w:rsidRDefault="00F26358" w:rsidP="00F26358">
            <w:pPr>
              <w:pStyle w:val="Source"/>
              <w:rPr>
                <w:sz w:val="2"/>
                <w:szCs w:val="2"/>
              </w:rPr>
            </w:pPr>
            <w:r w:rsidRPr="00F26358">
              <w:rPr>
                <w:sz w:val="2"/>
                <w:szCs w:val="2"/>
              </w:rPr>
              <w:t>9%</w:t>
            </w:r>
          </w:p>
        </w:tc>
        <w:tc>
          <w:tcPr>
            <w:tcW w:w="1381" w:type="dxa"/>
            <w:noWrap/>
            <w:hideMark/>
          </w:tcPr>
          <w:p w14:paraId="299E39DC" w14:textId="77777777" w:rsidR="00F26358" w:rsidRPr="00F26358" w:rsidRDefault="00F26358" w:rsidP="00F26358">
            <w:pPr>
              <w:pStyle w:val="Source"/>
              <w:rPr>
                <w:sz w:val="2"/>
                <w:szCs w:val="2"/>
              </w:rPr>
            </w:pPr>
          </w:p>
        </w:tc>
        <w:tc>
          <w:tcPr>
            <w:tcW w:w="1059" w:type="dxa"/>
            <w:noWrap/>
            <w:hideMark/>
          </w:tcPr>
          <w:p w14:paraId="361E80FE" w14:textId="77777777" w:rsidR="00F26358" w:rsidRPr="00F26358" w:rsidRDefault="00F26358" w:rsidP="00F26358">
            <w:pPr>
              <w:pStyle w:val="Source"/>
              <w:rPr>
                <w:sz w:val="2"/>
                <w:szCs w:val="2"/>
              </w:rPr>
            </w:pPr>
          </w:p>
        </w:tc>
      </w:tr>
      <w:tr w:rsidR="00F26358" w:rsidRPr="00F26358" w14:paraId="1B5D391B" w14:textId="77777777" w:rsidTr="00F26358">
        <w:trPr>
          <w:trHeight w:val="300"/>
          <w:jc w:val="center"/>
        </w:trPr>
        <w:tc>
          <w:tcPr>
            <w:tcW w:w="1985" w:type="dxa"/>
            <w:noWrap/>
            <w:hideMark/>
          </w:tcPr>
          <w:p w14:paraId="0C997967" w14:textId="77777777" w:rsidR="00F26358" w:rsidRPr="00F26358" w:rsidRDefault="00F26358" w:rsidP="00F26358">
            <w:pPr>
              <w:pStyle w:val="Source"/>
              <w:rPr>
                <w:sz w:val="2"/>
                <w:szCs w:val="2"/>
              </w:rPr>
            </w:pPr>
          </w:p>
        </w:tc>
        <w:tc>
          <w:tcPr>
            <w:tcW w:w="2341" w:type="dxa"/>
            <w:noWrap/>
            <w:hideMark/>
          </w:tcPr>
          <w:p w14:paraId="76D315CB" w14:textId="77777777" w:rsidR="00F26358" w:rsidRPr="00F26358" w:rsidRDefault="00F26358" w:rsidP="00F26358">
            <w:pPr>
              <w:pStyle w:val="Source"/>
              <w:rPr>
                <w:sz w:val="2"/>
                <w:szCs w:val="2"/>
              </w:rPr>
            </w:pPr>
            <w:r w:rsidRPr="00F26358">
              <w:rPr>
                <w:sz w:val="2"/>
                <w:szCs w:val="2"/>
              </w:rPr>
              <w:t>Group leader</w:t>
            </w:r>
          </w:p>
        </w:tc>
        <w:tc>
          <w:tcPr>
            <w:tcW w:w="1314" w:type="dxa"/>
            <w:noWrap/>
            <w:hideMark/>
          </w:tcPr>
          <w:p w14:paraId="1AF8017D" w14:textId="77777777" w:rsidR="00F26358" w:rsidRPr="00F26358" w:rsidRDefault="00F26358" w:rsidP="00F26358">
            <w:pPr>
              <w:pStyle w:val="Source"/>
              <w:rPr>
                <w:sz w:val="2"/>
                <w:szCs w:val="2"/>
              </w:rPr>
            </w:pPr>
            <w:r w:rsidRPr="00F26358">
              <w:rPr>
                <w:sz w:val="2"/>
                <w:szCs w:val="2"/>
              </w:rPr>
              <w:t>22%</w:t>
            </w:r>
          </w:p>
        </w:tc>
        <w:tc>
          <w:tcPr>
            <w:tcW w:w="1381" w:type="dxa"/>
            <w:noWrap/>
            <w:hideMark/>
          </w:tcPr>
          <w:p w14:paraId="375DCBE3" w14:textId="77777777" w:rsidR="00F26358" w:rsidRPr="00F26358" w:rsidRDefault="00F26358" w:rsidP="00F26358">
            <w:pPr>
              <w:pStyle w:val="Source"/>
              <w:rPr>
                <w:sz w:val="2"/>
                <w:szCs w:val="2"/>
              </w:rPr>
            </w:pPr>
            <w:r w:rsidRPr="00F26358">
              <w:rPr>
                <w:sz w:val="2"/>
                <w:szCs w:val="2"/>
              </w:rPr>
              <w:t>21%</w:t>
            </w:r>
          </w:p>
        </w:tc>
        <w:tc>
          <w:tcPr>
            <w:tcW w:w="1059" w:type="dxa"/>
            <w:noWrap/>
            <w:hideMark/>
          </w:tcPr>
          <w:p w14:paraId="24639524" w14:textId="77777777" w:rsidR="00F26358" w:rsidRPr="00F26358" w:rsidRDefault="00F26358" w:rsidP="00F26358">
            <w:pPr>
              <w:pStyle w:val="Source"/>
              <w:rPr>
                <w:sz w:val="2"/>
                <w:szCs w:val="2"/>
              </w:rPr>
            </w:pPr>
            <w:r w:rsidRPr="00F26358">
              <w:rPr>
                <w:sz w:val="2"/>
                <w:szCs w:val="2"/>
              </w:rPr>
              <w:t>21%</w:t>
            </w:r>
          </w:p>
        </w:tc>
      </w:tr>
      <w:tr w:rsidR="00F26358" w:rsidRPr="00F26358" w14:paraId="42FA8630" w14:textId="77777777" w:rsidTr="00F26358">
        <w:trPr>
          <w:trHeight w:val="300"/>
          <w:jc w:val="center"/>
        </w:trPr>
        <w:tc>
          <w:tcPr>
            <w:tcW w:w="1985" w:type="dxa"/>
            <w:noWrap/>
            <w:hideMark/>
          </w:tcPr>
          <w:p w14:paraId="62648F08" w14:textId="77777777" w:rsidR="00F26358" w:rsidRPr="00F26358" w:rsidRDefault="00F26358" w:rsidP="00F26358">
            <w:pPr>
              <w:pStyle w:val="Source"/>
              <w:rPr>
                <w:sz w:val="2"/>
                <w:szCs w:val="2"/>
              </w:rPr>
            </w:pPr>
          </w:p>
        </w:tc>
        <w:tc>
          <w:tcPr>
            <w:tcW w:w="2341" w:type="dxa"/>
            <w:noWrap/>
            <w:hideMark/>
          </w:tcPr>
          <w:p w14:paraId="46D01806" w14:textId="77777777" w:rsidR="00F26358" w:rsidRPr="00F26358" w:rsidRDefault="00F26358" w:rsidP="00F26358">
            <w:pPr>
              <w:pStyle w:val="Source"/>
              <w:rPr>
                <w:sz w:val="2"/>
                <w:szCs w:val="2"/>
              </w:rPr>
            </w:pPr>
            <w:r w:rsidRPr="00F26358">
              <w:rPr>
                <w:sz w:val="2"/>
                <w:szCs w:val="2"/>
              </w:rPr>
              <w:t>Educator</w:t>
            </w:r>
          </w:p>
        </w:tc>
        <w:tc>
          <w:tcPr>
            <w:tcW w:w="1314" w:type="dxa"/>
            <w:noWrap/>
            <w:hideMark/>
          </w:tcPr>
          <w:p w14:paraId="38366A28" w14:textId="77777777" w:rsidR="00F26358" w:rsidRPr="00F26358" w:rsidRDefault="00F26358" w:rsidP="00F26358">
            <w:pPr>
              <w:pStyle w:val="Source"/>
              <w:rPr>
                <w:sz w:val="2"/>
                <w:szCs w:val="2"/>
              </w:rPr>
            </w:pPr>
            <w:r w:rsidRPr="00F26358">
              <w:rPr>
                <w:sz w:val="2"/>
                <w:szCs w:val="2"/>
              </w:rPr>
              <w:t>55%</w:t>
            </w:r>
          </w:p>
        </w:tc>
        <w:tc>
          <w:tcPr>
            <w:tcW w:w="1381" w:type="dxa"/>
            <w:noWrap/>
            <w:hideMark/>
          </w:tcPr>
          <w:p w14:paraId="1A93616B" w14:textId="77777777" w:rsidR="00F26358" w:rsidRPr="00F26358" w:rsidRDefault="00F26358" w:rsidP="00F26358">
            <w:pPr>
              <w:pStyle w:val="Source"/>
              <w:rPr>
                <w:sz w:val="2"/>
                <w:szCs w:val="2"/>
              </w:rPr>
            </w:pPr>
            <w:r w:rsidRPr="00F26358">
              <w:rPr>
                <w:sz w:val="2"/>
                <w:szCs w:val="2"/>
              </w:rPr>
              <w:t>55%</w:t>
            </w:r>
          </w:p>
        </w:tc>
        <w:tc>
          <w:tcPr>
            <w:tcW w:w="1059" w:type="dxa"/>
            <w:noWrap/>
            <w:hideMark/>
          </w:tcPr>
          <w:p w14:paraId="230CF407" w14:textId="77777777" w:rsidR="00F26358" w:rsidRPr="00F26358" w:rsidRDefault="00F26358" w:rsidP="00F26358">
            <w:pPr>
              <w:pStyle w:val="Source"/>
              <w:rPr>
                <w:sz w:val="2"/>
                <w:szCs w:val="2"/>
              </w:rPr>
            </w:pPr>
            <w:r w:rsidRPr="00F26358">
              <w:rPr>
                <w:sz w:val="2"/>
                <w:szCs w:val="2"/>
              </w:rPr>
              <w:t>52%</w:t>
            </w:r>
          </w:p>
        </w:tc>
      </w:tr>
      <w:tr w:rsidR="00F26358" w:rsidRPr="00F26358" w14:paraId="571A232A" w14:textId="77777777" w:rsidTr="00F26358">
        <w:trPr>
          <w:trHeight w:val="300"/>
          <w:jc w:val="center"/>
        </w:trPr>
        <w:tc>
          <w:tcPr>
            <w:tcW w:w="1985" w:type="dxa"/>
            <w:hideMark/>
          </w:tcPr>
          <w:p w14:paraId="1FFAAA85" w14:textId="77777777" w:rsidR="00F26358" w:rsidRPr="00F26358" w:rsidRDefault="00F26358" w:rsidP="00F26358">
            <w:pPr>
              <w:pStyle w:val="Source"/>
              <w:rPr>
                <w:sz w:val="2"/>
                <w:szCs w:val="2"/>
              </w:rPr>
            </w:pPr>
          </w:p>
        </w:tc>
        <w:tc>
          <w:tcPr>
            <w:tcW w:w="2341" w:type="dxa"/>
            <w:hideMark/>
          </w:tcPr>
          <w:p w14:paraId="6E6C63F1" w14:textId="77777777" w:rsidR="00F26358" w:rsidRPr="00F26358" w:rsidRDefault="00F26358" w:rsidP="00F26358">
            <w:pPr>
              <w:pStyle w:val="Source"/>
              <w:rPr>
                <w:sz w:val="2"/>
                <w:szCs w:val="2"/>
              </w:rPr>
            </w:pPr>
          </w:p>
        </w:tc>
        <w:tc>
          <w:tcPr>
            <w:tcW w:w="1314" w:type="dxa"/>
            <w:noWrap/>
            <w:hideMark/>
          </w:tcPr>
          <w:p w14:paraId="4F42F429" w14:textId="77777777" w:rsidR="00F26358" w:rsidRPr="00F26358" w:rsidRDefault="00F26358" w:rsidP="00F26358">
            <w:pPr>
              <w:pStyle w:val="Source"/>
              <w:rPr>
                <w:b/>
                <w:bCs/>
                <w:sz w:val="2"/>
                <w:szCs w:val="2"/>
              </w:rPr>
            </w:pPr>
            <w:r w:rsidRPr="00F26358">
              <w:rPr>
                <w:b/>
                <w:bCs/>
                <w:sz w:val="2"/>
                <w:szCs w:val="2"/>
              </w:rPr>
              <w:t>Major Cities</w:t>
            </w:r>
          </w:p>
        </w:tc>
        <w:tc>
          <w:tcPr>
            <w:tcW w:w="1381" w:type="dxa"/>
            <w:noWrap/>
            <w:hideMark/>
          </w:tcPr>
          <w:p w14:paraId="569D9A0A" w14:textId="77777777" w:rsidR="00F26358" w:rsidRPr="00F26358" w:rsidRDefault="00F26358" w:rsidP="00F26358">
            <w:pPr>
              <w:pStyle w:val="Source"/>
              <w:rPr>
                <w:b/>
                <w:bCs/>
                <w:sz w:val="2"/>
                <w:szCs w:val="2"/>
              </w:rPr>
            </w:pPr>
            <w:r w:rsidRPr="00F26358">
              <w:rPr>
                <w:b/>
                <w:bCs/>
                <w:sz w:val="2"/>
                <w:szCs w:val="2"/>
              </w:rPr>
              <w:t>Regional</w:t>
            </w:r>
          </w:p>
        </w:tc>
        <w:tc>
          <w:tcPr>
            <w:tcW w:w="1059" w:type="dxa"/>
            <w:noWrap/>
            <w:hideMark/>
          </w:tcPr>
          <w:p w14:paraId="772B66F8" w14:textId="77777777" w:rsidR="00F26358" w:rsidRPr="00F26358" w:rsidRDefault="00F26358" w:rsidP="00F26358">
            <w:pPr>
              <w:pStyle w:val="Source"/>
              <w:rPr>
                <w:b/>
                <w:bCs/>
                <w:sz w:val="2"/>
                <w:szCs w:val="2"/>
              </w:rPr>
            </w:pPr>
            <w:r w:rsidRPr="00F26358">
              <w:rPr>
                <w:b/>
                <w:bCs/>
                <w:sz w:val="2"/>
                <w:szCs w:val="2"/>
              </w:rPr>
              <w:t>Remote</w:t>
            </w:r>
          </w:p>
        </w:tc>
      </w:tr>
      <w:tr w:rsidR="00F26358" w:rsidRPr="00F26358" w14:paraId="7E26DF03" w14:textId="77777777" w:rsidTr="00F26358">
        <w:trPr>
          <w:trHeight w:val="300"/>
          <w:jc w:val="center"/>
        </w:trPr>
        <w:tc>
          <w:tcPr>
            <w:tcW w:w="1985" w:type="dxa"/>
            <w:noWrap/>
            <w:hideMark/>
          </w:tcPr>
          <w:p w14:paraId="20C3F1D4" w14:textId="77777777" w:rsidR="00F26358" w:rsidRPr="00F26358" w:rsidRDefault="00F26358" w:rsidP="00F26358">
            <w:pPr>
              <w:pStyle w:val="Source"/>
              <w:rPr>
                <w:b/>
                <w:bCs/>
                <w:sz w:val="2"/>
                <w:szCs w:val="2"/>
              </w:rPr>
            </w:pPr>
            <w:r w:rsidRPr="00F26358">
              <w:rPr>
                <w:b/>
                <w:bCs/>
                <w:sz w:val="2"/>
                <w:szCs w:val="2"/>
              </w:rPr>
              <w:t>Out of School Hours Care</w:t>
            </w:r>
          </w:p>
        </w:tc>
        <w:tc>
          <w:tcPr>
            <w:tcW w:w="2341" w:type="dxa"/>
            <w:noWrap/>
            <w:hideMark/>
          </w:tcPr>
          <w:p w14:paraId="18211741" w14:textId="77777777" w:rsidR="00F26358" w:rsidRPr="00F26358" w:rsidRDefault="00F26358" w:rsidP="00F26358">
            <w:pPr>
              <w:pStyle w:val="Source"/>
              <w:rPr>
                <w:i/>
                <w:iCs/>
                <w:sz w:val="2"/>
                <w:szCs w:val="2"/>
              </w:rPr>
            </w:pPr>
            <w:r w:rsidRPr="00F26358">
              <w:rPr>
                <w:i/>
                <w:iCs/>
                <w:sz w:val="2"/>
                <w:szCs w:val="2"/>
              </w:rPr>
              <w:t>Staff per child</w:t>
            </w:r>
          </w:p>
        </w:tc>
        <w:tc>
          <w:tcPr>
            <w:tcW w:w="1314" w:type="dxa"/>
            <w:noWrap/>
            <w:hideMark/>
          </w:tcPr>
          <w:p w14:paraId="4885C5CB" w14:textId="77777777" w:rsidR="00F26358" w:rsidRPr="00F26358" w:rsidRDefault="00F26358" w:rsidP="00F26358">
            <w:pPr>
              <w:pStyle w:val="Source"/>
              <w:rPr>
                <w:i/>
                <w:iCs/>
                <w:sz w:val="2"/>
                <w:szCs w:val="2"/>
              </w:rPr>
            </w:pPr>
            <w:r w:rsidRPr="00F26358">
              <w:rPr>
                <w:i/>
                <w:iCs/>
                <w:sz w:val="2"/>
                <w:szCs w:val="2"/>
              </w:rPr>
              <w:t>0.15</w:t>
            </w:r>
          </w:p>
        </w:tc>
        <w:tc>
          <w:tcPr>
            <w:tcW w:w="1381" w:type="dxa"/>
            <w:noWrap/>
            <w:hideMark/>
          </w:tcPr>
          <w:p w14:paraId="4F01EAE4" w14:textId="77777777" w:rsidR="00F26358" w:rsidRPr="00F26358" w:rsidRDefault="00F26358" w:rsidP="00F26358">
            <w:pPr>
              <w:pStyle w:val="Source"/>
              <w:rPr>
                <w:i/>
                <w:iCs/>
                <w:sz w:val="2"/>
                <w:szCs w:val="2"/>
              </w:rPr>
            </w:pPr>
            <w:r w:rsidRPr="00F26358">
              <w:rPr>
                <w:i/>
                <w:iCs/>
                <w:sz w:val="2"/>
                <w:szCs w:val="2"/>
              </w:rPr>
              <w:t>0.17</w:t>
            </w:r>
          </w:p>
        </w:tc>
        <w:tc>
          <w:tcPr>
            <w:tcW w:w="1059" w:type="dxa"/>
            <w:noWrap/>
            <w:hideMark/>
          </w:tcPr>
          <w:p w14:paraId="179D071F" w14:textId="77777777" w:rsidR="00F26358" w:rsidRPr="00F26358" w:rsidRDefault="00F26358" w:rsidP="00F26358">
            <w:pPr>
              <w:pStyle w:val="Source"/>
              <w:rPr>
                <w:i/>
                <w:iCs/>
                <w:sz w:val="2"/>
                <w:szCs w:val="2"/>
              </w:rPr>
            </w:pPr>
            <w:r w:rsidRPr="00F26358">
              <w:rPr>
                <w:i/>
                <w:iCs/>
                <w:sz w:val="2"/>
                <w:szCs w:val="2"/>
              </w:rPr>
              <w:t>0.17</w:t>
            </w:r>
          </w:p>
        </w:tc>
      </w:tr>
      <w:tr w:rsidR="00F26358" w:rsidRPr="00F26358" w14:paraId="40624336" w14:textId="77777777" w:rsidTr="00F26358">
        <w:trPr>
          <w:trHeight w:val="300"/>
          <w:jc w:val="center"/>
        </w:trPr>
        <w:tc>
          <w:tcPr>
            <w:tcW w:w="1985" w:type="dxa"/>
            <w:noWrap/>
            <w:hideMark/>
          </w:tcPr>
          <w:p w14:paraId="3446837B" w14:textId="77777777" w:rsidR="00F26358" w:rsidRPr="00F26358" w:rsidRDefault="00F26358" w:rsidP="00F26358">
            <w:pPr>
              <w:pStyle w:val="Source"/>
              <w:rPr>
                <w:i/>
                <w:iCs/>
                <w:sz w:val="2"/>
                <w:szCs w:val="2"/>
              </w:rPr>
            </w:pPr>
          </w:p>
        </w:tc>
        <w:tc>
          <w:tcPr>
            <w:tcW w:w="2341" w:type="dxa"/>
            <w:noWrap/>
            <w:hideMark/>
          </w:tcPr>
          <w:p w14:paraId="102ED63C" w14:textId="77777777" w:rsidR="00F26358" w:rsidRPr="00F26358" w:rsidRDefault="00F26358" w:rsidP="00F26358">
            <w:pPr>
              <w:pStyle w:val="Source"/>
              <w:rPr>
                <w:sz w:val="2"/>
                <w:szCs w:val="2"/>
              </w:rPr>
            </w:pPr>
            <w:r w:rsidRPr="00F26358">
              <w:rPr>
                <w:sz w:val="2"/>
                <w:szCs w:val="2"/>
              </w:rPr>
              <w:t>Non-contact</w:t>
            </w:r>
          </w:p>
        </w:tc>
        <w:tc>
          <w:tcPr>
            <w:tcW w:w="1314" w:type="dxa"/>
            <w:noWrap/>
            <w:hideMark/>
          </w:tcPr>
          <w:p w14:paraId="6FDD7963" w14:textId="77777777" w:rsidR="00F26358" w:rsidRPr="00F26358" w:rsidRDefault="00F26358" w:rsidP="00F26358">
            <w:pPr>
              <w:pStyle w:val="Source"/>
              <w:rPr>
                <w:sz w:val="2"/>
                <w:szCs w:val="2"/>
              </w:rPr>
            </w:pPr>
            <w:r w:rsidRPr="00F26358">
              <w:rPr>
                <w:sz w:val="2"/>
                <w:szCs w:val="2"/>
              </w:rPr>
              <w:t>5%</w:t>
            </w:r>
          </w:p>
        </w:tc>
        <w:tc>
          <w:tcPr>
            <w:tcW w:w="1381" w:type="dxa"/>
            <w:noWrap/>
            <w:hideMark/>
          </w:tcPr>
          <w:p w14:paraId="1E86B0A5" w14:textId="77777777" w:rsidR="00F26358" w:rsidRPr="00F26358" w:rsidRDefault="00F26358" w:rsidP="00F26358">
            <w:pPr>
              <w:pStyle w:val="Source"/>
              <w:rPr>
                <w:sz w:val="2"/>
                <w:szCs w:val="2"/>
              </w:rPr>
            </w:pPr>
          </w:p>
        </w:tc>
        <w:tc>
          <w:tcPr>
            <w:tcW w:w="1059" w:type="dxa"/>
            <w:noWrap/>
            <w:hideMark/>
          </w:tcPr>
          <w:p w14:paraId="30337027" w14:textId="77777777" w:rsidR="00F26358" w:rsidRPr="00F26358" w:rsidRDefault="00F26358" w:rsidP="00F26358">
            <w:pPr>
              <w:pStyle w:val="Source"/>
              <w:rPr>
                <w:sz w:val="2"/>
                <w:szCs w:val="2"/>
              </w:rPr>
            </w:pPr>
          </w:p>
        </w:tc>
      </w:tr>
      <w:tr w:rsidR="00F26358" w:rsidRPr="00F26358" w14:paraId="4DC9BAF5" w14:textId="77777777" w:rsidTr="00F26358">
        <w:trPr>
          <w:trHeight w:val="300"/>
          <w:jc w:val="center"/>
        </w:trPr>
        <w:tc>
          <w:tcPr>
            <w:tcW w:w="1985" w:type="dxa"/>
            <w:noWrap/>
            <w:hideMark/>
          </w:tcPr>
          <w:p w14:paraId="14B94D8E" w14:textId="77777777" w:rsidR="00F26358" w:rsidRPr="00F26358" w:rsidRDefault="00F26358" w:rsidP="00F26358">
            <w:pPr>
              <w:pStyle w:val="Source"/>
              <w:rPr>
                <w:sz w:val="2"/>
                <w:szCs w:val="2"/>
              </w:rPr>
            </w:pPr>
          </w:p>
        </w:tc>
        <w:tc>
          <w:tcPr>
            <w:tcW w:w="2341" w:type="dxa"/>
            <w:noWrap/>
            <w:hideMark/>
          </w:tcPr>
          <w:p w14:paraId="23E0F962" w14:textId="77777777" w:rsidR="00F26358" w:rsidRPr="00F26358" w:rsidRDefault="00F26358" w:rsidP="00F26358">
            <w:pPr>
              <w:pStyle w:val="Source"/>
              <w:rPr>
                <w:sz w:val="2"/>
                <w:szCs w:val="2"/>
              </w:rPr>
            </w:pPr>
            <w:r w:rsidRPr="00F26358">
              <w:rPr>
                <w:sz w:val="2"/>
                <w:szCs w:val="2"/>
              </w:rPr>
              <w:t>Director</w:t>
            </w:r>
          </w:p>
        </w:tc>
        <w:tc>
          <w:tcPr>
            <w:tcW w:w="1314" w:type="dxa"/>
            <w:noWrap/>
            <w:hideMark/>
          </w:tcPr>
          <w:p w14:paraId="08CBF24E" w14:textId="77777777" w:rsidR="00F26358" w:rsidRPr="00F26358" w:rsidRDefault="00F26358" w:rsidP="00F26358">
            <w:pPr>
              <w:pStyle w:val="Source"/>
              <w:rPr>
                <w:sz w:val="2"/>
                <w:szCs w:val="2"/>
              </w:rPr>
            </w:pPr>
            <w:r w:rsidRPr="00F26358">
              <w:rPr>
                <w:sz w:val="2"/>
                <w:szCs w:val="2"/>
              </w:rPr>
              <w:t>17%</w:t>
            </w:r>
          </w:p>
        </w:tc>
        <w:tc>
          <w:tcPr>
            <w:tcW w:w="1381" w:type="dxa"/>
            <w:noWrap/>
            <w:hideMark/>
          </w:tcPr>
          <w:p w14:paraId="131B5BAD" w14:textId="77777777" w:rsidR="00F26358" w:rsidRPr="00F26358" w:rsidRDefault="00F26358" w:rsidP="00F26358">
            <w:pPr>
              <w:pStyle w:val="Source"/>
              <w:rPr>
                <w:sz w:val="2"/>
                <w:szCs w:val="2"/>
              </w:rPr>
            </w:pPr>
          </w:p>
        </w:tc>
        <w:tc>
          <w:tcPr>
            <w:tcW w:w="1059" w:type="dxa"/>
            <w:noWrap/>
            <w:hideMark/>
          </w:tcPr>
          <w:p w14:paraId="1B98BE50" w14:textId="77777777" w:rsidR="00F26358" w:rsidRPr="00F26358" w:rsidRDefault="00F26358" w:rsidP="00F26358">
            <w:pPr>
              <w:pStyle w:val="Source"/>
              <w:rPr>
                <w:sz w:val="2"/>
                <w:szCs w:val="2"/>
              </w:rPr>
            </w:pPr>
          </w:p>
        </w:tc>
      </w:tr>
      <w:tr w:rsidR="00F26358" w:rsidRPr="00F26358" w14:paraId="545044D6" w14:textId="77777777" w:rsidTr="00F26358">
        <w:trPr>
          <w:trHeight w:val="300"/>
          <w:jc w:val="center"/>
        </w:trPr>
        <w:tc>
          <w:tcPr>
            <w:tcW w:w="1985" w:type="dxa"/>
            <w:noWrap/>
            <w:hideMark/>
          </w:tcPr>
          <w:p w14:paraId="4F16362D" w14:textId="77777777" w:rsidR="00F26358" w:rsidRPr="00F26358" w:rsidRDefault="00F26358" w:rsidP="00F26358">
            <w:pPr>
              <w:pStyle w:val="Source"/>
              <w:rPr>
                <w:sz w:val="2"/>
                <w:szCs w:val="2"/>
              </w:rPr>
            </w:pPr>
          </w:p>
        </w:tc>
        <w:tc>
          <w:tcPr>
            <w:tcW w:w="2341" w:type="dxa"/>
            <w:noWrap/>
            <w:hideMark/>
          </w:tcPr>
          <w:p w14:paraId="222928C7" w14:textId="77777777" w:rsidR="00F26358" w:rsidRPr="00F26358" w:rsidRDefault="00F26358" w:rsidP="00F26358">
            <w:pPr>
              <w:pStyle w:val="Source"/>
              <w:rPr>
                <w:sz w:val="2"/>
                <w:szCs w:val="2"/>
              </w:rPr>
            </w:pPr>
            <w:r w:rsidRPr="00F26358">
              <w:rPr>
                <w:sz w:val="2"/>
                <w:szCs w:val="2"/>
              </w:rPr>
              <w:t>Early Childhood Teacher</w:t>
            </w:r>
          </w:p>
        </w:tc>
        <w:tc>
          <w:tcPr>
            <w:tcW w:w="1314" w:type="dxa"/>
            <w:noWrap/>
            <w:hideMark/>
          </w:tcPr>
          <w:p w14:paraId="200E1843" w14:textId="77777777" w:rsidR="00F26358" w:rsidRPr="00F26358" w:rsidRDefault="00F26358" w:rsidP="00F26358">
            <w:pPr>
              <w:pStyle w:val="Source"/>
              <w:rPr>
                <w:sz w:val="2"/>
                <w:szCs w:val="2"/>
              </w:rPr>
            </w:pPr>
            <w:r w:rsidRPr="00F26358">
              <w:rPr>
                <w:sz w:val="2"/>
                <w:szCs w:val="2"/>
              </w:rPr>
              <w:t>5%</w:t>
            </w:r>
          </w:p>
        </w:tc>
        <w:tc>
          <w:tcPr>
            <w:tcW w:w="1381" w:type="dxa"/>
            <w:noWrap/>
            <w:hideMark/>
          </w:tcPr>
          <w:p w14:paraId="57C57E22" w14:textId="77777777" w:rsidR="00F26358" w:rsidRPr="00F26358" w:rsidRDefault="00F26358" w:rsidP="00F26358">
            <w:pPr>
              <w:pStyle w:val="Source"/>
              <w:rPr>
                <w:sz w:val="2"/>
                <w:szCs w:val="2"/>
              </w:rPr>
            </w:pPr>
          </w:p>
        </w:tc>
        <w:tc>
          <w:tcPr>
            <w:tcW w:w="1059" w:type="dxa"/>
            <w:noWrap/>
            <w:hideMark/>
          </w:tcPr>
          <w:p w14:paraId="4E84B63E" w14:textId="77777777" w:rsidR="00F26358" w:rsidRPr="00F26358" w:rsidRDefault="00F26358" w:rsidP="00F26358">
            <w:pPr>
              <w:pStyle w:val="Source"/>
              <w:rPr>
                <w:sz w:val="2"/>
                <w:szCs w:val="2"/>
              </w:rPr>
            </w:pPr>
          </w:p>
        </w:tc>
      </w:tr>
      <w:tr w:rsidR="00F26358" w:rsidRPr="00F26358" w14:paraId="1192D86E" w14:textId="77777777" w:rsidTr="00F26358">
        <w:trPr>
          <w:trHeight w:val="300"/>
          <w:jc w:val="center"/>
        </w:trPr>
        <w:tc>
          <w:tcPr>
            <w:tcW w:w="1985" w:type="dxa"/>
            <w:noWrap/>
            <w:hideMark/>
          </w:tcPr>
          <w:p w14:paraId="266D9731" w14:textId="77777777" w:rsidR="00F26358" w:rsidRPr="00F26358" w:rsidRDefault="00F26358" w:rsidP="00F26358">
            <w:pPr>
              <w:pStyle w:val="Source"/>
              <w:rPr>
                <w:sz w:val="2"/>
                <w:szCs w:val="2"/>
              </w:rPr>
            </w:pPr>
          </w:p>
        </w:tc>
        <w:tc>
          <w:tcPr>
            <w:tcW w:w="2341" w:type="dxa"/>
            <w:noWrap/>
            <w:hideMark/>
          </w:tcPr>
          <w:p w14:paraId="554DF749" w14:textId="77777777" w:rsidR="00F26358" w:rsidRPr="00F26358" w:rsidRDefault="00F26358" w:rsidP="00F26358">
            <w:pPr>
              <w:pStyle w:val="Source"/>
              <w:rPr>
                <w:sz w:val="2"/>
                <w:szCs w:val="2"/>
              </w:rPr>
            </w:pPr>
            <w:r w:rsidRPr="00F26358">
              <w:rPr>
                <w:sz w:val="2"/>
                <w:szCs w:val="2"/>
              </w:rPr>
              <w:t>Group leader</w:t>
            </w:r>
          </w:p>
        </w:tc>
        <w:tc>
          <w:tcPr>
            <w:tcW w:w="1314" w:type="dxa"/>
            <w:noWrap/>
            <w:hideMark/>
          </w:tcPr>
          <w:p w14:paraId="2B14861C" w14:textId="77777777" w:rsidR="00F26358" w:rsidRPr="00F26358" w:rsidRDefault="00F26358" w:rsidP="00F26358">
            <w:pPr>
              <w:pStyle w:val="Source"/>
              <w:rPr>
                <w:sz w:val="2"/>
                <w:szCs w:val="2"/>
              </w:rPr>
            </w:pPr>
            <w:r w:rsidRPr="00F26358">
              <w:rPr>
                <w:sz w:val="2"/>
                <w:szCs w:val="2"/>
              </w:rPr>
              <w:t>15%</w:t>
            </w:r>
          </w:p>
        </w:tc>
        <w:tc>
          <w:tcPr>
            <w:tcW w:w="1381" w:type="dxa"/>
            <w:noWrap/>
            <w:hideMark/>
          </w:tcPr>
          <w:p w14:paraId="4D69AACD" w14:textId="77777777" w:rsidR="00F26358" w:rsidRPr="00F26358" w:rsidRDefault="00F26358" w:rsidP="00F26358">
            <w:pPr>
              <w:pStyle w:val="Source"/>
              <w:rPr>
                <w:sz w:val="2"/>
                <w:szCs w:val="2"/>
              </w:rPr>
            </w:pPr>
          </w:p>
        </w:tc>
        <w:tc>
          <w:tcPr>
            <w:tcW w:w="1059" w:type="dxa"/>
            <w:noWrap/>
            <w:hideMark/>
          </w:tcPr>
          <w:p w14:paraId="69CA5103" w14:textId="77777777" w:rsidR="00F26358" w:rsidRPr="00F26358" w:rsidRDefault="00F26358" w:rsidP="00F26358">
            <w:pPr>
              <w:pStyle w:val="Source"/>
              <w:rPr>
                <w:sz w:val="2"/>
                <w:szCs w:val="2"/>
              </w:rPr>
            </w:pPr>
          </w:p>
        </w:tc>
      </w:tr>
      <w:tr w:rsidR="00F26358" w:rsidRPr="00F26358" w14:paraId="08E1CF19" w14:textId="77777777" w:rsidTr="00F26358">
        <w:trPr>
          <w:trHeight w:val="300"/>
          <w:jc w:val="center"/>
        </w:trPr>
        <w:tc>
          <w:tcPr>
            <w:tcW w:w="1985" w:type="dxa"/>
            <w:noWrap/>
            <w:hideMark/>
          </w:tcPr>
          <w:p w14:paraId="49859C7F" w14:textId="77777777" w:rsidR="00F26358" w:rsidRPr="00F26358" w:rsidRDefault="00F26358" w:rsidP="00F26358">
            <w:pPr>
              <w:pStyle w:val="Source"/>
              <w:rPr>
                <w:sz w:val="2"/>
                <w:szCs w:val="2"/>
              </w:rPr>
            </w:pPr>
          </w:p>
        </w:tc>
        <w:tc>
          <w:tcPr>
            <w:tcW w:w="2341" w:type="dxa"/>
            <w:noWrap/>
            <w:hideMark/>
          </w:tcPr>
          <w:p w14:paraId="25D1983E" w14:textId="77777777" w:rsidR="00F26358" w:rsidRPr="00F26358" w:rsidRDefault="00F26358" w:rsidP="00F26358">
            <w:pPr>
              <w:pStyle w:val="Source"/>
              <w:rPr>
                <w:sz w:val="2"/>
                <w:szCs w:val="2"/>
              </w:rPr>
            </w:pPr>
            <w:r w:rsidRPr="00F26358">
              <w:rPr>
                <w:sz w:val="2"/>
                <w:szCs w:val="2"/>
              </w:rPr>
              <w:t>Educator</w:t>
            </w:r>
          </w:p>
        </w:tc>
        <w:tc>
          <w:tcPr>
            <w:tcW w:w="1314" w:type="dxa"/>
            <w:noWrap/>
            <w:hideMark/>
          </w:tcPr>
          <w:p w14:paraId="74CA4FC6" w14:textId="77777777" w:rsidR="00F26358" w:rsidRPr="00F26358" w:rsidRDefault="00F26358" w:rsidP="00F26358">
            <w:pPr>
              <w:pStyle w:val="Source"/>
              <w:rPr>
                <w:sz w:val="2"/>
                <w:szCs w:val="2"/>
              </w:rPr>
            </w:pPr>
            <w:r w:rsidRPr="00F26358">
              <w:rPr>
                <w:sz w:val="2"/>
                <w:szCs w:val="2"/>
              </w:rPr>
              <w:t>59%</w:t>
            </w:r>
          </w:p>
        </w:tc>
        <w:tc>
          <w:tcPr>
            <w:tcW w:w="1381" w:type="dxa"/>
            <w:noWrap/>
            <w:hideMark/>
          </w:tcPr>
          <w:p w14:paraId="10634330" w14:textId="77777777" w:rsidR="00F26358" w:rsidRPr="00F26358" w:rsidRDefault="00F26358" w:rsidP="00F26358">
            <w:pPr>
              <w:pStyle w:val="Source"/>
              <w:rPr>
                <w:sz w:val="2"/>
                <w:szCs w:val="2"/>
              </w:rPr>
            </w:pPr>
            <w:r w:rsidRPr="00F26358">
              <w:rPr>
                <w:sz w:val="2"/>
                <w:szCs w:val="2"/>
              </w:rPr>
              <w:t>50%</w:t>
            </w:r>
          </w:p>
        </w:tc>
        <w:tc>
          <w:tcPr>
            <w:tcW w:w="1059" w:type="dxa"/>
            <w:noWrap/>
            <w:hideMark/>
          </w:tcPr>
          <w:p w14:paraId="4B153D69" w14:textId="77777777" w:rsidR="00F26358" w:rsidRPr="00F26358" w:rsidRDefault="00F26358" w:rsidP="00F26358">
            <w:pPr>
              <w:pStyle w:val="Source"/>
              <w:rPr>
                <w:sz w:val="2"/>
                <w:szCs w:val="2"/>
              </w:rPr>
            </w:pPr>
            <w:r w:rsidRPr="00F26358">
              <w:rPr>
                <w:sz w:val="2"/>
                <w:szCs w:val="2"/>
              </w:rPr>
              <w:t>4200%</w:t>
            </w:r>
          </w:p>
        </w:tc>
      </w:tr>
      <w:tr w:rsidR="00F26358" w:rsidRPr="00F26358" w14:paraId="5E8CB73B" w14:textId="77777777" w:rsidTr="00F26358">
        <w:trPr>
          <w:trHeight w:val="300"/>
          <w:jc w:val="center"/>
        </w:trPr>
        <w:tc>
          <w:tcPr>
            <w:tcW w:w="1985" w:type="dxa"/>
            <w:hideMark/>
          </w:tcPr>
          <w:p w14:paraId="59D29F6A" w14:textId="77777777" w:rsidR="00F26358" w:rsidRPr="00F26358" w:rsidRDefault="00F26358" w:rsidP="00F26358">
            <w:pPr>
              <w:pStyle w:val="Source"/>
              <w:rPr>
                <w:sz w:val="2"/>
                <w:szCs w:val="2"/>
              </w:rPr>
            </w:pPr>
          </w:p>
        </w:tc>
        <w:tc>
          <w:tcPr>
            <w:tcW w:w="2341" w:type="dxa"/>
            <w:hideMark/>
          </w:tcPr>
          <w:p w14:paraId="003A7B3B" w14:textId="77777777" w:rsidR="00F26358" w:rsidRPr="00F26358" w:rsidRDefault="00F26358" w:rsidP="00F26358">
            <w:pPr>
              <w:pStyle w:val="Source"/>
              <w:rPr>
                <w:sz w:val="2"/>
                <w:szCs w:val="2"/>
              </w:rPr>
            </w:pPr>
          </w:p>
        </w:tc>
        <w:tc>
          <w:tcPr>
            <w:tcW w:w="1314" w:type="dxa"/>
            <w:noWrap/>
            <w:hideMark/>
          </w:tcPr>
          <w:p w14:paraId="5E96321E" w14:textId="77777777" w:rsidR="00F26358" w:rsidRPr="00F26358" w:rsidRDefault="00F26358" w:rsidP="00F26358">
            <w:pPr>
              <w:pStyle w:val="Source"/>
              <w:rPr>
                <w:b/>
                <w:bCs/>
                <w:sz w:val="2"/>
                <w:szCs w:val="2"/>
              </w:rPr>
            </w:pPr>
            <w:r w:rsidRPr="00F26358">
              <w:rPr>
                <w:b/>
                <w:bCs/>
                <w:sz w:val="2"/>
                <w:szCs w:val="2"/>
              </w:rPr>
              <w:t>Major Cities</w:t>
            </w:r>
          </w:p>
        </w:tc>
        <w:tc>
          <w:tcPr>
            <w:tcW w:w="1381" w:type="dxa"/>
            <w:noWrap/>
            <w:hideMark/>
          </w:tcPr>
          <w:p w14:paraId="430D7EC5" w14:textId="77777777" w:rsidR="00F26358" w:rsidRPr="00F26358" w:rsidRDefault="00F26358" w:rsidP="00F26358">
            <w:pPr>
              <w:pStyle w:val="Source"/>
              <w:rPr>
                <w:b/>
                <w:bCs/>
                <w:sz w:val="2"/>
                <w:szCs w:val="2"/>
              </w:rPr>
            </w:pPr>
            <w:r w:rsidRPr="00F26358">
              <w:rPr>
                <w:b/>
                <w:bCs/>
                <w:sz w:val="2"/>
                <w:szCs w:val="2"/>
              </w:rPr>
              <w:t>Regional</w:t>
            </w:r>
          </w:p>
        </w:tc>
        <w:tc>
          <w:tcPr>
            <w:tcW w:w="1059" w:type="dxa"/>
            <w:noWrap/>
            <w:hideMark/>
          </w:tcPr>
          <w:p w14:paraId="77C51392" w14:textId="77777777" w:rsidR="00F26358" w:rsidRPr="00F26358" w:rsidRDefault="00F26358" w:rsidP="00F26358">
            <w:pPr>
              <w:pStyle w:val="Source"/>
              <w:rPr>
                <w:b/>
                <w:bCs/>
                <w:sz w:val="2"/>
                <w:szCs w:val="2"/>
              </w:rPr>
            </w:pPr>
            <w:r w:rsidRPr="00F26358">
              <w:rPr>
                <w:b/>
                <w:bCs/>
                <w:sz w:val="2"/>
                <w:szCs w:val="2"/>
              </w:rPr>
              <w:t>Remote</w:t>
            </w:r>
          </w:p>
        </w:tc>
      </w:tr>
      <w:tr w:rsidR="00F26358" w:rsidRPr="00F26358" w14:paraId="1714933E" w14:textId="77777777" w:rsidTr="00F26358">
        <w:trPr>
          <w:trHeight w:val="300"/>
          <w:jc w:val="center"/>
        </w:trPr>
        <w:tc>
          <w:tcPr>
            <w:tcW w:w="1985" w:type="dxa"/>
            <w:noWrap/>
            <w:hideMark/>
          </w:tcPr>
          <w:p w14:paraId="575E418D" w14:textId="77777777" w:rsidR="00F26358" w:rsidRPr="00F26358" w:rsidRDefault="00F26358" w:rsidP="00F26358">
            <w:pPr>
              <w:pStyle w:val="Source"/>
              <w:rPr>
                <w:b/>
                <w:bCs/>
                <w:sz w:val="2"/>
                <w:szCs w:val="2"/>
              </w:rPr>
            </w:pPr>
            <w:r w:rsidRPr="00F26358">
              <w:rPr>
                <w:b/>
                <w:bCs/>
                <w:sz w:val="2"/>
                <w:szCs w:val="2"/>
              </w:rPr>
              <w:t>In Home Care</w:t>
            </w:r>
          </w:p>
        </w:tc>
        <w:tc>
          <w:tcPr>
            <w:tcW w:w="2341" w:type="dxa"/>
            <w:noWrap/>
            <w:hideMark/>
          </w:tcPr>
          <w:p w14:paraId="5605A65F" w14:textId="77777777" w:rsidR="00F26358" w:rsidRPr="00F26358" w:rsidRDefault="00F26358" w:rsidP="00F26358">
            <w:pPr>
              <w:pStyle w:val="Source"/>
              <w:rPr>
                <w:i/>
                <w:iCs/>
                <w:sz w:val="2"/>
                <w:szCs w:val="2"/>
              </w:rPr>
            </w:pPr>
            <w:r w:rsidRPr="00F26358">
              <w:rPr>
                <w:i/>
                <w:iCs/>
                <w:sz w:val="2"/>
                <w:szCs w:val="2"/>
              </w:rPr>
              <w:t>Staff per child</w:t>
            </w:r>
          </w:p>
        </w:tc>
        <w:tc>
          <w:tcPr>
            <w:tcW w:w="1314" w:type="dxa"/>
            <w:noWrap/>
            <w:hideMark/>
          </w:tcPr>
          <w:p w14:paraId="31CC76C9" w14:textId="77777777" w:rsidR="00F26358" w:rsidRPr="00F26358" w:rsidRDefault="00F26358" w:rsidP="00F26358">
            <w:pPr>
              <w:pStyle w:val="Source"/>
              <w:rPr>
                <w:i/>
                <w:iCs/>
                <w:sz w:val="2"/>
                <w:szCs w:val="2"/>
              </w:rPr>
            </w:pPr>
            <w:r w:rsidRPr="00F26358">
              <w:rPr>
                <w:i/>
                <w:iCs/>
                <w:sz w:val="2"/>
                <w:szCs w:val="2"/>
              </w:rPr>
              <w:t>0.53</w:t>
            </w:r>
          </w:p>
        </w:tc>
        <w:tc>
          <w:tcPr>
            <w:tcW w:w="1381" w:type="dxa"/>
            <w:noWrap/>
            <w:hideMark/>
          </w:tcPr>
          <w:p w14:paraId="0BF5C28E" w14:textId="77777777" w:rsidR="00F26358" w:rsidRPr="00F26358" w:rsidRDefault="00F26358" w:rsidP="00F26358">
            <w:pPr>
              <w:pStyle w:val="Source"/>
              <w:rPr>
                <w:i/>
                <w:iCs/>
                <w:sz w:val="2"/>
                <w:szCs w:val="2"/>
              </w:rPr>
            </w:pPr>
            <w:r w:rsidRPr="00F26358">
              <w:rPr>
                <w:i/>
                <w:iCs/>
                <w:sz w:val="2"/>
                <w:szCs w:val="2"/>
              </w:rPr>
              <w:t>0.39</w:t>
            </w:r>
          </w:p>
        </w:tc>
        <w:tc>
          <w:tcPr>
            <w:tcW w:w="1059" w:type="dxa"/>
            <w:noWrap/>
            <w:hideMark/>
          </w:tcPr>
          <w:p w14:paraId="6E358AA3" w14:textId="77777777" w:rsidR="00F26358" w:rsidRPr="00F26358" w:rsidRDefault="00F26358" w:rsidP="00F26358">
            <w:pPr>
              <w:pStyle w:val="Source"/>
              <w:rPr>
                <w:i/>
                <w:iCs/>
                <w:sz w:val="2"/>
                <w:szCs w:val="2"/>
              </w:rPr>
            </w:pPr>
            <w:r w:rsidRPr="00F26358">
              <w:rPr>
                <w:i/>
                <w:iCs/>
                <w:sz w:val="2"/>
                <w:szCs w:val="2"/>
              </w:rPr>
              <w:t>0.42</w:t>
            </w:r>
          </w:p>
        </w:tc>
      </w:tr>
      <w:tr w:rsidR="00F26358" w:rsidRPr="00F26358" w14:paraId="7DE1C762" w14:textId="77777777" w:rsidTr="00F26358">
        <w:trPr>
          <w:trHeight w:val="300"/>
          <w:jc w:val="center"/>
        </w:trPr>
        <w:tc>
          <w:tcPr>
            <w:tcW w:w="1985" w:type="dxa"/>
            <w:noWrap/>
            <w:hideMark/>
          </w:tcPr>
          <w:p w14:paraId="0B61671A" w14:textId="77777777" w:rsidR="00F26358" w:rsidRPr="00F26358" w:rsidRDefault="00F26358" w:rsidP="00F26358">
            <w:pPr>
              <w:pStyle w:val="Source"/>
              <w:rPr>
                <w:i/>
                <w:iCs/>
                <w:sz w:val="2"/>
                <w:szCs w:val="2"/>
              </w:rPr>
            </w:pPr>
          </w:p>
        </w:tc>
        <w:tc>
          <w:tcPr>
            <w:tcW w:w="2341" w:type="dxa"/>
            <w:noWrap/>
            <w:hideMark/>
          </w:tcPr>
          <w:p w14:paraId="32BCFF0D" w14:textId="77777777" w:rsidR="00F26358" w:rsidRPr="00F26358" w:rsidRDefault="00F26358" w:rsidP="00F26358">
            <w:pPr>
              <w:pStyle w:val="Source"/>
              <w:rPr>
                <w:sz w:val="2"/>
                <w:szCs w:val="2"/>
              </w:rPr>
            </w:pPr>
            <w:r w:rsidRPr="00F26358">
              <w:rPr>
                <w:sz w:val="2"/>
                <w:szCs w:val="2"/>
              </w:rPr>
              <w:t>Non-contact</w:t>
            </w:r>
          </w:p>
        </w:tc>
        <w:tc>
          <w:tcPr>
            <w:tcW w:w="1314" w:type="dxa"/>
            <w:noWrap/>
            <w:hideMark/>
          </w:tcPr>
          <w:p w14:paraId="17916ED1" w14:textId="77777777" w:rsidR="00F26358" w:rsidRPr="00F26358" w:rsidRDefault="00F26358" w:rsidP="00F26358">
            <w:pPr>
              <w:pStyle w:val="Source"/>
              <w:rPr>
                <w:sz w:val="2"/>
                <w:szCs w:val="2"/>
              </w:rPr>
            </w:pPr>
            <w:r w:rsidRPr="00F26358">
              <w:rPr>
                <w:sz w:val="2"/>
                <w:szCs w:val="2"/>
              </w:rPr>
              <w:t>5%</w:t>
            </w:r>
          </w:p>
        </w:tc>
        <w:tc>
          <w:tcPr>
            <w:tcW w:w="1381" w:type="dxa"/>
            <w:noWrap/>
            <w:hideMark/>
          </w:tcPr>
          <w:p w14:paraId="4154FA47" w14:textId="77777777" w:rsidR="00F26358" w:rsidRPr="00F26358" w:rsidRDefault="00F26358" w:rsidP="00F26358">
            <w:pPr>
              <w:pStyle w:val="Source"/>
              <w:rPr>
                <w:sz w:val="2"/>
                <w:szCs w:val="2"/>
              </w:rPr>
            </w:pPr>
          </w:p>
        </w:tc>
        <w:tc>
          <w:tcPr>
            <w:tcW w:w="1059" w:type="dxa"/>
            <w:noWrap/>
            <w:hideMark/>
          </w:tcPr>
          <w:p w14:paraId="74125207" w14:textId="77777777" w:rsidR="00F26358" w:rsidRPr="00F26358" w:rsidRDefault="00F26358" w:rsidP="00F26358">
            <w:pPr>
              <w:pStyle w:val="Source"/>
              <w:rPr>
                <w:sz w:val="2"/>
                <w:szCs w:val="2"/>
              </w:rPr>
            </w:pPr>
          </w:p>
        </w:tc>
      </w:tr>
      <w:tr w:rsidR="00F26358" w:rsidRPr="00F26358" w14:paraId="4266AE6B" w14:textId="77777777" w:rsidTr="00F26358">
        <w:trPr>
          <w:trHeight w:val="300"/>
          <w:jc w:val="center"/>
        </w:trPr>
        <w:tc>
          <w:tcPr>
            <w:tcW w:w="1985" w:type="dxa"/>
            <w:noWrap/>
            <w:hideMark/>
          </w:tcPr>
          <w:p w14:paraId="59AAE9B8" w14:textId="77777777" w:rsidR="00F26358" w:rsidRPr="00F26358" w:rsidRDefault="00F26358" w:rsidP="00F26358">
            <w:pPr>
              <w:pStyle w:val="Source"/>
              <w:rPr>
                <w:sz w:val="2"/>
                <w:szCs w:val="2"/>
              </w:rPr>
            </w:pPr>
          </w:p>
        </w:tc>
        <w:tc>
          <w:tcPr>
            <w:tcW w:w="2341" w:type="dxa"/>
            <w:noWrap/>
            <w:hideMark/>
          </w:tcPr>
          <w:p w14:paraId="0CD52013" w14:textId="77777777" w:rsidR="00F26358" w:rsidRPr="00F26358" w:rsidRDefault="00F26358" w:rsidP="00F26358">
            <w:pPr>
              <w:pStyle w:val="Source"/>
              <w:rPr>
                <w:sz w:val="2"/>
                <w:szCs w:val="2"/>
              </w:rPr>
            </w:pPr>
            <w:r w:rsidRPr="00F26358">
              <w:rPr>
                <w:sz w:val="2"/>
                <w:szCs w:val="2"/>
              </w:rPr>
              <w:t>Director</w:t>
            </w:r>
          </w:p>
        </w:tc>
        <w:tc>
          <w:tcPr>
            <w:tcW w:w="1314" w:type="dxa"/>
            <w:noWrap/>
            <w:hideMark/>
          </w:tcPr>
          <w:p w14:paraId="673C1F6A" w14:textId="77777777" w:rsidR="00F26358" w:rsidRPr="00F26358" w:rsidRDefault="00F26358" w:rsidP="00F26358">
            <w:pPr>
              <w:pStyle w:val="Source"/>
              <w:rPr>
                <w:sz w:val="2"/>
                <w:szCs w:val="2"/>
              </w:rPr>
            </w:pPr>
            <w:r w:rsidRPr="00F26358">
              <w:rPr>
                <w:sz w:val="2"/>
                <w:szCs w:val="2"/>
              </w:rPr>
              <w:t>5%</w:t>
            </w:r>
          </w:p>
        </w:tc>
        <w:tc>
          <w:tcPr>
            <w:tcW w:w="1381" w:type="dxa"/>
            <w:noWrap/>
            <w:hideMark/>
          </w:tcPr>
          <w:p w14:paraId="088E0D4A" w14:textId="77777777" w:rsidR="00F26358" w:rsidRPr="00F26358" w:rsidRDefault="00F26358" w:rsidP="00F26358">
            <w:pPr>
              <w:pStyle w:val="Source"/>
              <w:rPr>
                <w:sz w:val="2"/>
                <w:szCs w:val="2"/>
              </w:rPr>
            </w:pPr>
          </w:p>
        </w:tc>
        <w:tc>
          <w:tcPr>
            <w:tcW w:w="1059" w:type="dxa"/>
            <w:noWrap/>
            <w:hideMark/>
          </w:tcPr>
          <w:p w14:paraId="4CA072F3" w14:textId="77777777" w:rsidR="00F26358" w:rsidRPr="00F26358" w:rsidRDefault="00F26358" w:rsidP="00F26358">
            <w:pPr>
              <w:pStyle w:val="Source"/>
              <w:rPr>
                <w:sz w:val="2"/>
                <w:szCs w:val="2"/>
              </w:rPr>
            </w:pPr>
          </w:p>
        </w:tc>
      </w:tr>
      <w:tr w:rsidR="00F26358" w:rsidRPr="00F26358" w14:paraId="50CE23E3" w14:textId="77777777" w:rsidTr="00F26358">
        <w:trPr>
          <w:trHeight w:val="300"/>
          <w:jc w:val="center"/>
        </w:trPr>
        <w:tc>
          <w:tcPr>
            <w:tcW w:w="1985" w:type="dxa"/>
            <w:noWrap/>
            <w:hideMark/>
          </w:tcPr>
          <w:p w14:paraId="783E060D" w14:textId="77777777" w:rsidR="00F26358" w:rsidRPr="00F26358" w:rsidRDefault="00F26358" w:rsidP="00F26358">
            <w:pPr>
              <w:pStyle w:val="Source"/>
              <w:rPr>
                <w:sz w:val="2"/>
                <w:szCs w:val="2"/>
              </w:rPr>
            </w:pPr>
          </w:p>
        </w:tc>
        <w:tc>
          <w:tcPr>
            <w:tcW w:w="2341" w:type="dxa"/>
            <w:noWrap/>
            <w:hideMark/>
          </w:tcPr>
          <w:p w14:paraId="7E7B0FFD" w14:textId="77777777" w:rsidR="00F26358" w:rsidRPr="00F26358" w:rsidRDefault="00F26358" w:rsidP="00F26358">
            <w:pPr>
              <w:pStyle w:val="Source"/>
              <w:rPr>
                <w:sz w:val="2"/>
                <w:szCs w:val="2"/>
              </w:rPr>
            </w:pPr>
            <w:r w:rsidRPr="00F26358">
              <w:rPr>
                <w:sz w:val="2"/>
                <w:szCs w:val="2"/>
              </w:rPr>
              <w:t>Early Childhood Teacher</w:t>
            </w:r>
          </w:p>
        </w:tc>
        <w:tc>
          <w:tcPr>
            <w:tcW w:w="1314" w:type="dxa"/>
            <w:noWrap/>
            <w:hideMark/>
          </w:tcPr>
          <w:p w14:paraId="52215312" w14:textId="77777777" w:rsidR="00F26358" w:rsidRPr="00F26358" w:rsidRDefault="00F26358" w:rsidP="00F26358">
            <w:pPr>
              <w:pStyle w:val="Source"/>
              <w:rPr>
                <w:sz w:val="2"/>
                <w:szCs w:val="2"/>
              </w:rPr>
            </w:pPr>
            <w:r w:rsidRPr="00F26358">
              <w:rPr>
                <w:sz w:val="2"/>
                <w:szCs w:val="2"/>
              </w:rPr>
              <w:t>1%</w:t>
            </w:r>
          </w:p>
        </w:tc>
        <w:tc>
          <w:tcPr>
            <w:tcW w:w="1381" w:type="dxa"/>
            <w:noWrap/>
            <w:hideMark/>
          </w:tcPr>
          <w:p w14:paraId="637CC49C" w14:textId="77777777" w:rsidR="00F26358" w:rsidRPr="00F26358" w:rsidRDefault="00F26358" w:rsidP="00F26358">
            <w:pPr>
              <w:pStyle w:val="Source"/>
              <w:rPr>
                <w:sz w:val="2"/>
                <w:szCs w:val="2"/>
              </w:rPr>
            </w:pPr>
          </w:p>
        </w:tc>
        <w:tc>
          <w:tcPr>
            <w:tcW w:w="1059" w:type="dxa"/>
            <w:noWrap/>
            <w:hideMark/>
          </w:tcPr>
          <w:p w14:paraId="448F842A" w14:textId="77777777" w:rsidR="00F26358" w:rsidRPr="00F26358" w:rsidRDefault="00F26358" w:rsidP="00F26358">
            <w:pPr>
              <w:pStyle w:val="Source"/>
              <w:rPr>
                <w:sz w:val="2"/>
                <w:szCs w:val="2"/>
              </w:rPr>
            </w:pPr>
          </w:p>
        </w:tc>
      </w:tr>
      <w:tr w:rsidR="00F26358" w:rsidRPr="00F26358" w14:paraId="3600E1EE" w14:textId="77777777" w:rsidTr="00F26358">
        <w:trPr>
          <w:trHeight w:val="300"/>
          <w:jc w:val="center"/>
        </w:trPr>
        <w:tc>
          <w:tcPr>
            <w:tcW w:w="1985" w:type="dxa"/>
            <w:noWrap/>
            <w:hideMark/>
          </w:tcPr>
          <w:p w14:paraId="0F439322" w14:textId="77777777" w:rsidR="00F26358" w:rsidRPr="00F26358" w:rsidRDefault="00F26358" w:rsidP="00F26358">
            <w:pPr>
              <w:pStyle w:val="Source"/>
              <w:rPr>
                <w:sz w:val="2"/>
                <w:szCs w:val="2"/>
              </w:rPr>
            </w:pPr>
          </w:p>
        </w:tc>
        <w:tc>
          <w:tcPr>
            <w:tcW w:w="2341" w:type="dxa"/>
            <w:noWrap/>
            <w:hideMark/>
          </w:tcPr>
          <w:p w14:paraId="2E7046C2" w14:textId="77777777" w:rsidR="00F26358" w:rsidRPr="00F26358" w:rsidRDefault="00F26358" w:rsidP="00F26358">
            <w:pPr>
              <w:pStyle w:val="Source"/>
              <w:rPr>
                <w:sz w:val="2"/>
                <w:szCs w:val="2"/>
              </w:rPr>
            </w:pPr>
            <w:r w:rsidRPr="00F26358">
              <w:rPr>
                <w:sz w:val="2"/>
                <w:szCs w:val="2"/>
              </w:rPr>
              <w:t>Group leader</w:t>
            </w:r>
          </w:p>
        </w:tc>
        <w:tc>
          <w:tcPr>
            <w:tcW w:w="1314" w:type="dxa"/>
            <w:noWrap/>
            <w:hideMark/>
          </w:tcPr>
          <w:p w14:paraId="24575E4A" w14:textId="77777777" w:rsidR="00F26358" w:rsidRPr="00F26358" w:rsidRDefault="00F26358" w:rsidP="00F26358">
            <w:pPr>
              <w:pStyle w:val="Source"/>
              <w:rPr>
                <w:sz w:val="2"/>
                <w:szCs w:val="2"/>
              </w:rPr>
            </w:pPr>
            <w:r w:rsidRPr="00F26358">
              <w:rPr>
                <w:sz w:val="2"/>
                <w:szCs w:val="2"/>
              </w:rPr>
              <w:t>11%</w:t>
            </w:r>
          </w:p>
        </w:tc>
        <w:tc>
          <w:tcPr>
            <w:tcW w:w="1381" w:type="dxa"/>
            <w:noWrap/>
            <w:hideMark/>
          </w:tcPr>
          <w:p w14:paraId="46C9003E" w14:textId="77777777" w:rsidR="00F26358" w:rsidRPr="00F26358" w:rsidRDefault="00F26358" w:rsidP="00F26358">
            <w:pPr>
              <w:pStyle w:val="Source"/>
              <w:rPr>
                <w:sz w:val="2"/>
                <w:szCs w:val="2"/>
              </w:rPr>
            </w:pPr>
          </w:p>
        </w:tc>
        <w:tc>
          <w:tcPr>
            <w:tcW w:w="1059" w:type="dxa"/>
            <w:noWrap/>
            <w:hideMark/>
          </w:tcPr>
          <w:p w14:paraId="281B2FAE" w14:textId="77777777" w:rsidR="00F26358" w:rsidRPr="00F26358" w:rsidRDefault="00F26358" w:rsidP="00F26358">
            <w:pPr>
              <w:pStyle w:val="Source"/>
              <w:rPr>
                <w:sz w:val="2"/>
                <w:szCs w:val="2"/>
              </w:rPr>
            </w:pPr>
            <w:r w:rsidRPr="00F26358">
              <w:rPr>
                <w:sz w:val="2"/>
                <w:szCs w:val="2"/>
              </w:rPr>
              <w:t>94%</w:t>
            </w:r>
          </w:p>
        </w:tc>
      </w:tr>
      <w:tr w:rsidR="00F26358" w:rsidRPr="00F26358" w14:paraId="5E21DB6C" w14:textId="77777777" w:rsidTr="00F26358">
        <w:trPr>
          <w:trHeight w:val="300"/>
          <w:jc w:val="center"/>
        </w:trPr>
        <w:tc>
          <w:tcPr>
            <w:tcW w:w="1985" w:type="dxa"/>
            <w:noWrap/>
            <w:hideMark/>
          </w:tcPr>
          <w:p w14:paraId="5AE83862" w14:textId="77777777" w:rsidR="00F26358" w:rsidRPr="00F26358" w:rsidRDefault="00F26358" w:rsidP="00F26358">
            <w:pPr>
              <w:pStyle w:val="Source"/>
              <w:rPr>
                <w:sz w:val="2"/>
                <w:szCs w:val="2"/>
              </w:rPr>
            </w:pPr>
          </w:p>
        </w:tc>
        <w:tc>
          <w:tcPr>
            <w:tcW w:w="2341" w:type="dxa"/>
            <w:noWrap/>
            <w:hideMark/>
          </w:tcPr>
          <w:p w14:paraId="19C7E809" w14:textId="77777777" w:rsidR="00F26358" w:rsidRPr="00F26358" w:rsidRDefault="00F26358" w:rsidP="00F26358">
            <w:pPr>
              <w:pStyle w:val="Source"/>
              <w:rPr>
                <w:sz w:val="2"/>
                <w:szCs w:val="2"/>
              </w:rPr>
            </w:pPr>
            <w:r w:rsidRPr="00F26358">
              <w:rPr>
                <w:sz w:val="2"/>
                <w:szCs w:val="2"/>
              </w:rPr>
              <w:t>Educator</w:t>
            </w:r>
          </w:p>
        </w:tc>
        <w:tc>
          <w:tcPr>
            <w:tcW w:w="1314" w:type="dxa"/>
            <w:noWrap/>
            <w:hideMark/>
          </w:tcPr>
          <w:p w14:paraId="251D7258" w14:textId="77777777" w:rsidR="00F26358" w:rsidRPr="00F26358" w:rsidRDefault="00F26358" w:rsidP="00F26358">
            <w:pPr>
              <w:pStyle w:val="Source"/>
              <w:rPr>
                <w:sz w:val="2"/>
                <w:szCs w:val="2"/>
              </w:rPr>
            </w:pPr>
            <w:r w:rsidRPr="00F26358">
              <w:rPr>
                <w:sz w:val="2"/>
                <w:szCs w:val="2"/>
              </w:rPr>
              <w:t>78%</w:t>
            </w:r>
          </w:p>
        </w:tc>
        <w:tc>
          <w:tcPr>
            <w:tcW w:w="1381" w:type="dxa"/>
            <w:noWrap/>
            <w:hideMark/>
          </w:tcPr>
          <w:p w14:paraId="75B861F9" w14:textId="77777777" w:rsidR="00F26358" w:rsidRPr="00F26358" w:rsidRDefault="00F26358" w:rsidP="00F26358">
            <w:pPr>
              <w:pStyle w:val="Source"/>
              <w:rPr>
                <w:sz w:val="2"/>
                <w:szCs w:val="2"/>
              </w:rPr>
            </w:pPr>
            <w:r w:rsidRPr="00F26358">
              <w:rPr>
                <w:sz w:val="2"/>
                <w:szCs w:val="2"/>
              </w:rPr>
              <w:t>81%</w:t>
            </w:r>
          </w:p>
        </w:tc>
        <w:tc>
          <w:tcPr>
            <w:tcW w:w="1059" w:type="dxa"/>
            <w:noWrap/>
            <w:hideMark/>
          </w:tcPr>
          <w:p w14:paraId="3D937CA7" w14:textId="77777777" w:rsidR="00F26358" w:rsidRPr="00F26358" w:rsidRDefault="00F26358" w:rsidP="00F26358">
            <w:pPr>
              <w:pStyle w:val="Source"/>
              <w:rPr>
                <w:sz w:val="2"/>
                <w:szCs w:val="2"/>
              </w:rPr>
            </w:pPr>
          </w:p>
        </w:tc>
      </w:tr>
      <w:tr w:rsidR="00F26358" w:rsidRPr="00F26358" w14:paraId="465B9DB9" w14:textId="77777777" w:rsidTr="00F26358">
        <w:trPr>
          <w:trHeight w:val="300"/>
          <w:jc w:val="center"/>
        </w:trPr>
        <w:tc>
          <w:tcPr>
            <w:tcW w:w="1985" w:type="dxa"/>
            <w:hideMark/>
          </w:tcPr>
          <w:p w14:paraId="53EBA662" w14:textId="77777777" w:rsidR="00F26358" w:rsidRPr="00F26358" w:rsidRDefault="00F26358" w:rsidP="00F26358">
            <w:pPr>
              <w:pStyle w:val="Source"/>
              <w:rPr>
                <w:sz w:val="2"/>
                <w:szCs w:val="2"/>
              </w:rPr>
            </w:pPr>
          </w:p>
        </w:tc>
        <w:tc>
          <w:tcPr>
            <w:tcW w:w="2341" w:type="dxa"/>
            <w:hideMark/>
          </w:tcPr>
          <w:p w14:paraId="125AE9E0" w14:textId="77777777" w:rsidR="00F26358" w:rsidRPr="00F26358" w:rsidRDefault="00F26358" w:rsidP="00F26358">
            <w:pPr>
              <w:pStyle w:val="Source"/>
              <w:rPr>
                <w:sz w:val="2"/>
                <w:szCs w:val="2"/>
              </w:rPr>
            </w:pPr>
          </w:p>
        </w:tc>
        <w:tc>
          <w:tcPr>
            <w:tcW w:w="1314" w:type="dxa"/>
            <w:noWrap/>
            <w:hideMark/>
          </w:tcPr>
          <w:p w14:paraId="44CAFBE9" w14:textId="77777777" w:rsidR="00F26358" w:rsidRPr="00F26358" w:rsidRDefault="00F26358" w:rsidP="00F26358">
            <w:pPr>
              <w:pStyle w:val="Source"/>
              <w:rPr>
                <w:b/>
                <w:bCs/>
                <w:sz w:val="2"/>
                <w:szCs w:val="2"/>
              </w:rPr>
            </w:pPr>
            <w:r w:rsidRPr="00F26358">
              <w:rPr>
                <w:b/>
                <w:bCs/>
                <w:sz w:val="2"/>
                <w:szCs w:val="2"/>
              </w:rPr>
              <w:t>Major Cities</w:t>
            </w:r>
          </w:p>
        </w:tc>
        <w:tc>
          <w:tcPr>
            <w:tcW w:w="1381" w:type="dxa"/>
            <w:noWrap/>
            <w:hideMark/>
          </w:tcPr>
          <w:p w14:paraId="3A2EE2B3" w14:textId="77777777" w:rsidR="00F26358" w:rsidRPr="00F26358" w:rsidRDefault="00F26358" w:rsidP="00F26358">
            <w:pPr>
              <w:pStyle w:val="Source"/>
              <w:rPr>
                <w:b/>
                <w:bCs/>
                <w:sz w:val="2"/>
                <w:szCs w:val="2"/>
              </w:rPr>
            </w:pPr>
            <w:r w:rsidRPr="00F26358">
              <w:rPr>
                <w:b/>
                <w:bCs/>
                <w:sz w:val="2"/>
                <w:szCs w:val="2"/>
              </w:rPr>
              <w:t>Regional</w:t>
            </w:r>
          </w:p>
        </w:tc>
        <w:tc>
          <w:tcPr>
            <w:tcW w:w="1059" w:type="dxa"/>
            <w:noWrap/>
            <w:hideMark/>
          </w:tcPr>
          <w:p w14:paraId="33BBCAB0" w14:textId="77777777" w:rsidR="00F26358" w:rsidRPr="00F26358" w:rsidRDefault="00F26358" w:rsidP="00F26358">
            <w:pPr>
              <w:pStyle w:val="Source"/>
              <w:rPr>
                <w:b/>
                <w:bCs/>
                <w:sz w:val="2"/>
                <w:szCs w:val="2"/>
              </w:rPr>
            </w:pPr>
            <w:r w:rsidRPr="00F26358">
              <w:rPr>
                <w:b/>
                <w:bCs/>
                <w:sz w:val="2"/>
                <w:szCs w:val="2"/>
              </w:rPr>
              <w:t>Remote</w:t>
            </w:r>
          </w:p>
        </w:tc>
      </w:tr>
      <w:tr w:rsidR="00F26358" w:rsidRPr="00F26358" w14:paraId="7BD572B1" w14:textId="77777777" w:rsidTr="00F26358">
        <w:trPr>
          <w:trHeight w:val="300"/>
          <w:jc w:val="center"/>
        </w:trPr>
        <w:tc>
          <w:tcPr>
            <w:tcW w:w="1985" w:type="dxa"/>
            <w:noWrap/>
            <w:hideMark/>
          </w:tcPr>
          <w:p w14:paraId="43BEAF9A" w14:textId="77777777" w:rsidR="00F26358" w:rsidRPr="00F26358" w:rsidRDefault="00F26358" w:rsidP="00F26358">
            <w:pPr>
              <w:pStyle w:val="Source"/>
              <w:rPr>
                <w:b/>
                <w:bCs/>
                <w:sz w:val="2"/>
                <w:szCs w:val="2"/>
              </w:rPr>
            </w:pPr>
            <w:r w:rsidRPr="00F26358">
              <w:rPr>
                <w:b/>
                <w:bCs/>
                <w:sz w:val="2"/>
                <w:szCs w:val="2"/>
              </w:rPr>
              <w:t>Family Day Care</w:t>
            </w:r>
          </w:p>
        </w:tc>
        <w:tc>
          <w:tcPr>
            <w:tcW w:w="2341" w:type="dxa"/>
            <w:noWrap/>
            <w:hideMark/>
          </w:tcPr>
          <w:p w14:paraId="05638848" w14:textId="77777777" w:rsidR="00F26358" w:rsidRPr="00F26358" w:rsidRDefault="00F26358" w:rsidP="00F26358">
            <w:pPr>
              <w:pStyle w:val="Source"/>
              <w:rPr>
                <w:i/>
                <w:iCs/>
                <w:sz w:val="2"/>
                <w:szCs w:val="2"/>
              </w:rPr>
            </w:pPr>
            <w:r w:rsidRPr="00F26358">
              <w:rPr>
                <w:i/>
                <w:iCs/>
                <w:sz w:val="2"/>
                <w:szCs w:val="2"/>
              </w:rPr>
              <w:t>Staff per child</w:t>
            </w:r>
          </w:p>
        </w:tc>
        <w:tc>
          <w:tcPr>
            <w:tcW w:w="1314" w:type="dxa"/>
            <w:noWrap/>
            <w:hideMark/>
          </w:tcPr>
          <w:p w14:paraId="566FE3C2" w14:textId="77777777" w:rsidR="00F26358" w:rsidRPr="00F26358" w:rsidRDefault="00F26358" w:rsidP="00F26358">
            <w:pPr>
              <w:pStyle w:val="Source"/>
              <w:rPr>
                <w:i/>
                <w:iCs/>
                <w:sz w:val="2"/>
                <w:szCs w:val="2"/>
              </w:rPr>
            </w:pPr>
            <w:r w:rsidRPr="00F26358">
              <w:rPr>
                <w:i/>
                <w:iCs/>
                <w:sz w:val="2"/>
                <w:szCs w:val="2"/>
              </w:rPr>
              <w:t>0.18</w:t>
            </w:r>
          </w:p>
        </w:tc>
        <w:tc>
          <w:tcPr>
            <w:tcW w:w="1381" w:type="dxa"/>
            <w:noWrap/>
            <w:hideMark/>
          </w:tcPr>
          <w:p w14:paraId="1D816CC2" w14:textId="77777777" w:rsidR="00F26358" w:rsidRPr="00F26358" w:rsidRDefault="00F26358" w:rsidP="00F26358">
            <w:pPr>
              <w:pStyle w:val="Source"/>
              <w:rPr>
                <w:i/>
                <w:iCs/>
                <w:sz w:val="2"/>
                <w:szCs w:val="2"/>
              </w:rPr>
            </w:pPr>
            <w:r w:rsidRPr="00F26358">
              <w:rPr>
                <w:i/>
                <w:iCs/>
                <w:sz w:val="2"/>
                <w:szCs w:val="2"/>
              </w:rPr>
              <w:t>0.17</w:t>
            </w:r>
          </w:p>
        </w:tc>
        <w:tc>
          <w:tcPr>
            <w:tcW w:w="1059" w:type="dxa"/>
            <w:noWrap/>
            <w:hideMark/>
          </w:tcPr>
          <w:p w14:paraId="09361BCE" w14:textId="77777777" w:rsidR="00F26358" w:rsidRPr="00F26358" w:rsidRDefault="00F26358" w:rsidP="00F26358">
            <w:pPr>
              <w:pStyle w:val="Source"/>
              <w:rPr>
                <w:i/>
                <w:iCs/>
                <w:sz w:val="2"/>
                <w:szCs w:val="2"/>
              </w:rPr>
            </w:pPr>
            <w:r w:rsidRPr="00F26358">
              <w:rPr>
                <w:i/>
                <w:iCs/>
                <w:sz w:val="2"/>
                <w:szCs w:val="2"/>
              </w:rPr>
              <w:t>0.21</w:t>
            </w:r>
          </w:p>
        </w:tc>
      </w:tr>
      <w:tr w:rsidR="00F26358" w:rsidRPr="00F26358" w14:paraId="095A5BA2" w14:textId="77777777" w:rsidTr="00F26358">
        <w:trPr>
          <w:trHeight w:val="300"/>
          <w:jc w:val="center"/>
        </w:trPr>
        <w:tc>
          <w:tcPr>
            <w:tcW w:w="1985" w:type="dxa"/>
            <w:noWrap/>
            <w:hideMark/>
          </w:tcPr>
          <w:p w14:paraId="469DEDBB" w14:textId="77777777" w:rsidR="00F26358" w:rsidRPr="00F26358" w:rsidRDefault="00F26358" w:rsidP="00F26358">
            <w:pPr>
              <w:pStyle w:val="Source"/>
              <w:rPr>
                <w:i/>
                <w:iCs/>
                <w:sz w:val="2"/>
                <w:szCs w:val="2"/>
              </w:rPr>
            </w:pPr>
          </w:p>
        </w:tc>
        <w:tc>
          <w:tcPr>
            <w:tcW w:w="2341" w:type="dxa"/>
            <w:noWrap/>
            <w:hideMark/>
          </w:tcPr>
          <w:p w14:paraId="33B5FB79" w14:textId="77777777" w:rsidR="00F26358" w:rsidRPr="00F26358" w:rsidRDefault="00F26358" w:rsidP="00F26358">
            <w:pPr>
              <w:pStyle w:val="Source"/>
              <w:rPr>
                <w:sz w:val="2"/>
                <w:szCs w:val="2"/>
              </w:rPr>
            </w:pPr>
            <w:r w:rsidRPr="00F26358">
              <w:rPr>
                <w:sz w:val="2"/>
                <w:szCs w:val="2"/>
              </w:rPr>
              <w:t>Non-contact</w:t>
            </w:r>
          </w:p>
        </w:tc>
        <w:tc>
          <w:tcPr>
            <w:tcW w:w="1314" w:type="dxa"/>
            <w:noWrap/>
            <w:hideMark/>
          </w:tcPr>
          <w:p w14:paraId="677D10F2" w14:textId="77777777" w:rsidR="00F26358" w:rsidRPr="00F26358" w:rsidRDefault="00F26358" w:rsidP="00F26358">
            <w:pPr>
              <w:pStyle w:val="Source"/>
              <w:rPr>
                <w:sz w:val="2"/>
                <w:szCs w:val="2"/>
              </w:rPr>
            </w:pPr>
            <w:r w:rsidRPr="00F26358">
              <w:rPr>
                <w:sz w:val="2"/>
                <w:szCs w:val="2"/>
              </w:rPr>
              <w:t>3%</w:t>
            </w:r>
          </w:p>
        </w:tc>
        <w:tc>
          <w:tcPr>
            <w:tcW w:w="1381" w:type="dxa"/>
            <w:noWrap/>
            <w:hideMark/>
          </w:tcPr>
          <w:p w14:paraId="43FFF266" w14:textId="77777777" w:rsidR="00F26358" w:rsidRPr="00F26358" w:rsidRDefault="00F26358" w:rsidP="00F26358">
            <w:pPr>
              <w:pStyle w:val="Source"/>
              <w:rPr>
                <w:sz w:val="2"/>
                <w:szCs w:val="2"/>
              </w:rPr>
            </w:pPr>
          </w:p>
        </w:tc>
        <w:tc>
          <w:tcPr>
            <w:tcW w:w="1059" w:type="dxa"/>
            <w:noWrap/>
            <w:hideMark/>
          </w:tcPr>
          <w:p w14:paraId="4D030EC4" w14:textId="77777777" w:rsidR="00F26358" w:rsidRPr="00F26358" w:rsidRDefault="00F26358" w:rsidP="00F26358">
            <w:pPr>
              <w:pStyle w:val="Source"/>
              <w:rPr>
                <w:sz w:val="2"/>
                <w:szCs w:val="2"/>
              </w:rPr>
            </w:pPr>
          </w:p>
        </w:tc>
      </w:tr>
      <w:tr w:rsidR="00F26358" w:rsidRPr="00F26358" w14:paraId="1032CA46" w14:textId="77777777" w:rsidTr="00F26358">
        <w:trPr>
          <w:trHeight w:val="300"/>
          <w:jc w:val="center"/>
        </w:trPr>
        <w:tc>
          <w:tcPr>
            <w:tcW w:w="1985" w:type="dxa"/>
            <w:noWrap/>
            <w:hideMark/>
          </w:tcPr>
          <w:p w14:paraId="6A7A14F0" w14:textId="77777777" w:rsidR="00F26358" w:rsidRPr="00F26358" w:rsidRDefault="00F26358" w:rsidP="00F26358">
            <w:pPr>
              <w:pStyle w:val="Source"/>
              <w:rPr>
                <w:sz w:val="2"/>
                <w:szCs w:val="2"/>
              </w:rPr>
            </w:pPr>
          </w:p>
        </w:tc>
        <w:tc>
          <w:tcPr>
            <w:tcW w:w="2341" w:type="dxa"/>
            <w:noWrap/>
            <w:hideMark/>
          </w:tcPr>
          <w:p w14:paraId="68823924" w14:textId="77777777" w:rsidR="00F26358" w:rsidRPr="00F26358" w:rsidRDefault="00F26358" w:rsidP="00F26358">
            <w:pPr>
              <w:pStyle w:val="Source"/>
              <w:rPr>
                <w:sz w:val="2"/>
                <w:szCs w:val="2"/>
              </w:rPr>
            </w:pPr>
            <w:r w:rsidRPr="00F26358">
              <w:rPr>
                <w:sz w:val="2"/>
                <w:szCs w:val="2"/>
              </w:rPr>
              <w:t>Director</w:t>
            </w:r>
          </w:p>
        </w:tc>
        <w:tc>
          <w:tcPr>
            <w:tcW w:w="1314" w:type="dxa"/>
            <w:noWrap/>
            <w:hideMark/>
          </w:tcPr>
          <w:p w14:paraId="66D700E1" w14:textId="77777777" w:rsidR="00F26358" w:rsidRPr="00F26358" w:rsidRDefault="00F26358" w:rsidP="00F26358">
            <w:pPr>
              <w:pStyle w:val="Source"/>
              <w:rPr>
                <w:sz w:val="2"/>
                <w:szCs w:val="2"/>
              </w:rPr>
            </w:pPr>
            <w:r w:rsidRPr="00F26358">
              <w:rPr>
                <w:sz w:val="2"/>
                <w:szCs w:val="2"/>
              </w:rPr>
              <w:t>9%</w:t>
            </w:r>
          </w:p>
        </w:tc>
        <w:tc>
          <w:tcPr>
            <w:tcW w:w="1381" w:type="dxa"/>
            <w:noWrap/>
            <w:hideMark/>
          </w:tcPr>
          <w:p w14:paraId="614999AB" w14:textId="77777777" w:rsidR="00F26358" w:rsidRPr="00F26358" w:rsidRDefault="00F26358" w:rsidP="00F26358">
            <w:pPr>
              <w:pStyle w:val="Source"/>
              <w:rPr>
                <w:sz w:val="2"/>
                <w:szCs w:val="2"/>
              </w:rPr>
            </w:pPr>
          </w:p>
        </w:tc>
        <w:tc>
          <w:tcPr>
            <w:tcW w:w="1059" w:type="dxa"/>
            <w:noWrap/>
            <w:hideMark/>
          </w:tcPr>
          <w:p w14:paraId="5F991E78" w14:textId="77777777" w:rsidR="00F26358" w:rsidRPr="00F26358" w:rsidRDefault="00F26358" w:rsidP="00F26358">
            <w:pPr>
              <w:pStyle w:val="Source"/>
              <w:rPr>
                <w:sz w:val="2"/>
                <w:szCs w:val="2"/>
              </w:rPr>
            </w:pPr>
          </w:p>
        </w:tc>
      </w:tr>
      <w:tr w:rsidR="00F26358" w:rsidRPr="00F26358" w14:paraId="7FC924AA" w14:textId="77777777" w:rsidTr="00F26358">
        <w:trPr>
          <w:trHeight w:val="300"/>
          <w:jc w:val="center"/>
        </w:trPr>
        <w:tc>
          <w:tcPr>
            <w:tcW w:w="1985" w:type="dxa"/>
            <w:noWrap/>
            <w:hideMark/>
          </w:tcPr>
          <w:p w14:paraId="07868965" w14:textId="77777777" w:rsidR="00F26358" w:rsidRPr="00F26358" w:rsidRDefault="00F26358" w:rsidP="00F26358">
            <w:pPr>
              <w:pStyle w:val="Source"/>
              <w:rPr>
                <w:sz w:val="2"/>
                <w:szCs w:val="2"/>
              </w:rPr>
            </w:pPr>
          </w:p>
        </w:tc>
        <w:tc>
          <w:tcPr>
            <w:tcW w:w="2341" w:type="dxa"/>
            <w:noWrap/>
            <w:hideMark/>
          </w:tcPr>
          <w:p w14:paraId="4F519060" w14:textId="77777777" w:rsidR="00F26358" w:rsidRPr="00F26358" w:rsidRDefault="00F26358" w:rsidP="00F26358">
            <w:pPr>
              <w:pStyle w:val="Source"/>
              <w:rPr>
                <w:sz w:val="2"/>
                <w:szCs w:val="2"/>
              </w:rPr>
            </w:pPr>
            <w:r w:rsidRPr="00F26358">
              <w:rPr>
                <w:sz w:val="2"/>
                <w:szCs w:val="2"/>
              </w:rPr>
              <w:t>Early Childhood Teacher</w:t>
            </w:r>
          </w:p>
        </w:tc>
        <w:tc>
          <w:tcPr>
            <w:tcW w:w="1314" w:type="dxa"/>
            <w:noWrap/>
            <w:hideMark/>
          </w:tcPr>
          <w:p w14:paraId="071CA4EB" w14:textId="77777777" w:rsidR="00F26358" w:rsidRPr="00F26358" w:rsidRDefault="00F26358" w:rsidP="00F26358">
            <w:pPr>
              <w:pStyle w:val="Source"/>
              <w:rPr>
                <w:sz w:val="2"/>
                <w:szCs w:val="2"/>
              </w:rPr>
            </w:pPr>
            <w:r w:rsidRPr="00F26358">
              <w:rPr>
                <w:sz w:val="2"/>
                <w:szCs w:val="2"/>
              </w:rPr>
              <w:t>0%</w:t>
            </w:r>
          </w:p>
        </w:tc>
        <w:tc>
          <w:tcPr>
            <w:tcW w:w="1381" w:type="dxa"/>
            <w:noWrap/>
            <w:hideMark/>
          </w:tcPr>
          <w:p w14:paraId="70EF9061" w14:textId="77777777" w:rsidR="00F26358" w:rsidRPr="00F26358" w:rsidRDefault="00F26358" w:rsidP="00F26358">
            <w:pPr>
              <w:pStyle w:val="Source"/>
              <w:rPr>
                <w:sz w:val="2"/>
                <w:szCs w:val="2"/>
              </w:rPr>
            </w:pPr>
          </w:p>
        </w:tc>
        <w:tc>
          <w:tcPr>
            <w:tcW w:w="1059" w:type="dxa"/>
            <w:noWrap/>
            <w:hideMark/>
          </w:tcPr>
          <w:p w14:paraId="3182BE3E" w14:textId="77777777" w:rsidR="00F26358" w:rsidRPr="00F26358" w:rsidRDefault="00F26358" w:rsidP="00F26358">
            <w:pPr>
              <w:pStyle w:val="Source"/>
              <w:rPr>
                <w:sz w:val="2"/>
                <w:szCs w:val="2"/>
              </w:rPr>
            </w:pPr>
          </w:p>
        </w:tc>
      </w:tr>
      <w:tr w:rsidR="00F26358" w:rsidRPr="00F26358" w14:paraId="3A4D5E54" w14:textId="77777777" w:rsidTr="00F26358">
        <w:trPr>
          <w:trHeight w:val="300"/>
          <w:jc w:val="center"/>
        </w:trPr>
        <w:tc>
          <w:tcPr>
            <w:tcW w:w="1985" w:type="dxa"/>
            <w:noWrap/>
            <w:hideMark/>
          </w:tcPr>
          <w:p w14:paraId="62908D49" w14:textId="77777777" w:rsidR="00F26358" w:rsidRPr="00F26358" w:rsidRDefault="00F26358" w:rsidP="00F26358">
            <w:pPr>
              <w:pStyle w:val="Source"/>
              <w:rPr>
                <w:sz w:val="2"/>
                <w:szCs w:val="2"/>
              </w:rPr>
            </w:pPr>
          </w:p>
        </w:tc>
        <w:tc>
          <w:tcPr>
            <w:tcW w:w="2341" w:type="dxa"/>
            <w:noWrap/>
            <w:hideMark/>
          </w:tcPr>
          <w:p w14:paraId="5E89095A" w14:textId="77777777" w:rsidR="00F26358" w:rsidRPr="00F26358" w:rsidRDefault="00F26358" w:rsidP="00F26358">
            <w:pPr>
              <w:pStyle w:val="Source"/>
              <w:rPr>
                <w:sz w:val="2"/>
                <w:szCs w:val="2"/>
              </w:rPr>
            </w:pPr>
            <w:r w:rsidRPr="00F26358">
              <w:rPr>
                <w:sz w:val="2"/>
                <w:szCs w:val="2"/>
              </w:rPr>
              <w:t>Group leader</w:t>
            </w:r>
          </w:p>
        </w:tc>
        <w:tc>
          <w:tcPr>
            <w:tcW w:w="1314" w:type="dxa"/>
            <w:noWrap/>
            <w:hideMark/>
          </w:tcPr>
          <w:p w14:paraId="4A38A7BF" w14:textId="77777777" w:rsidR="00F26358" w:rsidRPr="00F26358" w:rsidRDefault="00F26358" w:rsidP="00F26358">
            <w:pPr>
              <w:pStyle w:val="Source"/>
              <w:rPr>
                <w:sz w:val="2"/>
                <w:szCs w:val="2"/>
              </w:rPr>
            </w:pPr>
            <w:r w:rsidRPr="00F26358">
              <w:rPr>
                <w:sz w:val="2"/>
                <w:szCs w:val="2"/>
              </w:rPr>
              <w:t>3%</w:t>
            </w:r>
          </w:p>
        </w:tc>
        <w:tc>
          <w:tcPr>
            <w:tcW w:w="1381" w:type="dxa"/>
            <w:noWrap/>
            <w:hideMark/>
          </w:tcPr>
          <w:p w14:paraId="7A88335C" w14:textId="77777777" w:rsidR="00F26358" w:rsidRPr="00F26358" w:rsidRDefault="00F26358" w:rsidP="00F26358">
            <w:pPr>
              <w:pStyle w:val="Source"/>
              <w:rPr>
                <w:sz w:val="2"/>
                <w:szCs w:val="2"/>
              </w:rPr>
            </w:pPr>
          </w:p>
        </w:tc>
        <w:tc>
          <w:tcPr>
            <w:tcW w:w="1059" w:type="dxa"/>
            <w:noWrap/>
            <w:hideMark/>
          </w:tcPr>
          <w:p w14:paraId="56273C9E" w14:textId="77777777" w:rsidR="00F26358" w:rsidRPr="00F26358" w:rsidRDefault="00F26358" w:rsidP="00F26358">
            <w:pPr>
              <w:pStyle w:val="Source"/>
              <w:rPr>
                <w:sz w:val="2"/>
                <w:szCs w:val="2"/>
              </w:rPr>
            </w:pPr>
          </w:p>
        </w:tc>
      </w:tr>
      <w:tr w:rsidR="00F26358" w:rsidRPr="00F26358" w14:paraId="33B1D010" w14:textId="77777777" w:rsidTr="00F26358">
        <w:trPr>
          <w:trHeight w:val="300"/>
          <w:jc w:val="center"/>
        </w:trPr>
        <w:tc>
          <w:tcPr>
            <w:tcW w:w="1985" w:type="dxa"/>
            <w:noWrap/>
            <w:hideMark/>
          </w:tcPr>
          <w:p w14:paraId="452889B1" w14:textId="77777777" w:rsidR="00F26358" w:rsidRPr="00F26358" w:rsidRDefault="00F26358" w:rsidP="00F26358">
            <w:pPr>
              <w:pStyle w:val="Source"/>
              <w:rPr>
                <w:sz w:val="2"/>
                <w:szCs w:val="2"/>
              </w:rPr>
            </w:pPr>
          </w:p>
        </w:tc>
        <w:tc>
          <w:tcPr>
            <w:tcW w:w="2341" w:type="dxa"/>
            <w:noWrap/>
            <w:hideMark/>
          </w:tcPr>
          <w:p w14:paraId="3F372896" w14:textId="77777777" w:rsidR="00F26358" w:rsidRPr="00F26358" w:rsidRDefault="00F26358" w:rsidP="00F26358">
            <w:pPr>
              <w:pStyle w:val="Source"/>
              <w:rPr>
                <w:sz w:val="2"/>
                <w:szCs w:val="2"/>
              </w:rPr>
            </w:pPr>
            <w:r w:rsidRPr="00F26358">
              <w:rPr>
                <w:sz w:val="2"/>
                <w:szCs w:val="2"/>
              </w:rPr>
              <w:t>Educator</w:t>
            </w:r>
          </w:p>
        </w:tc>
        <w:tc>
          <w:tcPr>
            <w:tcW w:w="1314" w:type="dxa"/>
            <w:noWrap/>
            <w:hideMark/>
          </w:tcPr>
          <w:p w14:paraId="421CE1CD" w14:textId="77777777" w:rsidR="00F26358" w:rsidRPr="00F26358" w:rsidRDefault="00F26358" w:rsidP="00F26358">
            <w:pPr>
              <w:pStyle w:val="Source"/>
              <w:rPr>
                <w:sz w:val="2"/>
                <w:szCs w:val="2"/>
              </w:rPr>
            </w:pPr>
            <w:r w:rsidRPr="00F26358">
              <w:rPr>
                <w:sz w:val="2"/>
                <w:szCs w:val="2"/>
              </w:rPr>
              <w:t>84%</w:t>
            </w:r>
          </w:p>
        </w:tc>
        <w:tc>
          <w:tcPr>
            <w:tcW w:w="1381" w:type="dxa"/>
            <w:noWrap/>
            <w:hideMark/>
          </w:tcPr>
          <w:p w14:paraId="690F511C" w14:textId="77777777" w:rsidR="00F26358" w:rsidRPr="00F26358" w:rsidRDefault="00F26358" w:rsidP="00F26358">
            <w:pPr>
              <w:pStyle w:val="Source"/>
              <w:rPr>
                <w:sz w:val="2"/>
                <w:szCs w:val="2"/>
              </w:rPr>
            </w:pPr>
            <w:r w:rsidRPr="00F26358">
              <w:rPr>
                <w:sz w:val="2"/>
                <w:szCs w:val="2"/>
              </w:rPr>
              <w:t>79%</w:t>
            </w:r>
          </w:p>
        </w:tc>
        <w:tc>
          <w:tcPr>
            <w:tcW w:w="1059" w:type="dxa"/>
            <w:noWrap/>
            <w:hideMark/>
          </w:tcPr>
          <w:p w14:paraId="0BA77EA2" w14:textId="77777777" w:rsidR="00F26358" w:rsidRPr="00F26358" w:rsidRDefault="00F26358" w:rsidP="00F26358">
            <w:pPr>
              <w:pStyle w:val="Source"/>
              <w:rPr>
                <w:sz w:val="2"/>
                <w:szCs w:val="2"/>
              </w:rPr>
            </w:pPr>
            <w:r w:rsidRPr="00F26358">
              <w:rPr>
                <w:sz w:val="2"/>
                <w:szCs w:val="2"/>
              </w:rPr>
              <w:t>75%</w:t>
            </w:r>
          </w:p>
        </w:tc>
      </w:tr>
    </w:tbl>
    <w:p w14:paraId="3E9C043F" w14:textId="77777777" w:rsidR="00F26358" w:rsidRDefault="00F26358" w:rsidP="00887E52">
      <w:pPr>
        <w:pStyle w:val="Source"/>
      </w:pPr>
    </w:p>
    <w:p w14:paraId="1446677F" w14:textId="77777777" w:rsidR="00F26358" w:rsidRDefault="00F26358" w:rsidP="00887E52">
      <w:pPr>
        <w:pStyle w:val="Source"/>
      </w:pPr>
    </w:p>
    <w:p w14:paraId="68550E01" w14:textId="77777777" w:rsidR="00F26358" w:rsidRDefault="00F26358" w:rsidP="00887E52">
      <w:pPr>
        <w:pStyle w:val="Source"/>
      </w:pPr>
    </w:p>
    <w:p w14:paraId="0695076D" w14:textId="77777777" w:rsidR="00F26358" w:rsidRDefault="00F26358" w:rsidP="00887E52">
      <w:pPr>
        <w:pStyle w:val="Source"/>
      </w:pPr>
    </w:p>
    <w:p w14:paraId="7E88DBE8" w14:textId="01F14118" w:rsidR="00F47B0F" w:rsidRPr="00F47B0F" w:rsidRDefault="00F47B0F" w:rsidP="00887E52">
      <w:pPr>
        <w:pStyle w:val="Source"/>
      </w:pPr>
      <w:r w:rsidRPr="00F47B0F">
        <w:t>Source: JSA analysis of DoE’s CCS and NWC (2021)</w:t>
      </w:r>
    </w:p>
    <w:p w14:paraId="63695821" w14:textId="77777777" w:rsidR="00F47B0F" w:rsidRPr="00F47B0F" w:rsidRDefault="00F47B0F" w:rsidP="00F47B0F">
      <w:pPr>
        <w:pStyle w:val="Heading3"/>
      </w:pPr>
      <w:r w:rsidRPr="00F47B0F">
        <w:lastRenderedPageBreak/>
        <w:t>Provider Type and Staffing Arrangements</w:t>
      </w:r>
    </w:p>
    <w:p w14:paraId="5B66C5C6" w14:textId="77777777" w:rsidR="00F47B0F" w:rsidRPr="00F47B0F" w:rsidRDefault="00F47B0F" w:rsidP="00F47B0F">
      <w:pPr>
        <w:keepNext/>
        <w:keepLines/>
        <w:rPr>
          <w:rFonts w:cs="Arial"/>
        </w:rPr>
      </w:pPr>
      <w:r w:rsidRPr="00F47B0F">
        <w:rPr>
          <w:rFonts w:cs="Arial"/>
        </w:rPr>
        <w:t xml:space="preserve">The relatively high prevalence of for-profit provision, combined with differences across provider size, has implications for key workforce outcomes. </w:t>
      </w:r>
      <w:r w:rsidRPr="00F47B0F">
        <w:rPr>
          <w:rFonts w:cs="Arial"/>
        </w:rPr>
        <w:fldChar w:fldCharType="begin" w:fldLock="1"/>
      </w:r>
      <w:r w:rsidRPr="00F47B0F">
        <w:rPr>
          <w:rFonts w:cs="Arial"/>
        </w:rPr>
        <w:instrText xml:space="preserve"> REF _Ref169159494 \h </w:instrText>
      </w:r>
      <w:r w:rsidRPr="00F47B0F">
        <w:rPr>
          <w:rFonts w:cs="Arial"/>
        </w:rPr>
      </w:r>
      <w:r w:rsidRPr="00F47B0F">
        <w:rPr>
          <w:rFonts w:cs="Arial"/>
        </w:rPr>
        <w:fldChar w:fldCharType="separate"/>
      </w:r>
      <w:r w:rsidRPr="00F47B0F">
        <w:t>Figure 2.</w:t>
      </w:r>
      <w:r w:rsidRPr="00F47B0F">
        <w:rPr>
          <w:noProof/>
        </w:rPr>
        <w:t>10</w:t>
      </w:r>
      <w:r w:rsidRPr="00F47B0F">
        <w:rPr>
          <w:rFonts w:cs="Arial"/>
        </w:rPr>
        <w:fldChar w:fldCharType="end"/>
      </w:r>
      <w:r w:rsidRPr="00F47B0F">
        <w:rPr>
          <w:rFonts w:cs="Arial"/>
          <w:highlight w:val="yellow"/>
        </w:rPr>
        <w:fldChar w:fldCharType="begin" w:fldLock="1"/>
      </w:r>
      <w:r w:rsidRPr="00F47B0F">
        <w:rPr>
          <w:rFonts w:cs="Arial"/>
        </w:rPr>
        <w:instrText xml:space="preserve"> REF _Ref166153438 \h  \* MERGEFORMAT </w:instrText>
      </w:r>
      <w:r w:rsidRPr="00F47B0F">
        <w:rPr>
          <w:rFonts w:cs="Arial"/>
          <w:highlight w:val="yellow"/>
        </w:rPr>
      </w:r>
      <w:r w:rsidR="00044D83">
        <w:rPr>
          <w:rFonts w:cs="Arial"/>
          <w:highlight w:val="yellow"/>
        </w:rPr>
        <w:fldChar w:fldCharType="separate"/>
      </w:r>
      <w:r w:rsidRPr="00F47B0F">
        <w:rPr>
          <w:rFonts w:cs="Arial"/>
          <w:highlight w:val="yellow"/>
        </w:rPr>
        <w:fldChar w:fldCharType="end"/>
      </w:r>
      <w:r w:rsidRPr="00F47B0F">
        <w:rPr>
          <w:rFonts w:cs="Arial"/>
        </w:rPr>
        <w:t xml:space="preserve"> (CBDCs) to </w:t>
      </w:r>
      <w:r w:rsidRPr="00F47B0F">
        <w:rPr>
          <w:rFonts w:cs="Arial"/>
        </w:rPr>
        <w:fldChar w:fldCharType="begin" w:fldLock="1"/>
      </w:r>
      <w:r w:rsidRPr="00F47B0F">
        <w:rPr>
          <w:rFonts w:cs="Arial"/>
        </w:rPr>
        <w:instrText xml:space="preserve"> REF _Ref169159503 \h </w:instrText>
      </w:r>
      <w:r w:rsidRPr="00F47B0F">
        <w:rPr>
          <w:rFonts w:cs="Arial"/>
        </w:rPr>
      </w:r>
      <w:r w:rsidRPr="00F47B0F">
        <w:rPr>
          <w:rFonts w:cs="Arial"/>
        </w:rPr>
        <w:fldChar w:fldCharType="separate"/>
      </w:r>
      <w:r w:rsidRPr="00F47B0F">
        <w:t>Figure 2.</w:t>
      </w:r>
      <w:r w:rsidRPr="00F47B0F">
        <w:rPr>
          <w:noProof/>
        </w:rPr>
        <w:t>11</w:t>
      </w:r>
      <w:r w:rsidRPr="00F47B0F">
        <w:rPr>
          <w:rFonts w:cs="Arial"/>
        </w:rPr>
        <w:fldChar w:fldCharType="end"/>
      </w:r>
      <w:r w:rsidRPr="00F47B0F">
        <w:rPr>
          <w:rFonts w:cs="Arial"/>
        </w:rPr>
        <w:t xml:space="preserve"> (OSHCs) on the following pages illustrate the wages paid, educator to child ratios, staff turnover,</w:t>
      </w:r>
      <w:r w:rsidRPr="00F47B0F">
        <w:rPr>
          <w:rFonts w:cs="Arial"/>
          <w:vertAlign w:val="superscript"/>
        </w:rPr>
        <w:footnoteReference w:id="38"/>
      </w:r>
      <w:r w:rsidRPr="00F47B0F">
        <w:rPr>
          <w:rFonts w:cs="Arial"/>
        </w:rPr>
        <w:t xml:space="preserve"> the share of educators working towards an ECEC qualification, and the share of staff employed on a permanent basis across management type and provider size for 2021. </w:t>
      </w:r>
    </w:p>
    <w:p w14:paraId="10BE2A54" w14:textId="77777777" w:rsidR="00F47B0F" w:rsidRPr="00F47B0F" w:rsidRDefault="00F47B0F" w:rsidP="00F47B0F">
      <w:pPr>
        <w:pStyle w:val="Heading4"/>
      </w:pPr>
      <w:r w:rsidRPr="00F47B0F">
        <w:t>Centre Based Day Cares</w:t>
      </w:r>
    </w:p>
    <w:p w14:paraId="6A6A937B" w14:textId="77777777" w:rsidR="00F47B0F" w:rsidRPr="00F47B0F" w:rsidRDefault="00F47B0F" w:rsidP="00F47B0F">
      <w:pPr>
        <w:rPr>
          <w:rFonts w:cs="Arial"/>
        </w:rPr>
      </w:pPr>
      <w:r w:rsidRPr="00F47B0F">
        <w:rPr>
          <w:rFonts w:cs="Arial"/>
        </w:rPr>
        <w:t xml:space="preserve">While all services must pay </w:t>
      </w:r>
      <w:r w:rsidRPr="00F47B0F">
        <w:rPr>
          <w:rFonts w:cs="Arial"/>
          <w:i/>
          <w:iCs/>
        </w:rPr>
        <w:t>at least</w:t>
      </w:r>
      <w:r w:rsidRPr="00F47B0F">
        <w:rPr>
          <w:rFonts w:cs="Arial"/>
        </w:rPr>
        <w:t xml:space="preserve"> the award rate, for-profit CBDCs are more likely to pay at the award, along with single service private not-for-profits. In contrast, community providers, as well as larger independent nonprofits are more likely to pay above the award (although typically by less than 10%). </w:t>
      </w:r>
    </w:p>
    <w:p w14:paraId="7ABB7F27" w14:textId="77777777" w:rsidR="00603D8A" w:rsidRDefault="00603D8A">
      <w:pPr>
        <w:rPr>
          <w:b/>
          <w:bCs/>
          <w:color w:val="auto"/>
          <w:sz w:val="18"/>
          <w:szCs w:val="18"/>
        </w:rPr>
      </w:pPr>
      <w:bookmarkStart w:id="104" w:name="_Ref169158992"/>
      <w:bookmarkStart w:id="105" w:name="_Ref169159494"/>
      <w:bookmarkStart w:id="106" w:name="_Ref166153438"/>
      <w:r>
        <w:br w:type="page"/>
      </w:r>
    </w:p>
    <w:p w14:paraId="15A8D404" w14:textId="2C975408" w:rsidR="00F47B0F" w:rsidRPr="00F47B0F" w:rsidRDefault="00603D8A" w:rsidP="00887E52">
      <w:pPr>
        <w:pStyle w:val="Caption"/>
      </w:pPr>
      <w:r w:rsidRPr="00F47B0F">
        <w:rPr>
          <w:noProof/>
        </w:rPr>
        <w:lastRenderedPageBreak/>
        <w:drawing>
          <wp:anchor distT="0" distB="0" distL="114300" distR="114300" simplePos="0" relativeHeight="251712515" behindDoc="0" locked="0" layoutInCell="1" allowOverlap="1" wp14:anchorId="763347BD" wp14:editId="7ADBB814">
            <wp:simplePos x="0" y="0"/>
            <wp:positionH relativeFrom="margin">
              <wp:align>left</wp:align>
            </wp:positionH>
            <wp:positionV relativeFrom="paragraph">
              <wp:posOffset>257175</wp:posOffset>
            </wp:positionV>
            <wp:extent cx="5616189" cy="7019925"/>
            <wp:effectExtent l="0" t="0" r="3810" b="0"/>
            <wp:wrapNone/>
            <wp:docPr id="69572619"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72619" name="Picture 8">
                      <a:extLst>
                        <a:ext uri="{C183D7F6-B498-43B3-948B-1728B52AA6E4}">
                          <adec:decorative xmlns:adec="http://schemas.microsoft.com/office/drawing/2017/decorative" val="1"/>
                        </a:ext>
                      </a:extLst>
                    </pic:cNvPr>
                    <pic:cNvPicPr>
                      <a:picLocks noChangeAspect="1" noChangeArrowheads="1"/>
                    </pic:cNvPicPr>
                  </pic:nvPicPr>
                  <pic:blipFill>
                    <a:blip r:embed="rId88" cstate="screen">
                      <a:extLst>
                        <a:ext uri="{28A0092B-C50C-407E-A947-70E740481C1C}">
                          <a14:useLocalDpi xmlns:a14="http://schemas.microsoft.com/office/drawing/2010/main" val="0"/>
                        </a:ext>
                      </a:extLst>
                    </a:blip>
                    <a:srcRect/>
                    <a:stretch>
                      <a:fillRect/>
                    </a:stretch>
                  </pic:blipFill>
                  <pic:spPr bwMode="auto">
                    <a:xfrm>
                      <a:off x="0" y="0"/>
                      <a:ext cx="5616189" cy="7019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7B0F" w:rsidRPr="00F47B0F">
        <w:t>Figure 2</w:t>
      </w:r>
      <w:bookmarkEnd w:id="104"/>
      <w:r w:rsidR="00F47B0F" w:rsidRPr="00F47B0F">
        <w:t>.</w:t>
      </w:r>
      <w:r w:rsidR="00F47B0F" w:rsidRPr="00F47B0F">
        <w:fldChar w:fldCharType="begin"/>
      </w:r>
      <w:r w:rsidR="00F47B0F" w:rsidRPr="00F47B0F">
        <w:instrText xml:space="preserve"> SEQ Figure \* ARABIC \s 1 </w:instrText>
      </w:r>
      <w:r w:rsidR="00F47B0F" w:rsidRPr="00F47B0F">
        <w:fldChar w:fldCharType="separate"/>
      </w:r>
      <w:r w:rsidR="005F18C1">
        <w:rPr>
          <w:noProof/>
        </w:rPr>
        <w:t>10</w:t>
      </w:r>
      <w:r w:rsidR="00F47B0F" w:rsidRPr="00F47B0F">
        <w:fldChar w:fldCharType="end"/>
      </w:r>
      <w:bookmarkEnd w:id="105"/>
      <w:r w:rsidR="00F47B0F" w:rsidRPr="00F47B0F">
        <w:t xml:space="preserve"> CBDC staff wages by service type and provider size</w:t>
      </w:r>
      <w:r w:rsidR="00F47B0F" w:rsidRPr="00F47B0F">
        <w:rPr>
          <w:rFonts w:cs="Arial"/>
          <w:noProof/>
          <w:vertAlign w:val="superscript"/>
        </w:rPr>
        <w:footnoteReference w:id="39"/>
      </w:r>
    </w:p>
    <w:bookmarkEnd w:id="106"/>
    <w:p w14:paraId="08DA5A60" w14:textId="01782973" w:rsidR="00F47B0F" w:rsidRPr="00F47B0F" w:rsidRDefault="00F47B0F" w:rsidP="00F47B0F">
      <w:pPr>
        <w:jc w:val="center"/>
      </w:pPr>
    </w:p>
    <w:tbl>
      <w:tblPr>
        <w:tblStyle w:val="Box"/>
        <w:tblW w:w="0" w:type="auto"/>
        <w:jc w:val="center"/>
        <w:tblLook w:val="04A0" w:firstRow="1" w:lastRow="0" w:firstColumn="1" w:lastColumn="0" w:noHBand="0" w:noVBand="1"/>
      </w:tblPr>
      <w:tblGrid>
        <w:gridCol w:w="2118"/>
        <w:gridCol w:w="1426"/>
        <w:gridCol w:w="1231"/>
        <w:gridCol w:w="1681"/>
        <w:gridCol w:w="1681"/>
      </w:tblGrid>
      <w:tr w:rsidR="00603D8A" w:rsidRPr="00603D8A" w14:paraId="0EB9ED20" w14:textId="77777777" w:rsidTr="00603D8A">
        <w:trPr>
          <w:trHeight w:val="300"/>
          <w:jc w:val="center"/>
        </w:trPr>
        <w:tc>
          <w:tcPr>
            <w:tcW w:w="2118" w:type="dxa"/>
            <w:hideMark/>
          </w:tcPr>
          <w:p w14:paraId="16AAD82B" w14:textId="77777777" w:rsidR="00603D8A" w:rsidRPr="00603D8A" w:rsidRDefault="00603D8A" w:rsidP="00603D8A">
            <w:pPr>
              <w:pStyle w:val="Source"/>
              <w:rPr>
                <w:sz w:val="2"/>
                <w:szCs w:val="2"/>
              </w:rPr>
            </w:pPr>
          </w:p>
        </w:tc>
        <w:tc>
          <w:tcPr>
            <w:tcW w:w="1426" w:type="dxa"/>
            <w:hideMark/>
          </w:tcPr>
          <w:p w14:paraId="3333AC88" w14:textId="77777777" w:rsidR="00603D8A" w:rsidRPr="00603D8A" w:rsidRDefault="00603D8A" w:rsidP="00603D8A">
            <w:pPr>
              <w:pStyle w:val="Source"/>
              <w:rPr>
                <w:sz w:val="2"/>
                <w:szCs w:val="2"/>
              </w:rPr>
            </w:pPr>
          </w:p>
        </w:tc>
        <w:tc>
          <w:tcPr>
            <w:tcW w:w="1231" w:type="dxa"/>
            <w:noWrap/>
            <w:hideMark/>
          </w:tcPr>
          <w:p w14:paraId="606EBF1C" w14:textId="77777777" w:rsidR="00603D8A" w:rsidRPr="00603D8A" w:rsidRDefault="00603D8A" w:rsidP="00603D8A">
            <w:pPr>
              <w:pStyle w:val="Source"/>
              <w:rPr>
                <w:b/>
                <w:bCs/>
                <w:sz w:val="2"/>
                <w:szCs w:val="2"/>
              </w:rPr>
            </w:pPr>
            <w:r w:rsidRPr="00603D8A">
              <w:rPr>
                <w:b/>
                <w:bCs/>
                <w:sz w:val="2"/>
                <w:szCs w:val="2"/>
              </w:rPr>
              <w:t>Single service</w:t>
            </w:r>
          </w:p>
        </w:tc>
        <w:tc>
          <w:tcPr>
            <w:tcW w:w="1681" w:type="dxa"/>
            <w:noWrap/>
            <w:hideMark/>
          </w:tcPr>
          <w:p w14:paraId="13A68FFB" w14:textId="77777777" w:rsidR="00603D8A" w:rsidRPr="00603D8A" w:rsidRDefault="00603D8A" w:rsidP="00603D8A">
            <w:pPr>
              <w:pStyle w:val="Source"/>
              <w:rPr>
                <w:b/>
                <w:bCs/>
                <w:sz w:val="2"/>
                <w:szCs w:val="2"/>
              </w:rPr>
            </w:pPr>
            <w:r w:rsidRPr="00603D8A">
              <w:rPr>
                <w:b/>
                <w:bCs/>
                <w:sz w:val="2"/>
                <w:szCs w:val="2"/>
              </w:rPr>
              <w:t>Multi-service (small)</w:t>
            </w:r>
          </w:p>
        </w:tc>
        <w:tc>
          <w:tcPr>
            <w:tcW w:w="1681" w:type="dxa"/>
            <w:noWrap/>
            <w:hideMark/>
          </w:tcPr>
          <w:p w14:paraId="77EE5EDB" w14:textId="77777777" w:rsidR="00603D8A" w:rsidRPr="00603D8A" w:rsidRDefault="00603D8A" w:rsidP="00603D8A">
            <w:pPr>
              <w:pStyle w:val="Source"/>
              <w:rPr>
                <w:b/>
                <w:bCs/>
                <w:sz w:val="2"/>
                <w:szCs w:val="2"/>
              </w:rPr>
            </w:pPr>
            <w:r w:rsidRPr="00603D8A">
              <w:rPr>
                <w:b/>
                <w:bCs/>
                <w:sz w:val="2"/>
                <w:szCs w:val="2"/>
              </w:rPr>
              <w:t>Multi-service (large)</w:t>
            </w:r>
          </w:p>
        </w:tc>
      </w:tr>
      <w:tr w:rsidR="00603D8A" w:rsidRPr="00603D8A" w14:paraId="547D5756" w14:textId="77777777" w:rsidTr="00603D8A">
        <w:trPr>
          <w:trHeight w:val="300"/>
          <w:jc w:val="center"/>
        </w:trPr>
        <w:tc>
          <w:tcPr>
            <w:tcW w:w="2118" w:type="dxa"/>
            <w:noWrap/>
            <w:hideMark/>
          </w:tcPr>
          <w:p w14:paraId="0DCA97F4" w14:textId="77777777" w:rsidR="00603D8A" w:rsidRPr="00603D8A" w:rsidRDefault="00603D8A" w:rsidP="00603D8A">
            <w:pPr>
              <w:pStyle w:val="Source"/>
              <w:rPr>
                <w:b/>
                <w:bCs/>
                <w:sz w:val="2"/>
                <w:szCs w:val="2"/>
              </w:rPr>
            </w:pPr>
            <w:r w:rsidRPr="00603D8A">
              <w:rPr>
                <w:b/>
                <w:bCs/>
                <w:sz w:val="2"/>
                <w:szCs w:val="2"/>
              </w:rPr>
              <w:t>For-profit</w:t>
            </w:r>
          </w:p>
        </w:tc>
        <w:tc>
          <w:tcPr>
            <w:tcW w:w="1426" w:type="dxa"/>
            <w:noWrap/>
            <w:hideMark/>
          </w:tcPr>
          <w:p w14:paraId="30342F61" w14:textId="77777777" w:rsidR="00603D8A" w:rsidRPr="00603D8A" w:rsidRDefault="00603D8A" w:rsidP="00603D8A">
            <w:pPr>
              <w:pStyle w:val="Source"/>
              <w:rPr>
                <w:sz w:val="2"/>
                <w:szCs w:val="2"/>
              </w:rPr>
            </w:pPr>
            <w:r w:rsidRPr="00603D8A">
              <w:rPr>
                <w:sz w:val="2"/>
                <w:szCs w:val="2"/>
              </w:rPr>
              <w:t>At award</w:t>
            </w:r>
          </w:p>
        </w:tc>
        <w:tc>
          <w:tcPr>
            <w:tcW w:w="1231" w:type="dxa"/>
            <w:noWrap/>
            <w:hideMark/>
          </w:tcPr>
          <w:p w14:paraId="5D0A5781" w14:textId="77777777" w:rsidR="00603D8A" w:rsidRPr="00603D8A" w:rsidRDefault="00603D8A" w:rsidP="00603D8A">
            <w:pPr>
              <w:pStyle w:val="Source"/>
              <w:rPr>
                <w:sz w:val="2"/>
                <w:szCs w:val="2"/>
              </w:rPr>
            </w:pPr>
            <w:r w:rsidRPr="00603D8A">
              <w:rPr>
                <w:sz w:val="2"/>
                <w:szCs w:val="2"/>
              </w:rPr>
              <w:t>75%</w:t>
            </w:r>
          </w:p>
        </w:tc>
        <w:tc>
          <w:tcPr>
            <w:tcW w:w="1681" w:type="dxa"/>
            <w:noWrap/>
            <w:hideMark/>
          </w:tcPr>
          <w:p w14:paraId="70CBE3B3" w14:textId="77777777" w:rsidR="00603D8A" w:rsidRPr="00603D8A" w:rsidRDefault="00603D8A" w:rsidP="00603D8A">
            <w:pPr>
              <w:pStyle w:val="Source"/>
              <w:rPr>
                <w:sz w:val="2"/>
                <w:szCs w:val="2"/>
              </w:rPr>
            </w:pPr>
            <w:r w:rsidRPr="00603D8A">
              <w:rPr>
                <w:sz w:val="2"/>
                <w:szCs w:val="2"/>
              </w:rPr>
              <w:t>78%</w:t>
            </w:r>
          </w:p>
        </w:tc>
        <w:tc>
          <w:tcPr>
            <w:tcW w:w="1681" w:type="dxa"/>
            <w:noWrap/>
            <w:hideMark/>
          </w:tcPr>
          <w:p w14:paraId="58EB432F" w14:textId="77777777" w:rsidR="00603D8A" w:rsidRPr="00603D8A" w:rsidRDefault="00603D8A" w:rsidP="00603D8A">
            <w:pPr>
              <w:pStyle w:val="Source"/>
              <w:rPr>
                <w:sz w:val="2"/>
                <w:szCs w:val="2"/>
              </w:rPr>
            </w:pPr>
            <w:r w:rsidRPr="00603D8A">
              <w:rPr>
                <w:sz w:val="2"/>
                <w:szCs w:val="2"/>
              </w:rPr>
              <w:t>73%</w:t>
            </w:r>
          </w:p>
        </w:tc>
      </w:tr>
      <w:tr w:rsidR="00603D8A" w:rsidRPr="00603D8A" w14:paraId="3CF8BAA1" w14:textId="77777777" w:rsidTr="00603D8A">
        <w:trPr>
          <w:trHeight w:val="285"/>
          <w:jc w:val="center"/>
        </w:trPr>
        <w:tc>
          <w:tcPr>
            <w:tcW w:w="2118" w:type="dxa"/>
            <w:noWrap/>
            <w:hideMark/>
          </w:tcPr>
          <w:p w14:paraId="678C6258" w14:textId="77777777" w:rsidR="00603D8A" w:rsidRPr="00603D8A" w:rsidRDefault="00603D8A" w:rsidP="00603D8A">
            <w:pPr>
              <w:pStyle w:val="Source"/>
              <w:rPr>
                <w:sz w:val="2"/>
                <w:szCs w:val="2"/>
              </w:rPr>
            </w:pPr>
          </w:p>
        </w:tc>
        <w:tc>
          <w:tcPr>
            <w:tcW w:w="1426" w:type="dxa"/>
            <w:noWrap/>
            <w:hideMark/>
          </w:tcPr>
          <w:p w14:paraId="0FA5BD96" w14:textId="77777777" w:rsidR="00603D8A" w:rsidRPr="00603D8A" w:rsidRDefault="00603D8A" w:rsidP="00603D8A">
            <w:pPr>
              <w:pStyle w:val="Source"/>
              <w:rPr>
                <w:sz w:val="2"/>
                <w:szCs w:val="2"/>
              </w:rPr>
            </w:pPr>
            <w:r w:rsidRPr="00603D8A">
              <w:rPr>
                <w:sz w:val="2"/>
                <w:szCs w:val="2"/>
              </w:rPr>
              <w:t>Less than 10% above award</w:t>
            </w:r>
          </w:p>
        </w:tc>
        <w:tc>
          <w:tcPr>
            <w:tcW w:w="1231" w:type="dxa"/>
            <w:noWrap/>
            <w:hideMark/>
          </w:tcPr>
          <w:p w14:paraId="6466E162" w14:textId="77777777" w:rsidR="00603D8A" w:rsidRPr="00603D8A" w:rsidRDefault="00603D8A" w:rsidP="00603D8A">
            <w:pPr>
              <w:pStyle w:val="Source"/>
              <w:rPr>
                <w:sz w:val="2"/>
                <w:szCs w:val="2"/>
              </w:rPr>
            </w:pPr>
            <w:r w:rsidRPr="00603D8A">
              <w:rPr>
                <w:sz w:val="2"/>
                <w:szCs w:val="2"/>
              </w:rPr>
              <w:t>18%</w:t>
            </w:r>
          </w:p>
        </w:tc>
        <w:tc>
          <w:tcPr>
            <w:tcW w:w="1681" w:type="dxa"/>
            <w:noWrap/>
            <w:hideMark/>
          </w:tcPr>
          <w:p w14:paraId="59E147CA" w14:textId="77777777" w:rsidR="00603D8A" w:rsidRPr="00603D8A" w:rsidRDefault="00603D8A" w:rsidP="00603D8A">
            <w:pPr>
              <w:pStyle w:val="Source"/>
              <w:rPr>
                <w:sz w:val="2"/>
                <w:szCs w:val="2"/>
              </w:rPr>
            </w:pPr>
            <w:r w:rsidRPr="00603D8A">
              <w:rPr>
                <w:sz w:val="2"/>
                <w:szCs w:val="2"/>
              </w:rPr>
              <w:t>16%</w:t>
            </w:r>
          </w:p>
        </w:tc>
        <w:tc>
          <w:tcPr>
            <w:tcW w:w="1681" w:type="dxa"/>
            <w:noWrap/>
            <w:hideMark/>
          </w:tcPr>
          <w:p w14:paraId="328BEC65" w14:textId="77777777" w:rsidR="00603D8A" w:rsidRPr="00603D8A" w:rsidRDefault="00603D8A" w:rsidP="00603D8A">
            <w:pPr>
              <w:pStyle w:val="Source"/>
              <w:rPr>
                <w:sz w:val="2"/>
                <w:szCs w:val="2"/>
              </w:rPr>
            </w:pPr>
            <w:r w:rsidRPr="00603D8A">
              <w:rPr>
                <w:sz w:val="2"/>
                <w:szCs w:val="2"/>
              </w:rPr>
              <w:t>19%</w:t>
            </w:r>
          </w:p>
        </w:tc>
      </w:tr>
      <w:tr w:rsidR="00603D8A" w:rsidRPr="00603D8A" w14:paraId="6AF891D9" w14:textId="77777777" w:rsidTr="00603D8A">
        <w:trPr>
          <w:trHeight w:val="285"/>
          <w:jc w:val="center"/>
        </w:trPr>
        <w:tc>
          <w:tcPr>
            <w:tcW w:w="2118" w:type="dxa"/>
            <w:noWrap/>
            <w:hideMark/>
          </w:tcPr>
          <w:p w14:paraId="2D1C8775" w14:textId="77777777" w:rsidR="00603D8A" w:rsidRPr="00603D8A" w:rsidRDefault="00603D8A" w:rsidP="00603D8A">
            <w:pPr>
              <w:pStyle w:val="Source"/>
              <w:rPr>
                <w:sz w:val="2"/>
                <w:szCs w:val="2"/>
              </w:rPr>
            </w:pPr>
          </w:p>
        </w:tc>
        <w:tc>
          <w:tcPr>
            <w:tcW w:w="1426" w:type="dxa"/>
            <w:noWrap/>
            <w:hideMark/>
          </w:tcPr>
          <w:p w14:paraId="3A856C98" w14:textId="77777777" w:rsidR="00603D8A" w:rsidRPr="00603D8A" w:rsidRDefault="00603D8A" w:rsidP="00603D8A">
            <w:pPr>
              <w:pStyle w:val="Source"/>
              <w:rPr>
                <w:sz w:val="2"/>
                <w:szCs w:val="2"/>
              </w:rPr>
            </w:pPr>
            <w:r w:rsidRPr="00603D8A">
              <w:rPr>
                <w:sz w:val="2"/>
                <w:szCs w:val="2"/>
              </w:rPr>
              <w:t>10-25% above award</w:t>
            </w:r>
          </w:p>
        </w:tc>
        <w:tc>
          <w:tcPr>
            <w:tcW w:w="1231" w:type="dxa"/>
            <w:noWrap/>
            <w:hideMark/>
          </w:tcPr>
          <w:p w14:paraId="2BA3DBEF" w14:textId="77777777" w:rsidR="00603D8A" w:rsidRPr="00603D8A" w:rsidRDefault="00603D8A" w:rsidP="00603D8A">
            <w:pPr>
              <w:pStyle w:val="Source"/>
              <w:rPr>
                <w:sz w:val="2"/>
                <w:szCs w:val="2"/>
              </w:rPr>
            </w:pPr>
            <w:r w:rsidRPr="00603D8A">
              <w:rPr>
                <w:sz w:val="2"/>
                <w:szCs w:val="2"/>
              </w:rPr>
              <w:t>5%</w:t>
            </w:r>
          </w:p>
        </w:tc>
        <w:tc>
          <w:tcPr>
            <w:tcW w:w="1681" w:type="dxa"/>
            <w:noWrap/>
            <w:hideMark/>
          </w:tcPr>
          <w:p w14:paraId="48393C10" w14:textId="77777777" w:rsidR="00603D8A" w:rsidRPr="00603D8A" w:rsidRDefault="00603D8A" w:rsidP="00603D8A">
            <w:pPr>
              <w:pStyle w:val="Source"/>
              <w:rPr>
                <w:sz w:val="2"/>
                <w:szCs w:val="2"/>
              </w:rPr>
            </w:pPr>
            <w:r w:rsidRPr="00603D8A">
              <w:rPr>
                <w:sz w:val="2"/>
                <w:szCs w:val="2"/>
              </w:rPr>
              <w:t>3%</w:t>
            </w:r>
          </w:p>
        </w:tc>
        <w:tc>
          <w:tcPr>
            <w:tcW w:w="1681" w:type="dxa"/>
            <w:noWrap/>
            <w:hideMark/>
          </w:tcPr>
          <w:p w14:paraId="56C1FC4A" w14:textId="77777777" w:rsidR="00603D8A" w:rsidRPr="00603D8A" w:rsidRDefault="00603D8A" w:rsidP="00603D8A">
            <w:pPr>
              <w:pStyle w:val="Source"/>
              <w:rPr>
                <w:sz w:val="2"/>
                <w:szCs w:val="2"/>
              </w:rPr>
            </w:pPr>
            <w:r w:rsidRPr="00603D8A">
              <w:rPr>
                <w:sz w:val="2"/>
                <w:szCs w:val="2"/>
              </w:rPr>
              <w:t>2%</w:t>
            </w:r>
          </w:p>
        </w:tc>
      </w:tr>
      <w:tr w:rsidR="00603D8A" w:rsidRPr="00603D8A" w14:paraId="2CF305A7" w14:textId="77777777" w:rsidTr="00603D8A">
        <w:trPr>
          <w:trHeight w:val="285"/>
          <w:jc w:val="center"/>
        </w:trPr>
        <w:tc>
          <w:tcPr>
            <w:tcW w:w="2118" w:type="dxa"/>
            <w:noWrap/>
            <w:hideMark/>
          </w:tcPr>
          <w:p w14:paraId="5D003268" w14:textId="77777777" w:rsidR="00603D8A" w:rsidRPr="00603D8A" w:rsidRDefault="00603D8A" w:rsidP="00603D8A">
            <w:pPr>
              <w:pStyle w:val="Source"/>
              <w:rPr>
                <w:sz w:val="2"/>
                <w:szCs w:val="2"/>
              </w:rPr>
            </w:pPr>
          </w:p>
        </w:tc>
        <w:tc>
          <w:tcPr>
            <w:tcW w:w="1426" w:type="dxa"/>
            <w:noWrap/>
            <w:hideMark/>
          </w:tcPr>
          <w:p w14:paraId="6B9AB44B" w14:textId="77777777" w:rsidR="00603D8A" w:rsidRPr="00603D8A" w:rsidRDefault="00603D8A" w:rsidP="00603D8A">
            <w:pPr>
              <w:pStyle w:val="Source"/>
              <w:rPr>
                <w:sz w:val="2"/>
                <w:szCs w:val="2"/>
              </w:rPr>
            </w:pPr>
            <w:r w:rsidRPr="00603D8A">
              <w:rPr>
                <w:sz w:val="2"/>
                <w:szCs w:val="2"/>
              </w:rPr>
              <w:t>Greater than 25% above award</w:t>
            </w:r>
          </w:p>
        </w:tc>
        <w:tc>
          <w:tcPr>
            <w:tcW w:w="1231" w:type="dxa"/>
            <w:noWrap/>
            <w:hideMark/>
          </w:tcPr>
          <w:p w14:paraId="29038C65" w14:textId="77777777" w:rsidR="00603D8A" w:rsidRPr="00603D8A" w:rsidRDefault="00603D8A" w:rsidP="00603D8A">
            <w:pPr>
              <w:pStyle w:val="Source"/>
              <w:rPr>
                <w:sz w:val="2"/>
                <w:szCs w:val="2"/>
              </w:rPr>
            </w:pPr>
            <w:r w:rsidRPr="00603D8A">
              <w:rPr>
                <w:sz w:val="2"/>
                <w:szCs w:val="2"/>
              </w:rPr>
              <w:t>2%</w:t>
            </w:r>
          </w:p>
        </w:tc>
        <w:tc>
          <w:tcPr>
            <w:tcW w:w="1681" w:type="dxa"/>
            <w:noWrap/>
            <w:hideMark/>
          </w:tcPr>
          <w:p w14:paraId="082DCEF1" w14:textId="77777777" w:rsidR="00603D8A" w:rsidRPr="00603D8A" w:rsidRDefault="00603D8A" w:rsidP="00603D8A">
            <w:pPr>
              <w:pStyle w:val="Source"/>
              <w:rPr>
                <w:sz w:val="2"/>
                <w:szCs w:val="2"/>
              </w:rPr>
            </w:pPr>
            <w:r w:rsidRPr="00603D8A">
              <w:rPr>
                <w:sz w:val="2"/>
                <w:szCs w:val="2"/>
              </w:rPr>
              <w:t>2%</w:t>
            </w:r>
          </w:p>
        </w:tc>
        <w:tc>
          <w:tcPr>
            <w:tcW w:w="1681" w:type="dxa"/>
            <w:noWrap/>
            <w:hideMark/>
          </w:tcPr>
          <w:p w14:paraId="6068BBA1" w14:textId="77777777" w:rsidR="00603D8A" w:rsidRPr="00603D8A" w:rsidRDefault="00603D8A" w:rsidP="00603D8A">
            <w:pPr>
              <w:pStyle w:val="Source"/>
              <w:rPr>
                <w:sz w:val="2"/>
                <w:szCs w:val="2"/>
              </w:rPr>
            </w:pPr>
            <w:r w:rsidRPr="00603D8A">
              <w:rPr>
                <w:sz w:val="2"/>
                <w:szCs w:val="2"/>
              </w:rPr>
              <w:t>6%</w:t>
            </w:r>
          </w:p>
        </w:tc>
      </w:tr>
      <w:tr w:rsidR="00603D8A" w:rsidRPr="00603D8A" w14:paraId="03105705" w14:textId="77777777" w:rsidTr="00603D8A">
        <w:trPr>
          <w:trHeight w:val="300"/>
          <w:jc w:val="center"/>
        </w:trPr>
        <w:tc>
          <w:tcPr>
            <w:tcW w:w="2118" w:type="dxa"/>
            <w:hideMark/>
          </w:tcPr>
          <w:p w14:paraId="022C9C4E" w14:textId="77777777" w:rsidR="00603D8A" w:rsidRPr="00603D8A" w:rsidRDefault="00603D8A" w:rsidP="00603D8A">
            <w:pPr>
              <w:pStyle w:val="Source"/>
              <w:rPr>
                <w:sz w:val="2"/>
                <w:szCs w:val="2"/>
              </w:rPr>
            </w:pPr>
          </w:p>
        </w:tc>
        <w:tc>
          <w:tcPr>
            <w:tcW w:w="1426" w:type="dxa"/>
            <w:hideMark/>
          </w:tcPr>
          <w:p w14:paraId="04751E80" w14:textId="77777777" w:rsidR="00603D8A" w:rsidRPr="00603D8A" w:rsidRDefault="00603D8A" w:rsidP="00603D8A">
            <w:pPr>
              <w:pStyle w:val="Source"/>
              <w:rPr>
                <w:sz w:val="2"/>
                <w:szCs w:val="2"/>
              </w:rPr>
            </w:pPr>
          </w:p>
        </w:tc>
        <w:tc>
          <w:tcPr>
            <w:tcW w:w="1231" w:type="dxa"/>
            <w:noWrap/>
            <w:hideMark/>
          </w:tcPr>
          <w:p w14:paraId="1C1FD6E4" w14:textId="77777777" w:rsidR="00603D8A" w:rsidRPr="00603D8A" w:rsidRDefault="00603D8A" w:rsidP="00603D8A">
            <w:pPr>
              <w:pStyle w:val="Source"/>
              <w:rPr>
                <w:b/>
                <w:bCs/>
                <w:sz w:val="2"/>
                <w:szCs w:val="2"/>
              </w:rPr>
            </w:pPr>
            <w:r w:rsidRPr="00603D8A">
              <w:rPr>
                <w:b/>
                <w:bCs/>
                <w:sz w:val="2"/>
                <w:szCs w:val="2"/>
              </w:rPr>
              <w:t>Single service</w:t>
            </w:r>
          </w:p>
        </w:tc>
        <w:tc>
          <w:tcPr>
            <w:tcW w:w="1681" w:type="dxa"/>
            <w:noWrap/>
            <w:hideMark/>
          </w:tcPr>
          <w:p w14:paraId="0C83B0C1" w14:textId="77777777" w:rsidR="00603D8A" w:rsidRPr="00603D8A" w:rsidRDefault="00603D8A" w:rsidP="00603D8A">
            <w:pPr>
              <w:pStyle w:val="Source"/>
              <w:rPr>
                <w:b/>
                <w:bCs/>
                <w:sz w:val="2"/>
                <w:szCs w:val="2"/>
              </w:rPr>
            </w:pPr>
            <w:r w:rsidRPr="00603D8A">
              <w:rPr>
                <w:b/>
                <w:bCs/>
                <w:sz w:val="2"/>
                <w:szCs w:val="2"/>
              </w:rPr>
              <w:t>Multi-service (small)</w:t>
            </w:r>
          </w:p>
        </w:tc>
        <w:tc>
          <w:tcPr>
            <w:tcW w:w="1681" w:type="dxa"/>
            <w:noWrap/>
            <w:hideMark/>
          </w:tcPr>
          <w:p w14:paraId="33208EBA" w14:textId="77777777" w:rsidR="00603D8A" w:rsidRPr="00603D8A" w:rsidRDefault="00603D8A" w:rsidP="00603D8A">
            <w:pPr>
              <w:pStyle w:val="Source"/>
              <w:rPr>
                <w:b/>
                <w:bCs/>
                <w:sz w:val="2"/>
                <w:szCs w:val="2"/>
              </w:rPr>
            </w:pPr>
            <w:r w:rsidRPr="00603D8A">
              <w:rPr>
                <w:b/>
                <w:bCs/>
                <w:sz w:val="2"/>
                <w:szCs w:val="2"/>
              </w:rPr>
              <w:t>Multi-service (large)</w:t>
            </w:r>
          </w:p>
        </w:tc>
      </w:tr>
      <w:tr w:rsidR="00603D8A" w:rsidRPr="00603D8A" w14:paraId="1EDEAC60" w14:textId="77777777" w:rsidTr="00603D8A">
        <w:trPr>
          <w:trHeight w:val="300"/>
          <w:jc w:val="center"/>
        </w:trPr>
        <w:tc>
          <w:tcPr>
            <w:tcW w:w="2118" w:type="dxa"/>
            <w:noWrap/>
            <w:hideMark/>
          </w:tcPr>
          <w:p w14:paraId="24E703B1" w14:textId="77777777" w:rsidR="00603D8A" w:rsidRPr="00603D8A" w:rsidRDefault="00603D8A" w:rsidP="00603D8A">
            <w:pPr>
              <w:pStyle w:val="Source"/>
              <w:rPr>
                <w:b/>
                <w:bCs/>
                <w:sz w:val="2"/>
                <w:szCs w:val="2"/>
              </w:rPr>
            </w:pPr>
            <w:r w:rsidRPr="00603D8A">
              <w:rPr>
                <w:b/>
                <w:bCs/>
                <w:sz w:val="2"/>
                <w:szCs w:val="2"/>
              </w:rPr>
              <w:t>Private not-for-profit</w:t>
            </w:r>
          </w:p>
        </w:tc>
        <w:tc>
          <w:tcPr>
            <w:tcW w:w="1426" w:type="dxa"/>
            <w:noWrap/>
            <w:hideMark/>
          </w:tcPr>
          <w:p w14:paraId="4D856738" w14:textId="77777777" w:rsidR="00603D8A" w:rsidRPr="00603D8A" w:rsidRDefault="00603D8A" w:rsidP="00603D8A">
            <w:pPr>
              <w:pStyle w:val="Source"/>
              <w:rPr>
                <w:sz w:val="2"/>
                <w:szCs w:val="2"/>
              </w:rPr>
            </w:pPr>
            <w:r w:rsidRPr="00603D8A">
              <w:rPr>
                <w:sz w:val="2"/>
                <w:szCs w:val="2"/>
              </w:rPr>
              <w:t>At award</w:t>
            </w:r>
          </w:p>
        </w:tc>
        <w:tc>
          <w:tcPr>
            <w:tcW w:w="1231" w:type="dxa"/>
            <w:noWrap/>
            <w:hideMark/>
          </w:tcPr>
          <w:p w14:paraId="11D5B43D" w14:textId="77777777" w:rsidR="00603D8A" w:rsidRPr="00603D8A" w:rsidRDefault="00603D8A" w:rsidP="00603D8A">
            <w:pPr>
              <w:pStyle w:val="Source"/>
              <w:rPr>
                <w:sz w:val="2"/>
                <w:szCs w:val="2"/>
              </w:rPr>
            </w:pPr>
            <w:r w:rsidRPr="00603D8A">
              <w:rPr>
                <w:sz w:val="2"/>
                <w:szCs w:val="2"/>
              </w:rPr>
              <w:t>68%</w:t>
            </w:r>
          </w:p>
        </w:tc>
        <w:tc>
          <w:tcPr>
            <w:tcW w:w="1681" w:type="dxa"/>
            <w:noWrap/>
            <w:hideMark/>
          </w:tcPr>
          <w:p w14:paraId="4E703EB5" w14:textId="77777777" w:rsidR="00603D8A" w:rsidRPr="00603D8A" w:rsidRDefault="00603D8A" w:rsidP="00603D8A">
            <w:pPr>
              <w:pStyle w:val="Source"/>
              <w:rPr>
                <w:sz w:val="2"/>
                <w:szCs w:val="2"/>
              </w:rPr>
            </w:pPr>
            <w:r w:rsidRPr="00603D8A">
              <w:rPr>
                <w:sz w:val="2"/>
                <w:szCs w:val="2"/>
              </w:rPr>
              <w:t>41%</w:t>
            </w:r>
          </w:p>
        </w:tc>
        <w:tc>
          <w:tcPr>
            <w:tcW w:w="1681" w:type="dxa"/>
            <w:noWrap/>
            <w:hideMark/>
          </w:tcPr>
          <w:p w14:paraId="43228896" w14:textId="77777777" w:rsidR="00603D8A" w:rsidRPr="00603D8A" w:rsidRDefault="00603D8A" w:rsidP="00603D8A">
            <w:pPr>
              <w:pStyle w:val="Source"/>
              <w:rPr>
                <w:sz w:val="2"/>
                <w:szCs w:val="2"/>
              </w:rPr>
            </w:pPr>
            <w:r w:rsidRPr="00603D8A">
              <w:rPr>
                <w:sz w:val="2"/>
                <w:szCs w:val="2"/>
              </w:rPr>
              <w:t>8%</w:t>
            </w:r>
          </w:p>
        </w:tc>
      </w:tr>
      <w:tr w:rsidR="00603D8A" w:rsidRPr="00603D8A" w14:paraId="42C6E569" w14:textId="77777777" w:rsidTr="00603D8A">
        <w:trPr>
          <w:trHeight w:val="285"/>
          <w:jc w:val="center"/>
        </w:trPr>
        <w:tc>
          <w:tcPr>
            <w:tcW w:w="2118" w:type="dxa"/>
            <w:noWrap/>
            <w:hideMark/>
          </w:tcPr>
          <w:p w14:paraId="5F879618" w14:textId="77777777" w:rsidR="00603D8A" w:rsidRPr="00603D8A" w:rsidRDefault="00603D8A" w:rsidP="00603D8A">
            <w:pPr>
              <w:pStyle w:val="Source"/>
              <w:rPr>
                <w:sz w:val="2"/>
                <w:szCs w:val="2"/>
              </w:rPr>
            </w:pPr>
          </w:p>
        </w:tc>
        <w:tc>
          <w:tcPr>
            <w:tcW w:w="1426" w:type="dxa"/>
            <w:noWrap/>
            <w:hideMark/>
          </w:tcPr>
          <w:p w14:paraId="6F9611E6" w14:textId="77777777" w:rsidR="00603D8A" w:rsidRPr="00603D8A" w:rsidRDefault="00603D8A" w:rsidP="00603D8A">
            <w:pPr>
              <w:pStyle w:val="Source"/>
              <w:rPr>
                <w:sz w:val="2"/>
                <w:szCs w:val="2"/>
              </w:rPr>
            </w:pPr>
            <w:r w:rsidRPr="00603D8A">
              <w:rPr>
                <w:sz w:val="2"/>
                <w:szCs w:val="2"/>
              </w:rPr>
              <w:t>Less than 10% above award</w:t>
            </w:r>
          </w:p>
        </w:tc>
        <w:tc>
          <w:tcPr>
            <w:tcW w:w="1231" w:type="dxa"/>
            <w:noWrap/>
            <w:hideMark/>
          </w:tcPr>
          <w:p w14:paraId="6B399612" w14:textId="77777777" w:rsidR="00603D8A" w:rsidRPr="00603D8A" w:rsidRDefault="00603D8A" w:rsidP="00603D8A">
            <w:pPr>
              <w:pStyle w:val="Source"/>
              <w:rPr>
                <w:sz w:val="2"/>
                <w:szCs w:val="2"/>
              </w:rPr>
            </w:pPr>
            <w:r w:rsidRPr="00603D8A">
              <w:rPr>
                <w:sz w:val="2"/>
                <w:szCs w:val="2"/>
              </w:rPr>
              <w:t>19%</w:t>
            </w:r>
          </w:p>
        </w:tc>
        <w:tc>
          <w:tcPr>
            <w:tcW w:w="1681" w:type="dxa"/>
            <w:noWrap/>
            <w:hideMark/>
          </w:tcPr>
          <w:p w14:paraId="1B3F1193" w14:textId="77777777" w:rsidR="00603D8A" w:rsidRPr="00603D8A" w:rsidRDefault="00603D8A" w:rsidP="00603D8A">
            <w:pPr>
              <w:pStyle w:val="Source"/>
              <w:rPr>
                <w:sz w:val="2"/>
                <w:szCs w:val="2"/>
              </w:rPr>
            </w:pPr>
            <w:r w:rsidRPr="00603D8A">
              <w:rPr>
                <w:sz w:val="2"/>
                <w:szCs w:val="2"/>
              </w:rPr>
              <w:t>42%</w:t>
            </w:r>
          </w:p>
        </w:tc>
        <w:tc>
          <w:tcPr>
            <w:tcW w:w="1681" w:type="dxa"/>
            <w:noWrap/>
            <w:hideMark/>
          </w:tcPr>
          <w:p w14:paraId="5D91F091" w14:textId="77777777" w:rsidR="00603D8A" w:rsidRPr="00603D8A" w:rsidRDefault="00603D8A" w:rsidP="00603D8A">
            <w:pPr>
              <w:pStyle w:val="Source"/>
              <w:rPr>
                <w:sz w:val="2"/>
                <w:szCs w:val="2"/>
              </w:rPr>
            </w:pPr>
            <w:r w:rsidRPr="00603D8A">
              <w:rPr>
                <w:sz w:val="2"/>
                <w:szCs w:val="2"/>
              </w:rPr>
              <w:t>76%</w:t>
            </w:r>
          </w:p>
        </w:tc>
      </w:tr>
      <w:tr w:rsidR="00603D8A" w:rsidRPr="00603D8A" w14:paraId="0A10FCF2" w14:textId="77777777" w:rsidTr="00603D8A">
        <w:trPr>
          <w:trHeight w:val="285"/>
          <w:jc w:val="center"/>
        </w:trPr>
        <w:tc>
          <w:tcPr>
            <w:tcW w:w="2118" w:type="dxa"/>
            <w:noWrap/>
            <w:hideMark/>
          </w:tcPr>
          <w:p w14:paraId="635BB4D9" w14:textId="77777777" w:rsidR="00603D8A" w:rsidRPr="00603D8A" w:rsidRDefault="00603D8A" w:rsidP="00603D8A">
            <w:pPr>
              <w:pStyle w:val="Source"/>
              <w:rPr>
                <w:sz w:val="2"/>
                <w:szCs w:val="2"/>
              </w:rPr>
            </w:pPr>
          </w:p>
        </w:tc>
        <w:tc>
          <w:tcPr>
            <w:tcW w:w="1426" w:type="dxa"/>
            <w:noWrap/>
            <w:hideMark/>
          </w:tcPr>
          <w:p w14:paraId="5035E284" w14:textId="77777777" w:rsidR="00603D8A" w:rsidRPr="00603D8A" w:rsidRDefault="00603D8A" w:rsidP="00603D8A">
            <w:pPr>
              <w:pStyle w:val="Source"/>
              <w:rPr>
                <w:sz w:val="2"/>
                <w:szCs w:val="2"/>
              </w:rPr>
            </w:pPr>
            <w:r w:rsidRPr="00603D8A">
              <w:rPr>
                <w:sz w:val="2"/>
                <w:szCs w:val="2"/>
              </w:rPr>
              <w:t>10-25% above award</w:t>
            </w:r>
          </w:p>
        </w:tc>
        <w:tc>
          <w:tcPr>
            <w:tcW w:w="1231" w:type="dxa"/>
            <w:noWrap/>
            <w:hideMark/>
          </w:tcPr>
          <w:p w14:paraId="3E3FBB31" w14:textId="77777777" w:rsidR="00603D8A" w:rsidRPr="00603D8A" w:rsidRDefault="00603D8A" w:rsidP="00603D8A">
            <w:pPr>
              <w:pStyle w:val="Source"/>
              <w:rPr>
                <w:sz w:val="2"/>
                <w:szCs w:val="2"/>
              </w:rPr>
            </w:pPr>
            <w:r w:rsidRPr="00603D8A">
              <w:rPr>
                <w:sz w:val="2"/>
                <w:szCs w:val="2"/>
              </w:rPr>
              <w:t>8%</w:t>
            </w:r>
          </w:p>
        </w:tc>
        <w:tc>
          <w:tcPr>
            <w:tcW w:w="1681" w:type="dxa"/>
            <w:noWrap/>
            <w:hideMark/>
          </w:tcPr>
          <w:p w14:paraId="2DFD2D74" w14:textId="77777777" w:rsidR="00603D8A" w:rsidRPr="00603D8A" w:rsidRDefault="00603D8A" w:rsidP="00603D8A">
            <w:pPr>
              <w:pStyle w:val="Source"/>
              <w:rPr>
                <w:sz w:val="2"/>
                <w:szCs w:val="2"/>
              </w:rPr>
            </w:pPr>
            <w:r w:rsidRPr="00603D8A">
              <w:rPr>
                <w:sz w:val="2"/>
                <w:szCs w:val="2"/>
              </w:rPr>
              <w:t>15%</w:t>
            </w:r>
          </w:p>
        </w:tc>
        <w:tc>
          <w:tcPr>
            <w:tcW w:w="1681" w:type="dxa"/>
            <w:noWrap/>
            <w:hideMark/>
          </w:tcPr>
          <w:p w14:paraId="64C58F22" w14:textId="77777777" w:rsidR="00603D8A" w:rsidRPr="00603D8A" w:rsidRDefault="00603D8A" w:rsidP="00603D8A">
            <w:pPr>
              <w:pStyle w:val="Source"/>
              <w:rPr>
                <w:sz w:val="2"/>
                <w:szCs w:val="2"/>
              </w:rPr>
            </w:pPr>
            <w:r w:rsidRPr="00603D8A">
              <w:rPr>
                <w:sz w:val="2"/>
                <w:szCs w:val="2"/>
              </w:rPr>
              <w:t>12%</w:t>
            </w:r>
          </w:p>
        </w:tc>
      </w:tr>
      <w:tr w:rsidR="00603D8A" w:rsidRPr="00603D8A" w14:paraId="68D82AFE" w14:textId="77777777" w:rsidTr="00603D8A">
        <w:trPr>
          <w:trHeight w:val="300"/>
          <w:jc w:val="center"/>
        </w:trPr>
        <w:tc>
          <w:tcPr>
            <w:tcW w:w="2118" w:type="dxa"/>
            <w:noWrap/>
            <w:hideMark/>
          </w:tcPr>
          <w:p w14:paraId="48C4917A" w14:textId="77777777" w:rsidR="00603D8A" w:rsidRPr="00603D8A" w:rsidRDefault="00603D8A" w:rsidP="00603D8A">
            <w:pPr>
              <w:pStyle w:val="Source"/>
              <w:rPr>
                <w:sz w:val="2"/>
                <w:szCs w:val="2"/>
              </w:rPr>
            </w:pPr>
          </w:p>
        </w:tc>
        <w:tc>
          <w:tcPr>
            <w:tcW w:w="1426" w:type="dxa"/>
            <w:noWrap/>
            <w:hideMark/>
          </w:tcPr>
          <w:p w14:paraId="380DCCB0" w14:textId="77777777" w:rsidR="00603D8A" w:rsidRPr="00603D8A" w:rsidRDefault="00603D8A" w:rsidP="00603D8A">
            <w:pPr>
              <w:pStyle w:val="Source"/>
              <w:rPr>
                <w:sz w:val="2"/>
                <w:szCs w:val="2"/>
              </w:rPr>
            </w:pPr>
            <w:r w:rsidRPr="00603D8A">
              <w:rPr>
                <w:sz w:val="2"/>
                <w:szCs w:val="2"/>
              </w:rPr>
              <w:t>Greater than 25% above award</w:t>
            </w:r>
          </w:p>
        </w:tc>
        <w:tc>
          <w:tcPr>
            <w:tcW w:w="1231" w:type="dxa"/>
            <w:noWrap/>
            <w:hideMark/>
          </w:tcPr>
          <w:p w14:paraId="04724DD7" w14:textId="77777777" w:rsidR="00603D8A" w:rsidRPr="00603D8A" w:rsidRDefault="00603D8A" w:rsidP="00603D8A">
            <w:pPr>
              <w:pStyle w:val="Source"/>
              <w:rPr>
                <w:sz w:val="2"/>
                <w:szCs w:val="2"/>
              </w:rPr>
            </w:pPr>
            <w:r w:rsidRPr="00603D8A">
              <w:rPr>
                <w:sz w:val="2"/>
                <w:szCs w:val="2"/>
              </w:rPr>
              <w:t>5%</w:t>
            </w:r>
          </w:p>
        </w:tc>
        <w:tc>
          <w:tcPr>
            <w:tcW w:w="1681" w:type="dxa"/>
            <w:noWrap/>
            <w:hideMark/>
          </w:tcPr>
          <w:p w14:paraId="3020D2AD" w14:textId="77777777" w:rsidR="00603D8A" w:rsidRPr="00603D8A" w:rsidRDefault="00603D8A" w:rsidP="00603D8A">
            <w:pPr>
              <w:pStyle w:val="Source"/>
              <w:rPr>
                <w:sz w:val="2"/>
                <w:szCs w:val="2"/>
              </w:rPr>
            </w:pPr>
            <w:r w:rsidRPr="00603D8A">
              <w:rPr>
                <w:sz w:val="2"/>
                <w:szCs w:val="2"/>
              </w:rPr>
              <w:t>2%</w:t>
            </w:r>
          </w:p>
        </w:tc>
        <w:tc>
          <w:tcPr>
            <w:tcW w:w="1681" w:type="dxa"/>
            <w:noWrap/>
            <w:hideMark/>
          </w:tcPr>
          <w:p w14:paraId="763EF8B5" w14:textId="77777777" w:rsidR="00603D8A" w:rsidRPr="00603D8A" w:rsidRDefault="00603D8A" w:rsidP="00603D8A">
            <w:pPr>
              <w:pStyle w:val="Source"/>
              <w:rPr>
                <w:sz w:val="2"/>
                <w:szCs w:val="2"/>
              </w:rPr>
            </w:pPr>
            <w:r w:rsidRPr="00603D8A">
              <w:rPr>
                <w:sz w:val="2"/>
                <w:szCs w:val="2"/>
              </w:rPr>
              <w:t>4%</w:t>
            </w:r>
          </w:p>
        </w:tc>
      </w:tr>
      <w:tr w:rsidR="00603D8A" w:rsidRPr="00603D8A" w14:paraId="48773A43" w14:textId="77777777" w:rsidTr="00603D8A">
        <w:trPr>
          <w:trHeight w:val="300"/>
          <w:jc w:val="center"/>
        </w:trPr>
        <w:tc>
          <w:tcPr>
            <w:tcW w:w="2118" w:type="dxa"/>
            <w:hideMark/>
          </w:tcPr>
          <w:p w14:paraId="47F63A33" w14:textId="77777777" w:rsidR="00603D8A" w:rsidRPr="00603D8A" w:rsidRDefault="00603D8A" w:rsidP="00603D8A">
            <w:pPr>
              <w:pStyle w:val="Source"/>
              <w:rPr>
                <w:sz w:val="2"/>
                <w:szCs w:val="2"/>
              </w:rPr>
            </w:pPr>
          </w:p>
        </w:tc>
        <w:tc>
          <w:tcPr>
            <w:tcW w:w="1426" w:type="dxa"/>
            <w:hideMark/>
          </w:tcPr>
          <w:p w14:paraId="4C238DE5" w14:textId="77777777" w:rsidR="00603D8A" w:rsidRPr="00603D8A" w:rsidRDefault="00603D8A" w:rsidP="00603D8A">
            <w:pPr>
              <w:pStyle w:val="Source"/>
              <w:rPr>
                <w:sz w:val="2"/>
                <w:szCs w:val="2"/>
              </w:rPr>
            </w:pPr>
          </w:p>
        </w:tc>
        <w:tc>
          <w:tcPr>
            <w:tcW w:w="1231" w:type="dxa"/>
            <w:noWrap/>
            <w:hideMark/>
          </w:tcPr>
          <w:p w14:paraId="0B075C17" w14:textId="77777777" w:rsidR="00603D8A" w:rsidRPr="00603D8A" w:rsidRDefault="00603D8A" w:rsidP="00603D8A">
            <w:pPr>
              <w:pStyle w:val="Source"/>
              <w:rPr>
                <w:b/>
                <w:bCs/>
                <w:sz w:val="2"/>
                <w:szCs w:val="2"/>
              </w:rPr>
            </w:pPr>
            <w:r w:rsidRPr="00603D8A">
              <w:rPr>
                <w:b/>
                <w:bCs/>
                <w:sz w:val="2"/>
                <w:szCs w:val="2"/>
              </w:rPr>
              <w:t>Single service</w:t>
            </w:r>
          </w:p>
        </w:tc>
        <w:tc>
          <w:tcPr>
            <w:tcW w:w="1681" w:type="dxa"/>
            <w:noWrap/>
            <w:hideMark/>
          </w:tcPr>
          <w:p w14:paraId="3464A64A" w14:textId="77777777" w:rsidR="00603D8A" w:rsidRPr="00603D8A" w:rsidRDefault="00603D8A" w:rsidP="00603D8A">
            <w:pPr>
              <w:pStyle w:val="Source"/>
              <w:rPr>
                <w:b/>
                <w:bCs/>
                <w:sz w:val="2"/>
                <w:szCs w:val="2"/>
              </w:rPr>
            </w:pPr>
            <w:r w:rsidRPr="00603D8A">
              <w:rPr>
                <w:b/>
                <w:bCs/>
                <w:sz w:val="2"/>
                <w:szCs w:val="2"/>
              </w:rPr>
              <w:t>Multi-service (small)</w:t>
            </w:r>
          </w:p>
        </w:tc>
        <w:tc>
          <w:tcPr>
            <w:tcW w:w="1681" w:type="dxa"/>
            <w:noWrap/>
            <w:hideMark/>
          </w:tcPr>
          <w:p w14:paraId="144C26BF" w14:textId="77777777" w:rsidR="00603D8A" w:rsidRPr="00603D8A" w:rsidRDefault="00603D8A" w:rsidP="00603D8A">
            <w:pPr>
              <w:pStyle w:val="Source"/>
              <w:rPr>
                <w:b/>
                <w:bCs/>
                <w:sz w:val="2"/>
                <w:szCs w:val="2"/>
              </w:rPr>
            </w:pPr>
            <w:r w:rsidRPr="00603D8A">
              <w:rPr>
                <w:b/>
                <w:bCs/>
                <w:sz w:val="2"/>
                <w:szCs w:val="2"/>
              </w:rPr>
              <w:t>Multi-service (large)</w:t>
            </w:r>
          </w:p>
        </w:tc>
      </w:tr>
      <w:tr w:rsidR="00603D8A" w:rsidRPr="00603D8A" w14:paraId="35744231" w14:textId="77777777" w:rsidTr="00603D8A">
        <w:trPr>
          <w:trHeight w:val="300"/>
          <w:jc w:val="center"/>
        </w:trPr>
        <w:tc>
          <w:tcPr>
            <w:tcW w:w="2118" w:type="dxa"/>
            <w:noWrap/>
            <w:hideMark/>
          </w:tcPr>
          <w:p w14:paraId="2103041E" w14:textId="77777777" w:rsidR="00603D8A" w:rsidRPr="00603D8A" w:rsidRDefault="00603D8A" w:rsidP="00603D8A">
            <w:pPr>
              <w:pStyle w:val="Source"/>
              <w:rPr>
                <w:b/>
                <w:bCs/>
                <w:sz w:val="2"/>
                <w:szCs w:val="2"/>
              </w:rPr>
            </w:pPr>
            <w:r w:rsidRPr="00603D8A">
              <w:rPr>
                <w:b/>
                <w:bCs/>
                <w:sz w:val="2"/>
                <w:szCs w:val="2"/>
              </w:rPr>
              <w:t>Community</w:t>
            </w:r>
          </w:p>
        </w:tc>
        <w:tc>
          <w:tcPr>
            <w:tcW w:w="1426" w:type="dxa"/>
            <w:noWrap/>
            <w:hideMark/>
          </w:tcPr>
          <w:p w14:paraId="0BC1BC55" w14:textId="77777777" w:rsidR="00603D8A" w:rsidRPr="00603D8A" w:rsidRDefault="00603D8A" w:rsidP="00603D8A">
            <w:pPr>
              <w:pStyle w:val="Source"/>
              <w:rPr>
                <w:sz w:val="2"/>
                <w:szCs w:val="2"/>
              </w:rPr>
            </w:pPr>
            <w:r w:rsidRPr="00603D8A">
              <w:rPr>
                <w:sz w:val="2"/>
                <w:szCs w:val="2"/>
              </w:rPr>
              <w:t>At award</w:t>
            </w:r>
          </w:p>
        </w:tc>
        <w:tc>
          <w:tcPr>
            <w:tcW w:w="1231" w:type="dxa"/>
            <w:noWrap/>
            <w:hideMark/>
          </w:tcPr>
          <w:p w14:paraId="2262BCA8" w14:textId="77777777" w:rsidR="00603D8A" w:rsidRPr="00603D8A" w:rsidRDefault="00603D8A" w:rsidP="00603D8A">
            <w:pPr>
              <w:pStyle w:val="Source"/>
              <w:rPr>
                <w:sz w:val="2"/>
                <w:szCs w:val="2"/>
              </w:rPr>
            </w:pPr>
            <w:r w:rsidRPr="00603D8A">
              <w:rPr>
                <w:sz w:val="2"/>
                <w:szCs w:val="2"/>
              </w:rPr>
              <w:t>47%</w:t>
            </w:r>
          </w:p>
        </w:tc>
        <w:tc>
          <w:tcPr>
            <w:tcW w:w="1681" w:type="dxa"/>
            <w:noWrap/>
            <w:hideMark/>
          </w:tcPr>
          <w:p w14:paraId="40EC4037" w14:textId="77777777" w:rsidR="00603D8A" w:rsidRPr="00603D8A" w:rsidRDefault="00603D8A" w:rsidP="00603D8A">
            <w:pPr>
              <w:pStyle w:val="Source"/>
              <w:rPr>
                <w:sz w:val="2"/>
                <w:szCs w:val="2"/>
              </w:rPr>
            </w:pPr>
            <w:r w:rsidRPr="00603D8A">
              <w:rPr>
                <w:sz w:val="2"/>
                <w:szCs w:val="2"/>
              </w:rPr>
              <w:t>51%</w:t>
            </w:r>
          </w:p>
        </w:tc>
        <w:tc>
          <w:tcPr>
            <w:tcW w:w="1681" w:type="dxa"/>
            <w:noWrap/>
            <w:hideMark/>
          </w:tcPr>
          <w:p w14:paraId="426846E3" w14:textId="77777777" w:rsidR="00603D8A" w:rsidRPr="00603D8A" w:rsidRDefault="00603D8A" w:rsidP="00603D8A">
            <w:pPr>
              <w:pStyle w:val="Source"/>
              <w:rPr>
                <w:sz w:val="2"/>
                <w:szCs w:val="2"/>
              </w:rPr>
            </w:pPr>
            <w:r w:rsidRPr="00603D8A">
              <w:rPr>
                <w:sz w:val="2"/>
                <w:szCs w:val="2"/>
              </w:rPr>
              <w:t>37%</w:t>
            </w:r>
          </w:p>
        </w:tc>
      </w:tr>
      <w:tr w:rsidR="00603D8A" w:rsidRPr="00603D8A" w14:paraId="3508F0E7" w14:textId="77777777" w:rsidTr="00603D8A">
        <w:trPr>
          <w:trHeight w:val="300"/>
          <w:jc w:val="center"/>
        </w:trPr>
        <w:tc>
          <w:tcPr>
            <w:tcW w:w="2118" w:type="dxa"/>
            <w:noWrap/>
            <w:hideMark/>
          </w:tcPr>
          <w:p w14:paraId="481C0F77" w14:textId="77777777" w:rsidR="00603D8A" w:rsidRPr="00603D8A" w:rsidRDefault="00603D8A" w:rsidP="00603D8A">
            <w:pPr>
              <w:pStyle w:val="Source"/>
              <w:rPr>
                <w:sz w:val="2"/>
                <w:szCs w:val="2"/>
              </w:rPr>
            </w:pPr>
          </w:p>
        </w:tc>
        <w:tc>
          <w:tcPr>
            <w:tcW w:w="1426" w:type="dxa"/>
            <w:noWrap/>
            <w:hideMark/>
          </w:tcPr>
          <w:p w14:paraId="778A34E0" w14:textId="77777777" w:rsidR="00603D8A" w:rsidRPr="00603D8A" w:rsidRDefault="00603D8A" w:rsidP="00603D8A">
            <w:pPr>
              <w:pStyle w:val="Source"/>
              <w:rPr>
                <w:sz w:val="2"/>
                <w:szCs w:val="2"/>
              </w:rPr>
            </w:pPr>
            <w:r w:rsidRPr="00603D8A">
              <w:rPr>
                <w:sz w:val="2"/>
                <w:szCs w:val="2"/>
              </w:rPr>
              <w:t>Less than 10% above award</w:t>
            </w:r>
          </w:p>
        </w:tc>
        <w:tc>
          <w:tcPr>
            <w:tcW w:w="1231" w:type="dxa"/>
            <w:noWrap/>
            <w:hideMark/>
          </w:tcPr>
          <w:p w14:paraId="0C1B5DC1" w14:textId="77777777" w:rsidR="00603D8A" w:rsidRPr="00603D8A" w:rsidRDefault="00603D8A" w:rsidP="00603D8A">
            <w:pPr>
              <w:pStyle w:val="Source"/>
              <w:rPr>
                <w:sz w:val="2"/>
                <w:szCs w:val="2"/>
              </w:rPr>
            </w:pPr>
            <w:r w:rsidRPr="00603D8A">
              <w:rPr>
                <w:sz w:val="2"/>
                <w:szCs w:val="2"/>
              </w:rPr>
              <w:t>38%</w:t>
            </w:r>
          </w:p>
        </w:tc>
        <w:tc>
          <w:tcPr>
            <w:tcW w:w="1681" w:type="dxa"/>
            <w:noWrap/>
            <w:hideMark/>
          </w:tcPr>
          <w:p w14:paraId="10E869A4" w14:textId="77777777" w:rsidR="00603D8A" w:rsidRPr="00603D8A" w:rsidRDefault="00603D8A" w:rsidP="00603D8A">
            <w:pPr>
              <w:pStyle w:val="Source"/>
              <w:rPr>
                <w:sz w:val="2"/>
                <w:szCs w:val="2"/>
              </w:rPr>
            </w:pPr>
            <w:r w:rsidRPr="00603D8A">
              <w:rPr>
                <w:sz w:val="2"/>
                <w:szCs w:val="2"/>
              </w:rPr>
              <w:t>38%</w:t>
            </w:r>
          </w:p>
        </w:tc>
        <w:tc>
          <w:tcPr>
            <w:tcW w:w="1681" w:type="dxa"/>
            <w:noWrap/>
            <w:hideMark/>
          </w:tcPr>
          <w:p w14:paraId="3F2978B8" w14:textId="77777777" w:rsidR="00603D8A" w:rsidRPr="00603D8A" w:rsidRDefault="00603D8A" w:rsidP="00603D8A">
            <w:pPr>
              <w:pStyle w:val="Source"/>
              <w:rPr>
                <w:sz w:val="2"/>
                <w:szCs w:val="2"/>
              </w:rPr>
            </w:pPr>
            <w:r w:rsidRPr="00603D8A">
              <w:rPr>
                <w:sz w:val="2"/>
                <w:szCs w:val="2"/>
              </w:rPr>
              <w:t>33%</w:t>
            </w:r>
          </w:p>
        </w:tc>
      </w:tr>
      <w:tr w:rsidR="00603D8A" w:rsidRPr="00603D8A" w14:paraId="23078490" w14:textId="77777777" w:rsidTr="00603D8A">
        <w:trPr>
          <w:trHeight w:val="285"/>
          <w:jc w:val="center"/>
        </w:trPr>
        <w:tc>
          <w:tcPr>
            <w:tcW w:w="2118" w:type="dxa"/>
            <w:noWrap/>
            <w:hideMark/>
          </w:tcPr>
          <w:p w14:paraId="330EA164" w14:textId="77777777" w:rsidR="00603D8A" w:rsidRPr="00603D8A" w:rsidRDefault="00603D8A" w:rsidP="00603D8A">
            <w:pPr>
              <w:pStyle w:val="Source"/>
              <w:rPr>
                <w:sz w:val="2"/>
                <w:szCs w:val="2"/>
              </w:rPr>
            </w:pPr>
          </w:p>
        </w:tc>
        <w:tc>
          <w:tcPr>
            <w:tcW w:w="1426" w:type="dxa"/>
            <w:noWrap/>
            <w:hideMark/>
          </w:tcPr>
          <w:p w14:paraId="53523A24" w14:textId="77777777" w:rsidR="00603D8A" w:rsidRPr="00603D8A" w:rsidRDefault="00603D8A" w:rsidP="00603D8A">
            <w:pPr>
              <w:pStyle w:val="Source"/>
              <w:rPr>
                <w:sz w:val="2"/>
                <w:szCs w:val="2"/>
              </w:rPr>
            </w:pPr>
            <w:r w:rsidRPr="00603D8A">
              <w:rPr>
                <w:sz w:val="2"/>
                <w:szCs w:val="2"/>
              </w:rPr>
              <w:t>10-25% above award</w:t>
            </w:r>
          </w:p>
        </w:tc>
        <w:tc>
          <w:tcPr>
            <w:tcW w:w="1231" w:type="dxa"/>
            <w:noWrap/>
            <w:hideMark/>
          </w:tcPr>
          <w:p w14:paraId="148D557E" w14:textId="77777777" w:rsidR="00603D8A" w:rsidRPr="00603D8A" w:rsidRDefault="00603D8A" w:rsidP="00603D8A">
            <w:pPr>
              <w:pStyle w:val="Source"/>
              <w:rPr>
                <w:sz w:val="2"/>
                <w:szCs w:val="2"/>
              </w:rPr>
            </w:pPr>
            <w:r w:rsidRPr="00603D8A">
              <w:rPr>
                <w:sz w:val="2"/>
                <w:szCs w:val="2"/>
              </w:rPr>
              <w:t>12%</w:t>
            </w:r>
          </w:p>
        </w:tc>
        <w:tc>
          <w:tcPr>
            <w:tcW w:w="1681" w:type="dxa"/>
            <w:noWrap/>
            <w:hideMark/>
          </w:tcPr>
          <w:p w14:paraId="0D157128" w14:textId="77777777" w:rsidR="00603D8A" w:rsidRPr="00603D8A" w:rsidRDefault="00603D8A" w:rsidP="00603D8A">
            <w:pPr>
              <w:pStyle w:val="Source"/>
              <w:rPr>
                <w:sz w:val="2"/>
                <w:szCs w:val="2"/>
              </w:rPr>
            </w:pPr>
            <w:r w:rsidRPr="00603D8A">
              <w:rPr>
                <w:sz w:val="2"/>
                <w:szCs w:val="2"/>
              </w:rPr>
              <w:t>11%</w:t>
            </w:r>
          </w:p>
        </w:tc>
        <w:tc>
          <w:tcPr>
            <w:tcW w:w="1681" w:type="dxa"/>
            <w:noWrap/>
            <w:hideMark/>
          </w:tcPr>
          <w:p w14:paraId="0AA2CFB8" w14:textId="77777777" w:rsidR="00603D8A" w:rsidRPr="00603D8A" w:rsidRDefault="00603D8A" w:rsidP="00603D8A">
            <w:pPr>
              <w:pStyle w:val="Source"/>
              <w:rPr>
                <w:sz w:val="2"/>
                <w:szCs w:val="2"/>
              </w:rPr>
            </w:pPr>
            <w:r w:rsidRPr="00603D8A">
              <w:rPr>
                <w:sz w:val="2"/>
                <w:szCs w:val="2"/>
              </w:rPr>
              <w:t>28%</w:t>
            </w:r>
          </w:p>
        </w:tc>
      </w:tr>
      <w:tr w:rsidR="00603D8A" w:rsidRPr="00603D8A" w14:paraId="2B2F68A0" w14:textId="77777777" w:rsidTr="00603D8A">
        <w:trPr>
          <w:trHeight w:val="285"/>
          <w:jc w:val="center"/>
        </w:trPr>
        <w:tc>
          <w:tcPr>
            <w:tcW w:w="2118" w:type="dxa"/>
            <w:noWrap/>
            <w:hideMark/>
          </w:tcPr>
          <w:p w14:paraId="72753D0F" w14:textId="77777777" w:rsidR="00603D8A" w:rsidRPr="00603D8A" w:rsidRDefault="00603D8A" w:rsidP="00603D8A">
            <w:pPr>
              <w:pStyle w:val="Source"/>
              <w:rPr>
                <w:sz w:val="2"/>
                <w:szCs w:val="2"/>
              </w:rPr>
            </w:pPr>
          </w:p>
        </w:tc>
        <w:tc>
          <w:tcPr>
            <w:tcW w:w="1426" w:type="dxa"/>
            <w:noWrap/>
            <w:hideMark/>
          </w:tcPr>
          <w:p w14:paraId="16B463DC" w14:textId="77777777" w:rsidR="00603D8A" w:rsidRPr="00603D8A" w:rsidRDefault="00603D8A" w:rsidP="00603D8A">
            <w:pPr>
              <w:pStyle w:val="Source"/>
              <w:rPr>
                <w:sz w:val="2"/>
                <w:szCs w:val="2"/>
              </w:rPr>
            </w:pPr>
            <w:r w:rsidRPr="00603D8A">
              <w:rPr>
                <w:sz w:val="2"/>
                <w:szCs w:val="2"/>
              </w:rPr>
              <w:t>Greater than 25% above award</w:t>
            </w:r>
          </w:p>
        </w:tc>
        <w:tc>
          <w:tcPr>
            <w:tcW w:w="1231" w:type="dxa"/>
            <w:noWrap/>
            <w:hideMark/>
          </w:tcPr>
          <w:p w14:paraId="2167A8B2" w14:textId="77777777" w:rsidR="00603D8A" w:rsidRPr="00603D8A" w:rsidRDefault="00603D8A" w:rsidP="00603D8A">
            <w:pPr>
              <w:pStyle w:val="Source"/>
              <w:rPr>
                <w:sz w:val="2"/>
                <w:szCs w:val="2"/>
              </w:rPr>
            </w:pPr>
            <w:r w:rsidRPr="00603D8A">
              <w:rPr>
                <w:sz w:val="2"/>
                <w:szCs w:val="2"/>
              </w:rPr>
              <w:t>3%</w:t>
            </w:r>
          </w:p>
        </w:tc>
        <w:tc>
          <w:tcPr>
            <w:tcW w:w="1681" w:type="dxa"/>
            <w:noWrap/>
            <w:hideMark/>
          </w:tcPr>
          <w:p w14:paraId="20BF69DE" w14:textId="77777777" w:rsidR="00603D8A" w:rsidRPr="00603D8A" w:rsidRDefault="00603D8A" w:rsidP="00603D8A">
            <w:pPr>
              <w:pStyle w:val="Source"/>
              <w:rPr>
                <w:sz w:val="2"/>
                <w:szCs w:val="2"/>
              </w:rPr>
            </w:pPr>
            <w:r w:rsidRPr="00603D8A">
              <w:rPr>
                <w:sz w:val="2"/>
                <w:szCs w:val="2"/>
              </w:rPr>
              <w:t>1%</w:t>
            </w:r>
          </w:p>
        </w:tc>
        <w:tc>
          <w:tcPr>
            <w:tcW w:w="1681" w:type="dxa"/>
            <w:noWrap/>
            <w:hideMark/>
          </w:tcPr>
          <w:p w14:paraId="6A4D1BC6" w14:textId="77777777" w:rsidR="00603D8A" w:rsidRPr="00603D8A" w:rsidRDefault="00603D8A" w:rsidP="00603D8A">
            <w:pPr>
              <w:pStyle w:val="Source"/>
              <w:rPr>
                <w:sz w:val="2"/>
                <w:szCs w:val="2"/>
              </w:rPr>
            </w:pPr>
            <w:r w:rsidRPr="00603D8A">
              <w:rPr>
                <w:sz w:val="2"/>
                <w:szCs w:val="2"/>
              </w:rPr>
              <w:t>1%</w:t>
            </w:r>
          </w:p>
        </w:tc>
      </w:tr>
    </w:tbl>
    <w:p w14:paraId="49C368D3" w14:textId="77777777" w:rsidR="00603D8A" w:rsidRDefault="00603D8A" w:rsidP="00887E52">
      <w:pPr>
        <w:pStyle w:val="Source"/>
      </w:pPr>
    </w:p>
    <w:p w14:paraId="5B6E4662" w14:textId="77777777" w:rsidR="00603D8A" w:rsidRDefault="00603D8A" w:rsidP="00887E52">
      <w:pPr>
        <w:pStyle w:val="Source"/>
      </w:pPr>
    </w:p>
    <w:p w14:paraId="7883928A" w14:textId="77777777" w:rsidR="00603D8A" w:rsidRDefault="00603D8A" w:rsidP="00887E52">
      <w:pPr>
        <w:pStyle w:val="Source"/>
      </w:pPr>
    </w:p>
    <w:p w14:paraId="22959735" w14:textId="77777777" w:rsidR="00603D8A" w:rsidRDefault="00603D8A" w:rsidP="00887E52">
      <w:pPr>
        <w:pStyle w:val="Source"/>
      </w:pPr>
    </w:p>
    <w:p w14:paraId="439892FA" w14:textId="77777777" w:rsidR="00603D8A" w:rsidRDefault="00603D8A" w:rsidP="00887E52">
      <w:pPr>
        <w:pStyle w:val="Source"/>
      </w:pPr>
    </w:p>
    <w:p w14:paraId="16DF4E38" w14:textId="77777777" w:rsidR="00603D8A" w:rsidRDefault="00603D8A" w:rsidP="00887E52">
      <w:pPr>
        <w:pStyle w:val="Source"/>
      </w:pPr>
    </w:p>
    <w:p w14:paraId="1868F49C" w14:textId="77777777" w:rsidR="00603D8A" w:rsidRDefault="00603D8A" w:rsidP="00887E52">
      <w:pPr>
        <w:pStyle w:val="Source"/>
      </w:pPr>
    </w:p>
    <w:p w14:paraId="05103736" w14:textId="77777777" w:rsidR="00603D8A" w:rsidRDefault="00603D8A" w:rsidP="00887E52">
      <w:pPr>
        <w:pStyle w:val="Source"/>
      </w:pPr>
    </w:p>
    <w:p w14:paraId="05A2DB0A" w14:textId="77777777" w:rsidR="00603D8A" w:rsidRDefault="00603D8A" w:rsidP="00887E52">
      <w:pPr>
        <w:pStyle w:val="Source"/>
      </w:pPr>
    </w:p>
    <w:p w14:paraId="1610F81A" w14:textId="77777777" w:rsidR="00603D8A" w:rsidRDefault="00603D8A" w:rsidP="00887E52">
      <w:pPr>
        <w:pStyle w:val="Source"/>
      </w:pPr>
    </w:p>
    <w:p w14:paraId="48044CFC" w14:textId="77777777" w:rsidR="00603D8A" w:rsidRDefault="00603D8A" w:rsidP="00887E52">
      <w:pPr>
        <w:pStyle w:val="Source"/>
      </w:pPr>
    </w:p>
    <w:p w14:paraId="6CD22AEB" w14:textId="77777777" w:rsidR="00603D8A" w:rsidRDefault="00603D8A" w:rsidP="00887E52">
      <w:pPr>
        <w:pStyle w:val="Source"/>
      </w:pPr>
    </w:p>
    <w:p w14:paraId="0FA59E77" w14:textId="77777777" w:rsidR="00603D8A" w:rsidRDefault="00603D8A" w:rsidP="00887E52">
      <w:pPr>
        <w:pStyle w:val="Source"/>
      </w:pPr>
    </w:p>
    <w:p w14:paraId="70886B9E" w14:textId="77777777" w:rsidR="00603D8A" w:rsidRDefault="00603D8A" w:rsidP="00887E52">
      <w:pPr>
        <w:pStyle w:val="Source"/>
      </w:pPr>
    </w:p>
    <w:p w14:paraId="4FA1A8BB" w14:textId="77777777" w:rsidR="00603D8A" w:rsidRDefault="00603D8A" w:rsidP="00887E52">
      <w:pPr>
        <w:pStyle w:val="Source"/>
      </w:pPr>
    </w:p>
    <w:p w14:paraId="407A0F75" w14:textId="77777777" w:rsidR="00603D8A" w:rsidRDefault="00603D8A" w:rsidP="00887E52">
      <w:pPr>
        <w:pStyle w:val="Source"/>
      </w:pPr>
    </w:p>
    <w:p w14:paraId="63C3D7B8" w14:textId="77777777" w:rsidR="00603D8A" w:rsidRDefault="00603D8A" w:rsidP="00887E52">
      <w:pPr>
        <w:pStyle w:val="Source"/>
      </w:pPr>
    </w:p>
    <w:p w14:paraId="4F3A1544" w14:textId="77777777" w:rsidR="00603D8A" w:rsidRDefault="00603D8A" w:rsidP="00887E52">
      <w:pPr>
        <w:pStyle w:val="Source"/>
      </w:pPr>
    </w:p>
    <w:p w14:paraId="3BC9BBD7" w14:textId="3E1E6E8E" w:rsidR="00F47B0F" w:rsidRPr="00F47B0F" w:rsidRDefault="00F47B0F" w:rsidP="00887E52">
      <w:pPr>
        <w:pStyle w:val="Source"/>
      </w:pPr>
      <w:r w:rsidRPr="00F47B0F">
        <w:t>Source: JSA analysis of Department of Education NWC (2021) and CCS data; ACECQA, National Registers</w:t>
      </w:r>
    </w:p>
    <w:p w14:paraId="4537EBF7" w14:textId="77777777" w:rsidR="00F47B0F" w:rsidRPr="00F47B0F" w:rsidRDefault="00F47B0F" w:rsidP="00F47B0F">
      <w:pPr>
        <w:rPr>
          <w:rFonts w:cs="Arial"/>
        </w:rPr>
      </w:pPr>
      <w:r w:rsidRPr="00F47B0F">
        <w:rPr>
          <w:rFonts w:cs="Arial"/>
        </w:rPr>
        <w:t>Educator to child ratios tend to be lowest in for-profits, although are comparable, on average, for private not-for-profit multi-service providers. Staff turnover varies substantially across provider type and size but is generally lower in community providers as well as large for-</w:t>
      </w:r>
      <w:r w:rsidRPr="00F47B0F">
        <w:rPr>
          <w:rFonts w:cs="Arial"/>
        </w:rPr>
        <w:lastRenderedPageBreak/>
        <w:t xml:space="preserve">profits. Turnover rates are highest in single-service and smaller multi-service for-profits as well as in large private not-for-profit services. </w:t>
      </w:r>
    </w:p>
    <w:p w14:paraId="0D6439CD" w14:textId="77777777" w:rsidR="00F47B0F" w:rsidRPr="00F47B0F" w:rsidRDefault="00F47B0F" w:rsidP="00F47B0F">
      <w:pPr>
        <w:rPr>
          <w:rFonts w:cs="Arial"/>
        </w:rPr>
      </w:pPr>
      <w:r w:rsidRPr="00F47B0F">
        <w:rPr>
          <w:rFonts w:cs="Arial"/>
        </w:rPr>
        <w:t>Single-service and small multi-service providers tend to have higher rates of educators working towards their ECEC qualification. The prevalence is highest among for-profit single and small multi-service providers, where around one-quarter are working towards either their Certificate III or Diploma in ECEC.</w:t>
      </w:r>
    </w:p>
    <w:p w14:paraId="590A237F" w14:textId="4C1D8350" w:rsidR="00F47B0F" w:rsidRPr="00F47B0F" w:rsidRDefault="00F47B0F" w:rsidP="00887E52">
      <w:pPr>
        <w:pStyle w:val="Caption"/>
      </w:pPr>
      <w:bookmarkStart w:id="107" w:name="_Ref169159503"/>
      <w:r w:rsidRPr="00F47B0F">
        <w:t>Figure 2.</w:t>
      </w:r>
      <w:r w:rsidRPr="00F47B0F">
        <w:fldChar w:fldCharType="begin"/>
      </w:r>
      <w:r w:rsidRPr="00F47B0F">
        <w:instrText xml:space="preserve"> SEQ Figure \* ARABIC \s 1 </w:instrText>
      </w:r>
      <w:r w:rsidRPr="00F47B0F">
        <w:fldChar w:fldCharType="separate"/>
      </w:r>
      <w:r w:rsidR="005F18C1">
        <w:rPr>
          <w:noProof/>
        </w:rPr>
        <w:t>11</w:t>
      </w:r>
      <w:r w:rsidRPr="00F47B0F">
        <w:fldChar w:fldCharType="end"/>
      </w:r>
      <w:bookmarkEnd w:id="107"/>
      <w:r w:rsidRPr="00F47B0F">
        <w:t xml:space="preserve"> CBDC other staff characteristics by service type and provider size, 2021</w:t>
      </w:r>
      <w:r w:rsidRPr="00F47B0F">
        <w:rPr>
          <w:rFonts w:cs="Arial"/>
          <w:noProof/>
          <w:vertAlign w:val="superscript"/>
        </w:rPr>
        <w:footnoteReference w:id="40"/>
      </w:r>
    </w:p>
    <w:p w14:paraId="7500978D" w14:textId="088D1BD9" w:rsidR="00F47B0F" w:rsidRPr="00F47B0F" w:rsidRDefault="00F47B0F" w:rsidP="00F47B0F">
      <w:pPr>
        <w:jc w:val="center"/>
      </w:pPr>
      <w:r w:rsidRPr="00F47B0F">
        <w:t xml:space="preserve"> </w:t>
      </w:r>
    </w:p>
    <w:tbl>
      <w:tblPr>
        <w:tblStyle w:val="Box"/>
        <w:tblW w:w="0" w:type="auto"/>
        <w:jc w:val="center"/>
        <w:tblLook w:val="04A0" w:firstRow="1" w:lastRow="0" w:firstColumn="1" w:lastColumn="0" w:noHBand="0" w:noVBand="1"/>
      </w:tblPr>
      <w:tblGrid>
        <w:gridCol w:w="3119"/>
        <w:gridCol w:w="1984"/>
        <w:gridCol w:w="777"/>
        <w:gridCol w:w="1535"/>
        <w:gridCol w:w="498"/>
      </w:tblGrid>
      <w:tr w:rsidR="00603D8A" w:rsidRPr="00603D8A" w14:paraId="242B0C95" w14:textId="77777777" w:rsidTr="00603D8A">
        <w:trPr>
          <w:trHeight w:val="300"/>
          <w:jc w:val="center"/>
        </w:trPr>
        <w:tc>
          <w:tcPr>
            <w:tcW w:w="3119" w:type="dxa"/>
            <w:hideMark/>
          </w:tcPr>
          <w:p w14:paraId="1338361E" w14:textId="77777777" w:rsidR="00603D8A" w:rsidRPr="00603D8A" w:rsidRDefault="00603D8A" w:rsidP="00603D8A">
            <w:pPr>
              <w:pStyle w:val="Source"/>
              <w:rPr>
                <w:sz w:val="2"/>
                <w:szCs w:val="2"/>
              </w:rPr>
            </w:pPr>
          </w:p>
        </w:tc>
        <w:tc>
          <w:tcPr>
            <w:tcW w:w="1984" w:type="dxa"/>
            <w:hideMark/>
          </w:tcPr>
          <w:p w14:paraId="6E80C6EE" w14:textId="77777777" w:rsidR="00603D8A" w:rsidRPr="00603D8A" w:rsidRDefault="00603D8A" w:rsidP="00603D8A">
            <w:pPr>
              <w:pStyle w:val="Source"/>
              <w:rPr>
                <w:sz w:val="2"/>
                <w:szCs w:val="2"/>
              </w:rPr>
            </w:pPr>
          </w:p>
        </w:tc>
        <w:tc>
          <w:tcPr>
            <w:tcW w:w="777" w:type="dxa"/>
            <w:noWrap/>
            <w:hideMark/>
          </w:tcPr>
          <w:p w14:paraId="5D5C94D7" w14:textId="77777777" w:rsidR="00603D8A" w:rsidRPr="00603D8A" w:rsidRDefault="00603D8A" w:rsidP="00603D8A">
            <w:pPr>
              <w:pStyle w:val="Source"/>
              <w:rPr>
                <w:b/>
                <w:bCs/>
                <w:sz w:val="2"/>
                <w:szCs w:val="2"/>
              </w:rPr>
            </w:pPr>
            <w:r w:rsidRPr="00603D8A">
              <w:rPr>
                <w:b/>
                <w:bCs/>
                <w:sz w:val="2"/>
                <w:szCs w:val="2"/>
              </w:rPr>
              <w:t>For-profit</w:t>
            </w:r>
          </w:p>
        </w:tc>
        <w:tc>
          <w:tcPr>
            <w:tcW w:w="1535" w:type="dxa"/>
            <w:noWrap/>
            <w:hideMark/>
          </w:tcPr>
          <w:p w14:paraId="43C6EA06" w14:textId="77777777" w:rsidR="00603D8A" w:rsidRPr="00603D8A" w:rsidRDefault="00603D8A" w:rsidP="00603D8A">
            <w:pPr>
              <w:pStyle w:val="Source"/>
              <w:rPr>
                <w:b/>
                <w:bCs/>
                <w:sz w:val="2"/>
                <w:szCs w:val="2"/>
              </w:rPr>
            </w:pPr>
            <w:r w:rsidRPr="00603D8A">
              <w:rPr>
                <w:b/>
                <w:bCs/>
                <w:sz w:val="2"/>
                <w:szCs w:val="2"/>
              </w:rPr>
              <w:t>Private not-for-profit</w:t>
            </w:r>
          </w:p>
        </w:tc>
        <w:tc>
          <w:tcPr>
            <w:tcW w:w="498" w:type="dxa"/>
            <w:noWrap/>
            <w:hideMark/>
          </w:tcPr>
          <w:p w14:paraId="410CD3ED" w14:textId="77777777" w:rsidR="00603D8A" w:rsidRPr="00603D8A" w:rsidRDefault="00603D8A" w:rsidP="00603D8A">
            <w:pPr>
              <w:pStyle w:val="Source"/>
              <w:rPr>
                <w:b/>
                <w:bCs/>
                <w:sz w:val="2"/>
                <w:szCs w:val="2"/>
              </w:rPr>
            </w:pPr>
            <w:r w:rsidRPr="00603D8A">
              <w:rPr>
                <w:b/>
                <w:bCs/>
                <w:sz w:val="2"/>
                <w:szCs w:val="2"/>
              </w:rPr>
              <w:t>Community</w:t>
            </w:r>
          </w:p>
        </w:tc>
      </w:tr>
      <w:tr w:rsidR="00603D8A" w:rsidRPr="00603D8A" w14:paraId="02FE1371" w14:textId="77777777" w:rsidTr="00603D8A">
        <w:trPr>
          <w:trHeight w:val="300"/>
          <w:jc w:val="center"/>
        </w:trPr>
        <w:tc>
          <w:tcPr>
            <w:tcW w:w="3119" w:type="dxa"/>
            <w:noWrap/>
            <w:hideMark/>
          </w:tcPr>
          <w:p w14:paraId="228E6FAC" w14:textId="77777777" w:rsidR="00603D8A" w:rsidRPr="00603D8A" w:rsidRDefault="00603D8A" w:rsidP="00603D8A">
            <w:pPr>
              <w:pStyle w:val="Source"/>
              <w:rPr>
                <w:b/>
                <w:bCs/>
                <w:sz w:val="2"/>
                <w:szCs w:val="2"/>
              </w:rPr>
            </w:pPr>
            <w:r w:rsidRPr="00603D8A">
              <w:rPr>
                <w:b/>
                <w:bCs/>
                <w:sz w:val="2"/>
                <w:szCs w:val="2"/>
              </w:rPr>
              <w:t>Educator to child ratio</w:t>
            </w:r>
          </w:p>
        </w:tc>
        <w:tc>
          <w:tcPr>
            <w:tcW w:w="1984" w:type="dxa"/>
            <w:noWrap/>
            <w:hideMark/>
          </w:tcPr>
          <w:p w14:paraId="4D5ECE29" w14:textId="77777777" w:rsidR="00603D8A" w:rsidRPr="00603D8A" w:rsidRDefault="00603D8A" w:rsidP="00603D8A">
            <w:pPr>
              <w:pStyle w:val="Source"/>
              <w:rPr>
                <w:sz w:val="2"/>
                <w:szCs w:val="2"/>
              </w:rPr>
            </w:pPr>
            <w:r w:rsidRPr="00603D8A">
              <w:rPr>
                <w:sz w:val="2"/>
                <w:szCs w:val="2"/>
              </w:rPr>
              <w:t>Single service</w:t>
            </w:r>
          </w:p>
        </w:tc>
        <w:tc>
          <w:tcPr>
            <w:tcW w:w="777" w:type="dxa"/>
            <w:noWrap/>
            <w:hideMark/>
          </w:tcPr>
          <w:p w14:paraId="4917C8F8" w14:textId="77777777" w:rsidR="00603D8A" w:rsidRPr="00603D8A" w:rsidRDefault="00603D8A" w:rsidP="00603D8A">
            <w:pPr>
              <w:pStyle w:val="Source"/>
              <w:rPr>
                <w:sz w:val="2"/>
                <w:szCs w:val="2"/>
              </w:rPr>
            </w:pPr>
            <w:r w:rsidRPr="00603D8A">
              <w:rPr>
                <w:sz w:val="2"/>
                <w:szCs w:val="2"/>
              </w:rPr>
              <w:t>28%</w:t>
            </w:r>
          </w:p>
        </w:tc>
        <w:tc>
          <w:tcPr>
            <w:tcW w:w="1535" w:type="dxa"/>
            <w:noWrap/>
            <w:hideMark/>
          </w:tcPr>
          <w:p w14:paraId="3085B646" w14:textId="77777777" w:rsidR="00603D8A" w:rsidRPr="00603D8A" w:rsidRDefault="00603D8A" w:rsidP="00603D8A">
            <w:pPr>
              <w:pStyle w:val="Source"/>
              <w:rPr>
                <w:sz w:val="2"/>
                <w:szCs w:val="2"/>
              </w:rPr>
            </w:pPr>
            <w:r w:rsidRPr="00603D8A">
              <w:rPr>
                <w:sz w:val="2"/>
                <w:szCs w:val="2"/>
              </w:rPr>
              <w:t>33%</w:t>
            </w:r>
          </w:p>
        </w:tc>
        <w:tc>
          <w:tcPr>
            <w:tcW w:w="498" w:type="dxa"/>
            <w:noWrap/>
            <w:hideMark/>
          </w:tcPr>
          <w:p w14:paraId="14AE6FA7" w14:textId="77777777" w:rsidR="00603D8A" w:rsidRPr="00603D8A" w:rsidRDefault="00603D8A" w:rsidP="00603D8A">
            <w:pPr>
              <w:pStyle w:val="Source"/>
              <w:rPr>
                <w:sz w:val="2"/>
                <w:szCs w:val="2"/>
              </w:rPr>
            </w:pPr>
            <w:r w:rsidRPr="00603D8A">
              <w:rPr>
                <w:sz w:val="2"/>
                <w:szCs w:val="2"/>
              </w:rPr>
              <w:t>35%</w:t>
            </w:r>
          </w:p>
        </w:tc>
      </w:tr>
      <w:tr w:rsidR="00603D8A" w:rsidRPr="00603D8A" w14:paraId="772305F8" w14:textId="77777777" w:rsidTr="00603D8A">
        <w:trPr>
          <w:trHeight w:val="285"/>
          <w:jc w:val="center"/>
        </w:trPr>
        <w:tc>
          <w:tcPr>
            <w:tcW w:w="3119" w:type="dxa"/>
            <w:noWrap/>
            <w:hideMark/>
          </w:tcPr>
          <w:p w14:paraId="683C8B3F" w14:textId="77777777" w:rsidR="00603D8A" w:rsidRPr="00603D8A" w:rsidRDefault="00603D8A" w:rsidP="00603D8A">
            <w:pPr>
              <w:pStyle w:val="Source"/>
              <w:rPr>
                <w:sz w:val="2"/>
                <w:szCs w:val="2"/>
              </w:rPr>
            </w:pPr>
          </w:p>
        </w:tc>
        <w:tc>
          <w:tcPr>
            <w:tcW w:w="1984" w:type="dxa"/>
            <w:noWrap/>
            <w:hideMark/>
          </w:tcPr>
          <w:p w14:paraId="75B6EEBD" w14:textId="77777777" w:rsidR="00603D8A" w:rsidRPr="00603D8A" w:rsidRDefault="00603D8A" w:rsidP="00603D8A">
            <w:pPr>
              <w:pStyle w:val="Source"/>
              <w:rPr>
                <w:sz w:val="2"/>
                <w:szCs w:val="2"/>
              </w:rPr>
            </w:pPr>
            <w:r w:rsidRPr="00603D8A">
              <w:rPr>
                <w:sz w:val="2"/>
                <w:szCs w:val="2"/>
              </w:rPr>
              <w:t>Multi-service (small)</w:t>
            </w:r>
          </w:p>
        </w:tc>
        <w:tc>
          <w:tcPr>
            <w:tcW w:w="777" w:type="dxa"/>
            <w:noWrap/>
            <w:hideMark/>
          </w:tcPr>
          <w:p w14:paraId="05F1CD5D" w14:textId="77777777" w:rsidR="00603D8A" w:rsidRPr="00603D8A" w:rsidRDefault="00603D8A" w:rsidP="00603D8A">
            <w:pPr>
              <w:pStyle w:val="Source"/>
              <w:rPr>
                <w:sz w:val="2"/>
                <w:szCs w:val="2"/>
              </w:rPr>
            </w:pPr>
            <w:r w:rsidRPr="00603D8A">
              <w:rPr>
                <w:sz w:val="2"/>
                <w:szCs w:val="2"/>
              </w:rPr>
              <w:t>28%</w:t>
            </w:r>
          </w:p>
        </w:tc>
        <w:tc>
          <w:tcPr>
            <w:tcW w:w="1535" w:type="dxa"/>
            <w:noWrap/>
            <w:hideMark/>
          </w:tcPr>
          <w:p w14:paraId="28601046" w14:textId="77777777" w:rsidR="00603D8A" w:rsidRPr="00603D8A" w:rsidRDefault="00603D8A" w:rsidP="00603D8A">
            <w:pPr>
              <w:pStyle w:val="Source"/>
              <w:rPr>
                <w:sz w:val="2"/>
                <w:szCs w:val="2"/>
              </w:rPr>
            </w:pPr>
            <w:r w:rsidRPr="00603D8A">
              <w:rPr>
                <w:sz w:val="2"/>
                <w:szCs w:val="2"/>
              </w:rPr>
              <w:t>31%</w:t>
            </w:r>
          </w:p>
        </w:tc>
        <w:tc>
          <w:tcPr>
            <w:tcW w:w="498" w:type="dxa"/>
            <w:noWrap/>
            <w:hideMark/>
          </w:tcPr>
          <w:p w14:paraId="085D1CB5" w14:textId="77777777" w:rsidR="00603D8A" w:rsidRPr="00603D8A" w:rsidRDefault="00603D8A" w:rsidP="00603D8A">
            <w:pPr>
              <w:pStyle w:val="Source"/>
              <w:rPr>
                <w:sz w:val="2"/>
                <w:szCs w:val="2"/>
              </w:rPr>
            </w:pPr>
            <w:r w:rsidRPr="00603D8A">
              <w:rPr>
                <w:sz w:val="2"/>
                <w:szCs w:val="2"/>
              </w:rPr>
              <w:t>32%</w:t>
            </w:r>
          </w:p>
        </w:tc>
      </w:tr>
      <w:tr w:rsidR="00603D8A" w:rsidRPr="00603D8A" w14:paraId="209072E9" w14:textId="77777777" w:rsidTr="00603D8A">
        <w:trPr>
          <w:trHeight w:val="285"/>
          <w:jc w:val="center"/>
        </w:trPr>
        <w:tc>
          <w:tcPr>
            <w:tcW w:w="3119" w:type="dxa"/>
            <w:noWrap/>
            <w:hideMark/>
          </w:tcPr>
          <w:p w14:paraId="15A90078" w14:textId="77777777" w:rsidR="00603D8A" w:rsidRPr="00603D8A" w:rsidRDefault="00603D8A" w:rsidP="00603D8A">
            <w:pPr>
              <w:pStyle w:val="Source"/>
              <w:rPr>
                <w:sz w:val="2"/>
                <w:szCs w:val="2"/>
              </w:rPr>
            </w:pPr>
          </w:p>
        </w:tc>
        <w:tc>
          <w:tcPr>
            <w:tcW w:w="1984" w:type="dxa"/>
            <w:noWrap/>
            <w:hideMark/>
          </w:tcPr>
          <w:p w14:paraId="0F83BB5C" w14:textId="77777777" w:rsidR="00603D8A" w:rsidRPr="00603D8A" w:rsidRDefault="00603D8A" w:rsidP="00603D8A">
            <w:pPr>
              <w:pStyle w:val="Source"/>
              <w:rPr>
                <w:sz w:val="2"/>
                <w:szCs w:val="2"/>
              </w:rPr>
            </w:pPr>
            <w:r w:rsidRPr="00603D8A">
              <w:rPr>
                <w:sz w:val="2"/>
                <w:szCs w:val="2"/>
              </w:rPr>
              <w:t>Multi-service (large)</w:t>
            </w:r>
          </w:p>
        </w:tc>
        <w:tc>
          <w:tcPr>
            <w:tcW w:w="777" w:type="dxa"/>
            <w:noWrap/>
            <w:hideMark/>
          </w:tcPr>
          <w:p w14:paraId="4BB78200" w14:textId="77777777" w:rsidR="00603D8A" w:rsidRPr="00603D8A" w:rsidRDefault="00603D8A" w:rsidP="00603D8A">
            <w:pPr>
              <w:pStyle w:val="Source"/>
              <w:rPr>
                <w:sz w:val="2"/>
                <w:szCs w:val="2"/>
              </w:rPr>
            </w:pPr>
            <w:r w:rsidRPr="00603D8A">
              <w:rPr>
                <w:sz w:val="2"/>
                <w:szCs w:val="2"/>
              </w:rPr>
              <w:t>29%</w:t>
            </w:r>
          </w:p>
        </w:tc>
        <w:tc>
          <w:tcPr>
            <w:tcW w:w="1535" w:type="dxa"/>
            <w:noWrap/>
            <w:hideMark/>
          </w:tcPr>
          <w:p w14:paraId="5A032213" w14:textId="77777777" w:rsidR="00603D8A" w:rsidRPr="00603D8A" w:rsidRDefault="00603D8A" w:rsidP="00603D8A">
            <w:pPr>
              <w:pStyle w:val="Source"/>
              <w:rPr>
                <w:sz w:val="2"/>
                <w:szCs w:val="2"/>
              </w:rPr>
            </w:pPr>
            <w:r w:rsidRPr="00603D8A">
              <w:rPr>
                <w:sz w:val="2"/>
                <w:szCs w:val="2"/>
              </w:rPr>
              <w:t>32%</w:t>
            </w:r>
          </w:p>
        </w:tc>
        <w:tc>
          <w:tcPr>
            <w:tcW w:w="498" w:type="dxa"/>
            <w:noWrap/>
            <w:hideMark/>
          </w:tcPr>
          <w:p w14:paraId="453F1835" w14:textId="77777777" w:rsidR="00603D8A" w:rsidRPr="00603D8A" w:rsidRDefault="00603D8A" w:rsidP="00603D8A">
            <w:pPr>
              <w:pStyle w:val="Source"/>
              <w:rPr>
                <w:sz w:val="2"/>
                <w:szCs w:val="2"/>
              </w:rPr>
            </w:pPr>
            <w:r w:rsidRPr="00603D8A">
              <w:rPr>
                <w:sz w:val="2"/>
                <w:szCs w:val="2"/>
              </w:rPr>
              <w:t>36%</w:t>
            </w:r>
          </w:p>
        </w:tc>
      </w:tr>
      <w:tr w:rsidR="00603D8A" w:rsidRPr="00603D8A" w14:paraId="26693461" w14:textId="77777777" w:rsidTr="00603D8A">
        <w:trPr>
          <w:trHeight w:val="300"/>
          <w:jc w:val="center"/>
        </w:trPr>
        <w:tc>
          <w:tcPr>
            <w:tcW w:w="3119" w:type="dxa"/>
            <w:hideMark/>
          </w:tcPr>
          <w:p w14:paraId="60951D53" w14:textId="66E55F7D" w:rsidR="00603D8A" w:rsidRPr="00603D8A" w:rsidRDefault="00603D8A" w:rsidP="00603D8A">
            <w:pPr>
              <w:pStyle w:val="Source"/>
              <w:rPr>
                <w:sz w:val="2"/>
                <w:szCs w:val="2"/>
              </w:rPr>
            </w:pPr>
            <w:r w:rsidRPr="00F47B0F">
              <w:rPr>
                <w:noProof/>
              </w:rPr>
              <w:drawing>
                <wp:anchor distT="0" distB="0" distL="114300" distR="114300" simplePos="0" relativeHeight="251713539" behindDoc="0" locked="0" layoutInCell="1" allowOverlap="1" wp14:anchorId="3CF0C5B5" wp14:editId="56EFBE95">
                  <wp:simplePos x="0" y="0"/>
                  <wp:positionH relativeFrom="column">
                    <wp:posOffset>-421640</wp:posOffset>
                  </wp:positionH>
                  <wp:positionV relativeFrom="paragraph">
                    <wp:posOffset>-1011555</wp:posOffset>
                  </wp:positionV>
                  <wp:extent cx="5731510" cy="5731510"/>
                  <wp:effectExtent l="0" t="0" r="2540" b="2540"/>
                  <wp:wrapNone/>
                  <wp:docPr id="180656928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569281" name="Picture 3">
                            <a:extLst>
                              <a:ext uri="{C183D7F6-B498-43B3-948B-1728B52AA6E4}">
                                <adec:decorative xmlns:adec="http://schemas.microsoft.com/office/drawing/2017/decorative" val="1"/>
                              </a:ext>
                            </a:extLst>
                          </pic:cNvPr>
                          <pic:cNvPicPr>
                            <a:picLocks noChangeAspect="1" noChangeArrowheads="1"/>
                          </pic:cNvPicPr>
                        </pic:nvPicPr>
                        <pic:blipFill>
                          <a:blip r:embed="rId89" cstate="screen">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anchor>
              </w:drawing>
            </w:r>
          </w:p>
        </w:tc>
        <w:tc>
          <w:tcPr>
            <w:tcW w:w="1984" w:type="dxa"/>
            <w:hideMark/>
          </w:tcPr>
          <w:p w14:paraId="5392DA55" w14:textId="77777777" w:rsidR="00603D8A" w:rsidRPr="00603D8A" w:rsidRDefault="00603D8A" w:rsidP="00603D8A">
            <w:pPr>
              <w:pStyle w:val="Source"/>
              <w:rPr>
                <w:sz w:val="2"/>
                <w:szCs w:val="2"/>
              </w:rPr>
            </w:pPr>
          </w:p>
        </w:tc>
        <w:tc>
          <w:tcPr>
            <w:tcW w:w="777" w:type="dxa"/>
            <w:noWrap/>
            <w:hideMark/>
          </w:tcPr>
          <w:p w14:paraId="43CEDF45" w14:textId="77777777" w:rsidR="00603D8A" w:rsidRPr="00603D8A" w:rsidRDefault="00603D8A" w:rsidP="00603D8A">
            <w:pPr>
              <w:pStyle w:val="Source"/>
              <w:rPr>
                <w:b/>
                <w:bCs/>
                <w:sz w:val="2"/>
                <w:szCs w:val="2"/>
              </w:rPr>
            </w:pPr>
            <w:r w:rsidRPr="00603D8A">
              <w:rPr>
                <w:b/>
                <w:bCs/>
                <w:sz w:val="2"/>
                <w:szCs w:val="2"/>
              </w:rPr>
              <w:t>For-profit</w:t>
            </w:r>
          </w:p>
        </w:tc>
        <w:tc>
          <w:tcPr>
            <w:tcW w:w="1535" w:type="dxa"/>
            <w:noWrap/>
            <w:hideMark/>
          </w:tcPr>
          <w:p w14:paraId="72584596" w14:textId="77777777" w:rsidR="00603D8A" w:rsidRPr="00603D8A" w:rsidRDefault="00603D8A" w:rsidP="00603D8A">
            <w:pPr>
              <w:pStyle w:val="Source"/>
              <w:rPr>
                <w:b/>
                <w:bCs/>
                <w:sz w:val="2"/>
                <w:szCs w:val="2"/>
              </w:rPr>
            </w:pPr>
            <w:r w:rsidRPr="00603D8A">
              <w:rPr>
                <w:b/>
                <w:bCs/>
                <w:sz w:val="2"/>
                <w:szCs w:val="2"/>
              </w:rPr>
              <w:t>Private not-for-profit</w:t>
            </w:r>
          </w:p>
        </w:tc>
        <w:tc>
          <w:tcPr>
            <w:tcW w:w="498" w:type="dxa"/>
            <w:noWrap/>
            <w:hideMark/>
          </w:tcPr>
          <w:p w14:paraId="3F727E6F" w14:textId="77777777" w:rsidR="00603D8A" w:rsidRPr="00603D8A" w:rsidRDefault="00603D8A" w:rsidP="00603D8A">
            <w:pPr>
              <w:pStyle w:val="Source"/>
              <w:rPr>
                <w:b/>
                <w:bCs/>
                <w:sz w:val="2"/>
                <w:szCs w:val="2"/>
              </w:rPr>
            </w:pPr>
            <w:r w:rsidRPr="00603D8A">
              <w:rPr>
                <w:b/>
                <w:bCs/>
                <w:sz w:val="2"/>
                <w:szCs w:val="2"/>
              </w:rPr>
              <w:t>Community</w:t>
            </w:r>
          </w:p>
        </w:tc>
      </w:tr>
      <w:tr w:rsidR="00603D8A" w:rsidRPr="00603D8A" w14:paraId="52C761CC" w14:textId="77777777" w:rsidTr="00603D8A">
        <w:trPr>
          <w:trHeight w:val="300"/>
          <w:jc w:val="center"/>
        </w:trPr>
        <w:tc>
          <w:tcPr>
            <w:tcW w:w="3119" w:type="dxa"/>
            <w:noWrap/>
            <w:hideMark/>
          </w:tcPr>
          <w:p w14:paraId="2D0B2EBA" w14:textId="775CD804" w:rsidR="00603D8A" w:rsidRPr="00603D8A" w:rsidRDefault="00603D8A" w:rsidP="00603D8A">
            <w:pPr>
              <w:pStyle w:val="Source"/>
              <w:rPr>
                <w:b/>
                <w:bCs/>
                <w:sz w:val="2"/>
                <w:szCs w:val="2"/>
              </w:rPr>
            </w:pPr>
            <w:r w:rsidRPr="00603D8A">
              <w:rPr>
                <w:b/>
                <w:bCs/>
                <w:sz w:val="2"/>
                <w:szCs w:val="2"/>
              </w:rPr>
              <w:t>Educator turnover</w:t>
            </w:r>
          </w:p>
        </w:tc>
        <w:tc>
          <w:tcPr>
            <w:tcW w:w="1984" w:type="dxa"/>
            <w:noWrap/>
            <w:hideMark/>
          </w:tcPr>
          <w:p w14:paraId="210C65F8" w14:textId="77777777" w:rsidR="00603D8A" w:rsidRPr="00603D8A" w:rsidRDefault="00603D8A" w:rsidP="00603D8A">
            <w:pPr>
              <w:pStyle w:val="Source"/>
              <w:rPr>
                <w:sz w:val="2"/>
                <w:szCs w:val="2"/>
              </w:rPr>
            </w:pPr>
            <w:r w:rsidRPr="00603D8A">
              <w:rPr>
                <w:sz w:val="2"/>
                <w:szCs w:val="2"/>
              </w:rPr>
              <w:t>Single service</w:t>
            </w:r>
          </w:p>
        </w:tc>
        <w:tc>
          <w:tcPr>
            <w:tcW w:w="777" w:type="dxa"/>
            <w:noWrap/>
            <w:hideMark/>
          </w:tcPr>
          <w:p w14:paraId="73B0B11C" w14:textId="77777777" w:rsidR="00603D8A" w:rsidRPr="00603D8A" w:rsidRDefault="00603D8A" w:rsidP="00603D8A">
            <w:pPr>
              <w:pStyle w:val="Source"/>
              <w:rPr>
                <w:sz w:val="2"/>
                <w:szCs w:val="2"/>
              </w:rPr>
            </w:pPr>
            <w:r w:rsidRPr="00603D8A">
              <w:rPr>
                <w:sz w:val="2"/>
                <w:szCs w:val="2"/>
              </w:rPr>
              <w:t>30%</w:t>
            </w:r>
          </w:p>
        </w:tc>
        <w:tc>
          <w:tcPr>
            <w:tcW w:w="1535" w:type="dxa"/>
            <w:noWrap/>
            <w:hideMark/>
          </w:tcPr>
          <w:p w14:paraId="5C876D17" w14:textId="77777777" w:rsidR="00603D8A" w:rsidRPr="00603D8A" w:rsidRDefault="00603D8A" w:rsidP="00603D8A">
            <w:pPr>
              <w:pStyle w:val="Source"/>
              <w:rPr>
                <w:sz w:val="2"/>
                <w:szCs w:val="2"/>
              </w:rPr>
            </w:pPr>
            <w:r w:rsidRPr="00603D8A">
              <w:rPr>
                <w:sz w:val="2"/>
                <w:szCs w:val="2"/>
              </w:rPr>
              <w:t>22%</w:t>
            </w:r>
          </w:p>
        </w:tc>
        <w:tc>
          <w:tcPr>
            <w:tcW w:w="498" w:type="dxa"/>
            <w:noWrap/>
            <w:hideMark/>
          </w:tcPr>
          <w:p w14:paraId="5270F72D" w14:textId="77777777" w:rsidR="00603D8A" w:rsidRPr="00603D8A" w:rsidRDefault="00603D8A" w:rsidP="00603D8A">
            <w:pPr>
              <w:pStyle w:val="Source"/>
              <w:rPr>
                <w:sz w:val="2"/>
                <w:szCs w:val="2"/>
              </w:rPr>
            </w:pPr>
            <w:r w:rsidRPr="00603D8A">
              <w:rPr>
                <w:sz w:val="2"/>
                <w:szCs w:val="2"/>
              </w:rPr>
              <w:t>18%</w:t>
            </w:r>
          </w:p>
        </w:tc>
      </w:tr>
      <w:tr w:rsidR="00603D8A" w:rsidRPr="00603D8A" w14:paraId="5BE5FB7B" w14:textId="77777777" w:rsidTr="00603D8A">
        <w:trPr>
          <w:trHeight w:val="300"/>
          <w:jc w:val="center"/>
        </w:trPr>
        <w:tc>
          <w:tcPr>
            <w:tcW w:w="3119" w:type="dxa"/>
            <w:noWrap/>
            <w:hideMark/>
          </w:tcPr>
          <w:p w14:paraId="45FFB0E4" w14:textId="77777777" w:rsidR="00603D8A" w:rsidRPr="00603D8A" w:rsidRDefault="00603D8A" w:rsidP="00603D8A">
            <w:pPr>
              <w:pStyle w:val="Source"/>
              <w:rPr>
                <w:sz w:val="2"/>
                <w:szCs w:val="2"/>
              </w:rPr>
            </w:pPr>
          </w:p>
        </w:tc>
        <w:tc>
          <w:tcPr>
            <w:tcW w:w="1984" w:type="dxa"/>
            <w:noWrap/>
            <w:hideMark/>
          </w:tcPr>
          <w:p w14:paraId="7D31F63D" w14:textId="77777777" w:rsidR="00603D8A" w:rsidRPr="00603D8A" w:rsidRDefault="00603D8A" w:rsidP="00603D8A">
            <w:pPr>
              <w:pStyle w:val="Source"/>
              <w:rPr>
                <w:sz w:val="2"/>
                <w:szCs w:val="2"/>
              </w:rPr>
            </w:pPr>
            <w:r w:rsidRPr="00603D8A">
              <w:rPr>
                <w:sz w:val="2"/>
                <w:szCs w:val="2"/>
              </w:rPr>
              <w:t>Multi-service (small)</w:t>
            </w:r>
          </w:p>
        </w:tc>
        <w:tc>
          <w:tcPr>
            <w:tcW w:w="777" w:type="dxa"/>
            <w:noWrap/>
            <w:hideMark/>
          </w:tcPr>
          <w:p w14:paraId="00C07315" w14:textId="77777777" w:rsidR="00603D8A" w:rsidRPr="00603D8A" w:rsidRDefault="00603D8A" w:rsidP="00603D8A">
            <w:pPr>
              <w:pStyle w:val="Source"/>
              <w:rPr>
                <w:sz w:val="2"/>
                <w:szCs w:val="2"/>
              </w:rPr>
            </w:pPr>
            <w:r w:rsidRPr="00603D8A">
              <w:rPr>
                <w:sz w:val="2"/>
                <w:szCs w:val="2"/>
              </w:rPr>
              <w:t>32%</w:t>
            </w:r>
          </w:p>
        </w:tc>
        <w:tc>
          <w:tcPr>
            <w:tcW w:w="1535" w:type="dxa"/>
            <w:noWrap/>
            <w:hideMark/>
          </w:tcPr>
          <w:p w14:paraId="720B95E9" w14:textId="77777777" w:rsidR="00603D8A" w:rsidRPr="00603D8A" w:rsidRDefault="00603D8A" w:rsidP="00603D8A">
            <w:pPr>
              <w:pStyle w:val="Source"/>
              <w:rPr>
                <w:sz w:val="2"/>
                <w:szCs w:val="2"/>
              </w:rPr>
            </w:pPr>
            <w:r w:rsidRPr="00603D8A">
              <w:rPr>
                <w:sz w:val="2"/>
                <w:szCs w:val="2"/>
              </w:rPr>
              <w:t>23%</w:t>
            </w:r>
          </w:p>
        </w:tc>
        <w:tc>
          <w:tcPr>
            <w:tcW w:w="498" w:type="dxa"/>
            <w:noWrap/>
            <w:hideMark/>
          </w:tcPr>
          <w:p w14:paraId="41830F12" w14:textId="77777777" w:rsidR="00603D8A" w:rsidRPr="00603D8A" w:rsidRDefault="00603D8A" w:rsidP="00603D8A">
            <w:pPr>
              <w:pStyle w:val="Source"/>
              <w:rPr>
                <w:sz w:val="2"/>
                <w:szCs w:val="2"/>
              </w:rPr>
            </w:pPr>
            <w:r w:rsidRPr="00603D8A">
              <w:rPr>
                <w:sz w:val="2"/>
                <w:szCs w:val="2"/>
              </w:rPr>
              <w:t>22%</w:t>
            </w:r>
          </w:p>
        </w:tc>
      </w:tr>
      <w:tr w:rsidR="00603D8A" w:rsidRPr="00603D8A" w14:paraId="7DF5C0AF" w14:textId="77777777" w:rsidTr="00603D8A">
        <w:trPr>
          <w:trHeight w:val="285"/>
          <w:jc w:val="center"/>
        </w:trPr>
        <w:tc>
          <w:tcPr>
            <w:tcW w:w="3119" w:type="dxa"/>
            <w:noWrap/>
            <w:hideMark/>
          </w:tcPr>
          <w:p w14:paraId="20ED84A3" w14:textId="77777777" w:rsidR="00603D8A" w:rsidRPr="00603D8A" w:rsidRDefault="00603D8A" w:rsidP="00603D8A">
            <w:pPr>
              <w:pStyle w:val="Source"/>
              <w:rPr>
                <w:sz w:val="2"/>
                <w:szCs w:val="2"/>
              </w:rPr>
            </w:pPr>
          </w:p>
        </w:tc>
        <w:tc>
          <w:tcPr>
            <w:tcW w:w="1984" w:type="dxa"/>
            <w:noWrap/>
            <w:hideMark/>
          </w:tcPr>
          <w:p w14:paraId="53062AB8" w14:textId="77777777" w:rsidR="00603D8A" w:rsidRPr="00603D8A" w:rsidRDefault="00603D8A" w:rsidP="00603D8A">
            <w:pPr>
              <w:pStyle w:val="Source"/>
              <w:rPr>
                <w:sz w:val="2"/>
                <w:szCs w:val="2"/>
              </w:rPr>
            </w:pPr>
            <w:r w:rsidRPr="00603D8A">
              <w:rPr>
                <w:sz w:val="2"/>
                <w:szCs w:val="2"/>
              </w:rPr>
              <w:t>Multi-service (large)</w:t>
            </w:r>
          </w:p>
        </w:tc>
        <w:tc>
          <w:tcPr>
            <w:tcW w:w="777" w:type="dxa"/>
            <w:noWrap/>
            <w:hideMark/>
          </w:tcPr>
          <w:p w14:paraId="2EA1B5F4" w14:textId="77777777" w:rsidR="00603D8A" w:rsidRPr="00603D8A" w:rsidRDefault="00603D8A" w:rsidP="00603D8A">
            <w:pPr>
              <w:pStyle w:val="Source"/>
              <w:rPr>
                <w:sz w:val="2"/>
                <w:szCs w:val="2"/>
              </w:rPr>
            </w:pPr>
            <w:r w:rsidRPr="00603D8A">
              <w:rPr>
                <w:sz w:val="2"/>
                <w:szCs w:val="2"/>
              </w:rPr>
              <w:t>22%</w:t>
            </w:r>
          </w:p>
        </w:tc>
        <w:tc>
          <w:tcPr>
            <w:tcW w:w="1535" w:type="dxa"/>
            <w:noWrap/>
            <w:hideMark/>
          </w:tcPr>
          <w:p w14:paraId="0CCE14B4" w14:textId="77777777" w:rsidR="00603D8A" w:rsidRPr="00603D8A" w:rsidRDefault="00603D8A" w:rsidP="00603D8A">
            <w:pPr>
              <w:pStyle w:val="Source"/>
              <w:rPr>
                <w:sz w:val="2"/>
                <w:szCs w:val="2"/>
              </w:rPr>
            </w:pPr>
            <w:r w:rsidRPr="00603D8A">
              <w:rPr>
                <w:sz w:val="2"/>
                <w:szCs w:val="2"/>
              </w:rPr>
              <w:t>32%</w:t>
            </w:r>
          </w:p>
        </w:tc>
        <w:tc>
          <w:tcPr>
            <w:tcW w:w="498" w:type="dxa"/>
            <w:noWrap/>
            <w:hideMark/>
          </w:tcPr>
          <w:p w14:paraId="58FD06AB" w14:textId="77777777" w:rsidR="00603D8A" w:rsidRPr="00603D8A" w:rsidRDefault="00603D8A" w:rsidP="00603D8A">
            <w:pPr>
              <w:pStyle w:val="Source"/>
              <w:rPr>
                <w:sz w:val="2"/>
                <w:szCs w:val="2"/>
              </w:rPr>
            </w:pPr>
            <w:r w:rsidRPr="00603D8A">
              <w:rPr>
                <w:sz w:val="2"/>
                <w:szCs w:val="2"/>
              </w:rPr>
              <w:t>17%</w:t>
            </w:r>
          </w:p>
        </w:tc>
      </w:tr>
      <w:tr w:rsidR="00603D8A" w:rsidRPr="00603D8A" w14:paraId="04D8E21D" w14:textId="77777777" w:rsidTr="00603D8A">
        <w:trPr>
          <w:trHeight w:val="300"/>
          <w:jc w:val="center"/>
        </w:trPr>
        <w:tc>
          <w:tcPr>
            <w:tcW w:w="3119" w:type="dxa"/>
            <w:hideMark/>
          </w:tcPr>
          <w:p w14:paraId="57EDEF5C" w14:textId="77777777" w:rsidR="00603D8A" w:rsidRPr="00603D8A" w:rsidRDefault="00603D8A" w:rsidP="00603D8A">
            <w:pPr>
              <w:pStyle w:val="Source"/>
              <w:rPr>
                <w:sz w:val="2"/>
                <w:szCs w:val="2"/>
              </w:rPr>
            </w:pPr>
          </w:p>
        </w:tc>
        <w:tc>
          <w:tcPr>
            <w:tcW w:w="1984" w:type="dxa"/>
            <w:hideMark/>
          </w:tcPr>
          <w:p w14:paraId="5E048AF1" w14:textId="77777777" w:rsidR="00603D8A" w:rsidRPr="00603D8A" w:rsidRDefault="00603D8A" w:rsidP="00603D8A">
            <w:pPr>
              <w:pStyle w:val="Source"/>
              <w:rPr>
                <w:sz w:val="2"/>
                <w:szCs w:val="2"/>
              </w:rPr>
            </w:pPr>
          </w:p>
        </w:tc>
        <w:tc>
          <w:tcPr>
            <w:tcW w:w="777" w:type="dxa"/>
            <w:noWrap/>
            <w:hideMark/>
          </w:tcPr>
          <w:p w14:paraId="6F531651" w14:textId="77777777" w:rsidR="00603D8A" w:rsidRPr="00603D8A" w:rsidRDefault="00603D8A" w:rsidP="00603D8A">
            <w:pPr>
              <w:pStyle w:val="Source"/>
              <w:rPr>
                <w:b/>
                <w:bCs/>
                <w:sz w:val="2"/>
                <w:szCs w:val="2"/>
              </w:rPr>
            </w:pPr>
            <w:r w:rsidRPr="00603D8A">
              <w:rPr>
                <w:b/>
                <w:bCs/>
                <w:sz w:val="2"/>
                <w:szCs w:val="2"/>
              </w:rPr>
              <w:t>For-profit</w:t>
            </w:r>
          </w:p>
        </w:tc>
        <w:tc>
          <w:tcPr>
            <w:tcW w:w="1535" w:type="dxa"/>
            <w:noWrap/>
            <w:hideMark/>
          </w:tcPr>
          <w:p w14:paraId="618C084D" w14:textId="77777777" w:rsidR="00603D8A" w:rsidRPr="00603D8A" w:rsidRDefault="00603D8A" w:rsidP="00603D8A">
            <w:pPr>
              <w:pStyle w:val="Source"/>
              <w:rPr>
                <w:b/>
                <w:bCs/>
                <w:sz w:val="2"/>
                <w:szCs w:val="2"/>
              </w:rPr>
            </w:pPr>
            <w:r w:rsidRPr="00603D8A">
              <w:rPr>
                <w:b/>
                <w:bCs/>
                <w:sz w:val="2"/>
                <w:szCs w:val="2"/>
              </w:rPr>
              <w:t>Private not-for-profit</w:t>
            </w:r>
          </w:p>
        </w:tc>
        <w:tc>
          <w:tcPr>
            <w:tcW w:w="498" w:type="dxa"/>
            <w:noWrap/>
            <w:hideMark/>
          </w:tcPr>
          <w:p w14:paraId="54275AF2" w14:textId="77777777" w:rsidR="00603D8A" w:rsidRPr="00603D8A" w:rsidRDefault="00603D8A" w:rsidP="00603D8A">
            <w:pPr>
              <w:pStyle w:val="Source"/>
              <w:rPr>
                <w:b/>
                <w:bCs/>
                <w:sz w:val="2"/>
                <w:szCs w:val="2"/>
              </w:rPr>
            </w:pPr>
            <w:r w:rsidRPr="00603D8A">
              <w:rPr>
                <w:b/>
                <w:bCs/>
                <w:sz w:val="2"/>
                <w:szCs w:val="2"/>
              </w:rPr>
              <w:t>Community</w:t>
            </w:r>
          </w:p>
        </w:tc>
      </w:tr>
      <w:tr w:rsidR="00603D8A" w:rsidRPr="00603D8A" w14:paraId="53ED07EF" w14:textId="77777777" w:rsidTr="00603D8A">
        <w:trPr>
          <w:trHeight w:val="300"/>
          <w:jc w:val="center"/>
        </w:trPr>
        <w:tc>
          <w:tcPr>
            <w:tcW w:w="3119" w:type="dxa"/>
            <w:noWrap/>
            <w:hideMark/>
          </w:tcPr>
          <w:p w14:paraId="0F67311B" w14:textId="77777777" w:rsidR="00603D8A" w:rsidRPr="00603D8A" w:rsidRDefault="00603D8A" w:rsidP="00603D8A">
            <w:pPr>
              <w:pStyle w:val="Source"/>
              <w:rPr>
                <w:b/>
                <w:bCs/>
                <w:sz w:val="2"/>
                <w:szCs w:val="2"/>
              </w:rPr>
            </w:pPr>
            <w:r w:rsidRPr="00603D8A">
              <w:rPr>
                <w:b/>
                <w:bCs/>
                <w:sz w:val="2"/>
                <w:szCs w:val="2"/>
              </w:rPr>
              <w:t>Working towards Certificate III or Diploma qualification</w:t>
            </w:r>
          </w:p>
        </w:tc>
        <w:tc>
          <w:tcPr>
            <w:tcW w:w="1984" w:type="dxa"/>
            <w:noWrap/>
            <w:hideMark/>
          </w:tcPr>
          <w:p w14:paraId="04D37FA0" w14:textId="77777777" w:rsidR="00603D8A" w:rsidRPr="00603D8A" w:rsidRDefault="00603D8A" w:rsidP="00603D8A">
            <w:pPr>
              <w:pStyle w:val="Source"/>
              <w:rPr>
                <w:sz w:val="2"/>
                <w:szCs w:val="2"/>
              </w:rPr>
            </w:pPr>
            <w:r w:rsidRPr="00603D8A">
              <w:rPr>
                <w:sz w:val="2"/>
                <w:szCs w:val="2"/>
              </w:rPr>
              <w:t>Single service</w:t>
            </w:r>
          </w:p>
        </w:tc>
        <w:tc>
          <w:tcPr>
            <w:tcW w:w="777" w:type="dxa"/>
            <w:noWrap/>
            <w:hideMark/>
          </w:tcPr>
          <w:p w14:paraId="40D3D40C" w14:textId="77777777" w:rsidR="00603D8A" w:rsidRPr="00603D8A" w:rsidRDefault="00603D8A" w:rsidP="00603D8A">
            <w:pPr>
              <w:pStyle w:val="Source"/>
              <w:rPr>
                <w:sz w:val="2"/>
                <w:szCs w:val="2"/>
              </w:rPr>
            </w:pPr>
            <w:r w:rsidRPr="00603D8A">
              <w:rPr>
                <w:sz w:val="2"/>
                <w:szCs w:val="2"/>
              </w:rPr>
              <w:t>24%</w:t>
            </w:r>
          </w:p>
        </w:tc>
        <w:tc>
          <w:tcPr>
            <w:tcW w:w="1535" w:type="dxa"/>
            <w:noWrap/>
            <w:hideMark/>
          </w:tcPr>
          <w:p w14:paraId="197AAFAC" w14:textId="77777777" w:rsidR="00603D8A" w:rsidRPr="00603D8A" w:rsidRDefault="00603D8A" w:rsidP="00603D8A">
            <w:pPr>
              <w:pStyle w:val="Source"/>
              <w:rPr>
                <w:sz w:val="2"/>
                <w:szCs w:val="2"/>
              </w:rPr>
            </w:pPr>
            <w:r w:rsidRPr="00603D8A">
              <w:rPr>
                <w:sz w:val="2"/>
                <w:szCs w:val="2"/>
              </w:rPr>
              <w:t>17%</w:t>
            </w:r>
          </w:p>
        </w:tc>
        <w:tc>
          <w:tcPr>
            <w:tcW w:w="498" w:type="dxa"/>
            <w:noWrap/>
            <w:hideMark/>
          </w:tcPr>
          <w:p w14:paraId="12B20EC3" w14:textId="77777777" w:rsidR="00603D8A" w:rsidRPr="00603D8A" w:rsidRDefault="00603D8A" w:rsidP="00603D8A">
            <w:pPr>
              <w:pStyle w:val="Source"/>
              <w:rPr>
                <w:sz w:val="2"/>
                <w:szCs w:val="2"/>
              </w:rPr>
            </w:pPr>
            <w:r w:rsidRPr="00603D8A">
              <w:rPr>
                <w:sz w:val="2"/>
                <w:szCs w:val="2"/>
              </w:rPr>
              <w:t>14%</w:t>
            </w:r>
          </w:p>
        </w:tc>
      </w:tr>
      <w:tr w:rsidR="00603D8A" w:rsidRPr="00603D8A" w14:paraId="3F035DD1" w14:textId="77777777" w:rsidTr="00603D8A">
        <w:trPr>
          <w:trHeight w:val="300"/>
          <w:jc w:val="center"/>
        </w:trPr>
        <w:tc>
          <w:tcPr>
            <w:tcW w:w="3119" w:type="dxa"/>
            <w:noWrap/>
            <w:hideMark/>
          </w:tcPr>
          <w:p w14:paraId="47564566" w14:textId="77777777" w:rsidR="00603D8A" w:rsidRPr="00603D8A" w:rsidRDefault="00603D8A" w:rsidP="00603D8A">
            <w:pPr>
              <w:pStyle w:val="Source"/>
              <w:rPr>
                <w:sz w:val="2"/>
                <w:szCs w:val="2"/>
              </w:rPr>
            </w:pPr>
          </w:p>
        </w:tc>
        <w:tc>
          <w:tcPr>
            <w:tcW w:w="1984" w:type="dxa"/>
            <w:noWrap/>
            <w:hideMark/>
          </w:tcPr>
          <w:p w14:paraId="53B13145" w14:textId="77777777" w:rsidR="00603D8A" w:rsidRPr="00603D8A" w:rsidRDefault="00603D8A" w:rsidP="00603D8A">
            <w:pPr>
              <w:pStyle w:val="Source"/>
              <w:rPr>
                <w:sz w:val="2"/>
                <w:szCs w:val="2"/>
              </w:rPr>
            </w:pPr>
            <w:r w:rsidRPr="00603D8A">
              <w:rPr>
                <w:sz w:val="2"/>
                <w:szCs w:val="2"/>
              </w:rPr>
              <w:t>Multi-service (small)</w:t>
            </w:r>
          </w:p>
        </w:tc>
        <w:tc>
          <w:tcPr>
            <w:tcW w:w="777" w:type="dxa"/>
            <w:noWrap/>
            <w:hideMark/>
          </w:tcPr>
          <w:p w14:paraId="4FBC0E64" w14:textId="77777777" w:rsidR="00603D8A" w:rsidRPr="00603D8A" w:rsidRDefault="00603D8A" w:rsidP="00603D8A">
            <w:pPr>
              <w:pStyle w:val="Source"/>
              <w:rPr>
                <w:sz w:val="2"/>
                <w:szCs w:val="2"/>
              </w:rPr>
            </w:pPr>
            <w:r w:rsidRPr="00603D8A">
              <w:rPr>
                <w:sz w:val="2"/>
                <w:szCs w:val="2"/>
              </w:rPr>
              <w:t>24%</w:t>
            </w:r>
          </w:p>
        </w:tc>
        <w:tc>
          <w:tcPr>
            <w:tcW w:w="1535" w:type="dxa"/>
            <w:noWrap/>
            <w:hideMark/>
          </w:tcPr>
          <w:p w14:paraId="7C80E27F" w14:textId="77777777" w:rsidR="00603D8A" w:rsidRPr="00603D8A" w:rsidRDefault="00603D8A" w:rsidP="00603D8A">
            <w:pPr>
              <w:pStyle w:val="Source"/>
              <w:rPr>
                <w:sz w:val="2"/>
                <w:szCs w:val="2"/>
              </w:rPr>
            </w:pPr>
            <w:r w:rsidRPr="00603D8A">
              <w:rPr>
                <w:sz w:val="2"/>
                <w:szCs w:val="2"/>
              </w:rPr>
              <w:t>12%</w:t>
            </w:r>
          </w:p>
        </w:tc>
        <w:tc>
          <w:tcPr>
            <w:tcW w:w="498" w:type="dxa"/>
            <w:noWrap/>
            <w:hideMark/>
          </w:tcPr>
          <w:p w14:paraId="777E2FF9" w14:textId="77777777" w:rsidR="00603D8A" w:rsidRPr="00603D8A" w:rsidRDefault="00603D8A" w:rsidP="00603D8A">
            <w:pPr>
              <w:pStyle w:val="Source"/>
              <w:rPr>
                <w:sz w:val="2"/>
                <w:szCs w:val="2"/>
              </w:rPr>
            </w:pPr>
            <w:r w:rsidRPr="00603D8A">
              <w:rPr>
                <w:sz w:val="2"/>
                <w:szCs w:val="2"/>
              </w:rPr>
              <w:t>15%</w:t>
            </w:r>
          </w:p>
        </w:tc>
      </w:tr>
      <w:tr w:rsidR="00603D8A" w:rsidRPr="00603D8A" w14:paraId="4F01CA9C" w14:textId="77777777" w:rsidTr="00603D8A">
        <w:trPr>
          <w:trHeight w:val="300"/>
          <w:jc w:val="center"/>
        </w:trPr>
        <w:tc>
          <w:tcPr>
            <w:tcW w:w="3119" w:type="dxa"/>
            <w:noWrap/>
            <w:hideMark/>
          </w:tcPr>
          <w:p w14:paraId="7F32E63A" w14:textId="77777777" w:rsidR="00603D8A" w:rsidRPr="00603D8A" w:rsidRDefault="00603D8A" w:rsidP="00603D8A">
            <w:pPr>
              <w:pStyle w:val="Source"/>
              <w:rPr>
                <w:sz w:val="2"/>
                <w:szCs w:val="2"/>
              </w:rPr>
            </w:pPr>
          </w:p>
        </w:tc>
        <w:tc>
          <w:tcPr>
            <w:tcW w:w="1984" w:type="dxa"/>
            <w:noWrap/>
            <w:hideMark/>
          </w:tcPr>
          <w:p w14:paraId="5EB72DF6" w14:textId="77777777" w:rsidR="00603D8A" w:rsidRPr="00603D8A" w:rsidRDefault="00603D8A" w:rsidP="00603D8A">
            <w:pPr>
              <w:pStyle w:val="Source"/>
              <w:rPr>
                <w:sz w:val="2"/>
                <w:szCs w:val="2"/>
              </w:rPr>
            </w:pPr>
            <w:r w:rsidRPr="00603D8A">
              <w:rPr>
                <w:sz w:val="2"/>
                <w:szCs w:val="2"/>
              </w:rPr>
              <w:t>Multi-service (large)</w:t>
            </w:r>
          </w:p>
        </w:tc>
        <w:tc>
          <w:tcPr>
            <w:tcW w:w="777" w:type="dxa"/>
            <w:noWrap/>
            <w:hideMark/>
          </w:tcPr>
          <w:p w14:paraId="346B2FFA" w14:textId="77777777" w:rsidR="00603D8A" w:rsidRPr="00603D8A" w:rsidRDefault="00603D8A" w:rsidP="00603D8A">
            <w:pPr>
              <w:pStyle w:val="Source"/>
              <w:rPr>
                <w:sz w:val="2"/>
                <w:szCs w:val="2"/>
              </w:rPr>
            </w:pPr>
            <w:r w:rsidRPr="00603D8A">
              <w:rPr>
                <w:sz w:val="2"/>
                <w:szCs w:val="2"/>
              </w:rPr>
              <w:t>11%</w:t>
            </w:r>
          </w:p>
        </w:tc>
        <w:tc>
          <w:tcPr>
            <w:tcW w:w="1535" w:type="dxa"/>
            <w:noWrap/>
            <w:hideMark/>
          </w:tcPr>
          <w:p w14:paraId="0F1C5C18" w14:textId="77777777" w:rsidR="00603D8A" w:rsidRPr="00603D8A" w:rsidRDefault="00603D8A" w:rsidP="00603D8A">
            <w:pPr>
              <w:pStyle w:val="Source"/>
              <w:rPr>
                <w:sz w:val="2"/>
                <w:szCs w:val="2"/>
              </w:rPr>
            </w:pPr>
            <w:r w:rsidRPr="00603D8A">
              <w:rPr>
                <w:sz w:val="2"/>
                <w:szCs w:val="2"/>
              </w:rPr>
              <w:t>9%</w:t>
            </w:r>
          </w:p>
        </w:tc>
        <w:tc>
          <w:tcPr>
            <w:tcW w:w="498" w:type="dxa"/>
            <w:noWrap/>
            <w:hideMark/>
          </w:tcPr>
          <w:p w14:paraId="4E05C921" w14:textId="77777777" w:rsidR="00603D8A" w:rsidRPr="00603D8A" w:rsidRDefault="00603D8A" w:rsidP="00603D8A">
            <w:pPr>
              <w:pStyle w:val="Source"/>
              <w:rPr>
                <w:sz w:val="2"/>
                <w:szCs w:val="2"/>
              </w:rPr>
            </w:pPr>
            <w:r w:rsidRPr="00603D8A">
              <w:rPr>
                <w:sz w:val="2"/>
                <w:szCs w:val="2"/>
              </w:rPr>
              <w:t>9%</w:t>
            </w:r>
          </w:p>
        </w:tc>
      </w:tr>
      <w:tr w:rsidR="00603D8A" w:rsidRPr="00603D8A" w14:paraId="63166020" w14:textId="77777777" w:rsidTr="00603D8A">
        <w:trPr>
          <w:trHeight w:val="300"/>
          <w:jc w:val="center"/>
        </w:trPr>
        <w:tc>
          <w:tcPr>
            <w:tcW w:w="3119" w:type="dxa"/>
            <w:hideMark/>
          </w:tcPr>
          <w:p w14:paraId="12C6916D" w14:textId="77777777" w:rsidR="00603D8A" w:rsidRPr="00603D8A" w:rsidRDefault="00603D8A" w:rsidP="00603D8A">
            <w:pPr>
              <w:pStyle w:val="Source"/>
              <w:rPr>
                <w:sz w:val="2"/>
                <w:szCs w:val="2"/>
              </w:rPr>
            </w:pPr>
          </w:p>
        </w:tc>
        <w:tc>
          <w:tcPr>
            <w:tcW w:w="1984" w:type="dxa"/>
            <w:hideMark/>
          </w:tcPr>
          <w:p w14:paraId="66C5B266" w14:textId="77777777" w:rsidR="00603D8A" w:rsidRPr="00603D8A" w:rsidRDefault="00603D8A" w:rsidP="00603D8A">
            <w:pPr>
              <w:pStyle w:val="Source"/>
              <w:rPr>
                <w:sz w:val="2"/>
                <w:szCs w:val="2"/>
              </w:rPr>
            </w:pPr>
          </w:p>
        </w:tc>
        <w:tc>
          <w:tcPr>
            <w:tcW w:w="777" w:type="dxa"/>
            <w:noWrap/>
            <w:hideMark/>
          </w:tcPr>
          <w:p w14:paraId="4959EEE9" w14:textId="77777777" w:rsidR="00603D8A" w:rsidRPr="00603D8A" w:rsidRDefault="00603D8A" w:rsidP="00603D8A">
            <w:pPr>
              <w:pStyle w:val="Source"/>
              <w:rPr>
                <w:b/>
                <w:bCs/>
                <w:sz w:val="2"/>
                <w:szCs w:val="2"/>
              </w:rPr>
            </w:pPr>
            <w:r w:rsidRPr="00603D8A">
              <w:rPr>
                <w:b/>
                <w:bCs/>
                <w:sz w:val="2"/>
                <w:szCs w:val="2"/>
              </w:rPr>
              <w:t>For-profit</w:t>
            </w:r>
          </w:p>
        </w:tc>
        <w:tc>
          <w:tcPr>
            <w:tcW w:w="1535" w:type="dxa"/>
            <w:noWrap/>
            <w:hideMark/>
          </w:tcPr>
          <w:p w14:paraId="1A2F4427" w14:textId="77777777" w:rsidR="00603D8A" w:rsidRPr="00603D8A" w:rsidRDefault="00603D8A" w:rsidP="00603D8A">
            <w:pPr>
              <w:pStyle w:val="Source"/>
              <w:rPr>
                <w:b/>
                <w:bCs/>
                <w:sz w:val="2"/>
                <w:szCs w:val="2"/>
              </w:rPr>
            </w:pPr>
            <w:r w:rsidRPr="00603D8A">
              <w:rPr>
                <w:b/>
                <w:bCs/>
                <w:sz w:val="2"/>
                <w:szCs w:val="2"/>
              </w:rPr>
              <w:t>Private not-for-profit</w:t>
            </w:r>
          </w:p>
        </w:tc>
        <w:tc>
          <w:tcPr>
            <w:tcW w:w="498" w:type="dxa"/>
            <w:noWrap/>
            <w:hideMark/>
          </w:tcPr>
          <w:p w14:paraId="2256480A" w14:textId="77777777" w:rsidR="00603D8A" w:rsidRPr="00603D8A" w:rsidRDefault="00603D8A" w:rsidP="00603D8A">
            <w:pPr>
              <w:pStyle w:val="Source"/>
              <w:rPr>
                <w:b/>
                <w:bCs/>
                <w:sz w:val="2"/>
                <w:szCs w:val="2"/>
              </w:rPr>
            </w:pPr>
            <w:r w:rsidRPr="00603D8A">
              <w:rPr>
                <w:b/>
                <w:bCs/>
                <w:sz w:val="2"/>
                <w:szCs w:val="2"/>
              </w:rPr>
              <w:t>Community</w:t>
            </w:r>
          </w:p>
        </w:tc>
      </w:tr>
      <w:tr w:rsidR="00603D8A" w:rsidRPr="00603D8A" w14:paraId="5F030F54" w14:textId="77777777" w:rsidTr="00603D8A">
        <w:trPr>
          <w:trHeight w:val="300"/>
          <w:jc w:val="center"/>
        </w:trPr>
        <w:tc>
          <w:tcPr>
            <w:tcW w:w="3119" w:type="dxa"/>
            <w:noWrap/>
            <w:hideMark/>
          </w:tcPr>
          <w:p w14:paraId="6C72AA2D" w14:textId="77777777" w:rsidR="00603D8A" w:rsidRPr="00603D8A" w:rsidRDefault="00603D8A" w:rsidP="00603D8A">
            <w:pPr>
              <w:pStyle w:val="Source"/>
              <w:rPr>
                <w:b/>
                <w:bCs/>
                <w:sz w:val="2"/>
                <w:szCs w:val="2"/>
              </w:rPr>
            </w:pPr>
            <w:r w:rsidRPr="00603D8A">
              <w:rPr>
                <w:b/>
                <w:bCs/>
                <w:sz w:val="2"/>
                <w:szCs w:val="2"/>
              </w:rPr>
              <w:t>Non-permanent educators</w:t>
            </w:r>
          </w:p>
        </w:tc>
        <w:tc>
          <w:tcPr>
            <w:tcW w:w="1984" w:type="dxa"/>
            <w:noWrap/>
            <w:hideMark/>
          </w:tcPr>
          <w:p w14:paraId="05F77889" w14:textId="77777777" w:rsidR="00603D8A" w:rsidRPr="00603D8A" w:rsidRDefault="00603D8A" w:rsidP="00603D8A">
            <w:pPr>
              <w:pStyle w:val="Source"/>
              <w:rPr>
                <w:sz w:val="2"/>
                <w:szCs w:val="2"/>
              </w:rPr>
            </w:pPr>
            <w:r w:rsidRPr="00603D8A">
              <w:rPr>
                <w:sz w:val="2"/>
                <w:szCs w:val="2"/>
              </w:rPr>
              <w:t>Single service</w:t>
            </w:r>
          </w:p>
        </w:tc>
        <w:tc>
          <w:tcPr>
            <w:tcW w:w="777" w:type="dxa"/>
            <w:noWrap/>
            <w:hideMark/>
          </w:tcPr>
          <w:p w14:paraId="01D7E0BD" w14:textId="77777777" w:rsidR="00603D8A" w:rsidRPr="00603D8A" w:rsidRDefault="00603D8A" w:rsidP="00603D8A">
            <w:pPr>
              <w:pStyle w:val="Source"/>
              <w:rPr>
                <w:sz w:val="2"/>
                <w:szCs w:val="2"/>
              </w:rPr>
            </w:pPr>
            <w:r w:rsidRPr="00603D8A">
              <w:rPr>
                <w:sz w:val="2"/>
                <w:szCs w:val="2"/>
              </w:rPr>
              <w:t>19%</w:t>
            </w:r>
          </w:p>
        </w:tc>
        <w:tc>
          <w:tcPr>
            <w:tcW w:w="1535" w:type="dxa"/>
            <w:noWrap/>
            <w:hideMark/>
          </w:tcPr>
          <w:p w14:paraId="51D55247" w14:textId="77777777" w:rsidR="00603D8A" w:rsidRPr="00603D8A" w:rsidRDefault="00603D8A" w:rsidP="00603D8A">
            <w:pPr>
              <w:pStyle w:val="Source"/>
              <w:rPr>
                <w:sz w:val="2"/>
                <w:szCs w:val="2"/>
              </w:rPr>
            </w:pPr>
            <w:r w:rsidRPr="00603D8A">
              <w:rPr>
                <w:sz w:val="2"/>
                <w:szCs w:val="2"/>
              </w:rPr>
              <w:t>26%</w:t>
            </w:r>
          </w:p>
        </w:tc>
        <w:tc>
          <w:tcPr>
            <w:tcW w:w="498" w:type="dxa"/>
            <w:noWrap/>
            <w:hideMark/>
          </w:tcPr>
          <w:p w14:paraId="7FC260A8" w14:textId="77777777" w:rsidR="00603D8A" w:rsidRPr="00603D8A" w:rsidRDefault="00603D8A" w:rsidP="00603D8A">
            <w:pPr>
              <w:pStyle w:val="Source"/>
              <w:rPr>
                <w:sz w:val="2"/>
                <w:szCs w:val="2"/>
              </w:rPr>
            </w:pPr>
            <w:r w:rsidRPr="00603D8A">
              <w:rPr>
                <w:sz w:val="2"/>
                <w:szCs w:val="2"/>
              </w:rPr>
              <w:t>22%</w:t>
            </w:r>
          </w:p>
        </w:tc>
      </w:tr>
      <w:tr w:rsidR="00603D8A" w:rsidRPr="00603D8A" w14:paraId="5CB75A56" w14:textId="77777777" w:rsidTr="00603D8A">
        <w:trPr>
          <w:trHeight w:val="285"/>
          <w:jc w:val="center"/>
        </w:trPr>
        <w:tc>
          <w:tcPr>
            <w:tcW w:w="3119" w:type="dxa"/>
            <w:noWrap/>
            <w:hideMark/>
          </w:tcPr>
          <w:p w14:paraId="137004ED" w14:textId="77777777" w:rsidR="00603D8A" w:rsidRPr="00603D8A" w:rsidRDefault="00603D8A" w:rsidP="00603D8A">
            <w:pPr>
              <w:pStyle w:val="Source"/>
              <w:rPr>
                <w:sz w:val="2"/>
                <w:szCs w:val="2"/>
              </w:rPr>
            </w:pPr>
          </w:p>
        </w:tc>
        <w:tc>
          <w:tcPr>
            <w:tcW w:w="1984" w:type="dxa"/>
            <w:noWrap/>
            <w:hideMark/>
          </w:tcPr>
          <w:p w14:paraId="4B79B1CB" w14:textId="77777777" w:rsidR="00603D8A" w:rsidRPr="00603D8A" w:rsidRDefault="00603D8A" w:rsidP="00603D8A">
            <w:pPr>
              <w:pStyle w:val="Source"/>
              <w:rPr>
                <w:sz w:val="2"/>
                <w:szCs w:val="2"/>
              </w:rPr>
            </w:pPr>
            <w:r w:rsidRPr="00603D8A">
              <w:rPr>
                <w:sz w:val="2"/>
                <w:szCs w:val="2"/>
              </w:rPr>
              <w:t>Multi-service (small)</w:t>
            </w:r>
          </w:p>
        </w:tc>
        <w:tc>
          <w:tcPr>
            <w:tcW w:w="777" w:type="dxa"/>
            <w:noWrap/>
            <w:hideMark/>
          </w:tcPr>
          <w:p w14:paraId="16A68D58" w14:textId="77777777" w:rsidR="00603D8A" w:rsidRPr="00603D8A" w:rsidRDefault="00603D8A" w:rsidP="00603D8A">
            <w:pPr>
              <w:pStyle w:val="Source"/>
              <w:rPr>
                <w:sz w:val="2"/>
                <w:szCs w:val="2"/>
              </w:rPr>
            </w:pPr>
            <w:r w:rsidRPr="00603D8A">
              <w:rPr>
                <w:sz w:val="2"/>
                <w:szCs w:val="2"/>
              </w:rPr>
              <w:t>17%</w:t>
            </w:r>
          </w:p>
        </w:tc>
        <w:tc>
          <w:tcPr>
            <w:tcW w:w="1535" w:type="dxa"/>
            <w:noWrap/>
            <w:hideMark/>
          </w:tcPr>
          <w:p w14:paraId="0E891F38" w14:textId="77777777" w:rsidR="00603D8A" w:rsidRPr="00603D8A" w:rsidRDefault="00603D8A" w:rsidP="00603D8A">
            <w:pPr>
              <w:pStyle w:val="Source"/>
              <w:rPr>
                <w:sz w:val="2"/>
                <w:szCs w:val="2"/>
              </w:rPr>
            </w:pPr>
            <w:r w:rsidRPr="00603D8A">
              <w:rPr>
                <w:sz w:val="2"/>
                <w:szCs w:val="2"/>
              </w:rPr>
              <w:t>25%</w:t>
            </w:r>
          </w:p>
        </w:tc>
        <w:tc>
          <w:tcPr>
            <w:tcW w:w="498" w:type="dxa"/>
            <w:noWrap/>
            <w:hideMark/>
          </w:tcPr>
          <w:p w14:paraId="3D7F6E4D" w14:textId="77777777" w:rsidR="00603D8A" w:rsidRPr="00603D8A" w:rsidRDefault="00603D8A" w:rsidP="00603D8A">
            <w:pPr>
              <w:pStyle w:val="Source"/>
              <w:rPr>
                <w:sz w:val="2"/>
                <w:szCs w:val="2"/>
              </w:rPr>
            </w:pPr>
            <w:r w:rsidRPr="00603D8A">
              <w:rPr>
                <w:sz w:val="2"/>
                <w:szCs w:val="2"/>
              </w:rPr>
              <w:t>20%</w:t>
            </w:r>
          </w:p>
        </w:tc>
      </w:tr>
      <w:tr w:rsidR="00603D8A" w:rsidRPr="00603D8A" w14:paraId="188C1CEC" w14:textId="77777777" w:rsidTr="00603D8A">
        <w:trPr>
          <w:trHeight w:val="285"/>
          <w:jc w:val="center"/>
        </w:trPr>
        <w:tc>
          <w:tcPr>
            <w:tcW w:w="3119" w:type="dxa"/>
            <w:noWrap/>
            <w:hideMark/>
          </w:tcPr>
          <w:p w14:paraId="01117155" w14:textId="77777777" w:rsidR="00603D8A" w:rsidRPr="00603D8A" w:rsidRDefault="00603D8A" w:rsidP="00603D8A">
            <w:pPr>
              <w:pStyle w:val="Source"/>
              <w:rPr>
                <w:sz w:val="2"/>
                <w:szCs w:val="2"/>
              </w:rPr>
            </w:pPr>
          </w:p>
        </w:tc>
        <w:tc>
          <w:tcPr>
            <w:tcW w:w="1984" w:type="dxa"/>
            <w:noWrap/>
            <w:hideMark/>
          </w:tcPr>
          <w:p w14:paraId="1535866D" w14:textId="77777777" w:rsidR="00603D8A" w:rsidRPr="00603D8A" w:rsidRDefault="00603D8A" w:rsidP="00603D8A">
            <w:pPr>
              <w:pStyle w:val="Source"/>
              <w:rPr>
                <w:sz w:val="2"/>
                <w:szCs w:val="2"/>
              </w:rPr>
            </w:pPr>
            <w:r w:rsidRPr="00603D8A">
              <w:rPr>
                <w:sz w:val="2"/>
                <w:szCs w:val="2"/>
              </w:rPr>
              <w:t>Multi-service (large)</w:t>
            </w:r>
          </w:p>
        </w:tc>
        <w:tc>
          <w:tcPr>
            <w:tcW w:w="777" w:type="dxa"/>
            <w:noWrap/>
            <w:hideMark/>
          </w:tcPr>
          <w:p w14:paraId="4172AE15" w14:textId="77777777" w:rsidR="00603D8A" w:rsidRPr="00603D8A" w:rsidRDefault="00603D8A" w:rsidP="00603D8A">
            <w:pPr>
              <w:pStyle w:val="Source"/>
              <w:rPr>
                <w:sz w:val="2"/>
                <w:szCs w:val="2"/>
              </w:rPr>
            </w:pPr>
            <w:r w:rsidRPr="00603D8A">
              <w:rPr>
                <w:sz w:val="2"/>
                <w:szCs w:val="2"/>
              </w:rPr>
              <w:t>20%</w:t>
            </w:r>
          </w:p>
        </w:tc>
        <w:tc>
          <w:tcPr>
            <w:tcW w:w="1535" w:type="dxa"/>
            <w:noWrap/>
            <w:hideMark/>
          </w:tcPr>
          <w:p w14:paraId="678D4098" w14:textId="77777777" w:rsidR="00603D8A" w:rsidRPr="00603D8A" w:rsidRDefault="00603D8A" w:rsidP="00603D8A">
            <w:pPr>
              <w:pStyle w:val="Source"/>
              <w:rPr>
                <w:sz w:val="2"/>
                <w:szCs w:val="2"/>
              </w:rPr>
            </w:pPr>
            <w:r w:rsidRPr="00603D8A">
              <w:rPr>
                <w:sz w:val="2"/>
                <w:szCs w:val="2"/>
              </w:rPr>
              <w:t>26%</w:t>
            </w:r>
          </w:p>
        </w:tc>
        <w:tc>
          <w:tcPr>
            <w:tcW w:w="498" w:type="dxa"/>
            <w:noWrap/>
            <w:hideMark/>
          </w:tcPr>
          <w:p w14:paraId="30F3EB06" w14:textId="77777777" w:rsidR="00603D8A" w:rsidRPr="00603D8A" w:rsidRDefault="00603D8A" w:rsidP="00603D8A">
            <w:pPr>
              <w:pStyle w:val="Source"/>
              <w:rPr>
                <w:sz w:val="2"/>
                <w:szCs w:val="2"/>
              </w:rPr>
            </w:pPr>
            <w:r w:rsidRPr="00603D8A">
              <w:rPr>
                <w:sz w:val="2"/>
                <w:szCs w:val="2"/>
              </w:rPr>
              <w:t>22%</w:t>
            </w:r>
          </w:p>
        </w:tc>
      </w:tr>
    </w:tbl>
    <w:p w14:paraId="713033DE" w14:textId="77777777" w:rsidR="00603D8A" w:rsidRDefault="00603D8A" w:rsidP="00887E52">
      <w:pPr>
        <w:pStyle w:val="Source"/>
      </w:pPr>
    </w:p>
    <w:p w14:paraId="58517603" w14:textId="77777777" w:rsidR="00603D8A" w:rsidRDefault="00603D8A" w:rsidP="00887E52">
      <w:pPr>
        <w:pStyle w:val="Source"/>
      </w:pPr>
    </w:p>
    <w:p w14:paraId="6E0D61E1" w14:textId="77777777" w:rsidR="00603D8A" w:rsidRDefault="00603D8A" w:rsidP="00887E52">
      <w:pPr>
        <w:pStyle w:val="Source"/>
      </w:pPr>
    </w:p>
    <w:p w14:paraId="1309EC5F" w14:textId="77777777" w:rsidR="00603D8A" w:rsidRDefault="00603D8A" w:rsidP="00887E52">
      <w:pPr>
        <w:pStyle w:val="Source"/>
      </w:pPr>
    </w:p>
    <w:p w14:paraId="4F2DE70E" w14:textId="77777777" w:rsidR="00603D8A" w:rsidRDefault="00603D8A" w:rsidP="00887E52">
      <w:pPr>
        <w:pStyle w:val="Source"/>
      </w:pPr>
    </w:p>
    <w:p w14:paraId="0DCC6E09" w14:textId="77777777" w:rsidR="00603D8A" w:rsidRDefault="00603D8A" w:rsidP="00887E52">
      <w:pPr>
        <w:pStyle w:val="Source"/>
      </w:pPr>
    </w:p>
    <w:p w14:paraId="57D5C14D" w14:textId="77777777" w:rsidR="00603D8A" w:rsidRDefault="00603D8A" w:rsidP="00887E52">
      <w:pPr>
        <w:pStyle w:val="Source"/>
      </w:pPr>
    </w:p>
    <w:p w14:paraId="59BD5E32" w14:textId="77777777" w:rsidR="00603D8A" w:rsidRDefault="00603D8A" w:rsidP="00887E52">
      <w:pPr>
        <w:pStyle w:val="Source"/>
      </w:pPr>
    </w:p>
    <w:p w14:paraId="5DC67053" w14:textId="77777777" w:rsidR="00603D8A" w:rsidRDefault="00603D8A" w:rsidP="00887E52">
      <w:pPr>
        <w:pStyle w:val="Source"/>
      </w:pPr>
    </w:p>
    <w:p w14:paraId="692BAF1C" w14:textId="77777777" w:rsidR="00603D8A" w:rsidRDefault="00603D8A" w:rsidP="00887E52">
      <w:pPr>
        <w:pStyle w:val="Source"/>
      </w:pPr>
    </w:p>
    <w:p w14:paraId="61B60C03" w14:textId="77777777" w:rsidR="00603D8A" w:rsidRDefault="00603D8A" w:rsidP="00887E52">
      <w:pPr>
        <w:pStyle w:val="Source"/>
      </w:pPr>
    </w:p>
    <w:p w14:paraId="32C2E2F3" w14:textId="75D92481" w:rsidR="00F47B0F" w:rsidRPr="00F47B0F" w:rsidRDefault="00F47B0F" w:rsidP="00887E52">
      <w:pPr>
        <w:pStyle w:val="Source"/>
      </w:pPr>
      <w:r w:rsidRPr="00F47B0F">
        <w:t>Source: JSA analysis of Department of Education NWC (2021) and CCS data; ACECQA, National Registers</w:t>
      </w:r>
    </w:p>
    <w:p w14:paraId="74DC0508" w14:textId="37BA0A1B" w:rsidR="00603D8A" w:rsidRPr="00603D8A" w:rsidRDefault="00F47B0F">
      <w:pPr>
        <w:rPr>
          <w:rFonts w:cs="Arial"/>
        </w:rPr>
      </w:pPr>
      <w:r w:rsidRPr="00F47B0F">
        <w:rPr>
          <w:shd w:val="clear" w:color="auto" w:fill="FFFFFF"/>
        </w:rPr>
        <w:t>Out of School hours care services </w:t>
      </w:r>
      <w:r w:rsidR="0037361A">
        <w:rPr>
          <w:rFonts w:cs="Arial"/>
        </w:rPr>
        <w:t>f</w:t>
      </w:r>
      <w:r w:rsidRPr="00F47B0F">
        <w:rPr>
          <w:rFonts w:cs="Arial"/>
        </w:rPr>
        <w:t xml:space="preserve">or OSHCs, all management types and sizes generally pay educators at the award rate. Large community providers are more likely to pay 10-25% above award, as are (to a lesser extent) single service private not-for-profits. </w:t>
      </w:r>
      <w:bookmarkStart w:id="108" w:name="_Ref169159042"/>
      <w:bookmarkStart w:id="109" w:name="_Ref166153446"/>
      <w:r w:rsidR="00603D8A">
        <w:br w:type="page"/>
      </w:r>
    </w:p>
    <w:p w14:paraId="261A7481" w14:textId="224C9922" w:rsidR="00F47B0F" w:rsidRPr="00F47B0F" w:rsidRDefault="00F47B0F" w:rsidP="00887E52">
      <w:pPr>
        <w:pStyle w:val="Caption"/>
      </w:pPr>
      <w:r w:rsidRPr="00F47B0F">
        <w:lastRenderedPageBreak/>
        <w:t>Figure 2</w:t>
      </w:r>
      <w:bookmarkEnd w:id="108"/>
      <w:r w:rsidRPr="00F47B0F">
        <w:t>.</w:t>
      </w:r>
      <w:r w:rsidRPr="00F47B0F">
        <w:fldChar w:fldCharType="begin"/>
      </w:r>
      <w:r w:rsidRPr="00F47B0F">
        <w:instrText xml:space="preserve"> SEQ Figure \* ARABIC \s 1 </w:instrText>
      </w:r>
      <w:r w:rsidRPr="00F47B0F">
        <w:fldChar w:fldCharType="separate"/>
      </w:r>
      <w:r w:rsidR="005F18C1">
        <w:rPr>
          <w:noProof/>
        </w:rPr>
        <w:t>12</w:t>
      </w:r>
      <w:r w:rsidRPr="00F47B0F">
        <w:fldChar w:fldCharType="end"/>
      </w:r>
      <w:r w:rsidRPr="00F47B0F">
        <w:t xml:space="preserve">  OSHC staff wages by service type and provider size</w:t>
      </w:r>
      <w:r w:rsidRPr="00F47B0F">
        <w:rPr>
          <w:vertAlign w:val="superscript"/>
        </w:rPr>
        <w:footnoteReference w:id="41"/>
      </w:r>
    </w:p>
    <w:bookmarkEnd w:id="109"/>
    <w:p w14:paraId="5FF436D4" w14:textId="7FF7B1B8" w:rsidR="00F47B0F" w:rsidRPr="00F47B0F" w:rsidRDefault="00F47B0F" w:rsidP="00F47B0F">
      <w:r w:rsidRPr="00F47B0F">
        <w:rPr>
          <w:noProof/>
        </w:rPr>
        <w:drawing>
          <wp:anchor distT="0" distB="0" distL="114300" distR="114300" simplePos="0" relativeHeight="251714563" behindDoc="0" locked="0" layoutInCell="1" allowOverlap="1" wp14:anchorId="7B5D2EEF" wp14:editId="0408C71C">
            <wp:simplePos x="0" y="0"/>
            <wp:positionH relativeFrom="column">
              <wp:posOffset>0</wp:posOffset>
            </wp:positionH>
            <wp:positionV relativeFrom="paragraph">
              <wp:posOffset>-1270</wp:posOffset>
            </wp:positionV>
            <wp:extent cx="5731510" cy="7164070"/>
            <wp:effectExtent l="0" t="0" r="2540" b="0"/>
            <wp:wrapNone/>
            <wp:docPr id="596635003"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635003" name="Picture 12">
                      <a:extLst>
                        <a:ext uri="{C183D7F6-B498-43B3-948B-1728B52AA6E4}">
                          <adec:decorative xmlns:adec="http://schemas.microsoft.com/office/drawing/2017/decorative" val="1"/>
                        </a:ext>
                      </a:extLst>
                    </pic:cNvPr>
                    <pic:cNvPicPr>
                      <a:picLocks noChangeAspect="1" noChangeArrowheads="1"/>
                    </pic:cNvPicPr>
                  </pic:nvPicPr>
                  <pic:blipFill>
                    <a:blip r:embed="rId90" cstate="screen">
                      <a:extLst>
                        <a:ext uri="{28A0092B-C50C-407E-A947-70E740481C1C}">
                          <a14:useLocalDpi xmlns:a14="http://schemas.microsoft.com/office/drawing/2010/main" val="0"/>
                        </a:ext>
                      </a:extLst>
                    </a:blip>
                    <a:srcRect/>
                    <a:stretch>
                      <a:fillRect/>
                    </a:stretch>
                  </pic:blipFill>
                  <pic:spPr bwMode="auto">
                    <a:xfrm>
                      <a:off x="0" y="0"/>
                      <a:ext cx="5731510" cy="7164070"/>
                    </a:xfrm>
                    <a:prstGeom prst="rect">
                      <a:avLst/>
                    </a:prstGeom>
                    <a:noFill/>
                    <a:ln>
                      <a:noFill/>
                    </a:ln>
                  </pic:spPr>
                </pic:pic>
              </a:graphicData>
            </a:graphic>
          </wp:anchor>
        </w:drawing>
      </w:r>
    </w:p>
    <w:tbl>
      <w:tblPr>
        <w:tblStyle w:val="Box"/>
        <w:tblW w:w="0" w:type="auto"/>
        <w:jc w:val="center"/>
        <w:tblLook w:val="04A0" w:firstRow="1" w:lastRow="0" w:firstColumn="1" w:lastColumn="0" w:noHBand="0" w:noVBand="1"/>
      </w:tblPr>
      <w:tblGrid>
        <w:gridCol w:w="2118"/>
        <w:gridCol w:w="1426"/>
        <w:gridCol w:w="1231"/>
        <w:gridCol w:w="1681"/>
        <w:gridCol w:w="1302"/>
      </w:tblGrid>
      <w:tr w:rsidR="00603D8A" w:rsidRPr="00603D8A" w14:paraId="270BE0FA" w14:textId="77777777" w:rsidTr="00603D8A">
        <w:trPr>
          <w:trHeight w:val="300"/>
          <w:jc w:val="center"/>
        </w:trPr>
        <w:tc>
          <w:tcPr>
            <w:tcW w:w="2118" w:type="dxa"/>
            <w:hideMark/>
          </w:tcPr>
          <w:p w14:paraId="082A837C" w14:textId="77777777" w:rsidR="00603D8A" w:rsidRPr="00603D8A" w:rsidRDefault="00603D8A" w:rsidP="00603D8A">
            <w:pPr>
              <w:pStyle w:val="Source"/>
              <w:rPr>
                <w:sz w:val="2"/>
                <w:szCs w:val="2"/>
              </w:rPr>
            </w:pPr>
          </w:p>
        </w:tc>
        <w:tc>
          <w:tcPr>
            <w:tcW w:w="1426" w:type="dxa"/>
            <w:hideMark/>
          </w:tcPr>
          <w:p w14:paraId="6202CFDC" w14:textId="77777777" w:rsidR="00603D8A" w:rsidRPr="00603D8A" w:rsidRDefault="00603D8A" w:rsidP="00603D8A">
            <w:pPr>
              <w:pStyle w:val="Source"/>
              <w:rPr>
                <w:sz w:val="2"/>
                <w:szCs w:val="2"/>
              </w:rPr>
            </w:pPr>
          </w:p>
        </w:tc>
        <w:tc>
          <w:tcPr>
            <w:tcW w:w="1231" w:type="dxa"/>
            <w:noWrap/>
            <w:hideMark/>
          </w:tcPr>
          <w:p w14:paraId="20ED2462" w14:textId="77777777" w:rsidR="00603D8A" w:rsidRPr="00603D8A" w:rsidRDefault="00603D8A" w:rsidP="00603D8A">
            <w:pPr>
              <w:pStyle w:val="Source"/>
              <w:rPr>
                <w:b/>
                <w:bCs/>
                <w:sz w:val="2"/>
                <w:szCs w:val="2"/>
              </w:rPr>
            </w:pPr>
            <w:r w:rsidRPr="00603D8A">
              <w:rPr>
                <w:b/>
                <w:bCs/>
                <w:sz w:val="2"/>
                <w:szCs w:val="2"/>
              </w:rPr>
              <w:t>Single service</w:t>
            </w:r>
          </w:p>
        </w:tc>
        <w:tc>
          <w:tcPr>
            <w:tcW w:w="1681" w:type="dxa"/>
            <w:noWrap/>
            <w:hideMark/>
          </w:tcPr>
          <w:p w14:paraId="449987F0" w14:textId="77777777" w:rsidR="00603D8A" w:rsidRPr="00603D8A" w:rsidRDefault="00603D8A" w:rsidP="00603D8A">
            <w:pPr>
              <w:pStyle w:val="Source"/>
              <w:rPr>
                <w:b/>
                <w:bCs/>
                <w:sz w:val="2"/>
                <w:szCs w:val="2"/>
              </w:rPr>
            </w:pPr>
            <w:r w:rsidRPr="00603D8A">
              <w:rPr>
                <w:b/>
                <w:bCs/>
                <w:sz w:val="2"/>
                <w:szCs w:val="2"/>
              </w:rPr>
              <w:t>Multi-service (small)</w:t>
            </w:r>
          </w:p>
        </w:tc>
        <w:tc>
          <w:tcPr>
            <w:tcW w:w="1302" w:type="dxa"/>
            <w:noWrap/>
            <w:hideMark/>
          </w:tcPr>
          <w:p w14:paraId="5100CED7" w14:textId="77777777" w:rsidR="00603D8A" w:rsidRPr="00603D8A" w:rsidRDefault="00603D8A" w:rsidP="00603D8A">
            <w:pPr>
              <w:pStyle w:val="Source"/>
              <w:rPr>
                <w:b/>
                <w:bCs/>
                <w:sz w:val="2"/>
                <w:szCs w:val="2"/>
              </w:rPr>
            </w:pPr>
            <w:r w:rsidRPr="00603D8A">
              <w:rPr>
                <w:b/>
                <w:bCs/>
                <w:sz w:val="2"/>
                <w:szCs w:val="2"/>
              </w:rPr>
              <w:t>Multi-service (large)</w:t>
            </w:r>
          </w:p>
        </w:tc>
      </w:tr>
      <w:tr w:rsidR="00603D8A" w:rsidRPr="00603D8A" w14:paraId="4CC967AF" w14:textId="77777777" w:rsidTr="00603D8A">
        <w:trPr>
          <w:trHeight w:val="300"/>
          <w:jc w:val="center"/>
        </w:trPr>
        <w:tc>
          <w:tcPr>
            <w:tcW w:w="2118" w:type="dxa"/>
            <w:noWrap/>
            <w:hideMark/>
          </w:tcPr>
          <w:p w14:paraId="0DC2AC9E" w14:textId="77777777" w:rsidR="00603D8A" w:rsidRPr="00603D8A" w:rsidRDefault="00603D8A" w:rsidP="00603D8A">
            <w:pPr>
              <w:pStyle w:val="Source"/>
              <w:rPr>
                <w:b/>
                <w:bCs/>
                <w:sz w:val="2"/>
                <w:szCs w:val="2"/>
              </w:rPr>
            </w:pPr>
            <w:r w:rsidRPr="00603D8A">
              <w:rPr>
                <w:b/>
                <w:bCs/>
                <w:sz w:val="2"/>
                <w:szCs w:val="2"/>
              </w:rPr>
              <w:t>For-profit</w:t>
            </w:r>
          </w:p>
        </w:tc>
        <w:tc>
          <w:tcPr>
            <w:tcW w:w="1426" w:type="dxa"/>
            <w:noWrap/>
            <w:hideMark/>
          </w:tcPr>
          <w:p w14:paraId="0064DC0E" w14:textId="77777777" w:rsidR="00603D8A" w:rsidRPr="00603D8A" w:rsidRDefault="00603D8A" w:rsidP="00603D8A">
            <w:pPr>
              <w:pStyle w:val="Source"/>
              <w:rPr>
                <w:sz w:val="2"/>
                <w:szCs w:val="2"/>
              </w:rPr>
            </w:pPr>
            <w:r w:rsidRPr="00603D8A">
              <w:rPr>
                <w:sz w:val="2"/>
                <w:szCs w:val="2"/>
              </w:rPr>
              <w:t>At award</w:t>
            </w:r>
          </w:p>
        </w:tc>
        <w:tc>
          <w:tcPr>
            <w:tcW w:w="1231" w:type="dxa"/>
            <w:noWrap/>
            <w:hideMark/>
          </w:tcPr>
          <w:p w14:paraId="385AB078" w14:textId="77777777" w:rsidR="00603D8A" w:rsidRPr="00603D8A" w:rsidRDefault="00603D8A" w:rsidP="00603D8A">
            <w:pPr>
              <w:pStyle w:val="Source"/>
              <w:rPr>
                <w:sz w:val="2"/>
                <w:szCs w:val="2"/>
              </w:rPr>
            </w:pPr>
            <w:r w:rsidRPr="00603D8A">
              <w:rPr>
                <w:sz w:val="2"/>
                <w:szCs w:val="2"/>
              </w:rPr>
              <w:t>72%</w:t>
            </w:r>
          </w:p>
        </w:tc>
        <w:tc>
          <w:tcPr>
            <w:tcW w:w="1681" w:type="dxa"/>
            <w:noWrap/>
            <w:hideMark/>
          </w:tcPr>
          <w:p w14:paraId="0A30CBF5" w14:textId="77777777" w:rsidR="00603D8A" w:rsidRPr="00603D8A" w:rsidRDefault="00603D8A" w:rsidP="00603D8A">
            <w:pPr>
              <w:pStyle w:val="Source"/>
              <w:rPr>
                <w:sz w:val="2"/>
                <w:szCs w:val="2"/>
              </w:rPr>
            </w:pPr>
            <w:r w:rsidRPr="00603D8A">
              <w:rPr>
                <w:sz w:val="2"/>
                <w:szCs w:val="2"/>
              </w:rPr>
              <w:t>70%</w:t>
            </w:r>
          </w:p>
        </w:tc>
        <w:tc>
          <w:tcPr>
            <w:tcW w:w="1302" w:type="dxa"/>
            <w:noWrap/>
            <w:hideMark/>
          </w:tcPr>
          <w:p w14:paraId="0D0D2822" w14:textId="77777777" w:rsidR="00603D8A" w:rsidRPr="00603D8A" w:rsidRDefault="00603D8A" w:rsidP="00603D8A">
            <w:pPr>
              <w:pStyle w:val="Source"/>
              <w:rPr>
                <w:sz w:val="2"/>
                <w:szCs w:val="2"/>
              </w:rPr>
            </w:pPr>
            <w:r w:rsidRPr="00603D8A">
              <w:rPr>
                <w:sz w:val="2"/>
                <w:szCs w:val="2"/>
              </w:rPr>
              <w:t>88%</w:t>
            </w:r>
          </w:p>
        </w:tc>
      </w:tr>
      <w:tr w:rsidR="00603D8A" w:rsidRPr="00603D8A" w14:paraId="253760F5" w14:textId="77777777" w:rsidTr="00603D8A">
        <w:trPr>
          <w:trHeight w:val="300"/>
          <w:jc w:val="center"/>
        </w:trPr>
        <w:tc>
          <w:tcPr>
            <w:tcW w:w="2118" w:type="dxa"/>
            <w:noWrap/>
            <w:hideMark/>
          </w:tcPr>
          <w:p w14:paraId="659B7B6A" w14:textId="77777777" w:rsidR="00603D8A" w:rsidRPr="00603D8A" w:rsidRDefault="00603D8A" w:rsidP="00603D8A">
            <w:pPr>
              <w:pStyle w:val="Source"/>
              <w:rPr>
                <w:sz w:val="2"/>
                <w:szCs w:val="2"/>
              </w:rPr>
            </w:pPr>
          </w:p>
        </w:tc>
        <w:tc>
          <w:tcPr>
            <w:tcW w:w="1426" w:type="dxa"/>
            <w:noWrap/>
            <w:hideMark/>
          </w:tcPr>
          <w:p w14:paraId="18DA7F5B" w14:textId="77777777" w:rsidR="00603D8A" w:rsidRPr="00603D8A" w:rsidRDefault="00603D8A" w:rsidP="00603D8A">
            <w:pPr>
              <w:pStyle w:val="Source"/>
              <w:rPr>
                <w:sz w:val="2"/>
                <w:szCs w:val="2"/>
              </w:rPr>
            </w:pPr>
            <w:r w:rsidRPr="00603D8A">
              <w:rPr>
                <w:sz w:val="2"/>
                <w:szCs w:val="2"/>
              </w:rPr>
              <w:t>Less than 10% above award</w:t>
            </w:r>
          </w:p>
        </w:tc>
        <w:tc>
          <w:tcPr>
            <w:tcW w:w="1231" w:type="dxa"/>
            <w:noWrap/>
            <w:hideMark/>
          </w:tcPr>
          <w:p w14:paraId="1154847A" w14:textId="77777777" w:rsidR="00603D8A" w:rsidRPr="00603D8A" w:rsidRDefault="00603D8A" w:rsidP="00603D8A">
            <w:pPr>
              <w:pStyle w:val="Source"/>
              <w:rPr>
                <w:sz w:val="2"/>
                <w:szCs w:val="2"/>
              </w:rPr>
            </w:pPr>
            <w:r w:rsidRPr="00603D8A">
              <w:rPr>
                <w:sz w:val="2"/>
                <w:szCs w:val="2"/>
              </w:rPr>
              <w:t>19%</w:t>
            </w:r>
          </w:p>
        </w:tc>
        <w:tc>
          <w:tcPr>
            <w:tcW w:w="1681" w:type="dxa"/>
            <w:noWrap/>
            <w:hideMark/>
          </w:tcPr>
          <w:p w14:paraId="726AFB8F" w14:textId="77777777" w:rsidR="00603D8A" w:rsidRPr="00603D8A" w:rsidRDefault="00603D8A" w:rsidP="00603D8A">
            <w:pPr>
              <w:pStyle w:val="Source"/>
              <w:rPr>
                <w:sz w:val="2"/>
                <w:szCs w:val="2"/>
              </w:rPr>
            </w:pPr>
            <w:r w:rsidRPr="00603D8A">
              <w:rPr>
                <w:sz w:val="2"/>
                <w:szCs w:val="2"/>
              </w:rPr>
              <w:t>20%</w:t>
            </w:r>
          </w:p>
        </w:tc>
        <w:tc>
          <w:tcPr>
            <w:tcW w:w="1302" w:type="dxa"/>
            <w:noWrap/>
            <w:hideMark/>
          </w:tcPr>
          <w:p w14:paraId="0D41827B" w14:textId="77777777" w:rsidR="00603D8A" w:rsidRPr="00603D8A" w:rsidRDefault="00603D8A" w:rsidP="00603D8A">
            <w:pPr>
              <w:pStyle w:val="Source"/>
              <w:rPr>
                <w:sz w:val="2"/>
                <w:szCs w:val="2"/>
              </w:rPr>
            </w:pPr>
            <w:r w:rsidRPr="00603D8A">
              <w:rPr>
                <w:sz w:val="2"/>
                <w:szCs w:val="2"/>
              </w:rPr>
              <w:t>7%</w:t>
            </w:r>
          </w:p>
        </w:tc>
      </w:tr>
      <w:tr w:rsidR="00603D8A" w:rsidRPr="00603D8A" w14:paraId="1B996223" w14:textId="77777777" w:rsidTr="00603D8A">
        <w:trPr>
          <w:trHeight w:val="300"/>
          <w:jc w:val="center"/>
        </w:trPr>
        <w:tc>
          <w:tcPr>
            <w:tcW w:w="2118" w:type="dxa"/>
            <w:noWrap/>
            <w:hideMark/>
          </w:tcPr>
          <w:p w14:paraId="588F5A4A" w14:textId="77777777" w:rsidR="00603D8A" w:rsidRPr="00603D8A" w:rsidRDefault="00603D8A" w:rsidP="00603D8A">
            <w:pPr>
              <w:pStyle w:val="Source"/>
              <w:rPr>
                <w:sz w:val="2"/>
                <w:szCs w:val="2"/>
              </w:rPr>
            </w:pPr>
          </w:p>
        </w:tc>
        <w:tc>
          <w:tcPr>
            <w:tcW w:w="1426" w:type="dxa"/>
            <w:noWrap/>
            <w:hideMark/>
          </w:tcPr>
          <w:p w14:paraId="0E87A712" w14:textId="77777777" w:rsidR="00603D8A" w:rsidRPr="00603D8A" w:rsidRDefault="00603D8A" w:rsidP="00603D8A">
            <w:pPr>
              <w:pStyle w:val="Source"/>
              <w:rPr>
                <w:sz w:val="2"/>
                <w:szCs w:val="2"/>
              </w:rPr>
            </w:pPr>
            <w:r w:rsidRPr="00603D8A">
              <w:rPr>
                <w:sz w:val="2"/>
                <w:szCs w:val="2"/>
              </w:rPr>
              <w:t>10-25% above award</w:t>
            </w:r>
          </w:p>
        </w:tc>
        <w:tc>
          <w:tcPr>
            <w:tcW w:w="1231" w:type="dxa"/>
            <w:noWrap/>
            <w:hideMark/>
          </w:tcPr>
          <w:p w14:paraId="05211D62" w14:textId="77777777" w:rsidR="00603D8A" w:rsidRPr="00603D8A" w:rsidRDefault="00603D8A" w:rsidP="00603D8A">
            <w:pPr>
              <w:pStyle w:val="Source"/>
              <w:rPr>
                <w:sz w:val="2"/>
                <w:szCs w:val="2"/>
              </w:rPr>
            </w:pPr>
            <w:r w:rsidRPr="00603D8A">
              <w:rPr>
                <w:sz w:val="2"/>
                <w:szCs w:val="2"/>
              </w:rPr>
              <w:t>7%</w:t>
            </w:r>
          </w:p>
        </w:tc>
        <w:tc>
          <w:tcPr>
            <w:tcW w:w="1681" w:type="dxa"/>
            <w:noWrap/>
            <w:hideMark/>
          </w:tcPr>
          <w:p w14:paraId="6270E2C9" w14:textId="77777777" w:rsidR="00603D8A" w:rsidRPr="00603D8A" w:rsidRDefault="00603D8A" w:rsidP="00603D8A">
            <w:pPr>
              <w:pStyle w:val="Source"/>
              <w:rPr>
                <w:sz w:val="2"/>
                <w:szCs w:val="2"/>
              </w:rPr>
            </w:pPr>
            <w:r w:rsidRPr="00603D8A">
              <w:rPr>
                <w:sz w:val="2"/>
                <w:szCs w:val="2"/>
              </w:rPr>
              <w:t>6%</w:t>
            </w:r>
          </w:p>
        </w:tc>
        <w:tc>
          <w:tcPr>
            <w:tcW w:w="1302" w:type="dxa"/>
            <w:noWrap/>
            <w:hideMark/>
          </w:tcPr>
          <w:p w14:paraId="1FB91CFA" w14:textId="77777777" w:rsidR="00603D8A" w:rsidRPr="00603D8A" w:rsidRDefault="00603D8A" w:rsidP="00603D8A">
            <w:pPr>
              <w:pStyle w:val="Source"/>
              <w:rPr>
                <w:sz w:val="2"/>
                <w:szCs w:val="2"/>
              </w:rPr>
            </w:pPr>
            <w:r w:rsidRPr="00603D8A">
              <w:rPr>
                <w:sz w:val="2"/>
                <w:szCs w:val="2"/>
              </w:rPr>
              <w:t>6%</w:t>
            </w:r>
          </w:p>
        </w:tc>
      </w:tr>
      <w:tr w:rsidR="00603D8A" w:rsidRPr="00603D8A" w14:paraId="5034CE12" w14:textId="77777777" w:rsidTr="00603D8A">
        <w:trPr>
          <w:trHeight w:val="300"/>
          <w:jc w:val="center"/>
        </w:trPr>
        <w:tc>
          <w:tcPr>
            <w:tcW w:w="2118" w:type="dxa"/>
            <w:noWrap/>
            <w:hideMark/>
          </w:tcPr>
          <w:p w14:paraId="66569ED9" w14:textId="77777777" w:rsidR="00603D8A" w:rsidRPr="00603D8A" w:rsidRDefault="00603D8A" w:rsidP="00603D8A">
            <w:pPr>
              <w:pStyle w:val="Source"/>
              <w:rPr>
                <w:sz w:val="2"/>
                <w:szCs w:val="2"/>
              </w:rPr>
            </w:pPr>
          </w:p>
        </w:tc>
        <w:tc>
          <w:tcPr>
            <w:tcW w:w="1426" w:type="dxa"/>
            <w:noWrap/>
            <w:hideMark/>
          </w:tcPr>
          <w:p w14:paraId="2418C546" w14:textId="77777777" w:rsidR="00603D8A" w:rsidRPr="00603D8A" w:rsidRDefault="00603D8A" w:rsidP="00603D8A">
            <w:pPr>
              <w:pStyle w:val="Source"/>
              <w:rPr>
                <w:sz w:val="2"/>
                <w:szCs w:val="2"/>
              </w:rPr>
            </w:pPr>
            <w:r w:rsidRPr="00603D8A">
              <w:rPr>
                <w:sz w:val="2"/>
                <w:szCs w:val="2"/>
              </w:rPr>
              <w:t>Greater than 25% above award</w:t>
            </w:r>
          </w:p>
        </w:tc>
        <w:tc>
          <w:tcPr>
            <w:tcW w:w="1231" w:type="dxa"/>
            <w:noWrap/>
            <w:hideMark/>
          </w:tcPr>
          <w:p w14:paraId="6554CB1F" w14:textId="77777777" w:rsidR="00603D8A" w:rsidRPr="00603D8A" w:rsidRDefault="00603D8A" w:rsidP="00603D8A">
            <w:pPr>
              <w:pStyle w:val="Source"/>
              <w:rPr>
                <w:sz w:val="2"/>
                <w:szCs w:val="2"/>
              </w:rPr>
            </w:pPr>
            <w:r w:rsidRPr="00603D8A">
              <w:rPr>
                <w:sz w:val="2"/>
                <w:szCs w:val="2"/>
              </w:rPr>
              <w:t>1%</w:t>
            </w:r>
          </w:p>
        </w:tc>
        <w:tc>
          <w:tcPr>
            <w:tcW w:w="1681" w:type="dxa"/>
            <w:noWrap/>
            <w:hideMark/>
          </w:tcPr>
          <w:p w14:paraId="0101430D" w14:textId="77777777" w:rsidR="00603D8A" w:rsidRPr="00603D8A" w:rsidRDefault="00603D8A" w:rsidP="00603D8A">
            <w:pPr>
              <w:pStyle w:val="Source"/>
              <w:rPr>
                <w:sz w:val="2"/>
                <w:szCs w:val="2"/>
              </w:rPr>
            </w:pPr>
            <w:r w:rsidRPr="00603D8A">
              <w:rPr>
                <w:sz w:val="2"/>
                <w:szCs w:val="2"/>
              </w:rPr>
              <w:t>4%</w:t>
            </w:r>
          </w:p>
        </w:tc>
        <w:tc>
          <w:tcPr>
            <w:tcW w:w="1302" w:type="dxa"/>
            <w:noWrap/>
            <w:hideMark/>
          </w:tcPr>
          <w:p w14:paraId="2875F495" w14:textId="77777777" w:rsidR="00603D8A" w:rsidRPr="00603D8A" w:rsidRDefault="00603D8A" w:rsidP="00603D8A">
            <w:pPr>
              <w:pStyle w:val="Source"/>
              <w:rPr>
                <w:sz w:val="2"/>
                <w:szCs w:val="2"/>
              </w:rPr>
            </w:pPr>
            <w:r w:rsidRPr="00603D8A">
              <w:rPr>
                <w:sz w:val="2"/>
                <w:szCs w:val="2"/>
              </w:rPr>
              <w:t>0%</w:t>
            </w:r>
          </w:p>
        </w:tc>
      </w:tr>
      <w:tr w:rsidR="00603D8A" w:rsidRPr="00603D8A" w14:paraId="0736B3E4" w14:textId="77777777" w:rsidTr="00603D8A">
        <w:trPr>
          <w:trHeight w:val="300"/>
          <w:jc w:val="center"/>
        </w:trPr>
        <w:tc>
          <w:tcPr>
            <w:tcW w:w="2118" w:type="dxa"/>
            <w:hideMark/>
          </w:tcPr>
          <w:p w14:paraId="14D27AFF" w14:textId="77777777" w:rsidR="00603D8A" w:rsidRPr="00603D8A" w:rsidRDefault="00603D8A" w:rsidP="00603D8A">
            <w:pPr>
              <w:pStyle w:val="Source"/>
              <w:rPr>
                <w:sz w:val="2"/>
                <w:szCs w:val="2"/>
              </w:rPr>
            </w:pPr>
          </w:p>
        </w:tc>
        <w:tc>
          <w:tcPr>
            <w:tcW w:w="1426" w:type="dxa"/>
            <w:hideMark/>
          </w:tcPr>
          <w:p w14:paraId="69C53A63" w14:textId="77777777" w:rsidR="00603D8A" w:rsidRPr="00603D8A" w:rsidRDefault="00603D8A" w:rsidP="00603D8A">
            <w:pPr>
              <w:pStyle w:val="Source"/>
              <w:rPr>
                <w:sz w:val="2"/>
                <w:szCs w:val="2"/>
              </w:rPr>
            </w:pPr>
          </w:p>
        </w:tc>
        <w:tc>
          <w:tcPr>
            <w:tcW w:w="1231" w:type="dxa"/>
            <w:noWrap/>
            <w:hideMark/>
          </w:tcPr>
          <w:p w14:paraId="4E5DD92E" w14:textId="77777777" w:rsidR="00603D8A" w:rsidRPr="00603D8A" w:rsidRDefault="00603D8A" w:rsidP="00603D8A">
            <w:pPr>
              <w:pStyle w:val="Source"/>
              <w:rPr>
                <w:b/>
                <w:bCs/>
                <w:sz w:val="2"/>
                <w:szCs w:val="2"/>
              </w:rPr>
            </w:pPr>
            <w:r w:rsidRPr="00603D8A">
              <w:rPr>
                <w:b/>
                <w:bCs/>
                <w:sz w:val="2"/>
                <w:szCs w:val="2"/>
              </w:rPr>
              <w:t>Single service</w:t>
            </w:r>
          </w:p>
        </w:tc>
        <w:tc>
          <w:tcPr>
            <w:tcW w:w="1681" w:type="dxa"/>
            <w:noWrap/>
            <w:hideMark/>
          </w:tcPr>
          <w:p w14:paraId="0161A52A" w14:textId="77777777" w:rsidR="00603D8A" w:rsidRPr="00603D8A" w:rsidRDefault="00603D8A" w:rsidP="00603D8A">
            <w:pPr>
              <w:pStyle w:val="Source"/>
              <w:rPr>
                <w:b/>
                <w:bCs/>
                <w:sz w:val="2"/>
                <w:szCs w:val="2"/>
              </w:rPr>
            </w:pPr>
            <w:r w:rsidRPr="00603D8A">
              <w:rPr>
                <w:b/>
                <w:bCs/>
                <w:sz w:val="2"/>
                <w:szCs w:val="2"/>
              </w:rPr>
              <w:t>Multi-service (small)</w:t>
            </w:r>
          </w:p>
        </w:tc>
        <w:tc>
          <w:tcPr>
            <w:tcW w:w="1302" w:type="dxa"/>
            <w:noWrap/>
            <w:hideMark/>
          </w:tcPr>
          <w:p w14:paraId="1A09DB81" w14:textId="77777777" w:rsidR="00603D8A" w:rsidRPr="00603D8A" w:rsidRDefault="00603D8A" w:rsidP="00603D8A">
            <w:pPr>
              <w:pStyle w:val="Source"/>
              <w:rPr>
                <w:b/>
                <w:bCs/>
                <w:sz w:val="2"/>
                <w:szCs w:val="2"/>
              </w:rPr>
            </w:pPr>
            <w:r w:rsidRPr="00603D8A">
              <w:rPr>
                <w:b/>
                <w:bCs/>
                <w:sz w:val="2"/>
                <w:szCs w:val="2"/>
              </w:rPr>
              <w:t>Multi-service (large)</w:t>
            </w:r>
          </w:p>
        </w:tc>
      </w:tr>
      <w:tr w:rsidR="00603D8A" w:rsidRPr="00603D8A" w14:paraId="04E15080" w14:textId="77777777" w:rsidTr="00603D8A">
        <w:trPr>
          <w:trHeight w:val="300"/>
          <w:jc w:val="center"/>
        </w:trPr>
        <w:tc>
          <w:tcPr>
            <w:tcW w:w="2118" w:type="dxa"/>
            <w:noWrap/>
            <w:hideMark/>
          </w:tcPr>
          <w:p w14:paraId="589FF081" w14:textId="77777777" w:rsidR="00603D8A" w:rsidRPr="00603D8A" w:rsidRDefault="00603D8A" w:rsidP="00603D8A">
            <w:pPr>
              <w:pStyle w:val="Source"/>
              <w:rPr>
                <w:b/>
                <w:bCs/>
                <w:sz w:val="2"/>
                <w:szCs w:val="2"/>
              </w:rPr>
            </w:pPr>
            <w:r w:rsidRPr="00603D8A">
              <w:rPr>
                <w:b/>
                <w:bCs/>
                <w:sz w:val="2"/>
                <w:szCs w:val="2"/>
              </w:rPr>
              <w:t>Private not-for-profit</w:t>
            </w:r>
          </w:p>
        </w:tc>
        <w:tc>
          <w:tcPr>
            <w:tcW w:w="1426" w:type="dxa"/>
            <w:noWrap/>
            <w:hideMark/>
          </w:tcPr>
          <w:p w14:paraId="0ADA6FAD" w14:textId="77777777" w:rsidR="00603D8A" w:rsidRPr="00603D8A" w:rsidRDefault="00603D8A" w:rsidP="00603D8A">
            <w:pPr>
              <w:pStyle w:val="Source"/>
              <w:rPr>
                <w:sz w:val="2"/>
                <w:szCs w:val="2"/>
              </w:rPr>
            </w:pPr>
            <w:r w:rsidRPr="00603D8A">
              <w:rPr>
                <w:sz w:val="2"/>
                <w:szCs w:val="2"/>
              </w:rPr>
              <w:t>At award</w:t>
            </w:r>
          </w:p>
        </w:tc>
        <w:tc>
          <w:tcPr>
            <w:tcW w:w="1231" w:type="dxa"/>
            <w:noWrap/>
            <w:hideMark/>
          </w:tcPr>
          <w:p w14:paraId="78FB03BB" w14:textId="77777777" w:rsidR="00603D8A" w:rsidRPr="00603D8A" w:rsidRDefault="00603D8A" w:rsidP="00603D8A">
            <w:pPr>
              <w:pStyle w:val="Source"/>
              <w:rPr>
                <w:sz w:val="2"/>
                <w:szCs w:val="2"/>
              </w:rPr>
            </w:pPr>
            <w:r w:rsidRPr="00603D8A">
              <w:rPr>
                <w:sz w:val="2"/>
                <w:szCs w:val="2"/>
              </w:rPr>
              <w:t>84%</w:t>
            </w:r>
          </w:p>
        </w:tc>
        <w:tc>
          <w:tcPr>
            <w:tcW w:w="1681" w:type="dxa"/>
            <w:noWrap/>
            <w:hideMark/>
          </w:tcPr>
          <w:p w14:paraId="50CB0C80" w14:textId="77777777" w:rsidR="00603D8A" w:rsidRPr="00603D8A" w:rsidRDefault="00603D8A" w:rsidP="00603D8A">
            <w:pPr>
              <w:pStyle w:val="Source"/>
              <w:rPr>
                <w:sz w:val="2"/>
                <w:szCs w:val="2"/>
              </w:rPr>
            </w:pPr>
            <w:r w:rsidRPr="00603D8A">
              <w:rPr>
                <w:sz w:val="2"/>
                <w:szCs w:val="2"/>
              </w:rPr>
              <w:t>83%</w:t>
            </w:r>
          </w:p>
        </w:tc>
        <w:tc>
          <w:tcPr>
            <w:tcW w:w="1302" w:type="dxa"/>
            <w:noWrap/>
            <w:hideMark/>
          </w:tcPr>
          <w:p w14:paraId="18AB762D" w14:textId="77777777" w:rsidR="00603D8A" w:rsidRPr="00603D8A" w:rsidRDefault="00603D8A" w:rsidP="00603D8A">
            <w:pPr>
              <w:pStyle w:val="Source"/>
              <w:rPr>
                <w:sz w:val="2"/>
                <w:szCs w:val="2"/>
              </w:rPr>
            </w:pPr>
            <w:r w:rsidRPr="00603D8A">
              <w:rPr>
                <w:sz w:val="2"/>
                <w:szCs w:val="2"/>
              </w:rPr>
              <w:t>69%</w:t>
            </w:r>
          </w:p>
        </w:tc>
      </w:tr>
      <w:tr w:rsidR="00603D8A" w:rsidRPr="00603D8A" w14:paraId="2709053E" w14:textId="77777777" w:rsidTr="00603D8A">
        <w:trPr>
          <w:trHeight w:val="300"/>
          <w:jc w:val="center"/>
        </w:trPr>
        <w:tc>
          <w:tcPr>
            <w:tcW w:w="2118" w:type="dxa"/>
            <w:noWrap/>
            <w:hideMark/>
          </w:tcPr>
          <w:p w14:paraId="52DA0229" w14:textId="77777777" w:rsidR="00603D8A" w:rsidRPr="00603D8A" w:rsidRDefault="00603D8A" w:rsidP="00603D8A">
            <w:pPr>
              <w:pStyle w:val="Source"/>
              <w:rPr>
                <w:sz w:val="2"/>
                <w:szCs w:val="2"/>
              </w:rPr>
            </w:pPr>
          </w:p>
        </w:tc>
        <w:tc>
          <w:tcPr>
            <w:tcW w:w="1426" w:type="dxa"/>
            <w:noWrap/>
            <w:hideMark/>
          </w:tcPr>
          <w:p w14:paraId="1091B990" w14:textId="77777777" w:rsidR="00603D8A" w:rsidRPr="00603D8A" w:rsidRDefault="00603D8A" w:rsidP="00603D8A">
            <w:pPr>
              <w:pStyle w:val="Source"/>
              <w:rPr>
                <w:sz w:val="2"/>
                <w:szCs w:val="2"/>
              </w:rPr>
            </w:pPr>
            <w:r w:rsidRPr="00603D8A">
              <w:rPr>
                <w:sz w:val="2"/>
                <w:szCs w:val="2"/>
              </w:rPr>
              <w:t>Less than 10% above award</w:t>
            </w:r>
          </w:p>
        </w:tc>
        <w:tc>
          <w:tcPr>
            <w:tcW w:w="1231" w:type="dxa"/>
            <w:noWrap/>
            <w:hideMark/>
          </w:tcPr>
          <w:p w14:paraId="4188748C" w14:textId="77777777" w:rsidR="00603D8A" w:rsidRPr="00603D8A" w:rsidRDefault="00603D8A" w:rsidP="00603D8A">
            <w:pPr>
              <w:pStyle w:val="Source"/>
              <w:rPr>
                <w:sz w:val="2"/>
                <w:szCs w:val="2"/>
              </w:rPr>
            </w:pPr>
            <w:r w:rsidRPr="00603D8A">
              <w:rPr>
                <w:sz w:val="2"/>
                <w:szCs w:val="2"/>
              </w:rPr>
              <w:t>10%</w:t>
            </w:r>
          </w:p>
        </w:tc>
        <w:tc>
          <w:tcPr>
            <w:tcW w:w="1681" w:type="dxa"/>
            <w:noWrap/>
            <w:hideMark/>
          </w:tcPr>
          <w:p w14:paraId="2AEBF148" w14:textId="77777777" w:rsidR="00603D8A" w:rsidRPr="00603D8A" w:rsidRDefault="00603D8A" w:rsidP="00603D8A">
            <w:pPr>
              <w:pStyle w:val="Source"/>
              <w:rPr>
                <w:sz w:val="2"/>
                <w:szCs w:val="2"/>
              </w:rPr>
            </w:pPr>
            <w:r w:rsidRPr="00603D8A">
              <w:rPr>
                <w:sz w:val="2"/>
                <w:szCs w:val="2"/>
              </w:rPr>
              <w:t>11%</w:t>
            </w:r>
          </w:p>
        </w:tc>
        <w:tc>
          <w:tcPr>
            <w:tcW w:w="1302" w:type="dxa"/>
            <w:noWrap/>
            <w:hideMark/>
          </w:tcPr>
          <w:p w14:paraId="38942981" w14:textId="77777777" w:rsidR="00603D8A" w:rsidRPr="00603D8A" w:rsidRDefault="00603D8A" w:rsidP="00603D8A">
            <w:pPr>
              <w:pStyle w:val="Source"/>
              <w:rPr>
                <w:sz w:val="2"/>
                <w:szCs w:val="2"/>
              </w:rPr>
            </w:pPr>
            <w:r w:rsidRPr="00603D8A">
              <w:rPr>
                <w:sz w:val="2"/>
                <w:szCs w:val="2"/>
              </w:rPr>
              <w:t>27%</w:t>
            </w:r>
          </w:p>
        </w:tc>
      </w:tr>
      <w:tr w:rsidR="00603D8A" w:rsidRPr="00603D8A" w14:paraId="3D975704" w14:textId="77777777" w:rsidTr="00603D8A">
        <w:trPr>
          <w:trHeight w:val="300"/>
          <w:jc w:val="center"/>
        </w:trPr>
        <w:tc>
          <w:tcPr>
            <w:tcW w:w="2118" w:type="dxa"/>
            <w:noWrap/>
            <w:hideMark/>
          </w:tcPr>
          <w:p w14:paraId="201AEB06" w14:textId="77777777" w:rsidR="00603D8A" w:rsidRPr="00603D8A" w:rsidRDefault="00603D8A" w:rsidP="00603D8A">
            <w:pPr>
              <w:pStyle w:val="Source"/>
              <w:rPr>
                <w:sz w:val="2"/>
                <w:szCs w:val="2"/>
              </w:rPr>
            </w:pPr>
          </w:p>
        </w:tc>
        <w:tc>
          <w:tcPr>
            <w:tcW w:w="1426" w:type="dxa"/>
            <w:noWrap/>
            <w:hideMark/>
          </w:tcPr>
          <w:p w14:paraId="43B7144E" w14:textId="77777777" w:rsidR="00603D8A" w:rsidRPr="00603D8A" w:rsidRDefault="00603D8A" w:rsidP="00603D8A">
            <w:pPr>
              <w:pStyle w:val="Source"/>
              <w:rPr>
                <w:sz w:val="2"/>
                <w:szCs w:val="2"/>
              </w:rPr>
            </w:pPr>
            <w:r w:rsidRPr="00603D8A">
              <w:rPr>
                <w:sz w:val="2"/>
                <w:szCs w:val="2"/>
              </w:rPr>
              <w:t>10-25% above award</w:t>
            </w:r>
          </w:p>
        </w:tc>
        <w:tc>
          <w:tcPr>
            <w:tcW w:w="1231" w:type="dxa"/>
            <w:noWrap/>
            <w:hideMark/>
          </w:tcPr>
          <w:p w14:paraId="6192C6FB" w14:textId="77777777" w:rsidR="00603D8A" w:rsidRPr="00603D8A" w:rsidRDefault="00603D8A" w:rsidP="00603D8A">
            <w:pPr>
              <w:pStyle w:val="Source"/>
              <w:rPr>
                <w:sz w:val="2"/>
                <w:szCs w:val="2"/>
              </w:rPr>
            </w:pPr>
            <w:r w:rsidRPr="00603D8A">
              <w:rPr>
                <w:sz w:val="2"/>
                <w:szCs w:val="2"/>
              </w:rPr>
              <w:t>5%</w:t>
            </w:r>
          </w:p>
        </w:tc>
        <w:tc>
          <w:tcPr>
            <w:tcW w:w="1681" w:type="dxa"/>
            <w:noWrap/>
            <w:hideMark/>
          </w:tcPr>
          <w:p w14:paraId="56E8726F" w14:textId="77777777" w:rsidR="00603D8A" w:rsidRPr="00603D8A" w:rsidRDefault="00603D8A" w:rsidP="00603D8A">
            <w:pPr>
              <w:pStyle w:val="Source"/>
              <w:rPr>
                <w:sz w:val="2"/>
                <w:szCs w:val="2"/>
              </w:rPr>
            </w:pPr>
            <w:r w:rsidRPr="00603D8A">
              <w:rPr>
                <w:sz w:val="2"/>
                <w:szCs w:val="2"/>
              </w:rPr>
              <w:t>4%</w:t>
            </w:r>
          </w:p>
        </w:tc>
        <w:tc>
          <w:tcPr>
            <w:tcW w:w="1302" w:type="dxa"/>
            <w:noWrap/>
            <w:hideMark/>
          </w:tcPr>
          <w:p w14:paraId="2E7AF1B4" w14:textId="77777777" w:rsidR="00603D8A" w:rsidRPr="00603D8A" w:rsidRDefault="00603D8A" w:rsidP="00603D8A">
            <w:pPr>
              <w:pStyle w:val="Source"/>
              <w:rPr>
                <w:sz w:val="2"/>
                <w:szCs w:val="2"/>
              </w:rPr>
            </w:pPr>
            <w:r w:rsidRPr="00603D8A">
              <w:rPr>
                <w:sz w:val="2"/>
                <w:szCs w:val="2"/>
              </w:rPr>
              <w:t>4%</w:t>
            </w:r>
          </w:p>
        </w:tc>
      </w:tr>
      <w:tr w:rsidR="00603D8A" w:rsidRPr="00603D8A" w14:paraId="0259154F" w14:textId="77777777" w:rsidTr="00603D8A">
        <w:trPr>
          <w:trHeight w:val="300"/>
          <w:jc w:val="center"/>
        </w:trPr>
        <w:tc>
          <w:tcPr>
            <w:tcW w:w="2118" w:type="dxa"/>
            <w:noWrap/>
            <w:hideMark/>
          </w:tcPr>
          <w:p w14:paraId="71F1F903" w14:textId="77777777" w:rsidR="00603D8A" w:rsidRPr="00603D8A" w:rsidRDefault="00603D8A" w:rsidP="00603D8A">
            <w:pPr>
              <w:pStyle w:val="Source"/>
              <w:rPr>
                <w:sz w:val="2"/>
                <w:szCs w:val="2"/>
              </w:rPr>
            </w:pPr>
          </w:p>
        </w:tc>
        <w:tc>
          <w:tcPr>
            <w:tcW w:w="1426" w:type="dxa"/>
            <w:noWrap/>
            <w:hideMark/>
          </w:tcPr>
          <w:p w14:paraId="6AEAC9A5" w14:textId="77777777" w:rsidR="00603D8A" w:rsidRPr="00603D8A" w:rsidRDefault="00603D8A" w:rsidP="00603D8A">
            <w:pPr>
              <w:pStyle w:val="Source"/>
              <w:rPr>
                <w:sz w:val="2"/>
                <w:szCs w:val="2"/>
              </w:rPr>
            </w:pPr>
            <w:r w:rsidRPr="00603D8A">
              <w:rPr>
                <w:sz w:val="2"/>
                <w:szCs w:val="2"/>
              </w:rPr>
              <w:t>Greater than 25% above award</w:t>
            </w:r>
          </w:p>
        </w:tc>
        <w:tc>
          <w:tcPr>
            <w:tcW w:w="1231" w:type="dxa"/>
            <w:noWrap/>
            <w:hideMark/>
          </w:tcPr>
          <w:p w14:paraId="4C46ABF6" w14:textId="77777777" w:rsidR="00603D8A" w:rsidRPr="00603D8A" w:rsidRDefault="00603D8A" w:rsidP="00603D8A">
            <w:pPr>
              <w:pStyle w:val="Source"/>
              <w:rPr>
                <w:sz w:val="2"/>
                <w:szCs w:val="2"/>
              </w:rPr>
            </w:pPr>
            <w:r w:rsidRPr="00603D8A">
              <w:rPr>
                <w:sz w:val="2"/>
                <w:szCs w:val="2"/>
              </w:rPr>
              <w:t>1%</w:t>
            </w:r>
          </w:p>
        </w:tc>
        <w:tc>
          <w:tcPr>
            <w:tcW w:w="1681" w:type="dxa"/>
            <w:noWrap/>
            <w:hideMark/>
          </w:tcPr>
          <w:p w14:paraId="4E3FE14C" w14:textId="77777777" w:rsidR="00603D8A" w:rsidRPr="00603D8A" w:rsidRDefault="00603D8A" w:rsidP="00603D8A">
            <w:pPr>
              <w:pStyle w:val="Source"/>
              <w:rPr>
                <w:sz w:val="2"/>
                <w:szCs w:val="2"/>
              </w:rPr>
            </w:pPr>
            <w:r w:rsidRPr="00603D8A">
              <w:rPr>
                <w:sz w:val="2"/>
                <w:szCs w:val="2"/>
              </w:rPr>
              <w:t>2%</w:t>
            </w:r>
          </w:p>
        </w:tc>
        <w:tc>
          <w:tcPr>
            <w:tcW w:w="1302" w:type="dxa"/>
            <w:noWrap/>
            <w:hideMark/>
          </w:tcPr>
          <w:p w14:paraId="03B2EDCA" w14:textId="77777777" w:rsidR="00603D8A" w:rsidRPr="00603D8A" w:rsidRDefault="00603D8A" w:rsidP="00603D8A">
            <w:pPr>
              <w:pStyle w:val="Source"/>
              <w:rPr>
                <w:sz w:val="2"/>
                <w:szCs w:val="2"/>
              </w:rPr>
            </w:pPr>
            <w:r w:rsidRPr="00603D8A">
              <w:rPr>
                <w:sz w:val="2"/>
                <w:szCs w:val="2"/>
              </w:rPr>
              <w:t>0%</w:t>
            </w:r>
          </w:p>
        </w:tc>
      </w:tr>
      <w:tr w:rsidR="00603D8A" w:rsidRPr="00603D8A" w14:paraId="6E933C15" w14:textId="77777777" w:rsidTr="00603D8A">
        <w:trPr>
          <w:trHeight w:val="300"/>
          <w:jc w:val="center"/>
        </w:trPr>
        <w:tc>
          <w:tcPr>
            <w:tcW w:w="2118" w:type="dxa"/>
            <w:hideMark/>
          </w:tcPr>
          <w:p w14:paraId="2E9330A5" w14:textId="77777777" w:rsidR="00603D8A" w:rsidRPr="00603D8A" w:rsidRDefault="00603D8A" w:rsidP="00603D8A">
            <w:pPr>
              <w:pStyle w:val="Source"/>
              <w:rPr>
                <w:sz w:val="2"/>
                <w:szCs w:val="2"/>
              </w:rPr>
            </w:pPr>
          </w:p>
        </w:tc>
        <w:tc>
          <w:tcPr>
            <w:tcW w:w="1426" w:type="dxa"/>
            <w:hideMark/>
          </w:tcPr>
          <w:p w14:paraId="5FBE0594" w14:textId="77777777" w:rsidR="00603D8A" w:rsidRPr="00603D8A" w:rsidRDefault="00603D8A" w:rsidP="00603D8A">
            <w:pPr>
              <w:pStyle w:val="Source"/>
              <w:rPr>
                <w:sz w:val="2"/>
                <w:szCs w:val="2"/>
              </w:rPr>
            </w:pPr>
          </w:p>
        </w:tc>
        <w:tc>
          <w:tcPr>
            <w:tcW w:w="1231" w:type="dxa"/>
            <w:noWrap/>
            <w:hideMark/>
          </w:tcPr>
          <w:p w14:paraId="17E8F53B" w14:textId="77777777" w:rsidR="00603D8A" w:rsidRPr="00603D8A" w:rsidRDefault="00603D8A" w:rsidP="00603D8A">
            <w:pPr>
              <w:pStyle w:val="Source"/>
              <w:rPr>
                <w:b/>
                <w:bCs/>
                <w:sz w:val="2"/>
                <w:szCs w:val="2"/>
              </w:rPr>
            </w:pPr>
            <w:r w:rsidRPr="00603D8A">
              <w:rPr>
                <w:b/>
                <w:bCs/>
                <w:sz w:val="2"/>
                <w:szCs w:val="2"/>
              </w:rPr>
              <w:t>Single service</w:t>
            </w:r>
          </w:p>
        </w:tc>
        <w:tc>
          <w:tcPr>
            <w:tcW w:w="1681" w:type="dxa"/>
            <w:noWrap/>
            <w:hideMark/>
          </w:tcPr>
          <w:p w14:paraId="5F149294" w14:textId="77777777" w:rsidR="00603D8A" w:rsidRPr="00603D8A" w:rsidRDefault="00603D8A" w:rsidP="00603D8A">
            <w:pPr>
              <w:pStyle w:val="Source"/>
              <w:rPr>
                <w:b/>
                <w:bCs/>
                <w:sz w:val="2"/>
                <w:szCs w:val="2"/>
              </w:rPr>
            </w:pPr>
            <w:r w:rsidRPr="00603D8A">
              <w:rPr>
                <w:b/>
                <w:bCs/>
                <w:sz w:val="2"/>
                <w:szCs w:val="2"/>
              </w:rPr>
              <w:t>Multi-service (small)</w:t>
            </w:r>
          </w:p>
        </w:tc>
        <w:tc>
          <w:tcPr>
            <w:tcW w:w="1302" w:type="dxa"/>
            <w:noWrap/>
            <w:hideMark/>
          </w:tcPr>
          <w:p w14:paraId="33480FCF" w14:textId="77777777" w:rsidR="00603D8A" w:rsidRPr="00603D8A" w:rsidRDefault="00603D8A" w:rsidP="00603D8A">
            <w:pPr>
              <w:pStyle w:val="Source"/>
              <w:rPr>
                <w:b/>
                <w:bCs/>
                <w:sz w:val="2"/>
                <w:szCs w:val="2"/>
              </w:rPr>
            </w:pPr>
            <w:r w:rsidRPr="00603D8A">
              <w:rPr>
                <w:b/>
                <w:bCs/>
                <w:sz w:val="2"/>
                <w:szCs w:val="2"/>
              </w:rPr>
              <w:t>Multi-service (large)</w:t>
            </w:r>
          </w:p>
        </w:tc>
      </w:tr>
      <w:tr w:rsidR="00603D8A" w:rsidRPr="00603D8A" w14:paraId="69F11555" w14:textId="77777777" w:rsidTr="00603D8A">
        <w:trPr>
          <w:trHeight w:val="300"/>
          <w:jc w:val="center"/>
        </w:trPr>
        <w:tc>
          <w:tcPr>
            <w:tcW w:w="2118" w:type="dxa"/>
            <w:noWrap/>
            <w:hideMark/>
          </w:tcPr>
          <w:p w14:paraId="2174E133" w14:textId="77777777" w:rsidR="00603D8A" w:rsidRPr="00603D8A" w:rsidRDefault="00603D8A" w:rsidP="00603D8A">
            <w:pPr>
              <w:pStyle w:val="Source"/>
              <w:rPr>
                <w:b/>
                <w:bCs/>
                <w:sz w:val="2"/>
                <w:szCs w:val="2"/>
              </w:rPr>
            </w:pPr>
            <w:r w:rsidRPr="00603D8A">
              <w:rPr>
                <w:b/>
                <w:bCs/>
                <w:sz w:val="2"/>
                <w:szCs w:val="2"/>
              </w:rPr>
              <w:t>Community</w:t>
            </w:r>
          </w:p>
        </w:tc>
        <w:tc>
          <w:tcPr>
            <w:tcW w:w="1426" w:type="dxa"/>
            <w:noWrap/>
            <w:hideMark/>
          </w:tcPr>
          <w:p w14:paraId="1BF026D7" w14:textId="77777777" w:rsidR="00603D8A" w:rsidRPr="00603D8A" w:rsidRDefault="00603D8A" w:rsidP="00603D8A">
            <w:pPr>
              <w:pStyle w:val="Source"/>
              <w:rPr>
                <w:sz w:val="2"/>
                <w:szCs w:val="2"/>
              </w:rPr>
            </w:pPr>
            <w:r w:rsidRPr="00603D8A">
              <w:rPr>
                <w:sz w:val="2"/>
                <w:szCs w:val="2"/>
              </w:rPr>
              <w:t>At award</w:t>
            </w:r>
          </w:p>
        </w:tc>
        <w:tc>
          <w:tcPr>
            <w:tcW w:w="1231" w:type="dxa"/>
            <w:noWrap/>
            <w:hideMark/>
          </w:tcPr>
          <w:p w14:paraId="670EBA41" w14:textId="77777777" w:rsidR="00603D8A" w:rsidRPr="00603D8A" w:rsidRDefault="00603D8A" w:rsidP="00603D8A">
            <w:pPr>
              <w:pStyle w:val="Source"/>
              <w:rPr>
                <w:sz w:val="2"/>
                <w:szCs w:val="2"/>
              </w:rPr>
            </w:pPr>
            <w:r w:rsidRPr="00603D8A">
              <w:rPr>
                <w:sz w:val="2"/>
                <w:szCs w:val="2"/>
              </w:rPr>
              <w:t>74%</w:t>
            </w:r>
          </w:p>
        </w:tc>
        <w:tc>
          <w:tcPr>
            <w:tcW w:w="1681" w:type="dxa"/>
            <w:noWrap/>
            <w:hideMark/>
          </w:tcPr>
          <w:p w14:paraId="3B0C39A3" w14:textId="77777777" w:rsidR="00603D8A" w:rsidRPr="00603D8A" w:rsidRDefault="00603D8A" w:rsidP="00603D8A">
            <w:pPr>
              <w:pStyle w:val="Source"/>
              <w:rPr>
                <w:sz w:val="2"/>
                <w:szCs w:val="2"/>
              </w:rPr>
            </w:pPr>
            <w:r w:rsidRPr="00603D8A">
              <w:rPr>
                <w:sz w:val="2"/>
                <w:szCs w:val="2"/>
              </w:rPr>
              <w:t>65%</w:t>
            </w:r>
          </w:p>
        </w:tc>
        <w:tc>
          <w:tcPr>
            <w:tcW w:w="1302" w:type="dxa"/>
            <w:noWrap/>
            <w:hideMark/>
          </w:tcPr>
          <w:p w14:paraId="5F0BFCE0" w14:textId="77777777" w:rsidR="00603D8A" w:rsidRPr="00603D8A" w:rsidRDefault="00603D8A" w:rsidP="00603D8A">
            <w:pPr>
              <w:pStyle w:val="Source"/>
              <w:rPr>
                <w:sz w:val="2"/>
                <w:szCs w:val="2"/>
              </w:rPr>
            </w:pPr>
            <w:r w:rsidRPr="00603D8A">
              <w:rPr>
                <w:sz w:val="2"/>
                <w:szCs w:val="2"/>
              </w:rPr>
              <w:t>53%</w:t>
            </w:r>
          </w:p>
        </w:tc>
      </w:tr>
      <w:tr w:rsidR="00603D8A" w:rsidRPr="00603D8A" w14:paraId="57609AB5" w14:textId="77777777" w:rsidTr="00603D8A">
        <w:trPr>
          <w:trHeight w:val="300"/>
          <w:jc w:val="center"/>
        </w:trPr>
        <w:tc>
          <w:tcPr>
            <w:tcW w:w="2118" w:type="dxa"/>
            <w:noWrap/>
            <w:hideMark/>
          </w:tcPr>
          <w:p w14:paraId="60CC56A9" w14:textId="77777777" w:rsidR="00603D8A" w:rsidRPr="00603D8A" w:rsidRDefault="00603D8A" w:rsidP="00603D8A">
            <w:pPr>
              <w:pStyle w:val="Source"/>
              <w:rPr>
                <w:sz w:val="2"/>
                <w:szCs w:val="2"/>
              </w:rPr>
            </w:pPr>
          </w:p>
        </w:tc>
        <w:tc>
          <w:tcPr>
            <w:tcW w:w="1426" w:type="dxa"/>
            <w:noWrap/>
            <w:hideMark/>
          </w:tcPr>
          <w:p w14:paraId="1A258A1B" w14:textId="77777777" w:rsidR="00603D8A" w:rsidRPr="00603D8A" w:rsidRDefault="00603D8A" w:rsidP="00603D8A">
            <w:pPr>
              <w:pStyle w:val="Source"/>
              <w:rPr>
                <w:sz w:val="2"/>
                <w:szCs w:val="2"/>
              </w:rPr>
            </w:pPr>
            <w:r w:rsidRPr="00603D8A">
              <w:rPr>
                <w:sz w:val="2"/>
                <w:szCs w:val="2"/>
              </w:rPr>
              <w:t>Less than 10% above award</w:t>
            </w:r>
          </w:p>
        </w:tc>
        <w:tc>
          <w:tcPr>
            <w:tcW w:w="1231" w:type="dxa"/>
            <w:noWrap/>
            <w:hideMark/>
          </w:tcPr>
          <w:p w14:paraId="2D2FF930" w14:textId="77777777" w:rsidR="00603D8A" w:rsidRPr="00603D8A" w:rsidRDefault="00603D8A" w:rsidP="00603D8A">
            <w:pPr>
              <w:pStyle w:val="Source"/>
              <w:rPr>
                <w:sz w:val="2"/>
                <w:szCs w:val="2"/>
              </w:rPr>
            </w:pPr>
            <w:r w:rsidRPr="00603D8A">
              <w:rPr>
                <w:sz w:val="2"/>
                <w:szCs w:val="2"/>
              </w:rPr>
              <w:t>18%</w:t>
            </w:r>
          </w:p>
        </w:tc>
        <w:tc>
          <w:tcPr>
            <w:tcW w:w="1681" w:type="dxa"/>
            <w:noWrap/>
            <w:hideMark/>
          </w:tcPr>
          <w:p w14:paraId="247775F0" w14:textId="77777777" w:rsidR="00603D8A" w:rsidRPr="00603D8A" w:rsidRDefault="00603D8A" w:rsidP="00603D8A">
            <w:pPr>
              <w:pStyle w:val="Source"/>
              <w:rPr>
                <w:sz w:val="2"/>
                <w:szCs w:val="2"/>
              </w:rPr>
            </w:pPr>
            <w:r w:rsidRPr="00603D8A">
              <w:rPr>
                <w:sz w:val="2"/>
                <w:szCs w:val="2"/>
              </w:rPr>
              <w:t>24%</w:t>
            </w:r>
          </w:p>
        </w:tc>
        <w:tc>
          <w:tcPr>
            <w:tcW w:w="1302" w:type="dxa"/>
            <w:noWrap/>
            <w:hideMark/>
          </w:tcPr>
          <w:p w14:paraId="15F44751" w14:textId="77777777" w:rsidR="00603D8A" w:rsidRPr="00603D8A" w:rsidRDefault="00603D8A" w:rsidP="00603D8A">
            <w:pPr>
              <w:pStyle w:val="Source"/>
              <w:rPr>
                <w:sz w:val="2"/>
                <w:szCs w:val="2"/>
              </w:rPr>
            </w:pPr>
            <w:r w:rsidRPr="00603D8A">
              <w:rPr>
                <w:sz w:val="2"/>
                <w:szCs w:val="2"/>
              </w:rPr>
              <w:t>17%</w:t>
            </w:r>
          </w:p>
        </w:tc>
      </w:tr>
      <w:tr w:rsidR="00603D8A" w:rsidRPr="00603D8A" w14:paraId="410978FA" w14:textId="77777777" w:rsidTr="00603D8A">
        <w:trPr>
          <w:trHeight w:val="300"/>
          <w:jc w:val="center"/>
        </w:trPr>
        <w:tc>
          <w:tcPr>
            <w:tcW w:w="2118" w:type="dxa"/>
            <w:noWrap/>
            <w:hideMark/>
          </w:tcPr>
          <w:p w14:paraId="301BF902" w14:textId="77777777" w:rsidR="00603D8A" w:rsidRPr="00603D8A" w:rsidRDefault="00603D8A" w:rsidP="00603D8A">
            <w:pPr>
              <w:pStyle w:val="Source"/>
              <w:rPr>
                <w:sz w:val="2"/>
                <w:szCs w:val="2"/>
              </w:rPr>
            </w:pPr>
          </w:p>
        </w:tc>
        <w:tc>
          <w:tcPr>
            <w:tcW w:w="1426" w:type="dxa"/>
            <w:noWrap/>
            <w:hideMark/>
          </w:tcPr>
          <w:p w14:paraId="3C2C80BE" w14:textId="77777777" w:rsidR="00603D8A" w:rsidRPr="00603D8A" w:rsidRDefault="00603D8A" w:rsidP="00603D8A">
            <w:pPr>
              <w:pStyle w:val="Source"/>
              <w:rPr>
                <w:sz w:val="2"/>
                <w:szCs w:val="2"/>
              </w:rPr>
            </w:pPr>
            <w:r w:rsidRPr="00603D8A">
              <w:rPr>
                <w:sz w:val="2"/>
                <w:szCs w:val="2"/>
              </w:rPr>
              <w:t>10-25% above award</w:t>
            </w:r>
          </w:p>
        </w:tc>
        <w:tc>
          <w:tcPr>
            <w:tcW w:w="1231" w:type="dxa"/>
            <w:noWrap/>
            <w:hideMark/>
          </w:tcPr>
          <w:p w14:paraId="1253C9A6" w14:textId="77777777" w:rsidR="00603D8A" w:rsidRPr="00603D8A" w:rsidRDefault="00603D8A" w:rsidP="00603D8A">
            <w:pPr>
              <w:pStyle w:val="Source"/>
              <w:rPr>
                <w:sz w:val="2"/>
                <w:szCs w:val="2"/>
              </w:rPr>
            </w:pPr>
            <w:r w:rsidRPr="00603D8A">
              <w:rPr>
                <w:sz w:val="2"/>
                <w:szCs w:val="2"/>
              </w:rPr>
              <w:t>5%</w:t>
            </w:r>
          </w:p>
        </w:tc>
        <w:tc>
          <w:tcPr>
            <w:tcW w:w="1681" w:type="dxa"/>
            <w:noWrap/>
            <w:hideMark/>
          </w:tcPr>
          <w:p w14:paraId="336BA9DD" w14:textId="77777777" w:rsidR="00603D8A" w:rsidRPr="00603D8A" w:rsidRDefault="00603D8A" w:rsidP="00603D8A">
            <w:pPr>
              <w:pStyle w:val="Source"/>
              <w:rPr>
                <w:sz w:val="2"/>
                <w:szCs w:val="2"/>
              </w:rPr>
            </w:pPr>
            <w:r w:rsidRPr="00603D8A">
              <w:rPr>
                <w:sz w:val="2"/>
                <w:szCs w:val="2"/>
              </w:rPr>
              <w:t>10%</w:t>
            </w:r>
          </w:p>
        </w:tc>
        <w:tc>
          <w:tcPr>
            <w:tcW w:w="1302" w:type="dxa"/>
            <w:noWrap/>
            <w:hideMark/>
          </w:tcPr>
          <w:p w14:paraId="446064D8" w14:textId="77777777" w:rsidR="00603D8A" w:rsidRPr="00603D8A" w:rsidRDefault="00603D8A" w:rsidP="00603D8A">
            <w:pPr>
              <w:pStyle w:val="Source"/>
              <w:rPr>
                <w:sz w:val="2"/>
                <w:szCs w:val="2"/>
              </w:rPr>
            </w:pPr>
            <w:r w:rsidRPr="00603D8A">
              <w:rPr>
                <w:sz w:val="2"/>
                <w:szCs w:val="2"/>
              </w:rPr>
              <w:t>31%</w:t>
            </w:r>
          </w:p>
        </w:tc>
      </w:tr>
      <w:tr w:rsidR="00603D8A" w:rsidRPr="00603D8A" w14:paraId="15E3441D" w14:textId="77777777" w:rsidTr="00603D8A">
        <w:trPr>
          <w:trHeight w:val="300"/>
          <w:jc w:val="center"/>
        </w:trPr>
        <w:tc>
          <w:tcPr>
            <w:tcW w:w="2118" w:type="dxa"/>
            <w:noWrap/>
            <w:hideMark/>
          </w:tcPr>
          <w:p w14:paraId="2372E5BD" w14:textId="77777777" w:rsidR="00603D8A" w:rsidRPr="00603D8A" w:rsidRDefault="00603D8A" w:rsidP="00603D8A">
            <w:pPr>
              <w:pStyle w:val="Source"/>
              <w:rPr>
                <w:sz w:val="2"/>
                <w:szCs w:val="2"/>
              </w:rPr>
            </w:pPr>
          </w:p>
        </w:tc>
        <w:tc>
          <w:tcPr>
            <w:tcW w:w="1426" w:type="dxa"/>
            <w:noWrap/>
            <w:hideMark/>
          </w:tcPr>
          <w:p w14:paraId="09E4521D" w14:textId="77777777" w:rsidR="00603D8A" w:rsidRPr="00603D8A" w:rsidRDefault="00603D8A" w:rsidP="00603D8A">
            <w:pPr>
              <w:pStyle w:val="Source"/>
              <w:rPr>
                <w:sz w:val="2"/>
                <w:szCs w:val="2"/>
              </w:rPr>
            </w:pPr>
            <w:r w:rsidRPr="00603D8A">
              <w:rPr>
                <w:sz w:val="2"/>
                <w:szCs w:val="2"/>
              </w:rPr>
              <w:t>Greater than 25% above award</w:t>
            </w:r>
          </w:p>
        </w:tc>
        <w:tc>
          <w:tcPr>
            <w:tcW w:w="1231" w:type="dxa"/>
            <w:noWrap/>
            <w:hideMark/>
          </w:tcPr>
          <w:p w14:paraId="172EDCD5" w14:textId="77777777" w:rsidR="00603D8A" w:rsidRPr="00603D8A" w:rsidRDefault="00603D8A" w:rsidP="00603D8A">
            <w:pPr>
              <w:pStyle w:val="Source"/>
              <w:rPr>
                <w:sz w:val="2"/>
                <w:szCs w:val="2"/>
              </w:rPr>
            </w:pPr>
            <w:r w:rsidRPr="00603D8A">
              <w:rPr>
                <w:sz w:val="2"/>
                <w:szCs w:val="2"/>
              </w:rPr>
              <w:t>2%</w:t>
            </w:r>
          </w:p>
        </w:tc>
        <w:tc>
          <w:tcPr>
            <w:tcW w:w="1681" w:type="dxa"/>
            <w:noWrap/>
            <w:hideMark/>
          </w:tcPr>
          <w:p w14:paraId="7BDA96FD" w14:textId="77777777" w:rsidR="00603D8A" w:rsidRPr="00603D8A" w:rsidRDefault="00603D8A" w:rsidP="00603D8A">
            <w:pPr>
              <w:pStyle w:val="Source"/>
              <w:rPr>
                <w:sz w:val="2"/>
                <w:szCs w:val="2"/>
              </w:rPr>
            </w:pPr>
            <w:r w:rsidRPr="00603D8A">
              <w:rPr>
                <w:sz w:val="2"/>
                <w:szCs w:val="2"/>
              </w:rPr>
              <w:t>1%</w:t>
            </w:r>
          </w:p>
        </w:tc>
        <w:tc>
          <w:tcPr>
            <w:tcW w:w="1302" w:type="dxa"/>
            <w:noWrap/>
            <w:hideMark/>
          </w:tcPr>
          <w:p w14:paraId="0BDF7048" w14:textId="77777777" w:rsidR="00603D8A" w:rsidRPr="00603D8A" w:rsidRDefault="00603D8A" w:rsidP="00603D8A">
            <w:pPr>
              <w:pStyle w:val="Source"/>
              <w:rPr>
                <w:sz w:val="2"/>
                <w:szCs w:val="2"/>
              </w:rPr>
            </w:pPr>
            <w:r w:rsidRPr="00603D8A">
              <w:rPr>
                <w:sz w:val="2"/>
                <w:szCs w:val="2"/>
              </w:rPr>
              <w:t>0%</w:t>
            </w:r>
          </w:p>
        </w:tc>
      </w:tr>
    </w:tbl>
    <w:p w14:paraId="7ED269FA" w14:textId="77777777" w:rsidR="00603D8A" w:rsidRDefault="00603D8A" w:rsidP="00887E52">
      <w:pPr>
        <w:pStyle w:val="Source"/>
      </w:pPr>
    </w:p>
    <w:p w14:paraId="3DEE4B19" w14:textId="77777777" w:rsidR="00603D8A" w:rsidRDefault="00603D8A" w:rsidP="00887E52">
      <w:pPr>
        <w:pStyle w:val="Source"/>
      </w:pPr>
    </w:p>
    <w:p w14:paraId="66A1888A" w14:textId="77777777" w:rsidR="00603D8A" w:rsidRDefault="00603D8A" w:rsidP="00887E52">
      <w:pPr>
        <w:pStyle w:val="Source"/>
      </w:pPr>
    </w:p>
    <w:p w14:paraId="3EC2B3D6" w14:textId="77777777" w:rsidR="00603D8A" w:rsidRDefault="00603D8A" w:rsidP="00887E52">
      <w:pPr>
        <w:pStyle w:val="Source"/>
      </w:pPr>
    </w:p>
    <w:p w14:paraId="36DD957E" w14:textId="77777777" w:rsidR="00603D8A" w:rsidRDefault="00603D8A" w:rsidP="00887E52">
      <w:pPr>
        <w:pStyle w:val="Source"/>
      </w:pPr>
    </w:p>
    <w:p w14:paraId="7FC49796" w14:textId="77777777" w:rsidR="00603D8A" w:rsidRDefault="00603D8A" w:rsidP="00887E52">
      <w:pPr>
        <w:pStyle w:val="Source"/>
      </w:pPr>
    </w:p>
    <w:p w14:paraId="57197523" w14:textId="77777777" w:rsidR="00603D8A" w:rsidRDefault="00603D8A" w:rsidP="00887E52">
      <w:pPr>
        <w:pStyle w:val="Source"/>
      </w:pPr>
    </w:p>
    <w:p w14:paraId="1AE1BFE8" w14:textId="77777777" w:rsidR="00603D8A" w:rsidRDefault="00603D8A" w:rsidP="00887E52">
      <w:pPr>
        <w:pStyle w:val="Source"/>
      </w:pPr>
    </w:p>
    <w:p w14:paraId="4DB2F1E1" w14:textId="77777777" w:rsidR="00603D8A" w:rsidRDefault="00603D8A" w:rsidP="00887E52">
      <w:pPr>
        <w:pStyle w:val="Source"/>
      </w:pPr>
    </w:p>
    <w:p w14:paraId="538C6814" w14:textId="77777777" w:rsidR="00603D8A" w:rsidRDefault="00603D8A" w:rsidP="00887E52">
      <w:pPr>
        <w:pStyle w:val="Source"/>
      </w:pPr>
    </w:p>
    <w:p w14:paraId="27869285" w14:textId="77777777" w:rsidR="00603D8A" w:rsidRDefault="00603D8A" w:rsidP="00887E52">
      <w:pPr>
        <w:pStyle w:val="Source"/>
      </w:pPr>
    </w:p>
    <w:p w14:paraId="22F047C9" w14:textId="77777777" w:rsidR="00603D8A" w:rsidRDefault="00603D8A" w:rsidP="00887E52">
      <w:pPr>
        <w:pStyle w:val="Source"/>
      </w:pPr>
    </w:p>
    <w:p w14:paraId="227990F7" w14:textId="77777777" w:rsidR="00603D8A" w:rsidRDefault="00603D8A" w:rsidP="00887E52">
      <w:pPr>
        <w:pStyle w:val="Source"/>
      </w:pPr>
    </w:p>
    <w:p w14:paraId="1F01C311" w14:textId="77777777" w:rsidR="00603D8A" w:rsidRDefault="00603D8A" w:rsidP="00887E52">
      <w:pPr>
        <w:pStyle w:val="Source"/>
      </w:pPr>
    </w:p>
    <w:p w14:paraId="552F18AB" w14:textId="77777777" w:rsidR="00603D8A" w:rsidRDefault="00603D8A" w:rsidP="00887E52">
      <w:pPr>
        <w:pStyle w:val="Source"/>
      </w:pPr>
    </w:p>
    <w:p w14:paraId="3C608136" w14:textId="77777777" w:rsidR="00603D8A" w:rsidRDefault="00603D8A" w:rsidP="00887E52">
      <w:pPr>
        <w:pStyle w:val="Source"/>
      </w:pPr>
    </w:p>
    <w:p w14:paraId="7525DD4B" w14:textId="77777777" w:rsidR="00603D8A" w:rsidRDefault="00603D8A" w:rsidP="00887E52">
      <w:pPr>
        <w:pStyle w:val="Source"/>
      </w:pPr>
    </w:p>
    <w:p w14:paraId="59DE6990" w14:textId="77777777" w:rsidR="00603D8A" w:rsidRDefault="00603D8A" w:rsidP="00887E52">
      <w:pPr>
        <w:pStyle w:val="Source"/>
      </w:pPr>
    </w:p>
    <w:p w14:paraId="70EFEC66" w14:textId="77777777" w:rsidR="00603D8A" w:rsidRPr="00603D8A" w:rsidRDefault="00603D8A" w:rsidP="00603D8A"/>
    <w:p w14:paraId="36E8452C" w14:textId="48A76BC6" w:rsidR="00F47B0F" w:rsidRPr="00F47B0F" w:rsidRDefault="00F47B0F" w:rsidP="00887E52">
      <w:pPr>
        <w:pStyle w:val="Source"/>
      </w:pPr>
      <w:r w:rsidRPr="00F47B0F">
        <w:t>Source: JSA analysis of Department of Education NWC (2021) and CCS data; ACECQA, National Registers</w:t>
      </w:r>
    </w:p>
    <w:p w14:paraId="07B280E1" w14:textId="77777777" w:rsidR="00F47B0F" w:rsidRPr="00F47B0F" w:rsidRDefault="00F47B0F" w:rsidP="00F47B0F">
      <w:pPr>
        <w:keepLines/>
        <w:rPr>
          <w:rFonts w:cs="Arial"/>
          <w:noProof/>
        </w:rPr>
      </w:pPr>
      <w:r w:rsidRPr="00F47B0F">
        <w:rPr>
          <w:rFonts w:cs="Arial"/>
          <w:noProof/>
        </w:rPr>
        <w:lastRenderedPageBreak/>
        <w:t xml:space="preserve">Educator turnover is generally higher in OSHC services than CBDCs. Single service and large for-profit and private not-for-profit services have higher turnover rates relative to community services and small multi-service providers. The rate of educators working towards their qualification is generally higher in smaller providers, apart from the large private not-for-profits. Similarly, the share of staff on permanent contracts is also lower in OSHC services, relative to CBDCs, where larger community providers and small multi-service for-profits exhibit the highest shares of permanent employment among OSHCs. </w:t>
      </w:r>
    </w:p>
    <w:p w14:paraId="6606EDAF" w14:textId="29BBB727" w:rsidR="00F47B0F" w:rsidRPr="00F47B0F" w:rsidRDefault="00603D8A" w:rsidP="00887E52">
      <w:pPr>
        <w:pStyle w:val="Caption"/>
        <w:rPr>
          <w:vertAlign w:val="superscript"/>
        </w:rPr>
      </w:pPr>
      <w:bookmarkStart w:id="110" w:name="_Ref168318423"/>
      <w:r w:rsidRPr="00F47B0F">
        <w:rPr>
          <w:noProof/>
        </w:rPr>
        <w:drawing>
          <wp:anchor distT="0" distB="0" distL="114300" distR="114300" simplePos="0" relativeHeight="251715587" behindDoc="0" locked="0" layoutInCell="1" allowOverlap="1" wp14:anchorId="31DE0116" wp14:editId="23D699EC">
            <wp:simplePos x="0" y="0"/>
            <wp:positionH relativeFrom="margin">
              <wp:align>left</wp:align>
            </wp:positionH>
            <wp:positionV relativeFrom="paragraph">
              <wp:posOffset>361315</wp:posOffset>
            </wp:positionV>
            <wp:extent cx="5648325" cy="5648325"/>
            <wp:effectExtent l="0" t="0" r="9525" b="9525"/>
            <wp:wrapNone/>
            <wp:docPr id="17542464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24642" name="Picture 4">
                      <a:extLst>
                        <a:ext uri="{C183D7F6-B498-43B3-948B-1728B52AA6E4}">
                          <adec:decorative xmlns:adec="http://schemas.microsoft.com/office/drawing/2017/decorative" val="1"/>
                        </a:ext>
                      </a:extLst>
                    </pic:cNvPr>
                    <pic:cNvPicPr>
                      <a:picLocks noChangeAspect="1" noChangeArrowheads="1"/>
                    </pic:cNvPicPr>
                  </pic:nvPicPr>
                  <pic:blipFill>
                    <a:blip r:embed="rId91" cstate="screen">
                      <a:extLst>
                        <a:ext uri="{28A0092B-C50C-407E-A947-70E740481C1C}">
                          <a14:useLocalDpi xmlns:a14="http://schemas.microsoft.com/office/drawing/2010/main" val="0"/>
                        </a:ext>
                      </a:extLst>
                    </a:blip>
                    <a:srcRect/>
                    <a:stretch>
                      <a:fillRect/>
                    </a:stretch>
                  </pic:blipFill>
                  <pic:spPr bwMode="auto">
                    <a:xfrm>
                      <a:off x="0" y="0"/>
                      <a:ext cx="5648325" cy="5648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7B0F" w:rsidRPr="00F47B0F">
        <w:t>Figure 2</w:t>
      </w:r>
      <w:bookmarkEnd w:id="110"/>
      <w:r w:rsidR="00F47B0F" w:rsidRPr="00F47B0F">
        <w:t>.</w:t>
      </w:r>
      <w:r w:rsidR="00F47B0F" w:rsidRPr="00F47B0F">
        <w:fldChar w:fldCharType="begin"/>
      </w:r>
      <w:r w:rsidR="00F47B0F" w:rsidRPr="00F47B0F">
        <w:instrText xml:space="preserve"> SEQ Figure \* ARABIC \s 1 </w:instrText>
      </w:r>
      <w:r w:rsidR="00F47B0F" w:rsidRPr="00F47B0F">
        <w:fldChar w:fldCharType="separate"/>
      </w:r>
      <w:r w:rsidR="005F18C1">
        <w:rPr>
          <w:noProof/>
        </w:rPr>
        <w:t>13</w:t>
      </w:r>
      <w:r w:rsidR="00F47B0F" w:rsidRPr="00F47B0F">
        <w:fldChar w:fldCharType="end"/>
      </w:r>
      <w:r w:rsidR="00F47B0F" w:rsidRPr="00F47B0F">
        <w:t xml:space="preserve"> OSHC other staff characteristics by service type and provider size</w:t>
      </w:r>
      <w:r w:rsidR="00F47B0F" w:rsidRPr="00F47B0F">
        <w:rPr>
          <w:vertAlign w:val="superscript"/>
        </w:rPr>
        <w:footnoteReference w:id="42"/>
      </w:r>
    </w:p>
    <w:p w14:paraId="32D94A63" w14:textId="2AD8E0B1" w:rsidR="00F47B0F" w:rsidRPr="00F47B0F" w:rsidRDefault="00F47B0F" w:rsidP="00F47B0F"/>
    <w:tbl>
      <w:tblPr>
        <w:tblStyle w:val="Box"/>
        <w:tblW w:w="0" w:type="auto"/>
        <w:jc w:val="center"/>
        <w:tblLook w:val="04A0" w:firstRow="1" w:lastRow="0" w:firstColumn="1" w:lastColumn="0" w:noHBand="0" w:noVBand="1"/>
      </w:tblPr>
      <w:tblGrid>
        <w:gridCol w:w="3769"/>
        <w:gridCol w:w="1618"/>
        <w:gridCol w:w="777"/>
        <w:gridCol w:w="1535"/>
        <w:gridCol w:w="356"/>
      </w:tblGrid>
      <w:tr w:rsidR="00603D8A" w:rsidRPr="00603D8A" w14:paraId="78795FC1" w14:textId="77777777" w:rsidTr="00603D8A">
        <w:trPr>
          <w:trHeight w:val="300"/>
          <w:jc w:val="center"/>
        </w:trPr>
        <w:tc>
          <w:tcPr>
            <w:tcW w:w="3769" w:type="dxa"/>
            <w:hideMark/>
          </w:tcPr>
          <w:p w14:paraId="287D9526" w14:textId="77777777" w:rsidR="00603D8A" w:rsidRPr="00603D8A" w:rsidRDefault="00603D8A" w:rsidP="00603D8A">
            <w:pPr>
              <w:pStyle w:val="Source"/>
              <w:rPr>
                <w:sz w:val="2"/>
                <w:szCs w:val="2"/>
              </w:rPr>
            </w:pPr>
          </w:p>
        </w:tc>
        <w:tc>
          <w:tcPr>
            <w:tcW w:w="1618" w:type="dxa"/>
            <w:hideMark/>
          </w:tcPr>
          <w:p w14:paraId="74CFABBE" w14:textId="77777777" w:rsidR="00603D8A" w:rsidRPr="00603D8A" w:rsidRDefault="00603D8A" w:rsidP="00603D8A">
            <w:pPr>
              <w:pStyle w:val="Source"/>
              <w:rPr>
                <w:sz w:val="2"/>
                <w:szCs w:val="2"/>
              </w:rPr>
            </w:pPr>
          </w:p>
        </w:tc>
        <w:tc>
          <w:tcPr>
            <w:tcW w:w="777" w:type="dxa"/>
            <w:noWrap/>
            <w:hideMark/>
          </w:tcPr>
          <w:p w14:paraId="5DFC892A" w14:textId="77777777" w:rsidR="00603D8A" w:rsidRPr="00603D8A" w:rsidRDefault="00603D8A" w:rsidP="00603D8A">
            <w:pPr>
              <w:pStyle w:val="Source"/>
              <w:rPr>
                <w:b/>
                <w:bCs/>
                <w:sz w:val="2"/>
                <w:szCs w:val="2"/>
              </w:rPr>
            </w:pPr>
            <w:r w:rsidRPr="00603D8A">
              <w:rPr>
                <w:b/>
                <w:bCs/>
                <w:sz w:val="2"/>
                <w:szCs w:val="2"/>
              </w:rPr>
              <w:t>For-profit</w:t>
            </w:r>
          </w:p>
        </w:tc>
        <w:tc>
          <w:tcPr>
            <w:tcW w:w="1535" w:type="dxa"/>
            <w:noWrap/>
            <w:hideMark/>
          </w:tcPr>
          <w:p w14:paraId="3C26F4E3" w14:textId="77777777" w:rsidR="00603D8A" w:rsidRPr="00603D8A" w:rsidRDefault="00603D8A" w:rsidP="00603D8A">
            <w:pPr>
              <w:pStyle w:val="Source"/>
              <w:rPr>
                <w:b/>
                <w:bCs/>
                <w:sz w:val="2"/>
                <w:szCs w:val="2"/>
              </w:rPr>
            </w:pPr>
            <w:r w:rsidRPr="00603D8A">
              <w:rPr>
                <w:b/>
                <w:bCs/>
                <w:sz w:val="2"/>
                <w:szCs w:val="2"/>
              </w:rPr>
              <w:t>Private not-for-profit</w:t>
            </w:r>
          </w:p>
        </w:tc>
        <w:tc>
          <w:tcPr>
            <w:tcW w:w="356" w:type="dxa"/>
            <w:noWrap/>
            <w:hideMark/>
          </w:tcPr>
          <w:p w14:paraId="3D8D8022" w14:textId="77777777" w:rsidR="00603D8A" w:rsidRPr="00603D8A" w:rsidRDefault="00603D8A" w:rsidP="00603D8A">
            <w:pPr>
              <w:pStyle w:val="Source"/>
              <w:rPr>
                <w:b/>
                <w:bCs/>
                <w:sz w:val="2"/>
                <w:szCs w:val="2"/>
              </w:rPr>
            </w:pPr>
            <w:r w:rsidRPr="00603D8A">
              <w:rPr>
                <w:b/>
                <w:bCs/>
                <w:sz w:val="2"/>
                <w:szCs w:val="2"/>
              </w:rPr>
              <w:t>Community</w:t>
            </w:r>
          </w:p>
        </w:tc>
      </w:tr>
      <w:tr w:rsidR="00603D8A" w:rsidRPr="00603D8A" w14:paraId="35FB5909" w14:textId="77777777" w:rsidTr="00603D8A">
        <w:trPr>
          <w:trHeight w:val="300"/>
          <w:jc w:val="center"/>
        </w:trPr>
        <w:tc>
          <w:tcPr>
            <w:tcW w:w="3769" w:type="dxa"/>
            <w:noWrap/>
            <w:hideMark/>
          </w:tcPr>
          <w:p w14:paraId="635B7349" w14:textId="77777777" w:rsidR="00603D8A" w:rsidRPr="00603D8A" w:rsidRDefault="00603D8A" w:rsidP="00603D8A">
            <w:pPr>
              <w:pStyle w:val="Source"/>
              <w:rPr>
                <w:b/>
                <w:bCs/>
                <w:sz w:val="2"/>
                <w:szCs w:val="2"/>
              </w:rPr>
            </w:pPr>
            <w:r w:rsidRPr="00603D8A">
              <w:rPr>
                <w:b/>
                <w:bCs/>
                <w:sz w:val="2"/>
                <w:szCs w:val="2"/>
              </w:rPr>
              <w:t>Educator to child ratio</w:t>
            </w:r>
          </w:p>
        </w:tc>
        <w:tc>
          <w:tcPr>
            <w:tcW w:w="1618" w:type="dxa"/>
            <w:noWrap/>
            <w:hideMark/>
          </w:tcPr>
          <w:p w14:paraId="4662A13E" w14:textId="77777777" w:rsidR="00603D8A" w:rsidRPr="00603D8A" w:rsidRDefault="00603D8A" w:rsidP="00603D8A">
            <w:pPr>
              <w:pStyle w:val="Source"/>
              <w:rPr>
                <w:sz w:val="2"/>
                <w:szCs w:val="2"/>
              </w:rPr>
            </w:pPr>
            <w:r w:rsidRPr="00603D8A">
              <w:rPr>
                <w:sz w:val="2"/>
                <w:szCs w:val="2"/>
              </w:rPr>
              <w:t>Single service</w:t>
            </w:r>
          </w:p>
        </w:tc>
        <w:tc>
          <w:tcPr>
            <w:tcW w:w="777" w:type="dxa"/>
            <w:noWrap/>
            <w:hideMark/>
          </w:tcPr>
          <w:p w14:paraId="50D0ACAD" w14:textId="77777777" w:rsidR="00603D8A" w:rsidRPr="00603D8A" w:rsidRDefault="00603D8A" w:rsidP="00603D8A">
            <w:pPr>
              <w:pStyle w:val="Source"/>
              <w:rPr>
                <w:sz w:val="2"/>
                <w:szCs w:val="2"/>
              </w:rPr>
            </w:pPr>
            <w:r w:rsidRPr="00603D8A">
              <w:rPr>
                <w:sz w:val="2"/>
                <w:szCs w:val="2"/>
              </w:rPr>
              <w:t>16%</w:t>
            </w:r>
          </w:p>
        </w:tc>
        <w:tc>
          <w:tcPr>
            <w:tcW w:w="1535" w:type="dxa"/>
            <w:noWrap/>
            <w:hideMark/>
          </w:tcPr>
          <w:p w14:paraId="707D4AED" w14:textId="77777777" w:rsidR="00603D8A" w:rsidRPr="00603D8A" w:rsidRDefault="00603D8A" w:rsidP="00603D8A">
            <w:pPr>
              <w:pStyle w:val="Source"/>
              <w:rPr>
                <w:sz w:val="2"/>
                <w:szCs w:val="2"/>
              </w:rPr>
            </w:pPr>
            <w:r w:rsidRPr="00603D8A">
              <w:rPr>
                <w:sz w:val="2"/>
                <w:szCs w:val="2"/>
              </w:rPr>
              <w:t>27%</w:t>
            </w:r>
          </w:p>
        </w:tc>
        <w:tc>
          <w:tcPr>
            <w:tcW w:w="356" w:type="dxa"/>
            <w:noWrap/>
            <w:hideMark/>
          </w:tcPr>
          <w:p w14:paraId="11B05D63" w14:textId="77777777" w:rsidR="00603D8A" w:rsidRPr="00603D8A" w:rsidRDefault="00603D8A" w:rsidP="00603D8A">
            <w:pPr>
              <w:pStyle w:val="Source"/>
              <w:rPr>
                <w:sz w:val="2"/>
                <w:szCs w:val="2"/>
              </w:rPr>
            </w:pPr>
            <w:r w:rsidRPr="00603D8A">
              <w:rPr>
                <w:sz w:val="2"/>
                <w:szCs w:val="2"/>
              </w:rPr>
              <w:t>17%</w:t>
            </w:r>
          </w:p>
        </w:tc>
      </w:tr>
      <w:tr w:rsidR="00603D8A" w:rsidRPr="00603D8A" w14:paraId="5430F2DF" w14:textId="77777777" w:rsidTr="00603D8A">
        <w:trPr>
          <w:trHeight w:val="285"/>
          <w:jc w:val="center"/>
        </w:trPr>
        <w:tc>
          <w:tcPr>
            <w:tcW w:w="3769" w:type="dxa"/>
            <w:noWrap/>
            <w:hideMark/>
          </w:tcPr>
          <w:p w14:paraId="06937F59" w14:textId="77777777" w:rsidR="00603D8A" w:rsidRPr="00603D8A" w:rsidRDefault="00603D8A" w:rsidP="00603D8A">
            <w:pPr>
              <w:pStyle w:val="Source"/>
              <w:rPr>
                <w:sz w:val="2"/>
                <w:szCs w:val="2"/>
              </w:rPr>
            </w:pPr>
          </w:p>
        </w:tc>
        <w:tc>
          <w:tcPr>
            <w:tcW w:w="1618" w:type="dxa"/>
            <w:noWrap/>
            <w:hideMark/>
          </w:tcPr>
          <w:p w14:paraId="63891AF9" w14:textId="77777777" w:rsidR="00603D8A" w:rsidRPr="00603D8A" w:rsidRDefault="00603D8A" w:rsidP="00603D8A">
            <w:pPr>
              <w:pStyle w:val="Source"/>
              <w:rPr>
                <w:sz w:val="2"/>
                <w:szCs w:val="2"/>
              </w:rPr>
            </w:pPr>
            <w:r w:rsidRPr="00603D8A">
              <w:rPr>
                <w:sz w:val="2"/>
                <w:szCs w:val="2"/>
              </w:rPr>
              <w:t>Multi-service (small)</w:t>
            </w:r>
          </w:p>
        </w:tc>
        <w:tc>
          <w:tcPr>
            <w:tcW w:w="777" w:type="dxa"/>
            <w:noWrap/>
            <w:hideMark/>
          </w:tcPr>
          <w:p w14:paraId="1DDCB1A7" w14:textId="77777777" w:rsidR="00603D8A" w:rsidRPr="00603D8A" w:rsidRDefault="00603D8A" w:rsidP="00603D8A">
            <w:pPr>
              <w:pStyle w:val="Source"/>
              <w:rPr>
                <w:sz w:val="2"/>
                <w:szCs w:val="2"/>
              </w:rPr>
            </w:pPr>
            <w:r w:rsidRPr="00603D8A">
              <w:rPr>
                <w:sz w:val="2"/>
                <w:szCs w:val="2"/>
              </w:rPr>
              <w:t>16%</w:t>
            </w:r>
          </w:p>
        </w:tc>
        <w:tc>
          <w:tcPr>
            <w:tcW w:w="1535" w:type="dxa"/>
            <w:noWrap/>
            <w:hideMark/>
          </w:tcPr>
          <w:p w14:paraId="36981C6D" w14:textId="77777777" w:rsidR="00603D8A" w:rsidRPr="00603D8A" w:rsidRDefault="00603D8A" w:rsidP="00603D8A">
            <w:pPr>
              <w:pStyle w:val="Source"/>
              <w:rPr>
                <w:sz w:val="2"/>
                <w:szCs w:val="2"/>
              </w:rPr>
            </w:pPr>
            <w:r w:rsidRPr="00603D8A">
              <w:rPr>
                <w:sz w:val="2"/>
                <w:szCs w:val="2"/>
              </w:rPr>
              <w:t>16%</w:t>
            </w:r>
          </w:p>
        </w:tc>
        <w:tc>
          <w:tcPr>
            <w:tcW w:w="356" w:type="dxa"/>
            <w:noWrap/>
            <w:hideMark/>
          </w:tcPr>
          <w:p w14:paraId="04874363" w14:textId="77777777" w:rsidR="00603D8A" w:rsidRPr="00603D8A" w:rsidRDefault="00603D8A" w:rsidP="00603D8A">
            <w:pPr>
              <w:pStyle w:val="Source"/>
              <w:rPr>
                <w:sz w:val="2"/>
                <w:szCs w:val="2"/>
              </w:rPr>
            </w:pPr>
            <w:r w:rsidRPr="00603D8A">
              <w:rPr>
                <w:sz w:val="2"/>
                <w:szCs w:val="2"/>
              </w:rPr>
              <w:t>17%</w:t>
            </w:r>
          </w:p>
        </w:tc>
      </w:tr>
      <w:tr w:rsidR="00603D8A" w:rsidRPr="00603D8A" w14:paraId="0AE6B97C" w14:textId="77777777" w:rsidTr="00603D8A">
        <w:trPr>
          <w:trHeight w:val="285"/>
          <w:jc w:val="center"/>
        </w:trPr>
        <w:tc>
          <w:tcPr>
            <w:tcW w:w="3769" w:type="dxa"/>
            <w:noWrap/>
            <w:hideMark/>
          </w:tcPr>
          <w:p w14:paraId="74E240E8" w14:textId="77777777" w:rsidR="00603D8A" w:rsidRPr="00603D8A" w:rsidRDefault="00603D8A" w:rsidP="00603D8A">
            <w:pPr>
              <w:pStyle w:val="Source"/>
              <w:rPr>
                <w:sz w:val="2"/>
                <w:szCs w:val="2"/>
              </w:rPr>
            </w:pPr>
          </w:p>
        </w:tc>
        <w:tc>
          <w:tcPr>
            <w:tcW w:w="1618" w:type="dxa"/>
            <w:noWrap/>
            <w:hideMark/>
          </w:tcPr>
          <w:p w14:paraId="26E0F3B4" w14:textId="77777777" w:rsidR="00603D8A" w:rsidRPr="00603D8A" w:rsidRDefault="00603D8A" w:rsidP="00603D8A">
            <w:pPr>
              <w:pStyle w:val="Source"/>
              <w:rPr>
                <w:sz w:val="2"/>
                <w:szCs w:val="2"/>
              </w:rPr>
            </w:pPr>
            <w:r w:rsidRPr="00603D8A">
              <w:rPr>
                <w:sz w:val="2"/>
                <w:szCs w:val="2"/>
              </w:rPr>
              <w:t>Multi-service (large)</w:t>
            </w:r>
          </w:p>
        </w:tc>
        <w:tc>
          <w:tcPr>
            <w:tcW w:w="777" w:type="dxa"/>
            <w:noWrap/>
            <w:hideMark/>
          </w:tcPr>
          <w:p w14:paraId="1EF1F7C4" w14:textId="77777777" w:rsidR="00603D8A" w:rsidRPr="00603D8A" w:rsidRDefault="00603D8A" w:rsidP="00603D8A">
            <w:pPr>
              <w:pStyle w:val="Source"/>
              <w:rPr>
                <w:sz w:val="2"/>
                <w:szCs w:val="2"/>
              </w:rPr>
            </w:pPr>
            <w:r w:rsidRPr="00603D8A">
              <w:rPr>
                <w:sz w:val="2"/>
                <w:szCs w:val="2"/>
              </w:rPr>
              <w:t>21%</w:t>
            </w:r>
          </w:p>
        </w:tc>
        <w:tc>
          <w:tcPr>
            <w:tcW w:w="1535" w:type="dxa"/>
            <w:noWrap/>
            <w:hideMark/>
          </w:tcPr>
          <w:p w14:paraId="43BAD698" w14:textId="77777777" w:rsidR="00603D8A" w:rsidRPr="00603D8A" w:rsidRDefault="00603D8A" w:rsidP="00603D8A">
            <w:pPr>
              <w:pStyle w:val="Source"/>
              <w:rPr>
                <w:sz w:val="2"/>
                <w:szCs w:val="2"/>
              </w:rPr>
            </w:pPr>
            <w:r w:rsidRPr="00603D8A">
              <w:rPr>
                <w:sz w:val="2"/>
                <w:szCs w:val="2"/>
              </w:rPr>
              <w:t>17%</w:t>
            </w:r>
          </w:p>
        </w:tc>
        <w:tc>
          <w:tcPr>
            <w:tcW w:w="356" w:type="dxa"/>
            <w:noWrap/>
            <w:hideMark/>
          </w:tcPr>
          <w:p w14:paraId="71C76E7E" w14:textId="77777777" w:rsidR="00603D8A" w:rsidRPr="00603D8A" w:rsidRDefault="00603D8A" w:rsidP="00603D8A">
            <w:pPr>
              <w:pStyle w:val="Source"/>
              <w:rPr>
                <w:sz w:val="2"/>
                <w:szCs w:val="2"/>
              </w:rPr>
            </w:pPr>
            <w:r w:rsidRPr="00603D8A">
              <w:rPr>
                <w:sz w:val="2"/>
                <w:szCs w:val="2"/>
              </w:rPr>
              <w:t>15%</w:t>
            </w:r>
          </w:p>
        </w:tc>
      </w:tr>
      <w:tr w:rsidR="00603D8A" w:rsidRPr="00603D8A" w14:paraId="0ABDC0CD" w14:textId="77777777" w:rsidTr="00603D8A">
        <w:trPr>
          <w:trHeight w:val="300"/>
          <w:jc w:val="center"/>
        </w:trPr>
        <w:tc>
          <w:tcPr>
            <w:tcW w:w="3769" w:type="dxa"/>
            <w:noWrap/>
            <w:hideMark/>
          </w:tcPr>
          <w:p w14:paraId="50667821" w14:textId="77777777" w:rsidR="00603D8A" w:rsidRPr="00603D8A" w:rsidRDefault="00603D8A" w:rsidP="00603D8A">
            <w:pPr>
              <w:pStyle w:val="Source"/>
              <w:rPr>
                <w:sz w:val="2"/>
                <w:szCs w:val="2"/>
              </w:rPr>
            </w:pPr>
          </w:p>
        </w:tc>
        <w:tc>
          <w:tcPr>
            <w:tcW w:w="1618" w:type="dxa"/>
            <w:noWrap/>
            <w:hideMark/>
          </w:tcPr>
          <w:p w14:paraId="061B58AB" w14:textId="77777777" w:rsidR="00603D8A" w:rsidRPr="00603D8A" w:rsidRDefault="00603D8A" w:rsidP="00603D8A">
            <w:pPr>
              <w:pStyle w:val="Source"/>
              <w:rPr>
                <w:sz w:val="2"/>
                <w:szCs w:val="2"/>
              </w:rPr>
            </w:pPr>
          </w:p>
        </w:tc>
        <w:tc>
          <w:tcPr>
            <w:tcW w:w="777" w:type="dxa"/>
            <w:noWrap/>
            <w:hideMark/>
          </w:tcPr>
          <w:p w14:paraId="622540F5" w14:textId="77777777" w:rsidR="00603D8A" w:rsidRPr="00603D8A" w:rsidRDefault="00603D8A" w:rsidP="00603D8A">
            <w:pPr>
              <w:pStyle w:val="Source"/>
              <w:rPr>
                <w:b/>
                <w:bCs/>
                <w:sz w:val="2"/>
                <w:szCs w:val="2"/>
              </w:rPr>
            </w:pPr>
            <w:r w:rsidRPr="00603D8A">
              <w:rPr>
                <w:b/>
                <w:bCs/>
                <w:sz w:val="2"/>
                <w:szCs w:val="2"/>
              </w:rPr>
              <w:t>For-profit</w:t>
            </w:r>
          </w:p>
        </w:tc>
        <w:tc>
          <w:tcPr>
            <w:tcW w:w="1535" w:type="dxa"/>
            <w:noWrap/>
            <w:hideMark/>
          </w:tcPr>
          <w:p w14:paraId="4A39D09E" w14:textId="77777777" w:rsidR="00603D8A" w:rsidRPr="00603D8A" w:rsidRDefault="00603D8A" w:rsidP="00603D8A">
            <w:pPr>
              <w:pStyle w:val="Source"/>
              <w:rPr>
                <w:b/>
                <w:bCs/>
                <w:sz w:val="2"/>
                <w:szCs w:val="2"/>
              </w:rPr>
            </w:pPr>
            <w:r w:rsidRPr="00603D8A">
              <w:rPr>
                <w:b/>
                <w:bCs/>
                <w:sz w:val="2"/>
                <w:szCs w:val="2"/>
              </w:rPr>
              <w:t>Private not-for-profit</w:t>
            </w:r>
          </w:p>
        </w:tc>
        <w:tc>
          <w:tcPr>
            <w:tcW w:w="356" w:type="dxa"/>
            <w:noWrap/>
            <w:hideMark/>
          </w:tcPr>
          <w:p w14:paraId="27052088" w14:textId="77777777" w:rsidR="00603D8A" w:rsidRPr="00603D8A" w:rsidRDefault="00603D8A" w:rsidP="00603D8A">
            <w:pPr>
              <w:pStyle w:val="Source"/>
              <w:rPr>
                <w:b/>
                <w:bCs/>
                <w:sz w:val="2"/>
                <w:szCs w:val="2"/>
              </w:rPr>
            </w:pPr>
            <w:r w:rsidRPr="00603D8A">
              <w:rPr>
                <w:b/>
                <w:bCs/>
                <w:sz w:val="2"/>
                <w:szCs w:val="2"/>
              </w:rPr>
              <w:t>Community</w:t>
            </w:r>
          </w:p>
        </w:tc>
      </w:tr>
      <w:tr w:rsidR="00603D8A" w:rsidRPr="00603D8A" w14:paraId="5EA46A9D" w14:textId="77777777" w:rsidTr="00603D8A">
        <w:trPr>
          <w:trHeight w:val="300"/>
          <w:jc w:val="center"/>
        </w:trPr>
        <w:tc>
          <w:tcPr>
            <w:tcW w:w="3769" w:type="dxa"/>
            <w:noWrap/>
            <w:hideMark/>
          </w:tcPr>
          <w:p w14:paraId="2C9A1F36" w14:textId="77777777" w:rsidR="00603D8A" w:rsidRPr="00603D8A" w:rsidRDefault="00603D8A" w:rsidP="00603D8A">
            <w:pPr>
              <w:pStyle w:val="Source"/>
              <w:rPr>
                <w:b/>
                <w:bCs/>
                <w:sz w:val="2"/>
                <w:szCs w:val="2"/>
              </w:rPr>
            </w:pPr>
            <w:r w:rsidRPr="00603D8A">
              <w:rPr>
                <w:b/>
                <w:bCs/>
                <w:sz w:val="2"/>
                <w:szCs w:val="2"/>
              </w:rPr>
              <w:t>Educator turnover</w:t>
            </w:r>
          </w:p>
        </w:tc>
        <w:tc>
          <w:tcPr>
            <w:tcW w:w="1618" w:type="dxa"/>
            <w:noWrap/>
            <w:hideMark/>
          </w:tcPr>
          <w:p w14:paraId="2FAC30F0" w14:textId="77777777" w:rsidR="00603D8A" w:rsidRPr="00603D8A" w:rsidRDefault="00603D8A" w:rsidP="00603D8A">
            <w:pPr>
              <w:pStyle w:val="Source"/>
              <w:rPr>
                <w:sz w:val="2"/>
                <w:szCs w:val="2"/>
              </w:rPr>
            </w:pPr>
            <w:r w:rsidRPr="00603D8A">
              <w:rPr>
                <w:sz w:val="2"/>
                <w:szCs w:val="2"/>
              </w:rPr>
              <w:t>Single service</w:t>
            </w:r>
          </w:p>
        </w:tc>
        <w:tc>
          <w:tcPr>
            <w:tcW w:w="777" w:type="dxa"/>
            <w:noWrap/>
            <w:hideMark/>
          </w:tcPr>
          <w:p w14:paraId="7BDE2440" w14:textId="77777777" w:rsidR="00603D8A" w:rsidRPr="00603D8A" w:rsidRDefault="00603D8A" w:rsidP="00603D8A">
            <w:pPr>
              <w:pStyle w:val="Source"/>
              <w:rPr>
                <w:sz w:val="2"/>
                <w:szCs w:val="2"/>
              </w:rPr>
            </w:pPr>
            <w:r w:rsidRPr="00603D8A">
              <w:rPr>
                <w:sz w:val="2"/>
                <w:szCs w:val="2"/>
              </w:rPr>
              <w:t>36%</w:t>
            </w:r>
          </w:p>
        </w:tc>
        <w:tc>
          <w:tcPr>
            <w:tcW w:w="1535" w:type="dxa"/>
            <w:noWrap/>
            <w:hideMark/>
          </w:tcPr>
          <w:p w14:paraId="1421ACE1" w14:textId="77777777" w:rsidR="00603D8A" w:rsidRPr="00603D8A" w:rsidRDefault="00603D8A" w:rsidP="00603D8A">
            <w:pPr>
              <w:pStyle w:val="Source"/>
              <w:rPr>
                <w:sz w:val="2"/>
                <w:szCs w:val="2"/>
              </w:rPr>
            </w:pPr>
            <w:r w:rsidRPr="00603D8A">
              <w:rPr>
                <w:sz w:val="2"/>
                <w:szCs w:val="2"/>
              </w:rPr>
              <w:t>38%</w:t>
            </w:r>
          </w:p>
        </w:tc>
        <w:tc>
          <w:tcPr>
            <w:tcW w:w="356" w:type="dxa"/>
            <w:noWrap/>
            <w:hideMark/>
          </w:tcPr>
          <w:p w14:paraId="6AF1F081" w14:textId="77777777" w:rsidR="00603D8A" w:rsidRPr="00603D8A" w:rsidRDefault="00603D8A" w:rsidP="00603D8A">
            <w:pPr>
              <w:pStyle w:val="Source"/>
              <w:rPr>
                <w:sz w:val="2"/>
                <w:szCs w:val="2"/>
              </w:rPr>
            </w:pPr>
            <w:r w:rsidRPr="00603D8A">
              <w:rPr>
                <w:sz w:val="2"/>
                <w:szCs w:val="2"/>
              </w:rPr>
              <w:t>32%</w:t>
            </w:r>
          </w:p>
        </w:tc>
      </w:tr>
      <w:tr w:rsidR="00603D8A" w:rsidRPr="00603D8A" w14:paraId="1D0671A9" w14:textId="77777777" w:rsidTr="00603D8A">
        <w:trPr>
          <w:trHeight w:val="300"/>
          <w:jc w:val="center"/>
        </w:trPr>
        <w:tc>
          <w:tcPr>
            <w:tcW w:w="3769" w:type="dxa"/>
            <w:noWrap/>
            <w:hideMark/>
          </w:tcPr>
          <w:p w14:paraId="649AFCA6" w14:textId="77777777" w:rsidR="00603D8A" w:rsidRPr="00603D8A" w:rsidRDefault="00603D8A" w:rsidP="00603D8A">
            <w:pPr>
              <w:pStyle w:val="Source"/>
              <w:rPr>
                <w:sz w:val="2"/>
                <w:szCs w:val="2"/>
              </w:rPr>
            </w:pPr>
          </w:p>
        </w:tc>
        <w:tc>
          <w:tcPr>
            <w:tcW w:w="1618" w:type="dxa"/>
            <w:noWrap/>
            <w:hideMark/>
          </w:tcPr>
          <w:p w14:paraId="28DB508F" w14:textId="77777777" w:rsidR="00603D8A" w:rsidRPr="00603D8A" w:rsidRDefault="00603D8A" w:rsidP="00603D8A">
            <w:pPr>
              <w:pStyle w:val="Source"/>
              <w:rPr>
                <w:sz w:val="2"/>
                <w:szCs w:val="2"/>
              </w:rPr>
            </w:pPr>
            <w:r w:rsidRPr="00603D8A">
              <w:rPr>
                <w:sz w:val="2"/>
                <w:szCs w:val="2"/>
              </w:rPr>
              <w:t>Multi-service (small)</w:t>
            </w:r>
          </w:p>
        </w:tc>
        <w:tc>
          <w:tcPr>
            <w:tcW w:w="777" w:type="dxa"/>
            <w:noWrap/>
            <w:hideMark/>
          </w:tcPr>
          <w:p w14:paraId="00AE5924" w14:textId="77777777" w:rsidR="00603D8A" w:rsidRPr="00603D8A" w:rsidRDefault="00603D8A" w:rsidP="00603D8A">
            <w:pPr>
              <w:pStyle w:val="Source"/>
              <w:rPr>
                <w:sz w:val="2"/>
                <w:szCs w:val="2"/>
              </w:rPr>
            </w:pPr>
            <w:r w:rsidRPr="00603D8A">
              <w:rPr>
                <w:sz w:val="2"/>
                <w:szCs w:val="2"/>
              </w:rPr>
              <w:t>32%</w:t>
            </w:r>
          </w:p>
        </w:tc>
        <w:tc>
          <w:tcPr>
            <w:tcW w:w="1535" w:type="dxa"/>
            <w:noWrap/>
            <w:hideMark/>
          </w:tcPr>
          <w:p w14:paraId="3B9E6FBA" w14:textId="77777777" w:rsidR="00603D8A" w:rsidRPr="00603D8A" w:rsidRDefault="00603D8A" w:rsidP="00603D8A">
            <w:pPr>
              <w:pStyle w:val="Source"/>
              <w:rPr>
                <w:sz w:val="2"/>
                <w:szCs w:val="2"/>
              </w:rPr>
            </w:pPr>
            <w:r w:rsidRPr="00603D8A">
              <w:rPr>
                <w:sz w:val="2"/>
                <w:szCs w:val="2"/>
              </w:rPr>
              <w:t>33%</w:t>
            </w:r>
          </w:p>
        </w:tc>
        <w:tc>
          <w:tcPr>
            <w:tcW w:w="356" w:type="dxa"/>
            <w:noWrap/>
            <w:hideMark/>
          </w:tcPr>
          <w:p w14:paraId="48310E82" w14:textId="77777777" w:rsidR="00603D8A" w:rsidRPr="00603D8A" w:rsidRDefault="00603D8A" w:rsidP="00603D8A">
            <w:pPr>
              <w:pStyle w:val="Source"/>
              <w:rPr>
                <w:sz w:val="2"/>
                <w:szCs w:val="2"/>
              </w:rPr>
            </w:pPr>
            <w:r w:rsidRPr="00603D8A">
              <w:rPr>
                <w:sz w:val="2"/>
                <w:szCs w:val="2"/>
              </w:rPr>
              <w:t>33%</w:t>
            </w:r>
          </w:p>
        </w:tc>
      </w:tr>
      <w:tr w:rsidR="00603D8A" w:rsidRPr="00603D8A" w14:paraId="33685A80" w14:textId="77777777" w:rsidTr="00603D8A">
        <w:trPr>
          <w:trHeight w:val="285"/>
          <w:jc w:val="center"/>
        </w:trPr>
        <w:tc>
          <w:tcPr>
            <w:tcW w:w="3769" w:type="dxa"/>
            <w:noWrap/>
            <w:hideMark/>
          </w:tcPr>
          <w:p w14:paraId="1B433178" w14:textId="77777777" w:rsidR="00603D8A" w:rsidRPr="00603D8A" w:rsidRDefault="00603D8A" w:rsidP="00603D8A">
            <w:pPr>
              <w:pStyle w:val="Source"/>
              <w:rPr>
                <w:sz w:val="2"/>
                <w:szCs w:val="2"/>
              </w:rPr>
            </w:pPr>
          </w:p>
        </w:tc>
        <w:tc>
          <w:tcPr>
            <w:tcW w:w="1618" w:type="dxa"/>
            <w:noWrap/>
            <w:hideMark/>
          </w:tcPr>
          <w:p w14:paraId="7BCD9099" w14:textId="77777777" w:rsidR="00603D8A" w:rsidRPr="00603D8A" w:rsidRDefault="00603D8A" w:rsidP="00603D8A">
            <w:pPr>
              <w:pStyle w:val="Source"/>
              <w:rPr>
                <w:sz w:val="2"/>
                <w:szCs w:val="2"/>
              </w:rPr>
            </w:pPr>
            <w:r w:rsidRPr="00603D8A">
              <w:rPr>
                <w:sz w:val="2"/>
                <w:szCs w:val="2"/>
              </w:rPr>
              <w:t>Multi-service (large)</w:t>
            </w:r>
          </w:p>
        </w:tc>
        <w:tc>
          <w:tcPr>
            <w:tcW w:w="777" w:type="dxa"/>
            <w:noWrap/>
            <w:hideMark/>
          </w:tcPr>
          <w:p w14:paraId="18312CC7" w14:textId="77777777" w:rsidR="00603D8A" w:rsidRPr="00603D8A" w:rsidRDefault="00603D8A" w:rsidP="00603D8A">
            <w:pPr>
              <w:pStyle w:val="Source"/>
              <w:rPr>
                <w:sz w:val="2"/>
                <w:szCs w:val="2"/>
              </w:rPr>
            </w:pPr>
            <w:r w:rsidRPr="00603D8A">
              <w:rPr>
                <w:sz w:val="2"/>
                <w:szCs w:val="2"/>
              </w:rPr>
              <w:t>36%</w:t>
            </w:r>
          </w:p>
        </w:tc>
        <w:tc>
          <w:tcPr>
            <w:tcW w:w="1535" w:type="dxa"/>
            <w:noWrap/>
            <w:hideMark/>
          </w:tcPr>
          <w:p w14:paraId="318F970D" w14:textId="77777777" w:rsidR="00603D8A" w:rsidRPr="00603D8A" w:rsidRDefault="00603D8A" w:rsidP="00603D8A">
            <w:pPr>
              <w:pStyle w:val="Source"/>
              <w:rPr>
                <w:sz w:val="2"/>
                <w:szCs w:val="2"/>
              </w:rPr>
            </w:pPr>
            <w:r w:rsidRPr="00603D8A">
              <w:rPr>
                <w:sz w:val="2"/>
                <w:szCs w:val="2"/>
              </w:rPr>
              <w:t>37%</w:t>
            </w:r>
          </w:p>
        </w:tc>
        <w:tc>
          <w:tcPr>
            <w:tcW w:w="356" w:type="dxa"/>
            <w:noWrap/>
            <w:hideMark/>
          </w:tcPr>
          <w:p w14:paraId="6CA28F82" w14:textId="77777777" w:rsidR="00603D8A" w:rsidRPr="00603D8A" w:rsidRDefault="00603D8A" w:rsidP="00603D8A">
            <w:pPr>
              <w:pStyle w:val="Source"/>
              <w:rPr>
                <w:sz w:val="2"/>
                <w:szCs w:val="2"/>
              </w:rPr>
            </w:pPr>
            <w:r w:rsidRPr="00603D8A">
              <w:rPr>
                <w:sz w:val="2"/>
                <w:szCs w:val="2"/>
              </w:rPr>
              <w:t>35%</w:t>
            </w:r>
          </w:p>
        </w:tc>
      </w:tr>
      <w:tr w:rsidR="00603D8A" w:rsidRPr="00603D8A" w14:paraId="76BBCACE" w14:textId="77777777" w:rsidTr="00603D8A">
        <w:trPr>
          <w:trHeight w:val="300"/>
          <w:jc w:val="center"/>
        </w:trPr>
        <w:tc>
          <w:tcPr>
            <w:tcW w:w="3769" w:type="dxa"/>
            <w:hideMark/>
          </w:tcPr>
          <w:p w14:paraId="4564A61C" w14:textId="77777777" w:rsidR="00603D8A" w:rsidRPr="00603D8A" w:rsidRDefault="00603D8A" w:rsidP="00603D8A">
            <w:pPr>
              <w:pStyle w:val="Source"/>
              <w:rPr>
                <w:sz w:val="2"/>
                <w:szCs w:val="2"/>
              </w:rPr>
            </w:pPr>
          </w:p>
        </w:tc>
        <w:tc>
          <w:tcPr>
            <w:tcW w:w="1618" w:type="dxa"/>
            <w:hideMark/>
          </w:tcPr>
          <w:p w14:paraId="41455032" w14:textId="77777777" w:rsidR="00603D8A" w:rsidRPr="00603D8A" w:rsidRDefault="00603D8A" w:rsidP="00603D8A">
            <w:pPr>
              <w:pStyle w:val="Source"/>
              <w:rPr>
                <w:sz w:val="2"/>
                <w:szCs w:val="2"/>
              </w:rPr>
            </w:pPr>
          </w:p>
        </w:tc>
        <w:tc>
          <w:tcPr>
            <w:tcW w:w="777" w:type="dxa"/>
            <w:noWrap/>
            <w:hideMark/>
          </w:tcPr>
          <w:p w14:paraId="1B2267B5" w14:textId="77777777" w:rsidR="00603D8A" w:rsidRPr="00603D8A" w:rsidRDefault="00603D8A" w:rsidP="00603D8A">
            <w:pPr>
              <w:pStyle w:val="Source"/>
              <w:rPr>
                <w:b/>
                <w:bCs/>
                <w:sz w:val="2"/>
                <w:szCs w:val="2"/>
              </w:rPr>
            </w:pPr>
            <w:r w:rsidRPr="00603D8A">
              <w:rPr>
                <w:b/>
                <w:bCs/>
                <w:sz w:val="2"/>
                <w:szCs w:val="2"/>
              </w:rPr>
              <w:t>For-profit</w:t>
            </w:r>
          </w:p>
        </w:tc>
        <w:tc>
          <w:tcPr>
            <w:tcW w:w="1535" w:type="dxa"/>
            <w:noWrap/>
            <w:hideMark/>
          </w:tcPr>
          <w:p w14:paraId="11F1408E" w14:textId="77777777" w:rsidR="00603D8A" w:rsidRPr="00603D8A" w:rsidRDefault="00603D8A" w:rsidP="00603D8A">
            <w:pPr>
              <w:pStyle w:val="Source"/>
              <w:rPr>
                <w:b/>
                <w:bCs/>
                <w:sz w:val="2"/>
                <w:szCs w:val="2"/>
              </w:rPr>
            </w:pPr>
            <w:r w:rsidRPr="00603D8A">
              <w:rPr>
                <w:b/>
                <w:bCs/>
                <w:sz w:val="2"/>
                <w:szCs w:val="2"/>
              </w:rPr>
              <w:t>Private not-for-profit</w:t>
            </w:r>
          </w:p>
        </w:tc>
        <w:tc>
          <w:tcPr>
            <w:tcW w:w="356" w:type="dxa"/>
            <w:noWrap/>
            <w:hideMark/>
          </w:tcPr>
          <w:p w14:paraId="6F464B18" w14:textId="77777777" w:rsidR="00603D8A" w:rsidRPr="00603D8A" w:rsidRDefault="00603D8A" w:rsidP="00603D8A">
            <w:pPr>
              <w:pStyle w:val="Source"/>
              <w:rPr>
                <w:b/>
                <w:bCs/>
                <w:sz w:val="2"/>
                <w:szCs w:val="2"/>
              </w:rPr>
            </w:pPr>
            <w:r w:rsidRPr="00603D8A">
              <w:rPr>
                <w:b/>
                <w:bCs/>
                <w:sz w:val="2"/>
                <w:szCs w:val="2"/>
              </w:rPr>
              <w:t>Community</w:t>
            </w:r>
          </w:p>
        </w:tc>
      </w:tr>
      <w:tr w:rsidR="00603D8A" w:rsidRPr="00603D8A" w14:paraId="04A85AA3" w14:textId="77777777" w:rsidTr="00603D8A">
        <w:trPr>
          <w:trHeight w:val="300"/>
          <w:jc w:val="center"/>
        </w:trPr>
        <w:tc>
          <w:tcPr>
            <w:tcW w:w="3769" w:type="dxa"/>
            <w:noWrap/>
            <w:hideMark/>
          </w:tcPr>
          <w:p w14:paraId="1D60410A" w14:textId="77777777" w:rsidR="00603D8A" w:rsidRPr="00603D8A" w:rsidRDefault="00603D8A" w:rsidP="00603D8A">
            <w:pPr>
              <w:pStyle w:val="Source"/>
              <w:rPr>
                <w:b/>
                <w:bCs/>
                <w:sz w:val="2"/>
                <w:szCs w:val="2"/>
              </w:rPr>
            </w:pPr>
            <w:r w:rsidRPr="00603D8A">
              <w:rPr>
                <w:b/>
                <w:bCs/>
                <w:sz w:val="2"/>
                <w:szCs w:val="2"/>
              </w:rPr>
              <w:t>Working towards Certificate III or Diploma qualification</w:t>
            </w:r>
          </w:p>
        </w:tc>
        <w:tc>
          <w:tcPr>
            <w:tcW w:w="1618" w:type="dxa"/>
            <w:noWrap/>
            <w:hideMark/>
          </w:tcPr>
          <w:p w14:paraId="10ABEE62" w14:textId="77777777" w:rsidR="00603D8A" w:rsidRPr="00603D8A" w:rsidRDefault="00603D8A" w:rsidP="00603D8A">
            <w:pPr>
              <w:pStyle w:val="Source"/>
              <w:rPr>
                <w:sz w:val="2"/>
                <w:szCs w:val="2"/>
              </w:rPr>
            </w:pPr>
            <w:r w:rsidRPr="00603D8A">
              <w:rPr>
                <w:sz w:val="2"/>
                <w:szCs w:val="2"/>
              </w:rPr>
              <w:t>Single service</w:t>
            </w:r>
          </w:p>
        </w:tc>
        <w:tc>
          <w:tcPr>
            <w:tcW w:w="777" w:type="dxa"/>
            <w:noWrap/>
            <w:hideMark/>
          </w:tcPr>
          <w:p w14:paraId="2EE4DF99" w14:textId="77777777" w:rsidR="00603D8A" w:rsidRPr="00603D8A" w:rsidRDefault="00603D8A" w:rsidP="00603D8A">
            <w:pPr>
              <w:pStyle w:val="Source"/>
              <w:rPr>
                <w:sz w:val="2"/>
                <w:szCs w:val="2"/>
              </w:rPr>
            </w:pPr>
            <w:r w:rsidRPr="00603D8A">
              <w:rPr>
                <w:sz w:val="2"/>
                <w:szCs w:val="2"/>
              </w:rPr>
              <w:t>16%</w:t>
            </w:r>
          </w:p>
        </w:tc>
        <w:tc>
          <w:tcPr>
            <w:tcW w:w="1535" w:type="dxa"/>
            <w:noWrap/>
            <w:hideMark/>
          </w:tcPr>
          <w:p w14:paraId="1D62BAB0" w14:textId="77777777" w:rsidR="00603D8A" w:rsidRPr="00603D8A" w:rsidRDefault="00603D8A" w:rsidP="00603D8A">
            <w:pPr>
              <w:pStyle w:val="Source"/>
              <w:rPr>
                <w:sz w:val="2"/>
                <w:szCs w:val="2"/>
              </w:rPr>
            </w:pPr>
            <w:r w:rsidRPr="00603D8A">
              <w:rPr>
                <w:sz w:val="2"/>
                <w:szCs w:val="2"/>
              </w:rPr>
              <w:t>18%</w:t>
            </w:r>
          </w:p>
        </w:tc>
        <w:tc>
          <w:tcPr>
            <w:tcW w:w="356" w:type="dxa"/>
            <w:noWrap/>
            <w:hideMark/>
          </w:tcPr>
          <w:p w14:paraId="6FA0BE10" w14:textId="77777777" w:rsidR="00603D8A" w:rsidRPr="00603D8A" w:rsidRDefault="00603D8A" w:rsidP="00603D8A">
            <w:pPr>
              <w:pStyle w:val="Source"/>
              <w:rPr>
                <w:sz w:val="2"/>
                <w:szCs w:val="2"/>
              </w:rPr>
            </w:pPr>
            <w:r w:rsidRPr="00603D8A">
              <w:rPr>
                <w:sz w:val="2"/>
                <w:szCs w:val="2"/>
              </w:rPr>
              <w:t>14%</w:t>
            </w:r>
          </w:p>
        </w:tc>
      </w:tr>
      <w:tr w:rsidR="00603D8A" w:rsidRPr="00603D8A" w14:paraId="03B4F3B6" w14:textId="77777777" w:rsidTr="00603D8A">
        <w:trPr>
          <w:trHeight w:val="300"/>
          <w:jc w:val="center"/>
        </w:trPr>
        <w:tc>
          <w:tcPr>
            <w:tcW w:w="3769" w:type="dxa"/>
            <w:noWrap/>
            <w:hideMark/>
          </w:tcPr>
          <w:p w14:paraId="49A9C534" w14:textId="77777777" w:rsidR="00603D8A" w:rsidRPr="00603D8A" w:rsidRDefault="00603D8A" w:rsidP="00603D8A">
            <w:pPr>
              <w:pStyle w:val="Source"/>
              <w:rPr>
                <w:sz w:val="2"/>
                <w:szCs w:val="2"/>
              </w:rPr>
            </w:pPr>
          </w:p>
        </w:tc>
        <w:tc>
          <w:tcPr>
            <w:tcW w:w="1618" w:type="dxa"/>
            <w:noWrap/>
            <w:hideMark/>
          </w:tcPr>
          <w:p w14:paraId="10FF3941" w14:textId="77777777" w:rsidR="00603D8A" w:rsidRPr="00603D8A" w:rsidRDefault="00603D8A" w:rsidP="00603D8A">
            <w:pPr>
              <w:pStyle w:val="Source"/>
              <w:rPr>
                <w:sz w:val="2"/>
                <w:szCs w:val="2"/>
              </w:rPr>
            </w:pPr>
            <w:r w:rsidRPr="00603D8A">
              <w:rPr>
                <w:sz w:val="2"/>
                <w:szCs w:val="2"/>
              </w:rPr>
              <w:t>Multi-service (small)</w:t>
            </w:r>
          </w:p>
        </w:tc>
        <w:tc>
          <w:tcPr>
            <w:tcW w:w="777" w:type="dxa"/>
            <w:noWrap/>
            <w:hideMark/>
          </w:tcPr>
          <w:p w14:paraId="2A443287" w14:textId="77777777" w:rsidR="00603D8A" w:rsidRPr="00603D8A" w:rsidRDefault="00603D8A" w:rsidP="00603D8A">
            <w:pPr>
              <w:pStyle w:val="Source"/>
              <w:rPr>
                <w:sz w:val="2"/>
                <w:szCs w:val="2"/>
              </w:rPr>
            </w:pPr>
            <w:r w:rsidRPr="00603D8A">
              <w:rPr>
                <w:sz w:val="2"/>
                <w:szCs w:val="2"/>
              </w:rPr>
              <w:t>16%</w:t>
            </w:r>
          </w:p>
        </w:tc>
        <w:tc>
          <w:tcPr>
            <w:tcW w:w="1535" w:type="dxa"/>
            <w:noWrap/>
            <w:hideMark/>
          </w:tcPr>
          <w:p w14:paraId="15533C90" w14:textId="77777777" w:rsidR="00603D8A" w:rsidRPr="00603D8A" w:rsidRDefault="00603D8A" w:rsidP="00603D8A">
            <w:pPr>
              <w:pStyle w:val="Source"/>
              <w:rPr>
                <w:sz w:val="2"/>
                <w:szCs w:val="2"/>
              </w:rPr>
            </w:pPr>
            <w:r w:rsidRPr="00603D8A">
              <w:rPr>
                <w:sz w:val="2"/>
                <w:szCs w:val="2"/>
              </w:rPr>
              <w:t>15%</w:t>
            </w:r>
          </w:p>
        </w:tc>
        <w:tc>
          <w:tcPr>
            <w:tcW w:w="356" w:type="dxa"/>
            <w:noWrap/>
            <w:hideMark/>
          </w:tcPr>
          <w:p w14:paraId="354719C9" w14:textId="77777777" w:rsidR="00603D8A" w:rsidRPr="00603D8A" w:rsidRDefault="00603D8A" w:rsidP="00603D8A">
            <w:pPr>
              <w:pStyle w:val="Source"/>
              <w:rPr>
                <w:sz w:val="2"/>
                <w:szCs w:val="2"/>
              </w:rPr>
            </w:pPr>
            <w:r w:rsidRPr="00603D8A">
              <w:rPr>
                <w:sz w:val="2"/>
                <w:szCs w:val="2"/>
              </w:rPr>
              <w:t>13%</w:t>
            </w:r>
          </w:p>
        </w:tc>
      </w:tr>
      <w:tr w:rsidR="00603D8A" w:rsidRPr="00603D8A" w14:paraId="5BC62CD3" w14:textId="77777777" w:rsidTr="00603D8A">
        <w:trPr>
          <w:trHeight w:val="300"/>
          <w:jc w:val="center"/>
        </w:trPr>
        <w:tc>
          <w:tcPr>
            <w:tcW w:w="3769" w:type="dxa"/>
            <w:noWrap/>
            <w:hideMark/>
          </w:tcPr>
          <w:p w14:paraId="4FF64FBA" w14:textId="77777777" w:rsidR="00603D8A" w:rsidRPr="00603D8A" w:rsidRDefault="00603D8A" w:rsidP="00603D8A">
            <w:pPr>
              <w:pStyle w:val="Source"/>
              <w:rPr>
                <w:sz w:val="2"/>
                <w:szCs w:val="2"/>
              </w:rPr>
            </w:pPr>
          </w:p>
        </w:tc>
        <w:tc>
          <w:tcPr>
            <w:tcW w:w="1618" w:type="dxa"/>
            <w:noWrap/>
            <w:hideMark/>
          </w:tcPr>
          <w:p w14:paraId="375D7EC5" w14:textId="77777777" w:rsidR="00603D8A" w:rsidRPr="00603D8A" w:rsidRDefault="00603D8A" w:rsidP="00603D8A">
            <w:pPr>
              <w:pStyle w:val="Source"/>
              <w:rPr>
                <w:sz w:val="2"/>
                <w:szCs w:val="2"/>
              </w:rPr>
            </w:pPr>
            <w:r w:rsidRPr="00603D8A">
              <w:rPr>
                <w:sz w:val="2"/>
                <w:szCs w:val="2"/>
              </w:rPr>
              <w:t>Multi-service (large)</w:t>
            </w:r>
          </w:p>
        </w:tc>
        <w:tc>
          <w:tcPr>
            <w:tcW w:w="777" w:type="dxa"/>
            <w:noWrap/>
            <w:hideMark/>
          </w:tcPr>
          <w:p w14:paraId="18D50A22" w14:textId="77777777" w:rsidR="00603D8A" w:rsidRPr="00603D8A" w:rsidRDefault="00603D8A" w:rsidP="00603D8A">
            <w:pPr>
              <w:pStyle w:val="Source"/>
              <w:rPr>
                <w:sz w:val="2"/>
                <w:szCs w:val="2"/>
              </w:rPr>
            </w:pPr>
            <w:r w:rsidRPr="00603D8A">
              <w:rPr>
                <w:sz w:val="2"/>
                <w:szCs w:val="2"/>
              </w:rPr>
              <w:t>12%</w:t>
            </w:r>
          </w:p>
        </w:tc>
        <w:tc>
          <w:tcPr>
            <w:tcW w:w="1535" w:type="dxa"/>
            <w:noWrap/>
            <w:hideMark/>
          </w:tcPr>
          <w:p w14:paraId="3FF28787" w14:textId="77777777" w:rsidR="00603D8A" w:rsidRPr="00603D8A" w:rsidRDefault="00603D8A" w:rsidP="00603D8A">
            <w:pPr>
              <w:pStyle w:val="Source"/>
              <w:rPr>
                <w:sz w:val="2"/>
                <w:szCs w:val="2"/>
              </w:rPr>
            </w:pPr>
            <w:r w:rsidRPr="00603D8A">
              <w:rPr>
                <w:sz w:val="2"/>
                <w:szCs w:val="2"/>
              </w:rPr>
              <w:t>19%</w:t>
            </w:r>
          </w:p>
        </w:tc>
        <w:tc>
          <w:tcPr>
            <w:tcW w:w="356" w:type="dxa"/>
            <w:noWrap/>
            <w:hideMark/>
          </w:tcPr>
          <w:p w14:paraId="56462354" w14:textId="77777777" w:rsidR="00603D8A" w:rsidRPr="00603D8A" w:rsidRDefault="00603D8A" w:rsidP="00603D8A">
            <w:pPr>
              <w:pStyle w:val="Source"/>
              <w:rPr>
                <w:sz w:val="2"/>
                <w:szCs w:val="2"/>
              </w:rPr>
            </w:pPr>
            <w:r w:rsidRPr="00603D8A">
              <w:rPr>
                <w:sz w:val="2"/>
                <w:szCs w:val="2"/>
              </w:rPr>
              <w:t>7%</w:t>
            </w:r>
          </w:p>
        </w:tc>
      </w:tr>
      <w:tr w:rsidR="00603D8A" w:rsidRPr="00603D8A" w14:paraId="31589B69" w14:textId="77777777" w:rsidTr="00603D8A">
        <w:trPr>
          <w:trHeight w:val="300"/>
          <w:jc w:val="center"/>
        </w:trPr>
        <w:tc>
          <w:tcPr>
            <w:tcW w:w="3769" w:type="dxa"/>
            <w:hideMark/>
          </w:tcPr>
          <w:p w14:paraId="5CB2764A" w14:textId="77777777" w:rsidR="00603D8A" w:rsidRPr="00603D8A" w:rsidRDefault="00603D8A" w:rsidP="00603D8A">
            <w:pPr>
              <w:pStyle w:val="Source"/>
              <w:rPr>
                <w:sz w:val="2"/>
                <w:szCs w:val="2"/>
              </w:rPr>
            </w:pPr>
          </w:p>
        </w:tc>
        <w:tc>
          <w:tcPr>
            <w:tcW w:w="1618" w:type="dxa"/>
            <w:hideMark/>
          </w:tcPr>
          <w:p w14:paraId="4570D457" w14:textId="77777777" w:rsidR="00603D8A" w:rsidRPr="00603D8A" w:rsidRDefault="00603D8A" w:rsidP="00603D8A">
            <w:pPr>
              <w:pStyle w:val="Source"/>
              <w:rPr>
                <w:sz w:val="2"/>
                <w:szCs w:val="2"/>
              </w:rPr>
            </w:pPr>
          </w:p>
        </w:tc>
        <w:tc>
          <w:tcPr>
            <w:tcW w:w="777" w:type="dxa"/>
            <w:noWrap/>
            <w:hideMark/>
          </w:tcPr>
          <w:p w14:paraId="148EF72F" w14:textId="77777777" w:rsidR="00603D8A" w:rsidRPr="00603D8A" w:rsidRDefault="00603D8A" w:rsidP="00603D8A">
            <w:pPr>
              <w:pStyle w:val="Source"/>
              <w:rPr>
                <w:b/>
                <w:bCs/>
                <w:sz w:val="2"/>
                <w:szCs w:val="2"/>
              </w:rPr>
            </w:pPr>
            <w:r w:rsidRPr="00603D8A">
              <w:rPr>
                <w:b/>
                <w:bCs/>
                <w:sz w:val="2"/>
                <w:szCs w:val="2"/>
              </w:rPr>
              <w:t>For-profit</w:t>
            </w:r>
          </w:p>
        </w:tc>
        <w:tc>
          <w:tcPr>
            <w:tcW w:w="1535" w:type="dxa"/>
            <w:noWrap/>
            <w:hideMark/>
          </w:tcPr>
          <w:p w14:paraId="4BAD76ED" w14:textId="77777777" w:rsidR="00603D8A" w:rsidRPr="00603D8A" w:rsidRDefault="00603D8A" w:rsidP="00603D8A">
            <w:pPr>
              <w:pStyle w:val="Source"/>
              <w:rPr>
                <w:b/>
                <w:bCs/>
                <w:sz w:val="2"/>
                <w:szCs w:val="2"/>
              </w:rPr>
            </w:pPr>
            <w:r w:rsidRPr="00603D8A">
              <w:rPr>
                <w:b/>
                <w:bCs/>
                <w:sz w:val="2"/>
                <w:szCs w:val="2"/>
              </w:rPr>
              <w:t>Private not-for-profit</w:t>
            </w:r>
          </w:p>
        </w:tc>
        <w:tc>
          <w:tcPr>
            <w:tcW w:w="356" w:type="dxa"/>
            <w:noWrap/>
            <w:hideMark/>
          </w:tcPr>
          <w:p w14:paraId="58B84C6B" w14:textId="77777777" w:rsidR="00603D8A" w:rsidRPr="00603D8A" w:rsidRDefault="00603D8A" w:rsidP="00603D8A">
            <w:pPr>
              <w:pStyle w:val="Source"/>
              <w:rPr>
                <w:b/>
                <w:bCs/>
                <w:sz w:val="2"/>
                <w:szCs w:val="2"/>
              </w:rPr>
            </w:pPr>
            <w:r w:rsidRPr="00603D8A">
              <w:rPr>
                <w:b/>
                <w:bCs/>
                <w:sz w:val="2"/>
                <w:szCs w:val="2"/>
              </w:rPr>
              <w:t>Community</w:t>
            </w:r>
          </w:p>
        </w:tc>
      </w:tr>
      <w:tr w:rsidR="00603D8A" w:rsidRPr="00603D8A" w14:paraId="534B2D11" w14:textId="77777777" w:rsidTr="00603D8A">
        <w:trPr>
          <w:trHeight w:val="300"/>
          <w:jc w:val="center"/>
        </w:trPr>
        <w:tc>
          <w:tcPr>
            <w:tcW w:w="3769" w:type="dxa"/>
            <w:noWrap/>
            <w:hideMark/>
          </w:tcPr>
          <w:p w14:paraId="2F4ECC42" w14:textId="77777777" w:rsidR="00603D8A" w:rsidRPr="00603D8A" w:rsidRDefault="00603D8A" w:rsidP="00603D8A">
            <w:pPr>
              <w:pStyle w:val="Source"/>
              <w:rPr>
                <w:b/>
                <w:bCs/>
                <w:sz w:val="2"/>
                <w:szCs w:val="2"/>
              </w:rPr>
            </w:pPr>
            <w:r w:rsidRPr="00603D8A">
              <w:rPr>
                <w:b/>
                <w:bCs/>
                <w:sz w:val="2"/>
                <w:szCs w:val="2"/>
              </w:rPr>
              <w:t>Non-permanent educators</w:t>
            </w:r>
          </w:p>
        </w:tc>
        <w:tc>
          <w:tcPr>
            <w:tcW w:w="1618" w:type="dxa"/>
            <w:noWrap/>
            <w:hideMark/>
          </w:tcPr>
          <w:p w14:paraId="7CFED3E5" w14:textId="77777777" w:rsidR="00603D8A" w:rsidRPr="00603D8A" w:rsidRDefault="00603D8A" w:rsidP="00603D8A">
            <w:pPr>
              <w:pStyle w:val="Source"/>
              <w:rPr>
                <w:sz w:val="2"/>
                <w:szCs w:val="2"/>
              </w:rPr>
            </w:pPr>
            <w:r w:rsidRPr="00603D8A">
              <w:rPr>
                <w:sz w:val="2"/>
                <w:szCs w:val="2"/>
              </w:rPr>
              <w:t>Single service</w:t>
            </w:r>
          </w:p>
        </w:tc>
        <w:tc>
          <w:tcPr>
            <w:tcW w:w="777" w:type="dxa"/>
            <w:noWrap/>
            <w:hideMark/>
          </w:tcPr>
          <w:p w14:paraId="5713E2D0" w14:textId="77777777" w:rsidR="00603D8A" w:rsidRPr="00603D8A" w:rsidRDefault="00603D8A" w:rsidP="00603D8A">
            <w:pPr>
              <w:pStyle w:val="Source"/>
              <w:rPr>
                <w:sz w:val="2"/>
                <w:szCs w:val="2"/>
              </w:rPr>
            </w:pPr>
            <w:r w:rsidRPr="00603D8A">
              <w:rPr>
                <w:sz w:val="2"/>
                <w:szCs w:val="2"/>
              </w:rPr>
              <w:t>65%</w:t>
            </w:r>
          </w:p>
        </w:tc>
        <w:tc>
          <w:tcPr>
            <w:tcW w:w="1535" w:type="dxa"/>
            <w:noWrap/>
            <w:hideMark/>
          </w:tcPr>
          <w:p w14:paraId="30F131AF" w14:textId="77777777" w:rsidR="00603D8A" w:rsidRPr="00603D8A" w:rsidRDefault="00603D8A" w:rsidP="00603D8A">
            <w:pPr>
              <w:pStyle w:val="Source"/>
              <w:rPr>
                <w:sz w:val="2"/>
                <w:szCs w:val="2"/>
              </w:rPr>
            </w:pPr>
            <w:r w:rsidRPr="00603D8A">
              <w:rPr>
                <w:sz w:val="2"/>
                <w:szCs w:val="2"/>
              </w:rPr>
              <w:t>63%</w:t>
            </w:r>
          </w:p>
        </w:tc>
        <w:tc>
          <w:tcPr>
            <w:tcW w:w="356" w:type="dxa"/>
            <w:noWrap/>
            <w:hideMark/>
          </w:tcPr>
          <w:p w14:paraId="300BE489" w14:textId="77777777" w:rsidR="00603D8A" w:rsidRPr="00603D8A" w:rsidRDefault="00603D8A" w:rsidP="00603D8A">
            <w:pPr>
              <w:pStyle w:val="Source"/>
              <w:rPr>
                <w:sz w:val="2"/>
                <w:szCs w:val="2"/>
              </w:rPr>
            </w:pPr>
            <w:r w:rsidRPr="00603D8A">
              <w:rPr>
                <w:sz w:val="2"/>
                <w:szCs w:val="2"/>
              </w:rPr>
              <w:t>68%</w:t>
            </w:r>
          </w:p>
        </w:tc>
      </w:tr>
      <w:tr w:rsidR="00603D8A" w:rsidRPr="00603D8A" w14:paraId="448872DF" w14:textId="77777777" w:rsidTr="00603D8A">
        <w:trPr>
          <w:trHeight w:val="285"/>
          <w:jc w:val="center"/>
        </w:trPr>
        <w:tc>
          <w:tcPr>
            <w:tcW w:w="3769" w:type="dxa"/>
            <w:noWrap/>
            <w:hideMark/>
          </w:tcPr>
          <w:p w14:paraId="060CC217" w14:textId="77777777" w:rsidR="00603D8A" w:rsidRPr="00603D8A" w:rsidRDefault="00603D8A" w:rsidP="00603D8A">
            <w:pPr>
              <w:pStyle w:val="Source"/>
              <w:rPr>
                <w:sz w:val="2"/>
                <w:szCs w:val="2"/>
              </w:rPr>
            </w:pPr>
          </w:p>
        </w:tc>
        <w:tc>
          <w:tcPr>
            <w:tcW w:w="1618" w:type="dxa"/>
            <w:noWrap/>
            <w:hideMark/>
          </w:tcPr>
          <w:p w14:paraId="327EA8D3" w14:textId="77777777" w:rsidR="00603D8A" w:rsidRPr="00603D8A" w:rsidRDefault="00603D8A" w:rsidP="00603D8A">
            <w:pPr>
              <w:pStyle w:val="Source"/>
              <w:rPr>
                <w:sz w:val="2"/>
                <w:szCs w:val="2"/>
              </w:rPr>
            </w:pPr>
            <w:r w:rsidRPr="00603D8A">
              <w:rPr>
                <w:sz w:val="2"/>
                <w:szCs w:val="2"/>
              </w:rPr>
              <w:t>Multi-service (small)</w:t>
            </w:r>
          </w:p>
        </w:tc>
        <w:tc>
          <w:tcPr>
            <w:tcW w:w="777" w:type="dxa"/>
            <w:noWrap/>
            <w:hideMark/>
          </w:tcPr>
          <w:p w14:paraId="401F7088" w14:textId="77777777" w:rsidR="00603D8A" w:rsidRPr="00603D8A" w:rsidRDefault="00603D8A" w:rsidP="00603D8A">
            <w:pPr>
              <w:pStyle w:val="Source"/>
              <w:rPr>
                <w:sz w:val="2"/>
                <w:szCs w:val="2"/>
              </w:rPr>
            </w:pPr>
            <w:r w:rsidRPr="00603D8A">
              <w:rPr>
                <w:sz w:val="2"/>
                <w:szCs w:val="2"/>
              </w:rPr>
              <w:t>52%</w:t>
            </w:r>
          </w:p>
        </w:tc>
        <w:tc>
          <w:tcPr>
            <w:tcW w:w="1535" w:type="dxa"/>
            <w:noWrap/>
            <w:hideMark/>
          </w:tcPr>
          <w:p w14:paraId="112CEEFF" w14:textId="77777777" w:rsidR="00603D8A" w:rsidRPr="00603D8A" w:rsidRDefault="00603D8A" w:rsidP="00603D8A">
            <w:pPr>
              <w:pStyle w:val="Source"/>
              <w:rPr>
                <w:sz w:val="2"/>
                <w:szCs w:val="2"/>
              </w:rPr>
            </w:pPr>
            <w:r w:rsidRPr="00603D8A">
              <w:rPr>
                <w:sz w:val="2"/>
                <w:szCs w:val="2"/>
              </w:rPr>
              <w:t>62%</w:t>
            </w:r>
          </w:p>
        </w:tc>
        <w:tc>
          <w:tcPr>
            <w:tcW w:w="356" w:type="dxa"/>
            <w:noWrap/>
            <w:hideMark/>
          </w:tcPr>
          <w:p w14:paraId="03D95B19" w14:textId="77777777" w:rsidR="00603D8A" w:rsidRPr="00603D8A" w:rsidRDefault="00603D8A" w:rsidP="00603D8A">
            <w:pPr>
              <w:pStyle w:val="Source"/>
              <w:rPr>
                <w:sz w:val="2"/>
                <w:szCs w:val="2"/>
              </w:rPr>
            </w:pPr>
            <w:r w:rsidRPr="00603D8A">
              <w:rPr>
                <w:sz w:val="2"/>
                <w:szCs w:val="2"/>
              </w:rPr>
              <w:t>47%</w:t>
            </w:r>
          </w:p>
        </w:tc>
      </w:tr>
      <w:tr w:rsidR="00603D8A" w:rsidRPr="00603D8A" w14:paraId="4DD3C0F0" w14:textId="77777777" w:rsidTr="00603D8A">
        <w:trPr>
          <w:trHeight w:val="285"/>
          <w:jc w:val="center"/>
        </w:trPr>
        <w:tc>
          <w:tcPr>
            <w:tcW w:w="3769" w:type="dxa"/>
            <w:noWrap/>
            <w:hideMark/>
          </w:tcPr>
          <w:p w14:paraId="41ABB5F8" w14:textId="77777777" w:rsidR="00603D8A" w:rsidRPr="00603D8A" w:rsidRDefault="00603D8A" w:rsidP="00603D8A">
            <w:pPr>
              <w:pStyle w:val="Source"/>
              <w:rPr>
                <w:sz w:val="2"/>
                <w:szCs w:val="2"/>
              </w:rPr>
            </w:pPr>
          </w:p>
        </w:tc>
        <w:tc>
          <w:tcPr>
            <w:tcW w:w="1618" w:type="dxa"/>
            <w:noWrap/>
            <w:hideMark/>
          </w:tcPr>
          <w:p w14:paraId="7370C694" w14:textId="77777777" w:rsidR="00603D8A" w:rsidRPr="00603D8A" w:rsidRDefault="00603D8A" w:rsidP="00603D8A">
            <w:pPr>
              <w:pStyle w:val="Source"/>
              <w:rPr>
                <w:sz w:val="2"/>
                <w:szCs w:val="2"/>
              </w:rPr>
            </w:pPr>
            <w:r w:rsidRPr="00603D8A">
              <w:rPr>
                <w:sz w:val="2"/>
                <w:szCs w:val="2"/>
              </w:rPr>
              <w:t>Multi-service (large)</w:t>
            </w:r>
          </w:p>
        </w:tc>
        <w:tc>
          <w:tcPr>
            <w:tcW w:w="777" w:type="dxa"/>
            <w:noWrap/>
            <w:hideMark/>
          </w:tcPr>
          <w:p w14:paraId="487F13A7" w14:textId="77777777" w:rsidR="00603D8A" w:rsidRPr="00603D8A" w:rsidRDefault="00603D8A" w:rsidP="00603D8A">
            <w:pPr>
              <w:pStyle w:val="Source"/>
              <w:rPr>
                <w:sz w:val="2"/>
                <w:szCs w:val="2"/>
              </w:rPr>
            </w:pPr>
            <w:r w:rsidRPr="00603D8A">
              <w:rPr>
                <w:sz w:val="2"/>
                <w:szCs w:val="2"/>
              </w:rPr>
              <w:t>65%</w:t>
            </w:r>
          </w:p>
        </w:tc>
        <w:tc>
          <w:tcPr>
            <w:tcW w:w="1535" w:type="dxa"/>
            <w:noWrap/>
            <w:hideMark/>
          </w:tcPr>
          <w:p w14:paraId="4E21B91F" w14:textId="77777777" w:rsidR="00603D8A" w:rsidRPr="00603D8A" w:rsidRDefault="00603D8A" w:rsidP="00603D8A">
            <w:pPr>
              <w:pStyle w:val="Source"/>
              <w:rPr>
                <w:sz w:val="2"/>
                <w:szCs w:val="2"/>
              </w:rPr>
            </w:pPr>
            <w:r w:rsidRPr="00603D8A">
              <w:rPr>
                <w:sz w:val="2"/>
                <w:szCs w:val="2"/>
              </w:rPr>
              <w:t>73%</w:t>
            </w:r>
          </w:p>
        </w:tc>
        <w:tc>
          <w:tcPr>
            <w:tcW w:w="356" w:type="dxa"/>
            <w:noWrap/>
            <w:hideMark/>
          </w:tcPr>
          <w:p w14:paraId="7EC7B0BA" w14:textId="77777777" w:rsidR="00603D8A" w:rsidRPr="00603D8A" w:rsidRDefault="00603D8A" w:rsidP="00603D8A">
            <w:pPr>
              <w:pStyle w:val="Source"/>
              <w:rPr>
                <w:sz w:val="2"/>
                <w:szCs w:val="2"/>
              </w:rPr>
            </w:pPr>
            <w:r w:rsidRPr="00603D8A">
              <w:rPr>
                <w:sz w:val="2"/>
                <w:szCs w:val="2"/>
              </w:rPr>
              <w:t>54%</w:t>
            </w:r>
          </w:p>
        </w:tc>
      </w:tr>
    </w:tbl>
    <w:p w14:paraId="0537B01D" w14:textId="77777777" w:rsidR="00603D8A" w:rsidRDefault="00603D8A" w:rsidP="00887E52">
      <w:pPr>
        <w:pStyle w:val="Source"/>
      </w:pPr>
    </w:p>
    <w:p w14:paraId="7B120EE4" w14:textId="77777777" w:rsidR="00603D8A" w:rsidRDefault="00603D8A" w:rsidP="00887E52">
      <w:pPr>
        <w:pStyle w:val="Source"/>
      </w:pPr>
    </w:p>
    <w:p w14:paraId="632F806A" w14:textId="77777777" w:rsidR="00603D8A" w:rsidRDefault="00603D8A" w:rsidP="00887E52">
      <w:pPr>
        <w:pStyle w:val="Source"/>
      </w:pPr>
    </w:p>
    <w:p w14:paraId="2A607274" w14:textId="77777777" w:rsidR="00603D8A" w:rsidRDefault="00603D8A" w:rsidP="00887E52">
      <w:pPr>
        <w:pStyle w:val="Source"/>
      </w:pPr>
    </w:p>
    <w:p w14:paraId="7818B3C5" w14:textId="77777777" w:rsidR="00603D8A" w:rsidRDefault="00603D8A" w:rsidP="00887E52">
      <w:pPr>
        <w:pStyle w:val="Source"/>
      </w:pPr>
    </w:p>
    <w:p w14:paraId="5B34525A" w14:textId="77777777" w:rsidR="00603D8A" w:rsidRDefault="00603D8A" w:rsidP="00887E52">
      <w:pPr>
        <w:pStyle w:val="Source"/>
      </w:pPr>
    </w:p>
    <w:p w14:paraId="46CD1CAD" w14:textId="77777777" w:rsidR="00603D8A" w:rsidRDefault="00603D8A" w:rsidP="00887E52">
      <w:pPr>
        <w:pStyle w:val="Source"/>
      </w:pPr>
    </w:p>
    <w:p w14:paraId="20781CAC" w14:textId="77777777" w:rsidR="00603D8A" w:rsidRDefault="00603D8A" w:rsidP="00887E52">
      <w:pPr>
        <w:pStyle w:val="Source"/>
      </w:pPr>
    </w:p>
    <w:p w14:paraId="413D7073" w14:textId="77777777" w:rsidR="00603D8A" w:rsidRDefault="00603D8A" w:rsidP="00887E52">
      <w:pPr>
        <w:pStyle w:val="Source"/>
      </w:pPr>
    </w:p>
    <w:p w14:paraId="0DFDF407" w14:textId="77777777" w:rsidR="00603D8A" w:rsidRDefault="00603D8A" w:rsidP="00887E52">
      <w:pPr>
        <w:pStyle w:val="Source"/>
      </w:pPr>
    </w:p>
    <w:p w14:paraId="7E3A6F50" w14:textId="77777777" w:rsidR="00603D8A" w:rsidRDefault="00603D8A" w:rsidP="00887E52">
      <w:pPr>
        <w:pStyle w:val="Source"/>
      </w:pPr>
    </w:p>
    <w:p w14:paraId="55077C73" w14:textId="67E55057" w:rsidR="00F47B0F" w:rsidRPr="00F47B0F" w:rsidRDefault="00F47B0F" w:rsidP="00887E52">
      <w:pPr>
        <w:pStyle w:val="Source"/>
      </w:pPr>
      <w:r w:rsidRPr="00F47B0F">
        <w:t>Source: JSA analysis of Department of Education NWC (2021) and CCS data; ACECQA, National Registers</w:t>
      </w:r>
    </w:p>
    <w:p w14:paraId="1B3E225E" w14:textId="77777777" w:rsidR="00F47B0F" w:rsidRPr="00F47B0F" w:rsidRDefault="00F47B0F" w:rsidP="00F47B0F">
      <w:pPr>
        <w:pStyle w:val="Heading2"/>
      </w:pPr>
      <w:bookmarkStart w:id="111" w:name="_Toc174363706"/>
      <w:r w:rsidRPr="00F47B0F">
        <w:lastRenderedPageBreak/>
        <w:t>Workforce Demand and Hiring Trends</w:t>
      </w:r>
      <w:bookmarkEnd w:id="111"/>
    </w:p>
    <w:p w14:paraId="39B93AC7" w14:textId="77777777" w:rsidR="00F47B0F" w:rsidRPr="00F47B0F" w:rsidRDefault="00F47B0F" w:rsidP="00F47B0F">
      <w:pPr>
        <w:pStyle w:val="Heading3"/>
      </w:pPr>
      <w:r w:rsidRPr="00F47B0F">
        <w:t>Workforce Demand</w:t>
      </w:r>
    </w:p>
    <w:p w14:paraId="1210BAD7" w14:textId="77777777" w:rsidR="00F47B0F" w:rsidRPr="00F47B0F" w:rsidRDefault="00F47B0F" w:rsidP="00F47B0F">
      <w:pPr>
        <w:keepNext/>
        <w:keepLines/>
      </w:pPr>
      <w:r w:rsidRPr="00F47B0F">
        <w:t>Job vacancy information in ECEC can provide insight into workforce shortages, as well as trends in the needs and composition of roles within the sector.</w:t>
      </w:r>
    </w:p>
    <w:p w14:paraId="26DC75B7" w14:textId="77777777" w:rsidR="00F47B0F" w:rsidRPr="00F47B0F" w:rsidRDefault="00F47B0F" w:rsidP="00F47B0F">
      <w:r w:rsidRPr="00F47B0F">
        <w:t xml:space="preserve">This section draws on two JSA data products – the Internet Vacancy Index (IVI) and the Nowcast of Employment by Region and Occupation (NERO) to compare vacancy rates across regions and over time for three ECEC occupations – </w:t>
      </w:r>
      <w:r w:rsidRPr="00F47B0F">
        <w:rPr>
          <w:i/>
        </w:rPr>
        <w:t>Child Carers,</w:t>
      </w:r>
      <w:r w:rsidRPr="00F47B0F">
        <w:t xml:space="preserve"> </w:t>
      </w:r>
      <w:r w:rsidRPr="00F47B0F">
        <w:rPr>
          <w:i/>
        </w:rPr>
        <w:t>Early Childhood Teachers</w:t>
      </w:r>
      <w:r w:rsidRPr="00F47B0F">
        <w:t xml:space="preserve"> and </w:t>
      </w:r>
      <w:r w:rsidRPr="00F47B0F">
        <w:rPr>
          <w:i/>
        </w:rPr>
        <w:t>Child Care Centre Managers</w:t>
      </w:r>
      <w:r w:rsidRPr="00F47B0F">
        <w:t xml:space="preserve">. This extends some of the analysis that appeared in the Productivity Commission draft report. </w:t>
      </w:r>
    </w:p>
    <w:p w14:paraId="729CBC61" w14:textId="77777777" w:rsidR="00F47B0F" w:rsidRPr="00F47B0F" w:rsidRDefault="00F47B0F" w:rsidP="00F47B0F">
      <w:r w:rsidRPr="00F47B0F">
        <w:t xml:space="preserve">Data for NERO and IVI are available from 2015 onward. Capital City SA4s have been aggregated into single regions for this analysis and includes all the SA4s within the greater capital city statistical area. The rest of state SA4s have been allocated into two categories – regional and remote. Remote includes those SA4s that cover outback areas of Queensland, Western Australia, and the Northern Territory, all non-capital city SA4s in South Australia, Far West Orana in NSW, Victoria </w:t>
      </w:r>
      <w:proofErr w:type="gramStart"/>
      <w:r w:rsidRPr="00F47B0F">
        <w:t>North West</w:t>
      </w:r>
      <w:proofErr w:type="gramEnd"/>
      <w:r w:rsidRPr="00F47B0F">
        <w:t xml:space="preserve"> and West and North West Tasmania. All other SA4s have been classified as regional. It should be noted that Darwin and Hobart are classed as capital cities even though they have lower population than some regional SA4s such as the Gold Coast. </w:t>
      </w:r>
    </w:p>
    <w:p w14:paraId="01F3B959" w14:textId="77777777" w:rsidR="00F47B0F" w:rsidRPr="00F47B0F" w:rsidRDefault="00F47B0F" w:rsidP="00F47B0F">
      <w:r w:rsidRPr="00F47B0F">
        <w:fldChar w:fldCharType="begin" w:fldLock="1"/>
      </w:r>
      <w:r w:rsidRPr="00F47B0F">
        <w:instrText xml:space="preserve"> REF _Ref169158867 \h </w:instrText>
      </w:r>
      <w:r w:rsidRPr="00F47B0F">
        <w:fldChar w:fldCharType="separate"/>
      </w:r>
      <w:r w:rsidRPr="00F47B0F">
        <w:t>Figure 2.</w:t>
      </w:r>
      <w:r w:rsidRPr="00F47B0F">
        <w:rPr>
          <w:noProof/>
        </w:rPr>
        <w:t>14</w:t>
      </w:r>
      <w:r w:rsidRPr="00F47B0F">
        <w:fldChar w:fldCharType="end"/>
      </w:r>
      <w:r w:rsidRPr="00F47B0F">
        <w:t xml:space="preserve"> shows the average annual vacancy rate by region category. This shows that while all occupations have experienced a sharp increase in vacancy rate since 2020, the vacancy rate for </w:t>
      </w:r>
      <w:r w:rsidRPr="00F47B0F">
        <w:rPr>
          <w:i/>
        </w:rPr>
        <w:t>Child Carers</w:t>
      </w:r>
      <w:r w:rsidRPr="00F47B0F">
        <w:t xml:space="preserve"> and</w:t>
      </w:r>
      <w:r w:rsidRPr="00F47B0F">
        <w:rPr>
          <w:i/>
        </w:rPr>
        <w:t xml:space="preserve"> Early Childhood Teachers</w:t>
      </w:r>
      <w:r w:rsidRPr="00F47B0F">
        <w:t xml:space="preserve"> in capital cities has been consistently higher than the vacancy rate in regional and remote Australia. </w:t>
      </w:r>
    </w:p>
    <w:p w14:paraId="7E1A3237" w14:textId="77777777" w:rsidR="00F47B0F" w:rsidRPr="00F47B0F" w:rsidRDefault="00F47B0F" w:rsidP="00F47B0F">
      <w:pPr>
        <w:rPr>
          <w:b/>
          <w:bCs/>
          <w:color w:val="auto"/>
          <w:sz w:val="18"/>
          <w:szCs w:val="18"/>
        </w:rPr>
      </w:pPr>
      <w:r w:rsidRPr="00F47B0F">
        <w:fldChar w:fldCharType="begin" w:fldLock="1"/>
      </w:r>
      <w:r w:rsidRPr="00F47B0F">
        <w:instrText xml:space="preserve"> REF _Ref169158878 \h </w:instrText>
      </w:r>
      <w:r w:rsidRPr="00F47B0F">
        <w:fldChar w:fldCharType="separate"/>
      </w:r>
      <w:r w:rsidRPr="00F47B0F">
        <w:t>Figure 2.</w:t>
      </w:r>
      <w:r w:rsidRPr="00F47B0F">
        <w:rPr>
          <w:noProof/>
        </w:rPr>
        <w:t>15</w:t>
      </w:r>
      <w:r w:rsidRPr="00F47B0F">
        <w:fldChar w:fldCharType="end"/>
      </w:r>
      <w:r w:rsidRPr="00F47B0F">
        <w:t xml:space="preserve"> shows the average annual vacancy rate by state or territory. Differences among the states and territories are less consistent and harder to identify, but in general vacancy rates have been lower in Tasmania, South Australia and Northern Territory than the other states and territories and Australia overall. </w:t>
      </w:r>
    </w:p>
    <w:p w14:paraId="4E05729A" w14:textId="77777777" w:rsidR="00F47B0F" w:rsidRPr="00F47B0F" w:rsidRDefault="00F47B0F" w:rsidP="00F47B0F">
      <w:pPr>
        <w:rPr>
          <w:b/>
          <w:bCs/>
          <w:color w:val="auto"/>
          <w:sz w:val="18"/>
          <w:szCs w:val="18"/>
        </w:rPr>
      </w:pPr>
      <w:bookmarkStart w:id="112" w:name="_Ref169158867"/>
      <w:r w:rsidRPr="00F47B0F">
        <w:br w:type="page"/>
      </w:r>
    </w:p>
    <w:p w14:paraId="420A49D9" w14:textId="47E785B5" w:rsidR="00F47B0F" w:rsidRPr="00F47B0F" w:rsidRDefault="00F47B0F" w:rsidP="00887E52">
      <w:pPr>
        <w:pStyle w:val="Caption"/>
      </w:pPr>
      <w:r w:rsidRPr="00F47B0F">
        <w:lastRenderedPageBreak/>
        <w:t>Figure 2</w:t>
      </w:r>
      <w:bookmarkEnd w:id="112"/>
      <w:r w:rsidRPr="00F47B0F">
        <w:t>.</w:t>
      </w:r>
      <w:r w:rsidRPr="00F47B0F">
        <w:fldChar w:fldCharType="begin"/>
      </w:r>
      <w:r w:rsidRPr="00F47B0F">
        <w:instrText xml:space="preserve"> SEQ Figure \* ARABIC \s 1 </w:instrText>
      </w:r>
      <w:r w:rsidRPr="00F47B0F">
        <w:fldChar w:fldCharType="separate"/>
      </w:r>
      <w:r w:rsidR="005F18C1">
        <w:rPr>
          <w:noProof/>
        </w:rPr>
        <w:t>14</w:t>
      </w:r>
      <w:r w:rsidRPr="00F47B0F">
        <w:fldChar w:fldCharType="end"/>
      </w:r>
      <w:r w:rsidRPr="00F47B0F">
        <w:t xml:space="preserve"> Average annual vacancy rate by region for selected ECEC occupations</w:t>
      </w:r>
    </w:p>
    <w:tbl>
      <w:tblPr>
        <w:tblStyle w:val="TableGrid"/>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Description w:val="Figures show change in average annual vacancy by region, with one chart depicting Child Carers / Educators, one Early Childhood Teachers and one Child Care Centre Managers. In all three charts vacancies go up after 2020 with capital city vacancies highest in Child Carers / Educators and Early Childhood Teachers and highest for those in remote areas for Child Care Centre Managers."/>
      </w:tblPr>
      <w:tblGrid>
        <w:gridCol w:w="7710"/>
      </w:tblGrid>
      <w:tr w:rsidR="00F47B0F" w:rsidRPr="00F47B0F" w14:paraId="162EB4D0" w14:textId="77777777" w:rsidTr="005F6ADC">
        <w:trPr>
          <w:trHeight w:val="300"/>
        </w:trPr>
        <w:tc>
          <w:tcPr>
            <w:tcW w:w="7710" w:type="dxa"/>
            <w:tcBorders>
              <w:top w:val="nil"/>
              <w:left w:val="nil"/>
              <w:bottom w:val="nil"/>
              <w:right w:val="nil"/>
            </w:tcBorders>
          </w:tcPr>
          <w:p w14:paraId="1FBFE3C0" w14:textId="77777777" w:rsidR="00F47B0F" w:rsidRPr="00F47B0F" w:rsidRDefault="00F47B0F" w:rsidP="00F47B0F">
            <w:pPr>
              <w:rPr>
                <w:rFonts w:eastAsia="Arial" w:cs="Arial"/>
                <w:b/>
                <w:bCs/>
                <w:i/>
                <w:iCs/>
                <w:sz w:val="20"/>
                <w:szCs w:val="20"/>
              </w:rPr>
            </w:pPr>
            <w:r w:rsidRPr="00F47B0F">
              <w:rPr>
                <w:rFonts w:eastAsia="Arial" w:cs="Arial"/>
                <w:b/>
                <w:bCs/>
                <w:i/>
                <w:iCs/>
                <w:sz w:val="20"/>
                <w:szCs w:val="20"/>
              </w:rPr>
              <w:t>Child Carers</w:t>
            </w:r>
          </w:p>
          <w:p w14:paraId="1F90EF07" w14:textId="77777777" w:rsidR="00F47B0F" w:rsidRPr="00F47B0F" w:rsidRDefault="00F47B0F" w:rsidP="00F47B0F">
            <w:pPr>
              <w:rPr>
                <w:rFonts w:eastAsia="Arial" w:cs="Arial"/>
                <w:i/>
                <w:iCs/>
                <w:sz w:val="20"/>
                <w:szCs w:val="20"/>
              </w:rPr>
            </w:pPr>
            <w:r w:rsidRPr="00F47B0F">
              <w:rPr>
                <w:noProof/>
              </w:rPr>
              <w:drawing>
                <wp:inline distT="0" distB="0" distL="0" distR="0" wp14:anchorId="22351B52" wp14:editId="5AF755A9">
                  <wp:extent cx="4572000" cy="2486025"/>
                  <wp:effectExtent l="0" t="0" r="0" b="9525"/>
                  <wp:docPr id="142606407" name="Chart 1">
                    <a:extLst xmlns:a="http://schemas.openxmlformats.org/drawingml/2006/main">
                      <a:ext uri="{FF2B5EF4-FFF2-40B4-BE49-F238E27FC236}">
                        <a16:creationId xmlns:a16="http://schemas.microsoft.com/office/drawing/2014/main" id="{22820672-D144-A25D-6C03-98EF8FAF9894}"/>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tc>
      </w:tr>
      <w:tr w:rsidR="00F47B0F" w:rsidRPr="00F47B0F" w14:paraId="01FCC433" w14:textId="77777777" w:rsidTr="005F6ADC">
        <w:trPr>
          <w:trHeight w:val="300"/>
        </w:trPr>
        <w:tc>
          <w:tcPr>
            <w:tcW w:w="7710" w:type="dxa"/>
            <w:tcBorders>
              <w:top w:val="nil"/>
              <w:left w:val="nil"/>
              <w:bottom w:val="nil"/>
              <w:right w:val="nil"/>
            </w:tcBorders>
          </w:tcPr>
          <w:p w14:paraId="18DB5E2A" w14:textId="77777777" w:rsidR="00F47B0F" w:rsidRPr="00F47B0F" w:rsidRDefault="00F47B0F" w:rsidP="00F47B0F">
            <w:pPr>
              <w:rPr>
                <w:rFonts w:eastAsia="Arial" w:cs="Arial"/>
                <w:b/>
                <w:bCs/>
                <w:i/>
                <w:iCs/>
                <w:sz w:val="20"/>
                <w:szCs w:val="20"/>
              </w:rPr>
            </w:pPr>
          </w:p>
          <w:p w14:paraId="32B8397D" w14:textId="77777777" w:rsidR="00F47B0F" w:rsidRPr="00F47B0F" w:rsidRDefault="00F47B0F" w:rsidP="00F47B0F">
            <w:pPr>
              <w:rPr>
                <w:rFonts w:eastAsia="Arial" w:cs="Arial"/>
                <w:b/>
                <w:bCs/>
                <w:i/>
                <w:iCs/>
                <w:sz w:val="20"/>
                <w:szCs w:val="20"/>
              </w:rPr>
            </w:pPr>
            <w:r w:rsidRPr="00F47B0F">
              <w:rPr>
                <w:rFonts w:eastAsia="Arial" w:cs="Arial"/>
                <w:b/>
                <w:bCs/>
                <w:i/>
                <w:iCs/>
                <w:sz w:val="20"/>
                <w:szCs w:val="20"/>
              </w:rPr>
              <w:t>Early Childhood Teachers</w:t>
            </w:r>
          </w:p>
          <w:p w14:paraId="60824E25" w14:textId="77777777" w:rsidR="00F47B0F" w:rsidRPr="00F47B0F" w:rsidRDefault="00F47B0F" w:rsidP="00F47B0F">
            <w:pPr>
              <w:rPr>
                <w:rFonts w:eastAsia="Arial" w:cs="Arial"/>
                <w:i/>
                <w:iCs/>
                <w:sz w:val="20"/>
                <w:szCs w:val="20"/>
              </w:rPr>
            </w:pPr>
            <w:r w:rsidRPr="00F47B0F">
              <w:rPr>
                <w:noProof/>
              </w:rPr>
              <w:drawing>
                <wp:inline distT="0" distB="0" distL="0" distR="0" wp14:anchorId="616ADB11" wp14:editId="546635CD">
                  <wp:extent cx="4572000" cy="2505075"/>
                  <wp:effectExtent l="0" t="0" r="0" b="9525"/>
                  <wp:docPr id="1409607298" name="Chart 1">
                    <a:extLst xmlns:a="http://schemas.openxmlformats.org/drawingml/2006/main">
                      <a:ext uri="{FF2B5EF4-FFF2-40B4-BE49-F238E27FC236}">
                        <a16:creationId xmlns:a16="http://schemas.microsoft.com/office/drawing/2014/main" id="{C505F1FC-4AA4-EEED-CADF-1674881A1263}"/>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tc>
      </w:tr>
      <w:tr w:rsidR="00F47B0F" w:rsidRPr="00F47B0F" w14:paraId="60FAF965" w14:textId="77777777" w:rsidTr="005F6ADC">
        <w:trPr>
          <w:trHeight w:val="300"/>
        </w:trPr>
        <w:tc>
          <w:tcPr>
            <w:tcW w:w="7710" w:type="dxa"/>
            <w:tcBorders>
              <w:top w:val="nil"/>
              <w:left w:val="nil"/>
              <w:bottom w:val="nil"/>
              <w:right w:val="nil"/>
            </w:tcBorders>
          </w:tcPr>
          <w:p w14:paraId="58FF9B70" w14:textId="77777777" w:rsidR="00F47B0F" w:rsidRPr="00F47B0F" w:rsidRDefault="00F47B0F" w:rsidP="00F47B0F">
            <w:pPr>
              <w:spacing w:before="240"/>
              <w:rPr>
                <w:rFonts w:eastAsia="Arial" w:cs="Arial"/>
                <w:i/>
                <w:iCs/>
                <w:sz w:val="20"/>
                <w:szCs w:val="20"/>
              </w:rPr>
            </w:pPr>
            <w:r w:rsidRPr="00F47B0F">
              <w:rPr>
                <w:rFonts w:eastAsia="Arial" w:cs="Arial"/>
                <w:b/>
                <w:bCs/>
                <w:i/>
                <w:iCs/>
                <w:sz w:val="20"/>
                <w:szCs w:val="20"/>
              </w:rPr>
              <w:t>Child Care Centre Managers</w:t>
            </w:r>
            <w:r w:rsidRPr="00F47B0F">
              <w:rPr>
                <w:noProof/>
              </w:rPr>
              <w:drawing>
                <wp:inline distT="0" distB="0" distL="0" distR="0" wp14:anchorId="022CE04A" wp14:editId="456AB08C">
                  <wp:extent cx="4572000" cy="2486025"/>
                  <wp:effectExtent l="0" t="0" r="0" b="9525"/>
                  <wp:docPr id="1691572867" name="Chart 1">
                    <a:extLst xmlns:a="http://schemas.openxmlformats.org/drawingml/2006/main">
                      <a:ext uri="{FF2B5EF4-FFF2-40B4-BE49-F238E27FC236}">
                        <a16:creationId xmlns:a16="http://schemas.microsoft.com/office/drawing/2014/main" id="{61083AD5-EA3C-6143-80B7-B2D21F5F8526}"/>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tc>
      </w:tr>
    </w:tbl>
    <w:p w14:paraId="173E8324" w14:textId="77777777" w:rsidR="00F47B0F" w:rsidRPr="00F47B0F" w:rsidRDefault="00F47B0F" w:rsidP="00887E52">
      <w:pPr>
        <w:pStyle w:val="Source"/>
        <w:rPr>
          <w:b/>
          <w:bCs/>
        </w:rPr>
      </w:pPr>
      <w:r w:rsidRPr="00F47B0F">
        <w:t>Source: JSA IVI and NERO</w:t>
      </w:r>
    </w:p>
    <w:p w14:paraId="5439C1B0" w14:textId="1F1BCB56" w:rsidR="00F47B0F" w:rsidRPr="00F47B0F" w:rsidRDefault="00F47B0F" w:rsidP="00887E52">
      <w:pPr>
        <w:pStyle w:val="Caption"/>
      </w:pPr>
      <w:bookmarkStart w:id="113" w:name="_Ref169158878"/>
      <w:r w:rsidRPr="00F47B0F">
        <w:lastRenderedPageBreak/>
        <w:t>Figure 2</w:t>
      </w:r>
      <w:bookmarkEnd w:id="113"/>
      <w:r w:rsidRPr="00F47B0F">
        <w:t>.</w:t>
      </w:r>
      <w:r w:rsidRPr="00F47B0F">
        <w:fldChar w:fldCharType="begin"/>
      </w:r>
      <w:r w:rsidRPr="00F47B0F">
        <w:instrText xml:space="preserve"> SEQ Figure \* ARABIC \s 1 </w:instrText>
      </w:r>
      <w:r w:rsidRPr="00F47B0F">
        <w:fldChar w:fldCharType="separate"/>
      </w:r>
      <w:r w:rsidR="005F18C1">
        <w:rPr>
          <w:noProof/>
        </w:rPr>
        <w:t>15</w:t>
      </w:r>
      <w:r w:rsidRPr="00F47B0F">
        <w:fldChar w:fldCharType="end"/>
      </w:r>
      <w:r w:rsidRPr="00F47B0F">
        <w:t xml:space="preserve"> Average annual vacancy rates by state/territory for selected ECEC occupations, 2015-2023</w:t>
      </w:r>
    </w:p>
    <w:p w14:paraId="46C84CF6" w14:textId="77777777" w:rsidR="00F47B0F" w:rsidRPr="00F47B0F" w:rsidRDefault="00F47B0F" w:rsidP="00F47B0F">
      <w:pPr>
        <w:spacing w:after="0"/>
        <w:rPr>
          <w:rFonts w:eastAsia="Arial" w:cs="Arial"/>
          <w:b/>
          <w:bCs/>
          <w:i/>
          <w:iCs/>
          <w:sz w:val="20"/>
          <w:szCs w:val="20"/>
        </w:rPr>
      </w:pPr>
      <w:r w:rsidRPr="00F47B0F">
        <w:rPr>
          <w:rFonts w:eastAsia="Arial" w:cs="Arial"/>
          <w:b/>
          <w:bCs/>
          <w:i/>
          <w:iCs/>
          <w:sz w:val="20"/>
          <w:szCs w:val="20"/>
        </w:rPr>
        <w:t>Child Carers</w:t>
      </w:r>
    </w:p>
    <w:p w14:paraId="0D3D52E9" w14:textId="77777777" w:rsidR="00F47B0F" w:rsidRPr="00F47B0F" w:rsidRDefault="00F47B0F" w:rsidP="00F47B0F">
      <w:pPr>
        <w:rPr>
          <w:rFonts w:eastAsia="Arial" w:cs="Arial"/>
          <w:sz w:val="18"/>
          <w:szCs w:val="18"/>
        </w:rPr>
      </w:pPr>
      <w:r w:rsidRPr="00F47B0F">
        <w:rPr>
          <w:noProof/>
        </w:rPr>
        <w:drawing>
          <wp:inline distT="0" distB="0" distL="0" distR="0" wp14:anchorId="6EE1596A" wp14:editId="0AC4F1D3">
            <wp:extent cx="4524375" cy="2420781"/>
            <wp:effectExtent l="0" t="0" r="9525" b="17780"/>
            <wp:docPr id="1072142591" name="Chart 1" descr="Figures show change in average annual vacancy by state and territory, with one chart depicting Educators, one Early Childhood Teachers and one Child Care Centre Managers. Increase in percentages were significant after the pandemic for all occupations with ECT vacancies the highest across the three occupations and ACT ECT vacancy rates the highest in 2023 followed by Victoria. High rate of vacancy for Child Care Centre Managers in WA, much above other state rates of vacancy.">
              <a:extLst xmlns:a="http://schemas.openxmlformats.org/drawingml/2006/main">
                <a:ext uri="{FF2B5EF4-FFF2-40B4-BE49-F238E27FC236}">
                  <a16:creationId xmlns:a16="http://schemas.microsoft.com/office/drawing/2014/main" id="{FD6C3D99-1EAF-4631-AFE1-4323EB33AAF3}"/>
                </a:ext>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04A26A72" w14:textId="77777777" w:rsidR="00F47B0F" w:rsidRPr="00F47B0F" w:rsidRDefault="00F47B0F" w:rsidP="00F47B0F">
      <w:pPr>
        <w:spacing w:after="0"/>
        <w:rPr>
          <w:rFonts w:eastAsia="Arial" w:cs="Arial"/>
          <w:b/>
          <w:bCs/>
          <w:i/>
          <w:iCs/>
          <w:sz w:val="20"/>
          <w:szCs w:val="20"/>
        </w:rPr>
      </w:pPr>
      <w:r w:rsidRPr="00F47B0F">
        <w:rPr>
          <w:rFonts w:eastAsia="Arial" w:cs="Arial"/>
          <w:b/>
          <w:bCs/>
          <w:i/>
          <w:iCs/>
          <w:sz w:val="20"/>
          <w:szCs w:val="20"/>
        </w:rPr>
        <w:t>Early Childhood Teachers</w:t>
      </w:r>
    </w:p>
    <w:p w14:paraId="65DA5AEC" w14:textId="77777777" w:rsidR="00F47B0F" w:rsidRPr="00F47B0F" w:rsidRDefault="00F47B0F" w:rsidP="00F47B0F">
      <w:pPr>
        <w:rPr>
          <w:rFonts w:eastAsia="Arial" w:cs="Arial"/>
          <w:b/>
          <w:bCs/>
          <w:i/>
          <w:iCs/>
          <w:sz w:val="20"/>
          <w:szCs w:val="20"/>
        </w:rPr>
      </w:pPr>
      <w:r w:rsidRPr="00F47B0F">
        <w:rPr>
          <w:noProof/>
        </w:rPr>
        <w:drawing>
          <wp:inline distT="0" distB="0" distL="0" distR="0" wp14:anchorId="137CCB5E" wp14:editId="12C5EEC9">
            <wp:extent cx="4572000" cy="2230502"/>
            <wp:effectExtent l="0" t="0" r="0" b="17780"/>
            <wp:docPr id="1692012107" name="Chart 1">
              <a:extLst xmlns:a="http://schemas.openxmlformats.org/drawingml/2006/main">
                <a:ext uri="{FF2B5EF4-FFF2-40B4-BE49-F238E27FC236}">
                  <a16:creationId xmlns:a16="http://schemas.microsoft.com/office/drawing/2014/main" id="{61F9B8CD-9AC3-4562-B37D-CA250B43F413}"/>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04DF02D4" w14:textId="77777777" w:rsidR="00F47B0F" w:rsidRPr="00F47B0F" w:rsidRDefault="00F47B0F" w:rsidP="00F47B0F">
      <w:pPr>
        <w:spacing w:after="0"/>
        <w:rPr>
          <w:rFonts w:eastAsia="Arial" w:cs="Arial"/>
          <w:b/>
          <w:i/>
          <w:sz w:val="20"/>
          <w:szCs w:val="20"/>
        </w:rPr>
      </w:pPr>
      <w:r w:rsidRPr="00F47B0F">
        <w:rPr>
          <w:rFonts w:eastAsia="Arial" w:cs="Arial"/>
          <w:b/>
          <w:bCs/>
          <w:i/>
          <w:iCs/>
          <w:sz w:val="20"/>
          <w:szCs w:val="20"/>
        </w:rPr>
        <w:t>Child Care Centre Managers</w:t>
      </w:r>
    </w:p>
    <w:p w14:paraId="7A7C327D" w14:textId="77777777" w:rsidR="00F47B0F" w:rsidRPr="00F47B0F" w:rsidRDefault="00F47B0F" w:rsidP="00F47B0F">
      <w:pPr>
        <w:rPr>
          <w:rFonts w:eastAsia="Arial" w:cs="Arial"/>
          <w:sz w:val="18"/>
          <w:szCs w:val="18"/>
        </w:rPr>
      </w:pPr>
      <w:r w:rsidRPr="00F47B0F">
        <w:rPr>
          <w:noProof/>
        </w:rPr>
        <w:drawing>
          <wp:inline distT="0" distB="0" distL="0" distR="0" wp14:anchorId="513717CE" wp14:editId="4E663DDB">
            <wp:extent cx="4572000" cy="2463066"/>
            <wp:effectExtent l="0" t="0" r="0" b="13970"/>
            <wp:docPr id="8769442" name="Chart 1">
              <a:extLst xmlns:a="http://schemas.openxmlformats.org/drawingml/2006/main">
                <a:ext uri="{FF2B5EF4-FFF2-40B4-BE49-F238E27FC236}">
                  <a16:creationId xmlns:a16="http://schemas.microsoft.com/office/drawing/2014/main" id="{4CD5B729-FD1D-4999-89B0-09C7618F716C}"/>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09A9DD73" w14:textId="77777777" w:rsidR="00F47B0F" w:rsidRPr="00F47B0F" w:rsidRDefault="00F47B0F" w:rsidP="00887E52">
      <w:pPr>
        <w:pStyle w:val="Source"/>
      </w:pPr>
      <w:r w:rsidRPr="00F47B0F">
        <w:t>Source: JSA IVI and NERO</w:t>
      </w:r>
    </w:p>
    <w:p w14:paraId="54A137F4" w14:textId="77777777" w:rsidR="00F47B0F" w:rsidRPr="00F47B0F" w:rsidRDefault="00F47B0F" w:rsidP="00F47B0F">
      <w:r w:rsidRPr="00F47B0F">
        <w:lastRenderedPageBreak/>
        <w:t xml:space="preserve">However, regional labour markets across Australia are very distinct and there can be significant variation between states and territories. </w:t>
      </w:r>
      <w:r w:rsidRPr="00F47B0F">
        <w:fldChar w:fldCharType="begin" w:fldLock="1"/>
      </w:r>
      <w:r w:rsidRPr="00F47B0F">
        <w:instrText xml:space="preserve"> REF _Ref169158378 \h </w:instrText>
      </w:r>
      <w:r w:rsidRPr="00F47B0F">
        <w:fldChar w:fldCharType="separate"/>
      </w:r>
      <w:r w:rsidRPr="00F47B0F">
        <w:t>Table 2.</w:t>
      </w:r>
      <w:r w:rsidRPr="00F47B0F">
        <w:rPr>
          <w:noProof/>
        </w:rPr>
        <w:t>6</w:t>
      </w:r>
      <w:r w:rsidRPr="00F47B0F">
        <w:fldChar w:fldCharType="end"/>
      </w:r>
      <w:r w:rsidRPr="00F47B0F">
        <w:t xml:space="preserve"> shows the regions with the 5 largest and 5 lowest vacancy rates for each of the three ECEC occupations. </w:t>
      </w:r>
    </w:p>
    <w:p w14:paraId="47EC67CD" w14:textId="22CC7FB0" w:rsidR="00F47B0F" w:rsidRPr="00F47B0F" w:rsidRDefault="00F47B0F" w:rsidP="00F47B0F">
      <w:r w:rsidRPr="00F47B0F">
        <w:t xml:space="preserve">Western Australian and Queensland regions, both capital city and regional, feature frequently on the regions with the highest vacancy rates, alongside regional Victorian areas. Vacancy rates for </w:t>
      </w:r>
      <w:r w:rsidRPr="00F47B0F">
        <w:rPr>
          <w:i/>
          <w:iCs/>
        </w:rPr>
        <w:t>Early Childhood Teachers</w:t>
      </w:r>
      <w:r w:rsidRPr="00F47B0F">
        <w:t xml:space="preserve"> appear to be greater in certain regional areas than metropolitan areas and Australia overall. </w:t>
      </w:r>
    </w:p>
    <w:p w14:paraId="53570D58" w14:textId="77777777" w:rsidR="00F47B0F" w:rsidRPr="00F47B0F" w:rsidRDefault="00F47B0F" w:rsidP="00F47B0F">
      <w:r w:rsidRPr="00F47B0F">
        <w:t xml:space="preserve">Consistent with the state and territory results, </w:t>
      </w:r>
      <w:proofErr w:type="gramStart"/>
      <w:r w:rsidRPr="00F47B0F">
        <w:t>a number of</w:t>
      </w:r>
      <w:proofErr w:type="gramEnd"/>
      <w:r w:rsidRPr="00F47B0F">
        <w:t xml:space="preserve"> regions from South Australia and Tasmania feature among those with the lowest vacancy rates. However, outer suburban areas of </w:t>
      </w:r>
      <w:proofErr w:type="gramStart"/>
      <w:r w:rsidRPr="00F47B0F">
        <w:t>South East</w:t>
      </w:r>
      <w:proofErr w:type="gramEnd"/>
      <w:r w:rsidRPr="00F47B0F">
        <w:t xml:space="preserve"> Queensland and Victoria are also represented. This may </w:t>
      </w:r>
      <w:proofErr w:type="gramStart"/>
      <w:r w:rsidRPr="00F47B0F">
        <w:t>be connected with</w:t>
      </w:r>
      <w:proofErr w:type="gramEnd"/>
      <w:r w:rsidRPr="00F47B0F">
        <w:t xml:space="preserve"> other drivers such as women’s workforce participation, working hours, and post-school attainment.</w:t>
      </w:r>
    </w:p>
    <w:p w14:paraId="4DA7DC0F" w14:textId="10255DBA" w:rsidR="00F47B0F" w:rsidRPr="00F47B0F" w:rsidRDefault="00F47B0F" w:rsidP="00887E52">
      <w:pPr>
        <w:pStyle w:val="Caption"/>
      </w:pPr>
      <w:bookmarkStart w:id="114" w:name="_Ref169103463"/>
      <w:bookmarkStart w:id="115" w:name="_Ref169158378"/>
      <w:r w:rsidRPr="00F47B0F">
        <w:t>Table 2.</w:t>
      </w:r>
      <w:r w:rsidRPr="00F47B0F">
        <w:fldChar w:fldCharType="begin"/>
      </w:r>
      <w:r w:rsidRPr="00F47B0F">
        <w:instrText xml:space="preserve"> SEQ Table \* ARABIC \s 1 </w:instrText>
      </w:r>
      <w:r w:rsidRPr="00F47B0F">
        <w:fldChar w:fldCharType="separate"/>
      </w:r>
      <w:r w:rsidR="005F18C1">
        <w:rPr>
          <w:noProof/>
        </w:rPr>
        <w:t>6</w:t>
      </w:r>
      <w:r w:rsidRPr="00F47B0F">
        <w:fldChar w:fldCharType="end"/>
      </w:r>
      <w:bookmarkEnd w:id="114"/>
      <w:bookmarkEnd w:id="115"/>
      <w:r w:rsidRPr="00F47B0F">
        <w:t xml:space="preserve"> Regions with highest and lowest average annual vacancy rate (2023), selected ECEC occupations</w:t>
      </w:r>
    </w:p>
    <w:tbl>
      <w:tblPr>
        <w:tblStyle w:val="TableGrid"/>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405"/>
        <w:gridCol w:w="1500"/>
        <w:gridCol w:w="945"/>
        <w:gridCol w:w="1119"/>
        <w:gridCol w:w="816"/>
        <w:gridCol w:w="1230"/>
        <w:gridCol w:w="945"/>
        <w:gridCol w:w="1080"/>
        <w:gridCol w:w="930"/>
      </w:tblGrid>
      <w:tr w:rsidR="00F47B0F" w:rsidRPr="00F47B0F" w14:paraId="32DCD9CF" w14:textId="77777777" w:rsidTr="005F6ADC">
        <w:trPr>
          <w:trHeight w:val="300"/>
        </w:trPr>
        <w:tc>
          <w:tcPr>
            <w:tcW w:w="405" w:type="dxa"/>
            <w:tcBorders>
              <w:top w:val="nil"/>
              <w:left w:val="nil"/>
              <w:bottom w:val="nil"/>
              <w:right w:val="nil"/>
            </w:tcBorders>
            <w:tcMar>
              <w:left w:w="105" w:type="dxa"/>
              <w:right w:w="105" w:type="dxa"/>
            </w:tcMar>
          </w:tcPr>
          <w:p w14:paraId="3BB2054A" w14:textId="77777777" w:rsidR="00F47B0F" w:rsidRPr="00F47B0F" w:rsidRDefault="00F47B0F" w:rsidP="00F47B0F">
            <w:pPr>
              <w:rPr>
                <w:rFonts w:eastAsia="Arial" w:cs="Arial"/>
                <w:sz w:val="20"/>
                <w:szCs w:val="20"/>
              </w:rPr>
            </w:pPr>
          </w:p>
        </w:tc>
        <w:tc>
          <w:tcPr>
            <w:tcW w:w="1500" w:type="dxa"/>
            <w:tcBorders>
              <w:top w:val="nil"/>
              <w:left w:val="nil"/>
              <w:bottom w:val="nil"/>
              <w:right w:val="nil"/>
            </w:tcBorders>
            <w:shd w:val="clear" w:color="auto" w:fill="ECF1BC" w:themeFill="background2" w:themeFillTint="66"/>
            <w:tcMar>
              <w:left w:w="105" w:type="dxa"/>
              <w:right w:w="105" w:type="dxa"/>
            </w:tcMar>
          </w:tcPr>
          <w:p w14:paraId="3781B98E" w14:textId="77777777" w:rsidR="00F47B0F" w:rsidRPr="00F47B0F" w:rsidRDefault="00F47B0F" w:rsidP="00F47B0F">
            <w:pPr>
              <w:rPr>
                <w:rFonts w:eastAsia="Arial" w:cs="Arial"/>
                <w:sz w:val="20"/>
                <w:szCs w:val="20"/>
              </w:rPr>
            </w:pPr>
            <w:r w:rsidRPr="00F47B0F">
              <w:rPr>
                <w:rFonts w:eastAsia="Arial" w:cs="Arial"/>
                <w:b/>
                <w:bCs/>
                <w:sz w:val="20"/>
                <w:szCs w:val="20"/>
              </w:rPr>
              <w:t>Region</w:t>
            </w:r>
          </w:p>
        </w:tc>
        <w:tc>
          <w:tcPr>
            <w:tcW w:w="945" w:type="dxa"/>
            <w:tcBorders>
              <w:top w:val="nil"/>
              <w:left w:val="nil"/>
              <w:bottom w:val="nil"/>
              <w:right w:val="nil"/>
            </w:tcBorders>
            <w:shd w:val="clear" w:color="auto" w:fill="ECF1BC" w:themeFill="background2" w:themeFillTint="66"/>
            <w:tcMar>
              <w:left w:w="105" w:type="dxa"/>
              <w:right w:w="105" w:type="dxa"/>
            </w:tcMar>
          </w:tcPr>
          <w:p w14:paraId="06B855FB" w14:textId="77777777" w:rsidR="00F47B0F" w:rsidRPr="00F47B0F" w:rsidRDefault="00F47B0F" w:rsidP="00F47B0F">
            <w:pPr>
              <w:rPr>
                <w:rFonts w:eastAsia="Arial" w:cs="Arial"/>
                <w:sz w:val="20"/>
                <w:szCs w:val="20"/>
              </w:rPr>
            </w:pPr>
            <w:r w:rsidRPr="00F47B0F">
              <w:rPr>
                <w:rFonts w:eastAsia="Arial" w:cs="Arial"/>
                <w:b/>
                <w:bCs/>
                <w:sz w:val="20"/>
                <w:szCs w:val="20"/>
              </w:rPr>
              <w:t>State</w:t>
            </w:r>
          </w:p>
        </w:tc>
        <w:tc>
          <w:tcPr>
            <w:tcW w:w="1119" w:type="dxa"/>
            <w:tcBorders>
              <w:top w:val="nil"/>
              <w:left w:val="nil"/>
              <w:bottom w:val="nil"/>
              <w:right w:val="nil"/>
            </w:tcBorders>
            <w:shd w:val="clear" w:color="auto" w:fill="ECF1BC" w:themeFill="background2" w:themeFillTint="66"/>
            <w:tcMar>
              <w:left w:w="105" w:type="dxa"/>
              <w:right w:w="105" w:type="dxa"/>
            </w:tcMar>
          </w:tcPr>
          <w:p w14:paraId="68C7260B" w14:textId="77777777" w:rsidR="00F47B0F" w:rsidRPr="00F47B0F" w:rsidRDefault="00F47B0F" w:rsidP="00F47B0F">
            <w:pPr>
              <w:rPr>
                <w:rFonts w:eastAsia="Arial" w:cs="Arial"/>
                <w:sz w:val="20"/>
                <w:szCs w:val="20"/>
              </w:rPr>
            </w:pPr>
            <w:r w:rsidRPr="00F47B0F">
              <w:rPr>
                <w:rFonts w:eastAsia="Arial" w:cs="Arial"/>
                <w:b/>
                <w:bCs/>
                <w:sz w:val="20"/>
                <w:szCs w:val="20"/>
              </w:rPr>
              <w:t>Type</w:t>
            </w:r>
          </w:p>
        </w:tc>
        <w:tc>
          <w:tcPr>
            <w:tcW w:w="816" w:type="dxa"/>
            <w:tcBorders>
              <w:top w:val="nil"/>
              <w:left w:val="nil"/>
              <w:bottom w:val="nil"/>
              <w:right w:val="nil"/>
            </w:tcBorders>
            <w:shd w:val="clear" w:color="auto" w:fill="ECF1BC" w:themeFill="background2" w:themeFillTint="66"/>
            <w:tcMar>
              <w:left w:w="105" w:type="dxa"/>
              <w:right w:w="105" w:type="dxa"/>
            </w:tcMar>
          </w:tcPr>
          <w:p w14:paraId="3B0B661D" w14:textId="77777777" w:rsidR="00F47B0F" w:rsidRPr="00F47B0F" w:rsidRDefault="00F47B0F" w:rsidP="00F47B0F">
            <w:pPr>
              <w:rPr>
                <w:rFonts w:eastAsia="Arial" w:cs="Arial"/>
                <w:sz w:val="20"/>
                <w:szCs w:val="20"/>
              </w:rPr>
            </w:pPr>
            <w:r w:rsidRPr="00F47B0F">
              <w:rPr>
                <w:rFonts w:eastAsia="Arial" w:cs="Arial"/>
                <w:b/>
                <w:bCs/>
                <w:sz w:val="20"/>
                <w:szCs w:val="20"/>
              </w:rPr>
              <w:t>Rate</w:t>
            </w:r>
          </w:p>
        </w:tc>
        <w:tc>
          <w:tcPr>
            <w:tcW w:w="1230" w:type="dxa"/>
            <w:tcBorders>
              <w:top w:val="nil"/>
              <w:left w:val="nil"/>
              <w:bottom w:val="nil"/>
              <w:right w:val="nil"/>
            </w:tcBorders>
            <w:shd w:val="clear" w:color="auto" w:fill="E3EB9B" w:themeFill="background2" w:themeFillTint="99"/>
            <w:tcMar>
              <w:left w:w="105" w:type="dxa"/>
              <w:right w:w="105" w:type="dxa"/>
            </w:tcMar>
          </w:tcPr>
          <w:p w14:paraId="3F593283" w14:textId="77777777" w:rsidR="00F47B0F" w:rsidRPr="00F47B0F" w:rsidRDefault="00F47B0F" w:rsidP="00F47B0F">
            <w:pPr>
              <w:rPr>
                <w:rFonts w:eastAsia="Arial" w:cs="Arial"/>
                <w:sz w:val="20"/>
                <w:szCs w:val="20"/>
              </w:rPr>
            </w:pPr>
            <w:r w:rsidRPr="00F47B0F">
              <w:rPr>
                <w:rFonts w:eastAsia="Arial" w:cs="Arial"/>
                <w:b/>
                <w:bCs/>
                <w:sz w:val="20"/>
                <w:szCs w:val="20"/>
              </w:rPr>
              <w:t>Region</w:t>
            </w:r>
          </w:p>
        </w:tc>
        <w:tc>
          <w:tcPr>
            <w:tcW w:w="945" w:type="dxa"/>
            <w:tcBorders>
              <w:top w:val="nil"/>
              <w:left w:val="nil"/>
              <w:bottom w:val="nil"/>
              <w:right w:val="nil"/>
            </w:tcBorders>
            <w:shd w:val="clear" w:color="auto" w:fill="E3EB9B" w:themeFill="background2" w:themeFillTint="99"/>
            <w:tcMar>
              <w:left w:w="105" w:type="dxa"/>
              <w:right w:w="105" w:type="dxa"/>
            </w:tcMar>
          </w:tcPr>
          <w:p w14:paraId="5BF3AC79" w14:textId="77777777" w:rsidR="00F47B0F" w:rsidRPr="00F47B0F" w:rsidRDefault="00F47B0F" w:rsidP="00F47B0F">
            <w:pPr>
              <w:rPr>
                <w:rFonts w:eastAsia="Arial" w:cs="Arial"/>
                <w:sz w:val="20"/>
                <w:szCs w:val="20"/>
              </w:rPr>
            </w:pPr>
            <w:r w:rsidRPr="00F47B0F">
              <w:rPr>
                <w:rFonts w:eastAsia="Arial" w:cs="Arial"/>
                <w:b/>
                <w:bCs/>
                <w:sz w:val="20"/>
                <w:szCs w:val="20"/>
              </w:rPr>
              <w:t>State</w:t>
            </w:r>
          </w:p>
        </w:tc>
        <w:tc>
          <w:tcPr>
            <w:tcW w:w="1080" w:type="dxa"/>
            <w:tcBorders>
              <w:top w:val="nil"/>
              <w:left w:val="nil"/>
              <w:bottom w:val="nil"/>
              <w:right w:val="nil"/>
            </w:tcBorders>
            <w:shd w:val="clear" w:color="auto" w:fill="E3EB9B" w:themeFill="background2" w:themeFillTint="99"/>
            <w:tcMar>
              <w:left w:w="105" w:type="dxa"/>
              <w:right w:w="105" w:type="dxa"/>
            </w:tcMar>
          </w:tcPr>
          <w:p w14:paraId="2E2C727A" w14:textId="77777777" w:rsidR="00F47B0F" w:rsidRPr="00F47B0F" w:rsidRDefault="00F47B0F" w:rsidP="00F47B0F">
            <w:pPr>
              <w:rPr>
                <w:rFonts w:eastAsia="Arial" w:cs="Arial"/>
                <w:sz w:val="20"/>
                <w:szCs w:val="20"/>
              </w:rPr>
            </w:pPr>
            <w:r w:rsidRPr="00F47B0F">
              <w:rPr>
                <w:rFonts w:eastAsia="Arial" w:cs="Arial"/>
                <w:b/>
                <w:bCs/>
                <w:sz w:val="20"/>
                <w:szCs w:val="20"/>
              </w:rPr>
              <w:t>Type</w:t>
            </w:r>
          </w:p>
        </w:tc>
        <w:tc>
          <w:tcPr>
            <w:tcW w:w="930" w:type="dxa"/>
            <w:tcBorders>
              <w:top w:val="nil"/>
              <w:left w:val="nil"/>
              <w:bottom w:val="nil"/>
              <w:right w:val="nil"/>
            </w:tcBorders>
            <w:shd w:val="clear" w:color="auto" w:fill="E3EB9B" w:themeFill="background2" w:themeFillTint="99"/>
            <w:tcMar>
              <w:left w:w="105" w:type="dxa"/>
              <w:right w:w="105" w:type="dxa"/>
            </w:tcMar>
          </w:tcPr>
          <w:p w14:paraId="7A3087F6" w14:textId="77777777" w:rsidR="00F47B0F" w:rsidRPr="00F47B0F" w:rsidRDefault="00F47B0F" w:rsidP="00F47B0F">
            <w:pPr>
              <w:rPr>
                <w:rFonts w:eastAsia="Arial" w:cs="Arial"/>
                <w:sz w:val="20"/>
                <w:szCs w:val="20"/>
              </w:rPr>
            </w:pPr>
            <w:r w:rsidRPr="00F47B0F">
              <w:rPr>
                <w:rFonts w:eastAsia="Arial" w:cs="Arial"/>
                <w:b/>
                <w:bCs/>
                <w:sz w:val="20"/>
                <w:szCs w:val="20"/>
              </w:rPr>
              <w:t>Rate</w:t>
            </w:r>
          </w:p>
        </w:tc>
      </w:tr>
      <w:tr w:rsidR="00F47B0F" w:rsidRPr="00F47B0F" w14:paraId="0053D09C" w14:textId="77777777" w:rsidTr="005F6ADC">
        <w:trPr>
          <w:trHeight w:val="300"/>
        </w:trPr>
        <w:tc>
          <w:tcPr>
            <w:tcW w:w="405" w:type="dxa"/>
            <w:tcBorders>
              <w:top w:val="nil"/>
              <w:left w:val="nil"/>
              <w:bottom w:val="nil"/>
              <w:right w:val="nil"/>
            </w:tcBorders>
            <w:tcMar>
              <w:left w:w="105" w:type="dxa"/>
              <w:right w:w="105" w:type="dxa"/>
            </w:tcMar>
          </w:tcPr>
          <w:p w14:paraId="5D9CB456" w14:textId="77777777" w:rsidR="00F47B0F" w:rsidRPr="00F47B0F" w:rsidRDefault="00F47B0F" w:rsidP="00F47B0F">
            <w:pPr>
              <w:rPr>
                <w:rFonts w:eastAsia="Arial" w:cs="Arial"/>
                <w:sz w:val="20"/>
                <w:szCs w:val="20"/>
              </w:rPr>
            </w:pPr>
          </w:p>
        </w:tc>
        <w:tc>
          <w:tcPr>
            <w:tcW w:w="4380" w:type="dxa"/>
            <w:gridSpan w:val="4"/>
            <w:tcBorders>
              <w:top w:val="nil"/>
              <w:left w:val="nil"/>
              <w:bottom w:val="nil"/>
              <w:right w:val="nil"/>
            </w:tcBorders>
            <w:shd w:val="clear" w:color="auto" w:fill="ECF1BC" w:themeFill="background2" w:themeFillTint="66"/>
            <w:tcMar>
              <w:left w:w="105" w:type="dxa"/>
              <w:right w:w="105" w:type="dxa"/>
            </w:tcMar>
          </w:tcPr>
          <w:p w14:paraId="5FBF34C9" w14:textId="77777777" w:rsidR="00F47B0F" w:rsidRPr="00F47B0F" w:rsidRDefault="00F47B0F" w:rsidP="00F47B0F">
            <w:pPr>
              <w:jc w:val="center"/>
              <w:rPr>
                <w:rFonts w:eastAsia="Arial" w:cs="Arial"/>
                <w:sz w:val="20"/>
                <w:szCs w:val="20"/>
              </w:rPr>
            </w:pPr>
            <w:r w:rsidRPr="00F47B0F">
              <w:rPr>
                <w:rFonts w:eastAsia="Arial" w:cs="Arial"/>
                <w:b/>
                <w:bCs/>
                <w:sz w:val="20"/>
                <w:szCs w:val="20"/>
              </w:rPr>
              <w:t>Highest</w:t>
            </w:r>
          </w:p>
        </w:tc>
        <w:tc>
          <w:tcPr>
            <w:tcW w:w="4185" w:type="dxa"/>
            <w:gridSpan w:val="4"/>
            <w:tcBorders>
              <w:top w:val="nil"/>
              <w:left w:val="nil"/>
              <w:bottom w:val="nil"/>
              <w:right w:val="nil"/>
            </w:tcBorders>
            <w:shd w:val="clear" w:color="auto" w:fill="E3EB9B" w:themeFill="background2" w:themeFillTint="99"/>
            <w:tcMar>
              <w:left w:w="105" w:type="dxa"/>
              <w:right w:w="105" w:type="dxa"/>
            </w:tcMar>
          </w:tcPr>
          <w:p w14:paraId="4558F24A" w14:textId="77777777" w:rsidR="00F47B0F" w:rsidRPr="00F47B0F" w:rsidRDefault="00F47B0F" w:rsidP="00F47B0F">
            <w:pPr>
              <w:jc w:val="center"/>
              <w:rPr>
                <w:rFonts w:eastAsia="Arial" w:cs="Arial"/>
                <w:sz w:val="20"/>
                <w:szCs w:val="20"/>
              </w:rPr>
            </w:pPr>
            <w:r w:rsidRPr="00F47B0F">
              <w:rPr>
                <w:rFonts w:eastAsia="Arial" w:cs="Arial"/>
                <w:b/>
                <w:bCs/>
                <w:sz w:val="20"/>
                <w:szCs w:val="20"/>
              </w:rPr>
              <w:t>Lowest</w:t>
            </w:r>
          </w:p>
        </w:tc>
      </w:tr>
      <w:tr w:rsidR="00F47B0F" w:rsidRPr="00F47B0F" w14:paraId="0FEDCC3B" w14:textId="77777777" w:rsidTr="005F6ADC">
        <w:trPr>
          <w:trHeight w:val="300"/>
        </w:trPr>
        <w:tc>
          <w:tcPr>
            <w:tcW w:w="8970" w:type="dxa"/>
            <w:gridSpan w:val="9"/>
            <w:tcBorders>
              <w:top w:val="nil"/>
              <w:left w:val="nil"/>
              <w:bottom w:val="nil"/>
              <w:right w:val="nil"/>
            </w:tcBorders>
            <w:tcMar>
              <w:left w:w="105" w:type="dxa"/>
              <w:right w:w="105" w:type="dxa"/>
            </w:tcMar>
          </w:tcPr>
          <w:p w14:paraId="2A76AE57" w14:textId="77777777" w:rsidR="00F47B0F" w:rsidRPr="00F47B0F" w:rsidRDefault="00F47B0F" w:rsidP="00F47B0F">
            <w:pPr>
              <w:rPr>
                <w:rFonts w:eastAsia="Arial" w:cs="Arial"/>
                <w:sz w:val="20"/>
                <w:szCs w:val="20"/>
              </w:rPr>
            </w:pPr>
          </w:p>
          <w:p w14:paraId="260B05E4" w14:textId="77777777" w:rsidR="00F47B0F" w:rsidRPr="00F47B0F" w:rsidRDefault="00F47B0F" w:rsidP="00F47B0F">
            <w:pPr>
              <w:rPr>
                <w:rFonts w:eastAsia="Arial" w:cs="Arial"/>
                <w:sz w:val="20"/>
                <w:szCs w:val="20"/>
              </w:rPr>
            </w:pPr>
            <w:r w:rsidRPr="00F47B0F">
              <w:rPr>
                <w:rFonts w:eastAsia="Arial" w:cs="Arial"/>
                <w:b/>
                <w:bCs/>
                <w:sz w:val="20"/>
                <w:szCs w:val="20"/>
              </w:rPr>
              <w:t>Child Carer</w:t>
            </w:r>
          </w:p>
        </w:tc>
      </w:tr>
      <w:tr w:rsidR="00F47B0F" w:rsidRPr="00F47B0F" w14:paraId="3EA9B31B" w14:textId="77777777" w:rsidTr="005F6ADC">
        <w:trPr>
          <w:trHeight w:val="300"/>
        </w:trPr>
        <w:tc>
          <w:tcPr>
            <w:tcW w:w="405" w:type="dxa"/>
            <w:tcBorders>
              <w:top w:val="nil"/>
              <w:left w:val="nil"/>
              <w:bottom w:val="nil"/>
              <w:right w:val="nil"/>
            </w:tcBorders>
            <w:tcMar>
              <w:left w:w="105" w:type="dxa"/>
              <w:right w:w="105" w:type="dxa"/>
            </w:tcMar>
          </w:tcPr>
          <w:p w14:paraId="30C0A317" w14:textId="77777777" w:rsidR="00F47B0F" w:rsidRPr="00F47B0F" w:rsidRDefault="00F47B0F" w:rsidP="00F47B0F">
            <w:pPr>
              <w:rPr>
                <w:rFonts w:eastAsia="Arial" w:cs="Arial"/>
                <w:sz w:val="20"/>
                <w:szCs w:val="20"/>
              </w:rPr>
            </w:pPr>
            <w:r w:rsidRPr="00F47B0F">
              <w:rPr>
                <w:rFonts w:eastAsia="Arial" w:cs="Arial"/>
                <w:sz w:val="20"/>
                <w:szCs w:val="20"/>
              </w:rPr>
              <w:t>1</w:t>
            </w:r>
          </w:p>
        </w:tc>
        <w:tc>
          <w:tcPr>
            <w:tcW w:w="1500" w:type="dxa"/>
            <w:tcBorders>
              <w:top w:val="nil"/>
              <w:left w:val="nil"/>
              <w:bottom w:val="nil"/>
              <w:right w:val="nil"/>
            </w:tcBorders>
            <w:shd w:val="clear" w:color="auto" w:fill="ECF1BC" w:themeFill="background2" w:themeFillTint="66"/>
            <w:tcMar>
              <w:left w:w="105" w:type="dxa"/>
              <w:right w:w="105" w:type="dxa"/>
            </w:tcMar>
          </w:tcPr>
          <w:p w14:paraId="693D70E9" w14:textId="77777777" w:rsidR="00F47B0F" w:rsidRPr="00F47B0F" w:rsidRDefault="00F47B0F" w:rsidP="00F47B0F">
            <w:pPr>
              <w:rPr>
                <w:rFonts w:eastAsia="Arial" w:cs="Arial"/>
                <w:sz w:val="18"/>
                <w:szCs w:val="18"/>
              </w:rPr>
            </w:pPr>
            <w:r w:rsidRPr="00F47B0F">
              <w:rPr>
                <w:rFonts w:eastAsia="Arial" w:cs="Arial"/>
                <w:sz w:val="18"/>
                <w:szCs w:val="18"/>
              </w:rPr>
              <w:t>Brisbane</w:t>
            </w:r>
          </w:p>
        </w:tc>
        <w:tc>
          <w:tcPr>
            <w:tcW w:w="945" w:type="dxa"/>
            <w:tcBorders>
              <w:top w:val="nil"/>
              <w:left w:val="nil"/>
              <w:bottom w:val="nil"/>
              <w:right w:val="nil"/>
            </w:tcBorders>
            <w:shd w:val="clear" w:color="auto" w:fill="ECF1BC" w:themeFill="background2" w:themeFillTint="66"/>
            <w:tcMar>
              <w:left w:w="105" w:type="dxa"/>
              <w:right w:w="105" w:type="dxa"/>
            </w:tcMar>
          </w:tcPr>
          <w:p w14:paraId="75218663" w14:textId="77777777" w:rsidR="00F47B0F" w:rsidRPr="00F47B0F" w:rsidRDefault="00F47B0F" w:rsidP="00F47B0F">
            <w:pPr>
              <w:rPr>
                <w:rFonts w:eastAsia="Arial" w:cs="Arial"/>
                <w:sz w:val="18"/>
                <w:szCs w:val="18"/>
              </w:rPr>
            </w:pPr>
            <w:r w:rsidRPr="00F47B0F">
              <w:rPr>
                <w:rFonts w:eastAsia="Arial" w:cs="Arial"/>
                <w:sz w:val="18"/>
                <w:szCs w:val="18"/>
              </w:rPr>
              <w:t>QLD</w:t>
            </w:r>
          </w:p>
        </w:tc>
        <w:tc>
          <w:tcPr>
            <w:tcW w:w="1119" w:type="dxa"/>
            <w:tcBorders>
              <w:top w:val="nil"/>
              <w:left w:val="nil"/>
              <w:bottom w:val="nil"/>
              <w:right w:val="nil"/>
            </w:tcBorders>
            <w:shd w:val="clear" w:color="auto" w:fill="ECF1BC" w:themeFill="background2" w:themeFillTint="66"/>
            <w:tcMar>
              <w:left w:w="105" w:type="dxa"/>
              <w:right w:w="105" w:type="dxa"/>
            </w:tcMar>
          </w:tcPr>
          <w:p w14:paraId="222D8BD0" w14:textId="77777777" w:rsidR="00F47B0F" w:rsidRPr="00F47B0F" w:rsidRDefault="00F47B0F" w:rsidP="00F47B0F">
            <w:pPr>
              <w:rPr>
                <w:rFonts w:eastAsia="Arial" w:cs="Arial"/>
                <w:sz w:val="18"/>
                <w:szCs w:val="18"/>
              </w:rPr>
            </w:pPr>
            <w:r w:rsidRPr="00F47B0F">
              <w:rPr>
                <w:rFonts w:eastAsia="Arial" w:cs="Arial"/>
                <w:sz w:val="18"/>
                <w:szCs w:val="18"/>
              </w:rPr>
              <w:t>Capital</w:t>
            </w:r>
          </w:p>
        </w:tc>
        <w:tc>
          <w:tcPr>
            <w:tcW w:w="816" w:type="dxa"/>
            <w:tcBorders>
              <w:top w:val="nil"/>
              <w:left w:val="nil"/>
              <w:bottom w:val="nil"/>
              <w:right w:val="nil"/>
            </w:tcBorders>
            <w:shd w:val="clear" w:color="auto" w:fill="ECF1BC" w:themeFill="background2" w:themeFillTint="66"/>
            <w:tcMar>
              <w:left w:w="105" w:type="dxa"/>
              <w:right w:w="105" w:type="dxa"/>
            </w:tcMar>
          </w:tcPr>
          <w:p w14:paraId="48596A2D" w14:textId="77777777" w:rsidR="00F47B0F" w:rsidRPr="00F47B0F" w:rsidRDefault="00F47B0F" w:rsidP="00F47B0F">
            <w:pPr>
              <w:rPr>
                <w:rFonts w:eastAsia="Arial" w:cs="Arial"/>
                <w:sz w:val="18"/>
                <w:szCs w:val="18"/>
              </w:rPr>
            </w:pPr>
            <w:r w:rsidRPr="00F47B0F">
              <w:rPr>
                <w:rFonts w:eastAsia="Arial" w:cs="Arial"/>
                <w:sz w:val="18"/>
                <w:szCs w:val="18"/>
              </w:rPr>
              <w:t>5.4%</w:t>
            </w:r>
          </w:p>
        </w:tc>
        <w:tc>
          <w:tcPr>
            <w:tcW w:w="1230" w:type="dxa"/>
            <w:tcBorders>
              <w:top w:val="nil"/>
              <w:left w:val="nil"/>
              <w:bottom w:val="nil"/>
              <w:right w:val="nil"/>
            </w:tcBorders>
            <w:shd w:val="clear" w:color="auto" w:fill="E3EB9B" w:themeFill="background2" w:themeFillTint="99"/>
            <w:tcMar>
              <w:left w:w="105" w:type="dxa"/>
              <w:right w:w="105" w:type="dxa"/>
            </w:tcMar>
          </w:tcPr>
          <w:p w14:paraId="294B225B" w14:textId="77777777" w:rsidR="00F47B0F" w:rsidRPr="00F47B0F" w:rsidRDefault="00F47B0F" w:rsidP="00F47B0F">
            <w:pPr>
              <w:rPr>
                <w:rFonts w:eastAsia="Arial" w:cs="Arial"/>
                <w:sz w:val="18"/>
                <w:szCs w:val="18"/>
              </w:rPr>
            </w:pPr>
            <w:r w:rsidRPr="00F47B0F">
              <w:rPr>
                <w:rFonts w:eastAsia="Arial" w:cs="Arial"/>
                <w:sz w:val="18"/>
                <w:szCs w:val="18"/>
              </w:rPr>
              <w:t>NT - Outback</w:t>
            </w:r>
          </w:p>
        </w:tc>
        <w:tc>
          <w:tcPr>
            <w:tcW w:w="945" w:type="dxa"/>
            <w:tcBorders>
              <w:top w:val="nil"/>
              <w:left w:val="nil"/>
              <w:bottom w:val="nil"/>
              <w:right w:val="nil"/>
            </w:tcBorders>
            <w:shd w:val="clear" w:color="auto" w:fill="E3EB9B" w:themeFill="background2" w:themeFillTint="99"/>
            <w:tcMar>
              <w:left w:w="105" w:type="dxa"/>
              <w:right w:w="105" w:type="dxa"/>
            </w:tcMar>
          </w:tcPr>
          <w:p w14:paraId="4271C703" w14:textId="77777777" w:rsidR="00F47B0F" w:rsidRPr="00F47B0F" w:rsidRDefault="00F47B0F" w:rsidP="00F47B0F">
            <w:pPr>
              <w:rPr>
                <w:rFonts w:eastAsia="Arial" w:cs="Arial"/>
                <w:sz w:val="18"/>
                <w:szCs w:val="18"/>
              </w:rPr>
            </w:pPr>
            <w:r w:rsidRPr="00F47B0F">
              <w:rPr>
                <w:rFonts w:eastAsia="Arial" w:cs="Arial"/>
                <w:sz w:val="18"/>
                <w:szCs w:val="18"/>
              </w:rPr>
              <w:t>NT</w:t>
            </w:r>
          </w:p>
        </w:tc>
        <w:tc>
          <w:tcPr>
            <w:tcW w:w="1080" w:type="dxa"/>
            <w:tcBorders>
              <w:top w:val="nil"/>
              <w:left w:val="nil"/>
              <w:bottom w:val="nil"/>
              <w:right w:val="nil"/>
            </w:tcBorders>
            <w:shd w:val="clear" w:color="auto" w:fill="E3EB9B" w:themeFill="background2" w:themeFillTint="99"/>
            <w:tcMar>
              <w:left w:w="105" w:type="dxa"/>
              <w:right w:w="105" w:type="dxa"/>
            </w:tcMar>
          </w:tcPr>
          <w:p w14:paraId="21ECA2A5" w14:textId="77777777" w:rsidR="00F47B0F" w:rsidRPr="00F47B0F" w:rsidRDefault="00F47B0F" w:rsidP="00F47B0F">
            <w:pPr>
              <w:rPr>
                <w:rFonts w:eastAsia="Arial" w:cs="Arial"/>
                <w:sz w:val="18"/>
                <w:szCs w:val="18"/>
              </w:rPr>
            </w:pPr>
            <w:r w:rsidRPr="00F47B0F">
              <w:rPr>
                <w:rFonts w:eastAsia="Arial" w:cs="Arial"/>
                <w:sz w:val="18"/>
                <w:szCs w:val="18"/>
              </w:rPr>
              <w:t>Remote</w:t>
            </w:r>
          </w:p>
        </w:tc>
        <w:tc>
          <w:tcPr>
            <w:tcW w:w="930" w:type="dxa"/>
            <w:tcBorders>
              <w:top w:val="nil"/>
              <w:left w:val="nil"/>
              <w:bottom w:val="nil"/>
              <w:right w:val="nil"/>
            </w:tcBorders>
            <w:shd w:val="clear" w:color="auto" w:fill="E3EB9B" w:themeFill="background2" w:themeFillTint="99"/>
            <w:tcMar>
              <w:left w:w="105" w:type="dxa"/>
              <w:right w:w="105" w:type="dxa"/>
            </w:tcMar>
          </w:tcPr>
          <w:p w14:paraId="0E2864A4" w14:textId="77777777" w:rsidR="00F47B0F" w:rsidRPr="00F47B0F" w:rsidRDefault="00F47B0F" w:rsidP="00F47B0F">
            <w:pPr>
              <w:rPr>
                <w:rFonts w:eastAsia="Arial" w:cs="Arial"/>
                <w:sz w:val="18"/>
                <w:szCs w:val="18"/>
              </w:rPr>
            </w:pPr>
            <w:r w:rsidRPr="00F47B0F">
              <w:rPr>
                <w:rFonts w:eastAsia="Arial" w:cs="Arial"/>
                <w:sz w:val="18"/>
                <w:szCs w:val="18"/>
              </w:rPr>
              <w:t>0.8%</w:t>
            </w:r>
          </w:p>
        </w:tc>
      </w:tr>
      <w:tr w:rsidR="00F47B0F" w:rsidRPr="00F47B0F" w14:paraId="432988B4" w14:textId="77777777" w:rsidTr="005F6ADC">
        <w:trPr>
          <w:trHeight w:val="300"/>
        </w:trPr>
        <w:tc>
          <w:tcPr>
            <w:tcW w:w="405" w:type="dxa"/>
            <w:tcBorders>
              <w:top w:val="nil"/>
              <w:left w:val="nil"/>
              <w:bottom w:val="nil"/>
              <w:right w:val="nil"/>
            </w:tcBorders>
            <w:tcMar>
              <w:left w:w="105" w:type="dxa"/>
              <w:right w:w="105" w:type="dxa"/>
            </w:tcMar>
          </w:tcPr>
          <w:p w14:paraId="0F48F03F" w14:textId="77777777" w:rsidR="00F47B0F" w:rsidRPr="00F47B0F" w:rsidRDefault="00F47B0F" w:rsidP="00F47B0F">
            <w:pPr>
              <w:rPr>
                <w:rFonts w:eastAsia="Arial" w:cs="Arial"/>
                <w:sz w:val="20"/>
                <w:szCs w:val="20"/>
              </w:rPr>
            </w:pPr>
            <w:r w:rsidRPr="00F47B0F">
              <w:rPr>
                <w:rFonts w:eastAsia="Arial" w:cs="Arial"/>
                <w:sz w:val="20"/>
                <w:szCs w:val="20"/>
              </w:rPr>
              <w:t>2</w:t>
            </w:r>
          </w:p>
        </w:tc>
        <w:tc>
          <w:tcPr>
            <w:tcW w:w="1500" w:type="dxa"/>
            <w:tcBorders>
              <w:top w:val="nil"/>
              <w:left w:val="nil"/>
              <w:bottom w:val="nil"/>
              <w:right w:val="nil"/>
            </w:tcBorders>
            <w:shd w:val="clear" w:color="auto" w:fill="ECF1BC" w:themeFill="background2" w:themeFillTint="66"/>
            <w:tcMar>
              <w:left w:w="105" w:type="dxa"/>
              <w:right w:w="105" w:type="dxa"/>
            </w:tcMar>
          </w:tcPr>
          <w:p w14:paraId="7C3567C4" w14:textId="77777777" w:rsidR="00F47B0F" w:rsidRPr="00F47B0F" w:rsidRDefault="00F47B0F" w:rsidP="00F47B0F">
            <w:pPr>
              <w:rPr>
                <w:rFonts w:eastAsia="Arial" w:cs="Arial"/>
                <w:sz w:val="18"/>
                <w:szCs w:val="18"/>
              </w:rPr>
            </w:pPr>
            <w:r w:rsidRPr="00F47B0F">
              <w:rPr>
                <w:rFonts w:eastAsia="Arial" w:cs="Arial"/>
                <w:sz w:val="18"/>
                <w:szCs w:val="18"/>
              </w:rPr>
              <w:t>Latrobe - Gippsland</w:t>
            </w:r>
          </w:p>
        </w:tc>
        <w:tc>
          <w:tcPr>
            <w:tcW w:w="945" w:type="dxa"/>
            <w:tcBorders>
              <w:top w:val="nil"/>
              <w:left w:val="nil"/>
              <w:bottom w:val="nil"/>
              <w:right w:val="nil"/>
            </w:tcBorders>
            <w:shd w:val="clear" w:color="auto" w:fill="ECF1BC" w:themeFill="background2" w:themeFillTint="66"/>
            <w:tcMar>
              <w:left w:w="105" w:type="dxa"/>
              <w:right w:w="105" w:type="dxa"/>
            </w:tcMar>
          </w:tcPr>
          <w:p w14:paraId="27DAC3F7" w14:textId="77777777" w:rsidR="00F47B0F" w:rsidRPr="00F47B0F" w:rsidRDefault="00F47B0F" w:rsidP="00F47B0F">
            <w:pPr>
              <w:rPr>
                <w:rFonts w:eastAsia="Arial" w:cs="Arial"/>
                <w:sz w:val="18"/>
                <w:szCs w:val="18"/>
              </w:rPr>
            </w:pPr>
            <w:r w:rsidRPr="00F47B0F">
              <w:rPr>
                <w:rFonts w:eastAsia="Arial" w:cs="Arial"/>
                <w:sz w:val="18"/>
                <w:szCs w:val="18"/>
              </w:rPr>
              <w:t>VIC</w:t>
            </w:r>
          </w:p>
        </w:tc>
        <w:tc>
          <w:tcPr>
            <w:tcW w:w="1119" w:type="dxa"/>
            <w:tcBorders>
              <w:top w:val="nil"/>
              <w:left w:val="nil"/>
              <w:bottom w:val="nil"/>
              <w:right w:val="nil"/>
            </w:tcBorders>
            <w:shd w:val="clear" w:color="auto" w:fill="ECF1BC" w:themeFill="background2" w:themeFillTint="66"/>
            <w:tcMar>
              <w:left w:w="105" w:type="dxa"/>
              <w:right w:w="105" w:type="dxa"/>
            </w:tcMar>
          </w:tcPr>
          <w:p w14:paraId="0E9C94A7" w14:textId="77777777" w:rsidR="00F47B0F" w:rsidRPr="00F47B0F" w:rsidRDefault="00F47B0F" w:rsidP="00F47B0F">
            <w:pPr>
              <w:rPr>
                <w:rFonts w:eastAsia="Arial" w:cs="Arial"/>
                <w:sz w:val="18"/>
                <w:szCs w:val="18"/>
              </w:rPr>
            </w:pPr>
            <w:r w:rsidRPr="00F47B0F">
              <w:rPr>
                <w:rFonts w:eastAsia="Arial" w:cs="Arial"/>
                <w:sz w:val="18"/>
                <w:szCs w:val="18"/>
              </w:rPr>
              <w:t>Regional</w:t>
            </w:r>
          </w:p>
        </w:tc>
        <w:tc>
          <w:tcPr>
            <w:tcW w:w="816" w:type="dxa"/>
            <w:tcBorders>
              <w:top w:val="nil"/>
              <w:left w:val="nil"/>
              <w:bottom w:val="nil"/>
              <w:right w:val="nil"/>
            </w:tcBorders>
            <w:shd w:val="clear" w:color="auto" w:fill="ECF1BC" w:themeFill="background2" w:themeFillTint="66"/>
            <w:tcMar>
              <w:left w:w="105" w:type="dxa"/>
              <w:right w:w="105" w:type="dxa"/>
            </w:tcMar>
          </w:tcPr>
          <w:p w14:paraId="27FF8DCE" w14:textId="77777777" w:rsidR="00F47B0F" w:rsidRPr="00F47B0F" w:rsidRDefault="00F47B0F" w:rsidP="00F47B0F">
            <w:pPr>
              <w:rPr>
                <w:rFonts w:eastAsia="Arial" w:cs="Arial"/>
                <w:sz w:val="18"/>
                <w:szCs w:val="18"/>
              </w:rPr>
            </w:pPr>
            <w:r w:rsidRPr="00F47B0F">
              <w:rPr>
                <w:rFonts w:eastAsia="Arial" w:cs="Arial"/>
                <w:sz w:val="18"/>
                <w:szCs w:val="18"/>
              </w:rPr>
              <w:t>5.0%</w:t>
            </w:r>
          </w:p>
        </w:tc>
        <w:tc>
          <w:tcPr>
            <w:tcW w:w="1230" w:type="dxa"/>
            <w:tcBorders>
              <w:top w:val="nil"/>
              <w:left w:val="nil"/>
              <w:bottom w:val="nil"/>
              <w:right w:val="nil"/>
            </w:tcBorders>
            <w:shd w:val="clear" w:color="auto" w:fill="E3EB9B" w:themeFill="background2" w:themeFillTint="99"/>
            <w:tcMar>
              <w:left w:w="105" w:type="dxa"/>
              <w:right w:w="105" w:type="dxa"/>
            </w:tcMar>
          </w:tcPr>
          <w:p w14:paraId="11EFE816" w14:textId="77777777" w:rsidR="00F47B0F" w:rsidRPr="00F47B0F" w:rsidRDefault="00F47B0F" w:rsidP="00F47B0F">
            <w:pPr>
              <w:rPr>
                <w:rFonts w:eastAsia="Arial" w:cs="Arial"/>
                <w:sz w:val="18"/>
                <w:szCs w:val="18"/>
              </w:rPr>
            </w:pPr>
            <w:r w:rsidRPr="00F47B0F">
              <w:rPr>
                <w:rFonts w:eastAsia="Arial" w:cs="Arial"/>
                <w:sz w:val="18"/>
                <w:szCs w:val="18"/>
              </w:rPr>
              <w:t>SA - Outback</w:t>
            </w:r>
          </w:p>
        </w:tc>
        <w:tc>
          <w:tcPr>
            <w:tcW w:w="945" w:type="dxa"/>
            <w:tcBorders>
              <w:top w:val="nil"/>
              <w:left w:val="nil"/>
              <w:bottom w:val="nil"/>
              <w:right w:val="nil"/>
            </w:tcBorders>
            <w:shd w:val="clear" w:color="auto" w:fill="E3EB9B" w:themeFill="background2" w:themeFillTint="99"/>
            <w:tcMar>
              <w:left w:w="105" w:type="dxa"/>
              <w:right w:w="105" w:type="dxa"/>
            </w:tcMar>
          </w:tcPr>
          <w:p w14:paraId="3BA75C13" w14:textId="77777777" w:rsidR="00F47B0F" w:rsidRPr="00F47B0F" w:rsidRDefault="00F47B0F" w:rsidP="00F47B0F">
            <w:pPr>
              <w:rPr>
                <w:rFonts w:eastAsia="Arial" w:cs="Arial"/>
                <w:sz w:val="18"/>
                <w:szCs w:val="18"/>
              </w:rPr>
            </w:pPr>
            <w:r w:rsidRPr="00F47B0F">
              <w:rPr>
                <w:rFonts w:eastAsia="Arial" w:cs="Arial"/>
                <w:sz w:val="18"/>
                <w:szCs w:val="18"/>
              </w:rPr>
              <w:t>SA</w:t>
            </w:r>
          </w:p>
        </w:tc>
        <w:tc>
          <w:tcPr>
            <w:tcW w:w="1080" w:type="dxa"/>
            <w:tcBorders>
              <w:top w:val="nil"/>
              <w:left w:val="nil"/>
              <w:bottom w:val="nil"/>
              <w:right w:val="nil"/>
            </w:tcBorders>
            <w:shd w:val="clear" w:color="auto" w:fill="E3EB9B" w:themeFill="background2" w:themeFillTint="99"/>
            <w:tcMar>
              <w:left w:w="105" w:type="dxa"/>
              <w:right w:w="105" w:type="dxa"/>
            </w:tcMar>
          </w:tcPr>
          <w:p w14:paraId="1E8414B4" w14:textId="77777777" w:rsidR="00F47B0F" w:rsidRPr="00F47B0F" w:rsidRDefault="00F47B0F" w:rsidP="00F47B0F">
            <w:pPr>
              <w:rPr>
                <w:rFonts w:eastAsia="Arial" w:cs="Arial"/>
                <w:sz w:val="18"/>
                <w:szCs w:val="18"/>
              </w:rPr>
            </w:pPr>
            <w:r w:rsidRPr="00F47B0F">
              <w:rPr>
                <w:rFonts w:eastAsia="Arial" w:cs="Arial"/>
                <w:sz w:val="18"/>
                <w:szCs w:val="18"/>
              </w:rPr>
              <w:t>Remote</w:t>
            </w:r>
          </w:p>
        </w:tc>
        <w:tc>
          <w:tcPr>
            <w:tcW w:w="930" w:type="dxa"/>
            <w:tcBorders>
              <w:top w:val="nil"/>
              <w:left w:val="nil"/>
              <w:bottom w:val="nil"/>
              <w:right w:val="nil"/>
            </w:tcBorders>
            <w:shd w:val="clear" w:color="auto" w:fill="E3EB9B" w:themeFill="background2" w:themeFillTint="99"/>
            <w:tcMar>
              <w:left w:w="105" w:type="dxa"/>
              <w:right w:w="105" w:type="dxa"/>
            </w:tcMar>
          </w:tcPr>
          <w:p w14:paraId="4C1B0206" w14:textId="77777777" w:rsidR="00F47B0F" w:rsidRPr="00F47B0F" w:rsidRDefault="00F47B0F" w:rsidP="00F47B0F">
            <w:pPr>
              <w:rPr>
                <w:rFonts w:eastAsia="Arial" w:cs="Arial"/>
                <w:sz w:val="18"/>
                <w:szCs w:val="18"/>
              </w:rPr>
            </w:pPr>
            <w:r w:rsidRPr="00F47B0F">
              <w:rPr>
                <w:rFonts w:eastAsia="Arial" w:cs="Arial"/>
                <w:sz w:val="18"/>
                <w:szCs w:val="18"/>
              </w:rPr>
              <w:t>0.8%</w:t>
            </w:r>
          </w:p>
        </w:tc>
      </w:tr>
      <w:tr w:rsidR="00F47B0F" w:rsidRPr="00F47B0F" w14:paraId="5E05C9B3" w14:textId="77777777" w:rsidTr="005F6ADC">
        <w:trPr>
          <w:trHeight w:val="300"/>
        </w:trPr>
        <w:tc>
          <w:tcPr>
            <w:tcW w:w="405" w:type="dxa"/>
            <w:tcBorders>
              <w:top w:val="nil"/>
              <w:left w:val="nil"/>
              <w:bottom w:val="nil"/>
              <w:right w:val="nil"/>
            </w:tcBorders>
            <w:tcMar>
              <w:left w:w="105" w:type="dxa"/>
              <w:right w:w="105" w:type="dxa"/>
            </w:tcMar>
          </w:tcPr>
          <w:p w14:paraId="2B6E4A24" w14:textId="77777777" w:rsidR="00F47B0F" w:rsidRPr="00F47B0F" w:rsidRDefault="00F47B0F" w:rsidP="00F47B0F">
            <w:pPr>
              <w:rPr>
                <w:rFonts w:eastAsia="Arial" w:cs="Arial"/>
                <w:sz w:val="20"/>
                <w:szCs w:val="20"/>
              </w:rPr>
            </w:pPr>
            <w:r w:rsidRPr="00F47B0F">
              <w:rPr>
                <w:rFonts w:eastAsia="Arial" w:cs="Arial"/>
                <w:sz w:val="20"/>
                <w:szCs w:val="20"/>
              </w:rPr>
              <w:t>3</w:t>
            </w:r>
          </w:p>
        </w:tc>
        <w:tc>
          <w:tcPr>
            <w:tcW w:w="1500" w:type="dxa"/>
            <w:tcBorders>
              <w:top w:val="nil"/>
              <w:left w:val="nil"/>
              <w:bottom w:val="nil"/>
              <w:right w:val="nil"/>
            </w:tcBorders>
            <w:shd w:val="clear" w:color="auto" w:fill="ECF1BC" w:themeFill="background2" w:themeFillTint="66"/>
            <w:tcMar>
              <w:left w:w="105" w:type="dxa"/>
              <w:right w:w="105" w:type="dxa"/>
            </w:tcMar>
          </w:tcPr>
          <w:p w14:paraId="411F1E5F" w14:textId="77777777" w:rsidR="00F47B0F" w:rsidRPr="00F47B0F" w:rsidRDefault="00F47B0F" w:rsidP="00F47B0F">
            <w:pPr>
              <w:rPr>
                <w:rFonts w:eastAsia="Arial" w:cs="Arial"/>
                <w:sz w:val="18"/>
                <w:szCs w:val="18"/>
              </w:rPr>
            </w:pPr>
            <w:r w:rsidRPr="00F47B0F">
              <w:rPr>
                <w:rFonts w:eastAsia="Arial" w:cs="Arial"/>
                <w:sz w:val="18"/>
                <w:szCs w:val="18"/>
              </w:rPr>
              <w:t>Queensland - Outback</w:t>
            </w:r>
          </w:p>
        </w:tc>
        <w:tc>
          <w:tcPr>
            <w:tcW w:w="945" w:type="dxa"/>
            <w:tcBorders>
              <w:top w:val="nil"/>
              <w:left w:val="nil"/>
              <w:bottom w:val="nil"/>
              <w:right w:val="nil"/>
            </w:tcBorders>
            <w:shd w:val="clear" w:color="auto" w:fill="ECF1BC" w:themeFill="background2" w:themeFillTint="66"/>
            <w:tcMar>
              <w:left w:w="105" w:type="dxa"/>
              <w:right w:w="105" w:type="dxa"/>
            </w:tcMar>
          </w:tcPr>
          <w:p w14:paraId="61DCED70" w14:textId="77777777" w:rsidR="00F47B0F" w:rsidRPr="00F47B0F" w:rsidRDefault="00F47B0F" w:rsidP="00F47B0F">
            <w:pPr>
              <w:rPr>
                <w:rFonts w:eastAsia="Arial" w:cs="Arial"/>
                <w:sz w:val="18"/>
                <w:szCs w:val="18"/>
              </w:rPr>
            </w:pPr>
            <w:r w:rsidRPr="00F47B0F">
              <w:rPr>
                <w:rFonts w:eastAsia="Arial" w:cs="Arial"/>
                <w:sz w:val="18"/>
                <w:szCs w:val="18"/>
              </w:rPr>
              <w:t>QLD</w:t>
            </w:r>
          </w:p>
        </w:tc>
        <w:tc>
          <w:tcPr>
            <w:tcW w:w="1119" w:type="dxa"/>
            <w:tcBorders>
              <w:top w:val="nil"/>
              <w:left w:val="nil"/>
              <w:bottom w:val="nil"/>
              <w:right w:val="nil"/>
            </w:tcBorders>
            <w:shd w:val="clear" w:color="auto" w:fill="ECF1BC" w:themeFill="background2" w:themeFillTint="66"/>
            <w:tcMar>
              <w:left w:w="105" w:type="dxa"/>
              <w:right w:w="105" w:type="dxa"/>
            </w:tcMar>
          </w:tcPr>
          <w:p w14:paraId="738DD41A" w14:textId="77777777" w:rsidR="00F47B0F" w:rsidRPr="00F47B0F" w:rsidRDefault="00F47B0F" w:rsidP="00F47B0F">
            <w:pPr>
              <w:rPr>
                <w:rFonts w:eastAsia="Arial" w:cs="Arial"/>
                <w:sz w:val="18"/>
                <w:szCs w:val="18"/>
              </w:rPr>
            </w:pPr>
            <w:r w:rsidRPr="00F47B0F">
              <w:rPr>
                <w:rFonts w:eastAsia="Arial" w:cs="Arial"/>
                <w:sz w:val="18"/>
                <w:szCs w:val="18"/>
              </w:rPr>
              <w:t>Remote</w:t>
            </w:r>
          </w:p>
        </w:tc>
        <w:tc>
          <w:tcPr>
            <w:tcW w:w="816" w:type="dxa"/>
            <w:tcBorders>
              <w:top w:val="nil"/>
              <w:left w:val="nil"/>
              <w:bottom w:val="nil"/>
              <w:right w:val="nil"/>
            </w:tcBorders>
            <w:shd w:val="clear" w:color="auto" w:fill="ECF1BC" w:themeFill="background2" w:themeFillTint="66"/>
            <w:tcMar>
              <w:left w:w="105" w:type="dxa"/>
              <w:right w:w="105" w:type="dxa"/>
            </w:tcMar>
          </w:tcPr>
          <w:p w14:paraId="230ED14C" w14:textId="77777777" w:rsidR="00F47B0F" w:rsidRPr="00F47B0F" w:rsidRDefault="00F47B0F" w:rsidP="00F47B0F">
            <w:pPr>
              <w:rPr>
                <w:rFonts w:eastAsia="Arial" w:cs="Arial"/>
                <w:sz w:val="18"/>
                <w:szCs w:val="18"/>
              </w:rPr>
            </w:pPr>
            <w:r w:rsidRPr="00F47B0F">
              <w:rPr>
                <w:rFonts w:eastAsia="Arial" w:cs="Arial"/>
                <w:sz w:val="18"/>
                <w:szCs w:val="18"/>
              </w:rPr>
              <w:t>5.0%</w:t>
            </w:r>
          </w:p>
        </w:tc>
        <w:tc>
          <w:tcPr>
            <w:tcW w:w="1230" w:type="dxa"/>
            <w:tcBorders>
              <w:top w:val="nil"/>
              <w:left w:val="nil"/>
              <w:bottom w:val="nil"/>
              <w:right w:val="nil"/>
            </w:tcBorders>
            <w:shd w:val="clear" w:color="auto" w:fill="E3EB9B" w:themeFill="background2" w:themeFillTint="99"/>
            <w:tcMar>
              <w:left w:w="105" w:type="dxa"/>
              <w:right w:w="105" w:type="dxa"/>
            </w:tcMar>
          </w:tcPr>
          <w:p w14:paraId="0A802129" w14:textId="77777777" w:rsidR="00F47B0F" w:rsidRPr="00F47B0F" w:rsidRDefault="00F47B0F" w:rsidP="00F47B0F">
            <w:pPr>
              <w:rPr>
                <w:rFonts w:eastAsia="Arial" w:cs="Arial"/>
                <w:sz w:val="18"/>
                <w:szCs w:val="18"/>
              </w:rPr>
            </w:pPr>
            <w:r w:rsidRPr="00F47B0F">
              <w:rPr>
                <w:rFonts w:eastAsia="Arial" w:cs="Arial"/>
                <w:sz w:val="18"/>
                <w:szCs w:val="18"/>
              </w:rPr>
              <w:t xml:space="preserve">SA - </w:t>
            </w:r>
            <w:proofErr w:type="gramStart"/>
            <w:r w:rsidRPr="00F47B0F">
              <w:rPr>
                <w:rFonts w:eastAsia="Arial" w:cs="Arial"/>
                <w:sz w:val="18"/>
                <w:szCs w:val="18"/>
              </w:rPr>
              <w:t>South East</w:t>
            </w:r>
            <w:proofErr w:type="gramEnd"/>
          </w:p>
        </w:tc>
        <w:tc>
          <w:tcPr>
            <w:tcW w:w="945" w:type="dxa"/>
            <w:tcBorders>
              <w:top w:val="nil"/>
              <w:left w:val="nil"/>
              <w:bottom w:val="nil"/>
              <w:right w:val="nil"/>
            </w:tcBorders>
            <w:shd w:val="clear" w:color="auto" w:fill="E3EB9B" w:themeFill="background2" w:themeFillTint="99"/>
            <w:tcMar>
              <w:left w:w="105" w:type="dxa"/>
              <w:right w:w="105" w:type="dxa"/>
            </w:tcMar>
          </w:tcPr>
          <w:p w14:paraId="7084DF7C" w14:textId="77777777" w:rsidR="00F47B0F" w:rsidRPr="00F47B0F" w:rsidRDefault="00F47B0F" w:rsidP="00F47B0F">
            <w:pPr>
              <w:rPr>
                <w:rFonts w:eastAsia="Arial" w:cs="Arial"/>
                <w:sz w:val="18"/>
                <w:szCs w:val="18"/>
              </w:rPr>
            </w:pPr>
            <w:r w:rsidRPr="00F47B0F">
              <w:rPr>
                <w:rFonts w:eastAsia="Arial" w:cs="Arial"/>
                <w:sz w:val="18"/>
                <w:szCs w:val="18"/>
              </w:rPr>
              <w:t>SA</w:t>
            </w:r>
          </w:p>
        </w:tc>
        <w:tc>
          <w:tcPr>
            <w:tcW w:w="1080" w:type="dxa"/>
            <w:tcBorders>
              <w:top w:val="nil"/>
              <w:left w:val="nil"/>
              <w:bottom w:val="nil"/>
              <w:right w:val="nil"/>
            </w:tcBorders>
            <w:shd w:val="clear" w:color="auto" w:fill="E3EB9B" w:themeFill="background2" w:themeFillTint="99"/>
            <w:tcMar>
              <w:left w:w="105" w:type="dxa"/>
              <w:right w:w="105" w:type="dxa"/>
            </w:tcMar>
          </w:tcPr>
          <w:p w14:paraId="347E7DBA" w14:textId="77777777" w:rsidR="00F47B0F" w:rsidRPr="00F47B0F" w:rsidRDefault="00F47B0F" w:rsidP="00F47B0F">
            <w:pPr>
              <w:rPr>
                <w:rFonts w:eastAsia="Arial" w:cs="Arial"/>
                <w:sz w:val="18"/>
                <w:szCs w:val="18"/>
              </w:rPr>
            </w:pPr>
            <w:r w:rsidRPr="00F47B0F">
              <w:rPr>
                <w:rFonts w:eastAsia="Arial" w:cs="Arial"/>
                <w:sz w:val="18"/>
                <w:szCs w:val="18"/>
              </w:rPr>
              <w:t>Remote</w:t>
            </w:r>
          </w:p>
        </w:tc>
        <w:tc>
          <w:tcPr>
            <w:tcW w:w="930" w:type="dxa"/>
            <w:tcBorders>
              <w:top w:val="nil"/>
              <w:left w:val="nil"/>
              <w:bottom w:val="nil"/>
              <w:right w:val="nil"/>
            </w:tcBorders>
            <w:shd w:val="clear" w:color="auto" w:fill="E3EB9B" w:themeFill="background2" w:themeFillTint="99"/>
            <w:tcMar>
              <w:left w:w="105" w:type="dxa"/>
              <w:right w:w="105" w:type="dxa"/>
            </w:tcMar>
          </w:tcPr>
          <w:p w14:paraId="73AA0EC6" w14:textId="77777777" w:rsidR="00F47B0F" w:rsidRPr="00F47B0F" w:rsidRDefault="00F47B0F" w:rsidP="00F47B0F">
            <w:pPr>
              <w:rPr>
                <w:rFonts w:eastAsia="Arial" w:cs="Arial"/>
                <w:sz w:val="18"/>
                <w:szCs w:val="18"/>
              </w:rPr>
            </w:pPr>
            <w:r w:rsidRPr="00F47B0F">
              <w:rPr>
                <w:rFonts w:eastAsia="Arial" w:cs="Arial"/>
                <w:sz w:val="18"/>
                <w:szCs w:val="18"/>
              </w:rPr>
              <w:t>0.9%</w:t>
            </w:r>
          </w:p>
        </w:tc>
      </w:tr>
      <w:tr w:rsidR="00F47B0F" w:rsidRPr="00F47B0F" w14:paraId="455CC235" w14:textId="77777777" w:rsidTr="005F6ADC">
        <w:trPr>
          <w:trHeight w:val="300"/>
        </w:trPr>
        <w:tc>
          <w:tcPr>
            <w:tcW w:w="405" w:type="dxa"/>
            <w:tcBorders>
              <w:top w:val="nil"/>
              <w:left w:val="nil"/>
              <w:bottom w:val="nil"/>
              <w:right w:val="nil"/>
            </w:tcBorders>
            <w:tcMar>
              <w:left w:w="105" w:type="dxa"/>
              <w:right w:w="105" w:type="dxa"/>
            </w:tcMar>
          </w:tcPr>
          <w:p w14:paraId="1F17B6F7" w14:textId="77777777" w:rsidR="00F47B0F" w:rsidRPr="00F47B0F" w:rsidRDefault="00F47B0F" w:rsidP="00F47B0F">
            <w:pPr>
              <w:rPr>
                <w:rFonts w:eastAsia="Arial" w:cs="Arial"/>
                <w:sz w:val="20"/>
                <w:szCs w:val="20"/>
              </w:rPr>
            </w:pPr>
            <w:r w:rsidRPr="00F47B0F">
              <w:rPr>
                <w:rFonts w:eastAsia="Arial" w:cs="Arial"/>
                <w:sz w:val="20"/>
                <w:szCs w:val="20"/>
              </w:rPr>
              <w:t>4</w:t>
            </w:r>
          </w:p>
        </w:tc>
        <w:tc>
          <w:tcPr>
            <w:tcW w:w="1500" w:type="dxa"/>
            <w:tcBorders>
              <w:top w:val="nil"/>
              <w:left w:val="nil"/>
              <w:bottom w:val="nil"/>
              <w:right w:val="nil"/>
            </w:tcBorders>
            <w:shd w:val="clear" w:color="auto" w:fill="ECF1BC" w:themeFill="background2" w:themeFillTint="66"/>
            <w:tcMar>
              <w:left w:w="105" w:type="dxa"/>
              <w:right w:w="105" w:type="dxa"/>
            </w:tcMar>
          </w:tcPr>
          <w:p w14:paraId="6BD2DA86" w14:textId="77777777" w:rsidR="00F47B0F" w:rsidRPr="00F47B0F" w:rsidRDefault="00F47B0F" w:rsidP="00F47B0F">
            <w:pPr>
              <w:rPr>
                <w:rFonts w:eastAsia="Arial" w:cs="Arial"/>
                <w:sz w:val="18"/>
                <w:szCs w:val="18"/>
              </w:rPr>
            </w:pPr>
            <w:r w:rsidRPr="00F47B0F">
              <w:rPr>
                <w:rFonts w:eastAsia="Arial" w:cs="Arial"/>
                <w:sz w:val="18"/>
                <w:szCs w:val="18"/>
              </w:rPr>
              <w:t>Perth</w:t>
            </w:r>
          </w:p>
        </w:tc>
        <w:tc>
          <w:tcPr>
            <w:tcW w:w="945" w:type="dxa"/>
            <w:tcBorders>
              <w:top w:val="nil"/>
              <w:left w:val="nil"/>
              <w:bottom w:val="nil"/>
              <w:right w:val="nil"/>
            </w:tcBorders>
            <w:shd w:val="clear" w:color="auto" w:fill="ECF1BC" w:themeFill="background2" w:themeFillTint="66"/>
            <w:tcMar>
              <w:left w:w="105" w:type="dxa"/>
              <w:right w:w="105" w:type="dxa"/>
            </w:tcMar>
          </w:tcPr>
          <w:p w14:paraId="13163ABF" w14:textId="77777777" w:rsidR="00F47B0F" w:rsidRPr="00F47B0F" w:rsidRDefault="00F47B0F" w:rsidP="00F47B0F">
            <w:pPr>
              <w:rPr>
                <w:rFonts w:eastAsia="Arial" w:cs="Arial"/>
                <w:sz w:val="18"/>
                <w:szCs w:val="18"/>
              </w:rPr>
            </w:pPr>
            <w:r w:rsidRPr="00F47B0F">
              <w:rPr>
                <w:rFonts w:eastAsia="Arial" w:cs="Arial"/>
                <w:sz w:val="18"/>
                <w:szCs w:val="18"/>
              </w:rPr>
              <w:t>WA</w:t>
            </w:r>
          </w:p>
        </w:tc>
        <w:tc>
          <w:tcPr>
            <w:tcW w:w="1119" w:type="dxa"/>
            <w:tcBorders>
              <w:top w:val="nil"/>
              <w:left w:val="nil"/>
              <w:bottom w:val="nil"/>
              <w:right w:val="nil"/>
            </w:tcBorders>
            <w:shd w:val="clear" w:color="auto" w:fill="ECF1BC" w:themeFill="background2" w:themeFillTint="66"/>
            <w:tcMar>
              <w:left w:w="105" w:type="dxa"/>
              <w:right w:w="105" w:type="dxa"/>
            </w:tcMar>
          </w:tcPr>
          <w:p w14:paraId="56D872CC" w14:textId="77777777" w:rsidR="00F47B0F" w:rsidRPr="00F47B0F" w:rsidRDefault="00F47B0F" w:rsidP="00F47B0F">
            <w:pPr>
              <w:rPr>
                <w:rFonts w:eastAsia="Arial" w:cs="Arial"/>
                <w:sz w:val="18"/>
                <w:szCs w:val="18"/>
              </w:rPr>
            </w:pPr>
            <w:r w:rsidRPr="00F47B0F">
              <w:rPr>
                <w:rFonts w:eastAsia="Arial" w:cs="Arial"/>
                <w:sz w:val="18"/>
                <w:szCs w:val="18"/>
              </w:rPr>
              <w:t>Capital</w:t>
            </w:r>
          </w:p>
        </w:tc>
        <w:tc>
          <w:tcPr>
            <w:tcW w:w="816" w:type="dxa"/>
            <w:tcBorders>
              <w:top w:val="nil"/>
              <w:left w:val="nil"/>
              <w:bottom w:val="nil"/>
              <w:right w:val="nil"/>
            </w:tcBorders>
            <w:shd w:val="clear" w:color="auto" w:fill="ECF1BC" w:themeFill="background2" w:themeFillTint="66"/>
            <w:tcMar>
              <w:left w:w="105" w:type="dxa"/>
              <w:right w:w="105" w:type="dxa"/>
            </w:tcMar>
          </w:tcPr>
          <w:p w14:paraId="48B8EBE7" w14:textId="77777777" w:rsidR="00F47B0F" w:rsidRPr="00F47B0F" w:rsidRDefault="00F47B0F" w:rsidP="00F47B0F">
            <w:pPr>
              <w:rPr>
                <w:rFonts w:eastAsia="Arial" w:cs="Arial"/>
                <w:sz w:val="18"/>
                <w:szCs w:val="18"/>
              </w:rPr>
            </w:pPr>
            <w:r w:rsidRPr="00F47B0F">
              <w:rPr>
                <w:rFonts w:eastAsia="Arial" w:cs="Arial"/>
                <w:sz w:val="18"/>
                <w:szCs w:val="18"/>
              </w:rPr>
              <w:t>4.2%</w:t>
            </w:r>
          </w:p>
        </w:tc>
        <w:tc>
          <w:tcPr>
            <w:tcW w:w="1230" w:type="dxa"/>
            <w:tcBorders>
              <w:top w:val="nil"/>
              <w:left w:val="nil"/>
              <w:bottom w:val="nil"/>
              <w:right w:val="nil"/>
            </w:tcBorders>
            <w:shd w:val="clear" w:color="auto" w:fill="E3EB9B" w:themeFill="background2" w:themeFillTint="99"/>
            <w:tcMar>
              <w:left w:w="105" w:type="dxa"/>
              <w:right w:w="105" w:type="dxa"/>
            </w:tcMar>
          </w:tcPr>
          <w:p w14:paraId="793ED70E" w14:textId="77777777" w:rsidR="00F47B0F" w:rsidRPr="00F47B0F" w:rsidRDefault="00F47B0F" w:rsidP="00F47B0F">
            <w:pPr>
              <w:rPr>
                <w:rFonts w:eastAsia="Arial" w:cs="Arial"/>
                <w:sz w:val="18"/>
                <w:szCs w:val="18"/>
              </w:rPr>
            </w:pPr>
            <w:proofErr w:type="gramStart"/>
            <w:r w:rsidRPr="00F47B0F">
              <w:rPr>
                <w:rFonts w:eastAsia="Arial" w:cs="Arial"/>
                <w:sz w:val="18"/>
                <w:szCs w:val="18"/>
              </w:rPr>
              <w:t>South East</w:t>
            </w:r>
            <w:proofErr w:type="gramEnd"/>
          </w:p>
        </w:tc>
        <w:tc>
          <w:tcPr>
            <w:tcW w:w="945" w:type="dxa"/>
            <w:tcBorders>
              <w:top w:val="nil"/>
              <w:left w:val="nil"/>
              <w:bottom w:val="nil"/>
              <w:right w:val="nil"/>
            </w:tcBorders>
            <w:shd w:val="clear" w:color="auto" w:fill="E3EB9B" w:themeFill="background2" w:themeFillTint="99"/>
            <w:tcMar>
              <w:left w:w="105" w:type="dxa"/>
              <w:right w:w="105" w:type="dxa"/>
            </w:tcMar>
          </w:tcPr>
          <w:p w14:paraId="7ACD21A1" w14:textId="77777777" w:rsidR="00F47B0F" w:rsidRPr="00F47B0F" w:rsidRDefault="00F47B0F" w:rsidP="00F47B0F">
            <w:pPr>
              <w:rPr>
                <w:rFonts w:eastAsia="Arial" w:cs="Arial"/>
                <w:sz w:val="18"/>
                <w:szCs w:val="18"/>
              </w:rPr>
            </w:pPr>
            <w:r w:rsidRPr="00F47B0F">
              <w:rPr>
                <w:rFonts w:eastAsia="Arial" w:cs="Arial"/>
                <w:sz w:val="18"/>
                <w:szCs w:val="18"/>
              </w:rPr>
              <w:t>TAS</w:t>
            </w:r>
          </w:p>
        </w:tc>
        <w:tc>
          <w:tcPr>
            <w:tcW w:w="1080" w:type="dxa"/>
            <w:tcBorders>
              <w:top w:val="nil"/>
              <w:left w:val="nil"/>
              <w:bottom w:val="nil"/>
              <w:right w:val="nil"/>
            </w:tcBorders>
            <w:shd w:val="clear" w:color="auto" w:fill="E3EB9B" w:themeFill="background2" w:themeFillTint="99"/>
            <w:tcMar>
              <w:left w:w="105" w:type="dxa"/>
              <w:right w:w="105" w:type="dxa"/>
            </w:tcMar>
          </w:tcPr>
          <w:p w14:paraId="2A900CE9" w14:textId="77777777" w:rsidR="00F47B0F" w:rsidRPr="00F47B0F" w:rsidRDefault="00F47B0F" w:rsidP="00F47B0F">
            <w:pPr>
              <w:rPr>
                <w:rFonts w:eastAsia="Arial" w:cs="Arial"/>
                <w:sz w:val="18"/>
                <w:szCs w:val="18"/>
              </w:rPr>
            </w:pPr>
            <w:r w:rsidRPr="00F47B0F">
              <w:rPr>
                <w:rFonts w:eastAsia="Arial" w:cs="Arial"/>
                <w:sz w:val="18"/>
                <w:szCs w:val="18"/>
              </w:rPr>
              <w:t>Regional</w:t>
            </w:r>
          </w:p>
        </w:tc>
        <w:tc>
          <w:tcPr>
            <w:tcW w:w="930" w:type="dxa"/>
            <w:tcBorders>
              <w:top w:val="nil"/>
              <w:left w:val="nil"/>
              <w:bottom w:val="nil"/>
              <w:right w:val="nil"/>
            </w:tcBorders>
            <w:shd w:val="clear" w:color="auto" w:fill="E3EB9B" w:themeFill="background2" w:themeFillTint="99"/>
            <w:tcMar>
              <w:left w:w="105" w:type="dxa"/>
              <w:right w:w="105" w:type="dxa"/>
            </w:tcMar>
          </w:tcPr>
          <w:p w14:paraId="734BFE04" w14:textId="77777777" w:rsidR="00F47B0F" w:rsidRPr="00F47B0F" w:rsidRDefault="00F47B0F" w:rsidP="00F47B0F">
            <w:pPr>
              <w:rPr>
                <w:rFonts w:eastAsia="Arial" w:cs="Arial"/>
                <w:sz w:val="18"/>
                <w:szCs w:val="18"/>
              </w:rPr>
            </w:pPr>
            <w:r w:rsidRPr="00F47B0F">
              <w:rPr>
                <w:rFonts w:eastAsia="Arial" w:cs="Arial"/>
                <w:sz w:val="18"/>
                <w:szCs w:val="18"/>
              </w:rPr>
              <w:t>0.9%</w:t>
            </w:r>
          </w:p>
        </w:tc>
      </w:tr>
      <w:tr w:rsidR="00F47B0F" w:rsidRPr="00F47B0F" w14:paraId="6A2FA287" w14:textId="77777777" w:rsidTr="005F6ADC">
        <w:trPr>
          <w:trHeight w:val="300"/>
        </w:trPr>
        <w:tc>
          <w:tcPr>
            <w:tcW w:w="405" w:type="dxa"/>
            <w:tcBorders>
              <w:top w:val="nil"/>
              <w:left w:val="nil"/>
              <w:bottom w:val="nil"/>
              <w:right w:val="nil"/>
            </w:tcBorders>
            <w:tcMar>
              <w:left w:w="105" w:type="dxa"/>
              <w:right w:w="105" w:type="dxa"/>
            </w:tcMar>
          </w:tcPr>
          <w:p w14:paraId="129354AE" w14:textId="77777777" w:rsidR="00F47B0F" w:rsidRPr="00F47B0F" w:rsidRDefault="00F47B0F" w:rsidP="00F47B0F">
            <w:pPr>
              <w:rPr>
                <w:rFonts w:eastAsia="Arial" w:cs="Arial"/>
                <w:sz w:val="20"/>
                <w:szCs w:val="20"/>
              </w:rPr>
            </w:pPr>
            <w:r w:rsidRPr="00F47B0F">
              <w:rPr>
                <w:rFonts w:eastAsia="Arial" w:cs="Arial"/>
                <w:sz w:val="20"/>
                <w:szCs w:val="20"/>
              </w:rPr>
              <w:t>5</w:t>
            </w:r>
          </w:p>
        </w:tc>
        <w:tc>
          <w:tcPr>
            <w:tcW w:w="1500" w:type="dxa"/>
            <w:tcBorders>
              <w:top w:val="nil"/>
              <w:left w:val="nil"/>
              <w:bottom w:val="nil"/>
              <w:right w:val="nil"/>
            </w:tcBorders>
            <w:shd w:val="clear" w:color="auto" w:fill="ECF1BC" w:themeFill="background2" w:themeFillTint="66"/>
            <w:tcMar>
              <w:left w:w="105" w:type="dxa"/>
              <w:right w:w="105" w:type="dxa"/>
            </w:tcMar>
          </w:tcPr>
          <w:p w14:paraId="3924607E" w14:textId="77777777" w:rsidR="00F47B0F" w:rsidRPr="00F47B0F" w:rsidRDefault="00F47B0F" w:rsidP="00F47B0F">
            <w:pPr>
              <w:rPr>
                <w:rFonts w:eastAsia="Arial" w:cs="Arial"/>
                <w:sz w:val="18"/>
                <w:szCs w:val="18"/>
              </w:rPr>
            </w:pPr>
            <w:r w:rsidRPr="00F47B0F">
              <w:rPr>
                <w:rFonts w:eastAsia="Arial" w:cs="Arial"/>
                <w:sz w:val="18"/>
                <w:szCs w:val="18"/>
              </w:rPr>
              <w:t>Ballarat</w:t>
            </w:r>
          </w:p>
        </w:tc>
        <w:tc>
          <w:tcPr>
            <w:tcW w:w="945" w:type="dxa"/>
            <w:tcBorders>
              <w:top w:val="nil"/>
              <w:left w:val="nil"/>
              <w:bottom w:val="nil"/>
              <w:right w:val="nil"/>
            </w:tcBorders>
            <w:shd w:val="clear" w:color="auto" w:fill="ECF1BC" w:themeFill="background2" w:themeFillTint="66"/>
            <w:tcMar>
              <w:left w:w="105" w:type="dxa"/>
              <w:right w:w="105" w:type="dxa"/>
            </w:tcMar>
          </w:tcPr>
          <w:p w14:paraId="43968DFA" w14:textId="77777777" w:rsidR="00F47B0F" w:rsidRPr="00F47B0F" w:rsidRDefault="00F47B0F" w:rsidP="00F47B0F">
            <w:pPr>
              <w:rPr>
                <w:rFonts w:eastAsia="Arial" w:cs="Arial"/>
                <w:sz w:val="18"/>
                <w:szCs w:val="18"/>
              </w:rPr>
            </w:pPr>
            <w:r w:rsidRPr="00F47B0F">
              <w:rPr>
                <w:rFonts w:eastAsia="Arial" w:cs="Arial"/>
                <w:sz w:val="18"/>
                <w:szCs w:val="18"/>
              </w:rPr>
              <w:t>VIC</w:t>
            </w:r>
          </w:p>
        </w:tc>
        <w:tc>
          <w:tcPr>
            <w:tcW w:w="1119" w:type="dxa"/>
            <w:tcBorders>
              <w:top w:val="nil"/>
              <w:left w:val="nil"/>
              <w:bottom w:val="nil"/>
              <w:right w:val="nil"/>
            </w:tcBorders>
            <w:shd w:val="clear" w:color="auto" w:fill="ECF1BC" w:themeFill="background2" w:themeFillTint="66"/>
            <w:tcMar>
              <w:left w:w="105" w:type="dxa"/>
              <w:right w:w="105" w:type="dxa"/>
            </w:tcMar>
          </w:tcPr>
          <w:p w14:paraId="01D17F40" w14:textId="77777777" w:rsidR="00F47B0F" w:rsidRPr="00F47B0F" w:rsidRDefault="00F47B0F" w:rsidP="00F47B0F">
            <w:pPr>
              <w:rPr>
                <w:rFonts w:eastAsia="Arial" w:cs="Arial"/>
                <w:sz w:val="18"/>
                <w:szCs w:val="18"/>
              </w:rPr>
            </w:pPr>
            <w:r w:rsidRPr="00F47B0F">
              <w:rPr>
                <w:rFonts w:eastAsia="Arial" w:cs="Arial"/>
                <w:sz w:val="18"/>
                <w:szCs w:val="18"/>
              </w:rPr>
              <w:t>Regional</w:t>
            </w:r>
          </w:p>
        </w:tc>
        <w:tc>
          <w:tcPr>
            <w:tcW w:w="816" w:type="dxa"/>
            <w:tcBorders>
              <w:top w:val="nil"/>
              <w:left w:val="nil"/>
              <w:bottom w:val="nil"/>
              <w:right w:val="nil"/>
            </w:tcBorders>
            <w:shd w:val="clear" w:color="auto" w:fill="ECF1BC" w:themeFill="background2" w:themeFillTint="66"/>
            <w:tcMar>
              <w:left w:w="105" w:type="dxa"/>
              <w:right w:w="105" w:type="dxa"/>
            </w:tcMar>
          </w:tcPr>
          <w:p w14:paraId="5D0B5C0B" w14:textId="77777777" w:rsidR="00F47B0F" w:rsidRPr="00F47B0F" w:rsidRDefault="00F47B0F" w:rsidP="00F47B0F">
            <w:pPr>
              <w:rPr>
                <w:rFonts w:eastAsia="Arial" w:cs="Arial"/>
                <w:sz w:val="18"/>
                <w:szCs w:val="18"/>
              </w:rPr>
            </w:pPr>
            <w:r w:rsidRPr="00F47B0F">
              <w:rPr>
                <w:rFonts w:eastAsia="Arial" w:cs="Arial"/>
                <w:sz w:val="18"/>
                <w:szCs w:val="18"/>
              </w:rPr>
              <w:t>4.0%</w:t>
            </w:r>
          </w:p>
        </w:tc>
        <w:tc>
          <w:tcPr>
            <w:tcW w:w="1230" w:type="dxa"/>
            <w:tcBorders>
              <w:top w:val="nil"/>
              <w:left w:val="nil"/>
              <w:bottom w:val="nil"/>
              <w:right w:val="nil"/>
            </w:tcBorders>
            <w:shd w:val="clear" w:color="auto" w:fill="E3EB9B" w:themeFill="background2" w:themeFillTint="99"/>
            <w:tcMar>
              <w:left w:w="105" w:type="dxa"/>
              <w:right w:w="105" w:type="dxa"/>
            </w:tcMar>
          </w:tcPr>
          <w:p w14:paraId="17D6E8C5" w14:textId="77777777" w:rsidR="00F47B0F" w:rsidRPr="00F47B0F" w:rsidRDefault="00F47B0F" w:rsidP="00F47B0F">
            <w:pPr>
              <w:rPr>
                <w:rFonts w:eastAsia="Arial" w:cs="Arial"/>
                <w:sz w:val="18"/>
                <w:szCs w:val="18"/>
              </w:rPr>
            </w:pPr>
            <w:r w:rsidRPr="00F47B0F">
              <w:rPr>
                <w:rFonts w:eastAsia="Arial" w:cs="Arial"/>
                <w:sz w:val="18"/>
                <w:szCs w:val="18"/>
              </w:rPr>
              <w:t>Logan - Beaudesert</w:t>
            </w:r>
          </w:p>
        </w:tc>
        <w:tc>
          <w:tcPr>
            <w:tcW w:w="945" w:type="dxa"/>
            <w:tcBorders>
              <w:top w:val="nil"/>
              <w:left w:val="nil"/>
              <w:bottom w:val="nil"/>
              <w:right w:val="nil"/>
            </w:tcBorders>
            <w:shd w:val="clear" w:color="auto" w:fill="E3EB9B" w:themeFill="background2" w:themeFillTint="99"/>
            <w:tcMar>
              <w:left w:w="105" w:type="dxa"/>
              <w:right w:w="105" w:type="dxa"/>
            </w:tcMar>
          </w:tcPr>
          <w:p w14:paraId="2AAC7EB9" w14:textId="77777777" w:rsidR="00F47B0F" w:rsidRPr="00F47B0F" w:rsidRDefault="00F47B0F" w:rsidP="00F47B0F">
            <w:pPr>
              <w:rPr>
                <w:rFonts w:eastAsia="Arial" w:cs="Arial"/>
                <w:sz w:val="18"/>
                <w:szCs w:val="18"/>
              </w:rPr>
            </w:pPr>
            <w:r w:rsidRPr="00F47B0F">
              <w:rPr>
                <w:rFonts w:eastAsia="Arial" w:cs="Arial"/>
                <w:sz w:val="18"/>
                <w:szCs w:val="18"/>
              </w:rPr>
              <w:t>QLD</w:t>
            </w:r>
          </w:p>
        </w:tc>
        <w:tc>
          <w:tcPr>
            <w:tcW w:w="1080" w:type="dxa"/>
            <w:tcBorders>
              <w:top w:val="nil"/>
              <w:left w:val="nil"/>
              <w:bottom w:val="nil"/>
              <w:right w:val="nil"/>
            </w:tcBorders>
            <w:shd w:val="clear" w:color="auto" w:fill="E3EB9B" w:themeFill="background2" w:themeFillTint="99"/>
            <w:tcMar>
              <w:left w:w="105" w:type="dxa"/>
              <w:right w:w="105" w:type="dxa"/>
            </w:tcMar>
          </w:tcPr>
          <w:p w14:paraId="368638AE" w14:textId="77777777" w:rsidR="00F47B0F" w:rsidRPr="00F47B0F" w:rsidRDefault="00F47B0F" w:rsidP="00F47B0F">
            <w:pPr>
              <w:rPr>
                <w:rFonts w:eastAsia="Arial" w:cs="Arial"/>
                <w:sz w:val="18"/>
                <w:szCs w:val="18"/>
              </w:rPr>
            </w:pPr>
            <w:r w:rsidRPr="00F47B0F">
              <w:rPr>
                <w:rFonts w:eastAsia="Arial" w:cs="Arial"/>
                <w:sz w:val="18"/>
                <w:szCs w:val="18"/>
              </w:rPr>
              <w:t>Regional</w:t>
            </w:r>
          </w:p>
        </w:tc>
        <w:tc>
          <w:tcPr>
            <w:tcW w:w="930" w:type="dxa"/>
            <w:tcBorders>
              <w:top w:val="nil"/>
              <w:left w:val="nil"/>
              <w:bottom w:val="nil"/>
              <w:right w:val="nil"/>
            </w:tcBorders>
            <w:shd w:val="clear" w:color="auto" w:fill="E3EB9B" w:themeFill="background2" w:themeFillTint="99"/>
            <w:tcMar>
              <w:left w:w="105" w:type="dxa"/>
              <w:right w:w="105" w:type="dxa"/>
            </w:tcMar>
          </w:tcPr>
          <w:p w14:paraId="56392AE6" w14:textId="77777777" w:rsidR="00F47B0F" w:rsidRPr="00F47B0F" w:rsidRDefault="00F47B0F" w:rsidP="00F47B0F">
            <w:pPr>
              <w:rPr>
                <w:rFonts w:eastAsia="Arial" w:cs="Arial"/>
                <w:sz w:val="18"/>
                <w:szCs w:val="18"/>
              </w:rPr>
            </w:pPr>
            <w:r w:rsidRPr="00F47B0F">
              <w:rPr>
                <w:rFonts w:eastAsia="Arial" w:cs="Arial"/>
                <w:sz w:val="18"/>
                <w:szCs w:val="18"/>
              </w:rPr>
              <w:t>1.0%</w:t>
            </w:r>
          </w:p>
        </w:tc>
      </w:tr>
      <w:tr w:rsidR="00F47B0F" w:rsidRPr="00F47B0F" w14:paraId="66B84D88" w14:textId="77777777" w:rsidTr="005F6ADC">
        <w:trPr>
          <w:trHeight w:val="300"/>
        </w:trPr>
        <w:tc>
          <w:tcPr>
            <w:tcW w:w="8970" w:type="dxa"/>
            <w:gridSpan w:val="9"/>
            <w:tcBorders>
              <w:top w:val="nil"/>
              <w:left w:val="nil"/>
              <w:bottom w:val="nil"/>
              <w:right w:val="nil"/>
            </w:tcBorders>
            <w:tcMar>
              <w:left w:w="105" w:type="dxa"/>
              <w:right w:w="105" w:type="dxa"/>
            </w:tcMar>
          </w:tcPr>
          <w:p w14:paraId="407B013D" w14:textId="77777777" w:rsidR="00F47B0F" w:rsidRPr="00F47B0F" w:rsidRDefault="00F47B0F" w:rsidP="00F47B0F">
            <w:pPr>
              <w:rPr>
                <w:rFonts w:eastAsia="Arial" w:cs="Arial"/>
                <w:sz w:val="20"/>
                <w:szCs w:val="20"/>
              </w:rPr>
            </w:pPr>
          </w:p>
          <w:p w14:paraId="49EB6617" w14:textId="77777777" w:rsidR="00F47B0F" w:rsidRPr="00F47B0F" w:rsidRDefault="00F47B0F" w:rsidP="00F47B0F">
            <w:pPr>
              <w:rPr>
                <w:rFonts w:eastAsia="Arial" w:cs="Arial"/>
                <w:sz w:val="20"/>
                <w:szCs w:val="20"/>
              </w:rPr>
            </w:pPr>
            <w:r w:rsidRPr="00F47B0F">
              <w:rPr>
                <w:rFonts w:eastAsia="Arial" w:cs="Arial"/>
                <w:b/>
                <w:bCs/>
                <w:sz w:val="20"/>
                <w:szCs w:val="20"/>
              </w:rPr>
              <w:t>Early Childhood Teacher</w:t>
            </w:r>
          </w:p>
        </w:tc>
      </w:tr>
      <w:tr w:rsidR="00F47B0F" w:rsidRPr="00F47B0F" w14:paraId="54EE6732" w14:textId="77777777" w:rsidTr="005F6ADC">
        <w:trPr>
          <w:trHeight w:val="300"/>
        </w:trPr>
        <w:tc>
          <w:tcPr>
            <w:tcW w:w="405" w:type="dxa"/>
            <w:tcBorders>
              <w:top w:val="nil"/>
              <w:left w:val="nil"/>
              <w:bottom w:val="nil"/>
              <w:right w:val="nil"/>
            </w:tcBorders>
            <w:tcMar>
              <w:left w:w="105" w:type="dxa"/>
              <w:right w:w="105" w:type="dxa"/>
            </w:tcMar>
          </w:tcPr>
          <w:p w14:paraId="478337B1" w14:textId="77777777" w:rsidR="00F47B0F" w:rsidRPr="00F47B0F" w:rsidRDefault="00F47B0F" w:rsidP="00F47B0F">
            <w:pPr>
              <w:rPr>
                <w:rFonts w:eastAsia="Arial" w:cs="Arial"/>
                <w:sz w:val="20"/>
                <w:szCs w:val="20"/>
              </w:rPr>
            </w:pPr>
            <w:r w:rsidRPr="00F47B0F">
              <w:rPr>
                <w:rFonts w:eastAsia="Arial" w:cs="Arial"/>
                <w:sz w:val="20"/>
                <w:szCs w:val="20"/>
              </w:rPr>
              <w:t>1</w:t>
            </w:r>
          </w:p>
        </w:tc>
        <w:tc>
          <w:tcPr>
            <w:tcW w:w="1500" w:type="dxa"/>
            <w:tcBorders>
              <w:top w:val="nil"/>
              <w:left w:val="nil"/>
              <w:bottom w:val="nil"/>
              <w:right w:val="nil"/>
            </w:tcBorders>
            <w:shd w:val="clear" w:color="auto" w:fill="ECF1BC" w:themeFill="background2" w:themeFillTint="66"/>
            <w:tcMar>
              <w:left w:w="105" w:type="dxa"/>
              <w:right w:w="105" w:type="dxa"/>
            </w:tcMar>
          </w:tcPr>
          <w:p w14:paraId="0FFC609D" w14:textId="77777777" w:rsidR="00F47B0F" w:rsidRPr="00F47B0F" w:rsidRDefault="00F47B0F" w:rsidP="00F47B0F">
            <w:pPr>
              <w:rPr>
                <w:rFonts w:eastAsia="Arial" w:cs="Arial"/>
                <w:sz w:val="18"/>
                <w:szCs w:val="18"/>
              </w:rPr>
            </w:pPr>
            <w:r w:rsidRPr="00F47B0F">
              <w:rPr>
                <w:rFonts w:eastAsia="Arial" w:cs="Arial"/>
                <w:sz w:val="18"/>
                <w:szCs w:val="18"/>
              </w:rPr>
              <w:t>Shepparton</w:t>
            </w:r>
          </w:p>
        </w:tc>
        <w:tc>
          <w:tcPr>
            <w:tcW w:w="945" w:type="dxa"/>
            <w:tcBorders>
              <w:top w:val="nil"/>
              <w:left w:val="nil"/>
              <w:bottom w:val="nil"/>
              <w:right w:val="nil"/>
            </w:tcBorders>
            <w:shd w:val="clear" w:color="auto" w:fill="ECF1BC" w:themeFill="background2" w:themeFillTint="66"/>
            <w:tcMar>
              <w:left w:w="105" w:type="dxa"/>
              <w:right w:w="105" w:type="dxa"/>
            </w:tcMar>
          </w:tcPr>
          <w:p w14:paraId="60131C4F" w14:textId="77777777" w:rsidR="00F47B0F" w:rsidRPr="00F47B0F" w:rsidRDefault="00F47B0F" w:rsidP="00F47B0F">
            <w:pPr>
              <w:rPr>
                <w:rFonts w:eastAsia="Arial" w:cs="Arial"/>
                <w:sz w:val="18"/>
                <w:szCs w:val="18"/>
              </w:rPr>
            </w:pPr>
            <w:r w:rsidRPr="00F47B0F">
              <w:rPr>
                <w:rFonts w:eastAsia="Arial" w:cs="Arial"/>
                <w:sz w:val="18"/>
                <w:szCs w:val="18"/>
              </w:rPr>
              <w:t>VIC</w:t>
            </w:r>
          </w:p>
        </w:tc>
        <w:tc>
          <w:tcPr>
            <w:tcW w:w="1119" w:type="dxa"/>
            <w:tcBorders>
              <w:top w:val="nil"/>
              <w:left w:val="nil"/>
              <w:bottom w:val="nil"/>
              <w:right w:val="nil"/>
            </w:tcBorders>
            <w:shd w:val="clear" w:color="auto" w:fill="ECF1BC" w:themeFill="background2" w:themeFillTint="66"/>
            <w:tcMar>
              <w:left w:w="105" w:type="dxa"/>
              <w:right w:w="105" w:type="dxa"/>
            </w:tcMar>
          </w:tcPr>
          <w:p w14:paraId="5831E228" w14:textId="77777777" w:rsidR="00F47B0F" w:rsidRPr="00F47B0F" w:rsidRDefault="00F47B0F" w:rsidP="00F47B0F">
            <w:pPr>
              <w:rPr>
                <w:rFonts w:eastAsia="Arial" w:cs="Arial"/>
                <w:sz w:val="18"/>
                <w:szCs w:val="18"/>
              </w:rPr>
            </w:pPr>
            <w:r w:rsidRPr="00F47B0F">
              <w:rPr>
                <w:rFonts w:eastAsia="Arial" w:cs="Arial"/>
                <w:sz w:val="18"/>
                <w:szCs w:val="18"/>
              </w:rPr>
              <w:t>Regional</w:t>
            </w:r>
          </w:p>
        </w:tc>
        <w:tc>
          <w:tcPr>
            <w:tcW w:w="816" w:type="dxa"/>
            <w:tcBorders>
              <w:top w:val="nil"/>
              <w:left w:val="nil"/>
              <w:bottom w:val="nil"/>
              <w:right w:val="nil"/>
            </w:tcBorders>
            <w:shd w:val="clear" w:color="auto" w:fill="ECF1BC" w:themeFill="background2" w:themeFillTint="66"/>
            <w:tcMar>
              <w:left w:w="105" w:type="dxa"/>
              <w:right w:w="105" w:type="dxa"/>
            </w:tcMar>
          </w:tcPr>
          <w:p w14:paraId="0CBE021C" w14:textId="77777777" w:rsidR="00F47B0F" w:rsidRPr="00F47B0F" w:rsidRDefault="00F47B0F" w:rsidP="00F47B0F">
            <w:pPr>
              <w:rPr>
                <w:rFonts w:eastAsia="Arial" w:cs="Arial"/>
                <w:sz w:val="18"/>
                <w:szCs w:val="18"/>
              </w:rPr>
            </w:pPr>
            <w:r w:rsidRPr="00F47B0F">
              <w:rPr>
                <w:rFonts w:eastAsia="Arial" w:cs="Arial"/>
                <w:sz w:val="18"/>
                <w:szCs w:val="18"/>
              </w:rPr>
              <w:t>10.8%</w:t>
            </w:r>
          </w:p>
        </w:tc>
        <w:tc>
          <w:tcPr>
            <w:tcW w:w="1230" w:type="dxa"/>
            <w:tcBorders>
              <w:top w:val="nil"/>
              <w:left w:val="nil"/>
              <w:bottom w:val="nil"/>
              <w:right w:val="nil"/>
            </w:tcBorders>
            <w:shd w:val="clear" w:color="auto" w:fill="E3EB9B" w:themeFill="background2" w:themeFillTint="99"/>
            <w:tcMar>
              <w:left w:w="105" w:type="dxa"/>
              <w:right w:w="105" w:type="dxa"/>
            </w:tcMar>
          </w:tcPr>
          <w:p w14:paraId="70639D06" w14:textId="77777777" w:rsidR="00F47B0F" w:rsidRPr="00F47B0F" w:rsidRDefault="00F47B0F" w:rsidP="00F47B0F">
            <w:pPr>
              <w:rPr>
                <w:rFonts w:eastAsia="Arial" w:cs="Arial"/>
                <w:sz w:val="18"/>
                <w:szCs w:val="18"/>
              </w:rPr>
            </w:pPr>
            <w:r w:rsidRPr="00F47B0F">
              <w:rPr>
                <w:rFonts w:eastAsia="Arial" w:cs="Arial"/>
                <w:sz w:val="18"/>
                <w:szCs w:val="18"/>
              </w:rPr>
              <w:t>Barossa - Yorke - Mid North</w:t>
            </w:r>
          </w:p>
        </w:tc>
        <w:tc>
          <w:tcPr>
            <w:tcW w:w="945" w:type="dxa"/>
            <w:tcBorders>
              <w:top w:val="nil"/>
              <w:left w:val="nil"/>
              <w:bottom w:val="nil"/>
              <w:right w:val="nil"/>
            </w:tcBorders>
            <w:shd w:val="clear" w:color="auto" w:fill="E3EB9B" w:themeFill="background2" w:themeFillTint="99"/>
            <w:tcMar>
              <w:left w:w="105" w:type="dxa"/>
              <w:right w:w="105" w:type="dxa"/>
            </w:tcMar>
          </w:tcPr>
          <w:p w14:paraId="388BD981" w14:textId="77777777" w:rsidR="00F47B0F" w:rsidRPr="00F47B0F" w:rsidRDefault="00F47B0F" w:rsidP="00F47B0F">
            <w:pPr>
              <w:rPr>
                <w:rFonts w:eastAsia="Arial" w:cs="Arial"/>
                <w:sz w:val="18"/>
                <w:szCs w:val="18"/>
              </w:rPr>
            </w:pPr>
            <w:r w:rsidRPr="00F47B0F">
              <w:rPr>
                <w:rFonts w:eastAsia="Arial" w:cs="Arial"/>
                <w:sz w:val="18"/>
                <w:szCs w:val="18"/>
              </w:rPr>
              <w:t>SA</w:t>
            </w:r>
          </w:p>
        </w:tc>
        <w:tc>
          <w:tcPr>
            <w:tcW w:w="1080" w:type="dxa"/>
            <w:tcBorders>
              <w:top w:val="nil"/>
              <w:left w:val="nil"/>
              <w:bottom w:val="nil"/>
              <w:right w:val="nil"/>
            </w:tcBorders>
            <w:shd w:val="clear" w:color="auto" w:fill="E3EB9B" w:themeFill="background2" w:themeFillTint="99"/>
            <w:tcMar>
              <w:left w:w="105" w:type="dxa"/>
              <w:right w:w="105" w:type="dxa"/>
            </w:tcMar>
          </w:tcPr>
          <w:p w14:paraId="6823FA1C" w14:textId="77777777" w:rsidR="00F47B0F" w:rsidRPr="00F47B0F" w:rsidRDefault="00F47B0F" w:rsidP="00F47B0F">
            <w:pPr>
              <w:rPr>
                <w:rFonts w:eastAsia="Arial" w:cs="Arial"/>
                <w:sz w:val="18"/>
                <w:szCs w:val="18"/>
              </w:rPr>
            </w:pPr>
            <w:r w:rsidRPr="00F47B0F">
              <w:rPr>
                <w:rFonts w:eastAsia="Arial" w:cs="Arial"/>
                <w:sz w:val="18"/>
                <w:szCs w:val="18"/>
              </w:rPr>
              <w:t>Remote</w:t>
            </w:r>
          </w:p>
        </w:tc>
        <w:tc>
          <w:tcPr>
            <w:tcW w:w="930" w:type="dxa"/>
            <w:tcBorders>
              <w:top w:val="nil"/>
              <w:left w:val="nil"/>
              <w:bottom w:val="nil"/>
              <w:right w:val="nil"/>
            </w:tcBorders>
            <w:shd w:val="clear" w:color="auto" w:fill="E3EB9B" w:themeFill="background2" w:themeFillTint="99"/>
            <w:tcMar>
              <w:left w:w="105" w:type="dxa"/>
              <w:right w:w="105" w:type="dxa"/>
            </w:tcMar>
          </w:tcPr>
          <w:p w14:paraId="473EF29E" w14:textId="77777777" w:rsidR="00F47B0F" w:rsidRPr="00F47B0F" w:rsidRDefault="00F47B0F" w:rsidP="00F47B0F">
            <w:pPr>
              <w:rPr>
                <w:rFonts w:eastAsia="Arial" w:cs="Arial"/>
                <w:sz w:val="18"/>
                <w:szCs w:val="18"/>
              </w:rPr>
            </w:pPr>
            <w:r w:rsidRPr="00F47B0F">
              <w:rPr>
                <w:rFonts w:eastAsia="Arial" w:cs="Arial"/>
                <w:sz w:val="18"/>
                <w:szCs w:val="18"/>
              </w:rPr>
              <w:t>0.6%</w:t>
            </w:r>
          </w:p>
        </w:tc>
      </w:tr>
      <w:tr w:rsidR="00F47B0F" w:rsidRPr="00F47B0F" w14:paraId="338720AE" w14:textId="77777777" w:rsidTr="005F6ADC">
        <w:trPr>
          <w:trHeight w:val="300"/>
        </w:trPr>
        <w:tc>
          <w:tcPr>
            <w:tcW w:w="405" w:type="dxa"/>
            <w:tcBorders>
              <w:top w:val="nil"/>
              <w:left w:val="nil"/>
              <w:bottom w:val="nil"/>
              <w:right w:val="nil"/>
            </w:tcBorders>
            <w:tcMar>
              <w:left w:w="105" w:type="dxa"/>
              <w:right w:w="105" w:type="dxa"/>
            </w:tcMar>
          </w:tcPr>
          <w:p w14:paraId="58F9D429" w14:textId="77777777" w:rsidR="00F47B0F" w:rsidRPr="00F47B0F" w:rsidRDefault="00F47B0F" w:rsidP="00F47B0F">
            <w:pPr>
              <w:rPr>
                <w:rFonts w:eastAsia="Arial" w:cs="Arial"/>
                <w:sz w:val="20"/>
                <w:szCs w:val="20"/>
              </w:rPr>
            </w:pPr>
            <w:r w:rsidRPr="00F47B0F">
              <w:rPr>
                <w:rFonts w:eastAsia="Arial" w:cs="Arial"/>
                <w:sz w:val="20"/>
                <w:szCs w:val="20"/>
              </w:rPr>
              <w:t>2</w:t>
            </w:r>
          </w:p>
        </w:tc>
        <w:tc>
          <w:tcPr>
            <w:tcW w:w="1500" w:type="dxa"/>
            <w:tcBorders>
              <w:top w:val="nil"/>
              <w:left w:val="nil"/>
              <w:bottom w:val="nil"/>
              <w:right w:val="nil"/>
            </w:tcBorders>
            <w:shd w:val="clear" w:color="auto" w:fill="ECF1BC" w:themeFill="background2" w:themeFillTint="66"/>
            <w:tcMar>
              <w:left w:w="105" w:type="dxa"/>
              <w:right w:w="105" w:type="dxa"/>
            </w:tcMar>
          </w:tcPr>
          <w:p w14:paraId="034D116C" w14:textId="77777777" w:rsidR="00F47B0F" w:rsidRPr="00F47B0F" w:rsidRDefault="00F47B0F" w:rsidP="00F47B0F">
            <w:pPr>
              <w:rPr>
                <w:rFonts w:eastAsia="Arial" w:cs="Arial"/>
                <w:sz w:val="18"/>
                <w:szCs w:val="18"/>
              </w:rPr>
            </w:pPr>
            <w:r w:rsidRPr="00F47B0F">
              <w:rPr>
                <w:rFonts w:eastAsia="Arial" w:cs="Arial"/>
                <w:sz w:val="18"/>
                <w:szCs w:val="18"/>
              </w:rPr>
              <w:t>WA - Outback (North)</w:t>
            </w:r>
          </w:p>
        </w:tc>
        <w:tc>
          <w:tcPr>
            <w:tcW w:w="945" w:type="dxa"/>
            <w:tcBorders>
              <w:top w:val="nil"/>
              <w:left w:val="nil"/>
              <w:bottom w:val="nil"/>
              <w:right w:val="nil"/>
            </w:tcBorders>
            <w:shd w:val="clear" w:color="auto" w:fill="ECF1BC" w:themeFill="background2" w:themeFillTint="66"/>
            <w:tcMar>
              <w:left w:w="105" w:type="dxa"/>
              <w:right w:w="105" w:type="dxa"/>
            </w:tcMar>
          </w:tcPr>
          <w:p w14:paraId="3EA21E9F" w14:textId="77777777" w:rsidR="00F47B0F" w:rsidRPr="00F47B0F" w:rsidRDefault="00F47B0F" w:rsidP="00F47B0F">
            <w:pPr>
              <w:rPr>
                <w:rFonts w:eastAsia="Arial" w:cs="Arial"/>
                <w:sz w:val="18"/>
                <w:szCs w:val="18"/>
              </w:rPr>
            </w:pPr>
            <w:r w:rsidRPr="00F47B0F">
              <w:rPr>
                <w:rFonts w:eastAsia="Arial" w:cs="Arial"/>
                <w:sz w:val="18"/>
                <w:szCs w:val="18"/>
              </w:rPr>
              <w:t>WA</w:t>
            </w:r>
          </w:p>
        </w:tc>
        <w:tc>
          <w:tcPr>
            <w:tcW w:w="1119" w:type="dxa"/>
            <w:tcBorders>
              <w:top w:val="nil"/>
              <w:left w:val="nil"/>
              <w:bottom w:val="nil"/>
              <w:right w:val="nil"/>
            </w:tcBorders>
            <w:shd w:val="clear" w:color="auto" w:fill="ECF1BC" w:themeFill="background2" w:themeFillTint="66"/>
            <w:tcMar>
              <w:left w:w="105" w:type="dxa"/>
              <w:right w:w="105" w:type="dxa"/>
            </w:tcMar>
          </w:tcPr>
          <w:p w14:paraId="6C7D910E" w14:textId="77777777" w:rsidR="00F47B0F" w:rsidRPr="00F47B0F" w:rsidRDefault="00F47B0F" w:rsidP="00F47B0F">
            <w:pPr>
              <w:rPr>
                <w:rFonts w:eastAsia="Arial" w:cs="Arial"/>
                <w:sz w:val="18"/>
                <w:szCs w:val="18"/>
              </w:rPr>
            </w:pPr>
            <w:r w:rsidRPr="00F47B0F">
              <w:rPr>
                <w:rFonts w:eastAsia="Arial" w:cs="Arial"/>
                <w:sz w:val="18"/>
                <w:szCs w:val="18"/>
              </w:rPr>
              <w:t>Remote</w:t>
            </w:r>
          </w:p>
        </w:tc>
        <w:tc>
          <w:tcPr>
            <w:tcW w:w="816" w:type="dxa"/>
            <w:tcBorders>
              <w:top w:val="nil"/>
              <w:left w:val="nil"/>
              <w:bottom w:val="nil"/>
              <w:right w:val="nil"/>
            </w:tcBorders>
            <w:shd w:val="clear" w:color="auto" w:fill="ECF1BC" w:themeFill="background2" w:themeFillTint="66"/>
            <w:tcMar>
              <w:left w:w="105" w:type="dxa"/>
              <w:right w:w="105" w:type="dxa"/>
            </w:tcMar>
          </w:tcPr>
          <w:p w14:paraId="2832A805" w14:textId="77777777" w:rsidR="00F47B0F" w:rsidRPr="00F47B0F" w:rsidRDefault="00F47B0F" w:rsidP="00F47B0F">
            <w:pPr>
              <w:rPr>
                <w:rFonts w:eastAsia="Arial" w:cs="Arial"/>
                <w:sz w:val="18"/>
                <w:szCs w:val="18"/>
              </w:rPr>
            </w:pPr>
            <w:r w:rsidRPr="00F47B0F">
              <w:rPr>
                <w:rFonts w:eastAsia="Arial" w:cs="Arial"/>
                <w:sz w:val="18"/>
                <w:szCs w:val="18"/>
              </w:rPr>
              <w:t>9.6%</w:t>
            </w:r>
          </w:p>
        </w:tc>
        <w:tc>
          <w:tcPr>
            <w:tcW w:w="1230" w:type="dxa"/>
            <w:tcBorders>
              <w:top w:val="nil"/>
              <w:left w:val="nil"/>
              <w:bottom w:val="nil"/>
              <w:right w:val="nil"/>
            </w:tcBorders>
            <w:shd w:val="clear" w:color="auto" w:fill="E3EB9B" w:themeFill="background2" w:themeFillTint="99"/>
            <w:tcMar>
              <w:left w:w="105" w:type="dxa"/>
              <w:right w:w="105" w:type="dxa"/>
            </w:tcMar>
          </w:tcPr>
          <w:p w14:paraId="3A648AE1" w14:textId="77777777" w:rsidR="00F47B0F" w:rsidRPr="00F47B0F" w:rsidRDefault="00F47B0F" w:rsidP="00F47B0F">
            <w:pPr>
              <w:rPr>
                <w:rFonts w:eastAsia="Arial" w:cs="Arial"/>
                <w:sz w:val="18"/>
                <w:szCs w:val="18"/>
              </w:rPr>
            </w:pPr>
            <w:proofErr w:type="gramStart"/>
            <w:r w:rsidRPr="00F47B0F">
              <w:rPr>
                <w:rFonts w:eastAsia="Arial" w:cs="Arial"/>
                <w:sz w:val="18"/>
                <w:szCs w:val="18"/>
              </w:rPr>
              <w:t>South East</w:t>
            </w:r>
            <w:proofErr w:type="gramEnd"/>
          </w:p>
        </w:tc>
        <w:tc>
          <w:tcPr>
            <w:tcW w:w="945" w:type="dxa"/>
            <w:tcBorders>
              <w:top w:val="nil"/>
              <w:left w:val="nil"/>
              <w:bottom w:val="nil"/>
              <w:right w:val="nil"/>
            </w:tcBorders>
            <w:shd w:val="clear" w:color="auto" w:fill="E3EB9B" w:themeFill="background2" w:themeFillTint="99"/>
            <w:tcMar>
              <w:left w:w="105" w:type="dxa"/>
              <w:right w:w="105" w:type="dxa"/>
            </w:tcMar>
          </w:tcPr>
          <w:p w14:paraId="3E30A305" w14:textId="77777777" w:rsidR="00F47B0F" w:rsidRPr="00F47B0F" w:rsidRDefault="00F47B0F" w:rsidP="00F47B0F">
            <w:pPr>
              <w:rPr>
                <w:rFonts w:eastAsia="Arial" w:cs="Arial"/>
                <w:sz w:val="18"/>
                <w:szCs w:val="18"/>
              </w:rPr>
            </w:pPr>
            <w:r w:rsidRPr="00F47B0F">
              <w:rPr>
                <w:rFonts w:eastAsia="Arial" w:cs="Arial"/>
                <w:sz w:val="18"/>
                <w:szCs w:val="18"/>
              </w:rPr>
              <w:t>TAS</w:t>
            </w:r>
          </w:p>
        </w:tc>
        <w:tc>
          <w:tcPr>
            <w:tcW w:w="1080" w:type="dxa"/>
            <w:tcBorders>
              <w:top w:val="nil"/>
              <w:left w:val="nil"/>
              <w:bottom w:val="nil"/>
              <w:right w:val="nil"/>
            </w:tcBorders>
            <w:shd w:val="clear" w:color="auto" w:fill="E3EB9B" w:themeFill="background2" w:themeFillTint="99"/>
            <w:tcMar>
              <w:left w:w="105" w:type="dxa"/>
              <w:right w:w="105" w:type="dxa"/>
            </w:tcMar>
          </w:tcPr>
          <w:p w14:paraId="6AEAC304" w14:textId="77777777" w:rsidR="00F47B0F" w:rsidRPr="00F47B0F" w:rsidRDefault="00F47B0F" w:rsidP="00F47B0F">
            <w:pPr>
              <w:rPr>
                <w:rFonts w:eastAsia="Arial" w:cs="Arial"/>
                <w:sz w:val="18"/>
                <w:szCs w:val="18"/>
              </w:rPr>
            </w:pPr>
            <w:r w:rsidRPr="00F47B0F">
              <w:rPr>
                <w:rFonts w:eastAsia="Arial" w:cs="Arial"/>
                <w:sz w:val="18"/>
                <w:szCs w:val="18"/>
              </w:rPr>
              <w:t>Regional</w:t>
            </w:r>
          </w:p>
        </w:tc>
        <w:tc>
          <w:tcPr>
            <w:tcW w:w="930" w:type="dxa"/>
            <w:tcBorders>
              <w:top w:val="nil"/>
              <w:left w:val="nil"/>
              <w:bottom w:val="nil"/>
              <w:right w:val="nil"/>
            </w:tcBorders>
            <w:shd w:val="clear" w:color="auto" w:fill="E3EB9B" w:themeFill="background2" w:themeFillTint="99"/>
            <w:tcMar>
              <w:left w:w="105" w:type="dxa"/>
              <w:right w:w="105" w:type="dxa"/>
            </w:tcMar>
          </w:tcPr>
          <w:p w14:paraId="4B48663D" w14:textId="77777777" w:rsidR="00F47B0F" w:rsidRPr="00F47B0F" w:rsidRDefault="00F47B0F" w:rsidP="00F47B0F">
            <w:pPr>
              <w:rPr>
                <w:rFonts w:eastAsia="Arial" w:cs="Arial"/>
                <w:sz w:val="18"/>
                <w:szCs w:val="18"/>
              </w:rPr>
            </w:pPr>
            <w:r w:rsidRPr="00F47B0F">
              <w:rPr>
                <w:rFonts w:eastAsia="Arial" w:cs="Arial"/>
                <w:sz w:val="18"/>
                <w:szCs w:val="18"/>
              </w:rPr>
              <w:t>0.7%</w:t>
            </w:r>
          </w:p>
        </w:tc>
      </w:tr>
      <w:tr w:rsidR="00F47B0F" w:rsidRPr="00F47B0F" w14:paraId="16137CBD" w14:textId="77777777" w:rsidTr="005F6ADC">
        <w:trPr>
          <w:trHeight w:val="300"/>
        </w:trPr>
        <w:tc>
          <w:tcPr>
            <w:tcW w:w="405" w:type="dxa"/>
            <w:tcBorders>
              <w:top w:val="nil"/>
              <w:left w:val="nil"/>
              <w:bottom w:val="nil"/>
              <w:right w:val="nil"/>
            </w:tcBorders>
            <w:tcMar>
              <w:left w:w="105" w:type="dxa"/>
              <w:right w:w="105" w:type="dxa"/>
            </w:tcMar>
          </w:tcPr>
          <w:p w14:paraId="61FD89FA" w14:textId="77777777" w:rsidR="00F47B0F" w:rsidRPr="00F47B0F" w:rsidRDefault="00F47B0F" w:rsidP="00F47B0F">
            <w:pPr>
              <w:rPr>
                <w:rFonts w:eastAsia="Arial" w:cs="Arial"/>
                <w:sz w:val="20"/>
                <w:szCs w:val="20"/>
              </w:rPr>
            </w:pPr>
            <w:r w:rsidRPr="00F47B0F">
              <w:rPr>
                <w:rFonts w:eastAsia="Arial" w:cs="Arial"/>
                <w:sz w:val="20"/>
                <w:szCs w:val="20"/>
              </w:rPr>
              <w:t>3</w:t>
            </w:r>
          </w:p>
        </w:tc>
        <w:tc>
          <w:tcPr>
            <w:tcW w:w="1500" w:type="dxa"/>
            <w:tcBorders>
              <w:top w:val="nil"/>
              <w:left w:val="nil"/>
              <w:bottom w:val="nil"/>
              <w:right w:val="nil"/>
            </w:tcBorders>
            <w:shd w:val="clear" w:color="auto" w:fill="ECF1BC" w:themeFill="background2" w:themeFillTint="66"/>
            <w:tcMar>
              <w:left w:w="105" w:type="dxa"/>
              <w:right w:w="105" w:type="dxa"/>
            </w:tcMar>
          </w:tcPr>
          <w:p w14:paraId="56A322B2" w14:textId="77777777" w:rsidR="00F47B0F" w:rsidRPr="00F47B0F" w:rsidRDefault="00F47B0F" w:rsidP="00F47B0F">
            <w:pPr>
              <w:rPr>
                <w:rFonts w:eastAsia="Arial" w:cs="Arial"/>
                <w:sz w:val="18"/>
                <w:szCs w:val="18"/>
              </w:rPr>
            </w:pPr>
            <w:r w:rsidRPr="00F47B0F">
              <w:rPr>
                <w:rFonts w:eastAsia="Arial" w:cs="Arial"/>
                <w:sz w:val="18"/>
                <w:szCs w:val="18"/>
              </w:rPr>
              <w:t>Murray</w:t>
            </w:r>
          </w:p>
        </w:tc>
        <w:tc>
          <w:tcPr>
            <w:tcW w:w="945" w:type="dxa"/>
            <w:tcBorders>
              <w:top w:val="nil"/>
              <w:left w:val="nil"/>
              <w:bottom w:val="nil"/>
              <w:right w:val="nil"/>
            </w:tcBorders>
            <w:shd w:val="clear" w:color="auto" w:fill="ECF1BC" w:themeFill="background2" w:themeFillTint="66"/>
            <w:tcMar>
              <w:left w:w="105" w:type="dxa"/>
              <w:right w:w="105" w:type="dxa"/>
            </w:tcMar>
          </w:tcPr>
          <w:p w14:paraId="4B76EF90" w14:textId="77777777" w:rsidR="00F47B0F" w:rsidRPr="00F47B0F" w:rsidRDefault="00F47B0F" w:rsidP="00F47B0F">
            <w:pPr>
              <w:rPr>
                <w:rFonts w:eastAsia="Arial" w:cs="Arial"/>
                <w:sz w:val="18"/>
                <w:szCs w:val="18"/>
              </w:rPr>
            </w:pPr>
            <w:r w:rsidRPr="00F47B0F">
              <w:rPr>
                <w:rFonts w:eastAsia="Arial" w:cs="Arial"/>
                <w:sz w:val="18"/>
                <w:szCs w:val="18"/>
              </w:rPr>
              <w:t>NSW</w:t>
            </w:r>
          </w:p>
        </w:tc>
        <w:tc>
          <w:tcPr>
            <w:tcW w:w="1119" w:type="dxa"/>
            <w:tcBorders>
              <w:top w:val="nil"/>
              <w:left w:val="nil"/>
              <w:bottom w:val="nil"/>
              <w:right w:val="nil"/>
            </w:tcBorders>
            <w:shd w:val="clear" w:color="auto" w:fill="ECF1BC" w:themeFill="background2" w:themeFillTint="66"/>
            <w:tcMar>
              <w:left w:w="105" w:type="dxa"/>
              <w:right w:w="105" w:type="dxa"/>
            </w:tcMar>
          </w:tcPr>
          <w:p w14:paraId="2CD14C8B" w14:textId="77777777" w:rsidR="00F47B0F" w:rsidRPr="00F47B0F" w:rsidRDefault="00F47B0F" w:rsidP="00F47B0F">
            <w:pPr>
              <w:rPr>
                <w:rFonts w:eastAsia="Arial" w:cs="Arial"/>
                <w:sz w:val="18"/>
                <w:szCs w:val="18"/>
              </w:rPr>
            </w:pPr>
            <w:r w:rsidRPr="00F47B0F">
              <w:rPr>
                <w:rFonts w:eastAsia="Arial" w:cs="Arial"/>
                <w:sz w:val="18"/>
                <w:szCs w:val="18"/>
              </w:rPr>
              <w:t>Regional</w:t>
            </w:r>
          </w:p>
        </w:tc>
        <w:tc>
          <w:tcPr>
            <w:tcW w:w="816" w:type="dxa"/>
            <w:tcBorders>
              <w:top w:val="nil"/>
              <w:left w:val="nil"/>
              <w:bottom w:val="nil"/>
              <w:right w:val="nil"/>
            </w:tcBorders>
            <w:shd w:val="clear" w:color="auto" w:fill="ECF1BC" w:themeFill="background2" w:themeFillTint="66"/>
            <w:tcMar>
              <w:left w:w="105" w:type="dxa"/>
              <w:right w:w="105" w:type="dxa"/>
            </w:tcMar>
          </w:tcPr>
          <w:p w14:paraId="7472332E" w14:textId="77777777" w:rsidR="00F47B0F" w:rsidRPr="00F47B0F" w:rsidRDefault="00F47B0F" w:rsidP="00F47B0F">
            <w:pPr>
              <w:rPr>
                <w:rFonts w:eastAsia="Arial" w:cs="Arial"/>
                <w:sz w:val="18"/>
                <w:szCs w:val="18"/>
              </w:rPr>
            </w:pPr>
            <w:r w:rsidRPr="00F47B0F">
              <w:rPr>
                <w:rFonts w:eastAsia="Arial" w:cs="Arial"/>
                <w:sz w:val="18"/>
                <w:szCs w:val="18"/>
              </w:rPr>
              <w:t>8.4%</w:t>
            </w:r>
          </w:p>
        </w:tc>
        <w:tc>
          <w:tcPr>
            <w:tcW w:w="1230" w:type="dxa"/>
            <w:tcBorders>
              <w:top w:val="nil"/>
              <w:left w:val="nil"/>
              <w:bottom w:val="nil"/>
              <w:right w:val="nil"/>
            </w:tcBorders>
            <w:shd w:val="clear" w:color="auto" w:fill="E3EB9B" w:themeFill="background2" w:themeFillTint="99"/>
            <w:tcMar>
              <w:left w:w="105" w:type="dxa"/>
              <w:right w:w="105" w:type="dxa"/>
            </w:tcMar>
          </w:tcPr>
          <w:p w14:paraId="5C225EE0" w14:textId="77777777" w:rsidR="00F47B0F" w:rsidRPr="00F47B0F" w:rsidRDefault="00F47B0F" w:rsidP="00F47B0F">
            <w:pPr>
              <w:rPr>
                <w:rFonts w:eastAsia="Arial" w:cs="Arial"/>
                <w:sz w:val="18"/>
                <w:szCs w:val="18"/>
              </w:rPr>
            </w:pPr>
            <w:r w:rsidRPr="00F47B0F">
              <w:rPr>
                <w:rFonts w:eastAsia="Arial" w:cs="Arial"/>
                <w:sz w:val="18"/>
                <w:szCs w:val="18"/>
              </w:rPr>
              <w:t xml:space="preserve">Launceston and </w:t>
            </w:r>
            <w:proofErr w:type="gramStart"/>
            <w:r w:rsidRPr="00F47B0F">
              <w:rPr>
                <w:rFonts w:eastAsia="Arial" w:cs="Arial"/>
                <w:sz w:val="18"/>
                <w:szCs w:val="18"/>
              </w:rPr>
              <w:t>North East</w:t>
            </w:r>
            <w:proofErr w:type="gramEnd"/>
          </w:p>
        </w:tc>
        <w:tc>
          <w:tcPr>
            <w:tcW w:w="945" w:type="dxa"/>
            <w:tcBorders>
              <w:top w:val="nil"/>
              <w:left w:val="nil"/>
              <w:bottom w:val="nil"/>
              <w:right w:val="nil"/>
            </w:tcBorders>
            <w:shd w:val="clear" w:color="auto" w:fill="E3EB9B" w:themeFill="background2" w:themeFillTint="99"/>
            <w:tcMar>
              <w:left w:w="105" w:type="dxa"/>
              <w:right w:w="105" w:type="dxa"/>
            </w:tcMar>
          </w:tcPr>
          <w:p w14:paraId="2D9E9842" w14:textId="77777777" w:rsidR="00F47B0F" w:rsidRPr="00F47B0F" w:rsidRDefault="00F47B0F" w:rsidP="00F47B0F">
            <w:pPr>
              <w:rPr>
                <w:rFonts w:eastAsia="Arial" w:cs="Arial"/>
                <w:sz w:val="18"/>
                <w:szCs w:val="18"/>
              </w:rPr>
            </w:pPr>
            <w:r w:rsidRPr="00F47B0F">
              <w:rPr>
                <w:rFonts w:eastAsia="Arial" w:cs="Arial"/>
                <w:sz w:val="18"/>
                <w:szCs w:val="18"/>
              </w:rPr>
              <w:t>TAS</w:t>
            </w:r>
          </w:p>
        </w:tc>
        <w:tc>
          <w:tcPr>
            <w:tcW w:w="1080" w:type="dxa"/>
            <w:tcBorders>
              <w:top w:val="nil"/>
              <w:left w:val="nil"/>
              <w:bottom w:val="nil"/>
              <w:right w:val="nil"/>
            </w:tcBorders>
            <w:shd w:val="clear" w:color="auto" w:fill="E3EB9B" w:themeFill="background2" w:themeFillTint="99"/>
            <w:tcMar>
              <w:left w:w="105" w:type="dxa"/>
              <w:right w:w="105" w:type="dxa"/>
            </w:tcMar>
          </w:tcPr>
          <w:p w14:paraId="3843F07F" w14:textId="77777777" w:rsidR="00F47B0F" w:rsidRPr="00F47B0F" w:rsidRDefault="00F47B0F" w:rsidP="00F47B0F">
            <w:pPr>
              <w:rPr>
                <w:rFonts w:eastAsia="Arial" w:cs="Arial"/>
                <w:sz w:val="18"/>
                <w:szCs w:val="18"/>
              </w:rPr>
            </w:pPr>
            <w:r w:rsidRPr="00F47B0F">
              <w:rPr>
                <w:rFonts w:eastAsia="Arial" w:cs="Arial"/>
                <w:sz w:val="18"/>
                <w:szCs w:val="18"/>
              </w:rPr>
              <w:t>Regional</w:t>
            </w:r>
          </w:p>
        </w:tc>
        <w:tc>
          <w:tcPr>
            <w:tcW w:w="930" w:type="dxa"/>
            <w:tcBorders>
              <w:top w:val="nil"/>
              <w:left w:val="nil"/>
              <w:bottom w:val="nil"/>
              <w:right w:val="nil"/>
            </w:tcBorders>
            <w:shd w:val="clear" w:color="auto" w:fill="E3EB9B" w:themeFill="background2" w:themeFillTint="99"/>
            <w:tcMar>
              <w:left w:w="105" w:type="dxa"/>
              <w:right w:w="105" w:type="dxa"/>
            </w:tcMar>
          </w:tcPr>
          <w:p w14:paraId="216E0DC8" w14:textId="77777777" w:rsidR="00F47B0F" w:rsidRPr="00F47B0F" w:rsidRDefault="00F47B0F" w:rsidP="00F47B0F">
            <w:pPr>
              <w:rPr>
                <w:rFonts w:eastAsia="Arial" w:cs="Arial"/>
                <w:sz w:val="18"/>
                <w:szCs w:val="18"/>
              </w:rPr>
            </w:pPr>
            <w:r w:rsidRPr="00F47B0F">
              <w:rPr>
                <w:rFonts w:eastAsia="Arial" w:cs="Arial"/>
                <w:sz w:val="18"/>
                <w:szCs w:val="18"/>
              </w:rPr>
              <w:t>0.8%</w:t>
            </w:r>
          </w:p>
        </w:tc>
      </w:tr>
      <w:tr w:rsidR="00F47B0F" w:rsidRPr="00F47B0F" w14:paraId="7694A14D" w14:textId="77777777" w:rsidTr="005F6ADC">
        <w:trPr>
          <w:trHeight w:val="300"/>
        </w:trPr>
        <w:tc>
          <w:tcPr>
            <w:tcW w:w="405" w:type="dxa"/>
            <w:tcBorders>
              <w:top w:val="nil"/>
              <w:left w:val="nil"/>
              <w:bottom w:val="nil"/>
              <w:right w:val="nil"/>
            </w:tcBorders>
            <w:tcMar>
              <w:left w:w="105" w:type="dxa"/>
              <w:right w:w="105" w:type="dxa"/>
            </w:tcMar>
          </w:tcPr>
          <w:p w14:paraId="04A5124A" w14:textId="77777777" w:rsidR="00F47B0F" w:rsidRPr="00F47B0F" w:rsidRDefault="00F47B0F" w:rsidP="00F47B0F">
            <w:pPr>
              <w:rPr>
                <w:rFonts w:eastAsia="Arial" w:cs="Arial"/>
                <w:sz w:val="20"/>
                <w:szCs w:val="20"/>
              </w:rPr>
            </w:pPr>
            <w:r w:rsidRPr="00F47B0F">
              <w:rPr>
                <w:rFonts w:eastAsia="Arial" w:cs="Arial"/>
                <w:sz w:val="20"/>
                <w:szCs w:val="20"/>
              </w:rPr>
              <w:t>4</w:t>
            </w:r>
          </w:p>
        </w:tc>
        <w:tc>
          <w:tcPr>
            <w:tcW w:w="1500" w:type="dxa"/>
            <w:tcBorders>
              <w:top w:val="nil"/>
              <w:left w:val="nil"/>
              <w:bottom w:val="nil"/>
              <w:right w:val="nil"/>
            </w:tcBorders>
            <w:shd w:val="clear" w:color="auto" w:fill="ECF1BC" w:themeFill="background2" w:themeFillTint="66"/>
            <w:tcMar>
              <w:left w:w="105" w:type="dxa"/>
              <w:right w:w="105" w:type="dxa"/>
            </w:tcMar>
          </w:tcPr>
          <w:p w14:paraId="4BBB5A21" w14:textId="77777777" w:rsidR="00F47B0F" w:rsidRPr="00F47B0F" w:rsidRDefault="00F47B0F" w:rsidP="00F47B0F">
            <w:pPr>
              <w:rPr>
                <w:rFonts w:eastAsia="Arial" w:cs="Arial"/>
                <w:sz w:val="18"/>
                <w:szCs w:val="18"/>
              </w:rPr>
            </w:pPr>
            <w:r w:rsidRPr="00F47B0F">
              <w:rPr>
                <w:rFonts w:eastAsia="Arial" w:cs="Arial"/>
                <w:sz w:val="18"/>
                <w:szCs w:val="18"/>
              </w:rPr>
              <w:t>Moreton Bay - North</w:t>
            </w:r>
          </w:p>
        </w:tc>
        <w:tc>
          <w:tcPr>
            <w:tcW w:w="945" w:type="dxa"/>
            <w:tcBorders>
              <w:top w:val="nil"/>
              <w:left w:val="nil"/>
              <w:bottom w:val="nil"/>
              <w:right w:val="nil"/>
            </w:tcBorders>
            <w:shd w:val="clear" w:color="auto" w:fill="ECF1BC" w:themeFill="background2" w:themeFillTint="66"/>
            <w:tcMar>
              <w:left w:w="105" w:type="dxa"/>
              <w:right w:w="105" w:type="dxa"/>
            </w:tcMar>
          </w:tcPr>
          <w:p w14:paraId="6D7D7522" w14:textId="77777777" w:rsidR="00F47B0F" w:rsidRPr="00F47B0F" w:rsidRDefault="00F47B0F" w:rsidP="00F47B0F">
            <w:pPr>
              <w:rPr>
                <w:rFonts w:eastAsia="Arial" w:cs="Arial"/>
                <w:sz w:val="18"/>
                <w:szCs w:val="18"/>
              </w:rPr>
            </w:pPr>
            <w:r w:rsidRPr="00F47B0F">
              <w:rPr>
                <w:rFonts w:eastAsia="Arial" w:cs="Arial"/>
                <w:sz w:val="18"/>
                <w:szCs w:val="18"/>
              </w:rPr>
              <w:t>QLD</w:t>
            </w:r>
          </w:p>
        </w:tc>
        <w:tc>
          <w:tcPr>
            <w:tcW w:w="1119" w:type="dxa"/>
            <w:tcBorders>
              <w:top w:val="nil"/>
              <w:left w:val="nil"/>
              <w:bottom w:val="nil"/>
              <w:right w:val="nil"/>
            </w:tcBorders>
            <w:shd w:val="clear" w:color="auto" w:fill="ECF1BC" w:themeFill="background2" w:themeFillTint="66"/>
            <w:tcMar>
              <w:left w:w="105" w:type="dxa"/>
              <w:right w:w="105" w:type="dxa"/>
            </w:tcMar>
          </w:tcPr>
          <w:p w14:paraId="01038EB2" w14:textId="77777777" w:rsidR="00F47B0F" w:rsidRPr="00F47B0F" w:rsidRDefault="00F47B0F" w:rsidP="00F47B0F">
            <w:pPr>
              <w:rPr>
                <w:rFonts w:eastAsia="Arial" w:cs="Arial"/>
                <w:sz w:val="18"/>
                <w:szCs w:val="18"/>
              </w:rPr>
            </w:pPr>
            <w:r w:rsidRPr="00F47B0F">
              <w:rPr>
                <w:rFonts w:eastAsia="Arial" w:cs="Arial"/>
                <w:sz w:val="18"/>
                <w:szCs w:val="18"/>
              </w:rPr>
              <w:t>Regional</w:t>
            </w:r>
          </w:p>
        </w:tc>
        <w:tc>
          <w:tcPr>
            <w:tcW w:w="816" w:type="dxa"/>
            <w:tcBorders>
              <w:top w:val="nil"/>
              <w:left w:val="nil"/>
              <w:bottom w:val="nil"/>
              <w:right w:val="nil"/>
            </w:tcBorders>
            <w:shd w:val="clear" w:color="auto" w:fill="ECF1BC" w:themeFill="background2" w:themeFillTint="66"/>
            <w:tcMar>
              <w:left w:w="105" w:type="dxa"/>
              <w:right w:w="105" w:type="dxa"/>
            </w:tcMar>
          </w:tcPr>
          <w:p w14:paraId="0085E12A" w14:textId="77777777" w:rsidR="00F47B0F" w:rsidRPr="00F47B0F" w:rsidRDefault="00F47B0F" w:rsidP="00F47B0F">
            <w:pPr>
              <w:rPr>
                <w:rFonts w:eastAsia="Arial" w:cs="Arial"/>
                <w:sz w:val="18"/>
                <w:szCs w:val="18"/>
              </w:rPr>
            </w:pPr>
            <w:r w:rsidRPr="00F47B0F">
              <w:rPr>
                <w:rFonts w:eastAsia="Arial" w:cs="Arial"/>
                <w:sz w:val="18"/>
                <w:szCs w:val="18"/>
              </w:rPr>
              <w:t>8.2%</w:t>
            </w:r>
          </w:p>
        </w:tc>
        <w:tc>
          <w:tcPr>
            <w:tcW w:w="1230" w:type="dxa"/>
            <w:tcBorders>
              <w:top w:val="nil"/>
              <w:left w:val="nil"/>
              <w:bottom w:val="nil"/>
              <w:right w:val="nil"/>
            </w:tcBorders>
            <w:shd w:val="clear" w:color="auto" w:fill="E3EB9B" w:themeFill="background2" w:themeFillTint="99"/>
            <w:tcMar>
              <w:left w:w="105" w:type="dxa"/>
              <w:right w:w="105" w:type="dxa"/>
            </w:tcMar>
          </w:tcPr>
          <w:p w14:paraId="2B1BB8F7" w14:textId="77777777" w:rsidR="00F47B0F" w:rsidRPr="00F47B0F" w:rsidRDefault="00F47B0F" w:rsidP="00F47B0F">
            <w:pPr>
              <w:rPr>
                <w:rFonts w:eastAsia="Arial" w:cs="Arial"/>
                <w:sz w:val="18"/>
                <w:szCs w:val="18"/>
              </w:rPr>
            </w:pPr>
            <w:r w:rsidRPr="00F47B0F">
              <w:rPr>
                <w:rFonts w:eastAsia="Arial" w:cs="Arial"/>
                <w:sz w:val="18"/>
                <w:szCs w:val="18"/>
              </w:rPr>
              <w:t xml:space="preserve">South Australia - </w:t>
            </w:r>
            <w:proofErr w:type="gramStart"/>
            <w:r w:rsidRPr="00F47B0F">
              <w:rPr>
                <w:rFonts w:eastAsia="Arial" w:cs="Arial"/>
                <w:sz w:val="18"/>
                <w:szCs w:val="18"/>
              </w:rPr>
              <w:t>South East</w:t>
            </w:r>
            <w:proofErr w:type="gramEnd"/>
          </w:p>
        </w:tc>
        <w:tc>
          <w:tcPr>
            <w:tcW w:w="945" w:type="dxa"/>
            <w:tcBorders>
              <w:top w:val="nil"/>
              <w:left w:val="nil"/>
              <w:bottom w:val="nil"/>
              <w:right w:val="nil"/>
            </w:tcBorders>
            <w:shd w:val="clear" w:color="auto" w:fill="E3EB9B" w:themeFill="background2" w:themeFillTint="99"/>
            <w:tcMar>
              <w:left w:w="105" w:type="dxa"/>
              <w:right w:w="105" w:type="dxa"/>
            </w:tcMar>
          </w:tcPr>
          <w:p w14:paraId="61939D40" w14:textId="77777777" w:rsidR="00F47B0F" w:rsidRPr="00F47B0F" w:rsidRDefault="00F47B0F" w:rsidP="00F47B0F">
            <w:pPr>
              <w:rPr>
                <w:rFonts w:eastAsia="Arial" w:cs="Arial"/>
                <w:sz w:val="18"/>
                <w:szCs w:val="18"/>
              </w:rPr>
            </w:pPr>
            <w:r w:rsidRPr="00F47B0F">
              <w:rPr>
                <w:rFonts w:eastAsia="Arial" w:cs="Arial"/>
                <w:sz w:val="18"/>
                <w:szCs w:val="18"/>
              </w:rPr>
              <w:t>SA</w:t>
            </w:r>
          </w:p>
        </w:tc>
        <w:tc>
          <w:tcPr>
            <w:tcW w:w="1080" w:type="dxa"/>
            <w:tcBorders>
              <w:top w:val="nil"/>
              <w:left w:val="nil"/>
              <w:bottom w:val="nil"/>
              <w:right w:val="nil"/>
            </w:tcBorders>
            <w:shd w:val="clear" w:color="auto" w:fill="E3EB9B" w:themeFill="background2" w:themeFillTint="99"/>
            <w:tcMar>
              <w:left w:w="105" w:type="dxa"/>
              <w:right w:w="105" w:type="dxa"/>
            </w:tcMar>
          </w:tcPr>
          <w:p w14:paraId="770496AC" w14:textId="77777777" w:rsidR="00F47B0F" w:rsidRPr="00F47B0F" w:rsidRDefault="00F47B0F" w:rsidP="00F47B0F">
            <w:pPr>
              <w:rPr>
                <w:rFonts w:eastAsia="Arial" w:cs="Arial"/>
                <w:sz w:val="18"/>
                <w:szCs w:val="18"/>
              </w:rPr>
            </w:pPr>
            <w:r w:rsidRPr="00F47B0F">
              <w:rPr>
                <w:rFonts w:eastAsia="Arial" w:cs="Arial"/>
                <w:sz w:val="18"/>
                <w:szCs w:val="18"/>
              </w:rPr>
              <w:t>Remote</w:t>
            </w:r>
          </w:p>
        </w:tc>
        <w:tc>
          <w:tcPr>
            <w:tcW w:w="930" w:type="dxa"/>
            <w:tcBorders>
              <w:top w:val="nil"/>
              <w:left w:val="nil"/>
              <w:bottom w:val="nil"/>
              <w:right w:val="nil"/>
            </w:tcBorders>
            <w:shd w:val="clear" w:color="auto" w:fill="E3EB9B" w:themeFill="background2" w:themeFillTint="99"/>
            <w:tcMar>
              <w:left w:w="105" w:type="dxa"/>
              <w:right w:w="105" w:type="dxa"/>
            </w:tcMar>
          </w:tcPr>
          <w:p w14:paraId="061534BB" w14:textId="77777777" w:rsidR="00F47B0F" w:rsidRPr="00F47B0F" w:rsidRDefault="00F47B0F" w:rsidP="00F47B0F">
            <w:pPr>
              <w:rPr>
                <w:rFonts w:eastAsia="Arial" w:cs="Arial"/>
                <w:sz w:val="18"/>
                <w:szCs w:val="18"/>
              </w:rPr>
            </w:pPr>
            <w:r w:rsidRPr="00F47B0F">
              <w:rPr>
                <w:rFonts w:eastAsia="Arial" w:cs="Arial"/>
                <w:sz w:val="18"/>
                <w:szCs w:val="18"/>
              </w:rPr>
              <w:t>0.8%</w:t>
            </w:r>
          </w:p>
        </w:tc>
      </w:tr>
      <w:tr w:rsidR="00F47B0F" w:rsidRPr="00F47B0F" w14:paraId="3F3A3208" w14:textId="77777777" w:rsidTr="005F6ADC">
        <w:trPr>
          <w:trHeight w:val="300"/>
        </w:trPr>
        <w:tc>
          <w:tcPr>
            <w:tcW w:w="405" w:type="dxa"/>
            <w:tcBorders>
              <w:top w:val="nil"/>
              <w:left w:val="nil"/>
              <w:bottom w:val="nil"/>
              <w:right w:val="nil"/>
            </w:tcBorders>
            <w:tcMar>
              <w:left w:w="105" w:type="dxa"/>
              <w:right w:w="105" w:type="dxa"/>
            </w:tcMar>
          </w:tcPr>
          <w:p w14:paraId="3EFD1018" w14:textId="77777777" w:rsidR="00F47B0F" w:rsidRPr="00F47B0F" w:rsidRDefault="00F47B0F" w:rsidP="00F47B0F">
            <w:pPr>
              <w:rPr>
                <w:rFonts w:eastAsia="Arial" w:cs="Arial"/>
                <w:sz w:val="20"/>
                <w:szCs w:val="20"/>
              </w:rPr>
            </w:pPr>
            <w:r w:rsidRPr="00F47B0F">
              <w:rPr>
                <w:rFonts w:eastAsia="Arial" w:cs="Arial"/>
                <w:sz w:val="20"/>
                <w:szCs w:val="20"/>
              </w:rPr>
              <w:t>5</w:t>
            </w:r>
          </w:p>
        </w:tc>
        <w:tc>
          <w:tcPr>
            <w:tcW w:w="1500" w:type="dxa"/>
            <w:tcBorders>
              <w:top w:val="nil"/>
              <w:left w:val="nil"/>
              <w:bottom w:val="nil"/>
              <w:right w:val="nil"/>
            </w:tcBorders>
            <w:shd w:val="clear" w:color="auto" w:fill="ECF1BC" w:themeFill="background2" w:themeFillTint="66"/>
            <w:tcMar>
              <w:left w:w="105" w:type="dxa"/>
              <w:right w:w="105" w:type="dxa"/>
            </w:tcMar>
          </w:tcPr>
          <w:p w14:paraId="0D5F2BC8" w14:textId="77777777" w:rsidR="00F47B0F" w:rsidRPr="00F47B0F" w:rsidRDefault="00F47B0F" w:rsidP="00F47B0F">
            <w:pPr>
              <w:rPr>
                <w:rFonts w:eastAsia="Arial" w:cs="Arial"/>
                <w:sz w:val="18"/>
                <w:szCs w:val="18"/>
              </w:rPr>
            </w:pPr>
            <w:r w:rsidRPr="00F47B0F">
              <w:rPr>
                <w:rFonts w:eastAsia="Arial" w:cs="Arial"/>
                <w:sz w:val="18"/>
                <w:szCs w:val="18"/>
              </w:rPr>
              <w:t>Queensland - Outback</w:t>
            </w:r>
          </w:p>
        </w:tc>
        <w:tc>
          <w:tcPr>
            <w:tcW w:w="945" w:type="dxa"/>
            <w:tcBorders>
              <w:top w:val="nil"/>
              <w:left w:val="nil"/>
              <w:bottom w:val="nil"/>
              <w:right w:val="nil"/>
            </w:tcBorders>
            <w:shd w:val="clear" w:color="auto" w:fill="ECF1BC" w:themeFill="background2" w:themeFillTint="66"/>
            <w:tcMar>
              <w:left w:w="105" w:type="dxa"/>
              <w:right w:w="105" w:type="dxa"/>
            </w:tcMar>
          </w:tcPr>
          <w:p w14:paraId="171F60F0" w14:textId="77777777" w:rsidR="00F47B0F" w:rsidRPr="00F47B0F" w:rsidRDefault="00F47B0F" w:rsidP="00F47B0F">
            <w:pPr>
              <w:rPr>
                <w:rFonts w:eastAsia="Arial" w:cs="Arial"/>
                <w:sz w:val="18"/>
                <w:szCs w:val="18"/>
              </w:rPr>
            </w:pPr>
            <w:r w:rsidRPr="00F47B0F">
              <w:rPr>
                <w:rFonts w:eastAsia="Arial" w:cs="Arial"/>
                <w:sz w:val="18"/>
                <w:szCs w:val="18"/>
              </w:rPr>
              <w:t>QLD</w:t>
            </w:r>
          </w:p>
        </w:tc>
        <w:tc>
          <w:tcPr>
            <w:tcW w:w="1119" w:type="dxa"/>
            <w:tcBorders>
              <w:top w:val="nil"/>
              <w:left w:val="nil"/>
              <w:bottom w:val="nil"/>
              <w:right w:val="nil"/>
            </w:tcBorders>
            <w:shd w:val="clear" w:color="auto" w:fill="ECF1BC" w:themeFill="background2" w:themeFillTint="66"/>
            <w:tcMar>
              <w:left w:w="105" w:type="dxa"/>
              <w:right w:w="105" w:type="dxa"/>
            </w:tcMar>
          </w:tcPr>
          <w:p w14:paraId="29D6A364" w14:textId="77777777" w:rsidR="00F47B0F" w:rsidRPr="00F47B0F" w:rsidRDefault="00F47B0F" w:rsidP="00F47B0F">
            <w:pPr>
              <w:rPr>
                <w:rFonts w:eastAsia="Arial" w:cs="Arial"/>
                <w:sz w:val="18"/>
                <w:szCs w:val="18"/>
              </w:rPr>
            </w:pPr>
            <w:r w:rsidRPr="00F47B0F">
              <w:rPr>
                <w:rFonts w:eastAsia="Arial" w:cs="Arial"/>
                <w:sz w:val="18"/>
                <w:szCs w:val="18"/>
              </w:rPr>
              <w:t>Remote</w:t>
            </w:r>
          </w:p>
        </w:tc>
        <w:tc>
          <w:tcPr>
            <w:tcW w:w="816" w:type="dxa"/>
            <w:tcBorders>
              <w:top w:val="nil"/>
              <w:left w:val="nil"/>
              <w:bottom w:val="nil"/>
              <w:right w:val="nil"/>
            </w:tcBorders>
            <w:shd w:val="clear" w:color="auto" w:fill="ECF1BC" w:themeFill="background2" w:themeFillTint="66"/>
            <w:tcMar>
              <w:left w:w="105" w:type="dxa"/>
              <w:right w:w="105" w:type="dxa"/>
            </w:tcMar>
          </w:tcPr>
          <w:p w14:paraId="2A4702C1" w14:textId="77777777" w:rsidR="00F47B0F" w:rsidRPr="00F47B0F" w:rsidRDefault="00F47B0F" w:rsidP="00F47B0F">
            <w:pPr>
              <w:rPr>
                <w:rFonts w:eastAsia="Arial" w:cs="Arial"/>
                <w:sz w:val="18"/>
                <w:szCs w:val="18"/>
              </w:rPr>
            </w:pPr>
            <w:r w:rsidRPr="00F47B0F">
              <w:rPr>
                <w:rFonts w:eastAsia="Arial" w:cs="Arial"/>
                <w:sz w:val="18"/>
                <w:szCs w:val="18"/>
              </w:rPr>
              <w:t>7.9%</w:t>
            </w:r>
          </w:p>
        </w:tc>
        <w:tc>
          <w:tcPr>
            <w:tcW w:w="1230" w:type="dxa"/>
            <w:tcBorders>
              <w:top w:val="nil"/>
              <w:left w:val="nil"/>
              <w:bottom w:val="nil"/>
              <w:right w:val="nil"/>
            </w:tcBorders>
            <w:shd w:val="clear" w:color="auto" w:fill="E3EB9B" w:themeFill="background2" w:themeFillTint="99"/>
            <w:tcMar>
              <w:left w:w="105" w:type="dxa"/>
              <w:right w:w="105" w:type="dxa"/>
            </w:tcMar>
          </w:tcPr>
          <w:p w14:paraId="01416E46" w14:textId="77777777" w:rsidR="00F47B0F" w:rsidRPr="00F47B0F" w:rsidRDefault="00F47B0F" w:rsidP="00F47B0F">
            <w:pPr>
              <w:rPr>
                <w:rFonts w:eastAsia="Arial" w:cs="Arial"/>
                <w:sz w:val="18"/>
                <w:szCs w:val="18"/>
              </w:rPr>
            </w:pPr>
            <w:r w:rsidRPr="00F47B0F">
              <w:rPr>
                <w:rFonts w:eastAsia="Arial" w:cs="Arial"/>
                <w:sz w:val="18"/>
                <w:szCs w:val="18"/>
              </w:rPr>
              <w:t xml:space="preserve">West and </w:t>
            </w:r>
            <w:proofErr w:type="gramStart"/>
            <w:r w:rsidRPr="00F47B0F">
              <w:rPr>
                <w:rFonts w:eastAsia="Arial" w:cs="Arial"/>
                <w:sz w:val="18"/>
                <w:szCs w:val="18"/>
              </w:rPr>
              <w:t>North West</w:t>
            </w:r>
            <w:proofErr w:type="gramEnd"/>
          </w:p>
        </w:tc>
        <w:tc>
          <w:tcPr>
            <w:tcW w:w="945" w:type="dxa"/>
            <w:tcBorders>
              <w:top w:val="nil"/>
              <w:left w:val="nil"/>
              <w:bottom w:val="nil"/>
              <w:right w:val="nil"/>
            </w:tcBorders>
            <w:shd w:val="clear" w:color="auto" w:fill="E3EB9B" w:themeFill="background2" w:themeFillTint="99"/>
            <w:tcMar>
              <w:left w:w="105" w:type="dxa"/>
              <w:right w:w="105" w:type="dxa"/>
            </w:tcMar>
          </w:tcPr>
          <w:p w14:paraId="463023D5" w14:textId="77777777" w:rsidR="00F47B0F" w:rsidRPr="00F47B0F" w:rsidRDefault="00F47B0F" w:rsidP="00F47B0F">
            <w:pPr>
              <w:rPr>
                <w:rFonts w:eastAsia="Arial" w:cs="Arial"/>
                <w:sz w:val="18"/>
                <w:szCs w:val="18"/>
              </w:rPr>
            </w:pPr>
            <w:r w:rsidRPr="00F47B0F">
              <w:rPr>
                <w:rFonts w:eastAsia="Arial" w:cs="Arial"/>
                <w:sz w:val="18"/>
                <w:szCs w:val="18"/>
              </w:rPr>
              <w:t>TAS</w:t>
            </w:r>
          </w:p>
        </w:tc>
        <w:tc>
          <w:tcPr>
            <w:tcW w:w="1080" w:type="dxa"/>
            <w:tcBorders>
              <w:top w:val="nil"/>
              <w:left w:val="nil"/>
              <w:bottom w:val="nil"/>
              <w:right w:val="nil"/>
            </w:tcBorders>
            <w:shd w:val="clear" w:color="auto" w:fill="E3EB9B" w:themeFill="background2" w:themeFillTint="99"/>
            <w:tcMar>
              <w:left w:w="105" w:type="dxa"/>
              <w:right w:w="105" w:type="dxa"/>
            </w:tcMar>
          </w:tcPr>
          <w:p w14:paraId="3FDB8942" w14:textId="77777777" w:rsidR="00F47B0F" w:rsidRPr="00F47B0F" w:rsidRDefault="00F47B0F" w:rsidP="00F47B0F">
            <w:pPr>
              <w:rPr>
                <w:rFonts w:eastAsia="Arial" w:cs="Arial"/>
                <w:sz w:val="18"/>
                <w:szCs w:val="18"/>
              </w:rPr>
            </w:pPr>
            <w:r w:rsidRPr="00F47B0F">
              <w:rPr>
                <w:rFonts w:eastAsia="Arial" w:cs="Arial"/>
                <w:sz w:val="18"/>
                <w:szCs w:val="18"/>
              </w:rPr>
              <w:t>Remote</w:t>
            </w:r>
          </w:p>
        </w:tc>
        <w:tc>
          <w:tcPr>
            <w:tcW w:w="930" w:type="dxa"/>
            <w:tcBorders>
              <w:top w:val="nil"/>
              <w:left w:val="nil"/>
              <w:bottom w:val="nil"/>
              <w:right w:val="nil"/>
            </w:tcBorders>
            <w:shd w:val="clear" w:color="auto" w:fill="E3EB9B" w:themeFill="background2" w:themeFillTint="99"/>
            <w:tcMar>
              <w:left w:w="105" w:type="dxa"/>
              <w:right w:w="105" w:type="dxa"/>
            </w:tcMar>
          </w:tcPr>
          <w:p w14:paraId="642D76FA" w14:textId="77777777" w:rsidR="00F47B0F" w:rsidRPr="00F47B0F" w:rsidRDefault="00F47B0F" w:rsidP="00F47B0F">
            <w:pPr>
              <w:rPr>
                <w:rFonts w:eastAsia="Arial" w:cs="Arial"/>
                <w:sz w:val="18"/>
                <w:szCs w:val="18"/>
              </w:rPr>
            </w:pPr>
            <w:r w:rsidRPr="00F47B0F">
              <w:rPr>
                <w:rFonts w:eastAsia="Arial" w:cs="Arial"/>
                <w:sz w:val="18"/>
                <w:szCs w:val="18"/>
              </w:rPr>
              <w:t>0.9%</w:t>
            </w:r>
          </w:p>
        </w:tc>
      </w:tr>
      <w:tr w:rsidR="00F47B0F" w:rsidRPr="00F47B0F" w14:paraId="7C794606" w14:textId="77777777" w:rsidTr="005F6ADC">
        <w:trPr>
          <w:trHeight w:val="300"/>
        </w:trPr>
        <w:tc>
          <w:tcPr>
            <w:tcW w:w="8970" w:type="dxa"/>
            <w:gridSpan w:val="9"/>
            <w:tcBorders>
              <w:top w:val="nil"/>
              <w:left w:val="nil"/>
              <w:bottom w:val="nil"/>
              <w:right w:val="nil"/>
            </w:tcBorders>
            <w:tcMar>
              <w:left w:w="105" w:type="dxa"/>
              <w:right w:w="105" w:type="dxa"/>
            </w:tcMar>
          </w:tcPr>
          <w:p w14:paraId="369E353F" w14:textId="77777777" w:rsidR="00F47B0F" w:rsidRPr="00F47B0F" w:rsidRDefault="00F47B0F" w:rsidP="00F47B0F">
            <w:pPr>
              <w:rPr>
                <w:rFonts w:eastAsia="Arial" w:cs="Arial"/>
                <w:sz w:val="20"/>
                <w:szCs w:val="20"/>
              </w:rPr>
            </w:pPr>
          </w:p>
          <w:p w14:paraId="6E6D91A4" w14:textId="77777777" w:rsidR="00F47B0F" w:rsidRPr="00F47B0F" w:rsidRDefault="00F47B0F" w:rsidP="00F47B0F">
            <w:pPr>
              <w:rPr>
                <w:rFonts w:eastAsia="Arial" w:cs="Arial"/>
                <w:sz w:val="20"/>
                <w:szCs w:val="20"/>
              </w:rPr>
            </w:pPr>
            <w:r w:rsidRPr="00F47B0F">
              <w:rPr>
                <w:rFonts w:eastAsia="Arial" w:cs="Arial"/>
                <w:b/>
                <w:bCs/>
                <w:sz w:val="20"/>
                <w:szCs w:val="20"/>
              </w:rPr>
              <w:t>Child Care Centre Manager</w:t>
            </w:r>
          </w:p>
        </w:tc>
      </w:tr>
      <w:tr w:rsidR="00F47B0F" w:rsidRPr="00F47B0F" w14:paraId="65DFBD92" w14:textId="77777777" w:rsidTr="005F6ADC">
        <w:trPr>
          <w:trHeight w:val="300"/>
        </w:trPr>
        <w:tc>
          <w:tcPr>
            <w:tcW w:w="405" w:type="dxa"/>
            <w:tcBorders>
              <w:top w:val="nil"/>
              <w:left w:val="nil"/>
              <w:bottom w:val="nil"/>
              <w:right w:val="nil"/>
            </w:tcBorders>
            <w:tcMar>
              <w:left w:w="105" w:type="dxa"/>
              <w:right w:w="105" w:type="dxa"/>
            </w:tcMar>
          </w:tcPr>
          <w:p w14:paraId="53804159" w14:textId="77777777" w:rsidR="00F47B0F" w:rsidRPr="00F47B0F" w:rsidRDefault="00F47B0F" w:rsidP="00F47B0F">
            <w:pPr>
              <w:rPr>
                <w:rFonts w:eastAsia="Arial" w:cs="Arial"/>
                <w:sz w:val="20"/>
                <w:szCs w:val="20"/>
              </w:rPr>
            </w:pPr>
            <w:r w:rsidRPr="00F47B0F">
              <w:rPr>
                <w:rFonts w:eastAsia="Arial" w:cs="Arial"/>
                <w:sz w:val="20"/>
                <w:szCs w:val="20"/>
              </w:rPr>
              <w:t>1</w:t>
            </w:r>
          </w:p>
        </w:tc>
        <w:tc>
          <w:tcPr>
            <w:tcW w:w="1500" w:type="dxa"/>
            <w:tcBorders>
              <w:top w:val="nil"/>
              <w:left w:val="nil"/>
              <w:bottom w:val="nil"/>
              <w:right w:val="nil"/>
            </w:tcBorders>
            <w:shd w:val="clear" w:color="auto" w:fill="ECF1BC" w:themeFill="background2" w:themeFillTint="66"/>
            <w:tcMar>
              <w:left w:w="105" w:type="dxa"/>
              <w:right w:w="105" w:type="dxa"/>
            </w:tcMar>
            <w:vAlign w:val="bottom"/>
          </w:tcPr>
          <w:p w14:paraId="7A57E632" w14:textId="77777777" w:rsidR="00F47B0F" w:rsidRPr="00F47B0F" w:rsidRDefault="00F47B0F" w:rsidP="00F47B0F">
            <w:pPr>
              <w:rPr>
                <w:rFonts w:eastAsia="Arial" w:cs="Arial"/>
                <w:sz w:val="18"/>
                <w:szCs w:val="18"/>
              </w:rPr>
            </w:pPr>
            <w:r w:rsidRPr="00F47B0F">
              <w:rPr>
                <w:rFonts w:eastAsia="Arial" w:cs="Arial"/>
                <w:sz w:val="18"/>
                <w:szCs w:val="18"/>
              </w:rPr>
              <w:t>Queensland - Outback</w:t>
            </w:r>
          </w:p>
        </w:tc>
        <w:tc>
          <w:tcPr>
            <w:tcW w:w="945" w:type="dxa"/>
            <w:tcBorders>
              <w:top w:val="nil"/>
              <w:left w:val="nil"/>
              <w:bottom w:val="nil"/>
              <w:right w:val="nil"/>
            </w:tcBorders>
            <w:shd w:val="clear" w:color="auto" w:fill="ECF1BC" w:themeFill="background2" w:themeFillTint="66"/>
            <w:tcMar>
              <w:left w:w="105" w:type="dxa"/>
              <w:right w:w="105" w:type="dxa"/>
            </w:tcMar>
            <w:vAlign w:val="bottom"/>
          </w:tcPr>
          <w:p w14:paraId="1926F777" w14:textId="77777777" w:rsidR="00F47B0F" w:rsidRPr="00F47B0F" w:rsidRDefault="00F47B0F" w:rsidP="00F47B0F">
            <w:pPr>
              <w:rPr>
                <w:rFonts w:eastAsia="Arial" w:cs="Arial"/>
                <w:sz w:val="18"/>
                <w:szCs w:val="18"/>
              </w:rPr>
            </w:pPr>
            <w:r w:rsidRPr="00F47B0F">
              <w:rPr>
                <w:rFonts w:eastAsia="Arial" w:cs="Arial"/>
                <w:sz w:val="18"/>
                <w:szCs w:val="18"/>
              </w:rPr>
              <w:t>QLD</w:t>
            </w:r>
          </w:p>
        </w:tc>
        <w:tc>
          <w:tcPr>
            <w:tcW w:w="1119" w:type="dxa"/>
            <w:tcBorders>
              <w:top w:val="nil"/>
              <w:left w:val="nil"/>
              <w:bottom w:val="nil"/>
              <w:right w:val="nil"/>
            </w:tcBorders>
            <w:shd w:val="clear" w:color="auto" w:fill="ECF1BC" w:themeFill="background2" w:themeFillTint="66"/>
            <w:tcMar>
              <w:left w:w="105" w:type="dxa"/>
              <w:right w:w="105" w:type="dxa"/>
            </w:tcMar>
            <w:vAlign w:val="bottom"/>
          </w:tcPr>
          <w:p w14:paraId="06F047E8" w14:textId="77777777" w:rsidR="00F47B0F" w:rsidRPr="00F47B0F" w:rsidRDefault="00F47B0F" w:rsidP="00F47B0F">
            <w:pPr>
              <w:rPr>
                <w:rFonts w:eastAsia="Arial" w:cs="Arial"/>
                <w:sz w:val="18"/>
                <w:szCs w:val="18"/>
              </w:rPr>
            </w:pPr>
            <w:r w:rsidRPr="00F47B0F">
              <w:rPr>
                <w:rFonts w:eastAsia="Arial" w:cs="Arial"/>
                <w:sz w:val="18"/>
                <w:szCs w:val="18"/>
              </w:rPr>
              <w:t>Remote</w:t>
            </w:r>
          </w:p>
        </w:tc>
        <w:tc>
          <w:tcPr>
            <w:tcW w:w="816" w:type="dxa"/>
            <w:tcBorders>
              <w:top w:val="nil"/>
              <w:left w:val="nil"/>
              <w:bottom w:val="nil"/>
              <w:right w:val="nil"/>
            </w:tcBorders>
            <w:shd w:val="clear" w:color="auto" w:fill="ECF1BC" w:themeFill="background2" w:themeFillTint="66"/>
            <w:tcMar>
              <w:left w:w="105" w:type="dxa"/>
              <w:right w:w="105" w:type="dxa"/>
            </w:tcMar>
            <w:vAlign w:val="bottom"/>
          </w:tcPr>
          <w:p w14:paraId="4B03412F" w14:textId="77777777" w:rsidR="00F47B0F" w:rsidRPr="00F47B0F" w:rsidRDefault="00F47B0F" w:rsidP="00F47B0F">
            <w:pPr>
              <w:rPr>
                <w:rFonts w:eastAsia="Arial" w:cs="Arial"/>
                <w:sz w:val="18"/>
                <w:szCs w:val="18"/>
              </w:rPr>
            </w:pPr>
            <w:r w:rsidRPr="00F47B0F">
              <w:rPr>
                <w:rFonts w:eastAsia="Arial" w:cs="Arial"/>
                <w:sz w:val="18"/>
                <w:szCs w:val="18"/>
              </w:rPr>
              <w:t>11.8%</w:t>
            </w:r>
          </w:p>
        </w:tc>
        <w:tc>
          <w:tcPr>
            <w:tcW w:w="1230" w:type="dxa"/>
            <w:tcBorders>
              <w:top w:val="nil"/>
              <w:left w:val="nil"/>
              <w:bottom w:val="nil"/>
              <w:right w:val="nil"/>
            </w:tcBorders>
            <w:shd w:val="clear" w:color="auto" w:fill="E3EB9B" w:themeFill="background2" w:themeFillTint="99"/>
            <w:tcMar>
              <w:left w:w="105" w:type="dxa"/>
              <w:right w:w="105" w:type="dxa"/>
            </w:tcMar>
          </w:tcPr>
          <w:p w14:paraId="56E880DD" w14:textId="77777777" w:rsidR="00F47B0F" w:rsidRPr="00F47B0F" w:rsidRDefault="00F47B0F" w:rsidP="00F47B0F">
            <w:pPr>
              <w:rPr>
                <w:rFonts w:eastAsia="Arial" w:cs="Arial"/>
                <w:sz w:val="18"/>
                <w:szCs w:val="18"/>
              </w:rPr>
            </w:pPr>
            <w:proofErr w:type="gramStart"/>
            <w:r w:rsidRPr="00F47B0F">
              <w:rPr>
                <w:rFonts w:eastAsia="Arial" w:cs="Arial"/>
                <w:sz w:val="18"/>
                <w:szCs w:val="18"/>
              </w:rPr>
              <w:t>South East</w:t>
            </w:r>
            <w:proofErr w:type="gramEnd"/>
          </w:p>
        </w:tc>
        <w:tc>
          <w:tcPr>
            <w:tcW w:w="945" w:type="dxa"/>
            <w:tcBorders>
              <w:top w:val="nil"/>
              <w:left w:val="nil"/>
              <w:bottom w:val="nil"/>
              <w:right w:val="nil"/>
            </w:tcBorders>
            <w:shd w:val="clear" w:color="auto" w:fill="E3EB9B" w:themeFill="background2" w:themeFillTint="99"/>
            <w:tcMar>
              <w:left w:w="105" w:type="dxa"/>
              <w:right w:w="105" w:type="dxa"/>
            </w:tcMar>
          </w:tcPr>
          <w:p w14:paraId="30A4817E" w14:textId="77777777" w:rsidR="00F47B0F" w:rsidRPr="00F47B0F" w:rsidRDefault="00F47B0F" w:rsidP="00F47B0F">
            <w:pPr>
              <w:rPr>
                <w:rFonts w:eastAsia="Arial" w:cs="Arial"/>
                <w:sz w:val="18"/>
                <w:szCs w:val="18"/>
              </w:rPr>
            </w:pPr>
            <w:r w:rsidRPr="00F47B0F">
              <w:rPr>
                <w:rFonts w:eastAsia="Arial" w:cs="Arial"/>
                <w:sz w:val="18"/>
                <w:szCs w:val="18"/>
              </w:rPr>
              <w:t>TAS</w:t>
            </w:r>
          </w:p>
        </w:tc>
        <w:tc>
          <w:tcPr>
            <w:tcW w:w="1080" w:type="dxa"/>
            <w:tcBorders>
              <w:top w:val="nil"/>
              <w:left w:val="nil"/>
              <w:bottom w:val="nil"/>
              <w:right w:val="nil"/>
            </w:tcBorders>
            <w:shd w:val="clear" w:color="auto" w:fill="E3EB9B" w:themeFill="background2" w:themeFillTint="99"/>
            <w:tcMar>
              <w:left w:w="105" w:type="dxa"/>
              <w:right w:w="105" w:type="dxa"/>
            </w:tcMar>
          </w:tcPr>
          <w:p w14:paraId="32088522" w14:textId="77777777" w:rsidR="00F47B0F" w:rsidRPr="00F47B0F" w:rsidRDefault="00F47B0F" w:rsidP="00F47B0F">
            <w:pPr>
              <w:rPr>
                <w:rFonts w:eastAsia="Arial" w:cs="Arial"/>
                <w:sz w:val="18"/>
                <w:szCs w:val="18"/>
              </w:rPr>
            </w:pPr>
            <w:r w:rsidRPr="00F47B0F">
              <w:rPr>
                <w:rFonts w:eastAsia="Arial" w:cs="Arial"/>
                <w:sz w:val="18"/>
                <w:szCs w:val="18"/>
              </w:rPr>
              <w:t>Regional</w:t>
            </w:r>
          </w:p>
        </w:tc>
        <w:tc>
          <w:tcPr>
            <w:tcW w:w="930" w:type="dxa"/>
            <w:tcBorders>
              <w:top w:val="nil"/>
              <w:left w:val="nil"/>
              <w:bottom w:val="nil"/>
              <w:right w:val="nil"/>
            </w:tcBorders>
            <w:shd w:val="clear" w:color="auto" w:fill="E3EB9B" w:themeFill="background2" w:themeFillTint="99"/>
            <w:tcMar>
              <w:left w:w="105" w:type="dxa"/>
              <w:right w:w="105" w:type="dxa"/>
            </w:tcMar>
          </w:tcPr>
          <w:p w14:paraId="0BE83256" w14:textId="77777777" w:rsidR="00F47B0F" w:rsidRPr="00F47B0F" w:rsidRDefault="00F47B0F" w:rsidP="00F47B0F">
            <w:pPr>
              <w:rPr>
                <w:rFonts w:eastAsia="Arial" w:cs="Arial"/>
                <w:sz w:val="20"/>
                <w:szCs w:val="20"/>
              </w:rPr>
            </w:pPr>
            <w:r w:rsidRPr="00F47B0F">
              <w:rPr>
                <w:rFonts w:eastAsia="Arial" w:cs="Arial"/>
                <w:sz w:val="20"/>
                <w:szCs w:val="20"/>
              </w:rPr>
              <w:t>0.0%</w:t>
            </w:r>
          </w:p>
        </w:tc>
      </w:tr>
      <w:tr w:rsidR="00F47B0F" w:rsidRPr="00F47B0F" w14:paraId="6CB837D4" w14:textId="77777777" w:rsidTr="005F6ADC">
        <w:trPr>
          <w:trHeight w:val="300"/>
        </w:trPr>
        <w:tc>
          <w:tcPr>
            <w:tcW w:w="405" w:type="dxa"/>
            <w:tcBorders>
              <w:top w:val="nil"/>
              <w:left w:val="nil"/>
              <w:bottom w:val="nil"/>
              <w:right w:val="nil"/>
            </w:tcBorders>
            <w:tcMar>
              <w:left w:w="105" w:type="dxa"/>
              <w:right w:w="105" w:type="dxa"/>
            </w:tcMar>
          </w:tcPr>
          <w:p w14:paraId="537869F2" w14:textId="77777777" w:rsidR="00F47B0F" w:rsidRPr="00F47B0F" w:rsidRDefault="00F47B0F" w:rsidP="00F47B0F">
            <w:pPr>
              <w:rPr>
                <w:rFonts w:eastAsia="Arial" w:cs="Arial"/>
                <w:sz w:val="20"/>
                <w:szCs w:val="20"/>
              </w:rPr>
            </w:pPr>
            <w:r w:rsidRPr="00F47B0F">
              <w:rPr>
                <w:rFonts w:eastAsia="Arial" w:cs="Arial"/>
                <w:sz w:val="20"/>
                <w:szCs w:val="20"/>
              </w:rPr>
              <w:t>2</w:t>
            </w:r>
          </w:p>
        </w:tc>
        <w:tc>
          <w:tcPr>
            <w:tcW w:w="1500" w:type="dxa"/>
            <w:tcBorders>
              <w:top w:val="nil"/>
              <w:left w:val="nil"/>
              <w:bottom w:val="nil"/>
              <w:right w:val="nil"/>
            </w:tcBorders>
            <w:shd w:val="clear" w:color="auto" w:fill="ECF1BC" w:themeFill="background2" w:themeFillTint="66"/>
            <w:tcMar>
              <w:left w:w="105" w:type="dxa"/>
              <w:right w:w="105" w:type="dxa"/>
            </w:tcMar>
            <w:vAlign w:val="bottom"/>
          </w:tcPr>
          <w:p w14:paraId="4D8555EF" w14:textId="77777777" w:rsidR="00F47B0F" w:rsidRPr="00F47B0F" w:rsidRDefault="00F47B0F" w:rsidP="00F47B0F">
            <w:pPr>
              <w:rPr>
                <w:rFonts w:eastAsia="Arial" w:cs="Arial"/>
                <w:sz w:val="18"/>
                <w:szCs w:val="18"/>
              </w:rPr>
            </w:pPr>
            <w:r w:rsidRPr="00F47B0F">
              <w:rPr>
                <w:rFonts w:eastAsia="Arial" w:cs="Arial"/>
                <w:sz w:val="18"/>
                <w:szCs w:val="18"/>
              </w:rPr>
              <w:t>Perth</w:t>
            </w:r>
          </w:p>
        </w:tc>
        <w:tc>
          <w:tcPr>
            <w:tcW w:w="945" w:type="dxa"/>
            <w:tcBorders>
              <w:top w:val="nil"/>
              <w:left w:val="nil"/>
              <w:bottom w:val="nil"/>
              <w:right w:val="nil"/>
            </w:tcBorders>
            <w:shd w:val="clear" w:color="auto" w:fill="ECF1BC" w:themeFill="background2" w:themeFillTint="66"/>
            <w:tcMar>
              <w:left w:w="105" w:type="dxa"/>
              <w:right w:w="105" w:type="dxa"/>
            </w:tcMar>
            <w:vAlign w:val="bottom"/>
          </w:tcPr>
          <w:p w14:paraId="0F3E96AE" w14:textId="77777777" w:rsidR="00F47B0F" w:rsidRPr="00F47B0F" w:rsidRDefault="00F47B0F" w:rsidP="00F47B0F">
            <w:pPr>
              <w:rPr>
                <w:rFonts w:eastAsia="Arial" w:cs="Arial"/>
                <w:sz w:val="18"/>
                <w:szCs w:val="18"/>
              </w:rPr>
            </w:pPr>
            <w:r w:rsidRPr="00F47B0F">
              <w:rPr>
                <w:rFonts w:eastAsia="Arial" w:cs="Arial"/>
                <w:sz w:val="18"/>
                <w:szCs w:val="18"/>
              </w:rPr>
              <w:t>WA</w:t>
            </w:r>
          </w:p>
        </w:tc>
        <w:tc>
          <w:tcPr>
            <w:tcW w:w="1119" w:type="dxa"/>
            <w:tcBorders>
              <w:top w:val="nil"/>
              <w:left w:val="nil"/>
              <w:bottom w:val="nil"/>
              <w:right w:val="nil"/>
            </w:tcBorders>
            <w:shd w:val="clear" w:color="auto" w:fill="ECF1BC" w:themeFill="background2" w:themeFillTint="66"/>
            <w:tcMar>
              <w:left w:w="105" w:type="dxa"/>
              <w:right w:w="105" w:type="dxa"/>
            </w:tcMar>
            <w:vAlign w:val="bottom"/>
          </w:tcPr>
          <w:p w14:paraId="6F27576B" w14:textId="77777777" w:rsidR="00F47B0F" w:rsidRPr="00F47B0F" w:rsidRDefault="00F47B0F" w:rsidP="00F47B0F">
            <w:pPr>
              <w:rPr>
                <w:rFonts w:eastAsia="Arial" w:cs="Arial"/>
                <w:sz w:val="18"/>
                <w:szCs w:val="18"/>
              </w:rPr>
            </w:pPr>
            <w:r w:rsidRPr="00F47B0F">
              <w:rPr>
                <w:rFonts w:eastAsia="Arial" w:cs="Arial"/>
                <w:sz w:val="18"/>
                <w:szCs w:val="18"/>
              </w:rPr>
              <w:t>Capital</w:t>
            </w:r>
          </w:p>
        </w:tc>
        <w:tc>
          <w:tcPr>
            <w:tcW w:w="816" w:type="dxa"/>
            <w:tcBorders>
              <w:top w:val="nil"/>
              <w:left w:val="nil"/>
              <w:bottom w:val="nil"/>
              <w:right w:val="nil"/>
            </w:tcBorders>
            <w:shd w:val="clear" w:color="auto" w:fill="ECF1BC" w:themeFill="background2" w:themeFillTint="66"/>
            <w:tcMar>
              <w:left w:w="105" w:type="dxa"/>
              <w:right w:w="105" w:type="dxa"/>
            </w:tcMar>
            <w:vAlign w:val="bottom"/>
          </w:tcPr>
          <w:p w14:paraId="53518547" w14:textId="77777777" w:rsidR="00F47B0F" w:rsidRPr="00F47B0F" w:rsidRDefault="00F47B0F" w:rsidP="00F47B0F">
            <w:pPr>
              <w:rPr>
                <w:rFonts w:eastAsia="Arial" w:cs="Arial"/>
                <w:sz w:val="18"/>
                <w:szCs w:val="18"/>
              </w:rPr>
            </w:pPr>
            <w:r w:rsidRPr="00F47B0F">
              <w:rPr>
                <w:rFonts w:eastAsia="Arial" w:cs="Arial"/>
                <w:sz w:val="18"/>
                <w:szCs w:val="18"/>
              </w:rPr>
              <w:t>9.4%</w:t>
            </w:r>
          </w:p>
        </w:tc>
        <w:tc>
          <w:tcPr>
            <w:tcW w:w="1230" w:type="dxa"/>
            <w:tcBorders>
              <w:top w:val="nil"/>
              <w:left w:val="nil"/>
              <w:bottom w:val="nil"/>
              <w:right w:val="nil"/>
            </w:tcBorders>
            <w:shd w:val="clear" w:color="auto" w:fill="E3EB9B" w:themeFill="background2" w:themeFillTint="99"/>
            <w:tcMar>
              <w:left w:w="105" w:type="dxa"/>
              <w:right w:w="105" w:type="dxa"/>
            </w:tcMar>
          </w:tcPr>
          <w:p w14:paraId="7972D3B9" w14:textId="77777777" w:rsidR="00F47B0F" w:rsidRPr="00F47B0F" w:rsidRDefault="00F47B0F" w:rsidP="00F47B0F">
            <w:pPr>
              <w:rPr>
                <w:rFonts w:eastAsia="Arial" w:cs="Arial"/>
                <w:sz w:val="18"/>
                <w:szCs w:val="18"/>
              </w:rPr>
            </w:pPr>
            <w:r w:rsidRPr="00F47B0F">
              <w:rPr>
                <w:rFonts w:eastAsia="Arial" w:cs="Arial"/>
                <w:sz w:val="18"/>
                <w:szCs w:val="18"/>
              </w:rPr>
              <w:t>Mornington Peninsula</w:t>
            </w:r>
          </w:p>
        </w:tc>
        <w:tc>
          <w:tcPr>
            <w:tcW w:w="945" w:type="dxa"/>
            <w:tcBorders>
              <w:top w:val="nil"/>
              <w:left w:val="nil"/>
              <w:bottom w:val="nil"/>
              <w:right w:val="nil"/>
            </w:tcBorders>
            <w:shd w:val="clear" w:color="auto" w:fill="E3EB9B" w:themeFill="background2" w:themeFillTint="99"/>
            <w:tcMar>
              <w:left w:w="105" w:type="dxa"/>
              <w:right w:w="105" w:type="dxa"/>
            </w:tcMar>
          </w:tcPr>
          <w:p w14:paraId="453165BB" w14:textId="77777777" w:rsidR="00F47B0F" w:rsidRPr="00F47B0F" w:rsidRDefault="00F47B0F" w:rsidP="00F47B0F">
            <w:pPr>
              <w:rPr>
                <w:rFonts w:eastAsia="Arial" w:cs="Arial"/>
                <w:sz w:val="18"/>
                <w:szCs w:val="18"/>
              </w:rPr>
            </w:pPr>
            <w:r w:rsidRPr="00F47B0F">
              <w:rPr>
                <w:rFonts w:eastAsia="Arial" w:cs="Arial"/>
                <w:sz w:val="18"/>
                <w:szCs w:val="18"/>
              </w:rPr>
              <w:t>VIC</w:t>
            </w:r>
          </w:p>
        </w:tc>
        <w:tc>
          <w:tcPr>
            <w:tcW w:w="1080" w:type="dxa"/>
            <w:tcBorders>
              <w:top w:val="nil"/>
              <w:left w:val="nil"/>
              <w:bottom w:val="nil"/>
              <w:right w:val="nil"/>
            </w:tcBorders>
            <w:shd w:val="clear" w:color="auto" w:fill="E3EB9B" w:themeFill="background2" w:themeFillTint="99"/>
            <w:tcMar>
              <w:left w:w="105" w:type="dxa"/>
              <w:right w:w="105" w:type="dxa"/>
            </w:tcMar>
          </w:tcPr>
          <w:p w14:paraId="131884CA" w14:textId="77777777" w:rsidR="00F47B0F" w:rsidRPr="00F47B0F" w:rsidRDefault="00F47B0F" w:rsidP="00F47B0F">
            <w:pPr>
              <w:rPr>
                <w:rFonts w:eastAsia="Arial" w:cs="Arial"/>
                <w:sz w:val="18"/>
                <w:szCs w:val="18"/>
              </w:rPr>
            </w:pPr>
            <w:r w:rsidRPr="00F47B0F">
              <w:rPr>
                <w:rFonts w:eastAsia="Arial" w:cs="Arial"/>
                <w:sz w:val="18"/>
                <w:szCs w:val="18"/>
              </w:rPr>
              <w:t>Capital</w:t>
            </w:r>
          </w:p>
        </w:tc>
        <w:tc>
          <w:tcPr>
            <w:tcW w:w="930" w:type="dxa"/>
            <w:tcBorders>
              <w:top w:val="nil"/>
              <w:left w:val="nil"/>
              <w:bottom w:val="nil"/>
              <w:right w:val="nil"/>
            </w:tcBorders>
            <w:shd w:val="clear" w:color="auto" w:fill="E3EB9B" w:themeFill="background2" w:themeFillTint="99"/>
            <w:tcMar>
              <w:left w:w="105" w:type="dxa"/>
              <w:right w:w="105" w:type="dxa"/>
            </w:tcMar>
          </w:tcPr>
          <w:p w14:paraId="2EAAE24C" w14:textId="77777777" w:rsidR="00F47B0F" w:rsidRPr="00F47B0F" w:rsidRDefault="00F47B0F" w:rsidP="00F47B0F">
            <w:pPr>
              <w:rPr>
                <w:rFonts w:eastAsia="Arial" w:cs="Arial"/>
                <w:sz w:val="20"/>
                <w:szCs w:val="20"/>
              </w:rPr>
            </w:pPr>
            <w:r w:rsidRPr="00F47B0F">
              <w:rPr>
                <w:rFonts w:eastAsia="Arial" w:cs="Arial"/>
                <w:sz w:val="20"/>
                <w:szCs w:val="20"/>
              </w:rPr>
              <w:t>0.4%</w:t>
            </w:r>
          </w:p>
        </w:tc>
      </w:tr>
      <w:tr w:rsidR="00F47B0F" w:rsidRPr="00F47B0F" w14:paraId="7C3FE93E" w14:textId="77777777" w:rsidTr="005F6ADC">
        <w:trPr>
          <w:trHeight w:val="300"/>
        </w:trPr>
        <w:tc>
          <w:tcPr>
            <w:tcW w:w="405" w:type="dxa"/>
            <w:tcBorders>
              <w:top w:val="nil"/>
              <w:left w:val="nil"/>
              <w:bottom w:val="nil"/>
              <w:right w:val="nil"/>
            </w:tcBorders>
            <w:tcMar>
              <w:left w:w="105" w:type="dxa"/>
              <w:right w:w="105" w:type="dxa"/>
            </w:tcMar>
          </w:tcPr>
          <w:p w14:paraId="72429F06" w14:textId="77777777" w:rsidR="00F47B0F" w:rsidRPr="00F47B0F" w:rsidRDefault="00F47B0F" w:rsidP="00F47B0F">
            <w:pPr>
              <w:rPr>
                <w:rFonts w:eastAsia="Arial" w:cs="Arial"/>
                <w:sz w:val="20"/>
                <w:szCs w:val="20"/>
              </w:rPr>
            </w:pPr>
            <w:r w:rsidRPr="00F47B0F">
              <w:rPr>
                <w:rFonts w:eastAsia="Arial" w:cs="Arial"/>
                <w:sz w:val="20"/>
                <w:szCs w:val="20"/>
              </w:rPr>
              <w:t>3</w:t>
            </w:r>
          </w:p>
        </w:tc>
        <w:tc>
          <w:tcPr>
            <w:tcW w:w="1500" w:type="dxa"/>
            <w:tcBorders>
              <w:top w:val="nil"/>
              <w:left w:val="nil"/>
              <w:bottom w:val="nil"/>
              <w:right w:val="nil"/>
            </w:tcBorders>
            <w:shd w:val="clear" w:color="auto" w:fill="ECF1BC" w:themeFill="background2" w:themeFillTint="66"/>
            <w:tcMar>
              <w:left w:w="105" w:type="dxa"/>
              <w:right w:w="105" w:type="dxa"/>
            </w:tcMar>
            <w:vAlign w:val="bottom"/>
          </w:tcPr>
          <w:p w14:paraId="00DB8F50" w14:textId="77777777" w:rsidR="00F47B0F" w:rsidRPr="00F47B0F" w:rsidRDefault="00F47B0F" w:rsidP="00F47B0F">
            <w:pPr>
              <w:rPr>
                <w:rFonts w:eastAsia="Arial" w:cs="Arial"/>
                <w:sz w:val="18"/>
                <w:szCs w:val="18"/>
              </w:rPr>
            </w:pPr>
            <w:r w:rsidRPr="00F47B0F">
              <w:rPr>
                <w:rFonts w:eastAsia="Arial" w:cs="Arial"/>
                <w:sz w:val="18"/>
                <w:szCs w:val="18"/>
              </w:rPr>
              <w:t>WA - Wheat Belt</w:t>
            </w:r>
          </w:p>
        </w:tc>
        <w:tc>
          <w:tcPr>
            <w:tcW w:w="945" w:type="dxa"/>
            <w:tcBorders>
              <w:top w:val="nil"/>
              <w:left w:val="nil"/>
              <w:bottom w:val="nil"/>
              <w:right w:val="nil"/>
            </w:tcBorders>
            <w:shd w:val="clear" w:color="auto" w:fill="ECF1BC" w:themeFill="background2" w:themeFillTint="66"/>
            <w:tcMar>
              <w:left w:w="105" w:type="dxa"/>
              <w:right w:w="105" w:type="dxa"/>
            </w:tcMar>
            <w:vAlign w:val="bottom"/>
          </w:tcPr>
          <w:p w14:paraId="0215935C" w14:textId="77777777" w:rsidR="00F47B0F" w:rsidRPr="00F47B0F" w:rsidRDefault="00F47B0F" w:rsidP="00F47B0F">
            <w:pPr>
              <w:rPr>
                <w:rFonts w:eastAsia="Arial" w:cs="Arial"/>
                <w:sz w:val="18"/>
                <w:szCs w:val="18"/>
              </w:rPr>
            </w:pPr>
            <w:r w:rsidRPr="00F47B0F">
              <w:rPr>
                <w:rFonts w:eastAsia="Arial" w:cs="Arial"/>
                <w:sz w:val="18"/>
                <w:szCs w:val="18"/>
              </w:rPr>
              <w:t>WA</w:t>
            </w:r>
          </w:p>
        </w:tc>
        <w:tc>
          <w:tcPr>
            <w:tcW w:w="1119" w:type="dxa"/>
            <w:tcBorders>
              <w:top w:val="nil"/>
              <w:left w:val="nil"/>
              <w:bottom w:val="nil"/>
              <w:right w:val="nil"/>
            </w:tcBorders>
            <w:shd w:val="clear" w:color="auto" w:fill="ECF1BC" w:themeFill="background2" w:themeFillTint="66"/>
            <w:tcMar>
              <w:left w:w="105" w:type="dxa"/>
              <w:right w:w="105" w:type="dxa"/>
            </w:tcMar>
            <w:vAlign w:val="bottom"/>
          </w:tcPr>
          <w:p w14:paraId="10C2D2BE" w14:textId="77777777" w:rsidR="00F47B0F" w:rsidRPr="00F47B0F" w:rsidRDefault="00F47B0F" w:rsidP="00F47B0F">
            <w:pPr>
              <w:rPr>
                <w:rFonts w:eastAsia="Arial" w:cs="Arial"/>
                <w:sz w:val="18"/>
                <w:szCs w:val="18"/>
              </w:rPr>
            </w:pPr>
            <w:r w:rsidRPr="00F47B0F">
              <w:rPr>
                <w:rFonts w:eastAsia="Arial" w:cs="Arial"/>
                <w:sz w:val="18"/>
                <w:szCs w:val="18"/>
              </w:rPr>
              <w:t>Remote</w:t>
            </w:r>
          </w:p>
        </w:tc>
        <w:tc>
          <w:tcPr>
            <w:tcW w:w="816" w:type="dxa"/>
            <w:tcBorders>
              <w:top w:val="nil"/>
              <w:left w:val="nil"/>
              <w:bottom w:val="nil"/>
              <w:right w:val="nil"/>
            </w:tcBorders>
            <w:shd w:val="clear" w:color="auto" w:fill="ECF1BC" w:themeFill="background2" w:themeFillTint="66"/>
            <w:tcMar>
              <w:left w:w="105" w:type="dxa"/>
              <w:right w:w="105" w:type="dxa"/>
            </w:tcMar>
            <w:vAlign w:val="bottom"/>
          </w:tcPr>
          <w:p w14:paraId="1D1B8958" w14:textId="77777777" w:rsidR="00F47B0F" w:rsidRPr="00F47B0F" w:rsidRDefault="00F47B0F" w:rsidP="00F47B0F">
            <w:pPr>
              <w:rPr>
                <w:rFonts w:eastAsia="Arial" w:cs="Arial"/>
                <w:sz w:val="18"/>
                <w:szCs w:val="18"/>
              </w:rPr>
            </w:pPr>
            <w:r w:rsidRPr="00F47B0F">
              <w:rPr>
                <w:rFonts w:eastAsia="Arial" w:cs="Arial"/>
                <w:sz w:val="18"/>
                <w:szCs w:val="18"/>
              </w:rPr>
              <w:t>8.3%</w:t>
            </w:r>
          </w:p>
        </w:tc>
        <w:tc>
          <w:tcPr>
            <w:tcW w:w="1230" w:type="dxa"/>
            <w:tcBorders>
              <w:top w:val="nil"/>
              <w:left w:val="nil"/>
              <w:bottom w:val="nil"/>
              <w:right w:val="nil"/>
            </w:tcBorders>
            <w:shd w:val="clear" w:color="auto" w:fill="E3EB9B" w:themeFill="background2" w:themeFillTint="99"/>
            <w:tcMar>
              <w:left w:w="105" w:type="dxa"/>
              <w:right w:w="105" w:type="dxa"/>
            </w:tcMar>
          </w:tcPr>
          <w:p w14:paraId="4470B6A5" w14:textId="77777777" w:rsidR="00F47B0F" w:rsidRPr="00F47B0F" w:rsidRDefault="00F47B0F" w:rsidP="00F47B0F">
            <w:pPr>
              <w:rPr>
                <w:rFonts w:eastAsia="Arial" w:cs="Arial"/>
                <w:sz w:val="18"/>
                <w:szCs w:val="18"/>
              </w:rPr>
            </w:pPr>
            <w:r w:rsidRPr="00F47B0F">
              <w:rPr>
                <w:rFonts w:eastAsia="Arial" w:cs="Arial"/>
                <w:sz w:val="18"/>
                <w:szCs w:val="18"/>
              </w:rPr>
              <w:t>Logan - Beaudesert</w:t>
            </w:r>
          </w:p>
        </w:tc>
        <w:tc>
          <w:tcPr>
            <w:tcW w:w="945" w:type="dxa"/>
            <w:tcBorders>
              <w:top w:val="nil"/>
              <w:left w:val="nil"/>
              <w:bottom w:val="nil"/>
              <w:right w:val="nil"/>
            </w:tcBorders>
            <w:shd w:val="clear" w:color="auto" w:fill="E3EB9B" w:themeFill="background2" w:themeFillTint="99"/>
            <w:tcMar>
              <w:left w:w="105" w:type="dxa"/>
              <w:right w:w="105" w:type="dxa"/>
            </w:tcMar>
          </w:tcPr>
          <w:p w14:paraId="331BA694" w14:textId="77777777" w:rsidR="00F47B0F" w:rsidRPr="00F47B0F" w:rsidRDefault="00F47B0F" w:rsidP="00F47B0F">
            <w:pPr>
              <w:rPr>
                <w:rFonts w:eastAsia="Arial" w:cs="Arial"/>
                <w:sz w:val="18"/>
                <w:szCs w:val="18"/>
              </w:rPr>
            </w:pPr>
            <w:r w:rsidRPr="00F47B0F">
              <w:rPr>
                <w:rFonts w:eastAsia="Arial" w:cs="Arial"/>
                <w:sz w:val="18"/>
                <w:szCs w:val="18"/>
              </w:rPr>
              <w:t>QLD</w:t>
            </w:r>
          </w:p>
        </w:tc>
        <w:tc>
          <w:tcPr>
            <w:tcW w:w="1080" w:type="dxa"/>
            <w:tcBorders>
              <w:top w:val="nil"/>
              <w:left w:val="nil"/>
              <w:bottom w:val="nil"/>
              <w:right w:val="nil"/>
            </w:tcBorders>
            <w:shd w:val="clear" w:color="auto" w:fill="E3EB9B" w:themeFill="background2" w:themeFillTint="99"/>
            <w:tcMar>
              <w:left w:w="105" w:type="dxa"/>
              <w:right w:w="105" w:type="dxa"/>
            </w:tcMar>
          </w:tcPr>
          <w:p w14:paraId="46D25AA0" w14:textId="77777777" w:rsidR="00F47B0F" w:rsidRPr="00F47B0F" w:rsidRDefault="00F47B0F" w:rsidP="00F47B0F">
            <w:pPr>
              <w:rPr>
                <w:rFonts w:eastAsia="Arial" w:cs="Arial"/>
                <w:sz w:val="18"/>
                <w:szCs w:val="18"/>
              </w:rPr>
            </w:pPr>
            <w:r w:rsidRPr="00F47B0F">
              <w:rPr>
                <w:rFonts w:eastAsia="Arial" w:cs="Arial"/>
                <w:sz w:val="18"/>
                <w:szCs w:val="18"/>
              </w:rPr>
              <w:t>Regional</w:t>
            </w:r>
          </w:p>
        </w:tc>
        <w:tc>
          <w:tcPr>
            <w:tcW w:w="930" w:type="dxa"/>
            <w:tcBorders>
              <w:top w:val="nil"/>
              <w:left w:val="nil"/>
              <w:bottom w:val="nil"/>
              <w:right w:val="nil"/>
            </w:tcBorders>
            <w:shd w:val="clear" w:color="auto" w:fill="E3EB9B" w:themeFill="background2" w:themeFillTint="99"/>
            <w:tcMar>
              <w:left w:w="105" w:type="dxa"/>
              <w:right w:w="105" w:type="dxa"/>
            </w:tcMar>
          </w:tcPr>
          <w:p w14:paraId="0EEB8452" w14:textId="77777777" w:rsidR="00F47B0F" w:rsidRPr="00F47B0F" w:rsidRDefault="00F47B0F" w:rsidP="00F47B0F">
            <w:pPr>
              <w:rPr>
                <w:rFonts w:eastAsia="Arial" w:cs="Arial"/>
                <w:sz w:val="20"/>
                <w:szCs w:val="20"/>
              </w:rPr>
            </w:pPr>
            <w:r w:rsidRPr="00F47B0F">
              <w:rPr>
                <w:rFonts w:eastAsia="Arial" w:cs="Arial"/>
                <w:sz w:val="20"/>
                <w:szCs w:val="20"/>
              </w:rPr>
              <w:t>0.4%</w:t>
            </w:r>
          </w:p>
        </w:tc>
      </w:tr>
      <w:tr w:rsidR="00F47B0F" w:rsidRPr="00F47B0F" w14:paraId="17277DDF" w14:textId="77777777" w:rsidTr="005F6ADC">
        <w:trPr>
          <w:trHeight w:val="300"/>
        </w:trPr>
        <w:tc>
          <w:tcPr>
            <w:tcW w:w="405" w:type="dxa"/>
            <w:tcBorders>
              <w:top w:val="nil"/>
              <w:left w:val="nil"/>
              <w:bottom w:val="nil"/>
              <w:right w:val="nil"/>
            </w:tcBorders>
            <w:tcMar>
              <w:left w:w="105" w:type="dxa"/>
              <w:right w:w="105" w:type="dxa"/>
            </w:tcMar>
          </w:tcPr>
          <w:p w14:paraId="3AE3FD37" w14:textId="77777777" w:rsidR="00F47B0F" w:rsidRPr="00F47B0F" w:rsidRDefault="00F47B0F" w:rsidP="00F47B0F">
            <w:pPr>
              <w:rPr>
                <w:rFonts w:eastAsia="Arial" w:cs="Arial"/>
                <w:sz w:val="20"/>
                <w:szCs w:val="20"/>
              </w:rPr>
            </w:pPr>
            <w:r w:rsidRPr="00F47B0F">
              <w:rPr>
                <w:rFonts w:eastAsia="Arial" w:cs="Arial"/>
                <w:sz w:val="20"/>
                <w:szCs w:val="20"/>
              </w:rPr>
              <w:t>4</w:t>
            </w:r>
          </w:p>
        </w:tc>
        <w:tc>
          <w:tcPr>
            <w:tcW w:w="1500" w:type="dxa"/>
            <w:tcBorders>
              <w:top w:val="nil"/>
              <w:left w:val="nil"/>
              <w:bottom w:val="nil"/>
              <w:right w:val="nil"/>
            </w:tcBorders>
            <w:shd w:val="clear" w:color="auto" w:fill="ECF1BC" w:themeFill="background2" w:themeFillTint="66"/>
            <w:tcMar>
              <w:left w:w="105" w:type="dxa"/>
              <w:right w:w="105" w:type="dxa"/>
            </w:tcMar>
            <w:vAlign w:val="bottom"/>
          </w:tcPr>
          <w:p w14:paraId="5775ED0A" w14:textId="77777777" w:rsidR="00F47B0F" w:rsidRPr="00F47B0F" w:rsidRDefault="00F47B0F" w:rsidP="00F47B0F">
            <w:pPr>
              <w:rPr>
                <w:rFonts w:eastAsia="Arial" w:cs="Arial"/>
                <w:sz w:val="18"/>
                <w:szCs w:val="18"/>
              </w:rPr>
            </w:pPr>
            <w:r w:rsidRPr="00F47B0F">
              <w:rPr>
                <w:rFonts w:eastAsia="Arial" w:cs="Arial"/>
                <w:sz w:val="18"/>
                <w:szCs w:val="18"/>
              </w:rPr>
              <w:t>Ballarat</w:t>
            </w:r>
          </w:p>
        </w:tc>
        <w:tc>
          <w:tcPr>
            <w:tcW w:w="945" w:type="dxa"/>
            <w:tcBorders>
              <w:top w:val="nil"/>
              <w:left w:val="nil"/>
              <w:bottom w:val="nil"/>
              <w:right w:val="nil"/>
            </w:tcBorders>
            <w:shd w:val="clear" w:color="auto" w:fill="ECF1BC" w:themeFill="background2" w:themeFillTint="66"/>
            <w:tcMar>
              <w:left w:w="105" w:type="dxa"/>
              <w:right w:w="105" w:type="dxa"/>
            </w:tcMar>
            <w:vAlign w:val="bottom"/>
          </w:tcPr>
          <w:p w14:paraId="62136C1A" w14:textId="77777777" w:rsidR="00F47B0F" w:rsidRPr="00F47B0F" w:rsidRDefault="00F47B0F" w:rsidP="00F47B0F">
            <w:pPr>
              <w:rPr>
                <w:rFonts w:eastAsia="Arial" w:cs="Arial"/>
                <w:sz w:val="18"/>
                <w:szCs w:val="18"/>
              </w:rPr>
            </w:pPr>
            <w:r w:rsidRPr="00F47B0F">
              <w:rPr>
                <w:rFonts w:eastAsia="Arial" w:cs="Arial"/>
                <w:sz w:val="18"/>
                <w:szCs w:val="18"/>
              </w:rPr>
              <w:t>VIC</w:t>
            </w:r>
          </w:p>
        </w:tc>
        <w:tc>
          <w:tcPr>
            <w:tcW w:w="1119" w:type="dxa"/>
            <w:tcBorders>
              <w:top w:val="nil"/>
              <w:left w:val="nil"/>
              <w:bottom w:val="nil"/>
              <w:right w:val="nil"/>
            </w:tcBorders>
            <w:shd w:val="clear" w:color="auto" w:fill="ECF1BC" w:themeFill="background2" w:themeFillTint="66"/>
            <w:tcMar>
              <w:left w:w="105" w:type="dxa"/>
              <w:right w:w="105" w:type="dxa"/>
            </w:tcMar>
            <w:vAlign w:val="bottom"/>
          </w:tcPr>
          <w:p w14:paraId="1E2708A0" w14:textId="77777777" w:rsidR="00F47B0F" w:rsidRPr="00F47B0F" w:rsidRDefault="00F47B0F" w:rsidP="00F47B0F">
            <w:pPr>
              <w:rPr>
                <w:rFonts w:eastAsia="Arial" w:cs="Arial"/>
                <w:sz w:val="18"/>
                <w:szCs w:val="18"/>
              </w:rPr>
            </w:pPr>
            <w:r w:rsidRPr="00F47B0F">
              <w:rPr>
                <w:rFonts w:eastAsia="Arial" w:cs="Arial"/>
                <w:sz w:val="18"/>
                <w:szCs w:val="18"/>
              </w:rPr>
              <w:t>Regional</w:t>
            </w:r>
          </w:p>
        </w:tc>
        <w:tc>
          <w:tcPr>
            <w:tcW w:w="816" w:type="dxa"/>
            <w:tcBorders>
              <w:top w:val="nil"/>
              <w:left w:val="nil"/>
              <w:bottom w:val="nil"/>
              <w:right w:val="nil"/>
            </w:tcBorders>
            <w:shd w:val="clear" w:color="auto" w:fill="ECF1BC" w:themeFill="background2" w:themeFillTint="66"/>
            <w:tcMar>
              <w:left w:w="105" w:type="dxa"/>
              <w:right w:w="105" w:type="dxa"/>
            </w:tcMar>
            <w:vAlign w:val="bottom"/>
          </w:tcPr>
          <w:p w14:paraId="5A829A2C" w14:textId="77777777" w:rsidR="00F47B0F" w:rsidRPr="00F47B0F" w:rsidRDefault="00F47B0F" w:rsidP="00F47B0F">
            <w:pPr>
              <w:rPr>
                <w:rFonts w:eastAsia="Arial" w:cs="Arial"/>
                <w:sz w:val="18"/>
                <w:szCs w:val="18"/>
              </w:rPr>
            </w:pPr>
            <w:r w:rsidRPr="00F47B0F">
              <w:rPr>
                <w:rFonts w:eastAsia="Arial" w:cs="Arial"/>
                <w:sz w:val="18"/>
                <w:szCs w:val="18"/>
              </w:rPr>
              <w:t>8.2%</w:t>
            </w:r>
          </w:p>
        </w:tc>
        <w:tc>
          <w:tcPr>
            <w:tcW w:w="1230" w:type="dxa"/>
            <w:tcBorders>
              <w:top w:val="nil"/>
              <w:left w:val="nil"/>
              <w:bottom w:val="nil"/>
              <w:right w:val="nil"/>
            </w:tcBorders>
            <w:shd w:val="clear" w:color="auto" w:fill="E3EB9B" w:themeFill="background2" w:themeFillTint="99"/>
            <w:tcMar>
              <w:left w:w="105" w:type="dxa"/>
              <w:right w:w="105" w:type="dxa"/>
            </w:tcMar>
          </w:tcPr>
          <w:p w14:paraId="5F615EBA" w14:textId="77777777" w:rsidR="00F47B0F" w:rsidRPr="00F47B0F" w:rsidRDefault="00F47B0F" w:rsidP="00F47B0F">
            <w:pPr>
              <w:rPr>
                <w:rFonts w:eastAsia="Arial" w:cs="Arial"/>
                <w:sz w:val="18"/>
                <w:szCs w:val="18"/>
              </w:rPr>
            </w:pPr>
            <w:r w:rsidRPr="00F47B0F">
              <w:rPr>
                <w:rFonts w:eastAsia="Arial" w:cs="Arial"/>
                <w:sz w:val="18"/>
                <w:szCs w:val="18"/>
              </w:rPr>
              <w:t>Ipswich</w:t>
            </w:r>
          </w:p>
        </w:tc>
        <w:tc>
          <w:tcPr>
            <w:tcW w:w="945" w:type="dxa"/>
            <w:tcBorders>
              <w:top w:val="nil"/>
              <w:left w:val="nil"/>
              <w:bottom w:val="nil"/>
              <w:right w:val="nil"/>
            </w:tcBorders>
            <w:shd w:val="clear" w:color="auto" w:fill="E3EB9B" w:themeFill="background2" w:themeFillTint="99"/>
            <w:tcMar>
              <w:left w:w="105" w:type="dxa"/>
              <w:right w:w="105" w:type="dxa"/>
            </w:tcMar>
          </w:tcPr>
          <w:p w14:paraId="357BF01F" w14:textId="77777777" w:rsidR="00F47B0F" w:rsidRPr="00F47B0F" w:rsidRDefault="00F47B0F" w:rsidP="00F47B0F">
            <w:pPr>
              <w:rPr>
                <w:rFonts w:eastAsia="Arial" w:cs="Arial"/>
                <w:sz w:val="18"/>
                <w:szCs w:val="18"/>
              </w:rPr>
            </w:pPr>
            <w:r w:rsidRPr="00F47B0F">
              <w:rPr>
                <w:rFonts w:eastAsia="Arial" w:cs="Arial"/>
                <w:sz w:val="18"/>
                <w:szCs w:val="18"/>
              </w:rPr>
              <w:t>QLD</w:t>
            </w:r>
          </w:p>
        </w:tc>
        <w:tc>
          <w:tcPr>
            <w:tcW w:w="1080" w:type="dxa"/>
            <w:tcBorders>
              <w:top w:val="nil"/>
              <w:left w:val="nil"/>
              <w:bottom w:val="nil"/>
              <w:right w:val="nil"/>
            </w:tcBorders>
            <w:shd w:val="clear" w:color="auto" w:fill="E3EB9B" w:themeFill="background2" w:themeFillTint="99"/>
            <w:tcMar>
              <w:left w:w="105" w:type="dxa"/>
              <w:right w:w="105" w:type="dxa"/>
            </w:tcMar>
          </w:tcPr>
          <w:p w14:paraId="6EB793F9" w14:textId="77777777" w:rsidR="00F47B0F" w:rsidRPr="00F47B0F" w:rsidRDefault="00F47B0F" w:rsidP="00F47B0F">
            <w:pPr>
              <w:rPr>
                <w:rFonts w:eastAsia="Arial" w:cs="Arial"/>
                <w:sz w:val="18"/>
                <w:szCs w:val="18"/>
              </w:rPr>
            </w:pPr>
            <w:r w:rsidRPr="00F47B0F">
              <w:rPr>
                <w:rFonts w:eastAsia="Arial" w:cs="Arial"/>
                <w:sz w:val="18"/>
                <w:szCs w:val="18"/>
              </w:rPr>
              <w:t>Regional</w:t>
            </w:r>
          </w:p>
        </w:tc>
        <w:tc>
          <w:tcPr>
            <w:tcW w:w="930" w:type="dxa"/>
            <w:tcBorders>
              <w:top w:val="nil"/>
              <w:left w:val="nil"/>
              <w:bottom w:val="nil"/>
              <w:right w:val="nil"/>
            </w:tcBorders>
            <w:shd w:val="clear" w:color="auto" w:fill="E3EB9B" w:themeFill="background2" w:themeFillTint="99"/>
            <w:tcMar>
              <w:left w:w="105" w:type="dxa"/>
              <w:right w:w="105" w:type="dxa"/>
            </w:tcMar>
          </w:tcPr>
          <w:p w14:paraId="13B4B8F0" w14:textId="77777777" w:rsidR="00F47B0F" w:rsidRPr="00F47B0F" w:rsidRDefault="00F47B0F" w:rsidP="00F47B0F">
            <w:pPr>
              <w:rPr>
                <w:rFonts w:eastAsia="Arial" w:cs="Arial"/>
                <w:sz w:val="20"/>
                <w:szCs w:val="20"/>
              </w:rPr>
            </w:pPr>
            <w:r w:rsidRPr="00F47B0F">
              <w:rPr>
                <w:rFonts w:eastAsia="Arial" w:cs="Arial"/>
                <w:sz w:val="20"/>
                <w:szCs w:val="20"/>
              </w:rPr>
              <w:t>0.6%</w:t>
            </w:r>
          </w:p>
        </w:tc>
      </w:tr>
      <w:tr w:rsidR="00F47B0F" w:rsidRPr="00F47B0F" w14:paraId="735F4313" w14:textId="77777777" w:rsidTr="005F6ADC">
        <w:trPr>
          <w:trHeight w:val="300"/>
        </w:trPr>
        <w:tc>
          <w:tcPr>
            <w:tcW w:w="405" w:type="dxa"/>
            <w:tcBorders>
              <w:top w:val="nil"/>
              <w:left w:val="nil"/>
              <w:bottom w:val="nil"/>
              <w:right w:val="nil"/>
            </w:tcBorders>
            <w:tcMar>
              <w:left w:w="105" w:type="dxa"/>
              <w:right w:w="105" w:type="dxa"/>
            </w:tcMar>
          </w:tcPr>
          <w:p w14:paraId="61148DB4" w14:textId="77777777" w:rsidR="00F47B0F" w:rsidRPr="00F47B0F" w:rsidRDefault="00F47B0F" w:rsidP="00F47B0F">
            <w:pPr>
              <w:rPr>
                <w:rFonts w:eastAsia="Arial" w:cs="Arial"/>
                <w:sz w:val="20"/>
                <w:szCs w:val="20"/>
              </w:rPr>
            </w:pPr>
            <w:r w:rsidRPr="00F47B0F">
              <w:rPr>
                <w:rFonts w:eastAsia="Arial" w:cs="Arial"/>
                <w:sz w:val="20"/>
                <w:szCs w:val="20"/>
              </w:rPr>
              <w:t>5</w:t>
            </w:r>
          </w:p>
        </w:tc>
        <w:tc>
          <w:tcPr>
            <w:tcW w:w="1500" w:type="dxa"/>
            <w:tcBorders>
              <w:top w:val="nil"/>
              <w:left w:val="nil"/>
              <w:bottom w:val="nil"/>
              <w:right w:val="nil"/>
            </w:tcBorders>
            <w:shd w:val="clear" w:color="auto" w:fill="ECF1BC" w:themeFill="background2" w:themeFillTint="66"/>
            <w:tcMar>
              <w:left w:w="105" w:type="dxa"/>
              <w:right w:w="105" w:type="dxa"/>
            </w:tcMar>
            <w:vAlign w:val="bottom"/>
          </w:tcPr>
          <w:p w14:paraId="6C8D2D58" w14:textId="77777777" w:rsidR="00F47B0F" w:rsidRPr="00F47B0F" w:rsidRDefault="00F47B0F" w:rsidP="00F47B0F">
            <w:pPr>
              <w:rPr>
                <w:rFonts w:eastAsia="Arial" w:cs="Arial"/>
                <w:sz w:val="18"/>
                <w:szCs w:val="18"/>
              </w:rPr>
            </w:pPr>
            <w:r w:rsidRPr="00F47B0F">
              <w:rPr>
                <w:rFonts w:eastAsia="Arial" w:cs="Arial"/>
                <w:sz w:val="18"/>
                <w:szCs w:val="18"/>
              </w:rPr>
              <w:t>Bunbury</w:t>
            </w:r>
          </w:p>
        </w:tc>
        <w:tc>
          <w:tcPr>
            <w:tcW w:w="945" w:type="dxa"/>
            <w:tcBorders>
              <w:top w:val="nil"/>
              <w:left w:val="nil"/>
              <w:bottom w:val="nil"/>
              <w:right w:val="nil"/>
            </w:tcBorders>
            <w:shd w:val="clear" w:color="auto" w:fill="ECF1BC" w:themeFill="background2" w:themeFillTint="66"/>
            <w:tcMar>
              <w:left w:w="105" w:type="dxa"/>
              <w:right w:w="105" w:type="dxa"/>
            </w:tcMar>
            <w:vAlign w:val="bottom"/>
          </w:tcPr>
          <w:p w14:paraId="7F118BF1" w14:textId="77777777" w:rsidR="00F47B0F" w:rsidRPr="00F47B0F" w:rsidRDefault="00F47B0F" w:rsidP="00F47B0F">
            <w:pPr>
              <w:rPr>
                <w:rFonts w:eastAsia="Arial" w:cs="Arial"/>
                <w:sz w:val="18"/>
                <w:szCs w:val="18"/>
              </w:rPr>
            </w:pPr>
            <w:r w:rsidRPr="00F47B0F">
              <w:rPr>
                <w:rFonts w:eastAsia="Arial" w:cs="Arial"/>
                <w:sz w:val="18"/>
                <w:szCs w:val="18"/>
              </w:rPr>
              <w:t>WA</w:t>
            </w:r>
          </w:p>
        </w:tc>
        <w:tc>
          <w:tcPr>
            <w:tcW w:w="1119" w:type="dxa"/>
            <w:tcBorders>
              <w:top w:val="nil"/>
              <w:left w:val="nil"/>
              <w:bottom w:val="nil"/>
              <w:right w:val="nil"/>
            </w:tcBorders>
            <w:shd w:val="clear" w:color="auto" w:fill="ECF1BC" w:themeFill="background2" w:themeFillTint="66"/>
            <w:tcMar>
              <w:left w:w="105" w:type="dxa"/>
              <w:right w:w="105" w:type="dxa"/>
            </w:tcMar>
            <w:vAlign w:val="bottom"/>
          </w:tcPr>
          <w:p w14:paraId="5F3289DF" w14:textId="77777777" w:rsidR="00F47B0F" w:rsidRPr="00F47B0F" w:rsidRDefault="00F47B0F" w:rsidP="00F47B0F">
            <w:pPr>
              <w:rPr>
                <w:rFonts w:eastAsia="Arial" w:cs="Arial"/>
                <w:sz w:val="18"/>
                <w:szCs w:val="18"/>
              </w:rPr>
            </w:pPr>
            <w:r w:rsidRPr="00F47B0F">
              <w:rPr>
                <w:rFonts w:eastAsia="Arial" w:cs="Arial"/>
                <w:sz w:val="18"/>
                <w:szCs w:val="18"/>
              </w:rPr>
              <w:t>Regional</w:t>
            </w:r>
          </w:p>
        </w:tc>
        <w:tc>
          <w:tcPr>
            <w:tcW w:w="816" w:type="dxa"/>
            <w:tcBorders>
              <w:top w:val="nil"/>
              <w:left w:val="nil"/>
              <w:bottom w:val="nil"/>
              <w:right w:val="nil"/>
            </w:tcBorders>
            <w:shd w:val="clear" w:color="auto" w:fill="ECF1BC" w:themeFill="background2" w:themeFillTint="66"/>
            <w:tcMar>
              <w:left w:w="105" w:type="dxa"/>
              <w:right w:w="105" w:type="dxa"/>
            </w:tcMar>
            <w:vAlign w:val="bottom"/>
          </w:tcPr>
          <w:p w14:paraId="30E00A74" w14:textId="77777777" w:rsidR="00F47B0F" w:rsidRPr="00F47B0F" w:rsidRDefault="00F47B0F" w:rsidP="00F47B0F">
            <w:pPr>
              <w:rPr>
                <w:rFonts w:eastAsia="Arial" w:cs="Arial"/>
                <w:sz w:val="18"/>
                <w:szCs w:val="18"/>
              </w:rPr>
            </w:pPr>
            <w:r w:rsidRPr="00F47B0F">
              <w:rPr>
                <w:rFonts w:eastAsia="Arial" w:cs="Arial"/>
                <w:sz w:val="18"/>
                <w:szCs w:val="18"/>
              </w:rPr>
              <w:t>6.4%</w:t>
            </w:r>
          </w:p>
        </w:tc>
        <w:tc>
          <w:tcPr>
            <w:tcW w:w="1230" w:type="dxa"/>
            <w:tcBorders>
              <w:top w:val="nil"/>
              <w:left w:val="nil"/>
              <w:bottom w:val="nil"/>
              <w:right w:val="nil"/>
            </w:tcBorders>
            <w:shd w:val="clear" w:color="auto" w:fill="E3EB9B" w:themeFill="background2" w:themeFillTint="99"/>
            <w:tcMar>
              <w:left w:w="105" w:type="dxa"/>
              <w:right w:w="105" w:type="dxa"/>
            </w:tcMar>
          </w:tcPr>
          <w:p w14:paraId="1DFDC0D6" w14:textId="77777777" w:rsidR="00F47B0F" w:rsidRPr="00F47B0F" w:rsidRDefault="00F47B0F" w:rsidP="00F47B0F">
            <w:pPr>
              <w:rPr>
                <w:rFonts w:eastAsia="Arial" w:cs="Arial"/>
                <w:sz w:val="18"/>
                <w:szCs w:val="18"/>
              </w:rPr>
            </w:pPr>
            <w:r w:rsidRPr="00F47B0F">
              <w:rPr>
                <w:rFonts w:eastAsia="Arial" w:cs="Arial"/>
                <w:sz w:val="18"/>
                <w:szCs w:val="18"/>
              </w:rPr>
              <w:t>Gold Coast</w:t>
            </w:r>
          </w:p>
        </w:tc>
        <w:tc>
          <w:tcPr>
            <w:tcW w:w="945" w:type="dxa"/>
            <w:tcBorders>
              <w:top w:val="nil"/>
              <w:left w:val="nil"/>
              <w:bottom w:val="nil"/>
              <w:right w:val="nil"/>
            </w:tcBorders>
            <w:shd w:val="clear" w:color="auto" w:fill="E3EB9B" w:themeFill="background2" w:themeFillTint="99"/>
            <w:tcMar>
              <w:left w:w="105" w:type="dxa"/>
              <w:right w:w="105" w:type="dxa"/>
            </w:tcMar>
          </w:tcPr>
          <w:p w14:paraId="2ADB8A2A" w14:textId="77777777" w:rsidR="00F47B0F" w:rsidRPr="00F47B0F" w:rsidRDefault="00F47B0F" w:rsidP="00F47B0F">
            <w:pPr>
              <w:rPr>
                <w:rFonts w:eastAsia="Arial" w:cs="Arial"/>
                <w:sz w:val="18"/>
                <w:szCs w:val="18"/>
              </w:rPr>
            </w:pPr>
            <w:r w:rsidRPr="00F47B0F">
              <w:rPr>
                <w:rFonts w:eastAsia="Arial" w:cs="Arial"/>
                <w:sz w:val="18"/>
                <w:szCs w:val="18"/>
              </w:rPr>
              <w:t>QLD</w:t>
            </w:r>
          </w:p>
        </w:tc>
        <w:tc>
          <w:tcPr>
            <w:tcW w:w="1080" w:type="dxa"/>
            <w:tcBorders>
              <w:top w:val="nil"/>
              <w:left w:val="nil"/>
              <w:bottom w:val="nil"/>
              <w:right w:val="nil"/>
            </w:tcBorders>
            <w:shd w:val="clear" w:color="auto" w:fill="E3EB9B" w:themeFill="background2" w:themeFillTint="99"/>
            <w:tcMar>
              <w:left w:w="105" w:type="dxa"/>
              <w:right w:w="105" w:type="dxa"/>
            </w:tcMar>
          </w:tcPr>
          <w:p w14:paraId="43503E7B" w14:textId="77777777" w:rsidR="00F47B0F" w:rsidRPr="00F47B0F" w:rsidRDefault="00F47B0F" w:rsidP="00F47B0F">
            <w:pPr>
              <w:rPr>
                <w:rFonts w:eastAsia="Arial" w:cs="Arial"/>
                <w:sz w:val="18"/>
                <w:szCs w:val="18"/>
              </w:rPr>
            </w:pPr>
            <w:r w:rsidRPr="00F47B0F">
              <w:rPr>
                <w:rFonts w:eastAsia="Arial" w:cs="Arial"/>
                <w:sz w:val="18"/>
                <w:szCs w:val="18"/>
              </w:rPr>
              <w:t>Regional</w:t>
            </w:r>
          </w:p>
        </w:tc>
        <w:tc>
          <w:tcPr>
            <w:tcW w:w="930" w:type="dxa"/>
            <w:tcBorders>
              <w:top w:val="nil"/>
              <w:left w:val="nil"/>
              <w:bottom w:val="nil"/>
              <w:right w:val="nil"/>
            </w:tcBorders>
            <w:shd w:val="clear" w:color="auto" w:fill="E3EB9B" w:themeFill="background2" w:themeFillTint="99"/>
            <w:tcMar>
              <w:left w:w="105" w:type="dxa"/>
              <w:right w:w="105" w:type="dxa"/>
            </w:tcMar>
          </w:tcPr>
          <w:p w14:paraId="7879CAA0" w14:textId="77777777" w:rsidR="00F47B0F" w:rsidRPr="00F47B0F" w:rsidRDefault="00F47B0F" w:rsidP="00F47B0F">
            <w:pPr>
              <w:rPr>
                <w:rFonts w:eastAsia="Arial" w:cs="Arial"/>
                <w:sz w:val="20"/>
                <w:szCs w:val="20"/>
              </w:rPr>
            </w:pPr>
            <w:r w:rsidRPr="00F47B0F">
              <w:rPr>
                <w:rFonts w:eastAsia="Arial" w:cs="Arial"/>
                <w:sz w:val="20"/>
                <w:szCs w:val="20"/>
              </w:rPr>
              <w:t>1.0%</w:t>
            </w:r>
          </w:p>
        </w:tc>
      </w:tr>
    </w:tbl>
    <w:p w14:paraId="289D1FEC" w14:textId="77777777" w:rsidR="00F47B0F" w:rsidRPr="00F47B0F" w:rsidRDefault="00F47B0F" w:rsidP="00887E52">
      <w:pPr>
        <w:pStyle w:val="Source"/>
      </w:pPr>
      <w:r w:rsidRPr="00F47B0F">
        <w:t>Source: JSA IVI and NERO</w:t>
      </w:r>
    </w:p>
    <w:tbl>
      <w:tblPr>
        <w:tblStyle w:val="BoxC2"/>
        <w:tblW w:w="0" w:type="auto"/>
        <w:tblLook w:val="0620" w:firstRow="1" w:lastRow="0" w:firstColumn="0" w:lastColumn="0" w:noHBand="1" w:noVBand="1"/>
      </w:tblPr>
      <w:tblGrid>
        <w:gridCol w:w="9016"/>
      </w:tblGrid>
      <w:tr w:rsidR="00F47B0F" w:rsidRPr="00F47B0F" w14:paraId="4B2DCC6D" w14:textId="77777777" w:rsidTr="005D67F5">
        <w:tc>
          <w:tcPr>
            <w:tcW w:w="9016" w:type="dxa"/>
          </w:tcPr>
          <w:p w14:paraId="2EDE697E" w14:textId="77777777" w:rsidR="00F47B0F" w:rsidRPr="00F47B0F" w:rsidRDefault="00F47B0F" w:rsidP="00F47B0F">
            <w:pPr>
              <w:rPr>
                <w:rFonts w:eastAsiaTheme="majorEastAsia" w:cstheme="majorBidi"/>
                <w:b/>
                <w:color w:val="005D5D" w:themeColor="accent2"/>
                <w:sz w:val="32"/>
                <w:szCs w:val="24"/>
              </w:rPr>
            </w:pPr>
            <w:r w:rsidRPr="00F47B0F">
              <w:rPr>
                <w:rFonts w:eastAsiaTheme="majorEastAsia" w:cstheme="majorBidi"/>
                <w:b/>
                <w:color w:val="005D5D" w:themeColor="accent2"/>
                <w:sz w:val="32"/>
                <w:szCs w:val="24"/>
              </w:rPr>
              <w:lastRenderedPageBreak/>
              <w:t>CASE STUDY – Recruitment assistance for family day care services</w:t>
            </w:r>
          </w:p>
          <w:p w14:paraId="2581C890" w14:textId="77777777" w:rsidR="00F47B0F" w:rsidRPr="00F47B0F" w:rsidRDefault="00F47B0F" w:rsidP="00F47B0F">
            <w:pPr>
              <w:spacing w:after="160" w:line="259" w:lineRule="auto"/>
            </w:pPr>
            <w:r w:rsidRPr="00F47B0F">
              <w:t xml:space="preserve">In late 2021, Family Day Care Australia (FDCA) launched the ‘Your Business, Their Future’ family day care (FDC) educator recruitment program to promote FDC as a career of choice, and to support approved services to connect with prospective educators, and in doing so, enhancing the recruitment pipeline through a nationally consistent and centralised recruitment function, reducing administrative burden and streamlining the process of entering the FDC sector.  </w:t>
            </w:r>
          </w:p>
          <w:p w14:paraId="7EF80238" w14:textId="77777777" w:rsidR="00F47B0F" w:rsidRPr="00F47B0F" w:rsidRDefault="00F47B0F" w:rsidP="00F47B0F">
            <w:pPr>
              <w:spacing w:after="160" w:line="259" w:lineRule="auto"/>
            </w:pPr>
            <w:r w:rsidRPr="00F47B0F">
              <w:t xml:space="preserve">Through applicant pre-screening of qualifications, fitness and propriety checks, and suitability of premises assessments, FDCA delivers ‘pre-qualified’ leads to approved service members, reducing the duplication of effort in educator recruitment across the sector. FDCA provides ongoing support to applicants in their recruitment journey and builds capacity at the local level through recruitment insights and good practice guidance for approved service members. </w:t>
            </w:r>
          </w:p>
          <w:p w14:paraId="0B7A0A3E" w14:textId="77777777" w:rsidR="00F47B0F" w:rsidRPr="00F47B0F" w:rsidRDefault="00F47B0F" w:rsidP="00F47B0F">
            <w:pPr>
              <w:spacing w:after="160" w:line="259" w:lineRule="auto"/>
            </w:pPr>
            <w:r w:rsidRPr="00F47B0F">
              <w:t>The program has achieved significant success with over 100 educators placed with 75 approved services since its inception and showcases the value of engaging specialist skills in an efficient, targeted and centralised national recruitment program.</w:t>
            </w:r>
          </w:p>
          <w:p w14:paraId="63E7B594" w14:textId="77777777" w:rsidR="00F47B0F" w:rsidRPr="00F47B0F" w:rsidRDefault="00F47B0F" w:rsidP="00887E52">
            <w:pPr>
              <w:pStyle w:val="Source"/>
              <w:rPr>
                <w:sz w:val="14"/>
                <w:szCs w:val="14"/>
              </w:rPr>
            </w:pPr>
            <w:r w:rsidRPr="00F47B0F">
              <w:t xml:space="preserve">Source: Family Day Care Australia, (2023), </w:t>
            </w:r>
            <w:r w:rsidRPr="00F47B0F">
              <w:rPr>
                <w:i/>
                <w:iCs/>
              </w:rPr>
              <w:t>Annual Report 2022-2023</w:t>
            </w:r>
            <w:r w:rsidRPr="00F47B0F">
              <w:t xml:space="preserve">, FDCA, </w:t>
            </w:r>
            <w:hyperlink r:id="rId98" w:history="1">
              <w:r w:rsidRPr="00F47B0F">
                <w:rPr>
                  <w:color w:val="215E9E" w:themeColor="hyperlink"/>
                  <w:u w:val="single"/>
                </w:rPr>
                <w:t>https://insurance.familydaycare.com.au/assets/public-pdf/About-FDCA/Annual-Reports/FDCA_2022-2023_Annual_Report.pdf?updated=1697674851</w:t>
              </w:r>
            </w:hyperlink>
            <w:r w:rsidRPr="00F47B0F">
              <w:t xml:space="preserve">. </w:t>
            </w:r>
          </w:p>
        </w:tc>
      </w:tr>
    </w:tbl>
    <w:p w14:paraId="37084D63" w14:textId="77777777" w:rsidR="00F47B0F" w:rsidRPr="00F47B0F" w:rsidRDefault="00F47B0F" w:rsidP="00F47B0F"/>
    <w:p w14:paraId="548D95FF" w14:textId="77777777" w:rsidR="00F47B0F" w:rsidRPr="00F47B0F" w:rsidRDefault="00F47B0F" w:rsidP="00F47B0F">
      <w:pPr>
        <w:pStyle w:val="Heading3"/>
      </w:pPr>
      <w:r w:rsidRPr="00F47B0F">
        <w:t>Hiring Trends</w:t>
      </w:r>
    </w:p>
    <w:p w14:paraId="56C038F8" w14:textId="77777777" w:rsidR="00F47B0F" w:rsidRPr="00F47B0F" w:rsidRDefault="00F47B0F" w:rsidP="00F47B0F">
      <w:r w:rsidRPr="00F47B0F">
        <w:t xml:space="preserve">As noted earlier, the roles of ECEC workforce and the expectations placed on them have evolved markedly since the last major update to ANZSCO definitions. A sample of job advertisements from 2019-2023 (inclusive) has therefore been analysed to better understand the ECEC labour market. Lightcast is a database of online job advertisements from across the internet and has been used to gain insight into these trends. </w:t>
      </w:r>
    </w:p>
    <w:p w14:paraId="27565A10" w14:textId="77777777" w:rsidR="00F47B0F" w:rsidRPr="00F47B0F" w:rsidRDefault="00F47B0F" w:rsidP="00F47B0F">
      <w:r w:rsidRPr="00F47B0F">
        <w:t xml:space="preserve">Job titles provide a lot of </w:t>
      </w:r>
      <w:proofErr w:type="gramStart"/>
      <w:r w:rsidRPr="00F47B0F">
        <w:t>context</w:t>
      </w:r>
      <w:proofErr w:type="gramEnd"/>
      <w:r w:rsidRPr="00F47B0F">
        <w:t xml:space="preserve"> for different ECEC roles. Titles generally reflect the desire within the sector of moving towards an ‘education’ framework, as opposed to a ‘care’ framework. </w:t>
      </w:r>
      <w:proofErr w:type="gramStart"/>
      <w:r w:rsidRPr="00F47B0F">
        <w:t>The majority of</w:t>
      </w:r>
      <w:proofErr w:type="gramEnd"/>
      <w:r w:rsidRPr="00F47B0F">
        <w:t xml:space="preserve"> roles advertised are for Early Childhood Educators (corresponding to the ANZSCO </w:t>
      </w:r>
      <w:r w:rsidRPr="00F47B0F">
        <w:rPr>
          <w:i/>
          <w:iCs/>
        </w:rPr>
        <w:t>Early Childhood (Pre-Primary School) Teacher</w:t>
      </w:r>
      <w:r w:rsidRPr="00F47B0F">
        <w:t>, followed by “Educator”, “Lead Educator”, “Child Care Educator”, “Casual Educator”, and “Centre Manager”).</w:t>
      </w:r>
    </w:p>
    <w:p w14:paraId="36C9D4BB" w14:textId="77777777" w:rsidR="00F47B0F" w:rsidRPr="00F47B0F" w:rsidRDefault="00F47B0F" w:rsidP="00F47B0F">
      <w:r w:rsidRPr="00F47B0F">
        <w:t xml:space="preserve">Aside from the occupation being advertised, the most common wording included in job titles is the term “Trainee”, indicating that the need and recognition of the qualifications might be waived in some cases </w:t>
      </w:r>
      <w:proofErr w:type="gramStart"/>
      <w:r w:rsidRPr="00F47B0F">
        <w:t>as a result of</w:t>
      </w:r>
      <w:proofErr w:type="gramEnd"/>
      <w:r w:rsidRPr="00F47B0F">
        <w:t xml:space="preserve"> the staff shortages and immediate demand. This term is followed closely by “trustworthy”. Jobs for </w:t>
      </w:r>
      <w:r w:rsidRPr="00F47B0F">
        <w:rPr>
          <w:i/>
          <w:iCs/>
        </w:rPr>
        <w:t>Nanny</w:t>
      </w:r>
      <w:r w:rsidRPr="00F47B0F">
        <w:t xml:space="preserve"> educators (largely out of scope for this study but a potential source of competition and future supply for the ECEC workforce) also include specialised skills information (such as languages required), location information, and the number of children a </w:t>
      </w:r>
      <w:r w:rsidRPr="00F47B0F">
        <w:rPr>
          <w:i/>
          <w:iCs/>
        </w:rPr>
        <w:t>Nanny</w:t>
      </w:r>
      <w:r w:rsidRPr="00F47B0F">
        <w:t xml:space="preserve"> educator will need to support in the title.</w:t>
      </w:r>
    </w:p>
    <w:p w14:paraId="77F2D742" w14:textId="4B795133" w:rsidR="00F47B0F" w:rsidRPr="00F47B0F" w:rsidRDefault="00F47B0F" w:rsidP="00887E52">
      <w:pPr>
        <w:pStyle w:val="Caption"/>
      </w:pPr>
      <w:r w:rsidRPr="00F47B0F">
        <w:lastRenderedPageBreak/>
        <w:t>Figure 2.</w:t>
      </w:r>
      <w:r w:rsidRPr="00F47B0F">
        <w:fldChar w:fldCharType="begin"/>
      </w:r>
      <w:r w:rsidRPr="00F47B0F">
        <w:instrText xml:space="preserve"> SEQ Figure \* ARABIC \s 1 </w:instrText>
      </w:r>
      <w:r w:rsidRPr="00F47B0F">
        <w:fldChar w:fldCharType="separate"/>
      </w:r>
      <w:r w:rsidR="005F18C1">
        <w:rPr>
          <w:noProof/>
        </w:rPr>
        <w:t>16</w:t>
      </w:r>
      <w:r w:rsidRPr="00F47B0F">
        <w:fldChar w:fldCharType="end"/>
      </w:r>
      <w:r w:rsidRPr="00F47B0F">
        <w:t xml:space="preserve"> Job titles used in advertisements</w:t>
      </w:r>
    </w:p>
    <w:p w14:paraId="3A38EA33" w14:textId="77777777" w:rsidR="00F47B0F" w:rsidRPr="00F47B0F" w:rsidRDefault="00F47B0F" w:rsidP="00F47B0F">
      <w:r w:rsidRPr="00F47B0F">
        <w:rPr>
          <w:noProof/>
        </w:rPr>
        <w:drawing>
          <wp:inline distT="0" distB="0" distL="0" distR="0" wp14:anchorId="12693071" wp14:editId="072FB6B8">
            <wp:extent cx="5724524" cy="2762250"/>
            <wp:effectExtent l="0" t="0" r="0" b="0"/>
            <wp:docPr id="1949332390" name="Picture 1949332390" descr="This figure shows a word cloud of common labels used in early childhood education and care job advertisement titles. The larger words indicate more common titles, while smaller labels indicate less common titles. The most common titles were Educator, Early Childhood Education, Nanny, Casual Educator, Lead Educator, Child Care Educator, and Centre Mana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332390" name="Picture 1949332390" descr="This figure shows a word cloud of common labels used in early childhood education and care job advertisement titles. The larger words indicate more common titles, while smaller labels indicate less common titles. The most common titles were Educator, Early Childhood Education, Nanny, Casual Educator, Lead Educator, Child Care Educator, and Centre Manager."/>
                    <pic:cNvPicPr/>
                  </pic:nvPicPr>
                  <pic:blipFill>
                    <a:blip r:embed="rId99" cstate="screen">
                      <a:extLst>
                        <a:ext uri="{28A0092B-C50C-407E-A947-70E740481C1C}">
                          <a14:useLocalDpi xmlns:a14="http://schemas.microsoft.com/office/drawing/2010/main" val="0"/>
                        </a:ext>
                      </a:extLst>
                    </a:blip>
                    <a:stretch>
                      <a:fillRect/>
                    </a:stretch>
                  </pic:blipFill>
                  <pic:spPr>
                    <a:xfrm>
                      <a:off x="0" y="0"/>
                      <a:ext cx="5724524" cy="2762250"/>
                    </a:xfrm>
                    <a:prstGeom prst="rect">
                      <a:avLst/>
                    </a:prstGeom>
                  </pic:spPr>
                </pic:pic>
              </a:graphicData>
            </a:graphic>
          </wp:inline>
        </w:drawing>
      </w:r>
    </w:p>
    <w:p w14:paraId="347D7DAC" w14:textId="77777777" w:rsidR="00F47B0F" w:rsidRPr="00F47B0F" w:rsidRDefault="00F47B0F" w:rsidP="00F47B0F">
      <w:r w:rsidRPr="00F47B0F">
        <w:t>The skills most often requested in ECEC jobs can be classified into four main groups, and vary widely, reflecting the breadth of different needs across occupation and educational settings:</w:t>
      </w:r>
    </w:p>
    <w:p w14:paraId="4D4AEC7A" w14:textId="77777777" w:rsidR="00F47B0F" w:rsidRPr="00F47B0F" w:rsidRDefault="00F47B0F" w:rsidP="00F47B0F">
      <w:pPr>
        <w:numPr>
          <w:ilvl w:val="0"/>
          <w:numId w:val="18"/>
        </w:numPr>
        <w:spacing w:after="100" w:line="264" w:lineRule="auto"/>
        <w:contextualSpacing/>
      </w:pPr>
      <w:r w:rsidRPr="00F47B0F">
        <w:t>Core skills – relate to the educational role, for example: early childhood education, child caring, educational programmes, and teaching.</w:t>
      </w:r>
    </w:p>
    <w:p w14:paraId="4E5ED89D" w14:textId="77777777" w:rsidR="00F47B0F" w:rsidRPr="00F47B0F" w:rsidRDefault="00F47B0F" w:rsidP="00F47B0F">
      <w:pPr>
        <w:numPr>
          <w:ilvl w:val="0"/>
          <w:numId w:val="18"/>
        </w:numPr>
        <w:spacing w:after="100" w:line="264" w:lineRule="auto"/>
        <w:contextualSpacing/>
      </w:pPr>
      <w:r w:rsidRPr="00F47B0F">
        <w:t>Skills related to health and safety: for example, first aid, working with patient and/or condition: anaphylaxis, CPR, vaccinations (including both being vaccinated, and knowledge of the vaccination process and requirements) and child protection.</w:t>
      </w:r>
    </w:p>
    <w:p w14:paraId="27A8E623" w14:textId="77777777" w:rsidR="00F47B0F" w:rsidRPr="00F47B0F" w:rsidRDefault="00F47B0F" w:rsidP="00F47B0F">
      <w:pPr>
        <w:numPr>
          <w:ilvl w:val="0"/>
          <w:numId w:val="18"/>
        </w:numPr>
        <w:spacing w:after="100" w:line="264" w:lineRule="auto"/>
        <w:contextualSpacing/>
      </w:pPr>
      <w:r w:rsidRPr="00F47B0F">
        <w:t>Enterprise and organisational skills: teamwork/collaboration, budgeting, management training, customer service, social media skills, and conflict management.</w:t>
      </w:r>
    </w:p>
    <w:p w14:paraId="1591A429" w14:textId="77777777" w:rsidR="00F47B0F" w:rsidRPr="00F47B0F" w:rsidRDefault="00F47B0F" w:rsidP="00F47B0F">
      <w:pPr>
        <w:numPr>
          <w:ilvl w:val="0"/>
          <w:numId w:val="18"/>
        </w:numPr>
        <w:spacing w:after="100" w:line="264" w:lineRule="auto"/>
        <w:contextualSpacing/>
      </w:pPr>
      <w:r w:rsidRPr="00F47B0F">
        <w:t>Specialised skills: for example – sustainability and gardening, music, working with patient and/or condition: trauma, mental health, laundry, cooking, and a specific language.</w:t>
      </w:r>
    </w:p>
    <w:p w14:paraId="0F536B66" w14:textId="77777777" w:rsidR="00F47B0F" w:rsidRPr="00F47B0F" w:rsidRDefault="00F47B0F" w:rsidP="00F47B0F">
      <w:r w:rsidRPr="00F47B0F">
        <w:t xml:space="preserve">There are ten skills which are requested of almost all ECEC staff across all occupations in online job advertisements, which include educational programming, child protection, teamwork, First Aid, CPR and Anaphylaxis training. </w:t>
      </w:r>
    </w:p>
    <w:p w14:paraId="0E4BEBDE" w14:textId="77777777" w:rsidR="00F47B0F" w:rsidRPr="00F47B0F" w:rsidRDefault="00F47B0F" w:rsidP="00F47B0F">
      <w:pPr>
        <w:rPr>
          <w:i/>
          <w:iCs/>
        </w:rPr>
      </w:pPr>
      <w:r w:rsidRPr="00F47B0F">
        <w:fldChar w:fldCharType="begin" w:fldLock="1"/>
      </w:r>
      <w:r w:rsidRPr="00F47B0F">
        <w:instrText xml:space="preserve"> REF _Ref169158977 \h </w:instrText>
      </w:r>
      <w:r w:rsidRPr="00F47B0F">
        <w:fldChar w:fldCharType="separate"/>
      </w:r>
      <w:r w:rsidRPr="00F47B0F">
        <w:t>Figure 2.</w:t>
      </w:r>
      <w:r w:rsidRPr="00F47B0F">
        <w:rPr>
          <w:noProof/>
        </w:rPr>
        <w:t>17</w:t>
      </w:r>
      <w:r w:rsidRPr="00F47B0F">
        <w:fldChar w:fldCharType="end"/>
      </w:r>
      <w:r w:rsidRPr="00F47B0F">
        <w:t xml:space="preserve"> below shows the next most frequently occurring skills requested of ECEC staff in online job advertisements outside of the ten most frequent. Showing the range of settings and roles within the sector, these skills are diverse and comprehensive, ranging from </w:t>
      </w:r>
      <w:proofErr w:type="gramStart"/>
      <w:r w:rsidRPr="00F47B0F">
        <w:rPr>
          <w:i/>
          <w:iCs/>
        </w:rPr>
        <w:t>Social Media</w:t>
      </w:r>
      <w:proofErr w:type="gramEnd"/>
      <w:r w:rsidRPr="00F47B0F">
        <w:rPr>
          <w:i/>
          <w:iCs/>
        </w:rPr>
        <w:t>, Music to Laundry and Sales.</w:t>
      </w:r>
    </w:p>
    <w:p w14:paraId="4EA23ABE" w14:textId="77777777" w:rsidR="00603D8A" w:rsidRDefault="00603D8A">
      <w:pPr>
        <w:rPr>
          <w:b/>
          <w:bCs/>
          <w:color w:val="auto"/>
          <w:sz w:val="18"/>
          <w:szCs w:val="18"/>
        </w:rPr>
      </w:pPr>
      <w:bookmarkStart w:id="116" w:name="_Ref169158977"/>
      <w:bookmarkStart w:id="117" w:name="_Ref168060845"/>
      <w:r>
        <w:br w:type="page"/>
      </w:r>
    </w:p>
    <w:p w14:paraId="11A465E3" w14:textId="5F1A3AB4" w:rsidR="00F47B0F" w:rsidRPr="00F47B0F" w:rsidRDefault="00603D8A" w:rsidP="00701210">
      <w:pPr>
        <w:pStyle w:val="Caption"/>
      </w:pPr>
      <w:r w:rsidRPr="00F47B0F">
        <w:rPr>
          <w:noProof/>
        </w:rPr>
        <w:lastRenderedPageBreak/>
        <w:drawing>
          <wp:anchor distT="0" distB="0" distL="114300" distR="114300" simplePos="0" relativeHeight="251716611" behindDoc="0" locked="0" layoutInCell="1" allowOverlap="1" wp14:anchorId="4AB7D708" wp14:editId="0F5E9C30">
            <wp:simplePos x="0" y="0"/>
            <wp:positionH relativeFrom="margin">
              <wp:align>right</wp:align>
            </wp:positionH>
            <wp:positionV relativeFrom="paragraph">
              <wp:posOffset>200025</wp:posOffset>
            </wp:positionV>
            <wp:extent cx="5731200" cy="5724000"/>
            <wp:effectExtent l="0" t="0" r="3175" b="0"/>
            <wp:wrapNone/>
            <wp:docPr id="1247094571" name="Picture 12470945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094571" name="Picture 1247094571">
                      <a:extLst>
                        <a:ext uri="{C183D7F6-B498-43B3-948B-1728B52AA6E4}">
                          <adec:decorative xmlns:adec="http://schemas.microsoft.com/office/drawing/2017/decorative" val="1"/>
                        </a:ext>
                      </a:extLst>
                    </pic:cNvPr>
                    <pic:cNvPicPr/>
                  </pic:nvPicPr>
                  <pic:blipFill>
                    <a:blip r:embed="rId100">
                      <a:extLst>
                        <a:ext uri="{28A0092B-C50C-407E-A947-70E740481C1C}">
                          <a14:useLocalDpi xmlns:a14="http://schemas.microsoft.com/office/drawing/2010/main" val="0"/>
                        </a:ext>
                      </a:extLst>
                    </a:blip>
                    <a:stretch>
                      <a:fillRect/>
                    </a:stretch>
                  </pic:blipFill>
                  <pic:spPr>
                    <a:xfrm>
                      <a:off x="0" y="0"/>
                      <a:ext cx="5731200" cy="5724000"/>
                    </a:xfrm>
                    <a:prstGeom prst="rect">
                      <a:avLst/>
                    </a:prstGeom>
                    <a:solidFill>
                      <a:schemeClr val="bg1"/>
                    </a:solidFill>
                  </pic:spPr>
                </pic:pic>
              </a:graphicData>
            </a:graphic>
            <wp14:sizeRelH relativeFrom="margin">
              <wp14:pctWidth>0</wp14:pctWidth>
            </wp14:sizeRelH>
            <wp14:sizeRelV relativeFrom="margin">
              <wp14:pctHeight>0</wp14:pctHeight>
            </wp14:sizeRelV>
          </wp:anchor>
        </w:drawing>
      </w:r>
      <w:r w:rsidR="00F47B0F" w:rsidRPr="00F47B0F">
        <w:t>Figure 2.</w:t>
      </w:r>
      <w:r w:rsidR="00F47B0F" w:rsidRPr="00F47B0F">
        <w:fldChar w:fldCharType="begin"/>
      </w:r>
      <w:r w:rsidR="00F47B0F" w:rsidRPr="00F47B0F">
        <w:instrText xml:space="preserve"> SEQ Figure \* ARABIC \s 1 </w:instrText>
      </w:r>
      <w:r w:rsidR="00F47B0F" w:rsidRPr="00F47B0F">
        <w:fldChar w:fldCharType="separate"/>
      </w:r>
      <w:r w:rsidR="005F18C1">
        <w:rPr>
          <w:noProof/>
        </w:rPr>
        <w:t>17</w:t>
      </w:r>
      <w:r w:rsidR="00F47B0F" w:rsidRPr="00F47B0F">
        <w:fldChar w:fldCharType="end"/>
      </w:r>
      <w:bookmarkEnd w:id="116"/>
      <w:r w:rsidR="00F47B0F" w:rsidRPr="00F47B0F">
        <w:t xml:space="preserve"> Frequently requested specialist skills in ECEC job ads</w:t>
      </w:r>
      <w:bookmarkEnd w:id="117"/>
    </w:p>
    <w:tbl>
      <w:tblPr>
        <w:tblStyle w:val="Box"/>
        <w:tblW w:w="0" w:type="auto"/>
        <w:jc w:val="center"/>
        <w:tblLook w:val="04A0" w:firstRow="1" w:lastRow="0" w:firstColumn="1" w:lastColumn="0" w:noHBand="0" w:noVBand="1"/>
      </w:tblPr>
      <w:tblGrid>
        <w:gridCol w:w="5103"/>
        <w:gridCol w:w="1780"/>
      </w:tblGrid>
      <w:tr w:rsidR="00603D8A" w:rsidRPr="00603D8A" w14:paraId="6B1BA52A" w14:textId="77777777" w:rsidTr="00603D8A">
        <w:trPr>
          <w:trHeight w:val="20"/>
          <w:jc w:val="center"/>
        </w:trPr>
        <w:tc>
          <w:tcPr>
            <w:tcW w:w="5103" w:type="dxa"/>
            <w:hideMark/>
          </w:tcPr>
          <w:p w14:paraId="7801AD9D" w14:textId="77777777" w:rsidR="00603D8A" w:rsidRPr="00603D8A" w:rsidRDefault="00603D8A" w:rsidP="00603D8A">
            <w:pPr>
              <w:pStyle w:val="Source"/>
              <w:spacing w:before="0" w:after="0"/>
              <w:rPr>
                <w:b/>
                <w:bCs/>
                <w:sz w:val="2"/>
                <w:szCs w:val="2"/>
              </w:rPr>
            </w:pPr>
            <w:r w:rsidRPr="00603D8A">
              <w:rPr>
                <w:b/>
                <w:bCs/>
                <w:sz w:val="2"/>
                <w:szCs w:val="2"/>
              </w:rPr>
              <w:t>Skill Name</w:t>
            </w:r>
          </w:p>
        </w:tc>
        <w:tc>
          <w:tcPr>
            <w:tcW w:w="1780" w:type="dxa"/>
            <w:hideMark/>
          </w:tcPr>
          <w:p w14:paraId="736E5765" w14:textId="77777777" w:rsidR="00603D8A" w:rsidRPr="00603D8A" w:rsidRDefault="00603D8A" w:rsidP="00603D8A">
            <w:pPr>
              <w:pStyle w:val="Source"/>
              <w:spacing w:before="0" w:after="0"/>
              <w:rPr>
                <w:b/>
                <w:bCs/>
                <w:sz w:val="2"/>
                <w:szCs w:val="2"/>
              </w:rPr>
            </w:pPr>
            <w:r w:rsidRPr="00603D8A">
              <w:rPr>
                <w:b/>
                <w:bCs/>
                <w:sz w:val="2"/>
                <w:szCs w:val="2"/>
              </w:rPr>
              <w:t>Frequency</w:t>
            </w:r>
          </w:p>
        </w:tc>
      </w:tr>
      <w:tr w:rsidR="00603D8A" w:rsidRPr="00603D8A" w14:paraId="07BBBFED" w14:textId="77777777" w:rsidTr="00603D8A">
        <w:trPr>
          <w:trHeight w:val="20"/>
          <w:jc w:val="center"/>
        </w:trPr>
        <w:tc>
          <w:tcPr>
            <w:tcW w:w="5103" w:type="dxa"/>
            <w:noWrap/>
            <w:hideMark/>
          </w:tcPr>
          <w:p w14:paraId="1E9C369E" w14:textId="77777777" w:rsidR="00603D8A" w:rsidRPr="00603D8A" w:rsidRDefault="00603D8A" w:rsidP="00603D8A">
            <w:pPr>
              <w:pStyle w:val="Source"/>
              <w:spacing w:before="0" w:after="0"/>
              <w:rPr>
                <w:sz w:val="2"/>
                <w:szCs w:val="2"/>
              </w:rPr>
            </w:pPr>
            <w:r w:rsidRPr="00603D8A">
              <w:rPr>
                <w:sz w:val="2"/>
                <w:szCs w:val="2"/>
              </w:rPr>
              <w:t>Budgeting</w:t>
            </w:r>
          </w:p>
        </w:tc>
        <w:tc>
          <w:tcPr>
            <w:tcW w:w="1780" w:type="dxa"/>
            <w:noWrap/>
            <w:hideMark/>
          </w:tcPr>
          <w:p w14:paraId="69E816B3" w14:textId="77777777" w:rsidR="00603D8A" w:rsidRPr="00603D8A" w:rsidRDefault="00603D8A" w:rsidP="00603D8A">
            <w:pPr>
              <w:pStyle w:val="Source"/>
              <w:spacing w:before="0" w:after="0"/>
              <w:rPr>
                <w:sz w:val="2"/>
                <w:szCs w:val="2"/>
              </w:rPr>
            </w:pPr>
            <w:r w:rsidRPr="00603D8A">
              <w:rPr>
                <w:sz w:val="2"/>
                <w:szCs w:val="2"/>
              </w:rPr>
              <w:t>2015</w:t>
            </w:r>
          </w:p>
        </w:tc>
      </w:tr>
      <w:tr w:rsidR="00603D8A" w:rsidRPr="00603D8A" w14:paraId="76130AE9" w14:textId="77777777" w:rsidTr="00603D8A">
        <w:trPr>
          <w:trHeight w:val="20"/>
          <w:jc w:val="center"/>
        </w:trPr>
        <w:tc>
          <w:tcPr>
            <w:tcW w:w="5103" w:type="dxa"/>
            <w:noWrap/>
            <w:hideMark/>
          </w:tcPr>
          <w:p w14:paraId="48BE93FB" w14:textId="77777777" w:rsidR="00603D8A" w:rsidRPr="00603D8A" w:rsidRDefault="00603D8A" w:rsidP="00603D8A">
            <w:pPr>
              <w:pStyle w:val="Source"/>
              <w:spacing w:before="0" w:after="0"/>
              <w:rPr>
                <w:sz w:val="2"/>
                <w:szCs w:val="2"/>
              </w:rPr>
            </w:pPr>
            <w:r w:rsidRPr="00603D8A">
              <w:rPr>
                <w:sz w:val="2"/>
                <w:szCs w:val="2"/>
              </w:rPr>
              <w:t>Cooking</w:t>
            </w:r>
          </w:p>
        </w:tc>
        <w:tc>
          <w:tcPr>
            <w:tcW w:w="1780" w:type="dxa"/>
            <w:noWrap/>
            <w:hideMark/>
          </w:tcPr>
          <w:p w14:paraId="523FD674" w14:textId="77777777" w:rsidR="00603D8A" w:rsidRPr="00603D8A" w:rsidRDefault="00603D8A" w:rsidP="00603D8A">
            <w:pPr>
              <w:pStyle w:val="Source"/>
              <w:spacing w:before="0" w:after="0"/>
              <w:rPr>
                <w:sz w:val="2"/>
                <w:szCs w:val="2"/>
              </w:rPr>
            </w:pPr>
            <w:r w:rsidRPr="00603D8A">
              <w:rPr>
                <w:sz w:val="2"/>
                <w:szCs w:val="2"/>
              </w:rPr>
              <w:t>2014</w:t>
            </w:r>
          </w:p>
        </w:tc>
      </w:tr>
      <w:tr w:rsidR="00603D8A" w:rsidRPr="00603D8A" w14:paraId="2F180354" w14:textId="77777777" w:rsidTr="00603D8A">
        <w:trPr>
          <w:trHeight w:val="20"/>
          <w:jc w:val="center"/>
        </w:trPr>
        <w:tc>
          <w:tcPr>
            <w:tcW w:w="5103" w:type="dxa"/>
            <w:noWrap/>
            <w:hideMark/>
          </w:tcPr>
          <w:p w14:paraId="539686A0" w14:textId="77777777" w:rsidR="00603D8A" w:rsidRPr="00603D8A" w:rsidRDefault="00603D8A" w:rsidP="00603D8A">
            <w:pPr>
              <w:pStyle w:val="Source"/>
              <w:spacing w:before="0" w:after="0"/>
              <w:rPr>
                <w:sz w:val="2"/>
                <w:szCs w:val="2"/>
              </w:rPr>
            </w:pPr>
            <w:r w:rsidRPr="00603D8A">
              <w:rPr>
                <w:sz w:val="2"/>
                <w:szCs w:val="2"/>
              </w:rPr>
              <w:t>Child Development</w:t>
            </w:r>
          </w:p>
        </w:tc>
        <w:tc>
          <w:tcPr>
            <w:tcW w:w="1780" w:type="dxa"/>
            <w:noWrap/>
            <w:hideMark/>
          </w:tcPr>
          <w:p w14:paraId="50B79D3D" w14:textId="77777777" w:rsidR="00603D8A" w:rsidRPr="00603D8A" w:rsidRDefault="00603D8A" w:rsidP="00603D8A">
            <w:pPr>
              <w:pStyle w:val="Source"/>
              <w:spacing w:before="0" w:after="0"/>
              <w:rPr>
                <w:sz w:val="2"/>
                <w:szCs w:val="2"/>
              </w:rPr>
            </w:pPr>
            <w:r w:rsidRPr="00603D8A">
              <w:rPr>
                <w:sz w:val="2"/>
                <w:szCs w:val="2"/>
              </w:rPr>
              <w:t>1549</w:t>
            </w:r>
          </w:p>
        </w:tc>
      </w:tr>
      <w:tr w:rsidR="00603D8A" w:rsidRPr="00603D8A" w14:paraId="2A8204AB" w14:textId="77777777" w:rsidTr="00603D8A">
        <w:trPr>
          <w:trHeight w:val="20"/>
          <w:jc w:val="center"/>
        </w:trPr>
        <w:tc>
          <w:tcPr>
            <w:tcW w:w="5103" w:type="dxa"/>
            <w:noWrap/>
            <w:hideMark/>
          </w:tcPr>
          <w:p w14:paraId="47448302" w14:textId="77777777" w:rsidR="00603D8A" w:rsidRPr="00603D8A" w:rsidRDefault="00603D8A" w:rsidP="00603D8A">
            <w:pPr>
              <w:pStyle w:val="Source"/>
              <w:spacing w:before="0" w:after="0"/>
              <w:rPr>
                <w:sz w:val="2"/>
                <w:szCs w:val="2"/>
              </w:rPr>
            </w:pPr>
            <w:r w:rsidRPr="00603D8A">
              <w:rPr>
                <w:sz w:val="2"/>
                <w:szCs w:val="2"/>
              </w:rPr>
              <w:t>Caregiving</w:t>
            </w:r>
          </w:p>
        </w:tc>
        <w:tc>
          <w:tcPr>
            <w:tcW w:w="1780" w:type="dxa"/>
            <w:noWrap/>
            <w:hideMark/>
          </w:tcPr>
          <w:p w14:paraId="2A62C73C" w14:textId="77777777" w:rsidR="00603D8A" w:rsidRPr="00603D8A" w:rsidRDefault="00603D8A" w:rsidP="00603D8A">
            <w:pPr>
              <w:pStyle w:val="Source"/>
              <w:spacing w:before="0" w:after="0"/>
              <w:rPr>
                <w:sz w:val="2"/>
                <w:szCs w:val="2"/>
              </w:rPr>
            </w:pPr>
            <w:r w:rsidRPr="00603D8A">
              <w:rPr>
                <w:sz w:val="2"/>
                <w:szCs w:val="2"/>
              </w:rPr>
              <w:t>1478</w:t>
            </w:r>
          </w:p>
        </w:tc>
      </w:tr>
      <w:tr w:rsidR="00603D8A" w:rsidRPr="00603D8A" w14:paraId="5EE2EFAD" w14:textId="77777777" w:rsidTr="00603D8A">
        <w:trPr>
          <w:trHeight w:val="20"/>
          <w:jc w:val="center"/>
        </w:trPr>
        <w:tc>
          <w:tcPr>
            <w:tcW w:w="5103" w:type="dxa"/>
            <w:hideMark/>
          </w:tcPr>
          <w:p w14:paraId="58F9CC9E" w14:textId="77777777" w:rsidR="00603D8A" w:rsidRPr="00603D8A" w:rsidRDefault="00603D8A" w:rsidP="00603D8A">
            <w:pPr>
              <w:pStyle w:val="Source"/>
              <w:spacing w:before="0" w:after="0"/>
              <w:rPr>
                <w:sz w:val="2"/>
                <w:szCs w:val="2"/>
              </w:rPr>
            </w:pPr>
            <w:r w:rsidRPr="00603D8A">
              <w:rPr>
                <w:sz w:val="2"/>
                <w:szCs w:val="2"/>
              </w:rPr>
              <w:t>Meal Preparation</w:t>
            </w:r>
          </w:p>
        </w:tc>
        <w:tc>
          <w:tcPr>
            <w:tcW w:w="1780" w:type="dxa"/>
            <w:noWrap/>
            <w:hideMark/>
          </w:tcPr>
          <w:p w14:paraId="022BA198" w14:textId="77777777" w:rsidR="00603D8A" w:rsidRPr="00603D8A" w:rsidRDefault="00603D8A" w:rsidP="00603D8A">
            <w:pPr>
              <w:pStyle w:val="Source"/>
              <w:spacing w:before="0" w:after="0"/>
              <w:rPr>
                <w:sz w:val="2"/>
                <w:szCs w:val="2"/>
              </w:rPr>
            </w:pPr>
            <w:r w:rsidRPr="00603D8A">
              <w:rPr>
                <w:sz w:val="2"/>
                <w:szCs w:val="2"/>
              </w:rPr>
              <w:t>1453</w:t>
            </w:r>
          </w:p>
        </w:tc>
      </w:tr>
      <w:tr w:rsidR="00603D8A" w:rsidRPr="00603D8A" w14:paraId="246214AE" w14:textId="77777777" w:rsidTr="00603D8A">
        <w:trPr>
          <w:trHeight w:val="20"/>
          <w:jc w:val="center"/>
        </w:trPr>
        <w:tc>
          <w:tcPr>
            <w:tcW w:w="5103" w:type="dxa"/>
            <w:noWrap/>
            <w:hideMark/>
          </w:tcPr>
          <w:p w14:paraId="4311A72D" w14:textId="77777777" w:rsidR="00603D8A" w:rsidRPr="00603D8A" w:rsidRDefault="00603D8A" w:rsidP="00603D8A">
            <w:pPr>
              <w:pStyle w:val="Source"/>
              <w:spacing w:before="0" w:after="0"/>
              <w:rPr>
                <w:sz w:val="2"/>
                <w:szCs w:val="2"/>
              </w:rPr>
            </w:pPr>
            <w:r w:rsidRPr="00603D8A">
              <w:rPr>
                <w:sz w:val="2"/>
                <w:szCs w:val="2"/>
              </w:rPr>
              <w:t>Child Safety</w:t>
            </w:r>
          </w:p>
        </w:tc>
        <w:tc>
          <w:tcPr>
            <w:tcW w:w="1780" w:type="dxa"/>
            <w:noWrap/>
            <w:hideMark/>
          </w:tcPr>
          <w:p w14:paraId="17474656" w14:textId="77777777" w:rsidR="00603D8A" w:rsidRPr="00603D8A" w:rsidRDefault="00603D8A" w:rsidP="00603D8A">
            <w:pPr>
              <w:pStyle w:val="Source"/>
              <w:spacing w:before="0" w:after="0"/>
              <w:rPr>
                <w:sz w:val="2"/>
                <w:szCs w:val="2"/>
              </w:rPr>
            </w:pPr>
            <w:r w:rsidRPr="00603D8A">
              <w:rPr>
                <w:sz w:val="2"/>
                <w:szCs w:val="2"/>
              </w:rPr>
              <w:t>1422</w:t>
            </w:r>
          </w:p>
        </w:tc>
      </w:tr>
      <w:tr w:rsidR="00603D8A" w:rsidRPr="00603D8A" w14:paraId="61EDCE62" w14:textId="77777777" w:rsidTr="00603D8A">
        <w:trPr>
          <w:trHeight w:val="20"/>
          <w:jc w:val="center"/>
        </w:trPr>
        <w:tc>
          <w:tcPr>
            <w:tcW w:w="5103" w:type="dxa"/>
            <w:noWrap/>
            <w:hideMark/>
          </w:tcPr>
          <w:p w14:paraId="61C01CF8" w14:textId="77777777" w:rsidR="00603D8A" w:rsidRPr="00603D8A" w:rsidRDefault="00603D8A" w:rsidP="00603D8A">
            <w:pPr>
              <w:pStyle w:val="Source"/>
              <w:spacing w:before="0" w:after="0"/>
              <w:rPr>
                <w:sz w:val="2"/>
                <w:szCs w:val="2"/>
              </w:rPr>
            </w:pPr>
            <w:r w:rsidRPr="00603D8A">
              <w:rPr>
                <w:sz w:val="2"/>
                <w:szCs w:val="2"/>
              </w:rPr>
              <w:t>Nurturing Environment</w:t>
            </w:r>
          </w:p>
        </w:tc>
        <w:tc>
          <w:tcPr>
            <w:tcW w:w="1780" w:type="dxa"/>
            <w:noWrap/>
            <w:hideMark/>
          </w:tcPr>
          <w:p w14:paraId="2224340E" w14:textId="77777777" w:rsidR="00603D8A" w:rsidRPr="00603D8A" w:rsidRDefault="00603D8A" w:rsidP="00603D8A">
            <w:pPr>
              <w:pStyle w:val="Source"/>
              <w:spacing w:before="0" w:after="0"/>
              <w:rPr>
                <w:sz w:val="2"/>
                <w:szCs w:val="2"/>
              </w:rPr>
            </w:pPr>
            <w:r w:rsidRPr="00603D8A">
              <w:rPr>
                <w:sz w:val="2"/>
                <w:szCs w:val="2"/>
              </w:rPr>
              <w:t>1394</w:t>
            </w:r>
          </w:p>
        </w:tc>
      </w:tr>
      <w:tr w:rsidR="00603D8A" w:rsidRPr="00603D8A" w14:paraId="5916DF30" w14:textId="77777777" w:rsidTr="00603D8A">
        <w:trPr>
          <w:trHeight w:val="20"/>
          <w:jc w:val="center"/>
        </w:trPr>
        <w:tc>
          <w:tcPr>
            <w:tcW w:w="5103" w:type="dxa"/>
            <w:noWrap/>
            <w:hideMark/>
          </w:tcPr>
          <w:p w14:paraId="7B136282" w14:textId="77777777" w:rsidR="00603D8A" w:rsidRPr="00603D8A" w:rsidRDefault="00603D8A" w:rsidP="00603D8A">
            <w:pPr>
              <w:pStyle w:val="Source"/>
              <w:spacing w:before="0" w:after="0"/>
              <w:rPr>
                <w:sz w:val="2"/>
                <w:szCs w:val="2"/>
              </w:rPr>
            </w:pPr>
            <w:r w:rsidRPr="00603D8A">
              <w:rPr>
                <w:sz w:val="2"/>
                <w:szCs w:val="2"/>
              </w:rPr>
              <w:t>Facebook</w:t>
            </w:r>
          </w:p>
        </w:tc>
        <w:tc>
          <w:tcPr>
            <w:tcW w:w="1780" w:type="dxa"/>
            <w:noWrap/>
            <w:hideMark/>
          </w:tcPr>
          <w:p w14:paraId="31B71E6C" w14:textId="77777777" w:rsidR="00603D8A" w:rsidRPr="00603D8A" w:rsidRDefault="00603D8A" w:rsidP="00603D8A">
            <w:pPr>
              <w:pStyle w:val="Source"/>
              <w:spacing w:before="0" w:after="0"/>
              <w:rPr>
                <w:sz w:val="2"/>
                <w:szCs w:val="2"/>
              </w:rPr>
            </w:pPr>
            <w:r w:rsidRPr="00603D8A">
              <w:rPr>
                <w:sz w:val="2"/>
                <w:szCs w:val="2"/>
              </w:rPr>
              <w:t>1260</w:t>
            </w:r>
          </w:p>
        </w:tc>
      </w:tr>
      <w:tr w:rsidR="00603D8A" w:rsidRPr="00603D8A" w14:paraId="33DD53FC" w14:textId="77777777" w:rsidTr="00603D8A">
        <w:trPr>
          <w:trHeight w:val="20"/>
          <w:jc w:val="center"/>
        </w:trPr>
        <w:tc>
          <w:tcPr>
            <w:tcW w:w="5103" w:type="dxa"/>
            <w:hideMark/>
          </w:tcPr>
          <w:p w14:paraId="5D7D18FD" w14:textId="77777777" w:rsidR="00603D8A" w:rsidRPr="00603D8A" w:rsidRDefault="00603D8A" w:rsidP="00603D8A">
            <w:pPr>
              <w:pStyle w:val="Source"/>
              <w:spacing w:before="0" w:after="0"/>
              <w:rPr>
                <w:sz w:val="2"/>
                <w:szCs w:val="2"/>
              </w:rPr>
            </w:pPr>
            <w:r w:rsidRPr="00603D8A">
              <w:rPr>
                <w:sz w:val="2"/>
                <w:szCs w:val="2"/>
              </w:rPr>
              <w:t>Management Training</w:t>
            </w:r>
          </w:p>
        </w:tc>
        <w:tc>
          <w:tcPr>
            <w:tcW w:w="1780" w:type="dxa"/>
            <w:noWrap/>
            <w:hideMark/>
          </w:tcPr>
          <w:p w14:paraId="233498F9" w14:textId="77777777" w:rsidR="00603D8A" w:rsidRPr="00603D8A" w:rsidRDefault="00603D8A" w:rsidP="00603D8A">
            <w:pPr>
              <w:pStyle w:val="Source"/>
              <w:spacing w:before="0" w:after="0"/>
              <w:rPr>
                <w:sz w:val="2"/>
                <w:szCs w:val="2"/>
              </w:rPr>
            </w:pPr>
            <w:r w:rsidRPr="00603D8A">
              <w:rPr>
                <w:sz w:val="2"/>
                <w:szCs w:val="2"/>
              </w:rPr>
              <w:t>1141</w:t>
            </w:r>
          </w:p>
        </w:tc>
      </w:tr>
      <w:tr w:rsidR="00603D8A" w:rsidRPr="00603D8A" w14:paraId="6CFFB05B" w14:textId="77777777" w:rsidTr="00603D8A">
        <w:trPr>
          <w:trHeight w:val="20"/>
          <w:jc w:val="center"/>
        </w:trPr>
        <w:tc>
          <w:tcPr>
            <w:tcW w:w="5103" w:type="dxa"/>
            <w:noWrap/>
            <w:hideMark/>
          </w:tcPr>
          <w:p w14:paraId="4CEBC7FB" w14:textId="77777777" w:rsidR="00603D8A" w:rsidRPr="00603D8A" w:rsidRDefault="00603D8A" w:rsidP="00603D8A">
            <w:pPr>
              <w:pStyle w:val="Source"/>
              <w:spacing w:before="0" w:after="0"/>
              <w:rPr>
                <w:sz w:val="2"/>
                <w:szCs w:val="2"/>
              </w:rPr>
            </w:pPr>
            <w:r w:rsidRPr="00603D8A">
              <w:rPr>
                <w:sz w:val="2"/>
                <w:szCs w:val="2"/>
              </w:rPr>
              <w:t>Laundry</w:t>
            </w:r>
          </w:p>
        </w:tc>
        <w:tc>
          <w:tcPr>
            <w:tcW w:w="1780" w:type="dxa"/>
            <w:noWrap/>
            <w:hideMark/>
          </w:tcPr>
          <w:p w14:paraId="0C63D56F" w14:textId="77777777" w:rsidR="00603D8A" w:rsidRPr="00603D8A" w:rsidRDefault="00603D8A" w:rsidP="00603D8A">
            <w:pPr>
              <w:pStyle w:val="Source"/>
              <w:spacing w:before="0" w:after="0"/>
              <w:rPr>
                <w:sz w:val="2"/>
                <w:szCs w:val="2"/>
              </w:rPr>
            </w:pPr>
            <w:r w:rsidRPr="00603D8A">
              <w:rPr>
                <w:sz w:val="2"/>
                <w:szCs w:val="2"/>
              </w:rPr>
              <w:t>1134</w:t>
            </w:r>
          </w:p>
        </w:tc>
      </w:tr>
      <w:tr w:rsidR="00603D8A" w:rsidRPr="00603D8A" w14:paraId="6950042A" w14:textId="77777777" w:rsidTr="00603D8A">
        <w:trPr>
          <w:trHeight w:val="20"/>
          <w:jc w:val="center"/>
        </w:trPr>
        <w:tc>
          <w:tcPr>
            <w:tcW w:w="5103" w:type="dxa"/>
            <w:noWrap/>
            <w:hideMark/>
          </w:tcPr>
          <w:p w14:paraId="281D7345" w14:textId="77777777" w:rsidR="00603D8A" w:rsidRPr="00603D8A" w:rsidRDefault="00603D8A" w:rsidP="00603D8A">
            <w:pPr>
              <w:pStyle w:val="Source"/>
              <w:spacing w:before="0" w:after="0"/>
              <w:rPr>
                <w:sz w:val="2"/>
                <w:szCs w:val="2"/>
              </w:rPr>
            </w:pPr>
            <w:r w:rsidRPr="00603D8A">
              <w:rPr>
                <w:sz w:val="2"/>
                <w:szCs w:val="2"/>
              </w:rPr>
              <w:t>Immunisations</w:t>
            </w:r>
          </w:p>
        </w:tc>
        <w:tc>
          <w:tcPr>
            <w:tcW w:w="1780" w:type="dxa"/>
            <w:noWrap/>
            <w:hideMark/>
          </w:tcPr>
          <w:p w14:paraId="0CDBDA3D" w14:textId="77777777" w:rsidR="00603D8A" w:rsidRPr="00603D8A" w:rsidRDefault="00603D8A" w:rsidP="00603D8A">
            <w:pPr>
              <w:pStyle w:val="Source"/>
              <w:spacing w:before="0" w:after="0"/>
              <w:rPr>
                <w:sz w:val="2"/>
                <w:szCs w:val="2"/>
              </w:rPr>
            </w:pPr>
            <w:r w:rsidRPr="00603D8A">
              <w:rPr>
                <w:sz w:val="2"/>
                <w:szCs w:val="2"/>
              </w:rPr>
              <w:t>1091</w:t>
            </w:r>
          </w:p>
        </w:tc>
      </w:tr>
      <w:tr w:rsidR="00603D8A" w:rsidRPr="00603D8A" w14:paraId="10DAE4FC" w14:textId="77777777" w:rsidTr="00603D8A">
        <w:trPr>
          <w:trHeight w:val="20"/>
          <w:jc w:val="center"/>
        </w:trPr>
        <w:tc>
          <w:tcPr>
            <w:tcW w:w="5103" w:type="dxa"/>
            <w:noWrap/>
            <w:hideMark/>
          </w:tcPr>
          <w:p w14:paraId="3DBCAD54" w14:textId="77777777" w:rsidR="00603D8A" w:rsidRPr="00603D8A" w:rsidRDefault="00603D8A" w:rsidP="00603D8A">
            <w:pPr>
              <w:pStyle w:val="Source"/>
              <w:spacing w:before="0" w:after="0"/>
              <w:rPr>
                <w:sz w:val="2"/>
                <w:szCs w:val="2"/>
              </w:rPr>
            </w:pPr>
            <w:r w:rsidRPr="00603D8A">
              <w:rPr>
                <w:sz w:val="2"/>
                <w:szCs w:val="2"/>
              </w:rPr>
              <w:t>Sustainability</w:t>
            </w:r>
          </w:p>
        </w:tc>
        <w:tc>
          <w:tcPr>
            <w:tcW w:w="1780" w:type="dxa"/>
            <w:noWrap/>
            <w:hideMark/>
          </w:tcPr>
          <w:p w14:paraId="0A5242D7" w14:textId="77777777" w:rsidR="00603D8A" w:rsidRPr="00603D8A" w:rsidRDefault="00603D8A" w:rsidP="00603D8A">
            <w:pPr>
              <w:pStyle w:val="Source"/>
              <w:spacing w:before="0" w:after="0"/>
              <w:rPr>
                <w:sz w:val="2"/>
                <w:szCs w:val="2"/>
              </w:rPr>
            </w:pPr>
            <w:r w:rsidRPr="00603D8A">
              <w:rPr>
                <w:sz w:val="2"/>
                <w:szCs w:val="2"/>
              </w:rPr>
              <w:t>892</w:t>
            </w:r>
          </w:p>
        </w:tc>
      </w:tr>
      <w:tr w:rsidR="00603D8A" w:rsidRPr="00603D8A" w14:paraId="493C9DE3" w14:textId="77777777" w:rsidTr="00603D8A">
        <w:trPr>
          <w:trHeight w:val="20"/>
          <w:jc w:val="center"/>
        </w:trPr>
        <w:tc>
          <w:tcPr>
            <w:tcW w:w="5103" w:type="dxa"/>
            <w:noWrap/>
            <w:hideMark/>
          </w:tcPr>
          <w:p w14:paraId="388F57D6" w14:textId="77777777" w:rsidR="00603D8A" w:rsidRPr="00603D8A" w:rsidRDefault="00603D8A" w:rsidP="00603D8A">
            <w:pPr>
              <w:pStyle w:val="Source"/>
              <w:spacing w:before="0" w:after="0"/>
              <w:rPr>
                <w:sz w:val="2"/>
                <w:szCs w:val="2"/>
              </w:rPr>
            </w:pPr>
            <w:r w:rsidRPr="00603D8A">
              <w:rPr>
                <w:sz w:val="2"/>
                <w:szCs w:val="2"/>
              </w:rPr>
              <w:t>Occupational Health and Safety</w:t>
            </w:r>
          </w:p>
        </w:tc>
        <w:tc>
          <w:tcPr>
            <w:tcW w:w="1780" w:type="dxa"/>
            <w:noWrap/>
            <w:hideMark/>
          </w:tcPr>
          <w:p w14:paraId="6E2980BC" w14:textId="77777777" w:rsidR="00603D8A" w:rsidRPr="00603D8A" w:rsidRDefault="00603D8A" w:rsidP="00603D8A">
            <w:pPr>
              <w:pStyle w:val="Source"/>
              <w:spacing w:before="0" w:after="0"/>
              <w:rPr>
                <w:sz w:val="2"/>
                <w:szCs w:val="2"/>
              </w:rPr>
            </w:pPr>
            <w:r w:rsidRPr="00603D8A">
              <w:rPr>
                <w:sz w:val="2"/>
                <w:szCs w:val="2"/>
              </w:rPr>
              <w:t>885</w:t>
            </w:r>
          </w:p>
        </w:tc>
      </w:tr>
      <w:tr w:rsidR="00603D8A" w:rsidRPr="00603D8A" w14:paraId="557F828F" w14:textId="77777777" w:rsidTr="00603D8A">
        <w:trPr>
          <w:trHeight w:val="20"/>
          <w:jc w:val="center"/>
        </w:trPr>
        <w:tc>
          <w:tcPr>
            <w:tcW w:w="5103" w:type="dxa"/>
            <w:hideMark/>
          </w:tcPr>
          <w:p w14:paraId="3581F564" w14:textId="77777777" w:rsidR="00603D8A" w:rsidRPr="00603D8A" w:rsidRDefault="00603D8A" w:rsidP="00603D8A">
            <w:pPr>
              <w:pStyle w:val="Source"/>
              <w:spacing w:before="0" w:after="0"/>
              <w:rPr>
                <w:sz w:val="2"/>
                <w:szCs w:val="2"/>
              </w:rPr>
            </w:pPr>
            <w:r w:rsidRPr="00603D8A">
              <w:rPr>
                <w:sz w:val="2"/>
                <w:szCs w:val="2"/>
              </w:rPr>
              <w:t>Workplace Health and Safety</w:t>
            </w:r>
          </w:p>
        </w:tc>
        <w:tc>
          <w:tcPr>
            <w:tcW w:w="1780" w:type="dxa"/>
            <w:noWrap/>
            <w:hideMark/>
          </w:tcPr>
          <w:p w14:paraId="55AFD4B2" w14:textId="77777777" w:rsidR="00603D8A" w:rsidRPr="00603D8A" w:rsidRDefault="00603D8A" w:rsidP="00603D8A">
            <w:pPr>
              <w:pStyle w:val="Source"/>
              <w:spacing w:before="0" w:after="0"/>
              <w:rPr>
                <w:sz w:val="2"/>
                <w:szCs w:val="2"/>
              </w:rPr>
            </w:pPr>
            <w:r w:rsidRPr="00603D8A">
              <w:rPr>
                <w:sz w:val="2"/>
                <w:szCs w:val="2"/>
              </w:rPr>
              <w:t>866</w:t>
            </w:r>
          </w:p>
        </w:tc>
      </w:tr>
      <w:tr w:rsidR="00603D8A" w:rsidRPr="00603D8A" w14:paraId="7C9982A0" w14:textId="77777777" w:rsidTr="00603D8A">
        <w:trPr>
          <w:trHeight w:val="20"/>
          <w:jc w:val="center"/>
        </w:trPr>
        <w:tc>
          <w:tcPr>
            <w:tcW w:w="5103" w:type="dxa"/>
            <w:noWrap/>
            <w:hideMark/>
          </w:tcPr>
          <w:p w14:paraId="17C0963F" w14:textId="77777777" w:rsidR="00603D8A" w:rsidRPr="00603D8A" w:rsidRDefault="00603D8A" w:rsidP="00603D8A">
            <w:pPr>
              <w:pStyle w:val="Source"/>
              <w:spacing w:before="0" w:after="0"/>
              <w:rPr>
                <w:sz w:val="2"/>
                <w:szCs w:val="2"/>
              </w:rPr>
            </w:pPr>
            <w:r w:rsidRPr="00603D8A">
              <w:rPr>
                <w:sz w:val="2"/>
                <w:szCs w:val="2"/>
              </w:rPr>
              <w:t>Programme Planning</w:t>
            </w:r>
          </w:p>
        </w:tc>
        <w:tc>
          <w:tcPr>
            <w:tcW w:w="1780" w:type="dxa"/>
            <w:noWrap/>
            <w:hideMark/>
          </w:tcPr>
          <w:p w14:paraId="5250B0BF" w14:textId="77777777" w:rsidR="00603D8A" w:rsidRPr="00603D8A" w:rsidRDefault="00603D8A" w:rsidP="00603D8A">
            <w:pPr>
              <w:pStyle w:val="Source"/>
              <w:spacing w:before="0" w:after="0"/>
              <w:rPr>
                <w:sz w:val="2"/>
                <w:szCs w:val="2"/>
              </w:rPr>
            </w:pPr>
            <w:r w:rsidRPr="00603D8A">
              <w:rPr>
                <w:sz w:val="2"/>
                <w:szCs w:val="2"/>
              </w:rPr>
              <w:t>861</w:t>
            </w:r>
          </w:p>
        </w:tc>
      </w:tr>
      <w:tr w:rsidR="00603D8A" w:rsidRPr="00603D8A" w14:paraId="7040AE57" w14:textId="77777777" w:rsidTr="00603D8A">
        <w:trPr>
          <w:trHeight w:val="20"/>
          <w:jc w:val="center"/>
        </w:trPr>
        <w:tc>
          <w:tcPr>
            <w:tcW w:w="5103" w:type="dxa"/>
            <w:noWrap/>
            <w:hideMark/>
          </w:tcPr>
          <w:p w14:paraId="28351BE7" w14:textId="77777777" w:rsidR="00603D8A" w:rsidRPr="00603D8A" w:rsidRDefault="00603D8A" w:rsidP="00603D8A">
            <w:pPr>
              <w:pStyle w:val="Source"/>
              <w:spacing w:before="0" w:after="0"/>
              <w:rPr>
                <w:sz w:val="2"/>
                <w:szCs w:val="2"/>
              </w:rPr>
            </w:pPr>
            <w:r w:rsidRPr="00603D8A">
              <w:rPr>
                <w:sz w:val="2"/>
                <w:szCs w:val="2"/>
              </w:rPr>
              <w:t>Working With Patient And/Or Condition: Mental Health</w:t>
            </w:r>
          </w:p>
        </w:tc>
        <w:tc>
          <w:tcPr>
            <w:tcW w:w="1780" w:type="dxa"/>
            <w:noWrap/>
            <w:hideMark/>
          </w:tcPr>
          <w:p w14:paraId="187C366D" w14:textId="77777777" w:rsidR="00603D8A" w:rsidRPr="00603D8A" w:rsidRDefault="00603D8A" w:rsidP="00603D8A">
            <w:pPr>
              <w:pStyle w:val="Source"/>
              <w:spacing w:before="0" w:after="0"/>
              <w:rPr>
                <w:sz w:val="2"/>
                <w:szCs w:val="2"/>
              </w:rPr>
            </w:pPr>
            <w:r w:rsidRPr="00603D8A">
              <w:rPr>
                <w:sz w:val="2"/>
                <w:szCs w:val="2"/>
              </w:rPr>
              <w:t>774</w:t>
            </w:r>
          </w:p>
        </w:tc>
      </w:tr>
      <w:tr w:rsidR="00603D8A" w:rsidRPr="00603D8A" w14:paraId="628D9A95" w14:textId="77777777" w:rsidTr="00603D8A">
        <w:trPr>
          <w:trHeight w:val="20"/>
          <w:jc w:val="center"/>
        </w:trPr>
        <w:tc>
          <w:tcPr>
            <w:tcW w:w="5103" w:type="dxa"/>
            <w:noWrap/>
            <w:hideMark/>
          </w:tcPr>
          <w:p w14:paraId="7C6D2907" w14:textId="77777777" w:rsidR="00603D8A" w:rsidRPr="00603D8A" w:rsidRDefault="00603D8A" w:rsidP="00603D8A">
            <w:pPr>
              <w:pStyle w:val="Source"/>
              <w:spacing w:before="0" w:after="0"/>
              <w:rPr>
                <w:sz w:val="2"/>
                <w:szCs w:val="2"/>
              </w:rPr>
            </w:pPr>
            <w:proofErr w:type="gramStart"/>
            <w:r w:rsidRPr="00603D8A">
              <w:rPr>
                <w:sz w:val="2"/>
                <w:szCs w:val="2"/>
              </w:rPr>
              <w:t>Social Media</w:t>
            </w:r>
            <w:proofErr w:type="gramEnd"/>
          </w:p>
        </w:tc>
        <w:tc>
          <w:tcPr>
            <w:tcW w:w="1780" w:type="dxa"/>
            <w:noWrap/>
            <w:hideMark/>
          </w:tcPr>
          <w:p w14:paraId="02CBE144" w14:textId="77777777" w:rsidR="00603D8A" w:rsidRPr="00603D8A" w:rsidRDefault="00603D8A" w:rsidP="00603D8A">
            <w:pPr>
              <w:pStyle w:val="Source"/>
              <w:spacing w:before="0" w:after="0"/>
              <w:rPr>
                <w:sz w:val="2"/>
                <w:szCs w:val="2"/>
              </w:rPr>
            </w:pPr>
            <w:r w:rsidRPr="00603D8A">
              <w:rPr>
                <w:sz w:val="2"/>
                <w:szCs w:val="2"/>
              </w:rPr>
              <w:t>770</w:t>
            </w:r>
          </w:p>
        </w:tc>
      </w:tr>
      <w:tr w:rsidR="00603D8A" w:rsidRPr="00603D8A" w14:paraId="4AFE37F4" w14:textId="77777777" w:rsidTr="00603D8A">
        <w:trPr>
          <w:trHeight w:val="20"/>
          <w:jc w:val="center"/>
        </w:trPr>
        <w:tc>
          <w:tcPr>
            <w:tcW w:w="5103" w:type="dxa"/>
            <w:hideMark/>
          </w:tcPr>
          <w:p w14:paraId="6D703EC3" w14:textId="77777777" w:rsidR="00603D8A" w:rsidRPr="00603D8A" w:rsidRDefault="00603D8A" w:rsidP="00603D8A">
            <w:pPr>
              <w:pStyle w:val="Source"/>
              <w:spacing w:before="0" w:after="0"/>
              <w:rPr>
                <w:sz w:val="2"/>
                <w:szCs w:val="2"/>
              </w:rPr>
            </w:pPr>
            <w:r w:rsidRPr="00603D8A">
              <w:rPr>
                <w:sz w:val="2"/>
                <w:szCs w:val="2"/>
              </w:rPr>
              <w:t>Customer Service</w:t>
            </w:r>
          </w:p>
        </w:tc>
        <w:tc>
          <w:tcPr>
            <w:tcW w:w="1780" w:type="dxa"/>
            <w:noWrap/>
            <w:hideMark/>
          </w:tcPr>
          <w:p w14:paraId="0624C09F" w14:textId="77777777" w:rsidR="00603D8A" w:rsidRPr="00603D8A" w:rsidRDefault="00603D8A" w:rsidP="00603D8A">
            <w:pPr>
              <w:pStyle w:val="Source"/>
              <w:spacing w:before="0" w:after="0"/>
              <w:rPr>
                <w:sz w:val="2"/>
                <w:szCs w:val="2"/>
              </w:rPr>
            </w:pPr>
            <w:r w:rsidRPr="00603D8A">
              <w:rPr>
                <w:sz w:val="2"/>
                <w:szCs w:val="2"/>
              </w:rPr>
              <w:t>767</w:t>
            </w:r>
          </w:p>
        </w:tc>
      </w:tr>
      <w:tr w:rsidR="00603D8A" w:rsidRPr="00603D8A" w14:paraId="67435E6D" w14:textId="77777777" w:rsidTr="00603D8A">
        <w:trPr>
          <w:trHeight w:val="20"/>
          <w:jc w:val="center"/>
        </w:trPr>
        <w:tc>
          <w:tcPr>
            <w:tcW w:w="5103" w:type="dxa"/>
            <w:noWrap/>
            <w:hideMark/>
          </w:tcPr>
          <w:p w14:paraId="15B55B38" w14:textId="77777777" w:rsidR="00603D8A" w:rsidRPr="00603D8A" w:rsidRDefault="00603D8A" w:rsidP="00603D8A">
            <w:pPr>
              <w:pStyle w:val="Source"/>
              <w:spacing w:before="0" w:after="0"/>
              <w:rPr>
                <w:sz w:val="2"/>
                <w:szCs w:val="2"/>
              </w:rPr>
            </w:pPr>
            <w:r w:rsidRPr="00603D8A">
              <w:rPr>
                <w:sz w:val="2"/>
                <w:szCs w:val="2"/>
              </w:rPr>
              <w:t>Programme Implementation</w:t>
            </w:r>
          </w:p>
        </w:tc>
        <w:tc>
          <w:tcPr>
            <w:tcW w:w="1780" w:type="dxa"/>
            <w:noWrap/>
            <w:hideMark/>
          </w:tcPr>
          <w:p w14:paraId="69792312" w14:textId="77777777" w:rsidR="00603D8A" w:rsidRPr="00603D8A" w:rsidRDefault="00603D8A" w:rsidP="00603D8A">
            <w:pPr>
              <w:pStyle w:val="Source"/>
              <w:spacing w:before="0" w:after="0"/>
              <w:rPr>
                <w:sz w:val="2"/>
                <w:szCs w:val="2"/>
              </w:rPr>
            </w:pPr>
            <w:r w:rsidRPr="00603D8A">
              <w:rPr>
                <w:sz w:val="2"/>
                <w:szCs w:val="2"/>
              </w:rPr>
              <w:t>762</w:t>
            </w:r>
          </w:p>
        </w:tc>
      </w:tr>
      <w:tr w:rsidR="00603D8A" w:rsidRPr="00603D8A" w14:paraId="22B16DB2" w14:textId="77777777" w:rsidTr="00603D8A">
        <w:trPr>
          <w:trHeight w:val="20"/>
          <w:jc w:val="center"/>
        </w:trPr>
        <w:tc>
          <w:tcPr>
            <w:tcW w:w="5103" w:type="dxa"/>
            <w:noWrap/>
            <w:hideMark/>
          </w:tcPr>
          <w:p w14:paraId="1E8A633A" w14:textId="77777777" w:rsidR="00603D8A" w:rsidRPr="00603D8A" w:rsidRDefault="00603D8A" w:rsidP="00603D8A">
            <w:pPr>
              <w:pStyle w:val="Source"/>
              <w:spacing w:before="0" w:after="0"/>
              <w:rPr>
                <w:sz w:val="2"/>
                <w:szCs w:val="2"/>
              </w:rPr>
            </w:pPr>
            <w:r w:rsidRPr="00603D8A">
              <w:rPr>
                <w:sz w:val="2"/>
                <w:szCs w:val="2"/>
              </w:rPr>
              <w:t>Psychology</w:t>
            </w:r>
          </w:p>
        </w:tc>
        <w:tc>
          <w:tcPr>
            <w:tcW w:w="1780" w:type="dxa"/>
            <w:noWrap/>
            <w:hideMark/>
          </w:tcPr>
          <w:p w14:paraId="3E0D6390" w14:textId="77777777" w:rsidR="00603D8A" w:rsidRPr="00603D8A" w:rsidRDefault="00603D8A" w:rsidP="00603D8A">
            <w:pPr>
              <w:pStyle w:val="Source"/>
              <w:spacing w:before="0" w:after="0"/>
              <w:rPr>
                <w:sz w:val="2"/>
                <w:szCs w:val="2"/>
              </w:rPr>
            </w:pPr>
            <w:r w:rsidRPr="00603D8A">
              <w:rPr>
                <w:sz w:val="2"/>
                <w:szCs w:val="2"/>
              </w:rPr>
              <w:t>750</w:t>
            </w:r>
          </w:p>
        </w:tc>
      </w:tr>
      <w:tr w:rsidR="00603D8A" w:rsidRPr="00603D8A" w14:paraId="45CB647A" w14:textId="77777777" w:rsidTr="00603D8A">
        <w:trPr>
          <w:trHeight w:val="20"/>
          <w:jc w:val="center"/>
        </w:trPr>
        <w:tc>
          <w:tcPr>
            <w:tcW w:w="5103" w:type="dxa"/>
            <w:noWrap/>
            <w:hideMark/>
          </w:tcPr>
          <w:p w14:paraId="0BCA0C1A" w14:textId="77777777" w:rsidR="00603D8A" w:rsidRPr="00603D8A" w:rsidRDefault="00603D8A" w:rsidP="00603D8A">
            <w:pPr>
              <w:pStyle w:val="Source"/>
              <w:spacing w:before="0" w:after="0"/>
              <w:rPr>
                <w:sz w:val="2"/>
                <w:szCs w:val="2"/>
              </w:rPr>
            </w:pPr>
            <w:r w:rsidRPr="00603D8A">
              <w:rPr>
                <w:sz w:val="2"/>
                <w:szCs w:val="2"/>
              </w:rPr>
              <w:t>Staff Management</w:t>
            </w:r>
          </w:p>
        </w:tc>
        <w:tc>
          <w:tcPr>
            <w:tcW w:w="1780" w:type="dxa"/>
            <w:noWrap/>
            <w:hideMark/>
          </w:tcPr>
          <w:p w14:paraId="613EEB07" w14:textId="77777777" w:rsidR="00603D8A" w:rsidRPr="00603D8A" w:rsidRDefault="00603D8A" w:rsidP="00603D8A">
            <w:pPr>
              <w:pStyle w:val="Source"/>
              <w:spacing w:before="0" w:after="0"/>
              <w:rPr>
                <w:sz w:val="2"/>
                <w:szCs w:val="2"/>
              </w:rPr>
            </w:pPr>
            <w:r w:rsidRPr="00603D8A">
              <w:rPr>
                <w:sz w:val="2"/>
                <w:szCs w:val="2"/>
              </w:rPr>
              <w:t>688</w:t>
            </w:r>
          </w:p>
        </w:tc>
      </w:tr>
      <w:tr w:rsidR="00603D8A" w:rsidRPr="00603D8A" w14:paraId="21D62AAA" w14:textId="77777777" w:rsidTr="00603D8A">
        <w:trPr>
          <w:trHeight w:val="20"/>
          <w:jc w:val="center"/>
        </w:trPr>
        <w:tc>
          <w:tcPr>
            <w:tcW w:w="5103" w:type="dxa"/>
            <w:noWrap/>
            <w:hideMark/>
          </w:tcPr>
          <w:p w14:paraId="26DA7C9B" w14:textId="77777777" w:rsidR="00603D8A" w:rsidRPr="00603D8A" w:rsidRDefault="00603D8A" w:rsidP="00603D8A">
            <w:pPr>
              <w:pStyle w:val="Source"/>
              <w:spacing w:before="0" w:after="0"/>
              <w:rPr>
                <w:sz w:val="2"/>
                <w:szCs w:val="2"/>
              </w:rPr>
            </w:pPr>
            <w:r w:rsidRPr="00603D8A">
              <w:rPr>
                <w:sz w:val="2"/>
                <w:szCs w:val="2"/>
              </w:rPr>
              <w:t>Public Health and Safety</w:t>
            </w:r>
          </w:p>
        </w:tc>
        <w:tc>
          <w:tcPr>
            <w:tcW w:w="1780" w:type="dxa"/>
            <w:noWrap/>
            <w:hideMark/>
          </w:tcPr>
          <w:p w14:paraId="26EB0972" w14:textId="77777777" w:rsidR="00603D8A" w:rsidRPr="00603D8A" w:rsidRDefault="00603D8A" w:rsidP="00603D8A">
            <w:pPr>
              <w:pStyle w:val="Source"/>
              <w:spacing w:before="0" w:after="0"/>
              <w:rPr>
                <w:sz w:val="2"/>
                <w:szCs w:val="2"/>
              </w:rPr>
            </w:pPr>
            <w:r w:rsidRPr="00603D8A">
              <w:rPr>
                <w:sz w:val="2"/>
                <w:szCs w:val="2"/>
              </w:rPr>
              <w:t>676</w:t>
            </w:r>
          </w:p>
        </w:tc>
      </w:tr>
      <w:tr w:rsidR="00603D8A" w:rsidRPr="00603D8A" w14:paraId="4F99EEEA" w14:textId="77777777" w:rsidTr="00603D8A">
        <w:trPr>
          <w:trHeight w:val="20"/>
          <w:jc w:val="center"/>
        </w:trPr>
        <w:tc>
          <w:tcPr>
            <w:tcW w:w="5103" w:type="dxa"/>
            <w:hideMark/>
          </w:tcPr>
          <w:p w14:paraId="302F83D7" w14:textId="77777777" w:rsidR="00603D8A" w:rsidRPr="00603D8A" w:rsidRDefault="00603D8A" w:rsidP="00603D8A">
            <w:pPr>
              <w:pStyle w:val="Source"/>
              <w:spacing w:before="0" w:after="0"/>
              <w:rPr>
                <w:sz w:val="2"/>
                <w:szCs w:val="2"/>
              </w:rPr>
            </w:pPr>
            <w:r w:rsidRPr="00603D8A">
              <w:rPr>
                <w:sz w:val="2"/>
                <w:szCs w:val="2"/>
              </w:rPr>
              <w:t>Music</w:t>
            </w:r>
          </w:p>
        </w:tc>
        <w:tc>
          <w:tcPr>
            <w:tcW w:w="1780" w:type="dxa"/>
            <w:noWrap/>
            <w:hideMark/>
          </w:tcPr>
          <w:p w14:paraId="29E19EE8" w14:textId="77777777" w:rsidR="00603D8A" w:rsidRPr="00603D8A" w:rsidRDefault="00603D8A" w:rsidP="00603D8A">
            <w:pPr>
              <w:pStyle w:val="Source"/>
              <w:spacing w:before="0" w:after="0"/>
              <w:rPr>
                <w:sz w:val="2"/>
                <w:szCs w:val="2"/>
              </w:rPr>
            </w:pPr>
            <w:r w:rsidRPr="00603D8A">
              <w:rPr>
                <w:sz w:val="2"/>
                <w:szCs w:val="2"/>
              </w:rPr>
              <w:t>672</w:t>
            </w:r>
          </w:p>
        </w:tc>
      </w:tr>
      <w:tr w:rsidR="00603D8A" w:rsidRPr="00603D8A" w14:paraId="6B97DED2" w14:textId="77777777" w:rsidTr="00603D8A">
        <w:trPr>
          <w:trHeight w:val="20"/>
          <w:jc w:val="center"/>
        </w:trPr>
        <w:tc>
          <w:tcPr>
            <w:tcW w:w="5103" w:type="dxa"/>
            <w:noWrap/>
            <w:hideMark/>
          </w:tcPr>
          <w:p w14:paraId="5F6F6F88" w14:textId="77777777" w:rsidR="00603D8A" w:rsidRPr="00603D8A" w:rsidRDefault="00603D8A" w:rsidP="00603D8A">
            <w:pPr>
              <w:pStyle w:val="Source"/>
              <w:spacing w:before="0" w:after="0"/>
              <w:rPr>
                <w:sz w:val="2"/>
                <w:szCs w:val="2"/>
              </w:rPr>
            </w:pPr>
            <w:r w:rsidRPr="00603D8A">
              <w:rPr>
                <w:sz w:val="2"/>
                <w:szCs w:val="2"/>
              </w:rPr>
              <w:t>Onboarding</w:t>
            </w:r>
          </w:p>
        </w:tc>
        <w:tc>
          <w:tcPr>
            <w:tcW w:w="1780" w:type="dxa"/>
            <w:noWrap/>
            <w:hideMark/>
          </w:tcPr>
          <w:p w14:paraId="51169D28" w14:textId="77777777" w:rsidR="00603D8A" w:rsidRPr="00603D8A" w:rsidRDefault="00603D8A" w:rsidP="00603D8A">
            <w:pPr>
              <w:pStyle w:val="Source"/>
              <w:spacing w:before="0" w:after="0"/>
              <w:rPr>
                <w:sz w:val="2"/>
                <w:szCs w:val="2"/>
              </w:rPr>
            </w:pPr>
            <w:r w:rsidRPr="00603D8A">
              <w:rPr>
                <w:sz w:val="2"/>
                <w:szCs w:val="2"/>
              </w:rPr>
              <w:t>667</w:t>
            </w:r>
          </w:p>
        </w:tc>
      </w:tr>
      <w:tr w:rsidR="00603D8A" w:rsidRPr="00603D8A" w14:paraId="5D61338F" w14:textId="77777777" w:rsidTr="00603D8A">
        <w:trPr>
          <w:trHeight w:val="20"/>
          <w:jc w:val="center"/>
        </w:trPr>
        <w:tc>
          <w:tcPr>
            <w:tcW w:w="5103" w:type="dxa"/>
            <w:noWrap/>
            <w:hideMark/>
          </w:tcPr>
          <w:p w14:paraId="3C4C0F95" w14:textId="77777777" w:rsidR="00603D8A" w:rsidRPr="00603D8A" w:rsidRDefault="00603D8A" w:rsidP="00603D8A">
            <w:pPr>
              <w:pStyle w:val="Source"/>
              <w:spacing w:before="0" w:after="0"/>
              <w:rPr>
                <w:sz w:val="2"/>
                <w:szCs w:val="2"/>
              </w:rPr>
            </w:pPr>
            <w:r w:rsidRPr="00603D8A">
              <w:rPr>
                <w:sz w:val="2"/>
                <w:szCs w:val="2"/>
              </w:rPr>
              <w:t>Vaccines</w:t>
            </w:r>
          </w:p>
        </w:tc>
        <w:tc>
          <w:tcPr>
            <w:tcW w:w="1780" w:type="dxa"/>
            <w:noWrap/>
            <w:hideMark/>
          </w:tcPr>
          <w:p w14:paraId="4CFE932E" w14:textId="77777777" w:rsidR="00603D8A" w:rsidRPr="00603D8A" w:rsidRDefault="00603D8A" w:rsidP="00603D8A">
            <w:pPr>
              <w:pStyle w:val="Source"/>
              <w:spacing w:before="0" w:after="0"/>
              <w:rPr>
                <w:sz w:val="2"/>
                <w:szCs w:val="2"/>
              </w:rPr>
            </w:pPr>
            <w:r w:rsidRPr="00603D8A">
              <w:rPr>
                <w:sz w:val="2"/>
                <w:szCs w:val="2"/>
              </w:rPr>
              <w:t>655</w:t>
            </w:r>
          </w:p>
        </w:tc>
      </w:tr>
      <w:tr w:rsidR="00603D8A" w:rsidRPr="00603D8A" w14:paraId="065EB546" w14:textId="77777777" w:rsidTr="00603D8A">
        <w:trPr>
          <w:trHeight w:val="20"/>
          <w:jc w:val="center"/>
        </w:trPr>
        <w:tc>
          <w:tcPr>
            <w:tcW w:w="5103" w:type="dxa"/>
            <w:noWrap/>
            <w:hideMark/>
          </w:tcPr>
          <w:p w14:paraId="7503EBB5" w14:textId="77777777" w:rsidR="00603D8A" w:rsidRPr="00603D8A" w:rsidRDefault="00603D8A" w:rsidP="00603D8A">
            <w:pPr>
              <w:pStyle w:val="Source"/>
              <w:spacing w:before="0" w:after="0"/>
              <w:rPr>
                <w:sz w:val="2"/>
                <w:szCs w:val="2"/>
              </w:rPr>
            </w:pPr>
            <w:r w:rsidRPr="00603D8A">
              <w:rPr>
                <w:sz w:val="2"/>
                <w:szCs w:val="2"/>
              </w:rPr>
              <w:t>Working With Patient And/Or Condition: Trauma</w:t>
            </w:r>
          </w:p>
        </w:tc>
        <w:tc>
          <w:tcPr>
            <w:tcW w:w="1780" w:type="dxa"/>
            <w:noWrap/>
            <w:hideMark/>
          </w:tcPr>
          <w:p w14:paraId="32767B23" w14:textId="77777777" w:rsidR="00603D8A" w:rsidRPr="00603D8A" w:rsidRDefault="00603D8A" w:rsidP="00603D8A">
            <w:pPr>
              <w:pStyle w:val="Source"/>
              <w:spacing w:before="0" w:after="0"/>
              <w:rPr>
                <w:sz w:val="2"/>
                <w:szCs w:val="2"/>
              </w:rPr>
            </w:pPr>
            <w:r w:rsidRPr="00603D8A">
              <w:rPr>
                <w:sz w:val="2"/>
                <w:szCs w:val="2"/>
              </w:rPr>
              <w:t>577</w:t>
            </w:r>
          </w:p>
        </w:tc>
      </w:tr>
      <w:tr w:rsidR="00603D8A" w:rsidRPr="00603D8A" w14:paraId="7F3B9FF8" w14:textId="77777777" w:rsidTr="00603D8A">
        <w:trPr>
          <w:trHeight w:val="20"/>
          <w:jc w:val="center"/>
        </w:trPr>
        <w:tc>
          <w:tcPr>
            <w:tcW w:w="5103" w:type="dxa"/>
            <w:noWrap/>
            <w:hideMark/>
          </w:tcPr>
          <w:p w14:paraId="7A5D03CF" w14:textId="77777777" w:rsidR="00603D8A" w:rsidRPr="00603D8A" w:rsidRDefault="00603D8A" w:rsidP="00603D8A">
            <w:pPr>
              <w:pStyle w:val="Source"/>
              <w:spacing w:before="0" w:after="0"/>
              <w:rPr>
                <w:sz w:val="2"/>
                <w:szCs w:val="2"/>
              </w:rPr>
            </w:pPr>
            <w:r w:rsidRPr="00603D8A">
              <w:rPr>
                <w:sz w:val="2"/>
                <w:szCs w:val="2"/>
              </w:rPr>
              <w:t>Food Delivery</w:t>
            </w:r>
          </w:p>
        </w:tc>
        <w:tc>
          <w:tcPr>
            <w:tcW w:w="1780" w:type="dxa"/>
            <w:noWrap/>
            <w:hideMark/>
          </w:tcPr>
          <w:p w14:paraId="5D68240B" w14:textId="77777777" w:rsidR="00603D8A" w:rsidRPr="00603D8A" w:rsidRDefault="00603D8A" w:rsidP="00603D8A">
            <w:pPr>
              <w:pStyle w:val="Source"/>
              <w:spacing w:before="0" w:after="0"/>
              <w:rPr>
                <w:sz w:val="2"/>
                <w:szCs w:val="2"/>
              </w:rPr>
            </w:pPr>
            <w:r w:rsidRPr="00603D8A">
              <w:rPr>
                <w:sz w:val="2"/>
                <w:szCs w:val="2"/>
              </w:rPr>
              <w:t>570</w:t>
            </w:r>
          </w:p>
        </w:tc>
      </w:tr>
      <w:tr w:rsidR="00603D8A" w:rsidRPr="00603D8A" w14:paraId="55830FA1" w14:textId="77777777" w:rsidTr="00603D8A">
        <w:trPr>
          <w:trHeight w:val="20"/>
          <w:jc w:val="center"/>
        </w:trPr>
        <w:tc>
          <w:tcPr>
            <w:tcW w:w="5103" w:type="dxa"/>
            <w:noWrap/>
            <w:hideMark/>
          </w:tcPr>
          <w:p w14:paraId="2D74F577" w14:textId="77777777" w:rsidR="00603D8A" w:rsidRPr="00603D8A" w:rsidRDefault="00603D8A" w:rsidP="00603D8A">
            <w:pPr>
              <w:pStyle w:val="Source"/>
              <w:spacing w:before="0" w:after="0"/>
              <w:rPr>
                <w:sz w:val="2"/>
                <w:szCs w:val="2"/>
              </w:rPr>
            </w:pPr>
            <w:r w:rsidRPr="00603D8A">
              <w:rPr>
                <w:sz w:val="2"/>
                <w:szCs w:val="2"/>
              </w:rPr>
              <w:t>Project Management</w:t>
            </w:r>
          </w:p>
        </w:tc>
        <w:tc>
          <w:tcPr>
            <w:tcW w:w="1780" w:type="dxa"/>
            <w:noWrap/>
            <w:hideMark/>
          </w:tcPr>
          <w:p w14:paraId="7AF9A02E" w14:textId="77777777" w:rsidR="00603D8A" w:rsidRPr="00603D8A" w:rsidRDefault="00603D8A" w:rsidP="00603D8A">
            <w:pPr>
              <w:pStyle w:val="Source"/>
              <w:spacing w:before="0" w:after="0"/>
              <w:rPr>
                <w:sz w:val="2"/>
                <w:szCs w:val="2"/>
              </w:rPr>
            </w:pPr>
            <w:r w:rsidRPr="00603D8A">
              <w:rPr>
                <w:sz w:val="2"/>
                <w:szCs w:val="2"/>
              </w:rPr>
              <w:t>562</w:t>
            </w:r>
          </w:p>
        </w:tc>
      </w:tr>
      <w:tr w:rsidR="00603D8A" w:rsidRPr="00603D8A" w14:paraId="169EC4F3" w14:textId="77777777" w:rsidTr="00603D8A">
        <w:trPr>
          <w:trHeight w:val="20"/>
          <w:jc w:val="center"/>
        </w:trPr>
        <w:tc>
          <w:tcPr>
            <w:tcW w:w="5103" w:type="dxa"/>
            <w:noWrap/>
            <w:hideMark/>
          </w:tcPr>
          <w:p w14:paraId="1FFB6457" w14:textId="77777777" w:rsidR="00603D8A" w:rsidRPr="00603D8A" w:rsidRDefault="00603D8A" w:rsidP="00603D8A">
            <w:pPr>
              <w:pStyle w:val="Source"/>
              <w:spacing w:before="0" w:after="0"/>
              <w:rPr>
                <w:sz w:val="2"/>
                <w:szCs w:val="2"/>
              </w:rPr>
            </w:pPr>
            <w:proofErr w:type="gramStart"/>
            <w:r w:rsidRPr="00603D8A">
              <w:rPr>
                <w:sz w:val="2"/>
                <w:szCs w:val="2"/>
              </w:rPr>
              <w:t>Social Media Tools</w:t>
            </w:r>
            <w:proofErr w:type="gramEnd"/>
          </w:p>
        </w:tc>
        <w:tc>
          <w:tcPr>
            <w:tcW w:w="1780" w:type="dxa"/>
            <w:noWrap/>
            <w:hideMark/>
          </w:tcPr>
          <w:p w14:paraId="0A4510B6" w14:textId="77777777" w:rsidR="00603D8A" w:rsidRPr="00603D8A" w:rsidRDefault="00603D8A" w:rsidP="00603D8A">
            <w:pPr>
              <w:pStyle w:val="Source"/>
              <w:spacing w:before="0" w:after="0"/>
              <w:rPr>
                <w:sz w:val="2"/>
                <w:szCs w:val="2"/>
              </w:rPr>
            </w:pPr>
            <w:r w:rsidRPr="00603D8A">
              <w:rPr>
                <w:sz w:val="2"/>
                <w:szCs w:val="2"/>
              </w:rPr>
              <w:t>540</w:t>
            </w:r>
          </w:p>
        </w:tc>
      </w:tr>
      <w:tr w:rsidR="00603D8A" w:rsidRPr="00603D8A" w14:paraId="50927EFF" w14:textId="77777777" w:rsidTr="00603D8A">
        <w:trPr>
          <w:trHeight w:val="20"/>
          <w:jc w:val="center"/>
        </w:trPr>
        <w:tc>
          <w:tcPr>
            <w:tcW w:w="5103" w:type="dxa"/>
            <w:noWrap/>
            <w:hideMark/>
          </w:tcPr>
          <w:p w14:paraId="63F665E8" w14:textId="77777777" w:rsidR="00603D8A" w:rsidRPr="00603D8A" w:rsidRDefault="00603D8A" w:rsidP="00603D8A">
            <w:pPr>
              <w:pStyle w:val="Source"/>
              <w:spacing w:before="0" w:after="0"/>
              <w:rPr>
                <w:sz w:val="2"/>
                <w:szCs w:val="2"/>
              </w:rPr>
            </w:pPr>
            <w:r w:rsidRPr="00603D8A">
              <w:rPr>
                <w:sz w:val="2"/>
                <w:szCs w:val="2"/>
              </w:rPr>
              <w:t>Home Care</w:t>
            </w:r>
          </w:p>
        </w:tc>
        <w:tc>
          <w:tcPr>
            <w:tcW w:w="1780" w:type="dxa"/>
            <w:noWrap/>
            <w:hideMark/>
          </w:tcPr>
          <w:p w14:paraId="7EB067FE" w14:textId="77777777" w:rsidR="00603D8A" w:rsidRPr="00603D8A" w:rsidRDefault="00603D8A" w:rsidP="00603D8A">
            <w:pPr>
              <w:pStyle w:val="Source"/>
              <w:spacing w:before="0" w:after="0"/>
              <w:rPr>
                <w:sz w:val="2"/>
                <w:szCs w:val="2"/>
              </w:rPr>
            </w:pPr>
            <w:r w:rsidRPr="00603D8A">
              <w:rPr>
                <w:sz w:val="2"/>
                <w:szCs w:val="2"/>
              </w:rPr>
              <w:t>540</w:t>
            </w:r>
          </w:p>
        </w:tc>
      </w:tr>
      <w:tr w:rsidR="00603D8A" w:rsidRPr="00603D8A" w14:paraId="4E9E824B" w14:textId="77777777" w:rsidTr="00603D8A">
        <w:trPr>
          <w:trHeight w:val="20"/>
          <w:jc w:val="center"/>
        </w:trPr>
        <w:tc>
          <w:tcPr>
            <w:tcW w:w="5103" w:type="dxa"/>
            <w:noWrap/>
            <w:hideMark/>
          </w:tcPr>
          <w:p w14:paraId="1F1EE311" w14:textId="77777777" w:rsidR="00603D8A" w:rsidRPr="00603D8A" w:rsidRDefault="00603D8A" w:rsidP="00603D8A">
            <w:pPr>
              <w:pStyle w:val="Source"/>
              <w:spacing w:before="0" w:after="0"/>
              <w:rPr>
                <w:sz w:val="2"/>
                <w:szCs w:val="2"/>
              </w:rPr>
            </w:pPr>
            <w:r w:rsidRPr="00603D8A">
              <w:rPr>
                <w:sz w:val="2"/>
                <w:szCs w:val="2"/>
              </w:rPr>
              <w:t>Government Regulations</w:t>
            </w:r>
          </w:p>
        </w:tc>
        <w:tc>
          <w:tcPr>
            <w:tcW w:w="1780" w:type="dxa"/>
            <w:noWrap/>
            <w:hideMark/>
          </w:tcPr>
          <w:p w14:paraId="7EF9C243" w14:textId="77777777" w:rsidR="00603D8A" w:rsidRPr="00603D8A" w:rsidRDefault="00603D8A" w:rsidP="00603D8A">
            <w:pPr>
              <w:pStyle w:val="Source"/>
              <w:spacing w:before="0" w:after="0"/>
              <w:rPr>
                <w:sz w:val="2"/>
                <w:szCs w:val="2"/>
              </w:rPr>
            </w:pPr>
            <w:r w:rsidRPr="00603D8A">
              <w:rPr>
                <w:sz w:val="2"/>
                <w:szCs w:val="2"/>
              </w:rPr>
              <w:t>513</w:t>
            </w:r>
          </w:p>
        </w:tc>
      </w:tr>
      <w:tr w:rsidR="00603D8A" w:rsidRPr="00603D8A" w14:paraId="04B86E20" w14:textId="77777777" w:rsidTr="00603D8A">
        <w:trPr>
          <w:trHeight w:val="20"/>
          <w:jc w:val="center"/>
        </w:trPr>
        <w:tc>
          <w:tcPr>
            <w:tcW w:w="5103" w:type="dxa"/>
            <w:noWrap/>
            <w:hideMark/>
          </w:tcPr>
          <w:p w14:paraId="31F95E20" w14:textId="77777777" w:rsidR="00603D8A" w:rsidRPr="00603D8A" w:rsidRDefault="00603D8A" w:rsidP="00603D8A">
            <w:pPr>
              <w:pStyle w:val="Source"/>
              <w:spacing w:before="0" w:after="0"/>
              <w:rPr>
                <w:sz w:val="2"/>
                <w:szCs w:val="2"/>
              </w:rPr>
            </w:pPr>
            <w:r w:rsidRPr="00603D8A">
              <w:rPr>
                <w:sz w:val="2"/>
                <w:szCs w:val="2"/>
              </w:rPr>
              <w:t>Stakeholder Management</w:t>
            </w:r>
          </w:p>
        </w:tc>
        <w:tc>
          <w:tcPr>
            <w:tcW w:w="1780" w:type="dxa"/>
            <w:noWrap/>
            <w:hideMark/>
          </w:tcPr>
          <w:p w14:paraId="469CB429" w14:textId="77777777" w:rsidR="00603D8A" w:rsidRPr="00603D8A" w:rsidRDefault="00603D8A" w:rsidP="00603D8A">
            <w:pPr>
              <w:pStyle w:val="Source"/>
              <w:spacing w:before="0" w:after="0"/>
              <w:rPr>
                <w:sz w:val="2"/>
                <w:szCs w:val="2"/>
              </w:rPr>
            </w:pPr>
            <w:r w:rsidRPr="00603D8A">
              <w:rPr>
                <w:sz w:val="2"/>
                <w:szCs w:val="2"/>
              </w:rPr>
              <w:t>508</w:t>
            </w:r>
          </w:p>
        </w:tc>
      </w:tr>
      <w:tr w:rsidR="00603D8A" w:rsidRPr="00603D8A" w14:paraId="212DA818" w14:textId="77777777" w:rsidTr="00603D8A">
        <w:trPr>
          <w:trHeight w:val="20"/>
          <w:jc w:val="center"/>
        </w:trPr>
        <w:tc>
          <w:tcPr>
            <w:tcW w:w="5103" w:type="dxa"/>
            <w:noWrap/>
            <w:hideMark/>
          </w:tcPr>
          <w:p w14:paraId="32658450" w14:textId="77777777" w:rsidR="00603D8A" w:rsidRPr="00603D8A" w:rsidRDefault="00603D8A" w:rsidP="00603D8A">
            <w:pPr>
              <w:pStyle w:val="Source"/>
              <w:spacing w:before="0" w:after="0"/>
              <w:rPr>
                <w:sz w:val="2"/>
                <w:szCs w:val="2"/>
              </w:rPr>
            </w:pPr>
            <w:r w:rsidRPr="00603D8A">
              <w:rPr>
                <w:sz w:val="2"/>
                <w:szCs w:val="2"/>
              </w:rPr>
              <w:t>Food Preparation</w:t>
            </w:r>
          </w:p>
        </w:tc>
        <w:tc>
          <w:tcPr>
            <w:tcW w:w="1780" w:type="dxa"/>
            <w:noWrap/>
            <w:hideMark/>
          </w:tcPr>
          <w:p w14:paraId="7B91BDDC" w14:textId="77777777" w:rsidR="00603D8A" w:rsidRPr="00603D8A" w:rsidRDefault="00603D8A" w:rsidP="00603D8A">
            <w:pPr>
              <w:pStyle w:val="Source"/>
              <w:spacing w:before="0" w:after="0"/>
              <w:rPr>
                <w:sz w:val="2"/>
                <w:szCs w:val="2"/>
              </w:rPr>
            </w:pPr>
            <w:r w:rsidRPr="00603D8A">
              <w:rPr>
                <w:sz w:val="2"/>
                <w:szCs w:val="2"/>
              </w:rPr>
              <w:t>503</w:t>
            </w:r>
          </w:p>
        </w:tc>
      </w:tr>
      <w:tr w:rsidR="00603D8A" w:rsidRPr="00603D8A" w14:paraId="220B843C" w14:textId="77777777" w:rsidTr="00603D8A">
        <w:trPr>
          <w:trHeight w:val="20"/>
          <w:jc w:val="center"/>
        </w:trPr>
        <w:tc>
          <w:tcPr>
            <w:tcW w:w="5103" w:type="dxa"/>
            <w:noWrap/>
            <w:hideMark/>
          </w:tcPr>
          <w:p w14:paraId="6F966E44" w14:textId="77777777" w:rsidR="00603D8A" w:rsidRPr="00603D8A" w:rsidRDefault="00603D8A" w:rsidP="00603D8A">
            <w:pPr>
              <w:pStyle w:val="Source"/>
              <w:spacing w:before="0" w:after="0"/>
              <w:rPr>
                <w:sz w:val="2"/>
                <w:szCs w:val="2"/>
              </w:rPr>
            </w:pPr>
            <w:r w:rsidRPr="00603D8A">
              <w:rPr>
                <w:sz w:val="2"/>
                <w:szCs w:val="2"/>
              </w:rPr>
              <w:t>Conflict Management</w:t>
            </w:r>
          </w:p>
        </w:tc>
        <w:tc>
          <w:tcPr>
            <w:tcW w:w="1780" w:type="dxa"/>
            <w:noWrap/>
            <w:hideMark/>
          </w:tcPr>
          <w:p w14:paraId="791126D4" w14:textId="77777777" w:rsidR="00603D8A" w:rsidRPr="00603D8A" w:rsidRDefault="00603D8A" w:rsidP="00603D8A">
            <w:pPr>
              <w:pStyle w:val="Source"/>
              <w:spacing w:before="0" w:after="0"/>
              <w:rPr>
                <w:sz w:val="2"/>
                <w:szCs w:val="2"/>
              </w:rPr>
            </w:pPr>
            <w:r w:rsidRPr="00603D8A">
              <w:rPr>
                <w:sz w:val="2"/>
                <w:szCs w:val="2"/>
              </w:rPr>
              <w:t>489</w:t>
            </w:r>
          </w:p>
        </w:tc>
      </w:tr>
      <w:tr w:rsidR="00603D8A" w:rsidRPr="00603D8A" w14:paraId="5D3A9D08" w14:textId="77777777" w:rsidTr="00603D8A">
        <w:trPr>
          <w:trHeight w:val="20"/>
          <w:jc w:val="center"/>
        </w:trPr>
        <w:tc>
          <w:tcPr>
            <w:tcW w:w="5103" w:type="dxa"/>
            <w:noWrap/>
            <w:hideMark/>
          </w:tcPr>
          <w:p w14:paraId="2EDCB6F5" w14:textId="77777777" w:rsidR="00603D8A" w:rsidRPr="00603D8A" w:rsidRDefault="00603D8A" w:rsidP="00603D8A">
            <w:pPr>
              <w:pStyle w:val="Source"/>
              <w:spacing w:before="0" w:after="0"/>
              <w:rPr>
                <w:sz w:val="2"/>
                <w:szCs w:val="2"/>
              </w:rPr>
            </w:pPr>
            <w:r w:rsidRPr="00603D8A">
              <w:rPr>
                <w:sz w:val="2"/>
                <w:szCs w:val="2"/>
              </w:rPr>
              <w:t>Health and Safety Standards</w:t>
            </w:r>
          </w:p>
        </w:tc>
        <w:tc>
          <w:tcPr>
            <w:tcW w:w="1780" w:type="dxa"/>
            <w:noWrap/>
            <w:hideMark/>
          </w:tcPr>
          <w:p w14:paraId="6463A194" w14:textId="77777777" w:rsidR="00603D8A" w:rsidRPr="00603D8A" w:rsidRDefault="00603D8A" w:rsidP="00603D8A">
            <w:pPr>
              <w:pStyle w:val="Source"/>
              <w:spacing w:before="0" w:after="0"/>
              <w:rPr>
                <w:sz w:val="2"/>
                <w:szCs w:val="2"/>
              </w:rPr>
            </w:pPr>
            <w:r w:rsidRPr="00603D8A">
              <w:rPr>
                <w:sz w:val="2"/>
                <w:szCs w:val="2"/>
              </w:rPr>
              <w:t>484</w:t>
            </w:r>
          </w:p>
        </w:tc>
      </w:tr>
      <w:tr w:rsidR="00603D8A" w:rsidRPr="00603D8A" w14:paraId="22DA0CBB" w14:textId="77777777" w:rsidTr="00603D8A">
        <w:trPr>
          <w:trHeight w:val="20"/>
          <w:jc w:val="center"/>
        </w:trPr>
        <w:tc>
          <w:tcPr>
            <w:tcW w:w="5103" w:type="dxa"/>
            <w:noWrap/>
            <w:hideMark/>
          </w:tcPr>
          <w:p w14:paraId="2CA715D2" w14:textId="77777777" w:rsidR="00603D8A" w:rsidRPr="00603D8A" w:rsidRDefault="00603D8A" w:rsidP="00603D8A">
            <w:pPr>
              <w:pStyle w:val="Source"/>
              <w:spacing w:before="0" w:after="0"/>
              <w:rPr>
                <w:sz w:val="2"/>
                <w:szCs w:val="2"/>
              </w:rPr>
            </w:pPr>
            <w:r w:rsidRPr="00603D8A">
              <w:rPr>
                <w:sz w:val="2"/>
                <w:szCs w:val="2"/>
              </w:rPr>
              <w:t>Sales</w:t>
            </w:r>
          </w:p>
        </w:tc>
        <w:tc>
          <w:tcPr>
            <w:tcW w:w="1780" w:type="dxa"/>
            <w:noWrap/>
            <w:hideMark/>
          </w:tcPr>
          <w:p w14:paraId="20FCF1EE" w14:textId="77777777" w:rsidR="00603D8A" w:rsidRPr="00603D8A" w:rsidRDefault="00603D8A" w:rsidP="00603D8A">
            <w:pPr>
              <w:pStyle w:val="Source"/>
              <w:spacing w:before="0" w:after="0"/>
              <w:rPr>
                <w:sz w:val="2"/>
                <w:szCs w:val="2"/>
              </w:rPr>
            </w:pPr>
            <w:r w:rsidRPr="00603D8A">
              <w:rPr>
                <w:sz w:val="2"/>
                <w:szCs w:val="2"/>
              </w:rPr>
              <w:t>470</w:t>
            </w:r>
          </w:p>
        </w:tc>
      </w:tr>
      <w:tr w:rsidR="00603D8A" w:rsidRPr="00603D8A" w14:paraId="773B9DBB" w14:textId="77777777" w:rsidTr="00603D8A">
        <w:trPr>
          <w:trHeight w:val="20"/>
          <w:jc w:val="center"/>
        </w:trPr>
        <w:tc>
          <w:tcPr>
            <w:tcW w:w="5103" w:type="dxa"/>
            <w:noWrap/>
            <w:hideMark/>
          </w:tcPr>
          <w:p w14:paraId="22273089" w14:textId="77777777" w:rsidR="00603D8A" w:rsidRPr="00603D8A" w:rsidRDefault="00603D8A" w:rsidP="00603D8A">
            <w:pPr>
              <w:pStyle w:val="Source"/>
              <w:spacing w:before="0" w:after="0"/>
              <w:rPr>
                <w:sz w:val="2"/>
                <w:szCs w:val="2"/>
              </w:rPr>
            </w:pPr>
            <w:r w:rsidRPr="00603D8A">
              <w:rPr>
                <w:sz w:val="2"/>
                <w:szCs w:val="2"/>
              </w:rPr>
              <w:t>Food Safety</w:t>
            </w:r>
          </w:p>
        </w:tc>
        <w:tc>
          <w:tcPr>
            <w:tcW w:w="1780" w:type="dxa"/>
            <w:noWrap/>
            <w:hideMark/>
          </w:tcPr>
          <w:p w14:paraId="547DC000" w14:textId="77777777" w:rsidR="00603D8A" w:rsidRPr="00603D8A" w:rsidRDefault="00603D8A" w:rsidP="00603D8A">
            <w:pPr>
              <w:pStyle w:val="Source"/>
              <w:spacing w:before="0" w:after="0"/>
              <w:rPr>
                <w:sz w:val="2"/>
                <w:szCs w:val="2"/>
              </w:rPr>
            </w:pPr>
            <w:r w:rsidRPr="00603D8A">
              <w:rPr>
                <w:sz w:val="2"/>
                <w:szCs w:val="2"/>
              </w:rPr>
              <w:t>459</w:t>
            </w:r>
          </w:p>
        </w:tc>
      </w:tr>
      <w:tr w:rsidR="00603D8A" w:rsidRPr="00603D8A" w14:paraId="46423F16" w14:textId="77777777" w:rsidTr="00603D8A">
        <w:trPr>
          <w:trHeight w:val="20"/>
          <w:jc w:val="center"/>
        </w:trPr>
        <w:tc>
          <w:tcPr>
            <w:tcW w:w="5103" w:type="dxa"/>
            <w:noWrap/>
            <w:hideMark/>
          </w:tcPr>
          <w:p w14:paraId="451F180D" w14:textId="77777777" w:rsidR="00603D8A" w:rsidRPr="00603D8A" w:rsidRDefault="00603D8A" w:rsidP="00603D8A">
            <w:pPr>
              <w:pStyle w:val="Source"/>
              <w:spacing w:before="0" w:after="0"/>
              <w:rPr>
                <w:sz w:val="2"/>
                <w:szCs w:val="2"/>
              </w:rPr>
            </w:pPr>
            <w:r w:rsidRPr="00603D8A">
              <w:rPr>
                <w:sz w:val="2"/>
                <w:szCs w:val="2"/>
              </w:rPr>
              <w:t>Policy Development</w:t>
            </w:r>
          </w:p>
        </w:tc>
        <w:tc>
          <w:tcPr>
            <w:tcW w:w="1780" w:type="dxa"/>
            <w:noWrap/>
            <w:hideMark/>
          </w:tcPr>
          <w:p w14:paraId="54EA9425" w14:textId="77777777" w:rsidR="00603D8A" w:rsidRPr="00603D8A" w:rsidRDefault="00603D8A" w:rsidP="00603D8A">
            <w:pPr>
              <w:pStyle w:val="Source"/>
              <w:spacing w:before="0" w:after="0"/>
              <w:rPr>
                <w:sz w:val="2"/>
                <w:szCs w:val="2"/>
              </w:rPr>
            </w:pPr>
            <w:r w:rsidRPr="00603D8A">
              <w:rPr>
                <w:sz w:val="2"/>
                <w:szCs w:val="2"/>
              </w:rPr>
              <w:t>444</w:t>
            </w:r>
          </w:p>
        </w:tc>
      </w:tr>
      <w:tr w:rsidR="00603D8A" w:rsidRPr="00603D8A" w14:paraId="0BCF7504" w14:textId="77777777" w:rsidTr="00603D8A">
        <w:trPr>
          <w:trHeight w:val="20"/>
          <w:jc w:val="center"/>
        </w:trPr>
        <w:tc>
          <w:tcPr>
            <w:tcW w:w="5103" w:type="dxa"/>
            <w:noWrap/>
            <w:hideMark/>
          </w:tcPr>
          <w:p w14:paraId="767AFB31" w14:textId="77777777" w:rsidR="00603D8A" w:rsidRPr="00603D8A" w:rsidRDefault="00603D8A" w:rsidP="00603D8A">
            <w:pPr>
              <w:pStyle w:val="Source"/>
              <w:spacing w:before="0" w:after="0"/>
              <w:rPr>
                <w:sz w:val="2"/>
                <w:szCs w:val="2"/>
              </w:rPr>
            </w:pPr>
            <w:r w:rsidRPr="00603D8A">
              <w:rPr>
                <w:sz w:val="2"/>
                <w:szCs w:val="2"/>
              </w:rPr>
              <w:t>Yoga</w:t>
            </w:r>
          </w:p>
        </w:tc>
        <w:tc>
          <w:tcPr>
            <w:tcW w:w="1780" w:type="dxa"/>
            <w:noWrap/>
            <w:hideMark/>
          </w:tcPr>
          <w:p w14:paraId="67037C96" w14:textId="77777777" w:rsidR="00603D8A" w:rsidRPr="00603D8A" w:rsidRDefault="00603D8A" w:rsidP="00603D8A">
            <w:pPr>
              <w:pStyle w:val="Source"/>
              <w:spacing w:before="0" w:after="0"/>
              <w:rPr>
                <w:sz w:val="2"/>
                <w:szCs w:val="2"/>
              </w:rPr>
            </w:pPr>
            <w:r w:rsidRPr="00603D8A">
              <w:rPr>
                <w:sz w:val="2"/>
                <w:szCs w:val="2"/>
              </w:rPr>
              <w:t>442</w:t>
            </w:r>
          </w:p>
        </w:tc>
      </w:tr>
    </w:tbl>
    <w:p w14:paraId="564C0C68" w14:textId="77777777" w:rsidR="00603D8A" w:rsidRPr="00603D8A" w:rsidRDefault="00603D8A" w:rsidP="00603D8A"/>
    <w:p w14:paraId="0D250707" w14:textId="77777777" w:rsidR="00603D8A" w:rsidRDefault="00603D8A" w:rsidP="00701210">
      <w:pPr>
        <w:pStyle w:val="Source"/>
      </w:pPr>
    </w:p>
    <w:p w14:paraId="0B69D790" w14:textId="77777777" w:rsidR="00603D8A" w:rsidRDefault="00603D8A" w:rsidP="00603D8A"/>
    <w:p w14:paraId="0E572412" w14:textId="77777777" w:rsidR="00603D8A" w:rsidRDefault="00603D8A" w:rsidP="00603D8A"/>
    <w:p w14:paraId="2B86CB9C" w14:textId="77777777" w:rsidR="00603D8A" w:rsidRDefault="00603D8A" w:rsidP="00603D8A"/>
    <w:p w14:paraId="7DB6A6F7" w14:textId="77777777" w:rsidR="00603D8A" w:rsidRDefault="00603D8A" w:rsidP="00603D8A"/>
    <w:p w14:paraId="4F459543" w14:textId="77777777" w:rsidR="00603D8A" w:rsidRDefault="00603D8A" w:rsidP="00603D8A"/>
    <w:p w14:paraId="1F472E3D" w14:textId="77777777" w:rsidR="00603D8A" w:rsidRDefault="00603D8A" w:rsidP="00603D8A"/>
    <w:p w14:paraId="21C2AAC1" w14:textId="77777777" w:rsidR="00603D8A" w:rsidRDefault="00603D8A" w:rsidP="00603D8A"/>
    <w:p w14:paraId="3912AE8D" w14:textId="77777777" w:rsidR="00603D8A" w:rsidRDefault="00603D8A" w:rsidP="00603D8A"/>
    <w:p w14:paraId="6B76FF41" w14:textId="77777777" w:rsidR="00603D8A" w:rsidRDefault="00603D8A" w:rsidP="00603D8A"/>
    <w:p w14:paraId="49B8D717" w14:textId="77777777" w:rsidR="00603D8A" w:rsidRPr="00603D8A" w:rsidRDefault="00603D8A" w:rsidP="00603D8A"/>
    <w:p w14:paraId="5A317757" w14:textId="77777777" w:rsidR="00603D8A" w:rsidRDefault="00603D8A" w:rsidP="00701210">
      <w:pPr>
        <w:pStyle w:val="Source"/>
      </w:pPr>
    </w:p>
    <w:p w14:paraId="6DD3FFF3" w14:textId="77777777" w:rsidR="00603D8A" w:rsidRDefault="00603D8A" w:rsidP="00701210">
      <w:pPr>
        <w:pStyle w:val="Source"/>
      </w:pPr>
    </w:p>
    <w:p w14:paraId="329347B5" w14:textId="77777777" w:rsidR="00603D8A" w:rsidRDefault="00603D8A" w:rsidP="00603D8A"/>
    <w:p w14:paraId="517BEF17" w14:textId="77777777" w:rsidR="00603D8A" w:rsidRDefault="00603D8A" w:rsidP="00603D8A"/>
    <w:p w14:paraId="24F87F20" w14:textId="77777777" w:rsidR="00603D8A" w:rsidRDefault="00603D8A" w:rsidP="00603D8A"/>
    <w:p w14:paraId="48412450" w14:textId="77777777" w:rsidR="00603D8A" w:rsidRDefault="00603D8A" w:rsidP="00603D8A"/>
    <w:p w14:paraId="53BD9A0D" w14:textId="77777777" w:rsidR="00603D8A" w:rsidRPr="00603D8A" w:rsidRDefault="00603D8A" w:rsidP="00603D8A"/>
    <w:p w14:paraId="6AE57ED1" w14:textId="36BC3898" w:rsidR="00F47B0F" w:rsidRPr="00F47B0F" w:rsidRDefault="00F47B0F" w:rsidP="00701210">
      <w:pPr>
        <w:pStyle w:val="Source"/>
      </w:pPr>
      <w:r w:rsidRPr="00F47B0F">
        <w:t>Source: JSA analysis of Lightcast data</w:t>
      </w:r>
    </w:p>
    <w:p w14:paraId="6B8DA751" w14:textId="77777777" w:rsidR="00F47B0F" w:rsidRPr="00F47B0F" w:rsidRDefault="00F47B0F" w:rsidP="00F47B0F">
      <w:r w:rsidRPr="00F47B0F">
        <w:t>In examining the skills requested across the board by employers of ECEC staff, 11 skills could be found in almost every online job advertisement. These 11 fundamental skills can be grouped into three categories, being:</w:t>
      </w:r>
    </w:p>
    <w:p w14:paraId="3458CB42" w14:textId="77777777" w:rsidR="00F47B0F" w:rsidRPr="00F47B0F" w:rsidRDefault="00F47B0F" w:rsidP="00701210">
      <w:pPr>
        <w:numPr>
          <w:ilvl w:val="0"/>
          <w:numId w:val="19"/>
        </w:numPr>
      </w:pPr>
      <w:r w:rsidRPr="00F47B0F">
        <w:t xml:space="preserve">Intrinsic skills – related to the nature of the work, and </w:t>
      </w:r>
      <w:proofErr w:type="gramStart"/>
      <w:r w:rsidRPr="00F47B0F">
        <w:t>including:</w:t>
      </w:r>
      <w:proofErr w:type="gramEnd"/>
      <w:r w:rsidRPr="00F47B0F">
        <w:t xml:space="preserve"> </w:t>
      </w:r>
      <w:r w:rsidRPr="00F47B0F">
        <w:rPr>
          <w:i/>
          <w:iCs/>
        </w:rPr>
        <w:t>Early Childhood Education</w:t>
      </w:r>
      <w:r w:rsidRPr="00F47B0F">
        <w:t xml:space="preserve">, </w:t>
      </w:r>
      <w:r w:rsidRPr="00F47B0F">
        <w:rPr>
          <w:i/>
          <w:iCs/>
        </w:rPr>
        <w:t>Child Care</w:t>
      </w:r>
      <w:r w:rsidRPr="00F47B0F">
        <w:t xml:space="preserve">, </w:t>
      </w:r>
      <w:r w:rsidRPr="00F47B0F">
        <w:rPr>
          <w:i/>
          <w:iCs/>
        </w:rPr>
        <w:t>Teaching</w:t>
      </w:r>
      <w:r w:rsidRPr="00F47B0F">
        <w:t xml:space="preserve">, and </w:t>
      </w:r>
      <w:r w:rsidRPr="00F47B0F">
        <w:rPr>
          <w:i/>
          <w:iCs/>
        </w:rPr>
        <w:t>Educational Programmes</w:t>
      </w:r>
    </w:p>
    <w:p w14:paraId="4D7A7985" w14:textId="77777777" w:rsidR="00F47B0F" w:rsidRPr="00F47B0F" w:rsidRDefault="00F47B0F" w:rsidP="00701210">
      <w:pPr>
        <w:numPr>
          <w:ilvl w:val="0"/>
          <w:numId w:val="19"/>
        </w:numPr>
      </w:pPr>
      <w:r w:rsidRPr="00F47B0F">
        <w:t xml:space="preserve">Skills related to health and safety, for example: First Aid, </w:t>
      </w:r>
      <w:r w:rsidRPr="00F47B0F">
        <w:rPr>
          <w:i/>
          <w:iCs/>
        </w:rPr>
        <w:t>Working with Patient and/or condition: Anaphylaxis, CPR</w:t>
      </w:r>
      <w:r w:rsidRPr="00F47B0F">
        <w:t xml:space="preserve">, </w:t>
      </w:r>
      <w:r w:rsidRPr="00F47B0F">
        <w:rPr>
          <w:i/>
          <w:iCs/>
        </w:rPr>
        <w:t>Vaccinations</w:t>
      </w:r>
      <w:r w:rsidRPr="00F47B0F">
        <w:t xml:space="preserve"> (both being vaccinated, and knowledge of the Australian medical vaccination schedule and procedures), and </w:t>
      </w:r>
      <w:r w:rsidRPr="00F47B0F">
        <w:rPr>
          <w:i/>
          <w:iCs/>
        </w:rPr>
        <w:t>Child Protection</w:t>
      </w:r>
    </w:p>
    <w:p w14:paraId="6E94B549" w14:textId="77777777" w:rsidR="00F47B0F" w:rsidRPr="00F47B0F" w:rsidRDefault="00F47B0F" w:rsidP="00701210">
      <w:pPr>
        <w:numPr>
          <w:ilvl w:val="0"/>
          <w:numId w:val="19"/>
        </w:numPr>
      </w:pPr>
      <w:r w:rsidRPr="00F47B0F">
        <w:t xml:space="preserve">Business skills, such as </w:t>
      </w:r>
      <w:r w:rsidRPr="00F47B0F">
        <w:rPr>
          <w:i/>
          <w:iCs/>
        </w:rPr>
        <w:t>Teamwork</w:t>
      </w:r>
      <w:r w:rsidRPr="00F47B0F">
        <w:t xml:space="preserve"> and </w:t>
      </w:r>
      <w:r w:rsidRPr="00F47B0F">
        <w:rPr>
          <w:i/>
          <w:iCs/>
        </w:rPr>
        <w:t>Collaboration</w:t>
      </w:r>
    </w:p>
    <w:p w14:paraId="59FBA6C8" w14:textId="77777777" w:rsidR="00F47B0F" w:rsidRPr="00F47B0F" w:rsidRDefault="00F47B0F" w:rsidP="00701210">
      <w:pPr>
        <w:keepLines/>
        <w:spacing w:before="240"/>
      </w:pPr>
      <w:r w:rsidRPr="00F47B0F">
        <w:lastRenderedPageBreak/>
        <w:t>These skills appear the most frequently and consistently since they reflect exactly how the sector works. It is geared towards these three themes – early education, providing for the safety and wellbeing of children, and working together with colleagues in a business environment.</w:t>
      </w:r>
    </w:p>
    <w:p w14:paraId="263A2AD6" w14:textId="77777777" w:rsidR="00F47B0F" w:rsidRPr="00F47B0F" w:rsidRDefault="00F47B0F" w:rsidP="00F47B0F">
      <w:pPr>
        <w:spacing w:before="240"/>
      </w:pPr>
      <w:r w:rsidRPr="00F47B0F">
        <w:t xml:space="preserve">Perhaps more interesting, however, were the next most commonly occurring skills. The other skills most frequently requested by employers in the space varied immensely, reflecting the breadth and differentiation of the roles of educators. These did not appear in every job advertisement, rather according to each role. For example, Cooking, Laundry, and Yoga, are more likely to be required in hands-on roles, such as </w:t>
      </w:r>
      <w:r w:rsidRPr="00F05F7E">
        <w:rPr>
          <w:i/>
          <w:iCs/>
        </w:rPr>
        <w:t>Child Carers</w:t>
      </w:r>
      <w:r w:rsidRPr="00F47B0F">
        <w:t xml:space="preserve">, Pre-Primary School Teachers and Nannies. On the other hand, skills like Budgeting, Government Regulations, and </w:t>
      </w:r>
      <w:proofErr w:type="gramStart"/>
      <w:r w:rsidRPr="00F47B0F">
        <w:t>Social Media</w:t>
      </w:r>
      <w:proofErr w:type="gramEnd"/>
      <w:r w:rsidRPr="00F47B0F">
        <w:t>, are more relevant for managerial roles (Child Care Centre Managers or Room Leaders).</w:t>
      </w:r>
    </w:p>
    <w:p w14:paraId="208A27F7" w14:textId="77777777" w:rsidR="00F47B0F" w:rsidRPr="00F47B0F" w:rsidRDefault="00F47B0F" w:rsidP="00F47B0F">
      <w:pPr>
        <w:spacing w:before="240"/>
      </w:pPr>
      <w:r w:rsidRPr="00F47B0F">
        <w:t>Requiring such a variety of skills in the single workforce indicates that employers are expecting and seeking well-rounded staff. It also provides further evidence of the difficulties in navigating career pathways across the sector because the skill mix differs greatly between roles. For example, it may be challenging for Child Carers wanting to move into an administrative role to obtain the necessary experience with skills like Budgeting or Project Management if they are engaged in more hands-on skills most of the time.</w:t>
      </w:r>
    </w:p>
    <w:p w14:paraId="6F2BE87F" w14:textId="77777777" w:rsidR="00F47B0F" w:rsidRPr="00F47B0F" w:rsidRDefault="00F47B0F" w:rsidP="00F47B0F"/>
    <w:p w14:paraId="02835211" w14:textId="77777777" w:rsidR="00F47B0F" w:rsidRPr="00F47B0F" w:rsidRDefault="00F47B0F" w:rsidP="00F47B0F">
      <w:pPr>
        <w:pStyle w:val="Heading2"/>
      </w:pPr>
      <w:bookmarkStart w:id="118" w:name="_Toc174363707"/>
      <w:r w:rsidRPr="00F47B0F">
        <w:t>Occupational Flows</w:t>
      </w:r>
      <w:bookmarkEnd w:id="118"/>
    </w:p>
    <w:p w14:paraId="02F00875" w14:textId="77777777" w:rsidR="00F47B0F" w:rsidRPr="00F47B0F" w:rsidRDefault="00F47B0F" w:rsidP="00F47B0F">
      <w:proofErr w:type="gramStart"/>
      <w:r w:rsidRPr="00F47B0F">
        <w:t>In order to</w:t>
      </w:r>
      <w:proofErr w:type="gramEnd"/>
      <w:r w:rsidRPr="00F47B0F">
        <w:t xml:space="preserve"> better understand where potential staff may come from and may leave to, JSA has analysed personal income tax data from the financial years of 2017-18 to 2020-21 to look at the flows of staff moving into, and out of, ECEC occupations.</w:t>
      </w:r>
      <w:r w:rsidRPr="00F47B0F">
        <w:rPr>
          <w:sz w:val="24"/>
          <w:szCs w:val="24"/>
          <w:vertAlign w:val="superscript"/>
        </w:rPr>
        <w:footnoteReference w:id="43"/>
      </w:r>
      <w:r w:rsidRPr="00F47B0F">
        <w:t xml:space="preserve"> This data is coded using the ANZSCO framework and these labels are maintained throughout. </w:t>
      </w:r>
    </w:p>
    <w:p w14:paraId="4D811F69" w14:textId="77777777" w:rsidR="00F47B0F" w:rsidRPr="00F47B0F" w:rsidRDefault="00F47B0F" w:rsidP="00F47B0F">
      <w:r w:rsidRPr="00F47B0F">
        <w:t xml:space="preserve">The majority remain within the same occupation from year-to-year. Between 2017-18 and 2020-21, around 85% of individuals did not change occupation between years for those employed as </w:t>
      </w:r>
      <w:r w:rsidRPr="00F47B0F">
        <w:rPr>
          <w:i/>
          <w:iCs/>
        </w:rPr>
        <w:t>Child Care Centre Managers</w:t>
      </w:r>
      <w:r w:rsidRPr="00F47B0F">
        <w:t xml:space="preserve">, </w:t>
      </w:r>
      <w:r w:rsidRPr="00F47B0F">
        <w:rPr>
          <w:i/>
          <w:iCs/>
        </w:rPr>
        <w:t>Child Care Workers</w:t>
      </w:r>
      <w:r w:rsidRPr="00F47B0F">
        <w:t xml:space="preserve">, and </w:t>
      </w:r>
      <w:r w:rsidRPr="00F47B0F">
        <w:rPr>
          <w:i/>
          <w:iCs/>
        </w:rPr>
        <w:t>Early Childhood (Pre-primary School) Teachers</w:t>
      </w:r>
      <w:r w:rsidRPr="00F47B0F">
        <w:t xml:space="preserve">. For </w:t>
      </w:r>
      <w:r w:rsidRPr="00F47B0F">
        <w:rPr>
          <w:i/>
          <w:iCs/>
        </w:rPr>
        <w:t>Out of School Hours Care Workers</w:t>
      </w:r>
      <w:r w:rsidRPr="00F47B0F">
        <w:t xml:space="preserve">, approximately 76% remained within the same occupation from one year to the next. </w:t>
      </w:r>
    </w:p>
    <w:p w14:paraId="6D9EE4BD" w14:textId="77777777" w:rsidR="00F47B0F" w:rsidRPr="00F47B0F" w:rsidRDefault="00F47B0F" w:rsidP="00F47B0F">
      <w:r w:rsidRPr="00F47B0F">
        <w:fldChar w:fldCharType="begin" w:fldLock="1"/>
      </w:r>
      <w:r w:rsidRPr="00F47B0F">
        <w:instrText xml:space="preserve"> REF _Ref169159085 \h  \* MERGEFORMAT </w:instrText>
      </w:r>
      <w:r w:rsidRPr="00F47B0F">
        <w:fldChar w:fldCharType="separate"/>
      </w:r>
      <w:r w:rsidRPr="00F47B0F">
        <w:t>Figure 2.</w:t>
      </w:r>
      <w:r w:rsidRPr="00F47B0F">
        <w:rPr>
          <w:noProof/>
        </w:rPr>
        <w:t>18</w:t>
      </w:r>
      <w:r w:rsidRPr="00F47B0F">
        <w:fldChar w:fldCharType="end"/>
      </w:r>
      <w:r w:rsidRPr="00F47B0F">
        <w:t xml:space="preserve"> shows the most common occupations previously held by staff moving into </w:t>
      </w:r>
      <w:r w:rsidRPr="00F47B0F">
        <w:rPr>
          <w:i/>
          <w:iCs/>
        </w:rPr>
        <w:t>Child Care Worker, Out of School Hours Care Worker, Early Childhood (Pre-primary School) Teacher</w:t>
      </w:r>
      <w:r w:rsidRPr="00F47B0F">
        <w:t xml:space="preserve">, and </w:t>
      </w:r>
      <w:r w:rsidRPr="00F47B0F">
        <w:rPr>
          <w:i/>
          <w:iCs/>
        </w:rPr>
        <w:t xml:space="preserve">Child Care Centre Manager </w:t>
      </w:r>
      <w:r w:rsidRPr="00F47B0F">
        <w:t xml:space="preserve">roles. </w:t>
      </w:r>
    </w:p>
    <w:p w14:paraId="03BA2AEA" w14:textId="77777777" w:rsidR="00F47B0F" w:rsidRPr="00F47B0F" w:rsidRDefault="00F47B0F" w:rsidP="00F47B0F">
      <w:r w:rsidRPr="00F47B0F">
        <w:t xml:space="preserve">For </w:t>
      </w:r>
      <w:r w:rsidRPr="00F47B0F">
        <w:rPr>
          <w:i/>
          <w:iCs/>
        </w:rPr>
        <w:t>Child Care Worker,</w:t>
      </w:r>
      <w:r w:rsidRPr="00F47B0F">
        <w:t xml:space="preserve"> the largest ECEC occupation, inflows come from a range of occupations and typically staff are not coming from other ECEC roles. The single most commonly occurring occupation is </w:t>
      </w:r>
      <w:r w:rsidRPr="00F47B0F">
        <w:rPr>
          <w:i/>
          <w:iCs/>
        </w:rPr>
        <w:t>Sales Assistant</w:t>
      </w:r>
      <w:r w:rsidRPr="00F47B0F">
        <w:t xml:space="preserve">, followed by </w:t>
      </w:r>
      <w:r w:rsidRPr="00F47B0F">
        <w:rPr>
          <w:i/>
          <w:iCs/>
        </w:rPr>
        <w:t>Primary School Teacher</w:t>
      </w:r>
      <w:r w:rsidRPr="00F47B0F">
        <w:t xml:space="preserve">. </w:t>
      </w:r>
      <w:r w:rsidRPr="00F47B0F">
        <w:rPr>
          <w:i/>
          <w:iCs/>
        </w:rPr>
        <w:t>Waiter, Office Cashier</w:t>
      </w:r>
      <w:r w:rsidRPr="00F47B0F">
        <w:t xml:space="preserve"> and </w:t>
      </w:r>
      <w:r w:rsidRPr="00F47B0F">
        <w:rPr>
          <w:i/>
          <w:iCs/>
        </w:rPr>
        <w:t>General Clerk</w:t>
      </w:r>
      <w:r w:rsidRPr="00F47B0F">
        <w:t xml:space="preserve"> also feature among the most common source occupations. Approximately one in five </w:t>
      </w:r>
      <w:r w:rsidRPr="00F47B0F">
        <w:rPr>
          <w:i/>
          <w:iCs/>
        </w:rPr>
        <w:t>Child Care Workers</w:t>
      </w:r>
      <w:r w:rsidRPr="00F47B0F">
        <w:t xml:space="preserve"> were not in the dataset for the </w:t>
      </w:r>
      <w:r w:rsidRPr="00F47B0F">
        <w:lastRenderedPageBreak/>
        <w:t xml:space="preserve">previous year, suggesting they are either new entrants to the Australian workforce or have been out of the workforce for </w:t>
      </w:r>
      <w:proofErr w:type="gramStart"/>
      <w:r w:rsidRPr="00F47B0F">
        <w:t>a period of time</w:t>
      </w:r>
      <w:proofErr w:type="gramEnd"/>
      <w:r w:rsidRPr="00F47B0F">
        <w:t xml:space="preserve">. </w:t>
      </w:r>
    </w:p>
    <w:p w14:paraId="180CF70D" w14:textId="77777777" w:rsidR="00F47B0F" w:rsidRPr="00F47B0F" w:rsidRDefault="00F47B0F" w:rsidP="00F47B0F">
      <w:r w:rsidRPr="00F47B0F">
        <w:t xml:space="preserve">In contrast, many new </w:t>
      </w:r>
      <w:r w:rsidRPr="007771BF">
        <w:rPr>
          <w:i/>
          <w:iCs/>
        </w:rPr>
        <w:t>Out of School Hours Care Workers</w:t>
      </w:r>
      <w:r w:rsidRPr="00F47B0F">
        <w:t xml:space="preserve"> have experience working </w:t>
      </w:r>
      <w:r w:rsidRPr="007771BF">
        <w:rPr>
          <w:i/>
          <w:iCs/>
        </w:rPr>
        <w:t>as Child Care Workers</w:t>
      </w:r>
      <w:r w:rsidRPr="000F631B">
        <w:t xml:space="preserve">, </w:t>
      </w:r>
      <w:r w:rsidRPr="00F47B0F">
        <w:t xml:space="preserve">though </w:t>
      </w:r>
      <w:r w:rsidRPr="00F40308">
        <w:rPr>
          <w:i/>
          <w:iCs/>
        </w:rPr>
        <w:t>Sales Assistants, Office Cashiers, General Clerks, Waiters</w:t>
      </w:r>
      <w:r w:rsidRPr="00F47B0F">
        <w:t xml:space="preserve"> and </w:t>
      </w:r>
      <w:proofErr w:type="gramStart"/>
      <w:r w:rsidRPr="00F40308">
        <w:rPr>
          <w:i/>
          <w:iCs/>
        </w:rPr>
        <w:t>Fast Food</w:t>
      </w:r>
      <w:proofErr w:type="gramEnd"/>
      <w:r w:rsidRPr="00F40308">
        <w:rPr>
          <w:i/>
          <w:iCs/>
        </w:rPr>
        <w:t xml:space="preserve"> Cooks</w:t>
      </w:r>
      <w:r w:rsidRPr="00F47B0F">
        <w:t xml:space="preserve"> are also common. </w:t>
      </w:r>
    </w:p>
    <w:p w14:paraId="446E6F5C" w14:textId="77777777" w:rsidR="00F47B0F" w:rsidRPr="00F47B0F" w:rsidRDefault="00F47B0F" w:rsidP="00F47B0F">
      <w:r w:rsidRPr="00F47B0F">
        <w:t xml:space="preserve">The most common occupation for </w:t>
      </w:r>
      <w:r w:rsidRPr="000F631B">
        <w:rPr>
          <w:i/>
          <w:iCs/>
        </w:rPr>
        <w:t>Early Childhood (Pre-Primary School) Teachers</w:t>
      </w:r>
      <w:r w:rsidRPr="00F47B0F">
        <w:t xml:space="preserve"> is </w:t>
      </w:r>
      <w:r w:rsidRPr="00F40308">
        <w:rPr>
          <w:i/>
          <w:iCs/>
        </w:rPr>
        <w:t xml:space="preserve">Child Care Workers, </w:t>
      </w:r>
      <w:r w:rsidRPr="00F47B0F">
        <w:t xml:space="preserve">though it still only accounts for just over one in five new entrants. The other common previous occupations for </w:t>
      </w:r>
      <w:r w:rsidRPr="000F631B">
        <w:rPr>
          <w:i/>
          <w:iCs/>
        </w:rPr>
        <w:t>Early Childhood (Pre-Primary School) Teachers</w:t>
      </w:r>
      <w:r w:rsidRPr="00F47B0F">
        <w:t xml:space="preserve"> include </w:t>
      </w:r>
      <w:r w:rsidRPr="00F40308">
        <w:rPr>
          <w:i/>
          <w:iCs/>
        </w:rPr>
        <w:t>Primary School Teachers, Teachers’ Aides</w:t>
      </w:r>
      <w:r w:rsidRPr="00F47B0F">
        <w:t xml:space="preserve"> and </w:t>
      </w:r>
      <w:r w:rsidRPr="00F40308">
        <w:rPr>
          <w:i/>
          <w:iCs/>
        </w:rPr>
        <w:t>Preschool Aides</w:t>
      </w:r>
      <w:r w:rsidRPr="00F47B0F">
        <w:t xml:space="preserve">. </w:t>
      </w:r>
    </w:p>
    <w:p w14:paraId="5BB2FAC1" w14:textId="77777777" w:rsidR="00F47B0F" w:rsidRPr="00F47B0F" w:rsidRDefault="00F47B0F" w:rsidP="00F47B0F">
      <w:r w:rsidRPr="00F47B0F">
        <w:t xml:space="preserve">The most common source occupations for new </w:t>
      </w:r>
      <w:r w:rsidRPr="000F631B">
        <w:rPr>
          <w:i/>
          <w:iCs/>
        </w:rPr>
        <w:t xml:space="preserve">Child Care Centre Managers </w:t>
      </w:r>
      <w:r w:rsidRPr="00F47B0F">
        <w:t xml:space="preserve">are other ECEC roles, including </w:t>
      </w:r>
      <w:r w:rsidRPr="000F631B">
        <w:rPr>
          <w:i/>
          <w:iCs/>
        </w:rPr>
        <w:t>Child Care Worker, Early Childhood (Pre-Primary School) Teacher,</w:t>
      </w:r>
      <w:r w:rsidRPr="00F47B0F">
        <w:t xml:space="preserve"> and </w:t>
      </w:r>
      <w:r w:rsidRPr="000F631B">
        <w:rPr>
          <w:i/>
          <w:iCs/>
        </w:rPr>
        <w:t>Out of School Hours Care Worker.</w:t>
      </w:r>
      <w:r w:rsidRPr="00F47B0F">
        <w:t xml:space="preserve"> </w:t>
      </w:r>
    </w:p>
    <w:p w14:paraId="7C4AB240" w14:textId="77777777" w:rsidR="00F47B0F" w:rsidRPr="00F47B0F" w:rsidRDefault="00F47B0F" w:rsidP="00F47B0F">
      <w:r w:rsidRPr="00F47B0F">
        <w:fldChar w:fldCharType="begin" w:fldLock="1"/>
      </w:r>
      <w:r w:rsidRPr="00F47B0F">
        <w:instrText xml:space="preserve"> REF _Ref169159068 \h  \* MERGEFORMAT </w:instrText>
      </w:r>
      <w:r w:rsidRPr="00F47B0F">
        <w:fldChar w:fldCharType="separate"/>
      </w:r>
      <w:r w:rsidRPr="00F47B0F">
        <w:t>Figure 2.</w:t>
      </w:r>
      <w:r w:rsidRPr="00F47B0F">
        <w:rPr>
          <w:noProof/>
        </w:rPr>
        <w:t>19</w:t>
      </w:r>
      <w:r w:rsidRPr="00F47B0F">
        <w:fldChar w:fldCharType="end"/>
      </w:r>
      <w:r w:rsidRPr="00F47B0F">
        <w:t xml:space="preserve"> shows the most common occupational destinations for those leaving ECEC roles. The most common occupation for departing </w:t>
      </w:r>
      <w:r w:rsidRPr="007771BF">
        <w:rPr>
          <w:i/>
          <w:iCs/>
        </w:rPr>
        <w:t>Child Care Workers</w:t>
      </w:r>
      <w:r w:rsidRPr="00F47B0F">
        <w:t xml:space="preserve"> is </w:t>
      </w:r>
      <w:r w:rsidRPr="00F40308">
        <w:rPr>
          <w:i/>
          <w:iCs/>
        </w:rPr>
        <w:t>Primary School Teacher</w:t>
      </w:r>
      <w:r w:rsidRPr="00F47B0F">
        <w:t xml:space="preserve">, followed by </w:t>
      </w:r>
      <w:r w:rsidRPr="00F40308">
        <w:rPr>
          <w:i/>
          <w:iCs/>
        </w:rPr>
        <w:t>Child Care Centre Manager</w:t>
      </w:r>
      <w:r w:rsidRPr="00F47B0F">
        <w:t xml:space="preserve"> and </w:t>
      </w:r>
      <w:r w:rsidRPr="00F40308">
        <w:rPr>
          <w:i/>
          <w:iCs/>
        </w:rPr>
        <w:t>Early Childhood (Pre-Primary School Teacher). General Clerk, Education Aide</w:t>
      </w:r>
      <w:r w:rsidRPr="00F47B0F">
        <w:t xml:space="preserve"> and </w:t>
      </w:r>
      <w:r w:rsidRPr="00F40308">
        <w:rPr>
          <w:i/>
          <w:iCs/>
        </w:rPr>
        <w:t>Sales Assistant</w:t>
      </w:r>
      <w:r w:rsidRPr="00F47B0F">
        <w:t xml:space="preserve"> feature commonly. Less common are hospitality or Aged or Disabled Carer roles. </w:t>
      </w:r>
    </w:p>
    <w:p w14:paraId="58A52FEB" w14:textId="77777777" w:rsidR="00F47B0F" w:rsidRPr="00F47B0F" w:rsidRDefault="00F47B0F" w:rsidP="00F47B0F">
      <w:r w:rsidRPr="00F47B0F">
        <w:t xml:space="preserve">Departing </w:t>
      </w:r>
      <w:r w:rsidRPr="007771BF">
        <w:rPr>
          <w:i/>
          <w:iCs/>
        </w:rPr>
        <w:t>Out of School Hours Care Workers</w:t>
      </w:r>
      <w:r w:rsidRPr="00F47B0F">
        <w:t xml:space="preserve"> also commonly become </w:t>
      </w:r>
      <w:r w:rsidRPr="000F631B">
        <w:rPr>
          <w:i/>
          <w:iCs/>
        </w:rPr>
        <w:t>Primary School Teachers</w:t>
      </w:r>
      <w:r w:rsidRPr="00F47B0F">
        <w:t xml:space="preserve">, with </w:t>
      </w:r>
      <w:r w:rsidRPr="000F631B">
        <w:rPr>
          <w:i/>
          <w:iCs/>
        </w:rPr>
        <w:t>Secondary School Teachers</w:t>
      </w:r>
      <w:r w:rsidRPr="00F47B0F">
        <w:t xml:space="preserve"> also featuring. There is also movement to </w:t>
      </w:r>
      <w:r w:rsidRPr="000F631B">
        <w:rPr>
          <w:i/>
          <w:iCs/>
        </w:rPr>
        <w:t>Child Care Worker roles</w:t>
      </w:r>
      <w:r w:rsidRPr="00F47B0F">
        <w:t xml:space="preserve"> in other service types. </w:t>
      </w:r>
    </w:p>
    <w:p w14:paraId="542C2F26" w14:textId="77777777" w:rsidR="00F47B0F" w:rsidRPr="00F47B0F" w:rsidRDefault="00F47B0F" w:rsidP="00F47B0F">
      <w:r w:rsidRPr="00F47B0F">
        <w:t xml:space="preserve">Nearly 25% of departing </w:t>
      </w:r>
      <w:r w:rsidRPr="000F631B">
        <w:rPr>
          <w:i/>
          <w:iCs/>
        </w:rPr>
        <w:t>Early Childhood (Pre-Primary School) Teachers</w:t>
      </w:r>
      <w:r w:rsidRPr="00F47B0F">
        <w:t xml:space="preserve"> leave to become </w:t>
      </w:r>
      <w:r w:rsidRPr="000F631B">
        <w:rPr>
          <w:i/>
          <w:iCs/>
        </w:rPr>
        <w:t>Primary School Teachers</w:t>
      </w:r>
      <w:r w:rsidRPr="00F47B0F">
        <w:t xml:space="preserve">. In contrast, less than 15% move on to </w:t>
      </w:r>
      <w:r w:rsidRPr="007771BF">
        <w:rPr>
          <w:i/>
          <w:iCs/>
        </w:rPr>
        <w:t>Child Care Worker</w:t>
      </w:r>
      <w:r w:rsidRPr="00F47B0F">
        <w:t xml:space="preserve"> roles and less than 5% become </w:t>
      </w:r>
      <w:r w:rsidRPr="000F631B">
        <w:rPr>
          <w:i/>
          <w:iCs/>
        </w:rPr>
        <w:t>Child Care Centre Managers</w:t>
      </w:r>
      <w:r w:rsidRPr="00F47B0F">
        <w:t xml:space="preserve">. </w:t>
      </w:r>
    </w:p>
    <w:p w14:paraId="3E19AA68" w14:textId="77777777" w:rsidR="00F47B0F" w:rsidRPr="00F47B0F" w:rsidRDefault="00F47B0F" w:rsidP="00701210">
      <w:pPr>
        <w:rPr>
          <w:highlight w:val="lightGray"/>
        </w:rPr>
      </w:pPr>
      <w:r w:rsidRPr="00F47B0F">
        <w:t xml:space="preserve">The number of departing </w:t>
      </w:r>
      <w:r w:rsidRPr="000F631B">
        <w:rPr>
          <w:i/>
          <w:iCs/>
        </w:rPr>
        <w:t>Child Care Centre Managers</w:t>
      </w:r>
      <w:r w:rsidRPr="00F47B0F">
        <w:t xml:space="preserve"> is much smaller. Typically, they move on to other roles in ECEC, </w:t>
      </w:r>
      <w:r w:rsidRPr="007771BF">
        <w:rPr>
          <w:i/>
          <w:iCs/>
        </w:rPr>
        <w:t>Primary School Teacher</w:t>
      </w:r>
      <w:r w:rsidRPr="00F47B0F">
        <w:t xml:space="preserve"> roles, or other managerial roles.</w:t>
      </w:r>
      <w:r w:rsidRPr="00F47B0F">
        <w:rPr>
          <w:highlight w:val="lightGray"/>
        </w:rPr>
        <w:t xml:space="preserve"> </w:t>
      </w:r>
    </w:p>
    <w:p w14:paraId="02041E5C" w14:textId="77777777" w:rsidR="00BD415C" w:rsidRDefault="00BD415C">
      <w:pPr>
        <w:rPr>
          <w:b/>
          <w:bCs/>
          <w:color w:val="auto"/>
          <w:sz w:val="18"/>
          <w:szCs w:val="18"/>
        </w:rPr>
      </w:pPr>
      <w:bookmarkStart w:id="119" w:name="_Ref169159085"/>
      <w:bookmarkStart w:id="120" w:name="_Ref168061014"/>
      <w:r>
        <w:br w:type="page"/>
      </w:r>
    </w:p>
    <w:p w14:paraId="395BDE42" w14:textId="0C5111D0" w:rsidR="00F47B0F" w:rsidRPr="00F47B0F" w:rsidRDefault="00BD415C" w:rsidP="00701210">
      <w:pPr>
        <w:pStyle w:val="Caption"/>
      </w:pPr>
      <w:r w:rsidRPr="00F47B0F">
        <w:rPr>
          <w:noProof/>
        </w:rPr>
        <w:lastRenderedPageBreak/>
        <w:drawing>
          <wp:anchor distT="0" distB="0" distL="114300" distR="114300" simplePos="0" relativeHeight="251717635" behindDoc="0" locked="0" layoutInCell="1" allowOverlap="1" wp14:anchorId="5038D1EA" wp14:editId="00712329">
            <wp:simplePos x="0" y="0"/>
            <wp:positionH relativeFrom="column">
              <wp:align>left</wp:align>
            </wp:positionH>
            <wp:positionV relativeFrom="paragraph">
              <wp:posOffset>257175</wp:posOffset>
            </wp:positionV>
            <wp:extent cx="5731200" cy="8031600"/>
            <wp:effectExtent l="0" t="0" r="3175" b="7620"/>
            <wp:wrapNone/>
            <wp:docPr id="1675978518"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978518" name="Picture 5">
                      <a:extLst>
                        <a:ext uri="{C183D7F6-B498-43B3-948B-1728B52AA6E4}">
                          <adec:decorative xmlns:adec="http://schemas.microsoft.com/office/drawing/2017/decorative" val="1"/>
                        </a:ext>
                      </a:extLst>
                    </pic:cNvPr>
                    <pic:cNvPicPr>
                      <a:picLocks noChangeAspect="1" noChangeArrowheads="1"/>
                    </pic:cNvPicPr>
                  </pic:nvPicPr>
                  <pic:blipFill>
                    <a:blip r:embed="rId101" cstate="screen">
                      <a:extLst>
                        <a:ext uri="{28A0092B-C50C-407E-A947-70E740481C1C}">
                          <a14:useLocalDpi xmlns:a14="http://schemas.microsoft.com/office/drawing/2010/main" val="0"/>
                        </a:ext>
                      </a:extLst>
                    </a:blip>
                    <a:srcRect/>
                    <a:stretch>
                      <a:fillRect/>
                    </a:stretch>
                  </pic:blipFill>
                  <pic:spPr bwMode="auto">
                    <a:xfrm>
                      <a:off x="0" y="0"/>
                      <a:ext cx="5731200" cy="803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7B0F" w:rsidRPr="00F47B0F">
        <w:t>Figure 2.</w:t>
      </w:r>
      <w:r w:rsidR="00F47B0F" w:rsidRPr="00F47B0F">
        <w:fldChar w:fldCharType="begin"/>
      </w:r>
      <w:r w:rsidR="00F47B0F" w:rsidRPr="00F47B0F">
        <w:instrText xml:space="preserve"> SEQ Figure \* ARABIC \s 1 </w:instrText>
      </w:r>
      <w:r w:rsidR="00F47B0F" w:rsidRPr="00F47B0F">
        <w:fldChar w:fldCharType="separate"/>
      </w:r>
      <w:r w:rsidR="005F18C1">
        <w:rPr>
          <w:noProof/>
        </w:rPr>
        <w:t>18</w:t>
      </w:r>
      <w:r w:rsidR="00F47B0F" w:rsidRPr="00F47B0F">
        <w:fldChar w:fldCharType="end"/>
      </w:r>
      <w:bookmarkEnd w:id="119"/>
      <w:r w:rsidR="00F47B0F" w:rsidRPr="00F47B0F">
        <w:t xml:space="preserve"> Occupational flows into ECEC occupations, average of FY2017-18 to FY2020-21</w:t>
      </w:r>
    </w:p>
    <w:bookmarkEnd w:id="120"/>
    <w:p w14:paraId="146A6CCF" w14:textId="5EDB770D" w:rsidR="00F47B0F" w:rsidRPr="00F47B0F" w:rsidRDefault="00F47B0F" w:rsidP="00F47B0F">
      <w:pPr>
        <w:spacing w:after="0"/>
        <w:jc w:val="right"/>
        <w:rPr>
          <w:highlight w:val="lightGray"/>
        </w:rPr>
      </w:pPr>
      <w:r w:rsidRPr="00F47B0F" w:rsidDel="0053325D">
        <w:rPr>
          <w:noProof/>
        </w:rPr>
        <w:t xml:space="preserve"> </w:t>
      </w:r>
    </w:p>
    <w:tbl>
      <w:tblPr>
        <w:tblStyle w:val="Box"/>
        <w:tblW w:w="0" w:type="auto"/>
        <w:jc w:val="center"/>
        <w:tblLook w:val="04A0" w:firstRow="1" w:lastRow="0" w:firstColumn="1" w:lastColumn="0" w:noHBand="0" w:noVBand="1"/>
      </w:tblPr>
      <w:tblGrid>
        <w:gridCol w:w="2364"/>
        <w:gridCol w:w="2887"/>
        <w:gridCol w:w="930"/>
        <w:gridCol w:w="1286"/>
        <w:gridCol w:w="1559"/>
      </w:tblGrid>
      <w:tr w:rsidR="00BD415C" w:rsidRPr="00BD415C" w14:paraId="01BC5F9C" w14:textId="77777777" w:rsidTr="00BD415C">
        <w:trPr>
          <w:trHeight w:val="20"/>
          <w:jc w:val="center"/>
        </w:trPr>
        <w:tc>
          <w:tcPr>
            <w:tcW w:w="3840" w:type="dxa"/>
            <w:hideMark/>
          </w:tcPr>
          <w:p w14:paraId="44EF392C" w14:textId="77777777" w:rsidR="00BD415C" w:rsidRPr="00BD415C" w:rsidRDefault="00BD415C" w:rsidP="00BD415C">
            <w:pPr>
              <w:pStyle w:val="Source"/>
              <w:spacing w:before="0" w:after="0"/>
              <w:rPr>
                <w:sz w:val="2"/>
                <w:szCs w:val="2"/>
              </w:rPr>
            </w:pPr>
          </w:p>
        </w:tc>
        <w:tc>
          <w:tcPr>
            <w:tcW w:w="4720" w:type="dxa"/>
            <w:hideMark/>
          </w:tcPr>
          <w:p w14:paraId="287121E1" w14:textId="77777777" w:rsidR="00BD415C" w:rsidRPr="00BD415C" w:rsidRDefault="00BD415C" w:rsidP="00BD415C">
            <w:pPr>
              <w:pStyle w:val="Source"/>
              <w:spacing w:before="0" w:after="0"/>
              <w:rPr>
                <w:sz w:val="2"/>
                <w:szCs w:val="2"/>
              </w:rPr>
            </w:pPr>
          </w:p>
        </w:tc>
        <w:tc>
          <w:tcPr>
            <w:tcW w:w="1420" w:type="dxa"/>
            <w:noWrap/>
            <w:hideMark/>
          </w:tcPr>
          <w:p w14:paraId="172D86DD" w14:textId="77777777" w:rsidR="00BD415C" w:rsidRPr="00BD415C" w:rsidRDefault="00BD415C" w:rsidP="00BD415C">
            <w:pPr>
              <w:pStyle w:val="Source"/>
              <w:spacing w:before="0" w:after="0"/>
              <w:rPr>
                <w:b/>
                <w:bCs/>
                <w:sz w:val="2"/>
                <w:szCs w:val="2"/>
              </w:rPr>
            </w:pPr>
            <w:r w:rsidRPr="00BD415C">
              <w:rPr>
                <w:b/>
                <w:bCs/>
                <w:sz w:val="2"/>
                <w:szCs w:val="2"/>
              </w:rPr>
              <w:t>Other ECEC</w:t>
            </w:r>
          </w:p>
        </w:tc>
        <w:tc>
          <w:tcPr>
            <w:tcW w:w="2020" w:type="dxa"/>
            <w:noWrap/>
            <w:hideMark/>
          </w:tcPr>
          <w:p w14:paraId="489B82C2" w14:textId="77777777" w:rsidR="00BD415C" w:rsidRPr="00BD415C" w:rsidRDefault="00BD415C" w:rsidP="00BD415C">
            <w:pPr>
              <w:pStyle w:val="Source"/>
              <w:spacing w:before="0" w:after="0"/>
              <w:rPr>
                <w:b/>
                <w:bCs/>
                <w:sz w:val="2"/>
                <w:szCs w:val="2"/>
              </w:rPr>
            </w:pPr>
            <w:r w:rsidRPr="00BD415C">
              <w:rPr>
                <w:b/>
                <w:bCs/>
                <w:sz w:val="2"/>
                <w:szCs w:val="2"/>
              </w:rPr>
              <w:t>Other Occupation</w:t>
            </w:r>
          </w:p>
        </w:tc>
        <w:tc>
          <w:tcPr>
            <w:tcW w:w="2480" w:type="dxa"/>
            <w:noWrap/>
            <w:hideMark/>
          </w:tcPr>
          <w:p w14:paraId="10F42858" w14:textId="77777777" w:rsidR="00BD415C" w:rsidRPr="00BD415C" w:rsidRDefault="00BD415C" w:rsidP="00BD415C">
            <w:pPr>
              <w:pStyle w:val="Source"/>
              <w:spacing w:before="0" w:after="0"/>
              <w:rPr>
                <w:b/>
                <w:bCs/>
                <w:sz w:val="2"/>
                <w:szCs w:val="2"/>
              </w:rPr>
            </w:pPr>
            <w:r w:rsidRPr="00BD415C">
              <w:rPr>
                <w:b/>
                <w:bCs/>
                <w:sz w:val="2"/>
                <w:szCs w:val="2"/>
              </w:rPr>
              <w:t>No return or unknown</w:t>
            </w:r>
          </w:p>
        </w:tc>
      </w:tr>
      <w:tr w:rsidR="00BD415C" w:rsidRPr="00BD415C" w14:paraId="1675BC3A" w14:textId="77777777" w:rsidTr="00BD415C">
        <w:trPr>
          <w:trHeight w:val="20"/>
          <w:jc w:val="center"/>
        </w:trPr>
        <w:tc>
          <w:tcPr>
            <w:tcW w:w="3840" w:type="dxa"/>
            <w:noWrap/>
            <w:hideMark/>
          </w:tcPr>
          <w:p w14:paraId="32AC9A85" w14:textId="77777777" w:rsidR="00BD415C" w:rsidRPr="00BD415C" w:rsidRDefault="00BD415C" w:rsidP="00BD415C">
            <w:pPr>
              <w:pStyle w:val="Source"/>
              <w:spacing w:before="0" w:after="0"/>
              <w:rPr>
                <w:b/>
                <w:bCs/>
                <w:sz w:val="2"/>
                <w:szCs w:val="2"/>
              </w:rPr>
            </w:pPr>
            <w:r w:rsidRPr="00BD415C">
              <w:rPr>
                <w:b/>
                <w:bCs/>
                <w:sz w:val="2"/>
                <w:szCs w:val="2"/>
              </w:rPr>
              <w:t>Child Care Worker</w:t>
            </w:r>
          </w:p>
        </w:tc>
        <w:tc>
          <w:tcPr>
            <w:tcW w:w="4720" w:type="dxa"/>
            <w:noWrap/>
            <w:hideMark/>
          </w:tcPr>
          <w:p w14:paraId="22B0B8A9" w14:textId="77777777" w:rsidR="00BD415C" w:rsidRPr="00BD415C" w:rsidRDefault="00BD415C" w:rsidP="00BD415C">
            <w:pPr>
              <w:pStyle w:val="Source"/>
              <w:spacing w:before="0" w:after="0"/>
              <w:rPr>
                <w:sz w:val="2"/>
                <w:szCs w:val="2"/>
              </w:rPr>
            </w:pPr>
            <w:r w:rsidRPr="00BD415C">
              <w:rPr>
                <w:sz w:val="2"/>
                <w:szCs w:val="2"/>
              </w:rPr>
              <w:t>Other occupations</w:t>
            </w:r>
          </w:p>
        </w:tc>
        <w:tc>
          <w:tcPr>
            <w:tcW w:w="1420" w:type="dxa"/>
            <w:hideMark/>
          </w:tcPr>
          <w:p w14:paraId="70A8FBCA" w14:textId="77777777" w:rsidR="00BD415C" w:rsidRPr="00BD415C" w:rsidRDefault="00BD415C" w:rsidP="00BD415C">
            <w:pPr>
              <w:pStyle w:val="Source"/>
              <w:spacing w:before="0" w:after="0"/>
              <w:rPr>
                <w:sz w:val="2"/>
                <w:szCs w:val="2"/>
              </w:rPr>
            </w:pPr>
          </w:p>
        </w:tc>
        <w:tc>
          <w:tcPr>
            <w:tcW w:w="2020" w:type="dxa"/>
            <w:noWrap/>
            <w:hideMark/>
          </w:tcPr>
          <w:p w14:paraId="1DD070C4" w14:textId="77777777" w:rsidR="00BD415C" w:rsidRPr="00BD415C" w:rsidRDefault="00BD415C" w:rsidP="00BD415C">
            <w:pPr>
              <w:pStyle w:val="Source"/>
              <w:spacing w:before="0" w:after="0"/>
              <w:rPr>
                <w:sz w:val="2"/>
                <w:szCs w:val="2"/>
              </w:rPr>
            </w:pPr>
            <w:r w:rsidRPr="00BD415C">
              <w:rPr>
                <w:sz w:val="2"/>
                <w:szCs w:val="2"/>
              </w:rPr>
              <w:t>30.2%</w:t>
            </w:r>
          </w:p>
        </w:tc>
        <w:tc>
          <w:tcPr>
            <w:tcW w:w="2480" w:type="dxa"/>
            <w:noWrap/>
            <w:hideMark/>
          </w:tcPr>
          <w:p w14:paraId="6082D6C2" w14:textId="77777777" w:rsidR="00BD415C" w:rsidRPr="00BD415C" w:rsidRDefault="00BD415C" w:rsidP="00BD415C">
            <w:pPr>
              <w:pStyle w:val="Source"/>
              <w:spacing w:before="0" w:after="0"/>
              <w:rPr>
                <w:sz w:val="2"/>
                <w:szCs w:val="2"/>
              </w:rPr>
            </w:pPr>
          </w:p>
        </w:tc>
      </w:tr>
      <w:tr w:rsidR="00BD415C" w:rsidRPr="00BD415C" w14:paraId="567028D5" w14:textId="77777777" w:rsidTr="00BD415C">
        <w:trPr>
          <w:trHeight w:val="20"/>
          <w:jc w:val="center"/>
        </w:trPr>
        <w:tc>
          <w:tcPr>
            <w:tcW w:w="3840" w:type="dxa"/>
            <w:noWrap/>
            <w:hideMark/>
          </w:tcPr>
          <w:p w14:paraId="3DC2B830" w14:textId="77777777" w:rsidR="00BD415C" w:rsidRPr="00BD415C" w:rsidRDefault="00BD415C" w:rsidP="00BD415C">
            <w:pPr>
              <w:pStyle w:val="Source"/>
              <w:spacing w:before="0" w:after="0"/>
              <w:rPr>
                <w:sz w:val="2"/>
                <w:szCs w:val="2"/>
              </w:rPr>
            </w:pPr>
          </w:p>
        </w:tc>
        <w:tc>
          <w:tcPr>
            <w:tcW w:w="4720" w:type="dxa"/>
            <w:noWrap/>
            <w:hideMark/>
          </w:tcPr>
          <w:p w14:paraId="7220EF56" w14:textId="77777777" w:rsidR="00BD415C" w:rsidRPr="00BD415C" w:rsidRDefault="00BD415C" w:rsidP="00BD415C">
            <w:pPr>
              <w:pStyle w:val="Source"/>
              <w:spacing w:before="0" w:after="0"/>
              <w:rPr>
                <w:sz w:val="2"/>
                <w:szCs w:val="2"/>
              </w:rPr>
            </w:pPr>
            <w:r w:rsidRPr="00BD415C">
              <w:rPr>
                <w:sz w:val="2"/>
                <w:szCs w:val="2"/>
              </w:rPr>
              <w:t>Unknown</w:t>
            </w:r>
          </w:p>
        </w:tc>
        <w:tc>
          <w:tcPr>
            <w:tcW w:w="1420" w:type="dxa"/>
            <w:noWrap/>
            <w:hideMark/>
          </w:tcPr>
          <w:p w14:paraId="748AB7A4" w14:textId="77777777" w:rsidR="00BD415C" w:rsidRPr="00BD415C" w:rsidRDefault="00BD415C" w:rsidP="00BD415C">
            <w:pPr>
              <w:pStyle w:val="Source"/>
              <w:spacing w:before="0" w:after="0"/>
              <w:rPr>
                <w:sz w:val="2"/>
                <w:szCs w:val="2"/>
              </w:rPr>
            </w:pPr>
          </w:p>
        </w:tc>
        <w:tc>
          <w:tcPr>
            <w:tcW w:w="2020" w:type="dxa"/>
            <w:noWrap/>
            <w:hideMark/>
          </w:tcPr>
          <w:p w14:paraId="08B40318" w14:textId="77777777" w:rsidR="00BD415C" w:rsidRPr="00BD415C" w:rsidRDefault="00BD415C" w:rsidP="00BD415C">
            <w:pPr>
              <w:pStyle w:val="Source"/>
              <w:spacing w:before="0" w:after="0"/>
              <w:rPr>
                <w:sz w:val="2"/>
                <w:szCs w:val="2"/>
              </w:rPr>
            </w:pPr>
          </w:p>
        </w:tc>
        <w:tc>
          <w:tcPr>
            <w:tcW w:w="2480" w:type="dxa"/>
            <w:noWrap/>
            <w:hideMark/>
          </w:tcPr>
          <w:p w14:paraId="7CE77493" w14:textId="77777777" w:rsidR="00BD415C" w:rsidRPr="00BD415C" w:rsidRDefault="00BD415C" w:rsidP="00BD415C">
            <w:pPr>
              <w:pStyle w:val="Source"/>
              <w:spacing w:before="0" w:after="0"/>
              <w:rPr>
                <w:sz w:val="2"/>
                <w:szCs w:val="2"/>
              </w:rPr>
            </w:pPr>
            <w:r w:rsidRPr="00BD415C">
              <w:rPr>
                <w:sz w:val="2"/>
                <w:szCs w:val="2"/>
              </w:rPr>
              <w:t>24.0%</w:t>
            </w:r>
          </w:p>
        </w:tc>
      </w:tr>
      <w:tr w:rsidR="00BD415C" w:rsidRPr="00BD415C" w14:paraId="3288FA7B" w14:textId="77777777" w:rsidTr="00BD415C">
        <w:trPr>
          <w:trHeight w:val="20"/>
          <w:jc w:val="center"/>
        </w:trPr>
        <w:tc>
          <w:tcPr>
            <w:tcW w:w="3840" w:type="dxa"/>
            <w:noWrap/>
            <w:hideMark/>
          </w:tcPr>
          <w:p w14:paraId="27DB4FEB" w14:textId="77777777" w:rsidR="00BD415C" w:rsidRPr="00BD415C" w:rsidRDefault="00BD415C" w:rsidP="00BD415C">
            <w:pPr>
              <w:pStyle w:val="Source"/>
              <w:spacing w:before="0" w:after="0"/>
              <w:rPr>
                <w:sz w:val="2"/>
                <w:szCs w:val="2"/>
              </w:rPr>
            </w:pPr>
          </w:p>
        </w:tc>
        <w:tc>
          <w:tcPr>
            <w:tcW w:w="4720" w:type="dxa"/>
            <w:noWrap/>
            <w:hideMark/>
          </w:tcPr>
          <w:p w14:paraId="2395AA5D" w14:textId="77777777" w:rsidR="00BD415C" w:rsidRPr="00BD415C" w:rsidRDefault="00BD415C" w:rsidP="00BD415C">
            <w:pPr>
              <w:pStyle w:val="Source"/>
              <w:spacing w:before="0" w:after="0"/>
              <w:rPr>
                <w:sz w:val="2"/>
                <w:szCs w:val="2"/>
              </w:rPr>
            </w:pPr>
            <w:r w:rsidRPr="00BD415C">
              <w:rPr>
                <w:sz w:val="2"/>
                <w:szCs w:val="2"/>
              </w:rPr>
              <w:t>No tax return</w:t>
            </w:r>
          </w:p>
        </w:tc>
        <w:tc>
          <w:tcPr>
            <w:tcW w:w="1420" w:type="dxa"/>
            <w:noWrap/>
            <w:hideMark/>
          </w:tcPr>
          <w:p w14:paraId="3FB569E8" w14:textId="77777777" w:rsidR="00BD415C" w:rsidRPr="00BD415C" w:rsidRDefault="00BD415C" w:rsidP="00BD415C">
            <w:pPr>
              <w:pStyle w:val="Source"/>
              <w:spacing w:before="0" w:after="0"/>
              <w:rPr>
                <w:sz w:val="2"/>
                <w:szCs w:val="2"/>
              </w:rPr>
            </w:pPr>
          </w:p>
        </w:tc>
        <w:tc>
          <w:tcPr>
            <w:tcW w:w="2020" w:type="dxa"/>
            <w:noWrap/>
            <w:hideMark/>
          </w:tcPr>
          <w:p w14:paraId="2DACC4FF" w14:textId="77777777" w:rsidR="00BD415C" w:rsidRPr="00BD415C" w:rsidRDefault="00BD415C" w:rsidP="00BD415C">
            <w:pPr>
              <w:pStyle w:val="Source"/>
              <w:spacing w:before="0" w:after="0"/>
              <w:rPr>
                <w:sz w:val="2"/>
                <w:szCs w:val="2"/>
              </w:rPr>
            </w:pPr>
          </w:p>
        </w:tc>
        <w:tc>
          <w:tcPr>
            <w:tcW w:w="2480" w:type="dxa"/>
            <w:noWrap/>
            <w:hideMark/>
          </w:tcPr>
          <w:p w14:paraId="580E2AB3" w14:textId="77777777" w:rsidR="00BD415C" w:rsidRPr="00BD415C" w:rsidRDefault="00BD415C" w:rsidP="00BD415C">
            <w:pPr>
              <w:pStyle w:val="Source"/>
              <w:spacing w:before="0" w:after="0"/>
              <w:rPr>
                <w:sz w:val="2"/>
                <w:szCs w:val="2"/>
              </w:rPr>
            </w:pPr>
            <w:r w:rsidRPr="00BD415C">
              <w:rPr>
                <w:sz w:val="2"/>
                <w:szCs w:val="2"/>
              </w:rPr>
              <w:t>22.4%</w:t>
            </w:r>
          </w:p>
        </w:tc>
      </w:tr>
      <w:tr w:rsidR="00BD415C" w:rsidRPr="00BD415C" w14:paraId="52737DC2" w14:textId="77777777" w:rsidTr="00BD415C">
        <w:trPr>
          <w:trHeight w:val="20"/>
          <w:jc w:val="center"/>
        </w:trPr>
        <w:tc>
          <w:tcPr>
            <w:tcW w:w="3840" w:type="dxa"/>
            <w:noWrap/>
            <w:hideMark/>
          </w:tcPr>
          <w:p w14:paraId="4BFE1846" w14:textId="77777777" w:rsidR="00BD415C" w:rsidRPr="00BD415C" w:rsidRDefault="00BD415C" w:rsidP="00BD415C">
            <w:pPr>
              <w:pStyle w:val="Source"/>
              <w:spacing w:before="0" w:after="0"/>
              <w:rPr>
                <w:sz w:val="2"/>
                <w:szCs w:val="2"/>
              </w:rPr>
            </w:pPr>
          </w:p>
        </w:tc>
        <w:tc>
          <w:tcPr>
            <w:tcW w:w="4720" w:type="dxa"/>
            <w:noWrap/>
            <w:hideMark/>
          </w:tcPr>
          <w:p w14:paraId="6DF61C3B" w14:textId="77777777" w:rsidR="00BD415C" w:rsidRPr="00BD415C" w:rsidRDefault="00BD415C" w:rsidP="00BD415C">
            <w:pPr>
              <w:pStyle w:val="Source"/>
              <w:spacing w:before="0" w:after="0"/>
              <w:rPr>
                <w:sz w:val="2"/>
                <w:szCs w:val="2"/>
              </w:rPr>
            </w:pPr>
            <w:r w:rsidRPr="00BD415C">
              <w:rPr>
                <w:sz w:val="2"/>
                <w:szCs w:val="2"/>
              </w:rPr>
              <w:t>Sales Assistants</w:t>
            </w:r>
          </w:p>
        </w:tc>
        <w:tc>
          <w:tcPr>
            <w:tcW w:w="1420" w:type="dxa"/>
            <w:noWrap/>
            <w:hideMark/>
          </w:tcPr>
          <w:p w14:paraId="15A5E55E" w14:textId="77777777" w:rsidR="00BD415C" w:rsidRPr="00BD415C" w:rsidRDefault="00BD415C" w:rsidP="00BD415C">
            <w:pPr>
              <w:pStyle w:val="Source"/>
              <w:spacing w:before="0" w:after="0"/>
              <w:rPr>
                <w:sz w:val="2"/>
                <w:szCs w:val="2"/>
              </w:rPr>
            </w:pPr>
          </w:p>
        </w:tc>
        <w:tc>
          <w:tcPr>
            <w:tcW w:w="2020" w:type="dxa"/>
            <w:noWrap/>
            <w:hideMark/>
          </w:tcPr>
          <w:p w14:paraId="185D0A36" w14:textId="77777777" w:rsidR="00BD415C" w:rsidRPr="00BD415C" w:rsidRDefault="00BD415C" w:rsidP="00BD415C">
            <w:pPr>
              <w:pStyle w:val="Source"/>
              <w:spacing w:before="0" w:after="0"/>
              <w:rPr>
                <w:sz w:val="2"/>
                <w:szCs w:val="2"/>
              </w:rPr>
            </w:pPr>
            <w:r w:rsidRPr="00BD415C">
              <w:rPr>
                <w:sz w:val="2"/>
                <w:szCs w:val="2"/>
              </w:rPr>
              <w:t>6.3%</w:t>
            </w:r>
          </w:p>
        </w:tc>
        <w:tc>
          <w:tcPr>
            <w:tcW w:w="2480" w:type="dxa"/>
            <w:noWrap/>
            <w:hideMark/>
          </w:tcPr>
          <w:p w14:paraId="445D82E6" w14:textId="77777777" w:rsidR="00BD415C" w:rsidRPr="00BD415C" w:rsidRDefault="00BD415C" w:rsidP="00BD415C">
            <w:pPr>
              <w:pStyle w:val="Source"/>
              <w:spacing w:before="0" w:after="0"/>
              <w:rPr>
                <w:sz w:val="2"/>
                <w:szCs w:val="2"/>
              </w:rPr>
            </w:pPr>
          </w:p>
        </w:tc>
      </w:tr>
      <w:tr w:rsidR="00BD415C" w:rsidRPr="00BD415C" w14:paraId="77AA5C59" w14:textId="77777777" w:rsidTr="00BD415C">
        <w:trPr>
          <w:trHeight w:val="20"/>
          <w:jc w:val="center"/>
        </w:trPr>
        <w:tc>
          <w:tcPr>
            <w:tcW w:w="3840" w:type="dxa"/>
            <w:hideMark/>
          </w:tcPr>
          <w:p w14:paraId="33AC4AE7" w14:textId="77777777" w:rsidR="00BD415C" w:rsidRPr="00BD415C" w:rsidRDefault="00BD415C" w:rsidP="00BD415C">
            <w:pPr>
              <w:pStyle w:val="Source"/>
              <w:spacing w:before="0" w:after="0"/>
              <w:rPr>
                <w:sz w:val="2"/>
                <w:szCs w:val="2"/>
              </w:rPr>
            </w:pPr>
          </w:p>
        </w:tc>
        <w:tc>
          <w:tcPr>
            <w:tcW w:w="6140" w:type="dxa"/>
            <w:gridSpan w:val="2"/>
            <w:noWrap/>
            <w:hideMark/>
          </w:tcPr>
          <w:p w14:paraId="73C24812" w14:textId="77777777" w:rsidR="00BD415C" w:rsidRPr="00BD415C" w:rsidRDefault="00BD415C" w:rsidP="00BD415C">
            <w:pPr>
              <w:pStyle w:val="Source"/>
              <w:spacing w:before="0" w:after="0"/>
              <w:rPr>
                <w:sz w:val="2"/>
                <w:szCs w:val="2"/>
              </w:rPr>
            </w:pPr>
            <w:r w:rsidRPr="00BD415C">
              <w:rPr>
                <w:sz w:val="2"/>
                <w:szCs w:val="2"/>
              </w:rPr>
              <w:t>Primary School Teacher</w:t>
            </w:r>
          </w:p>
        </w:tc>
        <w:tc>
          <w:tcPr>
            <w:tcW w:w="2020" w:type="dxa"/>
            <w:noWrap/>
            <w:hideMark/>
          </w:tcPr>
          <w:p w14:paraId="7F53D7AA" w14:textId="77777777" w:rsidR="00BD415C" w:rsidRPr="00BD415C" w:rsidRDefault="00BD415C" w:rsidP="00BD415C">
            <w:pPr>
              <w:pStyle w:val="Source"/>
              <w:spacing w:before="0" w:after="0"/>
              <w:rPr>
                <w:sz w:val="2"/>
                <w:szCs w:val="2"/>
              </w:rPr>
            </w:pPr>
            <w:r w:rsidRPr="00BD415C">
              <w:rPr>
                <w:sz w:val="2"/>
                <w:szCs w:val="2"/>
              </w:rPr>
              <w:t>4.7%</w:t>
            </w:r>
          </w:p>
        </w:tc>
        <w:tc>
          <w:tcPr>
            <w:tcW w:w="2480" w:type="dxa"/>
            <w:noWrap/>
            <w:hideMark/>
          </w:tcPr>
          <w:p w14:paraId="4E85A226" w14:textId="77777777" w:rsidR="00BD415C" w:rsidRPr="00BD415C" w:rsidRDefault="00BD415C" w:rsidP="00BD415C">
            <w:pPr>
              <w:pStyle w:val="Source"/>
              <w:spacing w:before="0" w:after="0"/>
              <w:rPr>
                <w:sz w:val="2"/>
                <w:szCs w:val="2"/>
              </w:rPr>
            </w:pPr>
          </w:p>
        </w:tc>
      </w:tr>
      <w:tr w:rsidR="00BD415C" w:rsidRPr="00BD415C" w14:paraId="07FAA0F3" w14:textId="77777777" w:rsidTr="00BD415C">
        <w:trPr>
          <w:trHeight w:val="20"/>
          <w:jc w:val="center"/>
        </w:trPr>
        <w:tc>
          <w:tcPr>
            <w:tcW w:w="3840" w:type="dxa"/>
            <w:noWrap/>
            <w:hideMark/>
          </w:tcPr>
          <w:p w14:paraId="5DA5CCA6" w14:textId="77777777" w:rsidR="00BD415C" w:rsidRPr="00BD415C" w:rsidRDefault="00BD415C" w:rsidP="00BD415C">
            <w:pPr>
              <w:pStyle w:val="Source"/>
              <w:spacing w:before="0" w:after="0"/>
              <w:rPr>
                <w:sz w:val="2"/>
                <w:szCs w:val="2"/>
              </w:rPr>
            </w:pPr>
          </w:p>
        </w:tc>
        <w:tc>
          <w:tcPr>
            <w:tcW w:w="4720" w:type="dxa"/>
            <w:noWrap/>
            <w:hideMark/>
          </w:tcPr>
          <w:p w14:paraId="3CA8E222" w14:textId="77777777" w:rsidR="00BD415C" w:rsidRPr="00BD415C" w:rsidRDefault="00BD415C" w:rsidP="00BD415C">
            <w:pPr>
              <w:pStyle w:val="Source"/>
              <w:spacing w:before="0" w:after="0"/>
              <w:rPr>
                <w:sz w:val="2"/>
                <w:szCs w:val="2"/>
              </w:rPr>
            </w:pPr>
            <w:r w:rsidRPr="00BD415C">
              <w:rPr>
                <w:sz w:val="2"/>
                <w:szCs w:val="2"/>
              </w:rPr>
              <w:t>Waiter</w:t>
            </w:r>
          </w:p>
        </w:tc>
        <w:tc>
          <w:tcPr>
            <w:tcW w:w="1420" w:type="dxa"/>
            <w:hideMark/>
          </w:tcPr>
          <w:p w14:paraId="35F8066C" w14:textId="77777777" w:rsidR="00BD415C" w:rsidRPr="00BD415C" w:rsidRDefault="00BD415C" w:rsidP="00BD415C">
            <w:pPr>
              <w:pStyle w:val="Source"/>
              <w:spacing w:before="0" w:after="0"/>
              <w:rPr>
                <w:sz w:val="2"/>
                <w:szCs w:val="2"/>
              </w:rPr>
            </w:pPr>
          </w:p>
        </w:tc>
        <w:tc>
          <w:tcPr>
            <w:tcW w:w="2020" w:type="dxa"/>
            <w:noWrap/>
            <w:hideMark/>
          </w:tcPr>
          <w:p w14:paraId="071B2F6F" w14:textId="77777777" w:rsidR="00BD415C" w:rsidRPr="00BD415C" w:rsidRDefault="00BD415C" w:rsidP="00BD415C">
            <w:pPr>
              <w:pStyle w:val="Source"/>
              <w:spacing w:before="0" w:after="0"/>
              <w:rPr>
                <w:sz w:val="2"/>
                <w:szCs w:val="2"/>
              </w:rPr>
            </w:pPr>
            <w:r w:rsidRPr="00BD415C">
              <w:rPr>
                <w:sz w:val="2"/>
                <w:szCs w:val="2"/>
              </w:rPr>
              <w:t>3.3%</w:t>
            </w:r>
          </w:p>
        </w:tc>
        <w:tc>
          <w:tcPr>
            <w:tcW w:w="2480" w:type="dxa"/>
            <w:noWrap/>
            <w:hideMark/>
          </w:tcPr>
          <w:p w14:paraId="38F772C4" w14:textId="77777777" w:rsidR="00BD415C" w:rsidRPr="00BD415C" w:rsidRDefault="00BD415C" w:rsidP="00BD415C">
            <w:pPr>
              <w:pStyle w:val="Source"/>
              <w:spacing w:before="0" w:after="0"/>
              <w:rPr>
                <w:sz w:val="2"/>
                <w:szCs w:val="2"/>
              </w:rPr>
            </w:pPr>
          </w:p>
        </w:tc>
      </w:tr>
      <w:tr w:rsidR="00BD415C" w:rsidRPr="00BD415C" w14:paraId="1A37DFFF" w14:textId="77777777" w:rsidTr="00BD415C">
        <w:trPr>
          <w:trHeight w:val="20"/>
          <w:jc w:val="center"/>
        </w:trPr>
        <w:tc>
          <w:tcPr>
            <w:tcW w:w="3840" w:type="dxa"/>
            <w:noWrap/>
            <w:hideMark/>
          </w:tcPr>
          <w:p w14:paraId="34FD324A" w14:textId="77777777" w:rsidR="00BD415C" w:rsidRPr="00BD415C" w:rsidRDefault="00BD415C" w:rsidP="00BD415C">
            <w:pPr>
              <w:pStyle w:val="Source"/>
              <w:spacing w:before="0" w:after="0"/>
              <w:rPr>
                <w:sz w:val="2"/>
                <w:szCs w:val="2"/>
              </w:rPr>
            </w:pPr>
          </w:p>
        </w:tc>
        <w:tc>
          <w:tcPr>
            <w:tcW w:w="4720" w:type="dxa"/>
            <w:noWrap/>
            <w:hideMark/>
          </w:tcPr>
          <w:p w14:paraId="707F1A92" w14:textId="77777777" w:rsidR="00BD415C" w:rsidRPr="00BD415C" w:rsidRDefault="00BD415C" w:rsidP="00BD415C">
            <w:pPr>
              <w:pStyle w:val="Source"/>
              <w:spacing w:before="0" w:after="0"/>
              <w:rPr>
                <w:sz w:val="2"/>
                <w:szCs w:val="2"/>
              </w:rPr>
            </w:pPr>
            <w:r w:rsidRPr="00BD415C">
              <w:rPr>
                <w:sz w:val="2"/>
                <w:szCs w:val="2"/>
              </w:rPr>
              <w:t>Office Cashier</w:t>
            </w:r>
          </w:p>
        </w:tc>
        <w:tc>
          <w:tcPr>
            <w:tcW w:w="1420" w:type="dxa"/>
            <w:noWrap/>
            <w:hideMark/>
          </w:tcPr>
          <w:p w14:paraId="572B3D23" w14:textId="77777777" w:rsidR="00BD415C" w:rsidRPr="00BD415C" w:rsidRDefault="00BD415C" w:rsidP="00BD415C">
            <w:pPr>
              <w:pStyle w:val="Source"/>
              <w:spacing w:before="0" w:after="0"/>
              <w:rPr>
                <w:sz w:val="2"/>
                <w:szCs w:val="2"/>
              </w:rPr>
            </w:pPr>
          </w:p>
        </w:tc>
        <w:tc>
          <w:tcPr>
            <w:tcW w:w="2020" w:type="dxa"/>
            <w:noWrap/>
            <w:hideMark/>
          </w:tcPr>
          <w:p w14:paraId="30D54959" w14:textId="77777777" w:rsidR="00BD415C" w:rsidRPr="00BD415C" w:rsidRDefault="00BD415C" w:rsidP="00BD415C">
            <w:pPr>
              <w:pStyle w:val="Source"/>
              <w:spacing w:before="0" w:after="0"/>
              <w:rPr>
                <w:sz w:val="2"/>
                <w:szCs w:val="2"/>
              </w:rPr>
            </w:pPr>
            <w:r w:rsidRPr="00BD415C">
              <w:rPr>
                <w:sz w:val="2"/>
                <w:szCs w:val="2"/>
              </w:rPr>
              <w:t>2.5%</w:t>
            </w:r>
          </w:p>
        </w:tc>
        <w:tc>
          <w:tcPr>
            <w:tcW w:w="2480" w:type="dxa"/>
            <w:noWrap/>
            <w:hideMark/>
          </w:tcPr>
          <w:p w14:paraId="016BA8D0" w14:textId="77777777" w:rsidR="00BD415C" w:rsidRPr="00BD415C" w:rsidRDefault="00BD415C" w:rsidP="00BD415C">
            <w:pPr>
              <w:pStyle w:val="Source"/>
              <w:spacing w:before="0" w:after="0"/>
              <w:rPr>
                <w:sz w:val="2"/>
                <w:szCs w:val="2"/>
              </w:rPr>
            </w:pPr>
          </w:p>
        </w:tc>
      </w:tr>
      <w:tr w:rsidR="00BD415C" w:rsidRPr="00BD415C" w14:paraId="33F7C526" w14:textId="77777777" w:rsidTr="00BD415C">
        <w:trPr>
          <w:trHeight w:val="20"/>
          <w:jc w:val="center"/>
        </w:trPr>
        <w:tc>
          <w:tcPr>
            <w:tcW w:w="3840" w:type="dxa"/>
            <w:noWrap/>
            <w:hideMark/>
          </w:tcPr>
          <w:p w14:paraId="6C990876" w14:textId="77777777" w:rsidR="00BD415C" w:rsidRPr="00BD415C" w:rsidRDefault="00BD415C" w:rsidP="00BD415C">
            <w:pPr>
              <w:pStyle w:val="Source"/>
              <w:spacing w:before="0" w:after="0"/>
              <w:rPr>
                <w:sz w:val="2"/>
                <w:szCs w:val="2"/>
              </w:rPr>
            </w:pPr>
          </w:p>
        </w:tc>
        <w:tc>
          <w:tcPr>
            <w:tcW w:w="4720" w:type="dxa"/>
            <w:noWrap/>
            <w:hideMark/>
          </w:tcPr>
          <w:p w14:paraId="45E67F81" w14:textId="77777777" w:rsidR="00BD415C" w:rsidRPr="00BD415C" w:rsidRDefault="00BD415C" w:rsidP="00BD415C">
            <w:pPr>
              <w:pStyle w:val="Source"/>
              <w:spacing w:before="0" w:after="0"/>
              <w:rPr>
                <w:sz w:val="2"/>
                <w:szCs w:val="2"/>
              </w:rPr>
            </w:pPr>
            <w:r w:rsidRPr="00BD415C">
              <w:rPr>
                <w:sz w:val="2"/>
                <w:szCs w:val="2"/>
              </w:rPr>
              <w:t>General Clerk</w:t>
            </w:r>
          </w:p>
        </w:tc>
        <w:tc>
          <w:tcPr>
            <w:tcW w:w="1420" w:type="dxa"/>
            <w:noWrap/>
            <w:hideMark/>
          </w:tcPr>
          <w:p w14:paraId="36B657FF" w14:textId="77777777" w:rsidR="00BD415C" w:rsidRPr="00BD415C" w:rsidRDefault="00BD415C" w:rsidP="00BD415C">
            <w:pPr>
              <w:pStyle w:val="Source"/>
              <w:spacing w:before="0" w:after="0"/>
              <w:rPr>
                <w:sz w:val="2"/>
                <w:szCs w:val="2"/>
              </w:rPr>
            </w:pPr>
          </w:p>
        </w:tc>
        <w:tc>
          <w:tcPr>
            <w:tcW w:w="2020" w:type="dxa"/>
            <w:noWrap/>
            <w:hideMark/>
          </w:tcPr>
          <w:p w14:paraId="0C5AAD34" w14:textId="77777777" w:rsidR="00BD415C" w:rsidRPr="00BD415C" w:rsidRDefault="00BD415C" w:rsidP="00BD415C">
            <w:pPr>
              <w:pStyle w:val="Source"/>
              <w:spacing w:before="0" w:after="0"/>
              <w:rPr>
                <w:sz w:val="2"/>
                <w:szCs w:val="2"/>
              </w:rPr>
            </w:pPr>
            <w:r w:rsidRPr="00BD415C">
              <w:rPr>
                <w:sz w:val="2"/>
                <w:szCs w:val="2"/>
              </w:rPr>
              <w:t>2.0%</w:t>
            </w:r>
          </w:p>
        </w:tc>
        <w:tc>
          <w:tcPr>
            <w:tcW w:w="2480" w:type="dxa"/>
            <w:noWrap/>
            <w:hideMark/>
          </w:tcPr>
          <w:p w14:paraId="0DB35605" w14:textId="77777777" w:rsidR="00BD415C" w:rsidRPr="00BD415C" w:rsidRDefault="00BD415C" w:rsidP="00BD415C">
            <w:pPr>
              <w:pStyle w:val="Source"/>
              <w:spacing w:before="0" w:after="0"/>
              <w:rPr>
                <w:sz w:val="2"/>
                <w:szCs w:val="2"/>
              </w:rPr>
            </w:pPr>
          </w:p>
        </w:tc>
      </w:tr>
      <w:tr w:rsidR="00BD415C" w:rsidRPr="00BD415C" w14:paraId="47823180" w14:textId="77777777" w:rsidTr="00BD415C">
        <w:trPr>
          <w:trHeight w:val="20"/>
          <w:jc w:val="center"/>
        </w:trPr>
        <w:tc>
          <w:tcPr>
            <w:tcW w:w="3840" w:type="dxa"/>
            <w:hideMark/>
          </w:tcPr>
          <w:p w14:paraId="435319A6" w14:textId="77777777" w:rsidR="00BD415C" w:rsidRPr="00BD415C" w:rsidRDefault="00BD415C" w:rsidP="00BD415C">
            <w:pPr>
              <w:pStyle w:val="Source"/>
              <w:spacing w:before="0" w:after="0"/>
              <w:rPr>
                <w:sz w:val="2"/>
                <w:szCs w:val="2"/>
              </w:rPr>
            </w:pPr>
          </w:p>
        </w:tc>
        <w:tc>
          <w:tcPr>
            <w:tcW w:w="4720" w:type="dxa"/>
            <w:noWrap/>
            <w:hideMark/>
          </w:tcPr>
          <w:p w14:paraId="660BBCC9" w14:textId="77777777" w:rsidR="00BD415C" w:rsidRPr="00BD415C" w:rsidRDefault="00BD415C" w:rsidP="00BD415C">
            <w:pPr>
              <w:pStyle w:val="Source"/>
              <w:spacing w:before="0" w:after="0"/>
              <w:rPr>
                <w:sz w:val="2"/>
                <w:szCs w:val="2"/>
              </w:rPr>
            </w:pPr>
            <w:r w:rsidRPr="00BD415C">
              <w:rPr>
                <w:sz w:val="2"/>
                <w:szCs w:val="2"/>
              </w:rPr>
              <w:t>Out of School Hours Care Worker</w:t>
            </w:r>
          </w:p>
        </w:tc>
        <w:tc>
          <w:tcPr>
            <w:tcW w:w="1420" w:type="dxa"/>
            <w:noWrap/>
            <w:hideMark/>
          </w:tcPr>
          <w:p w14:paraId="6B564FCC" w14:textId="77777777" w:rsidR="00BD415C" w:rsidRPr="00BD415C" w:rsidRDefault="00BD415C" w:rsidP="00BD415C">
            <w:pPr>
              <w:pStyle w:val="Source"/>
              <w:spacing w:before="0" w:after="0"/>
              <w:rPr>
                <w:sz w:val="2"/>
                <w:szCs w:val="2"/>
              </w:rPr>
            </w:pPr>
            <w:r w:rsidRPr="00BD415C">
              <w:rPr>
                <w:sz w:val="2"/>
                <w:szCs w:val="2"/>
              </w:rPr>
              <w:t>1.7%</w:t>
            </w:r>
          </w:p>
        </w:tc>
        <w:tc>
          <w:tcPr>
            <w:tcW w:w="2020" w:type="dxa"/>
            <w:noWrap/>
            <w:hideMark/>
          </w:tcPr>
          <w:p w14:paraId="69402AB6" w14:textId="77777777" w:rsidR="00BD415C" w:rsidRPr="00BD415C" w:rsidRDefault="00BD415C" w:rsidP="00BD415C">
            <w:pPr>
              <w:pStyle w:val="Source"/>
              <w:spacing w:before="0" w:after="0"/>
              <w:rPr>
                <w:sz w:val="2"/>
                <w:szCs w:val="2"/>
              </w:rPr>
            </w:pPr>
          </w:p>
        </w:tc>
        <w:tc>
          <w:tcPr>
            <w:tcW w:w="2480" w:type="dxa"/>
            <w:noWrap/>
            <w:hideMark/>
          </w:tcPr>
          <w:p w14:paraId="5DB36DA5" w14:textId="77777777" w:rsidR="00BD415C" w:rsidRPr="00BD415C" w:rsidRDefault="00BD415C" w:rsidP="00BD415C">
            <w:pPr>
              <w:pStyle w:val="Source"/>
              <w:spacing w:before="0" w:after="0"/>
              <w:rPr>
                <w:sz w:val="2"/>
                <w:szCs w:val="2"/>
              </w:rPr>
            </w:pPr>
          </w:p>
        </w:tc>
      </w:tr>
      <w:tr w:rsidR="00BD415C" w:rsidRPr="00BD415C" w14:paraId="59EF3182" w14:textId="77777777" w:rsidTr="00BD415C">
        <w:trPr>
          <w:trHeight w:val="20"/>
          <w:jc w:val="center"/>
        </w:trPr>
        <w:tc>
          <w:tcPr>
            <w:tcW w:w="3840" w:type="dxa"/>
            <w:noWrap/>
            <w:hideMark/>
          </w:tcPr>
          <w:p w14:paraId="68B1DE2E" w14:textId="77777777" w:rsidR="00BD415C" w:rsidRPr="00BD415C" w:rsidRDefault="00BD415C" w:rsidP="00BD415C">
            <w:pPr>
              <w:pStyle w:val="Source"/>
              <w:spacing w:before="0" w:after="0"/>
              <w:rPr>
                <w:sz w:val="2"/>
                <w:szCs w:val="2"/>
              </w:rPr>
            </w:pPr>
          </w:p>
        </w:tc>
        <w:tc>
          <w:tcPr>
            <w:tcW w:w="4720" w:type="dxa"/>
            <w:noWrap/>
            <w:hideMark/>
          </w:tcPr>
          <w:p w14:paraId="0AA56D05" w14:textId="77777777" w:rsidR="00BD415C" w:rsidRPr="00BD415C" w:rsidRDefault="00BD415C" w:rsidP="00BD415C">
            <w:pPr>
              <w:pStyle w:val="Source"/>
              <w:spacing w:before="0" w:after="0"/>
              <w:rPr>
                <w:sz w:val="2"/>
                <w:szCs w:val="2"/>
              </w:rPr>
            </w:pPr>
            <w:r w:rsidRPr="00BD415C">
              <w:rPr>
                <w:sz w:val="2"/>
                <w:szCs w:val="2"/>
              </w:rPr>
              <w:t>Child Care Centre Manager</w:t>
            </w:r>
          </w:p>
        </w:tc>
        <w:tc>
          <w:tcPr>
            <w:tcW w:w="1420" w:type="dxa"/>
            <w:noWrap/>
            <w:hideMark/>
          </w:tcPr>
          <w:p w14:paraId="07541849" w14:textId="77777777" w:rsidR="00BD415C" w:rsidRPr="00BD415C" w:rsidRDefault="00BD415C" w:rsidP="00BD415C">
            <w:pPr>
              <w:pStyle w:val="Source"/>
              <w:spacing w:before="0" w:after="0"/>
              <w:rPr>
                <w:sz w:val="2"/>
                <w:szCs w:val="2"/>
              </w:rPr>
            </w:pPr>
            <w:r w:rsidRPr="00BD415C">
              <w:rPr>
                <w:sz w:val="2"/>
                <w:szCs w:val="2"/>
              </w:rPr>
              <w:t>1.5%</w:t>
            </w:r>
          </w:p>
        </w:tc>
        <w:tc>
          <w:tcPr>
            <w:tcW w:w="2020" w:type="dxa"/>
            <w:noWrap/>
            <w:hideMark/>
          </w:tcPr>
          <w:p w14:paraId="4034563A" w14:textId="77777777" w:rsidR="00BD415C" w:rsidRPr="00BD415C" w:rsidRDefault="00BD415C" w:rsidP="00BD415C">
            <w:pPr>
              <w:pStyle w:val="Source"/>
              <w:spacing w:before="0" w:after="0"/>
              <w:rPr>
                <w:sz w:val="2"/>
                <w:szCs w:val="2"/>
              </w:rPr>
            </w:pPr>
          </w:p>
        </w:tc>
        <w:tc>
          <w:tcPr>
            <w:tcW w:w="2480" w:type="dxa"/>
            <w:noWrap/>
            <w:hideMark/>
          </w:tcPr>
          <w:p w14:paraId="32DCC145" w14:textId="77777777" w:rsidR="00BD415C" w:rsidRPr="00BD415C" w:rsidRDefault="00BD415C" w:rsidP="00BD415C">
            <w:pPr>
              <w:pStyle w:val="Source"/>
              <w:spacing w:before="0" w:after="0"/>
              <w:rPr>
                <w:sz w:val="2"/>
                <w:szCs w:val="2"/>
              </w:rPr>
            </w:pPr>
          </w:p>
        </w:tc>
      </w:tr>
      <w:tr w:rsidR="00BD415C" w:rsidRPr="00BD415C" w14:paraId="054DA971" w14:textId="77777777" w:rsidTr="00BD415C">
        <w:trPr>
          <w:trHeight w:val="20"/>
          <w:jc w:val="center"/>
        </w:trPr>
        <w:tc>
          <w:tcPr>
            <w:tcW w:w="3840" w:type="dxa"/>
            <w:noWrap/>
            <w:hideMark/>
          </w:tcPr>
          <w:p w14:paraId="484B1FF8" w14:textId="77777777" w:rsidR="00BD415C" w:rsidRPr="00BD415C" w:rsidRDefault="00BD415C" w:rsidP="00BD415C">
            <w:pPr>
              <w:pStyle w:val="Source"/>
              <w:spacing w:before="0" w:after="0"/>
              <w:rPr>
                <w:sz w:val="2"/>
                <w:szCs w:val="2"/>
              </w:rPr>
            </w:pPr>
          </w:p>
        </w:tc>
        <w:tc>
          <w:tcPr>
            <w:tcW w:w="4720" w:type="dxa"/>
            <w:noWrap/>
            <w:hideMark/>
          </w:tcPr>
          <w:p w14:paraId="05163B79" w14:textId="77777777" w:rsidR="00BD415C" w:rsidRPr="00BD415C" w:rsidRDefault="00BD415C" w:rsidP="00BD415C">
            <w:pPr>
              <w:pStyle w:val="Source"/>
              <w:spacing w:before="0" w:after="0"/>
              <w:rPr>
                <w:sz w:val="2"/>
                <w:szCs w:val="2"/>
              </w:rPr>
            </w:pPr>
            <w:r w:rsidRPr="00BD415C">
              <w:rPr>
                <w:sz w:val="2"/>
                <w:szCs w:val="2"/>
              </w:rPr>
              <w:t>Early Childhood (Pre-primary School) Teacher</w:t>
            </w:r>
          </w:p>
        </w:tc>
        <w:tc>
          <w:tcPr>
            <w:tcW w:w="1420" w:type="dxa"/>
            <w:noWrap/>
            <w:hideMark/>
          </w:tcPr>
          <w:p w14:paraId="40F44448" w14:textId="77777777" w:rsidR="00BD415C" w:rsidRPr="00BD415C" w:rsidRDefault="00BD415C" w:rsidP="00BD415C">
            <w:pPr>
              <w:pStyle w:val="Source"/>
              <w:spacing w:before="0" w:after="0"/>
              <w:rPr>
                <w:sz w:val="2"/>
                <w:szCs w:val="2"/>
              </w:rPr>
            </w:pPr>
            <w:r w:rsidRPr="00BD415C">
              <w:rPr>
                <w:sz w:val="2"/>
                <w:szCs w:val="2"/>
              </w:rPr>
              <w:t>1.4%</w:t>
            </w:r>
          </w:p>
        </w:tc>
        <w:tc>
          <w:tcPr>
            <w:tcW w:w="2020" w:type="dxa"/>
            <w:noWrap/>
            <w:hideMark/>
          </w:tcPr>
          <w:p w14:paraId="75EC6840" w14:textId="77777777" w:rsidR="00BD415C" w:rsidRPr="00BD415C" w:rsidRDefault="00BD415C" w:rsidP="00BD415C">
            <w:pPr>
              <w:pStyle w:val="Source"/>
              <w:spacing w:before="0" w:after="0"/>
              <w:rPr>
                <w:sz w:val="2"/>
                <w:szCs w:val="2"/>
              </w:rPr>
            </w:pPr>
          </w:p>
        </w:tc>
        <w:tc>
          <w:tcPr>
            <w:tcW w:w="2480" w:type="dxa"/>
            <w:noWrap/>
            <w:hideMark/>
          </w:tcPr>
          <w:p w14:paraId="09686740" w14:textId="77777777" w:rsidR="00BD415C" w:rsidRPr="00BD415C" w:rsidRDefault="00BD415C" w:rsidP="00BD415C">
            <w:pPr>
              <w:pStyle w:val="Source"/>
              <w:spacing w:before="0" w:after="0"/>
              <w:rPr>
                <w:sz w:val="2"/>
                <w:szCs w:val="2"/>
              </w:rPr>
            </w:pPr>
          </w:p>
        </w:tc>
      </w:tr>
      <w:tr w:rsidR="00BD415C" w:rsidRPr="00BD415C" w14:paraId="1C67CE3B" w14:textId="77777777" w:rsidTr="00BD415C">
        <w:trPr>
          <w:trHeight w:val="20"/>
          <w:jc w:val="center"/>
        </w:trPr>
        <w:tc>
          <w:tcPr>
            <w:tcW w:w="3840" w:type="dxa"/>
            <w:noWrap/>
            <w:hideMark/>
          </w:tcPr>
          <w:p w14:paraId="0F6A0774" w14:textId="77777777" w:rsidR="00BD415C" w:rsidRPr="00BD415C" w:rsidRDefault="00BD415C" w:rsidP="00BD415C">
            <w:pPr>
              <w:pStyle w:val="Source"/>
              <w:spacing w:before="0" w:after="0"/>
              <w:rPr>
                <w:sz w:val="2"/>
                <w:szCs w:val="2"/>
              </w:rPr>
            </w:pPr>
          </w:p>
        </w:tc>
        <w:tc>
          <w:tcPr>
            <w:tcW w:w="4720" w:type="dxa"/>
            <w:noWrap/>
            <w:hideMark/>
          </w:tcPr>
          <w:p w14:paraId="71ACB7D7" w14:textId="77777777" w:rsidR="00BD415C" w:rsidRPr="00BD415C" w:rsidRDefault="00BD415C" w:rsidP="00BD415C">
            <w:pPr>
              <w:pStyle w:val="Source"/>
              <w:spacing w:before="0" w:after="0"/>
              <w:rPr>
                <w:sz w:val="2"/>
                <w:szCs w:val="2"/>
              </w:rPr>
            </w:pPr>
            <w:r w:rsidRPr="00BD415C">
              <w:rPr>
                <w:sz w:val="2"/>
                <w:szCs w:val="2"/>
              </w:rPr>
              <w:t>Child Carers nfd</w:t>
            </w:r>
          </w:p>
        </w:tc>
        <w:tc>
          <w:tcPr>
            <w:tcW w:w="1420" w:type="dxa"/>
            <w:noWrap/>
            <w:hideMark/>
          </w:tcPr>
          <w:p w14:paraId="0A15B6FC" w14:textId="77777777" w:rsidR="00BD415C" w:rsidRPr="00BD415C" w:rsidRDefault="00BD415C" w:rsidP="00BD415C">
            <w:pPr>
              <w:pStyle w:val="Source"/>
              <w:spacing w:before="0" w:after="0"/>
              <w:rPr>
                <w:sz w:val="2"/>
                <w:szCs w:val="2"/>
              </w:rPr>
            </w:pPr>
            <w:r w:rsidRPr="00BD415C">
              <w:rPr>
                <w:sz w:val="2"/>
                <w:szCs w:val="2"/>
              </w:rPr>
              <w:t>0.1%</w:t>
            </w:r>
          </w:p>
        </w:tc>
        <w:tc>
          <w:tcPr>
            <w:tcW w:w="2020" w:type="dxa"/>
            <w:noWrap/>
            <w:hideMark/>
          </w:tcPr>
          <w:p w14:paraId="7E198908" w14:textId="77777777" w:rsidR="00BD415C" w:rsidRPr="00BD415C" w:rsidRDefault="00BD415C" w:rsidP="00BD415C">
            <w:pPr>
              <w:pStyle w:val="Source"/>
              <w:spacing w:before="0" w:after="0"/>
              <w:rPr>
                <w:sz w:val="2"/>
                <w:szCs w:val="2"/>
              </w:rPr>
            </w:pPr>
          </w:p>
        </w:tc>
        <w:tc>
          <w:tcPr>
            <w:tcW w:w="2480" w:type="dxa"/>
            <w:noWrap/>
            <w:hideMark/>
          </w:tcPr>
          <w:p w14:paraId="34AAED8B" w14:textId="77777777" w:rsidR="00BD415C" w:rsidRPr="00BD415C" w:rsidRDefault="00BD415C" w:rsidP="00BD415C">
            <w:pPr>
              <w:pStyle w:val="Source"/>
              <w:spacing w:before="0" w:after="0"/>
              <w:rPr>
                <w:sz w:val="2"/>
                <w:szCs w:val="2"/>
              </w:rPr>
            </w:pPr>
          </w:p>
        </w:tc>
      </w:tr>
      <w:tr w:rsidR="00BD415C" w:rsidRPr="00BD415C" w14:paraId="17114DBA" w14:textId="77777777" w:rsidTr="00BD415C">
        <w:trPr>
          <w:trHeight w:val="20"/>
          <w:jc w:val="center"/>
        </w:trPr>
        <w:tc>
          <w:tcPr>
            <w:tcW w:w="3840" w:type="dxa"/>
            <w:hideMark/>
          </w:tcPr>
          <w:p w14:paraId="555F7404" w14:textId="77777777" w:rsidR="00BD415C" w:rsidRPr="00BD415C" w:rsidRDefault="00BD415C" w:rsidP="00BD415C">
            <w:pPr>
              <w:pStyle w:val="Source"/>
              <w:spacing w:before="0" w:after="0"/>
              <w:rPr>
                <w:sz w:val="2"/>
                <w:szCs w:val="2"/>
              </w:rPr>
            </w:pPr>
          </w:p>
        </w:tc>
        <w:tc>
          <w:tcPr>
            <w:tcW w:w="4720" w:type="dxa"/>
            <w:hideMark/>
          </w:tcPr>
          <w:p w14:paraId="49F29B57" w14:textId="77777777" w:rsidR="00BD415C" w:rsidRPr="00BD415C" w:rsidRDefault="00BD415C" w:rsidP="00BD415C">
            <w:pPr>
              <w:pStyle w:val="Source"/>
              <w:spacing w:before="0" w:after="0"/>
              <w:rPr>
                <w:sz w:val="2"/>
                <w:szCs w:val="2"/>
              </w:rPr>
            </w:pPr>
          </w:p>
        </w:tc>
        <w:tc>
          <w:tcPr>
            <w:tcW w:w="1420" w:type="dxa"/>
            <w:noWrap/>
            <w:hideMark/>
          </w:tcPr>
          <w:p w14:paraId="7B3E22EE" w14:textId="77777777" w:rsidR="00BD415C" w:rsidRPr="00BD415C" w:rsidRDefault="00BD415C" w:rsidP="00BD415C">
            <w:pPr>
              <w:pStyle w:val="Source"/>
              <w:spacing w:before="0" w:after="0"/>
              <w:rPr>
                <w:b/>
                <w:bCs/>
                <w:sz w:val="2"/>
                <w:szCs w:val="2"/>
              </w:rPr>
            </w:pPr>
            <w:r w:rsidRPr="00BD415C">
              <w:rPr>
                <w:b/>
                <w:bCs/>
                <w:sz w:val="2"/>
                <w:szCs w:val="2"/>
              </w:rPr>
              <w:t>Other ECEC</w:t>
            </w:r>
          </w:p>
        </w:tc>
        <w:tc>
          <w:tcPr>
            <w:tcW w:w="2020" w:type="dxa"/>
            <w:noWrap/>
            <w:hideMark/>
          </w:tcPr>
          <w:p w14:paraId="19CF0BDC" w14:textId="77777777" w:rsidR="00BD415C" w:rsidRPr="00BD415C" w:rsidRDefault="00BD415C" w:rsidP="00BD415C">
            <w:pPr>
              <w:pStyle w:val="Source"/>
              <w:spacing w:before="0" w:after="0"/>
              <w:rPr>
                <w:b/>
                <w:bCs/>
                <w:sz w:val="2"/>
                <w:szCs w:val="2"/>
              </w:rPr>
            </w:pPr>
            <w:r w:rsidRPr="00BD415C">
              <w:rPr>
                <w:b/>
                <w:bCs/>
                <w:sz w:val="2"/>
                <w:szCs w:val="2"/>
              </w:rPr>
              <w:t>Other Occupation</w:t>
            </w:r>
          </w:p>
        </w:tc>
        <w:tc>
          <w:tcPr>
            <w:tcW w:w="2480" w:type="dxa"/>
            <w:noWrap/>
            <w:hideMark/>
          </w:tcPr>
          <w:p w14:paraId="3706B317" w14:textId="77777777" w:rsidR="00BD415C" w:rsidRPr="00BD415C" w:rsidRDefault="00BD415C" w:rsidP="00BD415C">
            <w:pPr>
              <w:pStyle w:val="Source"/>
              <w:spacing w:before="0" w:after="0"/>
              <w:rPr>
                <w:b/>
                <w:bCs/>
                <w:sz w:val="2"/>
                <w:szCs w:val="2"/>
              </w:rPr>
            </w:pPr>
            <w:r w:rsidRPr="00BD415C">
              <w:rPr>
                <w:b/>
                <w:bCs/>
                <w:sz w:val="2"/>
                <w:szCs w:val="2"/>
              </w:rPr>
              <w:t>No return or unknown</w:t>
            </w:r>
          </w:p>
        </w:tc>
      </w:tr>
      <w:tr w:rsidR="00BD415C" w:rsidRPr="00BD415C" w14:paraId="782BFCDA" w14:textId="77777777" w:rsidTr="00BD415C">
        <w:trPr>
          <w:trHeight w:val="20"/>
          <w:jc w:val="center"/>
        </w:trPr>
        <w:tc>
          <w:tcPr>
            <w:tcW w:w="3840" w:type="dxa"/>
            <w:hideMark/>
          </w:tcPr>
          <w:p w14:paraId="0DDFA048" w14:textId="77777777" w:rsidR="00BD415C" w:rsidRPr="00BD415C" w:rsidRDefault="00BD415C" w:rsidP="00BD415C">
            <w:pPr>
              <w:pStyle w:val="Source"/>
              <w:spacing w:before="0" w:after="0"/>
              <w:rPr>
                <w:b/>
                <w:bCs/>
                <w:sz w:val="2"/>
                <w:szCs w:val="2"/>
              </w:rPr>
            </w:pPr>
            <w:r w:rsidRPr="00BD415C">
              <w:rPr>
                <w:b/>
                <w:bCs/>
                <w:sz w:val="2"/>
                <w:szCs w:val="2"/>
              </w:rPr>
              <w:t>Out of School Hours Care Worker</w:t>
            </w:r>
          </w:p>
        </w:tc>
        <w:tc>
          <w:tcPr>
            <w:tcW w:w="4720" w:type="dxa"/>
            <w:noWrap/>
            <w:hideMark/>
          </w:tcPr>
          <w:p w14:paraId="5714971D" w14:textId="77777777" w:rsidR="00BD415C" w:rsidRPr="00BD415C" w:rsidRDefault="00BD415C" w:rsidP="00BD415C">
            <w:pPr>
              <w:pStyle w:val="Source"/>
              <w:spacing w:before="0" w:after="0"/>
              <w:rPr>
                <w:b/>
                <w:bCs/>
                <w:sz w:val="2"/>
                <w:szCs w:val="2"/>
              </w:rPr>
            </w:pPr>
          </w:p>
        </w:tc>
        <w:tc>
          <w:tcPr>
            <w:tcW w:w="1420" w:type="dxa"/>
            <w:noWrap/>
            <w:hideMark/>
          </w:tcPr>
          <w:p w14:paraId="4BF60CC6" w14:textId="77777777" w:rsidR="00BD415C" w:rsidRPr="00BD415C" w:rsidRDefault="00BD415C" w:rsidP="00BD415C">
            <w:pPr>
              <w:pStyle w:val="Source"/>
              <w:spacing w:before="0" w:after="0"/>
              <w:rPr>
                <w:sz w:val="2"/>
                <w:szCs w:val="2"/>
              </w:rPr>
            </w:pPr>
          </w:p>
        </w:tc>
        <w:tc>
          <w:tcPr>
            <w:tcW w:w="2020" w:type="dxa"/>
            <w:noWrap/>
            <w:hideMark/>
          </w:tcPr>
          <w:p w14:paraId="3954EE95" w14:textId="77777777" w:rsidR="00BD415C" w:rsidRPr="00BD415C" w:rsidRDefault="00BD415C" w:rsidP="00BD415C">
            <w:pPr>
              <w:pStyle w:val="Source"/>
              <w:spacing w:before="0" w:after="0"/>
              <w:rPr>
                <w:sz w:val="2"/>
                <w:szCs w:val="2"/>
              </w:rPr>
            </w:pPr>
          </w:p>
        </w:tc>
        <w:tc>
          <w:tcPr>
            <w:tcW w:w="2480" w:type="dxa"/>
            <w:noWrap/>
            <w:hideMark/>
          </w:tcPr>
          <w:p w14:paraId="0A519E21" w14:textId="77777777" w:rsidR="00BD415C" w:rsidRPr="00BD415C" w:rsidRDefault="00BD415C" w:rsidP="00BD415C">
            <w:pPr>
              <w:pStyle w:val="Source"/>
              <w:spacing w:before="0" w:after="0"/>
              <w:rPr>
                <w:sz w:val="2"/>
                <w:szCs w:val="2"/>
              </w:rPr>
            </w:pPr>
          </w:p>
        </w:tc>
      </w:tr>
      <w:tr w:rsidR="00BD415C" w:rsidRPr="00BD415C" w14:paraId="4016501E" w14:textId="77777777" w:rsidTr="00BD415C">
        <w:trPr>
          <w:trHeight w:val="20"/>
          <w:jc w:val="center"/>
        </w:trPr>
        <w:tc>
          <w:tcPr>
            <w:tcW w:w="3840" w:type="dxa"/>
            <w:noWrap/>
            <w:hideMark/>
          </w:tcPr>
          <w:p w14:paraId="4A901F1F" w14:textId="77777777" w:rsidR="00BD415C" w:rsidRPr="00BD415C" w:rsidRDefault="00BD415C" w:rsidP="00BD415C">
            <w:pPr>
              <w:pStyle w:val="Source"/>
              <w:spacing w:before="0" w:after="0"/>
              <w:rPr>
                <w:sz w:val="2"/>
                <w:szCs w:val="2"/>
              </w:rPr>
            </w:pPr>
          </w:p>
        </w:tc>
        <w:tc>
          <w:tcPr>
            <w:tcW w:w="4720" w:type="dxa"/>
            <w:noWrap/>
            <w:hideMark/>
          </w:tcPr>
          <w:p w14:paraId="1606BFB5" w14:textId="77777777" w:rsidR="00BD415C" w:rsidRPr="00BD415C" w:rsidRDefault="00BD415C" w:rsidP="00BD415C">
            <w:pPr>
              <w:pStyle w:val="Source"/>
              <w:spacing w:before="0" w:after="0"/>
              <w:rPr>
                <w:sz w:val="2"/>
                <w:szCs w:val="2"/>
              </w:rPr>
            </w:pPr>
            <w:r w:rsidRPr="00BD415C">
              <w:rPr>
                <w:sz w:val="2"/>
                <w:szCs w:val="2"/>
              </w:rPr>
              <w:t>Child Care Worker</w:t>
            </w:r>
          </w:p>
        </w:tc>
        <w:tc>
          <w:tcPr>
            <w:tcW w:w="1420" w:type="dxa"/>
            <w:noWrap/>
            <w:hideMark/>
          </w:tcPr>
          <w:p w14:paraId="1BF53542" w14:textId="77777777" w:rsidR="00BD415C" w:rsidRPr="00BD415C" w:rsidRDefault="00BD415C" w:rsidP="00BD415C">
            <w:pPr>
              <w:pStyle w:val="Source"/>
              <w:spacing w:before="0" w:after="0"/>
              <w:rPr>
                <w:sz w:val="2"/>
                <w:szCs w:val="2"/>
              </w:rPr>
            </w:pPr>
            <w:r w:rsidRPr="00BD415C">
              <w:rPr>
                <w:sz w:val="2"/>
                <w:szCs w:val="2"/>
              </w:rPr>
              <w:t>21.6%</w:t>
            </w:r>
          </w:p>
        </w:tc>
        <w:tc>
          <w:tcPr>
            <w:tcW w:w="2020" w:type="dxa"/>
            <w:noWrap/>
            <w:hideMark/>
          </w:tcPr>
          <w:p w14:paraId="2908E8CA" w14:textId="77777777" w:rsidR="00BD415C" w:rsidRPr="00BD415C" w:rsidRDefault="00BD415C" w:rsidP="00BD415C">
            <w:pPr>
              <w:pStyle w:val="Source"/>
              <w:spacing w:before="0" w:after="0"/>
              <w:rPr>
                <w:sz w:val="2"/>
                <w:szCs w:val="2"/>
              </w:rPr>
            </w:pPr>
          </w:p>
        </w:tc>
        <w:tc>
          <w:tcPr>
            <w:tcW w:w="2480" w:type="dxa"/>
            <w:noWrap/>
            <w:hideMark/>
          </w:tcPr>
          <w:p w14:paraId="55D74F9E" w14:textId="77777777" w:rsidR="00BD415C" w:rsidRPr="00BD415C" w:rsidRDefault="00BD415C" w:rsidP="00BD415C">
            <w:pPr>
              <w:pStyle w:val="Source"/>
              <w:spacing w:before="0" w:after="0"/>
              <w:rPr>
                <w:sz w:val="2"/>
                <w:szCs w:val="2"/>
              </w:rPr>
            </w:pPr>
          </w:p>
        </w:tc>
      </w:tr>
      <w:tr w:rsidR="00BD415C" w:rsidRPr="00BD415C" w14:paraId="3EAC754E" w14:textId="77777777" w:rsidTr="00BD415C">
        <w:trPr>
          <w:trHeight w:val="20"/>
          <w:jc w:val="center"/>
        </w:trPr>
        <w:tc>
          <w:tcPr>
            <w:tcW w:w="3840" w:type="dxa"/>
            <w:noWrap/>
            <w:hideMark/>
          </w:tcPr>
          <w:p w14:paraId="330C6212" w14:textId="77777777" w:rsidR="00BD415C" w:rsidRPr="00BD415C" w:rsidRDefault="00BD415C" w:rsidP="00BD415C">
            <w:pPr>
              <w:pStyle w:val="Source"/>
              <w:spacing w:before="0" w:after="0"/>
              <w:rPr>
                <w:sz w:val="2"/>
                <w:szCs w:val="2"/>
              </w:rPr>
            </w:pPr>
          </w:p>
        </w:tc>
        <w:tc>
          <w:tcPr>
            <w:tcW w:w="4720" w:type="dxa"/>
            <w:noWrap/>
            <w:hideMark/>
          </w:tcPr>
          <w:p w14:paraId="7D1B17D7" w14:textId="77777777" w:rsidR="00BD415C" w:rsidRPr="00BD415C" w:rsidRDefault="00BD415C" w:rsidP="00BD415C">
            <w:pPr>
              <w:pStyle w:val="Source"/>
              <w:spacing w:before="0" w:after="0"/>
              <w:rPr>
                <w:sz w:val="2"/>
                <w:szCs w:val="2"/>
              </w:rPr>
            </w:pPr>
            <w:r w:rsidRPr="00BD415C">
              <w:rPr>
                <w:sz w:val="2"/>
                <w:szCs w:val="2"/>
              </w:rPr>
              <w:t>Unknown</w:t>
            </w:r>
          </w:p>
        </w:tc>
        <w:tc>
          <w:tcPr>
            <w:tcW w:w="1420" w:type="dxa"/>
            <w:noWrap/>
            <w:hideMark/>
          </w:tcPr>
          <w:p w14:paraId="136E8201" w14:textId="77777777" w:rsidR="00BD415C" w:rsidRPr="00BD415C" w:rsidRDefault="00BD415C" w:rsidP="00BD415C">
            <w:pPr>
              <w:pStyle w:val="Source"/>
              <w:spacing w:before="0" w:after="0"/>
              <w:rPr>
                <w:sz w:val="2"/>
                <w:szCs w:val="2"/>
              </w:rPr>
            </w:pPr>
          </w:p>
        </w:tc>
        <w:tc>
          <w:tcPr>
            <w:tcW w:w="2020" w:type="dxa"/>
            <w:noWrap/>
            <w:hideMark/>
          </w:tcPr>
          <w:p w14:paraId="117E0D40" w14:textId="77777777" w:rsidR="00BD415C" w:rsidRPr="00BD415C" w:rsidRDefault="00BD415C" w:rsidP="00BD415C">
            <w:pPr>
              <w:pStyle w:val="Source"/>
              <w:spacing w:before="0" w:after="0"/>
              <w:rPr>
                <w:sz w:val="2"/>
                <w:szCs w:val="2"/>
              </w:rPr>
            </w:pPr>
          </w:p>
        </w:tc>
        <w:tc>
          <w:tcPr>
            <w:tcW w:w="2480" w:type="dxa"/>
            <w:noWrap/>
            <w:hideMark/>
          </w:tcPr>
          <w:p w14:paraId="2BCEFC29" w14:textId="77777777" w:rsidR="00BD415C" w:rsidRPr="00BD415C" w:rsidRDefault="00BD415C" w:rsidP="00BD415C">
            <w:pPr>
              <w:pStyle w:val="Source"/>
              <w:spacing w:before="0" w:after="0"/>
              <w:rPr>
                <w:sz w:val="2"/>
                <w:szCs w:val="2"/>
              </w:rPr>
            </w:pPr>
            <w:r w:rsidRPr="00BD415C">
              <w:rPr>
                <w:sz w:val="2"/>
                <w:szCs w:val="2"/>
              </w:rPr>
              <w:t>17.4%</w:t>
            </w:r>
          </w:p>
        </w:tc>
      </w:tr>
      <w:tr w:rsidR="00BD415C" w:rsidRPr="00BD415C" w14:paraId="612EF8A2" w14:textId="77777777" w:rsidTr="00BD415C">
        <w:trPr>
          <w:trHeight w:val="20"/>
          <w:jc w:val="center"/>
        </w:trPr>
        <w:tc>
          <w:tcPr>
            <w:tcW w:w="3840" w:type="dxa"/>
            <w:noWrap/>
            <w:hideMark/>
          </w:tcPr>
          <w:p w14:paraId="791D04F4" w14:textId="77777777" w:rsidR="00BD415C" w:rsidRPr="00BD415C" w:rsidRDefault="00BD415C" w:rsidP="00BD415C">
            <w:pPr>
              <w:pStyle w:val="Source"/>
              <w:spacing w:before="0" w:after="0"/>
              <w:rPr>
                <w:sz w:val="2"/>
                <w:szCs w:val="2"/>
              </w:rPr>
            </w:pPr>
          </w:p>
        </w:tc>
        <w:tc>
          <w:tcPr>
            <w:tcW w:w="4720" w:type="dxa"/>
            <w:noWrap/>
            <w:hideMark/>
          </w:tcPr>
          <w:p w14:paraId="6953F9C0" w14:textId="77777777" w:rsidR="00BD415C" w:rsidRPr="00BD415C" w:rsidRDefault="00BD415C" w:rsidP="00BD415C">
            <w:pPr>
              <w:pStyle w:val="Source"/>
              <w:spacing w:before="0" w:after="0"/>
              <w:rPr>
                <w:sz w:val="2"/>
                <w:szCs w:val="2"/>
              </w:rPr>
            </w:pPr>
            <w:r w:rsidRPr="00BD415C">
              <w:rPr>
                <w:sz w:val="2"/>
                <w:szCs w:val="2"/>
              </w:rPr>
              <w:t>No tax return</w:t>
            </w:r>
          </w:p>
        </w:tc>
        <w:tc>
          <w:tcPr>
            <w:tcW w:w="1420" w:type="dxa"/>
            <w:noWrap/>
            <w:hideMark/>
          </w:tcPr>
          <w:p w14:paraId="55A1375B" w14:textId="77777777" w:rsidR="00BD415C" w:rsidRPr="00BD415C" w:rsidRDefault="00BD415C" w:rsidP="00BD415C">
            <w:pPr>
              <w:pStyle w:val="Source"/>
              <w:spacing w:before="0" w:after="0"/>
              <w:rPr>
                <w:sz w:val="2"/>
                <w:szCs w:val="2"/>
              </w:rPr>
            </w:pPr>
          </w:p>
        </w:tc>
        <w:tc>
          <w:tcPr>
            <w:tcW w:w="2020" w:type="dxa"/>
            <w:noWrap/>
            <w:hideMark/>
          </w:tcPr>
          <w:p w14:paraId="24D57A86" w14:textId="77777777" w:rsidR="00BD415C" w:rsidRPr="00BD415C" w:rsidRDefault="00BD415C" w:rsidP="00BD415C">
            <w:pPr>
              <w:pStyle w:val="Source"/>
              <w:spacing w:before="0" w:after="0"/>
              <w:rPr>
                <w:sz w:val="2"/>
                <w:szCs w:val="2"/>
              </w:rPr>
            </w:pPr>
          </w:p>
        </w:tc>
        <w:tc>
          <w:tcPr>
            <w:tcW w:w="2480" w:type="dxa"/>
            <w:noWrap/>
            <w:hideMark/>
          </w:tcPr>
          <w:p w14:paraId="2CCA1FB4" w14:textId="77777777" w:rsidR="00BD415C" w:rsidRPr="00BD415C" w:rsidRDefault="00BD415C" w:rsidP="00BD415C">
            <w:pPr>
              <w:pStyle w:val="Source"/>
              <w:spacing w:before="0" w:after="0"/>
              <w:rPr>
                <w:sz w:val="2"/>
                <w:szCs w:val="2"/>
              </w:rPr>
            </w:pPr>
            <w:r w:rsidRPr="00BD415C">
              <w:rPr>
                <w:sz w:val="2"/>
                <w:szCs w:val="2"/>
              </w:rPr>
              <w:t>15.9%</w:t>
            </w:r>
          </w:p>
        </w:tc>
      </w:tr>
      <w:tr w:rsidR="00BD415C" w:rsidRPr="00BD415C" w14:paraId="016510E4" w14:textId="77777777" w:rsidTr="00BD415C">
        <w:trPr>
          <w:trHeight w:val="20"/>
          <w:jc w:val="center"/>
        </w:trPr>
        <w:tc>
          <w:tcPr>
            <w:tcW w:w="3840" w:type="dxa"/>
            <w:hideMark/>
          </w:tcPr>
          <w:p w14:paraId="62053A30" w14:textId="77777777" w:rsidR="00BD415C" w:rsidRPr="00BD415C" w:rsidRDefault="00BD415C" w:rsidP="00BD415C">
            <w:pPr>
              <w:pStyle w:val="Source"/>
              <w:spacing w:before="0" w:after="0"/>
              <w:rPr>
                <w:sz w:val="2"/>
                <w:szCs w:val="2"/>
              </w:rPr>
            </w:pPr>
          </w:p>
        </w:tc>
        <w:tc>
          <w:tcPr>
            <w:tcW w:w="4720" w:type="dxa"/>
            <w:noWrap/>
            <w:hideMark/>
          </w:tcPr>
          <w:p w14:paraId="7D962D62" w14:textId="77777777" w:rsidR="00BD415C" w:rsidRPr="00BD415C" w:rsidRDefault="00BD415C" w:rsidP="00BD415C">
            <w:pPr>
              <w:pStyle w:val="Source"/>
              <w:spacing w:before="0" w:after="0"/>
              <w:rPr>
                <w:sz w:val="2"/>
                <w:szCs w:val="2"/>
              </w:rPr>
            </w:pPr>
            <w:r w:rsidRPr="00BD415C">
              <w:rPr>
                <w:sz w:val="2"/>
                <w:szCs w:val="2"/>
              </w:rPr>
              <w:t>Other occupations</w:t>
            </w:r>
          </w:p>
        </w:tc>
        <w:tc>
          <w:tcPr>
            <w:tcW w:w="1420" w:type="dxa"/>
            <w:hideMark/>
          </w:tcPr>
          <w:p w14:paraId="055802AA" w14:textId="77777777" w:rsidR="00BD415C" w:rsidRPr="00BD415C" w:rsidRDefault="00BD415C" w:rsidP="00BD415C">
            <w:pPr>
              <w:pStyle w:val="Source"/>
              <w:spacing w:before="0" w:after="0"/>
              <w:rPr>
                <w:sz w:val="2"/>
                <w:szCs w:val="2"/>
              </w:rPr>
            </w:pPr>
          </w:p>
        </w:tc>
        <w:tc>
          <w:tcPr>
            <w:tcW w:w="2020" w:type="dxa"/>
            <w:noWrap/>
            <w:hideMark/>
          </w:tcPr>
          <w:p w14:paraId="1C6AE331" w14:textId="77777777" w:rsidR="00BD415C" w:rsidRPr="00BD415C" w:rsidRDefault="00BD415C" w:rsidP="00BD415C">
            <w:pPr>
              <w:pStyle w:val="Source"/>
              <w:spacing w:before="0" w:after="0"/>
              <w:rPr>
                <w:sz w:val="2"/>
                <w:szCs w:val="2"/>
              </w:rPr>
            </w:pPr>
            <w:r w:rsidRPr="00BD415C">
              <w:rPr>
                <w:sz w:val="2"/>
                <w:szCs w:val="2"/>
              </w:rPr>
              <w:t>14.2%</w:t>
            </w:r>
          </w:p>
        </w:tc>
        <w:tc>
          <w:tcPr>
            <w:tcW w:w="2480" w:type="dxa"/>
            <w:noWrap/>
            <w:hideMark/>
          </w:tcPr>
          <w:p w14:paraId="4B9A8174" w14:textId="77777777" w:rsidR="00BD415C" w:rsidRPr="00BD415C" w:rsidRDefault="00BD415C" w:rsidP="00BD415C">
            <w:pPr>
              <w:pStyle w:val="Source"/>
              <w:spacing w:before="0" w:after="0"/>
              <w:rPr>
                <w:sz w:val="2"/>
                <w:szCs w:val="2"/>
              </w:rPr>
            </w:pPr>
          </w:p>
        </w:tc>
      </w:tr>
      <w:tr w:rsidR="00BD415C" w:rsidRPr="00BD415C" w14:paraId="3EE7DF23" w14:textId="77777777" w:rsidTr="00BD415C">
        <w:trPr>
          <w:trHeight w:val="20"/>
          <w:jc w:val="center"/>
        </w:trPr>
        <w:tc>
          <w:tcPr>
            <w:tcW w:w="3840" w:type="dxa"/>
            <w:noWrap/>
            <w:hideMark/>
          </w:tcPr>
          <w:p w14:paraId="1D45B4D3" w14:textId="77777777" w:rsidR="00BD415C" w:rsidRPr="00BD415C" w:rsidRDefault="00BD415C" w:rsidP="00BD415C">
            <w:pPr>
              <w:pStyle w:val="Source"/>
              <w:spacing w:before="0" w:after="0"/>
              <w:rPr>
                <w:sz w:val="2"/>
                <w:szCs w:val="2"/>
              </w:rPr>
            </w:pPr>
          </w:p>
        </w:tc>
        <w:tc>
          <w:tcPr>
            <w:tcW w:w="4720" w:type="dxa"/>
            <w:noWrap/>
            <w:hideMark/>
          </w:tcPr>
          <w:p w14:paraId="1636CCC3" w14:textId="77777777" w:rsidR="00BD415C" w:rsidRPr="00BD415C" w:rsidRDefault="00BD415C" w:rsidP="00BD415C">
            <w:pPr>
              <w:pStyle w:val="Source"/>
              <w:spacing w:before="0" w:after="0"/>
              <w:rPr>
                <w:sz w:val="2"/>
                <w:szCs w:val="2"/>
              </w:rPr>
            </w:pPr>
            <w:r w:rsidRPr="00BD415C">
              <w:rPr>
                <w:sz w:val="2"/>
                <w:szCs w:val="2"/>
              </w:rPr>
              <w:t>Sales Assistants</w:t>
            </w:r>
          </w:p>
        </w:tc>
        <w:tc>
          <w:tcPr>
            <w:tcW w:w="1420" w:type="dxa"/>
            <w:hideMark/>
          </w:tcPr>
          <w:p w14:paraId="4F5A061B" w14:textId="77777777" w:rsidR="00BD415C" w:rsidRPr="00BD415C" w:rsidRDefault="00BD415C" w:rsidP="00BD415C">
            <w:pPr>
              <w:pStyle w:val="Source"/>
              <w:spacing w:before="0" w:after="0"/>
              <w:rPr>
                <w:sz w:val="2"/>
                <w:szCs w:val="2"/>
              </w:rPr>
            </w:pPr>
          </w:p>
        </w:tc>
        <w:tc>
          <w:tcPr>
            <w:tcW w:w="2020" w:type="dxa"/>
            <w:noWrap/>
            <w:hideMark/>
          </w:tcPr>
          <w:p w14:paraId="4BA910EA" w14:textId="77777777" w:rsidR="00BD415C" w:rsidRPr="00BD415C" w:rsidRDefault="00BD415C" w:rsidP="00BD415C">
            <w:pPr>
              <w:pStyle w:val="Source"/>
              <w:spacing w:before="0" w:after="0"/>
              <w:rPr>
                <w:sz w:val="2"/>
                <w:szCs w:val="2"/>
              </w:rPr>
            </w:pPr>
            <w:r w:rsidRPr="00BD415C">
              <w:rPr>
                <w:sz w:val="2"/>
                <w:szCs w:val="2"/>
              </w:rPr>
              <w:t>10.0%</w:t>
            </w:r>
          </w:p>
        </w:tc>
        <w:tc>
          <w:tcPr>
            <w:tcW w:w="2480" w:type="dxa"/>
            <w:noWrap/>
            <w:hideMark/>
          </w:tcPr>
          <w:p w14:paraId="2FFAADBC" w14:textId="77777777" w:rsidR="00BD415C" w:rsidRPr="00BD415C" w:rsidRDefault="00BD415C" w:rsidP="00BD415C">
            <w:pPr>
              <w:pStyle w:val="Source"/>
              <w:spacing w:before="0" w:after="0"/>
              <w:rPr>
                <w:sz w:val="2"/>
                <w:szCs w:val="2"/>
              </w:rPr>
            </w:pPr>
          </w:p>
        </w:tc>
      </w:tr>
      <w:tr w:rsidR="00BD415C" w:rsidRPr="00BD415C" w14:paraId="06F342AB" w14:textId="77777777" w:rsidTr="00BD415C">
        <w:trPr>
          <w:trHeight w:val="20"/>
          <w:jc w:val="center"/>
        </w:trPr>
        <w:tc>
          <w:tcPr>
            <w:tcW w:w="3840" w:type="dxa"/>
            <w:noWrap/>
            <w:hideMark/>
          </w:tcPr>
          <w:p w14:paraId="60681363" w14:textId="77777777" w:rsidR="00BD415C" w:rsidRPr="00BD415C" w:rsidRDefault="00BD415C" w:rsidP="00BD415C">
            <w:pPr>
              <w:pStyle w:val="Source"/>
              <w:spacing w:before="0" w:after="0"/>
              <w:rPr>
                <w:sz w:val="2"/>
                <w:szCs w:val="2"/>
              </w:rPr>
            </w:pPr>
          </w:p>
        </w:tc>
        <w:tc>
          <w:tcPr>
            <w:tcW w:w="4720" w:type="dxa"/>
            <w:noWrap/>
            <w:hideMark/>
          </w:tcPr>
          <w:p w14:paraId="13BC965B" w14:textId="77777777" w:rsidR="00BD415C" w:rsidRPr="00BD415C" w:rsidRDefault="00BD415C" w:rsidP="00BD415C">
            <w:pPr>
              <w:pStyle w:val="Source"/>
              <w:spacing w:before="0" w:after="0"/>
              <w:rPr>
                <w:sz w:val="2"/>
                <w:szCs w:val="2"/>
              </w:rPr>
            </w:pPr>
            <w:r w:rsidRPr="00BD415C">
              <w:rPr>
                <w:sz w:val="2"/>
                <w:szCs w:val="2"/>
              </w:rPr>
              <w:t>Waiter</w:t>
            </w:r>
          </w:p>
        </w:tc>
        <w:tc>
          <w:tcPr>
            <w:tcW w:w="1420" w:type="dxa"/>
            <w:noWrap/>
            <w:hideMark/>
          </w:tcPr>
          <w:p w14:paraId="44E0EF49" w14:textId="77777777" w:rsidR="00BD415C" w:rsidRPr="00BD415C" w:rsidRDefault="00BD415C" w:rsidP="00BD415C">
            <w:pPr>
              <w:pStyle w:val="Source"/>
              <w:spacing w:before="0" w:after="0"/>
              <w:rPr>
                <w:sz w:val="2"/>
                <w:szCs w:val="2"/>
              </w:rPr>
            </w:pPr>
          </w:p>
        </w:tc>
        <w:tc>
          <w:tcPr>
            <w:tcW w:w="2020" w:type="dxa"/>
            <w:noWrap/>
            <w:hideMark/>
          </w:tcPr>
          <w:p w14:paraId="04488F47" w14:textId="77777777" w:rsidR="00BD415C" w:rsidRPr="00BD415C" w:rsidRDefault="00BD415C" w:rsidP="00BD415C">
            <w:pPr>
              <w:pStyle w:val="Source"/>
              <w:spacing w:before="0" w:after="0"/>
              <w:rPr>
                <w:sz w:val="2"/>
                <w:szCs w:val="2"/>
              </w:rPr>
            </w:pPr>
            <w:r w:rsidRPr="00BD415C">
              <w:rPr>
                <w:sz w:val="2"/>
                <w:szCs w:val="2"/>
              </w:rPr>
              <w:t>4.5%</w:t>
            </w:r>
          </w:p>
        </w:tc>
        <w:tc>
          <w:tcPr>
            <w:tcW w:w="2480" w:type="dxa"/>
            <w:noWrap/>
            <w:hideMark/>
          </w:tcPr>
          <w:p w14:paraId="6EAD3C68" w14:textId="77777777" w:rsidR="00BD415C" w:rsidRPr="00BD415C" w:rsidRDefault="00BD415C" w:rsidP="00BD415C">
            <w:pPr>
              <w:pStyle w:val="Source"/>
              <w:spacing w:before="0" w:after="0"/>
              <w:rPr>
                <w:sz w:val="2"/>
                <w:szCs w:val="2"/>
              </w:rPr>
            </w:pPr>
          </w:p>
        </w:tc>
      </w:tr>
      <w:tr w:rsidR="00BD415C" w:rsidRPr="00BD415C" w14:paraId="0FEB4618" w14:textId="77777777" w:rsidTr="00BD415C">
        <w:trPr>
          <w:trHeight w:val="20"/>
          <w:jc w:val="center"/>
        </w:trPr>
        <w:tc>
          <w:tcPr>
            <w:tcW w:w="3840" w:type="dxa"/>
            <w:noWrap/>
            <w:hideMark/>
          </w:tcPr>
          <w:p w14:paraId="3D51485A" w14:textId="77777777" w:rsidR="00BD415C" w:rsidRPr="00BD415C" w:rsidRDefault="00BD415C" w:rsidP="00BD415C">
            <w:pPr>
              <w:pStyle w:val="Source"/>
              <w:spacing w:before="0" w:after="0"/>
              <w:rPr>
                <w:sz w:val="2"/>
                <w:szCs w:val="2"/>
              </w:rPr>
            </w:pPr>
          </w:p>
        </w:tc>
        <w:tc>
          <w:tcPr>
            <w:tcW w:w="4720" w:type="dxa"/>
            <w:noWrap/>
            <w:hideMark/>
          </w:tcPr>
          <w:p w14:paraId="7251814E" w14:textId="77777777" w:rsidR="00BD415C" w:rsidRPr="00BD415C" w:rsidRDefault="00BD415C" w:rsidP="00BD415C">
            <w:pPr>
              <w:pStyle w:val="Source"/>
              <w:spacing w:before="0" w:after="0"/>
              <w:rPr>
                <w:sz w:val="2"/>
                <w:szCs w:val="2"/>
              </w:rPr>
            </w:pPr>
            <w:r w:rsidRPr="00BD415C">
              <w:rPr>
                <w:sz w:val="2"/>
                <w:szCs w:val="2"/>
              </w:rPr>
              <w:t>Office Cashier</w:t>
            </w:r>
          </w:p>
        </w:tc>
        <w:tc>
          <w:tcPr>
            <w:tcW w:w="1420" w:type="dxa"/>
            <w:noWrap/>
            <w:hideMark/>
          </w:tcPr>
          <w:p w14:paraId="3BDA7AA8" w14:textId="77777777" w:rsidR="00BD415C" w:rsidRPr="00BD415C" w:rsidRDefault="00BD415C" w:rsidP="00BD415C">
            <w:pPr>
              <w:pStyle w:val="Source"/>
              <w:spacing w:before="0" w:after="0"/>
              <w:rPr>
                <w:sz w:val="2"/>
                <w:szCs w:val="2"/>
              </w:rPr>
            </w:pPr>
          </w:p>
        </w:tc>
        <w:tc>
          <w:tcPr>
            <w:tcW w:w="2020" w:type="dxa"/>
            <w:noWrap/>
            <w:hideMark/>
          </w:tcPr>
          <w:p w14:paraId="47A05978" w14:textId="77777777" w:rsidR="00BD415C" w:rsidRPr="00BD415C" w:rsidRDefault="00BD415C" w:rsidP="00BD415C">
            <w:pPr>
              <w:pStyle w:val="Source"/>
              <w:spacing w:before="0" w:after="0"/>
              <w:rPr>
                <w:sz w:val="2"/>
                <w:szCs w:val="2"/>
              </w:rPr>
            </w:pPr>
            <w:r w:rsidRPr="00BD415C">
              <w:rPr>
                <w:sz w:val="2"/>
                <w:szCs w:val="2"/>
              </w:rPr>
              <w:t>4.0%</w:t>
            </w:r>
          </w:p>
        </w:tc>
        <w:tc>
          <w:tcPr>
            <w:tcW w:w="2480" w:type="dxa"/>
            <w:noWrap/>
            <w:hideMark/>
          </w:tcPr>
          <w:p w14:paraId="6D9533A6" w14:textId="77777777" w:rsidR="00BD415C" w:rsidRPr="00BD415C" w:rsidRDefault="00BD415C" w:rsidP="00BD415C">
            <w:pPr>
              <w:pStyle w:val="Source"/>
              <w:spacing w:before="0" w:after="0"/>
              <w:rPr>
                <w:sz w:val="2"/>
                <w:szCs w:val="2"/>
              </w:rPr>
            </w:pPr>
          </w:p>
        </w:tc>
      </w:tr>
      <w:tr w:rsidR="00BD415C" w:rsidRPr="00BD415C" w14:paraId="36B341F6" w14:textId="77777777" w:rsidTr="00BD415C">
        <w:trPr>
          <w:trHeight w:val="20"/>
          <w:jc w:val="center"/>
        </w:trPr>
        <w:tc>
          <w:tcPr>
            <w:tcW w:w="3840" w:type="dxa"/>
            <w:noWrap/>
            <w:hideMark/>
          </w:tcPr>
          <w:p w14:paraId="4FECB1A7" w14:textId="77777777" w:rsidR="00BD415C" w:rsidRPr="00BD415C" w:rsidRDefault="00BD415C" w:rsidP="00BD415C">
            <w:pPr>
              <w:pStyle w:val="Source"/>
              <w:spacing w:before="0" w:after="0"/>
              <w:rPr>
                <w:sz w:val="2"/>
                <w:szCs w:val="2"/>
              </w:rPr>
            </w:pPr>
          </w:p>
        </w:tc>
        <w:tc>
          <w:tcPr>
            <w:tcW w:w="4720" w:type="dxa"/>
            <w:noWrap/>
            <w:hideMark/>
          </w:tcPr>
          <w:p w14:paraId="46683094" w14:textId="77777777" w:rsidR="00BD415C" w:rsidRPr="00BD415C" w:rsidRDefault="00BD415C" w:rsidP="00BD415C">
            <w:pPr>
              <w:pStyle w:val="Source"/>
              <w:spacing w:before="0" w:after="0"/>
              <w:rPr>
                <w:sz w:val="2"/>
                <w:szCs w:val="2"/>
              </w:rPr>
            </w:pPr>
            <w:r w:rsidRPr="00BD415C">
              <w:rPr>
                <w:sz w:val="2"/>
                <w:szCs w:val="2"/>
              </w:rPr>
              <w:t>Teachers' Aide</w:t>
            </w:r>
          </w:p>
        </w:tc>
        <w:tc>
          <w:tcPr>
            <w:tcW w:w="1420" w:type="dxa"/>
            <w:noWrap/>
            <w:hideMark/>
          </w:tcPr>
          <w:p w14:paraId="261C8099" w14:textId="77777777" w:rsidR="00BD415C" w:rsidRPr="00BD415C" w:rsidRDefault="00BD415C" w:rsidP="00BD415C">
            <w:pPr>
              <w:pStyle w:val="Source"/>
              <w:spacing w:before="0" w:after="0"/>
              <w:rPr>
                <w:sz w:val="2"/>
                <w:szCs w:val="2"/>
              </w:rPr>
            </w:pPr>
          </w:p>
        </w:tc>
        <w:tc>
          <w:tcPr>
            <w:tcW w:w="2020" w:type="dxa"/>
            <w:noWrap/>
            <w:hideMark/>
          </w:tcPr>
          <w:p w14:paraId="2E7E3776" w14:textId="77777777" w:rsidR="00BD415C" w:rsidRPr="00BD415C" w:rsidRDefault="00BD415C" w:rsidP="00BD415C">
            <w:pPr>
              <w:pStyle w:val="Source"/>
              <w:spacing w:before="0" w:after="0"/>
              <w:rPr>
                <w:sz w:val="2"/>
                <w:szCs w:val="2"/>
              </w:rPr>
            </w:pPr>
            <w:r w:rsidRPr="00BD415C">
              <w:rPr>
                <w:sz w:val="2"/>
                <w:szCs w:val="2"/>
              </w:rPr>
              <w:t>2.6%</w:t>
            </w:r>
          </w:p>
        </w:tc>
        <w:tc>
          <w:tcPr>
            <w:tcW w:w="2480" w:type="dxa"/>
            <w:noWrap/>
            <w:hideMark/>
          </w:tcPr>
          <w:p w14:paraId="3B228774" w14:textId="77777777" w:rsidR="00BD415C" w:rsidRPr="00BD415C" w:rsidRDefault="00BD415C" w:rsidP="00BD415C">
            <w:pPr>
              <w:pStyle w:val="Source"/>
              <w:spacing w:before="0" w:after="0"/>
              <w:rPr>
                <w:sz w:val="2"/>
                <w:szCs w:val="2"/>
              </w:rPr>
            </w:pPr>
          </w:p>
        </w:tc>
      </w:tr>
      <w:tr w:rsidR="00BD415C" w:rsidRPr="00BD415C" w14:paraId="5AF99C68" w14:textId="77777777" w:rsidTr="00BD415C">
        <w:trPr>
          <w:trHeight w:val="20"/>
          <w:jc w:val="center"/>
        </w:trPr>
        <w:tc>
          <w:tcPr>
            <w:tcW w:w="3840" w:type="dxa"/>
            <w:hideMark/>
          </w:tcPr>
          <w:p w14:paraId="15F64586" w14:textId="77777777" w:rsidR="00BD415C" w:rsidRPr="00BD415C" w:rsidRDefault="00BD415C" w:rsidP="00BD415C">
            <w:pPr>
              <w:pStyle w:val="Source"/>
              <w:spacing w:before="0" w:after="0"/>
              <w:rPr>
                <w:sz w:val="2"/>
                <w:szCs w:val="2"/>
              </w:rPr>
            </w:pPr>
          </w:p>
        </w:tc>
        <w:tc>
          <w:tcPr>
            <w:tcW w:w="4720" w:type="dxa"/>
            <w:noWrap/>
            <w:hideMark/>
          </w:tcPr>
          <w:p w14:paraId="23D5E047" w14:textId="77777777" w:rsidR="00BD415C" w:rsidRPr="00BD415C" w:rsidRDefault="00BD415C" w:rsidP="00BD415C">
            <w:pPr>
              <w:pStyle w:val="Source"/>
              <w:spacing w:before="0" w:after="0"/>
              <w:rPr>
                <w:sz w:val="2"/>
                <w:szCs w:val="2"/>
              </w:rPr>
            </w:pPr>
            <w:r w:rsidRPr="00BD415C">
              <w:rPr>
                <w:sz w:val="2"/>
                <w:szCs w:val="2"/>
              </w:rPr>
              <w:t>Fast Food Cook</w:t>
            </w:r>
          </w:p>
        </w:tc>
        <w:tc>
          <w:tcPr>
            <w:tcW w:w="1420" w:type="dxa"/>
            <w:hideMark/>
          </w:tcPr>
          <w:p w14:paraId="5F09B8EA" w14:textId="77777777" w:rsidR="00BD415C" w:rsidRPr="00BD415C" w:rsidRDefault="00BD415C" w:rsidP="00BD415C">
            <w:pPr>
              <w:pStyle w:val="Source"/>
              <w:spacing w:before="0" w:after="0"/>
              <w:rPr>
                <w:sz w:val="2"/>
                <w:szCs w:val="2"/>
              </w:rPr>
            </w:pPr>
          </w:p>
        </w:tc>
        <w:tc>
          <w:tcPr>
            <w:tcW w:w="2020" w:type="dxa"/>
            <w:noWrap/>
            <w:hideMark/>
          </w:tcPr>
          <w:p w14:paraId="1307E0E5" w14:textId="77777777" w:rsidR="00BD415C" w:rsidRPr="00BD415C" w:rsidRDefault="00BD415C" w:rsidP="00BD415C">
            <w:pPr>
              <w:pStyle w:val="Source"/>
              <w:spacing w:before="0" w:after="0"/>
              <w:rPr>
                <w:sz w:val="2"/>
                <w:szCs w:val="2"/>
              </w:rPr>
            </w:pPr>
            <w:r w:rsidRPr="00BD415C">
              <w:rPr>
                <w:sz w:val="2"/>
                <w:szCs w:val="2"/>
              </w:rPr>
              <w:t>2.3%</w:t>
            </w:r>
          </w:p>
        </w:tc>
        <w:tc>
          <w:tcPr>
            <w:tcW w:w="2480" w:type="dxa"/>
            <w:noWrap/>
            <w:hideMark/>
          </w:tcPr>
          <w:p w14:paraId="304B7CA5" w14:textId="77777777" w:rsidR="00BD415C" w:rsidRPr="00BD415C" w:rsidRDefault="00BD415C" w:rsidP="00BD415C">
            <w:pPr>
              <w:pStyle w:val="Source"/>
              <w:spacing w:before="0" w:after="0"/>
              <w:rPr>
                <w:sz w:val="2"/>
                <w:szCs w:val="2"/>
              </w:rPr>
            </w:pPr>
          </w:p>
        </w:tc>
      </w:tr>
      <w:tr w:rsidR="00BD415C" w:rsidRPr="00BD415C" w14:paraId="0FC1FE60" w14:textId="77777777" w:rsidTr="00BD415C">
        <w:trPr>
          <w:trHeight w:val="20"/>
          <w:jc w:val="center"/>
        </w:trPr>
        <w:tc>
          <w:tcPr>
            <w:tcW w:w="3840" w:type="dxa"/>
            <w:noWrap/>
            <w:hideMark/>
          </w:tcPr>
          <w:p w14:paraId="34F23326" w14:textId="77777777" w:rsidR="00BD415C" w:rsidRPr="00BD415C" w:rsidRDefault="00BD415C" w:rsidP="00BD415C">
            <w:pPr>
              <w:pStyle w:val="Source"/>
              <w:spacing w:before="0" w:after="0"/>
              <w:rPr>
                <w:sz w:val="2"/>
                <w:szCs w:val="2"/>
              </w:rPr>
            </w:pPr>
          </w:p>
        </w:tc>
        <w:tc>
          <w:tcPr>
            <w:tcW w:w="6140" w:type="dxa"/>
            <w:gridSpan w:val="2"/>
            <w:noWrap/>
            <w:hideMark/>
          </w:tcPr>
          <w:p w14:paraId="4AA10BD3" w14:textId="77777777" w:rsidR="00BD415C" w:rsidRPr="00BD415C" w:rsidRDefault="00BD415C" w:rsidP="00BD415C">
            <w:pPr>
              <w:pStyle w:val="Source"/>
              <w:spacing w:before="0" w:after="0"/>
              <w:rPr>
                <w:sz w:val="2"/>
                <w:szCs w:val="2"/>
              </w:rPr>
            </w:pPr>
            <w:r w:rsidRPr="00BD415C">
              <w:rPr>
                <w:sz w:val="2"/>
                <w:szCs w:val="2"/>
              </w:rPr>
              <w:t>Checkout Operator</w:t>
            </w:r>
          </w:p>
        </w:tc>
        <w:tc>
          <w:tcPr>
            <w:tcW w:w="2020" w:type="dxa"/>
            <w:noWrap/>
            <w:hideMark/>
          </w:tcPr>
          <w:p w14:paraId="1F4F8162" w14:textId="77777777" w:rsidR="00BD415C" w:rsidRPr="00BD415C" w:rsidRDefault="00BD415C" w:rsidP="00BD415C">
            <w:pPr>
              <w:pStyle w:val="Source"/>
              <w:spacing w:before="0" w:after="0"/>
              <w:rPr>
                <w:sz w:val="2"/>
                <w:szCs w:val="2"/>
              </w:rPr>
            </w:pPr>
            <w:r w:rsidRPr="00BD415C">
              <w:rPr>
                <w:sz w:val="2"/>
                <w:szCs w:val="2"/>
              </w:rPr>
              <w:t>2.2%</w:t>
            </w:r>
          </w:p>
        </w:tc>
        <w:tc>
          <w:tcPr>
            <w:tcW w:w="2480" w:type="dxa"/>
            <w:noWrap/>
            <w:hideMark/>
          </w:tcPr>
          <w:p w14:paraId="48235D60" w14:textId="77777777" w:rsidR="00BD415C" w:rsidRPr="00BD415C" w:rsidRDefault="00BD415C" w:rsidP="00BD415C">
            <w:pPr>
              <w:pStyle w:val="Source"/>
              <w:spacing w:before="0" w:after="0"/>
              <w:rPr>
                <w:sz w:val="2"/>
                <w:szCs w:val="2"/>
              </w:rPr>
            </w:pPr>
          </w:p>
        </w:tc>
      </w:tr>
      <w:tr w:rsidR="00BD415C" w:rsidRPr="00BD415C" w14:paraId="088BB7FC" w14:textId="77777777" w:rsidTr="00BD415C">
        <w:trPr>
          <w:trHeight w:val="20"/>
          <w:jc w:val="center"/>
        </w:trPr>
        <w:tc>
          <w:tcPr>
            <w:tcW w:w="3840" w:type="dxa"/>
            <w:noWrap/>
            <w:hideMark/>
          </w:tcPr>
          <w:p w14:paraId="20485BD4" w14:textId="77777777" w:rsidR="00BD415C" w:rsidRPr="00BD415C" w:rsidRDefault="00BD415C" w:rsidP="00BD415C">
            <w:pPr>
              <w:pStyle w:val="Source"/>
              <w:spacing w:before="0" w:after="0"/>
              <w:rPr>
                <w:sz w:val="2"/>
                <w:szCs w:val="2"/>
              </w:rPr>
            </w:pPr>
          </w:p>
        </w:tc>
        <w:tc>
          <w:tcPr>
            <w:tcW w:w="4720" w:type="dxa"/>
            <w:noWrap/>
            <w:hideMark/>
          </w:tcPr>
          <w:p w14:paraId="12F79B47" w14:textId="77777777" w:rsidR="00BD415C" w:rsidRPr="00BD415C" w:rsidRDefault="00BD415C" w:rsidP="00BD415C">
            <w:pPr>
              <w:pStyle w:val="Source"/>
              <w:spacing w:before="0" w:after="0"/>
              <w:rPr>
                <w:sz w:val="2"/>
                <w:szCs w:val="2"/>
              </w:rPr>
            </w:pPr>
            <w:r w:rsidRPr="00BD415C">
              <w:rPr>
                <w:sz w:val="2"/>
                <w:szCs w:val="2"/>
              </w:rPr>
              <w:t>General Clerk</w:t>
            </w:r>
          </w:p>
        </w:tc>
        <w:tc>
          <w:tcPr>
            <w:tcW w:w="1420" w:type="dxa"/>
            <w:noWrap/>
            <w:hideMark/>
          </w:tcPr>
          <w:p w14:paraId="400C9C4E" w14:textId="77777777" w:rsidR="00BD415C" w:rsidRPr="00BD415C" w:rsidRDefault="00BD415C" w:rsidP="00BD415C">
            <w:pPr>
              <w:pStyle w:val="Source"/>
              <w:spacing w:before="0" w:after="0"/>
              <w:rPr>
                <w:sz w:val="2"/>
                <w:szCs w:val="2"/>
              </w:rPr>
            </w:pPr>
          </w:p>
        </w:tc>
        <w:tc>
          <w:tcPr>
            <w:tcW w:w="2020" w:type="dxa"/>
            <w:noWrap/>
            <w:hideMark/>
          </w:tcPr>
          <w:p w14:paraId="3ED527F0" w14:textId="77777777" w:rsidR="00BD415C" w:rsidRPr="00BD415C" w:rsidRDefault="00BD415C" w:rsidP="00BD415C">
            <w:pPr>
              <w:pStyle w:val="Source"/>
              <w:spacing w:before="0" w:after="0"/>
              <w:rPr>
                <w:sz w:val="2"/>
                <w:szCs w:val="2"/>
              </w:rPr>
            </w:pPr>
            <w:r w:rsidRPr="00BD415C">
              <w:rPr>
                <w:sz w:val="2"/>
                <w:szCs w:val="2"/>
              </w:rPr>
              <w:t>2.2%</w:t>
            </w:r>
          </w:p>
        </w:tc>
        <w:tc>
          <w:tcPr>
            <w:tcW w:w="2480" w:type="dxa"/>
            <w:noWrap/>
            <w:hideMark/>
          </w:tcPr>
          <w:p w14:paraId="126A0698" w14:textId="77777777" w:rsidR="00BD415C" w:rsidRPr="00BD415C" w:rsidRDefault="00BD415C" w:rsidP="00BD415C">
            <w:pPr>
              <w:pStyle w:val="Source"/>
              <w:spacing w:before="0" w:after="0"/>
              <w:rPr>
                <w:sz w:val="2"/>
                <w:szCs w:val="2"/>
              </w:rPr>
            </w:pPr>
          </w:p>
        </w:tc>
      </w:tr>
      <w:tr w:rsidR="00BD415C" w:rsidRPr="00BD415C" w14:paraId="51499499" w14:textId="77777777" w:rsidTr="00BD415C">
        <w:trPr>
          <w:trHeight w:val="20"/>
          <w:jc w:val="center"/>
        </w:trPr>
        <w:tc>
          <w:tcPr>
            <w:tcW w:w="3840" w:type="dxa"/>
            <w:noWrap/>
            <w:hideMark/>
          </w:tcPr>
          <w:p w14:paraId="731DEBF3" w14:textId="77777777" w:rsidR="00BD415C" w:rsidRPr="00BD415C" w:rsidRDefault="00BD415C" w:rsidP="00BD415C">
            <w:pPr>
              <w:pStyle w:val="Source"/>
              <w:spacing w:before="0" w:after="0"/>
              <w:rPr>
                <w:sz w:val="2"/>
                <w:szCs w:val="2"/>
              </w:rPr>
            </w:pPr>
          </w:p>
        </w:tc>
        <w:tc>
          <w:tcPr>
            <w:tcW w:w="6140" w:type="dxa"/>
            <w:gridSpan w:val="2"/>
            <w:noWrap/>
            <w:hideMark/>
          </w:tcPr>
          <w:p w14:paraId="5DF1CC53" w14:textId="77777777" w:rsidR="00BD415C" w:rsidRPr="00BD415C" w:rsidRDefault="00BD415C" w:rsidP="00BD415C">
            <w:pPr>
              <w:pStyle w:val="Source"/>
              <w:spacing w:before="0" w:after="0"/>
              <w:rPr>
                <w:sz w:val="2"/>
                <w:szCs w:val="2"/>
              </w:rPr>
            </w:pPr>
            <w:r w:rsidRPr="00BD415C">
              <w:rPr>
                <w:sz w:val="2"/>
                <w:szCs w:val="2"/>
              </w:rPr>
              <w:t>Primary School Teacher</w:t>
            </w:r>
          </w:p>
        </w:tc>
        <w:tc>
          <w:tcPr>
            <w:tcW w:w="2020" w:type="dxa"/>
            <w:noWrap/>
            <w:hideMark/>
          </w:tcPr>
          <w:p w14:paraId="20388085" w14:textId="77777777" w:rsidR="00BD415C" w:rsidRPr="00BD415C" w:rsidRDefault="00BD415C" w:rsidP="00BD415C">
            <w:pPr>
              <w:pStyle w:val="Source"/>
              <w:spacing w:before="0" w:after="0"/>
              <w:rPr>
                <w:sz w:val="2"/>
                <w:szCs w:val="2"/>
              </w:rPr>
            </w:pPr>
            <w:r w:rsidRPr="00BD415C">
              <w:rPr>
                <w:sz w:val="2"/>
                <w:szCs w:val="2"/>
              </w:rPr>
              <w:t>2.1%</w:t>
            </w:r>
          </w:p>
        </w:tc>
        <w:tc>
          <w:tcPr>
            <w:tcW w:w="2480" w:type="dxa"/>
            <w:noWrap/>
            <w:hideMark/>
          </w:tcPr>
          <w:p w14:paraId="32A7252A" w14:textId="77777777" w:rsidR="00BD415C" w:rsidRPr="00BD415C" w:rsidRDefault="00BD415C" w:rsidP="00BD415C">
            <w:pPr>
              <w:pStyle w:val="Source"/>
              <w:spacing w:before="0" w:after="0"/>
              <w:rPr>
                <w:sz w:val="2"/>
                <w:szCs w:val="2"/>
              </w:rPr>
            </w:pPr>
          </w:p>
        </w:tc>
      </w:tr>
      <w:tr w:rsidR="00BD415C" w:rsidRPr="00BD415C" w14:paraId="2F54FD99" w14:textId="77777777" w:rsidTr="00BD415C">
        <w:trPr>
          <w:trHeight w:val="20"/>
          <w:jc w:val="center"/>
        </w:trPr>
        <w:tc>
          <w:tcPr>
            <w:tcW w:w="3840" w:type="dxa"/>
            <w:noWrap/>
            <w:hideMark/>
          </w:tcPr>
          <w:p w14:paraId="0ED69158" w14:textId="77777777" w:rsidR="00BD415C" w:rsidRPr="00BD415C" w:rsidRDefault="00BD415C" w:rsidP="00BD415C">
            <w:pPr>
              <w:pStyle w:val="Source"/>
              <w:spacing w:before="0" w:after="0"/>
              <w:rPr>
                <w:sz w:val="2"/>
                <w:szCs w:val="2"/>
              </w:rPr>
            </w:pPr>
          </w:p>
        </w:tc>
        <w:tc>
          <w:tcPr>
            <w:tcW w:w="4720" w:type="dxa"/>
            <w:noWrap/>
            <w:hideMark/>
          </w:tcPr>
          <w:p w14:paraId="589295B0" w14:textId="77777777" w:rsidR="00BD415C" w:rsidRPr="00BD415C" w:rsidRDefault="00BD415C" w:rsidP="00BD415C">
            <w:pPr>
              <w:pStyle w:val="Source"/>
              <w:spacing w:before="0" w:after="0"/>
              <w:rPr>
                <w:sz w:val="2"/>
                <w:szCs w:val="2"/>
              </w:rPr>
            </w:pPr>
            <w:r w:rsidRPr="00BD415C">
              <w:rPr>
                <w:sz w:val="2"/>
                <w:szCs w:val="2"/>
              </w:rPr>
              <w:t>Child Care Centre Manager</w:t>
            </w:r>
          </w:p>
        </w:tc>
        <w:tc>
          <w:tcPr>
            <w:tcW w:w="1420" w:type="dxa"/>
            <w:noWrap/>
            <w:hideMark/>
          </w:tcPr>
          <w:p w14:paraId="0A856E09" w14:textId="77777777" w:rsidR="00BD415C" w:rsidRPr="00BD415C" w:rsidRDefault="00BD415C" w:rsidP="00BD415C">
            <w:pPr>
              <w:pStyle w:val="Source"/>
              <w:spacing w:before="0" w:after="0"/>
              <w:rPr>
                <w:sz w:val="2"/>
                <w:szCs w:val="2"/>
              </w:rPr>
            </w:pPr>
            <w:r w:rsidRPr="00BD415C">
              <w:rPr>
                <w:sz w:val="2"/>
                <w:szCs w:val="2"/>
              </w:rPr>
              <w:t>0.7%</w:t>
            </w:r>
          </w:p>
        </w:tc>
        <w:tc>
          <w:tcPr>
            <w:tcW w:w="2020" w:type="dxa"/>
            <w:noWrap/>
            <w:hideMark/>
          </w:tcPr>
          <w:p w14:paraId="3BDB14BB" w14:textId="77777777" w:rsidR="00BD415C" w:rsidRPr="00BD415C" w:rsidRDefault="00BD415C" w:rsidP="00BD415C">
            <w:pPr>
              <w:pStyle w:val="Source"/>
              <w:spacing w:before="0" w:after="0"/>
              <w:rPr>
                <w:sz w:val="2"/>
                <w:szCs w:val="2"/>
              </w:rPr>
            </w:pPr>
          </w:p>
        </w:tc>
        <w:tc>
          <w:tcPr>
            <w:tcW w:w="2480" w:type="dxa"/>
            <w:noWrap/>
            <w:hideMark/>
          </w:tcPr>
          <w:p w14:paraId="5EB70C05" w14:textId="77777777" w:rsidR="00BD415C" w:rsidRPr="00BD415C" w:rsidRDefault="00BD415C" w:rsidP="00BD415C">
            <w:pPr>
              <w:pStyle w:val="Source"/>
              <w:spacing w:before="0" w:after="0"/>
              <w:rPr>
                <w:sz w:val="2"/>
                <w:szCs w:val="2"/>
              </w:rPr>
            </w:pPr>
          </w:p>
        </w:tc>
      </w:tr>
      <w:tr w:rsidR="00BD415C" w:rsidRPr="00BD415C" w14:paraId="2623E9F5" w14:textId="77777777" w:rsidTr="00BD415C">
        <w:trPr>
          <w:trHeight w:val="20"/>
          <w:jc w:val="center"/>
        </w:trPr>
        <w:tc>
          <w:tcPr>
            <w:tcW w:w="3840" w:type="dxa"/>
            <w:noWrap/>
            <w:hideMark/>
          </w:tcPr>
          <w:p w14:paraId="6A91B1FE" w14:textId="77777777" w:rsidR="00BD415C" w:rsidRPr="00BD415C" w:rsidRDefault="00BD415C" w:rsidP="00BD415C">
            <w:pPr>
              <w:pStyle w:val="Source"/>
              <w:spacing w:before="0" w:after="0"/>
              <w:rPr>
                <w:sz w:val="2"/>
                <w:szCs w:val="2"/>
              </w:rPr>
            </w:pPr>
          </w:p>
        </w:tc>
        <w:tc>
          <w:tcPr>
            <w:tcW w:w="4720" w:type="dxa"/>
            <w:noWrap/>
            <w:hideMark/>
          </w:tcPr>
          <w:p w14:paraId="72664E30" w14:textId="77777777" w:rsidR="00BD415C" w:rsidRPr="00BD415C" w:rsidRDefault="00BD415C" w:rsidP="00BD415C">
            <w:pPr>
              <w:pStyle w:val="Source"/>
              <w:spacing w:before="0" w:after="0"/>
              <w:rPr>
                <w:sz w:val="2"/>
                <w:szCs w:val="2"/>
              </w:rPr>
            </w:pPr>
            <w:r w:rsidRPr="00BD415C">
              <w:rPr>
                <w:sz w:val="2"/>
                <w:szCs w:val="2"/>
              </w:rPr>
              <w:t>Early Childhood (Pre-primary School) Teacher</w:t>
            </w:r>
          </w:p>
        </w:tc>
        <w:tc>
          <w:tcPr>
            <w:tcW w:w="1420" w:type="dxa"/>
            <w:noWrap/>
            <w:hideMark/>
          </w:tcPr>
          <w:p w14:paraId="59D27D60" w14:textId="77777777" w:rsidR="00BD415C" w:rsidRPr="00BD415C" w:rsidRDefault="00BD415C" w:rsidP="00BD415C">
            <w:pPr>
              <w:pStyle w:val="Source"/>
              <w:spacing w:before="0" w:after="0"/>
              <w:rPr>
                <w:sz w:val="2"/>
                <w:szCs w:val="2"/>
              </w:rPr>
            </w:pPr>
            <w:r w:rsidRPr="00BD415C">
              <w:rPr>
                <w:sz w:val="2"/>
                <w:szCs w:val="2"/>
              </w:rPr>
              <w:t>0.2%</w:t>
            </w:r>
          </w:p>
        </w:tc>
        <w:tc>
          <w:tcPr>
            <w:tcW w:w="2020" w:type="dxa"/>
            <w:noWrap/>
            <w:hideMark/>
          </w:tcPr>
          <w:p w14:paraId="7B20A21D" w14:textId="77777777" w:rsidR="00BD415C" w:rsidRPr="00BD415C" w:rsidRDefault="00BD415C" w:rsidP="00BD415C">
            <w:pPr>
              <w:pStyle w:val="Source"/>
              <w:spacing w:before="0" w:after="0"/>
              <w:rPr>
                <w:sz w:val="2"/>
                <w:szCs w:val="2"/>
              </w:rPr>
            </w:pPr>
          </w:p>
        </w:tc>
        <w:tc>
          <w:tcPr>
            <w:tcW w:w="2480" w:type="dxa"/>
            <w:noWrap/>
            <w:hideMark/>
          </w:tcPr>
          <w:p w14:paraId="2DF8355D" w14:textId="77777777" w:rsidR="00BD415C" w:rsidRPr="00BD415C" w:rsidRDefault="00BD415C" w:rsidP="00BD415C">
            <w:pPr>
              <w:pStyle w:val="Source"/>
              <w:spacing w:before="0" w:after="0"/>
              <w:rPr>
                <w:sz w:val="2"/>
                <w:szCs w:val="2"/>
              </w:rPr>
            </w:pPr>
          </w:p>
        </w:tc>
      </w:tr>
      <w:tr w:rsidR="00BD415C" w:rsidRPr="00BD415C" w14:paraId="13C2CE88" w14:textId="77777777" w:rsidTr="00BD415C">
        <w:trPr>
          <w:trHeight w:val="20"/>
          <w:jc w:val="center"/>
        </w:trPr>
        <w:tc>
          <w:tcPr>
            <w:tcW w:w="3840" w:type="dxa"/>
            <w:hideMark/>
          </w:tcPr>
          <w:p w14:paraId="4AD3262F" w14:textId="77777777" w:rsidR="00BD415C" w:rsidRPr="00BD415C" w:rsidRDefault="00BD415C" w:rsidP="00BD415C">
            <w:pPr>
              <w:pStyle w:val="Source"/>
              <w:spacing w:before="0" w:after="0"/>
              <w:rPr>
                <w:sz w:val="2"/>
                <w:szCs w:val="2"/>
              </w:rPr>
            </w:pPr>
          </w:p>
        </w:tc>
        <w:tc>
          <w:tcPr>
            <w:tcW w:w="4720" w:type="dxa"/>
            <w:hideMark/>
          </w:tcPr>
          <w:p w14:paraId="216CAC2C" w14:textId="77777777" w:rsidR="00BD415C" w:rsidRPr="00BD415C" w:rsidRDefault="00BD415C" w:rsidP="00BD415C">
            <w:pPr>
              <w:pStyle w:val="Source"/>
              <w:spacing w:before="0" w:after="0"/>
              <w:rPr>
                <w:sz w:val="2"/>
                <w:szCs w:val="2"/>
              </w:rPr>
            </w:pPr>
          </w:p>
        </w:tc>
        <w:tc>
          <w:tcPr>
            <w:tcW w:w="1420" w:type="dxa"/>
            <w:noWrap/>
            <w:hideMark/>
          </w:tcPr>
          <w:p w14:paraId="6115D851" w14:textId="77777777" w:rsidR="00BD415C" w:rsidRPr="00BD415C" w:rsidRDefault="00BD415C" w:rsidP="00BD415C">
            <w:pPr>
              <w:pStyle w:val="Source"/>
              <w:spacing w:before="0" w:after="0"/>
              <w:rPr>
                <w:b/>
                <w:bCs/>
                <w:sz w:val="2"/>
                <w:szCs w:val="2"/>
              </w:rPr>
            </w:pPr>
            <w:r w:rsidRPr="00BD415C">
              <w:rPr>
                <w:b/>
                <w:bCs/>
                <w:sz w:val="2"/>
                <w:szCs w:val="2"/>
              </w:rPr>
              <w:t>Other ECEC</w:t>
            </w:r>
          </w:p>
        </w:tc>
        <w:tc>
          <w:tcPr>
            <w:tcW w:w="2020" w:type="dxa"/>
            <w:noWrap/>
            <w:hideMark/>
          </w:tcPr>
          <w:p w14:paraId="1E188E71" w14:textId="77777777" w:rsidR="00BD415C" w:rsidRPr="00BD415C" w:rsidRDefault="00BD415C" w:rsidP="00BD415C">
            <w:pPr>
              <w:pStyle w:val="Source"/>
              <w:spacing w:before="0" w:after="0"/>
              <w:rPr>
                <w:b/>
                <w:bCs/>
                <w:sz w:val="2"/>
                <w:szCs w:val="2"/>
              </w:rPr>
            </w:pPr>
            <w:r w:rsidRPr="00BD415C">
              <w:rPr>
                <w:b/>
                <w:bCs/>
                <w:sz w:val="2"/>
                <w:szCs w:val="2"/>
              </w:rPr>
              <w:t>Other Occupation</w:t>
            </w:r>
          </w:p>
        </w:tc>
        <w:tc>
          <w:tcPr>
            <w:tcW w:w="2480" w:type="dxa"/>
            <w:noWrap/>
            <w:hideMark/>
          </w:tcPr>
          <w:p w14:paraId="2F1D57EC" w14:textId="77777777" w:rsidR="00BD415C" w:rsidRPr="00BD415C" w:rsidRDefault="00BD415C" w:rsidP="00BD415C">
            <w:pPr>
              <w:pStyle w:val="Source"/>
              <w:spacing w:before="0" w:after="0"/>
              <w:rPr>
                <w:b/>
                <w:bCs/>
                <w:sz w:val="2"/>
                <w:szCs w:val="2"/>
              </w:rPr>
            </w:pPr>
            <w:r w:rsidRPr="00BD415C">
              <w:rPr>
                <w:b/>
                <w:bCs/>
                <w:sz w:val="2"/>
                <w:szCs w:val="2"/>
              </w:rPr>
              <w:t>No return or unknown</w:t>
            </w:r>
          </w:p>
        </w:tc>
      </w:tr>
      <w:tr w:rsidR="00BD415C" w:rsidRPr="00BD415C" w14:paraId="78EF8042" w14:textId="77777777" w:rsidTr="00BD415C">
        <w:trPr>
          <w:trHeight w:val="20"/>
          <w:jc w:val="center"/>
        </w:trPr>
        <w:tc>
          <w:tcPr>
            <w:tcW w:w="3840" w:type="dxa"/>
            <w:noWrap/>
            <w:hideMark/>
          </w:tcPr>
          <w:p w14:paraId="3379EA0F" w14:textId="77777777" w:rsidR="00BD415C" w:rsidRPr="00BD415C" w:rsidRDefault="00BD415C" w:rsidP="00BD415C">
            <w:pPr>
              <w:pStyle w:val="Source"/>
              <w:spacing w:before="0" w:after="0"/>
              <w:rPr>
                <w:b/>
                <w:bCs/>
                <w:sz w:val="2"/>
                <w:szCs w:val="2"/>
              </w:rPr>
            </w:pPr>
            <w:r w:rsidRPr="00BD415C">
              <w:rPr>
                <w:b/>
                <w:bCs/>
                <w:sz w:val="2"/>
                <w:szCs w:val="2"/>
              </w:rPr>
              <w:t>Early Childhood Teacher</w:t>
            </w:r>
          </w:p>
        </w:tc>
        <w:tc>
          <w:tcPr>
            <w:tcW w:w="4720" w:type="dxa"/>
            <w:noWrap/>
            <w:hideMark/>
          </w:tcPr>
          <w:p w14:paraId="67151332" w14:textId="77777777" w:rsidR="00BD415C" w:rsidRPr="00BD415C" w:rsidRDefault="00BD415C" w:rsidP="00BD415C">
            <w:pPr>
              <w:pStyle w:val="Source"/>
              <w:spacing w:before="0" w:after="0"/>
              <w:rPr>
                <w:sz w:val="2"/>
                <w:szCs w:val="2"/>
              </w:rPr>
            </w:pPr>
            <w:r w:rsidRPr="00BD415C">
              <w:rPr>
                <w:sz w:val="2"/>
                <w:szCs w:val="2"/>
              </w:rPr>
              <w:t>No tax return</w:t>
            </w:r>
          </w:p>
        </w:tc>
        <w:tc>
          <w:tcPr>
            <w:tcW w:w="1420" w:type="dxa"/>
            <w:noWrap/>
            <w:hideMark/>
          </w:tcPr>
          <w:p w14:paraId="2E8E4586" w14:textId="77777777" w:rsidR="00BD415C" w:rsidRPr="00BD415C" w:rsidRDefault="00BD415C" w:rsidP="00BD415C">
            <w:pPr>
              <w:pStyle w:val="Source"/>
              <w:spacing w:before="0" w:after="0"/>
              <w:rPr>
                <w:sz w:val="2"/>
                <w:szCs w:val="2"/>
              </w:rPr>
            </w:pPr>
          </w:p>
        </w:tc>
        <w:tc>
          <w:tcPr>
            <w:tcW w:w="2020" w:type="dxa"/>
            <w:noWrap/>
            <w:hideMark/>
          </w:tcPr>
          <w:p w14:paraId="230DEFC9" w14:textId="77777777" w:rsidR="00BD415C" w:rsidRPr="00BD415C" w:rsidRDefault="00BD415C" w:rsidP="00BD415C">
            <w:pPr>
              <w:pStyle w:val="Source"/>
              <w:spacing w:before="0" w:after="0"/>
              <w:rPr>
                <w:sz w:val="2"/>
                <w:szCs w:val="2"/>
              </w:rPr>
            </w:pPr>
          </w:p>
        </w:tc>
        <w:tc>
          <w:tcPr>
            <w:tcW w:w="2480" w:type="dxa"/>
            <w:noWrap/>
            <w:hideMark/>
          </w:tcPr>
          <w:p w14:paraId="68B4BE25" w14:textId="77777777" w:rsidR="00BD415C" w:rsidRPr="00BD415C" w:rsidRDefault="00BD415C" w:rsidP="00BD415C">
            <w:pPr>
              <w:pStyle w:val="Source"/>
              <w:spacing w:before="0" w:after="0"/>
              <w:rPr>
                <w:sz w:val="2"/>
                <w:szCs w:val="2"/>
              </w:rPr>
            </w:pPr>
            <w:r w:rsidRPr="00BD415C">
              <w:rPr>
                <w:sz w:val="2"/>
                <w:szCs w:val="2"/>
              </w:rPr>
              <w:t>23%</w:t>
            </w:r>
          </w:p>
        </w:tc>
      </w:tr>
      <w:tr w:rsidR="00BD415C" w:rsidRPr="00BD415C" w14:paraId="4ABADC43" w14:textId="77777777" w:rsidTr="00BD415C">
        <w:trPr>
          <w:trHeight w:val="20"/>
          <w:jc w:val="center"/>
        </w:trPr>
        <w:tc>
          <w:tcPr>
            <w:tcW w:w="3840" w:type="dxa"/>
            <w:noWrap/>
            <w:hideMark/>
          </w:tcPr>
          <w:p w14:paraId="1718569F" w14:textId="77777777" w:rsidR="00BD415C" w:rsidRPr="00BD415C" w:rsidRDefault="00BD415C" w:rsidP="00BD415C">
            <w:pPr>
              <w:pStyle w:val="Source"/>
              <w:spacing w:before="0" w:after="0"/>
              <w:rPr>
                <w:sz w:val="2"/>
                <w:szCs w:val="2"/>
              </w:rPr>
            </w:pPr>
          </w:p>
        </w:tc>
        <w:tc>
          <w:tcPr>
            <w:tcW w:w="4720" w:type="dxa"/>
            <w:noWrap/>
            <w:hideMark/>
          </w:tcPr>
          <w:p w14:paraId="1BBFC1F1" w14:textId="77777777" w:rsidR="00BD415C" w:rsidRPr="00BD415C" w:rsidRDefault="00BD415C" w:rsidP="00BD415C">
            <w:pPr>
              <w:pStyle w:val="Source"/>
              <w:spacing w:before="0" w:after="0"/>
              <w:rPr>
                <w:sz w:val="2"/>
                <w:szCs w:val="2"/>
              </w:rPr>
            </w:pPr>
            <w:r w:rsidRPr="00BD415C">
              <w:rPr>
                <w:sz w:val="2"/>
                <w:szCs w:val="2"/>
              </w:rPr>
              <w:t>Child Care Worker</w:t>
            </w:r>
          </w:p>
        </w:tc>
        <w:tc>
          <w:tcPr>
            <w:tcW w:w="1420" w:type="dxa"/>
            <w:noWrap/>
            <w:hideMark/>
          </w:tcPr>
          <w:p w14:paraId="26800C86" w14:textId="77777777" w:rsidR="00BD415C" w:rsidRPr="00BD415C" w:rsidRDefault="00BD415C" w:rsidP="00BD415C">
            <w:pPr>
              <w:pStyle w:val="Source"/>
              <w:spacing w:before="0" w:after="0"/>
              <w:rPr>
                <w:sz w:val="2"/>
                <w:szCs w:val="2"/>
              </w:rPr>
            </w:pPr>
            <w:r w:rsidRPr="00BD415C">
              <w:rPr>
                <w:sz w:val="2"/>
                <w:szCs w:val="2"/>
              </w:rPr>
              <w:t>21%</w:t>
            </w:r>
          </w:p>
        </w:tc>
        <w:tc>
          <w:tcPr>
            <w:tcW w:w="2020" w:type="dxa"/>
            <w:noWrap/>
            <w:hideMark/>
          </w:tcPr>
          <w:p w14:paraId="196D3F95" w14:textId="77777777" w:rsidR="00BD415C" w:rsidRPr="00BD415C" w:rsidRDefault="00BD415C" w:rsidP="00BD415C">
            <w:pPr>
              <w:pStyle w:val="Source"/>
              <w:spacing w:before="0" w:after="0"/>
              <w:rPr>
                <w:sz w:val="2"/>
                <w:szCs w:val="2"/>
              </w:rPr>
            </w:pPr>
          </w:p>
        </w:tc>
        <w:tc>
          <w:tcPr>
            <w:tcW w:w="2480" w:type="dxa"/>
            <w:noWrap/>
            <w:hideMark/>
          </w:tcPr>
          <w:p w14:paraId="0F2CF4E0" w14:textId="77777777" w:rsidR="00BD415C" w:rsidRPr="00BD415C" w:rsidRDefault="00BD415C" w:rsidP="00BD415C">
            <w:pPr>
              <w:pStyle w:val="Source"/>
              <w:spacing w:before="0" w:after="0"/>
              <w:rPr>
                <w:sz w:val="2"/>
                <w:szCs w:val="2"/>
              </w:rPr>
            </w:pPr>
          </w:p>
        </w:tc>
      </w:tr>
      <w:tr w:rsidR="00BD415C" w:rsidRPr="00BD415C" w14:paraId="44351BDD" w14:textId="77777777" w:rsidTr="00BD415C">
        <w:trPr>
          <w:trHeight w:val="20"/>
          <w:jc w:val="center"/>
        </w:trPr>
        <w:tc>
          <w:tcPr>
            <w:tcW w:w="3840" w:type="dxa"/>
            <w:noWrap/>
            <w:hideMark/>
          </w:tcPr>
          <w:p w14:paraId="7DA0DA97" w14:textId="77777777" w:rsidR="00BD415C" w:rsidRPr="00BD415C" w:rsidRDefault="00BD415C" w:rsidP="00BD415C">
            <w:pPr>
              <w:pStyle w:val="Source"/>
              <w:spacing w:before="0" w:after="0"/>
              <w:rPr>
                <w:sz w:val="2"/>
                <w:szCs w:val="2"/>
              </w:rPr>
            </w:pPr>
          </w:p>
        </w:tc>
        <w:tc>
          <w:tcPr>
            <w:tcW w:w="4720" w:type="dxa"/>
            <w:noWrap/>
            <w:hideMark/>
          </w:tcPr>
          <w:p w14:paraId="1EEED469" w14:textId="77777777" w:rsidR="00BD415C" w:rsidRPr="00BD415C" w:rsidRDefault="00BD415C" w:rsidP="00BD415C">
            <w:pPr>
              <w:pStyle w:val="Source"/>
              <w:spacing w:before="0" w:after="0"/>
              <w:rPr>
                <w:sz w:val="2"/>
                <w:szCs w:val="2"/>
              </w:rPr>
            </w:pPr>
            <w:r w:rsidRPr="00BD415C">
              <w:rPr>
                <w:sz w:val="2"/>
                <w:szCs w:val="2"/>
              </w:rPr>
              <w:t>Unknown</w:t>
            </w:r>
          </w:p>
        </w:tc>
        <w:tc>
          <w:tcPr>
            <w:tcW w:w="1420" w:type="dxa"/>
            <w:noWrap/>
            <w:hideMark/>
          </w:tcPr>
          <w:p w14:paraId="4B5775DE" w14:textId="77777777" w:rsidR="00BD415C" w:rsidRPr="00BD415C" w:rsidRDefault="00BD415C" w:rsidP="00BD415C">
            <w:pPr>
              <w:pStyle w:val="Source"/>
              <w:spacing w:before="0" w:after="0"/>
              <w:rPr>
                <w:sz w:val="2"/>
                <w:szCs w:val="2"/>
              </w:rPr>
            </w:pPr>
          </w:p>
        </w:tc>
        <w:tc>
          <w:tcPr>
            <w:tcW w:w="2020" w:type="dxa"/>
            <w:noWrap/>
            <w:hideMark/>
          </w:tcPr>
          <w:p w14:paraId="7551A88D" w14:textId="77777777" w:rsidR="00BD415C" w:rsidRPr="00BD415C" w:rsidRDefault="00BD415C" w:rsidP="00BD415C">
            <w:pPr>
              <w:pStyle w:val="Source"/>
              <w:spacing w:before="0" w:after="0"/>
              <w:rPr>
                <w:sz w:val="2"/>
                <w:szCs w:val="2"/>
              </w:rPr>
            </w:pPr>
          </w:p>
        </w:tc>
        <w:tc>
          <w:tcPr>
            <w:tcW w:w="2480" w:type="dxa"/>
            <w:noWrap/>
            <w:hideMark/>
          </w:tcPr>
          <w:p w14:paraId="58BC206F" w14:textId="77777777" w:rsidR="00BD415C" w:rsidRPr="00BD415C" w:rsidRDefault="00BD415C" w:rsidP="00BD415C">
            <w:pPr>
              <w:pStyle w:val="Source"/>
              <w:spacing w:before="0" w:after="0"/>
              <w:rPr>
                <w:sz w:val="2"/>
                <w:szCs w:val="2"/>
              </w:rPr>
            </w:pPr>
            <w:r w:rsidRPr="00BD415C">
              <w:rPr>
                <w:sz w:val="2"/>
                <w:szCs w:val="2"/>
              </w:rPr>
              <w:t>15%</w:t>
            </w:r>
          </w:p>
        </w:tc>
      </w:tr>
      <w:tr w:rsidR="00BD415C" w:rsidRPr="00BD415C" w14:paraId="3028D443" w14:textId="77777777" w:rsidTr="00BD415C">
        <w:trPr>
          <w:trHeight w:val="20"/>
          <w:jc w:val="center"/>
        </w:trPr>
        <w:tc>
          <w:tcPr>
            <w:tcW w:w="3840" w:type="dxa"/>
            <w:noWrap/>
            <w:hideMark/>
          </w:tcPr>
          <w:p w14:paraId="447AC972" w14:textId="77777777" w:rsidR="00BD415C" w:rsidRPr="00BD415C" w:rsidRDefault="00BD415C" w:rsidP="00BD415C">
            <w:pPr>
              <w:pStyle w:val="Source"/>
              <w:spacing w:before="0" w:after="0"/>
              <w:rPr>
                <w:sz w:val="2"/>
                <w:szCs w:val="2"/>
              </w:rPr>
            </w:pPr>
          </w:p>
        </w:tc>
        <w:tc>
          <w:tcPr>
            <w:tcW w:w="6140" w:type="dxa"/>
            <w:gridSpan w:val="2"/>
            <w:noWrap/>
            <w:hideMark/>
          </w:tcPr>
          <w:p w14:paraId="358F044A" w14:textId="77777777" w:rsidR="00BD415C" w:rsidRPr="00BD415C" w:rsidRDefault="00BD415C" w:rsidP="00BD415C">
            <w:pPr>
              <w:pStyle w:val="Source"/>
              <w:spacing w:before="0" w:after="0"/>
              <w:rPr>
                <w:sz w:val="2"/>
                <w:szCs w:val="2"/>
              </w:rPr>
            </w:pPr>
            <w:r w:rsidRPr="00BD415C">
              <w:rPr>
                <w:sz w:val="2"/>
                <w:szCs w:val="2"/>
              </w:rPr>
              <w:t>Primary School Teacher</w:t>
            </w:r>
          </w:p>
        </w:tc>
        <w:tc>
          <w:tcPr>
            <w:tcW w:w="2020" w:type="dxa"/>
            <w:noWrap/>
            <w:hideMark/>
          </w:tcPr>
          <w:p w14:paraId="4AA4579C" w14:textId="77777777" w:rsidR="00BD415C" w:rsidRPr="00BD415C" w:rsidRDefault="00BD415C" w:rsidP="00BD415C">
            <w:pPr>
              <w:pStyle w:val="Source"/>
              <w:spacing w:before="0" w:after="0"/>
              <w:rPr>
                <w:sz w:val="2"/>
                <w:szCs w:val="2"/>
              </w:rPr>
            </w:pPr>
            <w:r w:rsidRPr="00BD415C">
              <w:rPr>
                <w:sz w:val="2"/>
                <w:szCs w:val="2"/>
              </w:rPr>
              <w:t>14%</w:t>
            </w:r>
          </w:p>
        </w:tc>
        <w:tc>
          <w:tcPr>
            <w:tcW w:w="2480" w:type="dxa"/>
            <w:noWrap/>
            <w:hideMark/>
          </w:tcPr>
          <w:p w14:paraId="1DC1D583" w14:textId="77777777" w:rsidR="00BD415C" w:rsidRPr="00BD415C" w:rsidRDefault="00BD415C" w:rsidP="00BD415C">
            <w:pPr>
              <w:pStyle w:val="Source"/>
              <w:spacing w:before="0" w:after="0"/>
              <w:rPr>
                <w:sz w:val="2"/>
                <w:szCs w:val="2"/>
              </w:rPr>
            </w:pPr>
          </w:p>
        </w:tc>
      </w:tr>
      <w:tr w:rsidR="00BD415C" w:rsidRPr="00BD415C" w14:paraId="4680880B" w14:textId="77777777" w:rsidTr="00BD415C">
        <w:trPr>
          <w:trHeight w:val="20"/>
          <w:jc w:val="center"/>
        </w:trPr>
        <w:tc>
          <w:tcPr>
            <w:tcW w:w="3840" w:type="dxa"/>
            <w:noWrap/>
            <w:hideMark/>
          </w:tcPr>
          <w:p w14:paraId="2963E7BB" w14:textId="77777777" w:rsidR="00BD415C" w:rsidRPr="00BD415C" w:rsidRDefault="00BD415C" w:rsidP="00BD415C">
            <w:pPr>
              <w:pStyle w:val="Source"/>
              <w:spacing w:before="0" w:after="0"/>
              <w:rPr>
                <w:sz w:val="2"/>
                <w:szCs w:val="2"/>
              </w:rPr>
            </w:pPr>
          </w:p>
        </w:tc>
        <w:tc>
          <w:tcPr>
            <w:tcW w:w="4720" w:type="dxa"/>
            <w:noWrap/>
            <w:hideMark/>
          </w:tcPr>
          <w:p w14:paraId="78BDBF28" w14:textId="77777777" w:rsidR="00BD415C" w:rsidRPr="00BD415C" w:rsidRDefault="00BD415C" w:rsidP="00BD415C">
            <w:pPr>
              <w:pStyle w:val="Source"/>
              <w:spacing w:before="0" w:after="0"/>
              <w:rPr>
                <w:sz w:val="2"/>
                <w:szCs w:val="2"/>
              </w:rPr>
            </w:pPr>
            <w:r w:rsidRPr="00BD415C">
              <w:rPr>
                <w:sz w:val="2"/>
                <w:szCs w:val="2"/>
              </w:rPr>
              <w:t>Other occupations</w:t>
            </w:r>
          </w:p>
        </w:tc>
        <w:tc>
          <w:tcPr>
            <w:tcW w:w="1420" w:type="dxa"/>
            <w:noWrap/>
            <w:hideMark/>
          </w:tcPr>
          <w:p w14:paraId="225B53A6" w14:textId="77777777" w:rsidR="00BD415C" w:rsidRPr="00BD415C" w:rsidRDefault="00BD415C" w:rsidP="00BD415C">
            <w:pPr>
              <w:pStyle w:val="Source"/>
              <w:spacing w:before="0" w:after="0"/>
              <w:rPr>
                <w:sz w:val="2"/>
                <w:szCs w:val="2"/>
              </w:rPr>
            </w:pPr>
          </w:p>
        </w:tc>
        <w:tc>
          <w:tcPr>
            <w:tcW w:w="2020" w:type="dxa"/>
            <w:noWrap/>
            <w:hideMark/>
          </w:tcPr>
          <w:p w14:paraId="24A4D35C" w14:textId="77777777" w:rsidR="00BD415C" w:rsidRPr="00BD415C" w:rsidRDefault="00BD415C" w:rsidP="00BD415C">
            <w:pPr>
              <w:pStyle w:val="Source"/>
              <w:spacing w:before="0" w:after="0"/>
              <w:rPr>
                <w:sz w:val="2"/>
                <w:szCs w:val="2"/>
              </w:rPr>
            </w:pPr>
            <w:r w:rsidRPr="00BD415C">
              <w:rPr>
                <w:sz w:val="2"/>
                <w:szCs w:val="2"/>
              </w:rPr>
              <w:t>12%</w:t>
            </w:r>
          </w:p>
        </w:tc>
        <w:tc>
          <w:tcPr>
            <w:tcW w:w="2480" w:type="dxa"/>
            <w:noWrap/>
            <w:hideMark/>
          </w:tcPr>
          <w:p w14:paraId="624D31E8" w14:textId="77777777" w:rsidR="00BD415C" w:rsidRPr="00BD415C" w:rsidRDefault="00BD415C" w:rsidP="00BD415C">
            <w:pPr>
              <w:pStyle w:val="Source"/>
              <w:spacing w:before="0" w:after="0"/>
              <w:rPr>
                <w:sz w:val="2"/>
                <w:szCs w:val="2"/>
              </w:rPr>
            </w:pPr>
          </w:p>
        </w:tc>
      </w:tr>
      <w:tr w:rsidR="00BD415C" w:rsidRPr="00BD415C" w14:paraId="55CB69E4" w14:textId="77777777" w:rsidTr="00BD415C">
        <w:trPr>
          <w:trHeight w:val="20"/>
          <w:jc w:val="center"/>
        </w:trPr>
        <w:tc>
          <w:tcPr>
            <w:tcW w:w="3840" w:type="dxa"/>
            <w:noWrap/>
            <w:hideMark/>
          </w:tcPr>
          <w:p w14:paraId="4BEFE403" w14:textId="77777777" w:rsidR="00BD415C" w:rsidRPr="00BD415C" w:rsidRDefault="00BD415C" w:rsidP="00BD415C">
            <w:pPr>
              <w:pStyle w:val="Source"/>
              <w:spacing w:before="0" w:after="0"/>
              <w:rPr>
                <w:sz w:val="2"/>
                <w:szCs w:val="2"/>
              </w:rPr>
            </w:pPr>
          </w:p>
        </w:tc>
        <w:tc>
          <w:tcPr>
            <w:tcW w:w="4720" w:type="dxa"/>
            <w:noWrap/>
            <w:hideMark/>
          </w:tcPr>
          <w:p w14:paraId="4D0B3502" w14:textId="77777777" w:rsidR="00BD415C" w:rsidRPr="00BD415C" w:rsidRDefault="00BD415C" w:rsidP="00BD415C">
            <w:pPr>
              <w:pStyle w:val="Source"/>
              <w:spacing w:before="0" w:after="0"/>
              <w:rPr>
                <w:sz w:val="2"/>
                <w:szCs w:val="2"/>
              </w:rPr>
            </w:pPr>
            <w:r w:rsidRPr="00BD415C">
              <w:rPr>
                <w:sz w:val="2"/>
                <w:szCs w:val="2"/>
              </w:rPr>
              <w:t>Sales Assistants</w:t>
            </w:r>
          </w:p>
        </w:tc>
        <w:tc>
          <w:tcPr>
            <w:tcW w:w="1420" w:type="dxa"/>
            <w:noWrap/>
            <w:hideMark/>
          </w:tcPr>
          <w:p w14:paraId="41FD7979" w14:textId="77777777" w:rsidR="00BD415C" w:rsidRPr="00BD415C" w:rsidRDefault="00BD415C" w:rsidP="00BD415C">
            <w:pPr>
              <w:pStyle w:val="Source"/>
              <w:spacing w:before="0" w:after="0"/>
              <w:rPr>
                <w:sz w:val="2"/>
                <w:szCs w:val="2"/>
              </w:rPr>
            </w:pPr>
          </w:p>
        </w:tc>
        <w:tc>
          <w:tcPr>
            <w:tcW w:w="2020" w:type="dxa"/>
            <w:noWrap/>
            <w:hideMark/>
          </w:tcPr>
          <w:p w14:paraId="3429F871" w14:textId="77777777" w:rsidR="00BD415C" w:rsidRPr="00BD415C" w:rsidRDefault="00BD415C" w:rsidP="00BD415C">
            <w:pPr>
              <w:pStyle w:val="Source"/>
              <w:spacing w:before="0" w:after="0"/>
              <w:rPr>
                <w:sz w:val="2"/>
                <w:szCs w:val="2"/>
              </w:rPr>
            </w:pPr>
            <w:r w:rsidRPr="00BD415C">
              <w:rPr>
                <w:sz w:val="2"/>
                <w:szCs w:val="2"/>
              </w:rPr>
              <w:t>4%</w:t>
            </w:r>
          </w:p>
        </w:tc>
        <w:tc>
          <w:tcPr>
            <w:tcW w:w="2480" w:type="dxa"/>
            <w:noWrap/>
            <w:hideMark/>
          </w:tcPr>
          <w:p w14:paraId="492CC697" w14:textId="77777777" w:rsidR="00BD415C" w:rsidRPr="00BD415C" w:rsidRDefault="00BD415C" w:rsidP="00BD415C">
            <w:pPr>
              <w:pStyle w:val="Source"/>
              <w:spacing w:before="0" w:after="0"/>
              <w:rPr>
                <w:sz w:val="2"/>
                <w:szCs w:val="2"/>
              </w:rPr>
            </w:pPr>
          </w:p>
        </w:tc>
      </w:tr>
      <w:tr w:rsidR="00BD415C" w:rsidRPr="00BD415C" w14:paraId="42D3344D" w14:textId="77777777" w:rsidTr="00BD415C">
        <w:trPr>
          <w:trHeight w:val="20"/>
          <w:jc w:val="center"/>
        </w:trPr>
        <w:tc>
          <w:tcPr>
            <w:tcW w:w="3840" w:type="dxa"/>
            <w:noWrap/>
            <w:hideMark/>
          </w:tcPr>
          <w:p w14:paraId="77AA4443" w14:textId="77777777" w:rsidR="00BD415C" w:rsidRPr="00BD415C" w:rsidRDefault="00BD415C" w:rsidP="00BD415C">
            <w:pPr>
              <w:pStyle w:val="Source"/>
              <w:spacing w:before="0" w:after="0"/>
              <w:rPr>
                <w:sz w:val="2"/>
                <w:szCs w:val="2"/>
              </w:rPr>
            </w:pPr>
          </w:p>
        </w:tc>
        <w:tc>
          <w:tcPr>
            <w:tcW w:w="4720" w:type="dxa"/>
            <w:noWrap/>
            <w:hideMark/>
          </w:tcPr>
          <w:p w14:paraId="5A09C8E2" w14:textId="77777777" w:rsidR="00BD415C" w:rsidRPr="00BD415C" w:rsidRDefault="00BD415C" w:rsidP="00BD415C">
            <w:pPr>
              <w:pStyle w:val="Source"/>
              <w:spacing w:before="0" w:after="0"/>
              <w:rPr>
                <w:sz w:val="2"/>
                <w:szCs w:val="2"/>
              </w:rPr>
            </w:pPr>
            <w:r w:rsidRPr="00BD415C">
              <w:rPr>
                <w:sz w:val="2"/>
                <w:szCs w:val="2"/>
              </w:rPr>
              <w:t>Teachers' Aide</w:t>
            </w:r>
          </w:p>
        </w:tc>
        <w:tc>
          <w:tcPr>
            <w:tcW w:w="1420" w:type="dxa"/>
            <w:noWrap/>
            <w:hideMark/>
          </w:tcPr>
          <w:p w14:paraId="446C5A65" w14:textId="77777777" w:rsidR="00BD415C" w:rsidRPr="00BD415C" w:rsidRDefault="00BD415C" w:rsidP="00BD415C">
            <w:pPr>
              <w:pStyle w:val="Source"/>
              <w:spacing w:before="0" w:after="0"/>
              <w:rPr>
                <w:sz w:val="2"/>
                <w:szCs w:val="2"/>
              </w:rPr>
            </w:pPr>
          </w:p>
        </w:tc>
        <w:tc>
          <w:tcPr>
            <w:tcW w:w="2020" w:type="dxa"/>
            <w:noWrap/>
            <w:hideMark/>
          </w:tcPr>
          <w:p w14:paraId="0BD4BBCC" w14:textId="77777777" w:rsidR="00BD415C" w:rsidRPr="00BD415C" w:rsidRDefault="00BD415C" w:rsidP="00BD415C">
            <w:pPr>
              <w:pStyle w:val="Source"/>
              <w:spacing w:before="0" w:after="0"/>
              <w:rPr>
                <w:sz w:val="2"/>
                <w:szCs w:val="2"/>
              </w:rPr>
            </w:pPr>
            <w:r w:rsidRPr="00BD415C">
              <w:rPr>
                <w:sz w:val="2"/>
                <w:szCs w:val="2"/>
              </w:rPr>
              <w:t>3%</w:t>
            </w:r>
          </w:p>
        </w:tc>
        <w:tc>
          <w:tcPr>
            <w:tcW w:w="2480" w:type="dxa"/>
            <w:noWrap/>
            <w:hideMark/>
          </w:tcPr>
          <w:p w14:paraId="7B35322F" w14:textId="77777777" w:rsidR="00BD415C" w:rsidRPr="00BD415C" w:rsidRDefault="00BD415C" w:rsidP="00BD415C">
            <w:pPr>
              <w:pStyle w:val="Source"/>
              <w:spacing w:before="0" w:after="0"/>
              <w:rPr>
                <w:sz w:val="2"/>
                <w:szCs w:val="2"/>
              </w:rPr>
            </w:pPr>
          </w:p>
        </w:tc>
      </w:tr>
      <w:tr w:rsidR="00BD415C" w:rsidRPr="00BD415C" w14:paraId="605EAFFC" w14:textId="77777777" w:rsidTr="00BD415C">
        <w:trPr>
          <w:trHeight w:val="20"/>
          <w:jc w:val="center"/>
        </w:trPr>
        <w:tc>
          <w:tcPr>
            <w:tcW w:w="3840" w:type="dxa"/>
            <w:noWrap/>
            <w:hideMark/>
          </w:tcPr>
          <w:p w14:paraId="3B8A584C" w14:textId="77777777" w:rsidR="00BD415C" w:rsidRPr="00BD415C" w:rsidRDefault="00BD415C" w:rsidP="00BD415C">
            <w:pPr>
              <w:pStyle w:val="Source"/>
              <w:spacing w:before="0" w:after="0"/>
              <w:rPr>
                <w:sz w:val="2"/>
                <w:szCs w:val="2"/>
              </w:rPr>
            </w:pPr>
          </w:p>
        </w:tc>
        <w:tc>
          <w:tcPr>
            <w:tcW w:w="4720" w:type="dxa"/>
            <w:noWrap/>
            <w:hideMark/>
          </w:tcPr>
          <w:p w14:paraId="456A2BC8" w14:textId="77777777" w:rsidR="00BD415C" w:rsidRPr="00BD415C" w:rsidRDefault="00BD415C" w:rsidP="00BD415C">
            <w:pPr>
              <w:pStyle w:val="Source"/>
              <w:spacing w:before="0" w:after="0"/>
              <w:rPr>
                <w:sz w:val="2"/>
                <w:szCs w:val="2"/>
              </w:rPr>
            </w:pPr>
            <w:r w:rsidRPr="00BD415C">
              <w:rPr>
                <w:sz w:val="2"/>
                <w:szCs w:val="2"/>
              </w:rPr>
              <w:t>Preschool Aide</w:t>
            </w:r>
          </w:p>
        </w:tc>
        <w:tc>
          <w:tcPr>
            <w:tcW w:w="1420" w:type="dxa"/>
            <w:noWrap/>
            <w:hideMark/>
          </w:tcPr>
          <w:p w14:paraId="151E7F23" w14:textId="77777777" w:rsidR="00BD415C" w:rsidRPr="00BD415C" w:rsidRDefault="00BD415C" w:rsidP="00BD415C">
            <w:pPr>
              <w:pStyle w:val="Source"/>
              <w:spacing w:before="0" w:after="0"/>
              <w:rPr>
                <w:sz w:val="2"/>
                <w:szCs w:val="2"/>
              </w:rPr>
            </w:pPr>
          </w:p>
        </w:tc>
        <w:tc>
          <w:tcPr>
            <w:tcW w:w="2020" w:type="dxa"/>
            <w:noWrap/>
            <w:hideMark/>
          </w:tcPr>
          <w:p w14:paraId="4E000F45" w14:textId="77777777" w:rsidR="00BD415C" w:rsidRPr="00BD415C" w:rsidRDefault="00BD415C" w:rsidP="00BD415C">
            <w:pPr>
              <w:pStyle w:val="Source"/>
              <w:spacing w:before="0" w:after="0"/>
              <w:rPr>
                <w:sz w:val="2"/>
                <w:szCs w:val="2"/>
              </w:rPr>
            </w:pPr>
            <w:r w:rsidRPr="00BD415C">
              <w:rPr>
                <w:sz w:val="2"/>
                <w:szCs w:val="2"/>
              </w:rPr>
              <w:t>3%</w:t>
            </w:r>
          </w:p>
        </w:tc>
        <w:tc>
          <w:tcPr>
            <w:tcW w:w="2480" w:type="dxa"/>
            <w:noWrap/>
            <w:hideMark/>
          </w:tcPr>
          <w:p w14:paraId="7356B4B0" w14:textId="77777777" w:rsidR="00BD415C" w:rsidRPr="00BD415C" w:rsidRDefault="00BD415C" w:rsidP="00BD415C">
            <w:pPr>
              <w:pStyle w:val="Source"/>
              <w:spacing w:before="0" w:after="0"/>
              <w:rPr>
                <w:sz w:val="2"/>
                <w:szCs w:val="2"/>
              </w:rPr>
            </w:pPr>
          </w:p>
        </w:tc>
      </w:tr>
      <w:tr w:rsidR="00BD415C" w:rsidRPr="00BD415C" w14:paraId="1B675B3E" w14:textId="77777777" w:rsidTr="00BD415C">
        <w:trPr>
          <w:trHeight w:val="20"/>
          <w:jc w:val="center"/>
        </w:trPr>
        <w:tc>
          <w:tcPr>
            <w:tcW w:w="3840" w:type="dxa"/>
            <w:noWrap/>
            <w:hideMark/>
          </w:tcPr>
          <w:p w14:paraId="2B922DB1" w14:textId="77777777" w:rsidR="00BD415C" w:rsidRPr="00BD415C" w:rsidRDefault="00BD415C" w:rsidP="00BD415C">
            <w:pPr>
              <w:pStyle w:val="Source"/>
              <w:spacing w:before="0" w:after="0"/>
              <w:rPr>
                <w:sz w:val="2"/>
                <w:szCs w:val="2"/>
              </w:rPr>
            </w:pPr>
          </w:p>
        </w:tc>
        <w:tc>
          <w:tcPr>
            <w:tcW w:w="6140" w:type="dxa"/>
            <w:gridSpan w:val="2"/>
            <w:noWrap/>
            <w:hideMark/>
          </w:tcPr>
          <w:p w14:paraId="21EF9C4B" w14:textId="77777777" w:rsidR="00BD415C" w:rsidRPr="00BD415C" w:rsidRDefault="00BD415C" w:rsidP="00BD415C">
            <w:pPr>
              <w:pStyle w:val="Source"/>
              <w:spacing w:before="0" w:after="0"/>
              <w:rPr>
                <w:sz w:val="2"/>
                <w:szCs w:val="2"/>
              </w:rPr>
            </w:pPr>
            <w:r w:rsidRPr="00BD415C">
              <w:rPr>
                <w:sz w:val="2"/>
                <w:szCs w:val="2"/>
              </w:rPr>
              <w:t>School Teachers nfd</w:t>
            </w:r>
          </w:p>
        </w:tc>
        <w:tc>
          <w:tcPr>
            <w:tcW w:w="2020" w:type="dxa"/>
            <w:noWrap/>
            <w:hideMark/>
          </w:tcPr>
          <w:p w14:paraId="004BBD8B" w14:textId="77777777" w:rsidR="00BD415C" w:rsidRPr="00BD415C" w:rsidRDefault="00BD415C" w:rsidP="00BD415C">
            <w:pPr>
              <w:pStyle w:val="Source"/>
              <w:spacing w:before="0" w:after="0"/>
              <w:rPr>
                <w:sz w:val="2"/>
                <w:szCs w:val="2"/>
              </w:rPr>
            </w:pPr>
            <w:r w:rsidRPr="00BD415C">
              <w:rPr>
                <w:sz w:val="2"/>
                <w:szCs w:val="2"/>
              </w:rPr>
              <w:t>2%</w:t>
            </w:r>
          </w:p>
        </w:tc>
        <w:tc>
          <w:tcPr>
            <w:tcW w:w="2480" w:type="dxa"/>
            <w:noWrap/>
            <w:hideMark/>
          </w:tcPr>
          <w:p w14:paraId="74B33E3B" w14:textId="77777777" w:rsidR="00BD415C" w:rsidRPr="00BD415C" w:rsidRDefault="00BD415C" w:rsidP="00BD415C">
            <w:pPr>
              <w:pStyle w:val="Source"/>
              <w:spacing w:before="0" w:after="0"/>
              <w:rPr>
                <w:sz w:val="2"/>
                <w:szCs w:val="2"/>
              </w:rPr>
            </w:pPr>
          </w:p>
        </w:tc>
      </w:tr>
      <w:tr w:rsidR="00BD415C" w:rsidRPr="00BD415C" w14:paraId="7F75730D" w14:textId="77777777" w:rsidTr="00BD415C">
        <w:trPr>
          <w:trHeight w:val="20"/>
          <w:jc w:val="center"/>
        </w:trPr>
        <w:tc>
          <w:tcPr>
            <w:tcW w:w="3840" w:type="dxa"/>
            <w:noWrap/>
            <w:hideMark/>
          </w:tcPr>
          <w:p w14:paraId="67241A7C" w14:textId="77777777" w:rsidR="00BD415C" w:rsidRPr="00BD415C" w:rsidRDefault="00BD415C" w:rsidP="00BD415C">
            <w:pPr>
              <w:pStyle w:val="Source"/>
              <w:spacing w:before="0" w:after="0"/>
              <w:rPr>
                <w:sz w:val="2"/>
                <w:szCs w:val="2"/>
              </w:rPr>
            </w:pPr>
          </w:p>
        </w:tc>
        <w:tc>
          <w:tcPr>
            <w:tcW w:w="4720" w:type="dxa"/>
            <w:noWrap/>
            <w:hideMark/>
          </w:tcPr>
          <w:p w14:paraId="6F18F364" w14:textId="77777777" w:rsidR="00BD415C" w:rsidRPr="00BD415C" w:rsidRDefault="00BD415C" w:rsidP="00BD415C">
            <w:pPr>
              <w:pStyle w:val="Source"/>
              <w:spacing w:before="0" w:after="0"/>
              <w:rPr>
                <w:sz w:val="2"/>
                <w:szCs w:val="2"/>
              </w:rPr>
            </w:pPr>
            <w:r w:rsidRPr="00BD415C">
              <w:rPr>
                <w:sz w:val="2"/>
                <w:szCs w:val="2"/>
              </w:rPr>
              <w:t>Child Care Centre Manager</w:t>
            </w:r>
          </w:p>
        </w:tc>
        <w:tc>
          <w:tcPr>
            <w:tcW w:w="1420" w:type="dxa"/>
            <w:noWrap/>
            <w:hideMark/>
          </w:tcPr>
          <w:p w14:paraId="2B3E3632" w14:textId="77777777" w:rsidR="00BD415C" w:rsidRPr="00BD415C" w:rsidRDefault="00BD415C" w:rsidP="00BD415C">
            <w:pPr>
              <w:pStyle w:val="Source"/>
              <w:spacing w:before="0" w:after="0"/>
              <w:rPr>
                <w:sz w:val="2"/>
                <w:szCs w:val="2"/>
              </w:rPr>
            </w:pPr>
            <w:r w:rsidRPr="00BD415C">
              <w:rPr>
                <w:sz w:val="2"/>
                <w:szCs w:val="2"/>
              </w:rPr>
              <w:t>2%</w:t>
            </w:r>
          </w:p>
        </w:tc>
        <w:tc>
          <w:tcPr>
            <w:tcW w:w="2020" w:type="dxa"/>
            <w:noWrap/>
            <w:hideMark/>
          </w:tcPr>
          <w:p w14:paraId="0CB1E12D" w14:textId="77777777" w:rsidR="00BD415C" w:rsidRPr="00BD415C" w:rsidRDefault="00BD415C" w:rsidP="00BD415C">
            <w:pPr>
              <w:pStyle w:val="Source"/>
              <w:spacing w:before="0" w:after="0"/>
              <w:rPr>
                <w:sz w:val="2"/>
                <w:szCs w:val="2"/>
              </w:rPr>
            </w:pPr>
          </w:p>
        </w:tc>
        <w:tc>
          <w:tcPr>
            <w:tcW w:w="2480" w:type="dxa"/>
            <w:noWrap/>
            <w:hideMark/>
          </w:tcPr>
          <w:p w14:paraId="1F1839FD" w14:textId="77777777" w:rsidR="00BD415C" w:rsidRPr="00BD415C" w:rsidRDefault="00BD415C" w:rsidP="00BD415C">
            <w:pPr>
              <w:pStyle w:val="Source"/>
              <w:spacing w:before="0" w:after="0"/>
              <w:rPr>
                <w:sz w:val="2"/>
                <w:szCs w:val="2"/>
              </w:rPr>
            </w:pPr>
          </w:p>
        </w:tc>
      </w:tr>
      <w:tr w:rsidR="00BD415C" w:rsidRPr="00BD415C" w14:paraId="4F4075FF" w14:textId="77777777" w:rsidTr="00BD415C">
        <w:trPr>
          <w:trHeight w:val="20"/>
          <w:jc w:val="center"/>
        </w:trPr>
        <w:tc>
          <w:tcPr>
            <w:tcW w:w="3840" w:type="dxa"/>
            <w:noWrap/>
            <w:hideMark/>
          </w:tcPr>
          <w:p w14:paraId="57CBB940" w14:textId="77777777" w:rsidR="00BD415C" w:rsidRPr="00BD415C" w:rsidRDefault="00BD415C" w:rsidP="00BD415C">
            <w:pPr>
              <w:pStyle w:val="Source"/>
              <w:spacing w:before="0" w:after="0"/>
              <w:rPr>
                <w:sz w:val="2"/>
                <w:szCs w:val="2"/>
              </w:rPr>
            </w:pPr>
          </w:p>
        </w:tc>
        <w:tc>
          <w:tcPr>
            <w:tcW w:w="4720" w:type="dxa"/>
            <w:noWrap/>
            <w:hideMark/>
          </w:tcPr>
          <w:p w14:paraId="3D8EAC15" w14:textId="77777777" w:rsidR="00BD415C" w:rsidRPr="00BD415C" w:rsidRDefault="00BD415C" w:rsidP="00BD415C">
            <w:pPr>
              <w:pStyle w:val="Source"/>
              <w:spacing w:before="0" w:after="0"/>
              <w:rPr>
                <w:sz w:val="2"/>
                <w:szCs w:val="2"/>
              </w:rPr>
            </w:pPr>
            <w:r w:rsidRPr="00BD415C">
              <w:rPr>
                <w:sz w:val="2"/>
                <w:szCs w:val="2"/>
              </w:rPr>
              <w:t>Out of School Hours Care Worker</w:t>
            </w:r>
          </w:p>
        </w:tc>
        <w:tc>
          <w:tcPr>
            <w:tcW w:w="1420" w:type="dxa"/>
            <w:noWrap/>
            <w:hideMark/>
          </w:tcPr>
          <w:p w14:paraId="256C87AF" w14:textId="77777777" w:rsidR="00BD415C" w:rsidRPr="00BD415C" w:rsidRDefault="00BD415C" w:rsidP="00BD415C">
            <w:pPr>
              <w:pStyle w:val="Source"/>
              <w:spacing w:before="0" w:after="0"/>
              <w:rPr>
                <w:sz w:val="2"/>
                <w:szCs w:val="2"/>
              </w:rPr>
            </w:pPr>
            <w:r w:rsidRPr="00BD415C">
              <w:rPr>
                <w:sz w:val="2"/>
                <w:szCs w:val="2"/>
              </w:rPr>
              <w:t>1%</w:t>
            </w:r>
          </w:p>
        </w:tc>
        <w:tc>
          <w:tcPr>
            <w:tcW w:w="2020" w:type="dxa"/>
            <w:noWrap/>
            <w:hideMark/>
          </w:tcPr>
          <w:p w14:paraId="4F9E072F" w14:textId="77777777" w:rsidR="00BD415C" w:rsidRPr="00BD415C" w:rsidRDefault="00BD415C" w:rsidP="00BD415C">
            <w:pPr>
              <w:pStyle w:val="Source"/>
              <w:spacing w:before="0" w:after="0"/>
              <w:rPr>
                <w:sz w:val="2"/>
                <w:szCs w:val="2"/>
              </w:rPr>
            </w:pPr>
          </w:p>
        </w:tc>
        <w:tc>
          <w:tcPr>
            <w:tcW w:w="2480" w:type="dxa"/>
            <w:noWrap/>
            <w:hideMark/>
          </w:tcPr>
          <w:p w14:paraId="7C868244" w14:textId="77777777" w:rsidR="00BD415C" w:rsidRPr="00BD415C" w:rsidRDefault="00BD415C" w:rsidP="00BD415C">
            <w:pPr>
              <w:pStyle w:val="Source"/>
              <w:spacing w:before="0" w:after="0"/>
              <w:rPr>
                <w:sz w:val="2"/>
                <w:szCs w:val="2"/>
              </w:rPr>
            </w:pPr>
          </w:p>
        </w:tc>
      </w:tr>
      <w:tr w:rsidR="00BD415C" w:rsidRPr="00BD415C" w14:paraId="217FF313" w14:textId="77777777" w:rsidTr="00BD415C">
        <w:trPr>
          <w:trHeight w:val="20"/>
          <w:jc w:val="center"/>
        </w:trPr>
        <w:tc>
          <w:tcPr>
            <w:tcW w:w="3840" w:type="dxa"/>
            <w:hideMark/>
          </w:tcPr>
          <w:p w14:paraId="76FB84E2" w14:textId="77777777" w:rsidR="00BD415C" w:rsidRPr="00BD415C" w:rsidRDefault="00BD415C" w:rsidP="00BD415C">
            <w:pPr>
              <w:pStyle w:val="Source"/>
              <w:spacing w:before="0" w:after="0"/>
              <w:rPr>
                <w:sz w:val="2"/>
                <w:szCs w:val="2"/>
              </w:rPr>
            </w:pPr>
          </w:p>
        </w:tc>
        <w:tc>
          <w:tcPr>
            <w:tcW w:w="4720" w:type="dxa"/>
            <w:hideMark/>
          </w:tcPr>
          <w:p w14:paraId="2A25DCB8" w14:textId="77777777" w:rsidR="00BD415C" w:rsidRPr="00BD415C" w:rsidRDefault="00BD415C" w:rsidP="00BD415C">
            <w:pPr>
              <w:pStyle w:val="Source"/>
              <w:spacing w:before="0" w:after="0"/>
              <w:rPr>
                <w:sz w:val="2"/>
                <w:szCs w:val="2"/>
              </w:rPr>
            </w:pPr>
          </w:p>
        </w:tc>
        <w:tc>
          <w:tcPr>
            <w:tcW w:w="1420" w:type="dxa"/>
            <w:noWrap/>
            <w:hideMark/>
          </w:tcPr>
          <w:p w14:paraId="09915A2F" w14:textId="77777777" w:rsidR="00BD415C" w:rsidRPr="00BD415C" w:rsidRDefault="00BD415C" w:rsidP="00BD415C">
            <w:pPr>
              <w:pStyle w:val="Source"/>
              <w:spacing w:before="0" w:after="0"/>
              <w:rPr>
                <w:b/>
                <w:bCs/>
                <w:sz w:val="2"/>
                <w:szCs w:val="2"/>
              </w:rPr>
            </w:pPr>
            <w:r w:rsidRPr="00BD415C">
              <w:rPr>
                <w:b/>
                <w:bCs/>
                <w:sz w:val="2"/>
                <w:szCs w:val="2"/>
              </w:rPr>
              <w:t>Other ECEC</w:t>
            </w:r>
          </w:p>
        </w:tc>
        <w:tc>
          <w:tcPr>
            <w:tcW w:w="2020" w:type="dxa"/>
            <w:noWrap/>
            <w:hideMark/>
          </w:tcPr>
          <w:p w14:paraId="283D80A9" w14:textId="77777777" w:rsidR="00BD415C" w:rsidRPr="00BD415C" w:rsidRDefault="00BD415C" w:rsidP="00BD415C">
            <w:pPr>
              <w:pStyle w:val="Source"/>
              <w:spacing w:before="0" w:after="0"/>
              <w:rPr>
                <w:b/>
                <w:bCs/>
                <w:sz w:val="2"/>
                <w:szCs w:val="2"/>
              </w:rPr>
            </w:pPr>
            <w:r w:rsidRPr="00BD415C">
              <w:rPr>
                <w:b/>
                <w:bCs/>
                <w:sz w:val="2"/>
                <w:szCs w:val="2"/>
              </w:rPr>
              <w:t>Other Occupation</w:t>
            </w:r>
          </w:p>
        </w:tc>
        <w:tc>
          <w:tcPr>
            <w:tcW w:w="2480" w:type="dxa"/>
            <w:noWrap/>
            <w:hideMark/>
          </w:tcPr>
          <w:p w14:paraId="5A7DA717" w14:textId="77777777" w:rsidR="00BD415C" w:rsidRPr="00BD415C" w:rsidRDefault="00BD415C" w:rsidP="00BD415C">
            <w:pPr>
              <w:pStyle w:val="Source"/>
              <w:spacing w:before="0" w:after="0"/>
              <w:rPr>
                <w:b/>
                <w:bCs/>
                <w:sz w:val="2"/>
                <w:szCs w:val="2"/>
              </w:rPr>
            </w:pPr>
            <w:r w:rsidRPr="00BD415C">
              <w:rPr>
                <w:b/>
                <w:bCs/>
                <w:sz w:val="2"/>
                <w:szCs w:val="2"/>
              </w:rPr>
              <w:t>No return or unknown</w:t>
            </w:r>
          </w:p>
        </w:tc>
      </w:tr>
      <w:tr w:rsidR="00BD415C" w:rsidRPr="00BD415C" w14:paraId="3DAF83A2" w14:textId="77777777" w:rsidTr="00BD415C">
        <w:trPr>
          <w:trHeight w:val="20"/>
          <w:jc w:val="center"/>
        </w:trPr>
        <w:tc>
          <w:tcPr>
            <w:tcW w:w="3840" w:type="dxa"/>
            <w:noWrap/>
            <w:hideMark/>
          </w:tcPr>
          <w:p w14:paraId="449CF1F3" w14:textId="77777777" w:rsidR="00BD415C" w:rsidRPr="00BD415C" w:rsidRDefault="00BD415C" w:rsidP="00BD415C">
            <w:pPr>
              <w:pStyle w:val="Source"/>
              <w:spacing w:before="0" w:after="0"/>
              <w:rPr>
                <w:b/>
                <w:bCs/>
                <w:sz w:val="2"/>
                <w:szCs w:val="2"/>
              </w:rPr>
            </w:pPr>
            <w:r w:rsidRPr="00BD415C">
              <w:rPr>
                <w:b/>
                <w:bCs/>
                <w:sz w:val="2"/>
                <w:szCs w:val="2"/>
              </w:rPr>
              <w:t>Child Care Centre Manager</w:t>
            </w:r>
          </w:p>
        </w:tc>
        <w:tc>
          <w:tcPr>
            <w:tcW w:w="4720" w:type="dxa"/>
            <w:noWrap/>
            <w:hideMark/>
          </w:tcPr>
          <w:p w14:paraId="53FACD25" w14:textId="77777777" w:rsidR="00BD415C" w:rsidRPr="00BD415C" w:rsidRDefault="00BD415C" w:rsidP="00BD415C">
            <w:pPr>
              <w:pStyle w:val="Source"/>
              <w:spacing w:before="0" w:after="0"/>
              <w:rPr>
                <w:sz w:val="2"/>
                <w:szCs w:val="2"/>
              </w:rPr>
            </w:pPr>
            <w:r w:rsidRPr="00BD415C">
              <w:rPr>
                <w:sz w:val="2"/>
                <w:szCs w:val="2"/>
              </w:rPr>
              <w:t>Child Care Worker</w:t>
            </w:r>
          </w:p>
        </w:tc>
        <w:tc>
          <w:tcPr>
            <w:tcW w:w="1420" w:type="dxa"/>
            <w:noWrap/>
            <w:hideMark/>
          </w:tcPr>
          <w:p w14:paraId="579CE46C" w14:textId="77777777" w:rsidR="00BD415C" w:rsidRPr="00BD415C" w:rsidRDefault="00BD415C" w:rsidP="00BD415C">
            <w:pPr>
              <w:pStyle w:val="Source"/>
              <w:spacing w:before="0" w:after="0"/>
              <w:rPr>
                <w:sz w:val="2"/>
                <w:szCs w:val="2"/>
              </w:rPr>
            </w:pPr>
            <w:r w:rsidRPr="00BD415C">
              <w:rPr>
                <w:sz w:val="2"/>
                <w:szCs w:val="2"/>
              </w:rPr>
              <w:t>51.2%</w:t>
            </w:r>
          </w:p>
        </w:tc>
        <w:tc>
          <w:tcPr>
            <w:tcW w:w="2020" w:type="dxa"/>
            <w:noWrap/>
            <w:hideMark/>
          </w:tcPr>
          <w:p w14:paraId="38F3F739" w14:textId="77777777" w:rsidR="00BD415C" w:rsidRPr="00BD415C" w:rsidRDefault="00BD415C" w:rsidP="00BD415C">
            <w:pPr>
              <w:pStyle w:val="Source"/>
              <w:spacing w:before="0" w:after="0"/>
              <w:rPr>
                <w:sz w:val="2"/>
                <w:szCs w:val="2"/>
              </w:rPr>
            </w:pPr>
          </w:p>
        </w:tc>
        <w:tc>
          <w:tcPr>
            <w:tcW w:w="2480" w:type="dxa"/>
            <w:noWrap/>
            <w:hideMark/>
          </w:tcPr>
          <w:p w14:paraId="02602672" w14:textId="77777777" w:rsidR="00BD415C" w:rsidRPr="00BD415C" w:rsidRDefault="00BD415C" w:rsidP="00BD415C">
            <w:pPr>
              <w:pStyle w:val="Source"/>
              <w:spacing w:before="0" w:after="0"/>
              <w:rPr>
                <w:sz w:val="2"/>
                <w:szCs w:val="2"/>
              </w:rPr>
            </w:pPr>
          </w:p>
        </w:tc>
      </w:tr>
      <w:tr w:rsidR="00BD415C" w:rsidRPr="00BD415C" w14:paraId="541642F8" w14:textId="77777777" w:rsidTr="00BD415C">
        <w:trPr>
          <w:trHeight w:val="20"/>
          <w:jc w:val="center"/>
        </w:trPr>
        <w:tc>
          <w:tcPr>
            <w:tcW w:w="3840" w:type="dxa"/>
            <w:noWrap/>
            <w:hideMark/>
          </w:tcPr>
          <w:p w14:paraId="1159BBBE" w14:textId="77777777" w:rsidR="00BD415C" w:rsidRPr="00BD415C" w:rsidRDefault="00BD415C" w:rsidP="00BD415C">
            <w:pPr>
              <w:pStyle w:val="Source"/>
              <w:spacing w:before="0" w:after="0"/>
              <w:rPr>
                <w:sz w:val="2"/>
                <w:szCs w:val="2"/>
              </w:rPr>
            </w:pPr>
          </w:p>
        </w:tc>
        <w:tc>
          <w:tcPr>
            <w:tcW w:w="4720" w:type="dxa"/>
            <w:noWrap/>
            <w:hideMark/>
          </w:tcPr>
          <w:p w14:paraId="3A8422FE" w14:textId="77777777" w:rsidR="00BD415C" w:rsidRPr="00BD415C" w:rsidRDefault="00BD415C" w:rsidP="00BD415C">
            <w:pPr>
              <w:pStyle w:val="Source"/>
              <w:spacing w:before="0" w:after="0"/>
              <w:rPr>
                <w:sz w:val="2"/>
                <w:szCs w:val="2"/>
              </w:rPr>
            </w:pPr>
            <w:r w:rsidRPr="00BD415C">
              <w:rPr>
                <w:sz w:val="2"/>
                <w:szCs w:val="2"/>
              </w:rPr>
              <w:t>No tax return</w:t>
            </w:r>
          </w:p>
        </w:tc>
        <w:tc>
          <w:tcPr>
            <w:tcW w:w="1420" w:type="dxa"/>
            <w:noWrap/>
            <w:hideMark/>
          </w:tcPr>
          <w:p w14:paraId="7A3F423C" w14:textId="77777777" w:rsidR="00BD415C" w:rsidRPr="00BD415C" w:rsidRDefault="00BD415C" w:rsidP="00BD415C">
            <w:pPr>
              <w:pStyle w:val="Source"/>
              <w:spacing w:before="0" w:after="0"/>
              <w:rPr>
                <w:sz w:val="2"/>
                <w:szCs w:val="2"/>
              </w:rPr>
            </w:pPr>
          </w:p>
        </w:tc>
        <w:tc>
          <w:tcPr>
            <w:tcW w:w="2020" w:type="dxa"/>
            <w:noWrap/>
            <w:hideMark/>
          </w:tcPr>
          <w:p w14:paraId="67DD0170" w14:textId="77777777" w:rsidR="00BD415C" w:rsidRPr="00BD415C" w:rsidRDefault="00BD415C" w:rsidP="00BD415C">
            <w:pPr>
              <w:pStyle w:val="Source"/>
              <w:spacing w:before="0" w:after="0"/>
              <w:rPr>
                <w:sz w:val="2"/>
                <w:szCs w:val="2"/>
              </w:rPr>
            </w:pPr>
          </w:p>
        </w:tc>
        <w:tc>
          <w:tcPr>
            <w:tcW w:w="2480" w:type="dxa"/>
            <w:noWrap/>
            <w:hideMark/>
          </w:tcPr>
          <w:p w14:paraId="248D1974" w14:textId="77777777" w:rsidR="00BD415C" w:rsidRPr="00BD415C" w:rsidRDefault="00BD415C" w:rsidP="00BD415C">
            <w:pPr>
              <w:pStyle w:val="Source"/>
              <w:spacing w:before="0" w:after="0"/>
              <w:rPr>
                <w:sz w:val="2"/>
                <w:szCs w:val="2"/>
              </w:rPr>
            </w:pPr>
            <w:r w:rsidRPr="00BD415C">
              <w:rPr>
                <w:sz w:val="2"/>
                <w:szCs w:val="2"/>
              </w:rPr>
              <w:t>16.4%</w:t>
            </w:r>
          </w:p>
        </w:tc>
      </w:tr>
      <w:tr w:rsidR="00BD415C" w:rsidRPr="00BD415C" w14:paraId="38A42448" w14:textId="77777777" w:rsidTr="00BD415C">
        <w:trPr>
          <w:trHeight w:val="20"/>
          <w:jc w:val="center"/>
        </w:trPr>
        <w:tc>
          <w:tcPr>
            <w:tcW w:w="3840" w:type="dxa"/>
            <w:noWrap/>
            <w:hideMark/>
          </w:tcPr>
          <w:p w14:paraId="7513F709" w14:textId="77777777" w:rsidR="00BD415C" w:rsidRPr="00BD415C" w:rsidRDefault="00BD415C" w:rsidP="00BD415C">
            <w:pPr>
              <w:pStyle w:val="Source"/>
              <w:spacing w:before="0" w:after="0"/>
              <w:rPr>
                <w:sz w:val="2"/>
                <w:szCs w:val="2"/>
              </w:rPr>
            </w:pPr>
          </w:p>
        </w:tc>
        <w:tc>
          <w:tcPr>
            <w:tcW w:w="4720" w:type="dxa"/>
            <w:noWrap/>
            <w:hideMark/>
          </w:tcPr>
          <w:p w14:paraId="19F91766" w14:textId="77777777" w:rsidR="00BD415C" w:rsidRPr="00BD415C" w:rsidRDefault="00BD415C" w:rsidP="00BD415C">
            <w:pPr>
              <w:pStyle w:val="Source"/>
              <w:spacing w:before="0" w:after="0"/>
              <w:rPr>
                <w:sz w:val="2"/>
                <w:szCs w:val="2"/>
              </w:rPr>
            </w:pPr>
            <w:r w:rsidRPr="00BD415C">
              <w:rPr>
                <w:sz w:val="2"/>
                <w:szCs w:val="2"/>
              </w:rPr>
              <w:t>Unknown</w:t>
            </w:r>
          </w:p>
        </w:tc>
        <w:tc>
          <w:tcPr>
            <w:tcW w:w="1420" w:type="dxa"/>
            <w:noWrap/>
            <w:hideMark/>
          </w:tcPr>
          <w:p w14:paraId="040352BD" w14:textId="77777777" w:rsidR="00BD415C" w:rsidRPr="00BD415C" w:rsidRDefault="00BD415C" w:rsidP="00BD415C">
            <w:pPr>
              <w:pStyle w:val="Source"/>
              <w:spacing w:before="0" w:after="0"/>
              <w:rPr>
                <w:sz w:val="2"/>
                <w:szCs w:val="2"/>
              </w:rPr>
            </w:pPr>
          </w:p>
        </w:tc>
        <w:tc>
          <w:tcPr>
            <w:tcW w:w="2020" w:type="dxa"/>
            <w:noWrap/>
            <w:hideMark/>
          </w:tcPr>
          <w:p w14:paraId="0E89D65C" w14:textId="77777777" w:rsidR="00BD415C" w:rsidRPr="00BD415C" w:rsidRDefault="00BD415C" w:rsidP="00BD415C">
            <w:pPr>
              <w:pStyle w:val="Source"/>
              <w:spacing w:before="0" w:after="0"/>
              <w:rPr>
                <w:sz w:val="2"/>
                <w:szCs w:val="2"/>
              </w:rPr>
            </w:pPr>
          </w:p>
        </w:tc>
        <w:tc>
          <w:tcPr>
            <w:tcW w:w="2480" w:type="dxa"/>
            <w:noWrap/>
            <w:hideMark/>
          </w:tcPr>
          <w:p w14:paraId="58F135A7" w14:textId="77777777" w:rsidR="00BD415C" w:rsidRPr="00BD415C" w:rsidRDefault="00BD415C" w:rsidP="00BD415C">
            <w:pPr>
              <w:pStyle w:val="Source"/>
              <w:spacing w:before="0" w:after="0"/>
              <w:rPr>
                <w:sz w:val="2"/>
                <w:szCs w:val="2"/>
              </w:rPr>
            </w:pPr>
            <w:r w:rsidRPr="00BD415C">
              <w:rPr>
                <w:sz w:val="2"/>
                <w:szCs w:val="2"/>
              </w:rPr>
              <w:t>11.1%</w:t>
            </w:r>
          </w:p>
        </w:tc>
      </w:tr>
      <w:tr w:rsidR="00BD415C" w:rsidRPr="00BD415C" w14:paraId="47E41D8C" w14:textId="77777777" w:rsidTr="00BD415C">
        <w:trPr>
          <w:trHeight w:val="20"/>
          <w:jc w:val="center"/>
        </w:trPr>
        <w:tc>
          <w:tcPr>
            <w:tcW w:w="3840" w:type="dxa"/>
            <w:noWrap/>
            <w:hideMark/>
          </w:tcPr>
          <w:p w14:paraId="0C10A51E" w14:textId="77777777" w:rsidR="00BD415C" w:rsidRPr="00BD415C" w:rsidRDefault="00BD415C" w:rsidP="00BD415C">
            <w:pPr>
              <w:pStyle w:val="Source"/>
              <w:spacing w:before="0" w:after="0"/>
              <w:rPr>
                <w:sz w:val="2"/>
                <w:szCs w:val="2"/>
              </w:rPr>
            </w:pPr>
          </w:p>
        </w:tc>
        <w:tc>
          <w:tcPr>
            <w:tcW w:w="4720" w:type="dxa"/>
            <w:noWrap/>
            <w:hideMark/>
          </w:tcPr>
          <w:p w14:paraId="759B23E5" w14:textId="77777777" w:rsidR="00BD415C" w:rsidRPr="00BD415C" w:rsidRDefault="00BD415C" w:rsidP="00BD415C">
            <w:pPr>
              <w:pStyle w:val="Source"/>
              <w:spacing w:before="0" w:after="0"/>
              <w:rPr>
                <w:sz w:val="2"/>
                <w:szCs w:val="2"/>
              </w:rPr>
            </w:pPr>
            <w:r w:rsidRPr="00BD415C">
              <w:rPr>
                <w:sz w:val="2"/>
                <w:szCs w:val="2"/>
              </w:rPr>
              <w:t>Other occupations</w:t>
            </w:r>
          </w:p>
        </w:tc>
        <w:tc>
          <w:tcPr>
            <w:tcW w:w="1420" w:type="dxa"/>
            <w:noWrap/>
            <w:hideMark/>
          </w:tcPr>
          <w:p w14:paraId="5BBD0AA4" w14:textId="77777777" w:rsidR="00BD415C" w:rsidRPr="00BD415C" w:rsidRDefault="00BD415C" w:rsidP="00BD415C">
            <w:pPr>
              <w:pStyle w:val="Source"/>
              <w:spacing w:before="0" w:after="0"/>
              <w:rPr>
                <w:sz w:val="2"/>
                <w:szCs w:val="2"/>
              </w:rPr>
            </w:pPr>
          </w:p>
        </w:tc>
        <w:tc>
          <w:tcPr>
            <w:tcW w:w="2020" w:type="dxa"/>
            <w:noWrap/>
            <w:hideMark/>
          </w:tcPr>
          <w:p w14:paraId="7E4E188E" w14:textId="77777777" w:rsidR="00BD415C" w:rsidRPr="00BD415C" w:rsidRDefault="00BD415C" w:rsidP="00BD415C">
            <w:pPr>
              <w:pStyle w:val="Source"/>
              <w:spacing w:before="0" w:after="0"/>
              <w:rPr>
                <w:sz w:val="2"/>
                <w:szCs w:val="2"/>
              </w:rPr>
            </w:pPr>
            <w:r w:rsidRPr="00BD415C">
              <w:rPr>
                <w:sz w:val="2"/>
                <w:szCs w:val="2"/>
              </w:rPr>
              <w:t>8.3%</w:t>
            </w:r>
          </w:p>
        </w:tc>
        <w:tc>
          <w:tcPr>
            <w:tcW w:w="2480" w:type="dxa"/>
            <w:noWrap/>
            <w:hideMark/>
          </w:tcPr>
          <w:p w14:paraId="1510FDC5" w14:textId="77777777" w:rsidR="00BD415C" w:rsidRPr="00BD415C" w:rsidRDefault="00BD415C" w:rsidP="00BD415C">
            <w:pPr>
              <w:pStyle w:val="Source"/>
              <w:spacing w:before="0" w:after="0"/>
              <w:rPr>
                <w:sz w:val="2"/>
                <w:szCs w:val="2"/>
              </w:rPr>
            </w:pPr>
          </w:p>
        </w:tc>
      </w:tr>
      <w:tr w:rsidR="00BD415C" w:rsidRPr="00BD415C" w14:paraId="279D420E" w14:textId="77777777" w:rsidTr="00BD415C">
        <w:trPr>
          <w:trHeight w:val="20"/>
          <w:jc w:val="center"/>
        </w:trPr>
        <w:tc>
          <w:tcPr>
            <w:tcW w:w="3840" w:type="dxa"/>
            <w:noWrap/>
            <w:hideMark/>
          </w:tcPr>
          <w:p w14:paraId="154E596E" w14:textId="77777777" w:rsidR="00BD415C" w:rsidRPr="00BD415C" w:rsidRDefault="00BD415C" w:rsidP="00BD415C">
            <w:pPr>
              <w:pStyle w:val="Source"/>
              <w:spacing w:before="0" w:after="0"/>
              <w:rPr>
                <w:sz w:val="2"/>
                <w:szCs w:val="2"/>
              </w:rPr>
            </w:pPr>
          </w:p>
        </w:tc>
        <w:tc>
          <w:tcPr>
            <w:tcW w:w="4720" w:type="dxa"/>
            <w:noWrap/>
            <w:hideMark/>
          </w:tcPr>
          <w:p w14:paraId="79C99511" w14:textId="77777777" w:rsidR="00BD415C" w:rsidRPr="00BD415C" w:rsidRDefault="00BD415C" w:rsidP="00BD415C">
            <w:pPr>
              <w:pStyle w:val="Source"/>
              <w:spacing w:before="0" w:after="0"/>
              <w:rPr>
                <w:sz w:val="2"/>
                <w:szCs w:val="2"/>
              </w:rPr>
            </w:pPr>
            <w:r w:rsidRPr="00BD415C">
              <w:rPr>
                <w:sz w:val="2"/>
                <w:szCs w:val="2"/>
              </w:rPr>
              <w:t>Early Childhood (Pre-primary School) Teacher</w:t>
            </w:r>
          </w:p>
        </w:tc>
        <w:tc>
          <w:tcPr>
            <w:tcW w:w="1420" w:type="dxa"/>
            <w:noWrap/>
            <w:hideMark/>
          </w:tcPr>
          <w:p w14:paraId="4568B1A6" w14:textId="77777777" w:rsidR="00BD415C" w:rsidRPr="00BD415C" w:rsidRDefault="00BD415C" w:rsidP="00BD415C">
            <w:pPr>
              <w:pStyle w:val="Source"/>
              <w:spacing w:before="0" w:after="0"/>
              <w:rPr>
                <w:sz w:val="2"/>
                <w:szCs w:val="2"/>
              </w:rPr>
            </w:pPr>
            <w:r w:rsidRPr="00BD415C">
              <w:rPr>
                <w:sz w:val="2"/>
                <w:szCs w:val="2"/>
              </w:rPr>
              <w:t>6.4%</w:t>
            </w:r>
          </w:p>
        </w:tc>
        <w:tc>
          <w:tcPr>
            <w:tcW w:w="2020" w:type="dxa"/>
            <w:noWrap/>
            <w:hideMark/>
          </w:tcPr>
          <w:p w14:paraId="5C740C8A" w14:textId="77777777" w:rsidR="00BD415C" w:rsidRPr="00BD415C" w:rsidRDefault="00BD415C" w:rsidP="00BD415C">
            <w:pPr>
              <w:pStyle w:val="Source"/>
              <w:spacing w:before="0" w:after="0"/>
              <w:rPr>
                <w:sz w:val="2"/>
                <w:szCs w:val="2"/>
              </w:rPr>
            </w:pPr>
          </w:p>
        </w:tc>
        <w:tc>
          <w:tcPr>
            <w:tcW w:w="2480" w:type="dxa"/>
            <w:noWrap/>
            <w:hideMark/>
          </w:tcPr>
          <w:p w14:paraId="6B11DECD" w14:textId="77777777" w:rsidR="00BD415C" w:rsidRPr="00BD415C" w:rsidRDefault="00BD415C" w:rsidP="00BD415C">
            <w:pPr>
              <w:pStyle w:val="Source"/>
              <w:spacing w:before="0" w:after="0"/>
              <w:rPr>
                <w:sz w:val="2"/>
                <w:szCs w:val="2"/>
              </w:rPr>
            </w:pPr>
          </w:p>
        </w:tc>
      </w:tr>
      <w:tr w:rsidR="00BD415C" w:rsidRPr="00BD415C" w14:paraId="6032A846" w14:textId="77777777" w:rsidTr="00BD415C">
        <w:trPr>
          <w:trHeight w:val="20"/>
          <w:jc w:val="center"/>
        </w:trPr>
        <w:tc>
          <w:tcPr>
            <w:tcW w:w="3840" w:type="dxa"/>
            <w:noWrap/>
            <w:hideMark/>
          </w:tcPr>
          <w:p w14:paraId="56FBD5FF" w14:textId="77777777" w:rsidR="00BD415C" w:rsidRPr="00BD415C" w:rsidRDefault="00BD415C" w:rsidP="00BD415C">
            <w:pPr>
              <w:pStyle w:val="Source"/>
              <w:spacing w:before="0" w:after="0"/>
              <w:rPr>
                <w:sz w:val="2"/>
                <w:szCs w:val="2"/>
              </w:rPr>
            </w:pPr>
          </w:p>
        </w:tc>
        <w:tc>
          <w:tcPr>
            <w:tcW w:w="6140" w:type="dxa"/>
            <w:gridSpan w:val="2"/>
            <w:noWrap/>
            <w:hideMark/>
          </w:tcPr>
          <w:p w14:paraId="164D7959" w14:textId="77777777" w:rsidR="00BD415C" w:rsidRPr="00BD415C" w:rsidRDefault="00BD415C" w:rsidP="00BD415C">
            <w:pPr>
              <w:pStyle w:val="Source"/>
              <w:spacing w:before="0" w:after="0"/>
              <w:rPr>
                <w:sz w:val="2"/>
                <w:szCs w:val="2"/>
              </w:rPr>
            </w:pPr>
            <w:r w:rsidRPr="00BD415C">
              <w:rPr>
                <w:sz w:val="2"/>
                <w:szCs w:val="2"/>
              </w:rPr>
              <w:t>Primary School Teacher</w:t>
            </w:r>
          </w:p>
        </w:tc>
        <w:tc>
          <w:tcPr>
            <w:tcW w:w="2020" w:type="dxa"/>
            <w:noWrap/>
            <w:hideMark/>
          </w:tcPr>
          <w:p w14:paraId="3534F96A" w14:textId="77777777" w:rsidR="00BD415C" w:rsidRPr="00BD415C" w:rsidRDefault="00BD415C" w:rsidP="00BD415C">
            <w:pPr>
              <w:pStyle w:val="Source"/>
              <w:spacing w:before="0" w:after="0"/>
              <w:rPr>
                <w:sz w:val="2"/>
                <w:szCs w:val="2"/>
              </w:rPr>
            </w:pPr>
            <w:r w:rsidRPr="00BD415C">
              <w:rPr>
                <w:sz w:val="2"/>
                <w:szCs w:val="2"/>
              </w:rPr>
              <w:t>4.0%</w:t>
            </w:r>
          </w:p>
        </w:tc>
        <w:tc>
          <w:tcPr>
            <w:tcW w:w="2480" w:type="dxa"/>
            <w:noWrap/>
            <w:hideMark/>
          </w:tcPr>
          <w:p w14:paraId="4C51262F" w14:textId="77777777" w:rsidR="00BD415C" w:rsidRPr="00BD415C" w:rsidRDefault="00BD415C" w:rsidP="00BD415C">
            <w:pPr>
              <w:pStyle w:val="Source"/>
              <w:spacing w:before="0" w:after="0"/>
              <w:rPr>
                <w:sz w:val="2"/>
                <w:szCs w:val="2"/>
              </w:rPr>
            </w:pPr>
          </w:p>
        </w:tc>
      </w:tr>
      <w:tr w:rsidR="00BD415C" w:rsidRPr="00BD415C" w14:paraId="6836EB08" w14:textId="77777777" w:rsidTr="00BD415C">
        <w:trPr>
          <w:trHeight w:val="20"/>
          <w:jc w:val="center"/>
        </w:trPr>
        <w:tc>
          <w:tcPr>
            <w:tcW w:w="3840" w:type="dxa"/>
            <w:noWrap/>
            <w:hideMark/>
          </w:tcPr>
          <w:p w14:paraId="126E5F0C" w14:textId="77777777" w:rsidR="00BD415C" w:rsidRPr="00BD415C" w:rsidRDefault="00BD415C" w:rsidP="00BD415C">
            <w:pPr>
              <w:pStyle w:val="Source"/>
              <w:spacing w:before="0" w:after="0"/>
              <w:rPr>
                <w:sz w:val="2"/>
                <w:szCs w:val="2"/>
              </w:rPr>
            </w:pPr>
          </w:p>
        </w:tc>
        <w:tc>
          <w:tcPr>
            <w:tcW w:w="4720" w:type="dxa"/>
            <w:noWrap/>
            <w:hideMark/>
          </w:tcPr>
          <w:p w14:paraId="2F410C21" w14:textId="77777777" w:rsidR="00BD415C" w:rsidRPr="00BD415C" w:rsidRDefault="00BD415C" w:rsidP="00BD415C">
            <w:pPr>
              <w:pStyle w:val="Source"/>
              <w:spacing w:before="0" w:after="0"/>
              <w:rPr>
                <w:sz w:val="2"/>
                <w:szCs w:val="2"/>
              </w:rPr>
            </w:pPr>
            <w:r w:rsidRPr="00BD415C">
              <w:rPr>
                <w:sz w:val="2"/>
                <w:szCs w:val="2"/>
              </w:rPr>
              <w:t>Out of School Hours Care Worker</w:t>
            </w:r>
          </w:p>
        </w:tc>
        <w:tc>
          <w:tcPr>
            <w:tcW w:w="1420" w:type="dxa"/>
            <w:noWrap/>
            <w:hideMark/>
          </w:tcPr>
          <w:p w14:paraId="6D7B0D60" w14:textId="77777777" w:rsidR="00BD415C" w:rsidRPr="00BD415C" w:rsidRDefault="00BD415C" w:rsidP="00BD415C">
            <w:pPr>
              <w:pStyle w:val="Source"/>
              <w:spacing w:before="0" w:after="0"/>
              <w:rPr>
                <w:sz w:val="2"/>
                <w:szCs w:val="2"/>
              </w:rPr>
            </w:pPr>
            <w:r w:rsidRPr="00BD415C">
              <w:rPr>
                <w:sz w:val="2"/>
                <w:szCs w:val="2"/>
              </w:rPr>
              <w:t>2.7%</w:t>
            </w:r>
          </w:p>
        </w:tc>
        <w:tc>
          <w:tcPr>
            <w:tcW w:w="2020" w:type="dxa"/>
            <w:noWrap/>
            <w:hideMark/>
          </w:tcPr>
          <w:p w14:paraId="24BD0F57" w14:textId="77777777" w:rsidR="00BD415C" w:rsidRPr="00BD415C" w:rsidRDefault="00BD415C" w:rsidP="00BD415C">
            <w:pPr>
              <w:pStyle w:val="Source"/>
              <w:spacing w:before="0" w:after="0"/>
              <w:rPr>
                <w:sz w:val="2"/>
                <w:szCs w:val="2"/>
              </w:rPr>
            </w:pPr>
          </w:p>
        </w:tc>
        <w:tc>
          <w:tcPr>
            <w:tcW w:w="2480" w:type="dxa"/>
            <w:noWrap/>
            <w:hideMark/>
          </w:tcPr>
          <w:p w14:paraId="04025300" w14:textId="77777777" w:rsidR="00BD415C" w:rsidRPr="00BD415C" w:rsidRDefault="00BD415C" w:rsidP="00BD415C">
            <w:pPr>
              <w:pStyle w:val="Source"/>
              <w:spacing w:before="0" w:after="0"/>
              <w:rPr>
                <w:sz w:val="2"/>
                <w:szCs w:val="2"/>
              </w:rPr>
            </w:pPr>
          </w:p>
        </w:tc>
      </w:tr>
    </w:tbl>
    <w:p w14:paraId="3EDEF606" w14:textId="77777777" w:rsidR="00BD415C" w:rsidRDefault="00BD415C" w:rsidP="00701210">
      <w:pPr>
        <w:pStyle w:val="Source"/>
      </w:pPr>
    </w:p>
    <w:p w14:paraId="25747C97" w14:textId="77777777" w:rsidR="00BD415C" w:rsidRDefault="00BD415C" w:rsidP="00701210">
      <w:pPr>
        <w:pStyle w:val="Source"/>
      </w:pPr>
    </w:p>
    <w:p w14:paraId="21B8EAEF" w14:textId="77777777" w:rsidR="00BD415C" w:rsidRDefault="00BD415C" w:rsidP="00701210">
      <w:pPr>
        <w:pStyle w:val="Source"/>
      </w:pPr>
    </w:p>
    <w:p w14:paraId="44255670" w14:textId="77777777" w:rsidR="00BD415C" w:rsidRDefault="00BD415C" w:rsidP="00701210">
      <w:pPr>
        <w:pStyle w:val="Source"/>
      </w:pPr>
    </w:p>
    <w:p w14:paraId="194BEF5C" w14:textId="77777777" w:rsidR="00BD415C" w:rsidRDefault="00BD415C" w:rsidP="00701210">
      <w:pPr>
        <w:pStyle w:val="Source"/>
      </w:pPr>
    </w:p>
    <w:p w14:paraId="22C03444" w14:textId="77777777" w:rsidR="00BD415C" w:rsidRDefault="00BD415C" w:rsidP="00701210">
      <w:pPr>
        <w:pStyle w:val="Source"/>
      </w:pPr>
    </w:p>
    <w:p w14:paraId="581B49BF" w14:textId="77777777" w:rsidR="00BD415C" w:rsidRDefault="00BD415C" w:rsidP="00701210">
      <w:pPr>
        <w:pStyle w:val="Source"/>
      </w:pPr>
    </w:p>
    <w:p w14:paraId="6BF79706" w14:textId="77777777" w:rsidR="00BD415C" w:rsidRDefault="00BD415C" w:rsidP="00701210">
      <w:pPr>
        <w:pStyle w:val="Source"/>
      </w:pPr>
    </w:p>
    <w:p w14:paraId="33FC6EAA" w14:textId="77777777" w:rsidR="00BD415C" w:rsidRDefault="00BD415C" w:rsidP="00701210">
      <w:pPr>
        <w:pStyle w:val="Source"/>
      </w:pPr>
    </w:p>
    <w:p w14:paraId="65748AA9" w14:textId="77777777" w:rsidR="00BD415C" w:rsidRDefault="00BD415C" w:rsidP="00701210">
      <w:pPr>
        <w:pStyle w:val="Source"/>
      </w:pPr>
    </w:p>
    <w:p w14:paraId="5029073D" w14:textId="77777777" w:rsidR="00BD415C" w:rsidRDefault="00BD415C" w:rsidP="00701210">
      <w:pPr>
        <w:pStyle w:val="Source"/>
      </w:pPr>
    </w:p>
    <w:p w14:paraId="27E924A4" w14:textId="77777777" w:rsidR="00BD415C" w:rsidRDefault="00BD415C" w:rsidP="00701210">
      <w:pPr>
        <w:pStyle w:val="Source"/>
      </w:pPr>
    </w:p>
    <w:p w14:paraId="552912B3" w14:textId="77777777" w:rsidR="00BD415C" w:rsidRDefault="00BD415C" w:rsidP="00701210">
      <w:pPr>
        <w:pStyle w:val="Source"/>
      </w:pPr>
    </w:p>
    <w:p w14:paraId="7CCD901B" w14:textId="77777777" w:rsidR="00BD415C" w:rsidRDefault="00BD415C" w:rsidP="00701210">
      <w:pPr>
        <w:pStyle w:val="Source"/>
      </w:pPr>
    </w:p>
    <w:p w14:paraId="283876CA" w14:textId="77777777" w:rsidR="00BD415C" w:rsidRDefault="00BD415C" w:rsidP="00701210">
      <w:pPr>
        <w:pStyle w:val="Source"/>
      </w:pPr>
    </w:p>
    <w:p w14:paraId="28B34018" w14:textId="77777777" w:rsidR="00BD415C" w:rsidRDefault="00BD415C" w:rsidP="00701210">
      <w:pPr>
        <w:pStyle w:val="Source"/>
      </w:pPr>
    </w:p>
    <w:p w14:paraId="6AA079A8" w14:textId="77777777" w:rsidR="00BD415C" w:rsidRDefault="00BD415C" w:rsidP="00701210">
      <w:pPr>
        <w:pStyle w:val="Source"/>
      </w:pPr>
    </w:p>
    <w:p w14:paraId="170256FF" w14:textId="77777777" w:rsidR="00BD415C" w:rsidRDefault="00BD415C" w:rsidP="00701210">
      <w:pPr>
        <w:pStyle w:val="Source"/>
      </w:pPr>
    </w:p>
    <w:p w14:paraId="7E7A7F65" w14:textId="77777777" w:rsidR="00BD415C" w:rsidRDefault="00BD415C" w:rsidP="00701210">
      <w:pPr>
        <w:pStyle w:val="Source"/>
      </w:pPr>
    </w:p>
    <w:p w14:paraId="2013B790" w14:textId="77777777" w:rsidR="00BD415C" w:rsidRDefault="00BD415C" w:rsidP="00701210">
      <w:pPr>
        <w:pStyle w:val="Source"/>
      </w:pPr>
    </w:p>
    <w:p w14:paraId="54C42549" w14:textId="77777777" w:rsidR="00BD415C" w:rsidRDefault="00BD415C" w:rsidP="00701210">
      <w:pPr>
        <w:pStyle w:val="Source"/>
      </w:pPr>
    </w:p>
    <w:p w14:paraId="74465BFF" w14:textId="77777777" w:rsidR="00BD415C" w:rsidRDefault="00BD415C" w:rsidP="00701210">
      <w:pPr>
        <w:pStyle w:val="Source"/>
      </w:pPr>
    </w:p>
    <w:p w14:paraId="34136AA6" w14:textId="77777777" w:rsidR="00BD415C" w:rsidRDefault="00BD415C" w:rsidP="00701210">
      <w:pPr>
        <w:pStyle w:val="Source"/>
      </w:pPr>
    </w:p>
    <w:p w14:paraId="5FD4C9C2" w14:textId="77777777" w:rsidR="00BD415C" w:rsidRDefault="00BD415C" w:rsidP="00701210">
      <w:pPr>
        <w:pStyle w:val="Source"/>
      </w:pPr>
    </w:p>
    <w:p w14:paraId="02D7BF50" w14:textId="77777777" w:rsidR="00BD415C" w:rsidRDefault="00BD415C" w:rsidP="00701210">
      <w:pPr>
        <w:pStyle w:val="Source"/>
      </w:pPr>
    </w:p>
    <w:p w14:paraId="22288C3A" w14:textId="77777777" w:rsidR="00BD415C" w:rsidRDefault="00BD415C" w:rsidP="00701210">
      <w:pPr>
        <w:pStyle w:val="Source"/>
      </w:pPr>
    </w:p>
    <w:p w14:paraId="58172CBF" w14:textId="77777777" w:rsidR="00BD415C" w:rsidRDefault="00BD415C" w:rsidP="00701210">
      <w:pPr>
        <w:pStyle w:val="Source"/>
      </w:pPr>
    </w:p>
    <w:p w14:paraId="399DA14B" w14:textId="77777777" w:rsidR="00BD415C" w:rsidRDefault="00BD415C" w:rsidP="00701210">
      <w:pPr>
        <w:pStyle w:val="Source"/>
      </w:pPr>
    </w:p>
    <w:p w14:paraId="439B4D7D" w14:textId="77777777" w:rsidR="00BD415C" w:rsidRDefault="00BD415C" w:rsidP="00701210">
      <w:pPr>
        <w:pStyle w:val="Source"/>
      </w:pPr>
    </w:p>
    <w:p w14:paraId="56CEEF67" w14:textId="77777777" w:rsidR="00BD415C" w:rsidRDefault="00BD415C" w:rsidP="00701210">
      <w:pPr>
        <w:pStyle w:val="Source"/>
      </w:pPr>
    </w:p>
    <w:p w14:paraId="67AF9B2E" w14:textId="77777777" w:rsidR="00BD415C" w:rsidRDefault="00BD415C" w:rsidP="00701210">
      <w:pPr>
        <w:pStyle w:val="Source"/>
      </w:pPr>
    </w:p>
    <w:p w14:paraId="165E0308" w14:textId="77777777" w:rsidR="00BD415C" w:rsidRDefault="00BD415C" w:rsidP="00701210">
      <w:pPr>
        <w:pStyle w:val="Source"/>
      </w:pPr>
    </w:p>
    <w:p w14:paraId="3492A76E" w14:textId="77777777" w:rsidR="00BD415C" w:rsidRDefault="00BD415C" w:rsidP="00701210">
      <w:pPr>
        <w:pStyle w:val="Source"/>
      </w:pPr>
    </w:p>
    <w:p w14:paraId="51DD0B14" w14:textId="2FA6FF08" w:rsidR="00F47B0F" w:rsidRPr="00F47B0F" w:rsidRDefault="00F47B0F" w:rsidP="00701210">
      <w:pPr>
        <w:pStyle w:val="Source"/>
        <w:rPr>
          <w:highlight w:val="lightGray"/>
        </w:rPr>
      </w:pPr>
      <w:r w:rsidRPr="00F47B0F">
        <w:t>Source: JSA (2023),</w:t>
      </w:r>
      <w:r w:rsidRPr="00F47B0F">
        <w:rPr>
          <w:noProof/>
        </w:rPr>
        <w:t xml:space="preserve"> </w:t>
      </w:r>
      <w:r w:rsidRPr="00F47B0F">
        <w:t>Data on Occupation Mobility</w:t>
      </w:r>
      <w:r w:rsidRPr="00F47B0F">
        <w:rPr>
          <w:highlight w:val="lightGray"/>
        </w:rPr>
        <w:br w:type="page"/>
      </w:r>
    </w:p>
    <w:p w14:paraId="27FEDBDA" w14:textId="668BB2B5" w:rsidR="00F47B0F" w:rsidRPr="00F47B0F" w:rsidRDefault="00BD415C" w:rsidP="00701210">
      <w:pPr>
        <w:pStyle w:val="Caption"/>
      </w:pPr>
      <w:bookmarkStart w:id="121" w:name="_Ref169159068"/>
      <w:bookmarkStart w:id="122" w:name="_Ref168061109"/>
      <w:r w:rsidRPr="00F47B0F">
        <w:rPr>
          <w:noProof/>
        </w:rPr>
        <w:lastRenderedPageBreak/>
        <w:drawing>
          <wp:anchor distT="0" distB="0" distL="114300" distR="114300" simplePos="0" relativeHeight="251718659" behindDoc="0" locked="0" layoutInCell="1" allowOverlap="1" wp14:anchorId="770C480F" wp14:editId="45559CE7">
            <wp:simplePos x="0" y="0"/>
            <wp:positionH relativeFrom="column">
              <wp:align>left</wp:align>
            </wp:positionH>
            <wp:positionV relativeFrom="paragraph">
              <wp:posOffset>257175</wp:posOffset>
            </wp:positionV>
            <wp:extent cx="5731200" cy="8031600"/>
            <wp:effectExtent l="0" t="0" r="3175" b="7620"/>
            <wp:wrapNone/>
            <wp:docPr id="1442606315"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606315" name="Picture 14">
                      <a:extLst>
                        <a:ext uri="{C183D7F6-B498-43B3-948B-1728B52AA6E4}">
                          <adec:decorative xmlns:adec="http://schemas.microsoft.com/office/drawing/2017/decorative" val="1"/>
                        </a:ext>
                      </a:extLst>
                    </pic:cNvPr>
                    <pic:cNvPicPr>
                      <a:picLocks noChangeAspect="1" noChangeArrowheads="1"/>
                    </pic:cNvPicPr>
                  </pic:nvPicPr>
                  <pic:blipFill>
                    <a:blip r:embed="rId102" cstate="screen">
                      <a:extLst>
                        <a:ext uri="{28A0092B-C50C-407E-A947-70E740481C1C}">
                          <a14:useLocalDpi xmlns:a14="http://schemas.microsoft.com/office/drawing/2010/main" val="0"/>
                        </a:ext>
                      </a:extLst>
                    </a:blip>
                    <a:srcRect/>
                    <a:stretch>
                      <a:fillRect/>
                    </a:stretch>
                  </pic:blipFill>
                  <pic:spPr bwMode="auto">
                    <a:xfrm>
                      <a:off x="0" y="0"/>
                      <a:ext cx="5731200" cy="803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7B0F" w:rsidRPr="00F47B0F">
        <w:t>Figure 2.</w:t>
      </w:r>
      <w:r w:rsidR="00F47B0F" w:rsidRPr="00F47B0F">
        <w:fldChar w:fldCharType="begin"/>
      </w:r>
      <w:r w:rsidR="00F47B0F" w:rsidRPr="00F47B0F">
        <w:instrText xml:space="preserve"> SEQ Figure \* ARABIC \s 1 </w:instrText>
      </w:r>
      <w:r w:rsidR="00F47B0F" w:rsidRPr="00F47B0F">
        <w:fldChar w:fldCharType="separate"/>
      </w:r>
      <w:r w:rsidR="005F18C1">
        <w:rPr>
          <w:noProof/>
        </w:rPr>
        <w:t>19</w:t>
      </w:r>
      <w:r w:rsidR="00F47B0F" w:rsidRPr="00F47B0F">
        <w:fldChar w:fldCharType="end"/>
      </w:r>
      <w:bookmarkEnd w:id="121"/>
      <w:r w:rsidR="00F47B0F" w:rsidRPr="00F47B0F">
        <w:t xml:space="preserve"> Occupational flows from ECEC occupations, average of FY2017-18 to FY2020-21</w:t>
      </w:r>
    </w:p>
    <w:bookmarkEnd w:id="122"/>
    <w:p w14:paraId="77450F03" w14:textId="315C2FAE" w:rsidR="00F47B0F" w:rsidRPr="00F47B0F" w:rsidRDefault="00F47B0F" w:rsidP="00F47B0F">
      <w:pPr>
        <w:jc w:val="right"/>
        <w:rPr>
          <w:highlight w:val="lightGray"/>
        </w:rPr>
      </w:pPr>
    </w:p>
    <w:tbl>
      <w:tblPr>
        <w:tblStyle w:val="Box"/>
        <w:tblW w:w="0" w:type="auto"/>
        <w:jc w:val="center"/>
        <w:tblLook w:val="04A0" w:firstRow="1" w:lastRow="0" w:firstColumn="1" w:lastColumn="0" w:noHBand="0" w:noVBand="1"/>
      </w:tblPr>
      <w:tblGrid>
        <w:gridCol w:w="2364"/>
        <w:gridCol w:w="2887"/>
        <w:gridCol w:w="930"/>
        <w:gridCol w:w="1286"/>
        <w:gridCol w:w="1559"/>
      </w:tblGrid>
      <w:tr w:rsidR="00BD415C" w:rsidRPr="00BD415C" w14:paraId="7A3CA265" w14:textId="77777777" w:rsidTr="00BD415C">
        <w:trPr>
          <w:trHeight w:val="20"/>
          <w:jc w:val="center"/>
        </w:trPr>
        <w:tc>
          <w:tcPr>
            <w:tcW w:w="3840" w:type="dxa"/>
            <w:hideMark/>
          </w:tcPr>
          <w:p w14:paraId="7AE11DA4" w14:textId="77777777" w:rsidR="00BD415C" w:rsidRPr="00BD415C" w:rsidRDefault="00BD415C" w:rsidP="00BD415C">
            <w:pPr>
              <w:pStyle w:val="Source"/>
              <w:spacing w:before="0" w:after="0"/>
              <w:rPr>
                <w:sz w:val="2"/>
                <w:szCs w:val="2"/>
              </w:rPr>
            </w:pPr>
          </w:p>
        </w:tc>
        <w:tc>
          <w:tcPr>
            <w:tcW w:w="4720" w:type="dxa"/>
            <w:hideMark/>
          </w:tcPr>
          <w:p w14:paraId="293B1D3B" w14:textId="77777777" w:rsidR="00BD415C" w:rsidRPr="00BD415C" w:rsidRDefault="00BD415C" w:rsidP="00BD415C">
            <w:pPr>
              <w:pStyle w:val="Source"/>
              <w:spacing w:before="0" w:after="0"/>
              <w:rPr>
                <w:sz w:val="2"/>
                <w:szCs w:val="2"/>
              </w:rPr>
            </w:pPr>
          </w:p>
        </w:tc>
        <w:tc>
          <w:tcPr>
            <w:tcW w:w="1420" w:type="dxa"/>
            <w:noWrap/>
            <w:hideMark/>
          </w:tcPr>
          <w:p w14:paraId="5BDD35A0" w14:textId="77777777" w:rsidR="00BD415C" w:rsidRPr="00BD415C" w:rsidRDefault="00BD415C" w:rsidP="00BD415C">
            <w:pPr>
              <w:pStyle w:val="Source"/>
              <w:spacing w:before="0" w:after="0"/>
              <w:rPr>
                <w:b/>
                <w:bCs/>
                <w:sz w:val="2"/>
                <w:szCs w:val="2"/>
              </w:rPr>
            </w:pPr>
            <w:r w:rsidRPr="00BD415C">
              <w:rPr>
                <w:b/>
                <w:bCs/>
                <w:sz w:val="2"/>
                <w:szCs w:val="2"/>
              </w:rPr>
              <w:t>Other ECEC</w:t>
            </w:r>
          </w:p>
        </w:tc>
        <w:tc>
          <w:tcPr>
            <w:tcW w:w="2020" w:type="dxa"/>
            <w:noWrap/>
            <w:hideMark/>
          </w:tcPr>
          <w:p w14:paraId="505F291E" w14:textId="77777777" w:rsidR="00BD415C" w:rsidRPr="00BD415C" w:rsidRDefault="00BD415C" w:rsidP="00BD415C">
            <w:pPr>
              <w:pStyle w:val="Source"/>
              <w:spacing w:before="0" w:after="0"/>
              <w:rPr>
                <w:b/>
                <w:bCs/>
                <w:sz w:val="2"/>
                <w:szCs w:val="2"/>
              </w:rPr>
            </w:pPr>
            <w:r w:rsidRPr="00BD415C">
              <w:rPr>
                <w:b/>
                <w:bCs/>
                <w:sz w:val="2"/>
                <w:szCs w:val="2"/>
              </w:rPr>
              <w:t>Other Occupation</w:t>
            </w:r>
          </w:p>
        </w:tc>
        <w:tc>
          <w:tcPr>
            <w:tcW w:w="2480" w:type="dxa"/>
            <w:noWrap/>
            <w:hideMark/>
          </w:tcPr>
          <w:p w14:paraId="6DB9569C" w14:textId="77777777" w:rsidR="00BD415C" w:rsidRPr="00BD415C" w:rsidRDefault="00BD415C" w:rsidP="00BD415C">
            <w:pPr>
              <w:pStyle w:val="Source"/>
              <w:spacing w:before="0" w:after="0"/>
              <w:rPr>
                <w:b/>
                <w:bCs/>
                <w:sz w:val="2"/>
                <w:szCs w:val="2"/>
              </w:rPr>
            </w:pPr>
            <w:r w:rsidRPr="00BD415C">
              <w:rPr>
                <w:b/>
                <w:bCs/>
                <w:sz w:val="2"/>
                <w:szCs w:val="2"/>
              </w:rPr>
              <w:t>No return or unknown</w:t>
            </w:r>
          </w:p>
        </w:tc>
      </w:tr>
      <w:tr w:rsidR="00BD415C" w:rsidRPr="00BD415C" w14:paraId="55E22CFF" w14:textId="77777777" w:rsidTr="00BD415C">
        <w:trPr>
          <w:trHeight w:val="20"/>
          <w:jc w:val="center"/>
        </w:trPr>
        <w:tc>
          <w:tcPr>
            <w:tcW w:w="3840" w:type="dxa"/>
            <w:noWrap/>
            <w:hideMark/>
          </w:tcPr>
          <w:p w14:paraId="032EE31F" w14:textId="77777777" w:rsidR="00BD415C" w:rsidRPr="00BD415C" w:rsidRDefault="00BD415C" w:rsidP="00BD415C">
            <w:pPr>
              <w:pStyle w:val="Source"/>
              <w:spacing w:before="0" w:after="0"/>
              <w:rPr>
                <w:b/>
                <w:bCs/>
                <w:sz w:val="2"/>
                <w:szCs w:val="2"/>
              </w:rPr>
            </w:pPr>
            <w:r w:rsidRPr="00BD415C">
              <w:rPr>
                <w:b/>
                <w:bCs/>
                <w:sz w:val="2"/>
                <w:szCs w:val="2"/>
              </w:rPr>
              <w:t>Child Care Worker</w:t>
            </w:r>
          </w:p>
        </w:tc>
        <w:tc>
          <w:tcPr>
            <w:tcW w:w="4720" w:type="dxa"/>
            <w:noWrap/>
            <w:hideMark/>
          </w:tcPr>
          <w:p w14:paraId="38CBDB6D" w14:textId="77777777" w:rsidR="00BD415C" w:rsidRPr="00BD415C" w:rsidRDefault="00BD415C" w:rsidP="00BD415C">
            <w:pPr>
              <w:pStyle w:val="Source"/>
              <w:spacing w:before="0" w:after="0"/>
              <w:rPr>
                <w:sz w:val="2"/>
                <w:szCs w:val="2"/>
              </w:rPr>
            </w:pPr>
            <w:r w:rsidRPr="00BD415C">
              <w:rPr>
                <w:sz w:val="2"/>
                <w:szCs w:val="2"/>
              </w:rPr>
              <w:t>Other occupations</w:t>
            </w:r>
          </w:p>
        </w:tc>
        <w:tc>
          <w:tcPr>
            <w:tcW w:w="1420" w:type="dxa"/>
            <w:noWrap/>
            <w:hideMark/>
          </w:tcPr>
          <w:p w14:paraId="7FADC328" w14:textId="77777777" w:rsidR="00BD415C" w:rsidRPr="00BD415C" w:rsidRDefault="00BD415C" w:rsidP="00BD415C">
            <w:pPr>
              <w:pStyle w:val="Source"/>
              <w:spacing w:before="0" w:after="0"/>
              <w:rPr>
                <w:sz w:val="2"/>
                <w:szCs w:val="2"/>
              </w:rPr>
            </w:pPr>
          </w:p>
        </w:tc>
        <w:tc>
          <w:tcPr>
            <w:tcW w:w="2020" w:type="dxa"/>
            <w:noWrap/>
            <w:hideMark/>
          </w:tcPr>
          <w:p w14:paraId="4824CF37" w14:textId="77777777" w:rsidR="00BD415C" w:rsidRPr="00BD415C" w:rsidRDefault="00BD415C" w:rsidP="00BD415C">
            <w:pPr>
              <w:pStyle w:val="Source"/>
              <w:spacing w:before="0" w:after="0"/>
              <w:rPr>
                <w:sz w:val="2"/>
                <w:szCs w:val="2"/>
              </w:rPr>
            </w:pPr>
            <w:r w:rsidRPr="00BD415C">
              <w:rPr>
                <w:sz w:val="2"/>
                <w:szCs w:val="2"/>
              </w:rPr>
              <w:t>31.2%</w:t>
            </w:r>
          </w:p>
        </w:tc>
        <w:tc>
          <w:tcPr>
            <w:tcW w:w="2480" w:type="dxa"/>
            <w:noWrap/>
            <w:hideMark/>
          </w:tcPr>
          <w:p w14:paraId="472E4A38" w14:textId="77777777" w:rsidR="00BD415C" w:rsidRPr="00BD415C" w:rsidRDefault="00BD415C" w:rsidP="00BD415C">
            <w:pPr>
              <w:pStyle w:val="Source"/>
              <w:spacing w:before="0" w:after="0"/>
              <w:rPr>
                <w:sz w:val="2"/>
                <w:szCs w:val="2"/>
              </w:rPr>
            </w:pPr>
          </w:p>
        </w:tc>
      </w:tr>
      <w:tr w:rsidR="00BD415C" w:rsidRPr="00BD415C" w14:paraId="2C55B740" w14:textId="77777777" w:rsidTr="00BD415C">
        <w:trPr>
          <w:trHeight w:val="20"/>
          <w:jc w:val="center"/>
        </w:trPr>
        <w:tc>
          <w:tcPr>
            <w:tcW w:w="3840" w:type="dxa"/>
            <w:noWrap/>
            <w:hideMark/>
          </w:tcPr>
          <w:p w14:paraId="60E506A1" w14:textId="77777777" w:rsidR="00BD415C" w:rsidRPr="00BD415C" w:rsidRDefault="00BD415C" w:rsidP="00BD415C">
            <w:pPr>
              <w:pStyle w:val="Source"/>
              <w:spacing w:before="0" w:after="0"/>
              <w:rPr>
                <w:sz w:val="2"/>
                <w:szCs w:val="2"/>
              </w:rPr>
            </w:pPr>
          </w:p>
        </w:tc>
        <w:tc>
          <w:tcPr>
            <w:tcW w:w="4720" w:type="dxa"/>
            <w:noWrap/>
            <w:hideMark/>
          </w:tcPr>
          <w:p w14:paraId="4D3C4014" w14:textId="77777777" w:rsidR="00BD415C" w:rsidRPr="00BD415C" w:rsidRDefault="00BD415C" w:rsidP="00BD415C">
            <w:pPr>
              <w:pStyle w:val="Source"/>
              <w:spacing w:before="0" w:after="0"/>
              <w:rPr>
                <w:sz w:val="2"/>
                <w:szCs w:val="2"/>
              </w:rPr>
            </w:pPr>
            <w:r w:rsidRPr="00BD415C">
              <w:rPr>
                <w:sz w:val="2"/>
                <w:szCs w:val="2"/>
              </w:rPr>
              <w:t>Unknown</w:t>
            </w:r>
          </w:p>
        </w:tc>
        <w:tc>
          <w:tcPr>
            <w:tcW w:w="1420" w:type="dxa"/>
            <w:noWrap/>
            <w:hideMark/>
          </w:tcPr>
          <w:p w14:paraId="1B732732" w14:textId="77777777" w:rsidR="00BD415C" w:rsidRPr="00BD415C" w:rsidRDefault="00BD415C" w:rsidP="00BD415C">
            <w:pPr>
              <w:pStyle w:val="Source"/>
              <w:spacing w:before="0" w:after="0"/>
              <w:rPr>
                <w:sz w:val="2"/>
                <w:szCs w:val="2"/>
              </w:rPr>
            </w:pPr>
          </w:p>
        </w:tc>
        <w:tc>
          <w:tcPr>
            <w:tcW w:w="2020" w:type="dxa"/>
            <w:noWrap/>
            <w:hideMark/>
          </w:tcPr>
          <w:p w14:paraId="2BB35A2B" w14:textId="77777777" w:rsidR="00BD415C" w:rsidRPr="00BD415C" w:rsidRDefault="00BD415C" w:rsidP="00BD415C">
            <w:pPr>
              <w:pStyle w:val="Source"/>
              <w:spacing w:before="0" w:after="0"/>
              <w:rPr>
                <w:sz w:val="2"/>
                <w:szCs w:val="2"/>
              </w:rPr>
            </w:pPr>
          </w:p>
        </w:tc>
        <w:tc>
          <w:tcPr>
            <w:tcW w:w="2480" w:type="dxa"/>
            <w:noWrap/>
            <w:hideMark/>
          </w:tcPr>
          <w:p w14:paraId="1A96F585" w14:textId="77777777" w:rsidR="00BD415C" w:rsidRPr="00BD415C" w:rsidRDefault="00BD415C" w:rsidP="00BD415C">
            <w:pPr>
              <w:pStyle w:val="Source"/>
              <w:spacing w:before="0" w:after="0"/>
              <w:rPr>
                <w:sz w:val="2"/>
                <w:szCs w:val="2"/>
              </w:rPr>
            </w:pPr>
            <w:r w:rsidRPr="00BD415C">
              <w:rPr>
                <w:sz w:val="2"/>
                <w:szCs w:val="2"/>
              </w:rPr>
              <w:t>23.1%</w:t>
            </w:r>
          </w:p>
        </w:tc>
      </w:tr>
      <w:tr w:rsidR="00BD415C" w:rsidRPr="00BD415C" w14:paraId="33A568A5" w14:textId="77777777" w:rsidTr="00BD415C">
        <w:trPr>
          <w:trHeight w:val="20"/>
          <w:jc w:val="center"/>
        </w:trPr>
        <w:tc>
          <w:tcPr>
            <w:tcW w:w="3840" w:type="dxa"/>
            <w:noWrap/>
            <w:hideMark/>
          </w:tcPr>
          <w:p w14:paraId="6F63D41C" w14:textId="77777777" w:rsidR="00BD415C" w:rsidRPr="00BD415C" w:rsidRDefault="00BD415C" w:rsidP="00BD415C">
            <w:pPr>
              <w:pStyle w:val="Source"/>
              <w:spacing w:before="0" w:after="0"/>
              <w:rPr>
                <w:sz w:val="2"/>
                <w:szCs w:val="2"/>
              </w:rPr>
            </w:pPr>
          </w:p>
        </w:tc>
        <w:tc>
          <w:tcPr>
            <w:tcW w:w="4720" w:type="dxa"/>
            <w:noWrap/>
            <w:hideMark/>
          </w:tcPr>
          <w:p w14:paraId="63CD2969" w14:textId="77777777" w:rsidR="00BD415C" w:rsidRPr="00BD415C" w:rsidRDefault="00BD415C" w:rsidP="00BD415C">
            <w:pPr>
              <w:pStyle w:val="Source"/>
              <w:spacing w:before="0" w:after="0"/>
              <w:rPr>
                <w:sz w:val="2"/>
                <w:szCs w:val="2"/>
              </w:rPr>
            </w:pPr>
            <w:r w:rsidRPr="00BD415C">
              <w:rPr>
                <w:sz w:val="2"/>
                <w:szCs w:val="2"/>
              </w:rPr>
              <w:t>No tax return</w:t>
            </w:r>
          </w:p>
        </w:tc>
        <w:tc>
          <w:tcPr>
            <w:tcW w:w="1420" w:type="dxa"/>
            <w:noWrap/>
            <w:hideMark/>
          </w:tcPr>
          <w:p w14:paraId="50BA8912" w14:textId="77777777" w:rsidR="00BD415C" w:rsidRPr="00BD415C" w:rsidRDefault="00BD415C" w:rsidP="00BD415C">
            <w:pPr>
              <w:pStyle w:val="Source"/>
              <w:spacing w:before="0" w:after="0"/>
              <w:rPr>
                <w:sz w:val="2"/>
                <w:szCs w:val="2"/>
              </w:rPr>
            </w:pPr>
          </w:p>
        </w:tc>
        <w:tc>
          <w:tcPr>
            <w:tcW w:w="2020" w:type="dxa"/>
            <w:noWrap/>
            <w:hideMark/>
          </w:tcPr>
          <w:p w14:paraId="1F294EE8" w14:textId="77777777" w:rsidR="00BD415C" w:rsidRPr="00BD415C" w:rsidRDefault="00BD415C" w:rsidP="00BD415C">
            <w:pPr>
              <w:pStyle w:val="Source"/>
              <w:spacing w:before="0" w:after="0"/>
              <w:rPr>
                <w:sz w:val="2"/>
                <w:szCs w:val="2"/>
              </w:rPr>
            </w:pPr>
          </w:p>
        </w:tc>
        <w:tc>
          <w:tcPr>
            <w:tcW w:w="2480" w:type="dxa"/>
            <w:noWrap/>
            <w:hideMark/>
          </w:tcPr>
          <w:p w14:paraId="0EC4EC2E" w14:textId="77777777" w:rsidR="00BD415C" w:rsidRPr="00BD415C" w:rsidRDefault="00BD415C" w:rsidP="00BD415C">
            <w:pPr>
              <w:pStyle w:val="Source"/>
              <w:spacing w:before="0" w:after="0"/>
              <w:rPr>
                <w:sz w:val="2"/>
                <w:szCs w:val="2"/>
              </w:rPr>
            </w:pPr>
            <w:r w:rsidRPr="00BD415C">
              <w:rPr>
                <w:sz w:val="2"/>
                <w:szCs w:val="2"/>
              </w:rPr>
              <w:t>15.2%</w:t>
            </w:r>
          </w:p>
        </w:tc>
      </w:tr>
      <w:tr w:rsidR="00BD415C" w:rsidRPr="00BD415C" w14:paraId="117852AF" w14:textId="77777777" w:rsidTr="00BD415C">
        <w:trPr>
          <w:trHeight w:val="20"/>
          <w:jc w:val="center"/>
        </w:trPr>
        <w:tc>
          <w:tcPr>
            <w:tcW w:w="3840" w:type="dxa"/>
            <w:noWrap/>
            <w:hideMark/>
          </w:tcPr>
          <w:p w14:paraId="6BAC43CD" w14:textId="77777777" w:rsidR="00BD415C" w:rsidRPr="00BD415C" w:rsidRDefault="00BD415C" w:rsidP="00BD415C">
            <w:pPr>
              <w:pStyle w:val="Source"/>
              <w:spacing w:before="0" w:after="0"/>
              <w:rPr>
                <w:sz w:val="2"/>
                <w:szCs w:val="2"/>
              </w:rPr>
            </w:pPr>
          </w:p>
        </w:tc>
        <w:tc>
          <w:tcPr>
            <w:tcW w:w="6140" w:type="dxa"/>
            <w:gridSpan w:val="2"/>
            <w:noWrap/>
            <w:hideMark/>
          </w:tcPr>
          <w:p w14:paraId="4AB202B6" w14:textId="77777777" w:rsidR="00BD415C" w:rsidRPr="00BD415C" w:rsidRDefault="00BD415C" w:rsidP="00BD415C">
            <w:pPr>
              <w:pStyle w:val="Source"/>
              <w:spacing w:before="0" w:after="0"/>
              <w:rPr>
                <w:sz w:val="2"/>
                <w:szCs w:val="2"/>
              </w:rPr>
            </w:pPr>
            <w:r w:rsidRPr="00BD415C">
              <w:rPr>
                <w:sz w:val="2"/>
                <w:szCs w:val="2"/>
              </w:rPr>
              <w:t>Primary School Teacher</w:t>
            </w:r>
          </w:p>
        </w:tc>
        <w:tc>
          <w:tcPr>
            <w:tcW w:w="2020" w:type="dxa"/>
            <w:noWrap/>
            <w:hideMark/>
          </w:tcPr>
          <w:p w14:paraId="2A1EE80B" w14:textId="77777777" w:rsidR="00BD415C" w:rsidRPr="00BD415C" w:rsidRDefault="00BD415C" w:rsidP="00BD415C">
            <w:pPr>
              <w:pStyle w:val="Source"/>
              <w:spacing w:before="0" w:after="0"/>
              <w:rPr>
                <w:sz w:val="2"/>
                <w:szCs w:val="2"/>
              </w:rPr>
            </w:pPr>
            <w:r w:rsidRPr="00BD415C">
              <w:rPr>
                <w:sz w:val="2"/>
                <w:szCs w:val="2"/>
              </w:rPr>
              <w:t>10.4%</w:t>
            </w:r>
          </w:p>
        </w:tc>
        <w:tc>
          <w:tcPr>
            <w:tcW w:w="2480" w:type="dxa"/>
            <w:noWrap/>
            <w:hideMark/>
          </w:tcPr>
          <w:p w14:paraId="7EB8C55C" w14:textId="77777777" w:rsidR="00BD415C" w:rsidRPr="00BD415C" w:rsidRDefault="00BD415C" w:rsidP="00BD415C">
            <w:pPr>
              <w:pStyle w:val="Source"/>
              <w:spacing w:before="0" w:after="0"/>
              <w:rPr>
                <w:sz w:val="2"/>
                <w:szCs w:val="2"/>
              </w:rPr>
            </w:pPr>
          </w:p>
        </w:tc>
      </w:tr>
      <w:tr w:rsidR="00BD415C" w:rsidRPr="00BD415C" w14:paraId="7F6DDE2A" w14:textId="77777777" w:rsidTr="00BD415C">
        <w:trPr>
          <w:trHeight w:val="20"/>
          <w:jc w:val="center"/>
        </w:trPr>
        <w:tc>
          <w:tcPr>
            <w:tcW w:w="3840" w:type="dxa"/>
            <w:hideMark/>
          </w:tcPr>
          <w:p w14:paraId="5008CB94" w14:textId="77777777" w:rsidR="00BD415C" w:rsidRPr="00BD415C" w:rsidRDefault="00BD415C" w:rsidP="00BD415C">
            <w:pPr>
              <w:pStyle w:val="Source"/>
              <w:spacing w:before="0" w:after="0"/>
              <w:rPr>
                <w:sz w:val="2"/>
                <w:szCs w:val="2"/>
              </w:rPr>
            </w:pPr>
          </w:p>
        </w:tc>
        <w:tc>
          <w:tcPr>
            <w:tcW w:w="4720" w:type="dxa"/>
            <w:hideMark/>
          </w:tcPr>
          <w:p w14:paraId="7C76DBF5" w14:textId="77777777" w:rsidR="00BD415C" w:rsidRPr="00BD415C" w:rsidRDefault="00BD415C" w:rsidP="00BD415C">
            <w:pPr>
              <w:pStyle w:val="Source"/>
              <w:spacing w:before="0" w:after="0"/>
              <w:rPr>
                <w:sz w:val="2"/>
                <w:szCs w:val="2"/>
              </w:rPr>
            </w:pPr>
            <w:r w:rsidRPr="00BD415C">
              <w:rPr>
                <w:sz w:val="2"/>
                <w:szCs w:val="2"/>
              </w:rPr>
              <w:t>Child Care Centre Manager</w:t>
            </w:r>
          </w:p>
        </w:tc>
        <w:tc>
          <w:tcPr>
            <w:tcW w:w="1420" w:type="dxa"/>
            <w:noWrap/>
            <w:hideMark/>
          </w:tcPr>
          <w:p w14:paraId="76E1351F" w14:textId="77777777" w:rsidR="00BD415C" w:rsidRPr="00BD415C" w:rsidRDefault="00BD415C" w:rsidP="00BD415C">
            <w:pPr>
              <w:pStyle w:val="Source"/>
              <w:spacing w:before="0" w:after="0"/>
              <w:rPr>
                <w:sz w:val="2"/>
                <w:szCs w:val="2"/>
              </w:rPr>
            </w:pPr>
            <w:r w:rsidRPr="00BD415C">
              <w:rPr>
                <w:sz w:val="2"/>
                <w:szCs w:val="2"/>
              </w:rPr>
              <w:t>3.9%</w:t>
            </w:r>
          </w:p>
        </w:tc>
        <w:tc>
          <w:tcPr>
            <w:tcW w:w="2020" w:type="dxa"/>
            <w:noWrap/>
            <w:hideMark/>
          </w:tcPr>
          <w:p w14:paraId="38BFCE7D" w14:textId="77777777" w:rsidR="00BD415C" w:rsidRPr="00BD415C" w:rsidRDefault="00BD415C" w:rsidP="00BD415C">
            <w:pPr>
              <w:pStyle w:val="Source"/>
              <w:spacing w:before="0" w:after="0"/>
              <w:rPr>
                <w:sz w:val="2"/>
                <w:szCs w:val="2"/>
              </w:rPr>
            </w:pPr>
          </w:p>
        </w:tc>
        <w:tc>
          <w:tcPr>
            <w:tcW w:w="2480" w:type="dxa"/>
            <w:noWrap/>
            <w:hideMark/>
          </w:tcPr>
          <w:p w14:paraId="31615E5D" w14:textId="77777777" w:rsidR="00BD415C" w:rsidRPr="00BD415C" w:rsidRDefault="00BD415C" w:rsidP="00BD415C">
            <w:pPr>
              <w:pStyle w:val="Source"/>
              <w:spacing w:before="0" w:after="0"/>
              <w:rPr>
                <w:sz w:val="2"/>
                <w:szCs w:val="2"/>
              </w:rPr>
            </w:pPr>
          </w:p>
        </w:tc>
      </w:tr>
      <w:tr w:rsidR="00BD415C" w:rsidRPr="00BD415C" w14:paraId="6F1F6240" w14:textId="77777777" w:rsidTr="00BD415C">
        <w:trPr>
          <w:trHeight w:val="20"/>
          <w:jc w:val="center"/>
        </w:trPr>
        <w:tc>
          <w:tcPr>
            <w:tcW w:w="3840" w:type="dxa"/>
            <w:noWrap/>
            <w:hideMark/>
          </w:tcPr>
          <w:p w14:paraId="34F0DCEE" w14:textId="77777777" w:rsidR="00BD415C" w:rsidRPr="00BD415C" w:rsidRDefault="00BD415C" w:rsidP="00BD415C">
            <w:pPr>
              <w:pStyle w:val="Source"/>
              <w:spacing w:before="0" w:after="0"/>
              <w:rPr>
                <w:sz w:val="2"/>
                <w:szCs w:val="2"/>
              </w:rPr>
            </w:pPr>
          </w:p>
        </w:tc>
        <w:tc>
          <w:tcPr>
            <w:tcW w:w="4720" w:type="dxa"/>
            <w:noWrap/>
            <w:hideMark/>
          </w:tcPr>
          <w:p w14:paraId="1758710D" w14:textId="77777777" w:rsidR="00BD415C" w:rsidRPr="00BD415C" w:rsidRDefault="00BD415C" w:rsidP="00BD415C">
            <w:pPr>
              <w:pStyle w:val="Source"/>
              <w:spacing w:before="0" w:after="0"/>
              <w:rPr>
                <w:sz w:val="2"/>
                <w:szCs w:val="2"/>
              </w:rPr>
            </w:pPr>
            <w:r w:rsidRPr="00BD415C">
              <w:rPr>
                <w:sz w:val="2"/>
                <w:szCs w:val="2"/>
              </w:rPr>
              <w:t>Early Childhood (Pre-primary School) Teacher</w:t>
            </w:r>
          </w:p>
        </w:tc>
        <w:tc>
          <w:tcPr>
            <w:tcW w:w="1420" w:type="dxa"/>
            <w:noWrap/>
            <w:hideMark/>
          </w:tcPr>
          <w:p w14:paraId="36F5CA5A" w14:textId="77777777" w:rsidR="00BD415C" w:rsidRPr="00BD415C" w:rsidRDefault="00BD415C" w:rsidP="00BD415C">
            <w:pPr>
              <w:pStyle w:val="Source"/>
              <w:spacing w:before="0" w:after="0"/>
              <w:rPr>
                <w:sz w:val="2"/>
                <w:szCs w:val="2"/>
              </w:rPr>
            </w:pPr>
            <w:r w:rsidRPr="00BD415C">
              <w:rPr>
                <w:sz w:val="2"/>
                <w:szCs w:val="2"/>
              </w:rPr>
              <w:t>3.8%</w:t>
            </w:r>
          </w:p>
        </w:tc>
        <w:tc>
          <w:tcPr>
            <w:tcW w:w="2020" w:type="dxa"/>
            <w:noWrap/>
            <w:hideMark/>
          </w:tcPr>
          <w:p w14:paraId="0E60B53E" w14:textId="77777777" w:rsidR="00BD415C" w:rsidRPr="00BD415C" w:rsidRDefault="00BD415C" w:rsidP="00BD415C">
            <w:pPr>
              <w:pStyle w:val="Source"/>
              <w:spacing w:before="0" w:after="0"/>
              <w:rPr>
                <w:sz w:val="2"/>
                <w:szCs w:val="2"/>
              </w:rPr>
            </w:pPr>
          </w:p>
        </w:tc>
        <w:tc>
          <w:tcPr>
            <w:tcW w:w="2480" w:type="dxa"/>
            <w:noWrap/>
            <w:hideMark/>
          </w:tcPr>
          <w:p w14:paraId="2F15B722" w14:textId="77777777" w:rsidR="00BD415C" w:rsidRPr="00BD415C" w:rsidRDefault="00BD415C" w:rsidP="00BD415C">
            <w:pPr>
              <w:pStyle w:val="Source"/>
              <w:spacing w:before="0" w:after="0"/>
              <w:rPr>
                <w:sz w:val="2"/>
                <w:szCs w:val="2"/>
              </w:rPr>
            </w:pPr>
          </w:p>
        </w:tc>
      </w:tr>
      <w:tr w:rsidR="00BD415C" w:rsidRPr="00BD415C" w14:paraId="233ECB5A" w14:textId="77777777" w:rsidTr="00BD415C">
        <w:trPr>
          <w:trHeight w:val="20"/>
          <w:jc w:val="center"/>
        </w:trPr>
        <w:tc>
          <w:tcPr>
            <w:tcW w:w="3840" w:type="dxa"/>
            <w:noWrap/>
            <w:hideMark/>
          </w:tcPr>
          <w:p w14:paraId="2209155B" w14:textId="77777777" w:rsidR="00BD415C" w:rsidRPr="00BD415C" w:rsidRDefault="00BD415C" w:rsidP="00BD415C">
            <w:pPr>
              <w:pStyle w:val="Source"/>
              <w:spacing w:before="0" w:after="0"/>
              <w:rPr>
                <w:sz w:val="2"/>
                <w:szCs w:val="2"/>
              </w:rPr>
            </w:pPr>
          </w:p>
        </w:tc>
        <w:tc>
          <w:tcPr>
            <w:tcW w:w="4720" w:type="dxa"/>
            <w:noWrap/>
            <w:hideMark/>
          </w:tcPr>
          <w:p w14:paraId="5185114F" w14:textId="77777777" w:rsidR="00BD415C" w:rsidRPr="00BD415C" w:rsidRDefault="00BD415C" w:rsidP="00BD415C">
            <w:pPr>
              <w:pStyle w:val="Source"/>
              <w:spacing w:before="0" w:after="0"/>
              <w:rPr>
                <w:sz w:val="2"/>
                <w:szCs w:val="2"/>
              </w:rPr>
            </w:pPr>
            <w:r w:rsidRPr="00BD415C">
              <w:rPr>
                <w:sz w:val="2"/>
                <w:szCs w:val="2"/>
              </w:rPr>
              <w:t>Teachers' Aide</w:t>
            </w:r>
          </w:p>
        </w:tc>
        <w:tc>
          <w:tcPr>
            <w:tcW w:w="1420" w:type="dxa"/>
            <w:noWrap/>
            <w:hideMark/>
          </w:tcPr>
          <w:p w14:paraId="78F5E7F3" w14:textId="77777777" w:rsidR="00BD415C" w:rsidRPr="00BD415C" w:rsidRDefault="00BD415C" w:rsidP="00BD415C">
            <w:pPr>
              <w:pStyle w:val="Source"/>
              <w:spacing w:before="0" w:after="0"/>
              <w:rPr>
                <w:sz w:val="2"/>
                <w:szCs w:val="2"/>
              </w:rPr>
            </w:pPr>
          </w:p>
        </w:tc>
        <w:tc>
          <w:tcPr>
            <w:tcW w:w="2020" w:type="dxa"/>
            <w:noWrap/>
            <w:hideMark/>
          </w:tcPr>
          <w:p w14:paraId="0CD056D5" w14:textId="77777777" w:rsidR="00BD415C" w:rsidRPr="00BD415C" w:rsidRDefault="00BD415C" w:rsidP="00BD415C">
            <w:pPr>
              <w:pStyle w:val="Source"/>
              <w:spacing w:before="0" w:after="0"/>
              <w:rPr>
                <w:sz w:val="2"/>
                <w:szCs w:val="2"/>
              </w:rPr>
            </w:pPr>
            <w:r w:rsidRPr="00BD415C">
              <w:rPr>
                <w:sz w:val="2"/>
                <w:szCs w:val="2"/>
              </w:rPr>
              <w:t>2.7%</w:t>
            </w:r>
          </w:p>
        </w:tc>
        <w:tc>
          <w:tcPr>
            <w:tcW w:w="2480" w:type="dxa"/>
            <w:noWrap/>
            <w:hideMark/>
          </w:tcPr>
          <w:p w14:paraId="2F9FDF1B" w14:textId="77777777" w:rsidR="00BD415C" w:rsidRPr="00BD415C" w:rsidRDefault="00BD415C" w:rsidP="00BD415C">
            <w:pPr>
              <w:pStyle w:val="Source"/>
              <w:spacing w:before="0" w:after="0"/>
              <w:rPr>
                <w:sz w:val="2"/>
                <w:szCs w:val="2"/>
              </w:rPr>
            </w:pPr>
          </w:p>
        </w:tc>
      </w:tr>
      <w:tr w:rsidR="00BD415C" w:rsidRPr="00BD415C" w14:paraId="638B2410" w14:textId="77777777" w:rsidTr="00BD415C">
        <w:trPr>
          <w:trHeight w:val="20"/>
          <w:jc w:val="center"/>
        </w:trPr>
        <w:tc>
          <w:tcPr>
            <w:tcW w:w="3840" w:type="dxa"/>
            <w:noWrap/>
            <w:hideMark/>
          </w:tcPr>
          <w:p w14:paraId="3B0C0C8B" w14:textId="77777777" w:rsidR="00BD415C" w:rsidRPr="00BD415C" w:rsidRDefault="00BD415C" w:rsidP="00BD415C">
            <w:pPr>
              <w:pStyle w:val="Source"/>
              <w:spacing w:before="0" w:after="0"/>
              <w:rPr>
                <w:sz w:val="2"/>
                <w:szCs w:val="2"/>
              </w:rPr>
            </w:pPr>
          </w:p>
        </w:tc>
        <w:tc>
          <w:tcPr>
            <w:tcW w:w="4720" w:type="dxa"/>
            <w:noWrap/>
            <w:hideMark/>
          </w:tcPr>
          <w:p w14:paraId="584A09F6" w14:textId="77777777" w:rsidR="00BD415C" w:rsidRPr="00BD415C" w:rsidRDefault="00BD415C" w:rsidP="00BD415C">
            <w:pPr>
              <w:pStyle w:val="Source"/>
              <w:spacing w:before="0" w:after="0"/>
              <w:rPr>
                <w:sz w:val="2"/>
                <w:szCs w:val="2"/>
              </w:rPr>
            </w:pPr>
            <w:r w:rsidRPr="00BD415C">
              <w:rPr>
                <w:sz w:val="2"/>
                <w:szCs w:val="2"/>
              </w:rPr>
              <w:t>General Clerk</w:t>
            </w:r>
          </w:p>
        </w:tc>
        <w:tc>
          <w:tcPr>
            <w:tcW w:w="1420" w:type="dxa"/>
            <w:noWrap/>
            <w:hideMark/>
          </w:tcPr>
          <w:p w14:paraId="2B6CF790" w14:textId="77777777" w:rsidR="00BD415C" w:rsidRPr="00BD415C" w:rsidRDefault="00BD415C" w:rsidP="00BD415C">
            <w:pPr>
              <w:pStyle w:val="Source"/>
              <w:spacing w:before="0" w:after="0"/>
              <w:rPr>
                <w:sz w:val="2"/>
                <w:szCs w:val="2"/>
              </w:rPr>
            </w:pPr>
          </w:p>
        </w:tc>
        <w:tc>
          <w:tcPr>
            <w:tcW w:w="2020" w:type="dxa"/>
            <w:noWrap/>
            <w:hideMark/>
          </w:tcPr>
          <w:p w14:paraId="0E6216F3" w14:textId="77777777" w:rsidR="00BD415C" w:rsidRPr="00BD415C" w:rsidRDefault="00BD415C" w:rsidP="00BD415C">
            <w:pPr>
              <w:pStyle w:val="Source"/>
              <w:spacing w:before="0" w:after="0"/>
              <w:rPr>
                <w:sz w:val="2"/>
                <w:szCs w:val="2"/>
              </w:rPr>
            </w:pPr>
            <w:r w:rsidRPr="00BD415C">
              <w:rPr>
                <w:sz w:val="2"/>
                <w:szCs w:val="2"/>
              </w:rPr>
              <w:t>2.6%</w:t>
            </w:r>
          </w:p>
        </w:tc>
        <w:tc>
          <w:tcPr>
            <w:tcW w:w="2480" w:type="dxa"/>
            <w:noWrap/>
            <w:hideMark/>
          </w:tcPr>
          <w:p w14:paraId="64170E44" w14:textId="77777777" w:rsidR="00BD415C" w:rsidRPr="00BD415C" w:rsidRDefault="00BD415C" w:rsidP="00BD415C">
            <w:pPr>
              <w:pStyle w:val="Source"/>
              <w:spacing w:before="0" w:after="0"/>
              <w:rPr>
                <w:sz w:val="2"/>
                <w:szCs w:val="2"/>
              </w:rPr>
            </w:pPr>
          </w:p>
        </w:tc>
      </w:tr>
      <w:tr w:rsidR="00BD415C" w:rsidRPr="00BD415C" w14:paraId="2229B6EB" w14:textId="77777777" w:rsidTr="00BD415C">
        <w:trPr>
          <w:trHeight w:val="20"/>
          <w:jc w:val="center"/>
        </w:trPr>
        <w:tc>
          <w:tcPr>
            <w:tcW w:w="3840" w:type="dxa"/>
            <w:hideMark/>
          </w:tcPr>
          <w:p w14:paraId="6BF36016" w14:textId="77777777" w:rsidR="00BD415C" w:rsidRPr="00BD415C" w:rsidRDefault="00BD415C" w:rsidP="00BD415C">
            <w:pPr>
              <w:pStyle w:val="Source"/>
              <w:spacing w:before="0" w:after="0"/>
              <w:rPr>
                <w:sz w:val="2"/>
                <w:szCs w:val="2"/>
              </w:rPr>
            </w:pPr>
          </w:p>
        </w:tc>
        <w:tc>
          <w:tcPr>
            <w:tcW w:w="4720" w:type="dxa"/>
            <w:noWrap/>
            <w:hideMark/>
          </w:tcPr>
          <w:p w14:paraId="72BA29DE" w14:textId="77777777" w:rsidR="00BD415C" w:rsidRPr="00BD415C" w:rsidRDefault="00BD415C" w:rsidP="00BD415C">
            <w:pPr>
              <w:pStyle w:val="Source"/>
              <w:spacing w:before="0" w:after="0"/>
              <w:rPr>
                <w:sz w:val="2"/>
                <w:szCs w:val="2"/>
              </w:rPr>
            </w:pPr>
            <w:r w:rsidRPr="00BD415C">
              <w:rPr>
                <w:sz w:val="2"/>
                <w:szCs w:val="2"/>
              </w:rPr>
              <w:t>Sales Assistants</w:t>
            </w:r>
          </w:p>
        </w:tc>
        <w:tc>
          <w:tcPr>
            <w:tcW w:w="1420" w:type="dxa"/>
            <w:noWrap/>
            <w:hideMark/>
          </w:tcPr>
          <w:p w14:paraId="6AE52FD8" w14:textId="77777777" w:rsidR="00BD415C" w:rsidRPr="00BD415C" w:rsidRDefault="00BD415C" w:rsidP="00BD415C">
            <w:pPr>
              <w:pStyle w:val="Source"/>
              <w:spacing w:before="0" w:after="0"/>
              <w:rPr>
                <w:sz w:val="2"/>
                <w:szCs w:val="2"/>
              </w:rPr>
            </w:pPr>
          </w:p>
        </w:tc>
        <w:tc>
          <w:tcPr>
            <w:tcW w:w="2020" w:type="dxa"/>
            <w:noWrap/>
            <w:hideMark/>
          </w:tcPr>
          <w:p w14:paraId="75695798" w14:textId="77777777" w:rsidR="00BD415C" w:rsidRPr="00BD415C" w:rsidRDefault="00BD415C" w:rsidP="00BD415C">
            <w:pPr>
              <w:pStyle w:val="Source"/>
              <w:spacing w:before="0" w:after="0"/>
              <w:rPr>
                <w:sz w:val="2"/>
                <w:szCs w:val="2"/>
              </w:rPr>
            </w:pPr>
            <w:r w:rsidRPr="00BD415C">
              <w:rPr>
                <w:sz w:val="2"/>
                <w:szCs w:val="2"/>
              </w:rPr>
              <w:t>2.5%</w:t>
            </w:r>
          </w:p>
        </w:tc>
        <w:tc>
          <w:tcPr>
            <w:tcW w:w="2480" w:type="dxa"/>
            <w:noWrap/>
            <w:hideMark/>
          </w:tcPr>
          <w:p w14:paraId="6552523C" w14:textId="77777777" w:rsidR="00BD415C" w:rsidRPr="00BD415C" w:rsidRDefault="00BD415C" w:rsidP="00BD415C">
            <w:pPr>
              <w:pStyle w:val="Source"/>
              <w:spacing w:before="0" w:after="0"/>
              <w:rPr>
                <w:sz w:val="2"/>
                <w:szCs w:val="2"/>
              </w:rPr>
            </w:pPr>
          </w:p>
        </w:tc>
      </w:tr>
      <w:tr w:rsidR="00BD415C" w:rsidRPr="00BD415C" w14:paraId="415E8964" w14:textId="77777777" w:rsidTr="00BD415C">
        <w:trPr>
          <w:trHeight w:val="20"/>
          <w:jc w:val="center"/>
        </w:trPr>
        <w:tc>
          <w:tcPr>
            <w:tcW w:w="3840" w:type="dxa"/>
            <w:noWrap/>
            <w:hideMark/>
          </w:tcPr>
          <w:p w14:paraId="355B1729" w14:textId="77777777" w:rsidR="00BD415C" w:rsidRPr="00BD415C" w:rsidRDefault="00BD415C" w:rsidP="00BD415C">
            <w:pPr>
              <w:pStyle w:val="Source"/>
              <w:spacing w:before="0" w:after="0"/>
              <w:rPr>
                <w:sz w:val="2"/>
                <w:szCs w:val="2"/>
              </w:rPr>
            </w:pPr>
          </w:p>
        </w:tc>
        <w:tc>
          <w:tcPr>
            <w:tcW w:w="4720" w:type="dxa"/>
            <w:noWrap/>
            <w:hideMark/>
          </w:tcPr>
          <w:p w14:paraId="029445CF" w14:textId="77777777" w:rsidR="00BD415C" w:rsidRPr="00BD415C" w:rsidRDefault="00BD415C" w:rsidP="00BD415C">
            <w:pPr>
              <w:pStyle w:val="Source"/>
              <w:spacing w:before="0" w:after="0"/>
              <w:rPr>
                <w:sz w:val="2"/>
                <w:szCs w:val="2"/>
              </w:rPr>
            </w:pPr>
            <w:r w:rsidRPr="00BD415C">
              <w:rPr>
                <w:sz w:val="2"/>
                <w:szCs w:val="2"/>
              </w:rPr>
              <w:t>Out of School Hours Care Worker</w:t>
            </w:r>
          </w:p>
        </w:tc>
        <w:tc>
          <w:tcPr>
            <w:tcW w:w="1420" w:type="dxa"/>
            <w:noWrap/>
            <w:hideMark/>
          </w:tcPr>
          <w:p w14:paraId="0D46B55F" w14:textId="77777777" w:rsidR="00BD415C" w:rsidRPr="00BD415C" w:rsidRDefault="00BD415C" w:rsidP="00BD415C">
            <w:pPr>
              <w:pStyle w:val="Source"/>
              <w:spacing w:before="0" w:after="0"/>
              <w:rPr>
                <w:sz w:val="2"/>
                <w:szCs w:val="2"/>
              </w:rPr>
            </w:pPr>
            <w:r w:rsidRPr="00BD415C">
              <w:rPr>
                <w:sz w:val="2"/>
                <w:szCs w:val="2"/>
              </w:rPr>
              <w:t>2.5%</w:t>
            </w:r>
          </w:p>
        </w:tc>
        <w:tc>
          <w:tcPr>
            <w:tcW w:w="2020" w:type="dxa"/>
            <w:noWrap/>
            <w:hideMark/>
          </w:tcPr>
          <w:p w14:paraId="6CA8C691" w14:textId="77777777" w:rsidR="00BD415C" w:rsidRPr="00BD415C" w:rsidRDefault="00BD415C" w:rsidP="00BD415C">
            <w:pPr>
              <w:pStyle w:val="Source"/>
              <w:spacing w:before="0" w:after="0"/>
              <w:rPr>
                <w:sz w:val="2"/>
                <w:szCs w:val="2"/>
              </w:rPr>
            </w:pPr>
          </w:p>
        </w:tc>
        <w:tc>
          <w:tcPr>
            <w:tcW w:w="2480" w:type="dxa"/>
            <w:noWrap/>
            <w:hideMark/>
          </w:tcPr>
          <w:p w14:paraId="21D69D55" w14:textId="77777777" w:rsidR="00BD415C" w:rsidRPr="00BD415C" w:rsidRDefault="00BD415C" w:rsidP="00BD415C">
            <w:pPr>
              <w:pStyle w:val="Source"/>
              <w:spacing w:before="0" w:after="0"/>
              <w:rPr>
                <w:sz w:val="2"/>
                <w:szCs w:val="2"/>
              </w:rPr>
            </w:pPr>
          </w:p>
        </w:tc>
      </w:tr>
      <w:tr w:rsidR="00BD415C" w:rsidRPr="00BD415C" w14:paraId="5F47104D" w14:textId="77777777" w:rsidTr="00BD415C">
        <w:trPr>
          <w:trHeight w:val="20"/>
          <w:jc w:val="center"/>
        </w:trPr>
        <w:tc>
          <w:tcPr>
            <w:tcW w:w="3840" w:type="dxa"/>
            <w:noWrap/>
            <w:hideMark/>
          </w:tcPr>
          <w:p w14:paraId="62C98E0E" w14:textId="77777777" w:rsidR="00BD415C" w:rsidRPr="00BD415C" w:rsidRDefault="00BD415C" w:rsidP="00BD415C">
            <w:pPr>
              <w:pStyle w:val="Source"/>
              <w:spacing w:before="0" w:after="0"/>
              <w:rPr>
                <w:sz w:val="2"/>
                <w:szCs w:val="2"/>
              </w:rPr>
            </w:pPr>
          </w:p>
        </w:tc>
        <w:tc>
          <w:tcPr>
            <w:tcW w:w="6140" w:type="dxa"/>
            <w:gridSpan w:val="2"/>
            <w:noWrap/>
            <w:hideMark/>
          </w:tcPr>
          <w:p w14:paraId="695B88EC" w14:textId="77777777" w:rsidR="00BD415C" w:rsidRPr="00BD415C" w:rsidRDefault="00BD415C" w:rsidP="00BD415C">
            <w:pPr>
              <w:pStyle w:val="Source"/>
              <w:spacing w:before="0" w:after="0"/>
              <w:rPr>
                <w:sz w:val="2"/>
                <w:szCs w:val="2"/>
              </w:rPr>
            </w:pPr>
            <w:r w:rsidRPr="00BD415C">
              <w:rPr>
                <w:sz w:val="2"/>
                <w:szCs w:val="2"/>
              </w:rPr>
              <w:t>Aged or Disabled Carer</w:t>
            </w:r>
          </w:p>
        </w:tc>
        <w:tc>
          <w:tcPr>
            <w:tcW w:w="2020" w:type="dxa"/>
            <w:noWrap/>
            <w:hideMark/>
          </w:tcPr>
          <w:p w14:paraId="77A0BDC4" w14:textId="77777777" w:rsidR="00BD415C" w:rsidRPr="00BD415C" w:rsidRDefault="00BD415C" w:rsidP="00BD415C">
            <w:pPr>
              <w:pStyle w:val="Source"/>
              <w:spacing w:before="0" w:after="0"/>
              <w:rPr>
                <w:sz w:val="2"/>
                <w:szCs w:val="2"/>
              </w:rPr>
            </w:pPr>
            <w:r w:rsidRPr="00BD415C">
              <w:rPr>
                <w:sz w:val="2"/>
                <w:szCs w:val="2"/>
              </w:rPr>
              <w:t>2.1%</w:t>
            </w:r>
          </w:p>
        </w:tc>
        <w:tc>
          <w:tcPr>
            <w:tcW w:w="2480" w:type="dxa"/>
            <w:noWrap/>
            <w:hideMark/>
          </w:tcPr>
          <w:p w14:paraId="6C9D07F4" w14:textId="77777777" w:rsidR="00BD415C" w:rsidRPr="00BD415C" w:rsidRDefault="00BD415C" w:rsidP="00BD415C">
            <w:pPr>
              <w:pStyle w:val="Source"/>
              <w:spacing w:before="0" w:after="0"/>
              <w:rPr>
                <w:sz w:val="2"/>
                <w:szCs w:val="2"/>
              </w:rPr>
            </w:pPr>
          </w:p>
        </w:tc>
      </w:tr>
      <w:tr w:rsidR="00BD415C" w:rsidRPr="00BD415C" w14:paraId="1586EB76" w14:textId="77777777" w:rsidTr="00BD415C">
        <w:trPr>
          <w:trHeight w:val="20"/>
          <w:jc w:val="center"/>
        </w:trPr>
        <w:tc>
          <w:tcPr>
            <w:tcW w:w="3840" w:type="dxa"/>
            <w:hideMark/>
          </w:tcPr>
          <w:p w14:paraId="44495322" w14:textId="77777777" w:rsidR="00BD415C" w:rsidRPr="00BD415C" w:rsidRDefault="00BD415C" w:rsidP="00BD415C">
            <w:pPr>
              <w:pStyle w:val="Source"/>
              <w:spacing w:before="0" w:after="0"/>
              <w:rPr>
                <w:sz w:val="2"/>
                <w:szCs w:val="2"/>
              </w:rPr>
            </w:pPr>
          </w:p>
        </w:tc>
        <w:tc>
          <w:tcPr>
            <w:tcW w:w="4720" w:type="dxa"/>
            <w:hideMark/>
          </w:tcPr>
          <w:p w14:paraId="4C070E2D" w14:textId="77777777" w:rsidR="00BD415C" w:rsidRPr="00BD415C" w:rsidRDefault="00BD415C" w:rsidP="00BD415C">
            <w:pPr>
              <w:pStyle w:val="Source"/>
              <w:spacing w:before="0" w:after="0"/>
              <w:rPr>
                <w:sz w:val="2"/>
                <w:szCs w:val="2"/>
              </w:rPr>
            </w:pPr>
          </w:p>
        </w:tc>
        <w:tc>
          <w:tcPr>
            <w:tcW w:w="1420" w:type="dxa"/>
            <w:noWrap/>
            <w:hideMark/>
          </w:tcPr>
          <w:p w14:paraId="45B7B17C" w14:textId="77777777" w:rsidR="00BD415C" w:rsidRPr="00BD415C" w:rsidRDefault="00BD415C" w:rsidP="00BD415C">
            <w:pPr>
              <w:pStyle w:val="Source"/>
              <w:spacing w:before="0" w:after="0"/>
              <w:rPr>
                <w:b/>
                <w:bCs/>
                <w:sz w:val="2"/>
                <w:szCs w:val="2"/>
              </w:rPr>
            </w:pPr>
            <w:r w:rsidRPr="00BD415C">
              <w:rPr>
                <w:b/>
                <w:bCs/>
                <w:sz w:val="2"/>
                <w:szCs w:val="2"/>
              </w:rPr>
              <w:t>Other ECEC</w:t>
            </w:r>
          </w:p>
        </w:tc>
        <w:tc>
          <w:tcPr>
            <w:tcW w:w="2020" w:type="dxa"/>
            <w:noWrap/>
            <w:hideMark/>
          </w:tcPr>
          <w:p w14:paraId="3320B36C" w14:textId="77777777" w:rsidR="00BD415C" w:rsidRPr="00BD415C" w:rsidRDefault="00BD415C" w:rsidP="00BD415C">
            <w:pPr>
              <w:pStyle w:val="Source"/>
              <w:spacing w:before="0" w:after="0"/>
              <w:rPr>
                <w:b/>
                <w:bCs/>
                <w:sz w:val="2"/>
                <w:szCs w:val="2"/>
              </w:rPr>
            </w:pPr>
            <w:r w:rsidRPr="00BD415C">
              <w:rPr>
                <w:b/>
                <w:bCs/>
                <w:sz w:val="2"/>
                <w:szCs w:val="2"/>
              </w:rPr>
              <w:t>Other Occupation</w:t>
            </w:r>
          </w:p>
        </w:tc>
        <w:tc>
          <w:tcPr>
            <w:tcW w:w="2480" w:type="dxa"/>
            <w:noWrap/>
            <w:hideMark/>
          </w:tcPr>
          <w:p w14:paraId="088FF3C1" w14:textId="77777777" w:rsidR="00BD415C" w:rsidRPr="00BD415C" w:rsidRDefault="00BD415C" w:rsidP="00BD415C">
            <w:pPr>
              <w:pStyle w:val="Source"/>
              <w:spacing w:before="0" w:after="0"/>
              <w:rPr>
                <w:b/>
                <w:bCs/>
                <w:sz w:val="2"/>
                <w:szCs w:val="2"/>
              </w:rPr>
            </w:pPr>
            <w:r w:rsidRPr="00BD415C">
              <w:rPr>
                <w:b/>
                <w:bCs/>
                <w:sz w:val="2"/>
                <w:szCs w:val="2"/>
              </w:rPr>
              <w:t>No return or unknown</w:t>
            </w:r>
          </w:p>
        </w:tc>
      </w:tr>
      <w:tr w:rsidR="00BD415C" w:rsidRPr="00BD415C" w14:paraId="2CBC2380" w14:textId="77777777" w:rsidTr="00BD415C">
        <w:trPr>
          <w:trHeight w:val="20"/>
          <w:jc w:val="center"/>
        </w:trPr>
        <w:tc>
          <w:tcPr>
            <w:tcW w:w="3840" w:type="dxa"/>
            <w:hideMark/>
          </w:tcPr>
          <w:p w14:paraId="7403D81E" w14:textId="77777777" w:rsidR="00BD415C" w:rsidRPr="00BD415C" w:rsidRDefault="00BD415C" w:rsidP="00BD415C">
            <w:pPr>
              <w:pStyle w:val="Source"/>
              <w:spacing w:before="0" w:after="0"/>
              <w:rPr>
                <w:b/>
                <w:bCs/>
                <w:sz w:val="2"/>
                <w:szCs w:val="2"/>
              </w:rPr>
            </w:pPr>
            <w:r w:rsidRPr="00BD415C">
              <w:rPr>
                <w:b/>
                <w:bCs/>
                <w:sz w:val="2"/>
                <w:szCs w:val="2"/>
              </w:rPr>
              <w:t>Out of School Hours Care Worker</w:t>
            </w:r>
          </w:p>
        </w:tc>
        <w:tc>
          <w:tcPr>
            <w:tcW w:w="6140" w:type="dxa"/>
            <w:gridSpan w:val="2"/>
            <w:noWrap/>
            <w:hideMark/>
          </w:tcPr>
          <w:p w14:paraId="5286F753" w14:textId="77777777" w:rsidR="00BD415C" w:rsidRPr="00BD415C" w:rsidRDefault="00BD415C" w:rsidP="00BD415C">
            <w:pPr>
              <w:pStyle w:val="Source"/>
              <w:spacing w:before="0" w:after="0"/>
              <w:rPr>
                <w:sz w:val="2"/>
                <w:szCs w:val="2"/>
              </w:rPr>
            </w:pPr>
            <w:r w:rsidRPr="00BD415C">
              <w:rPr>
                <w:sz w:val="2"/>
                <w:szCs w:val="2"/>
              </w:rPr>
              <w:t>Primary School Teacher</w:t>
            </w:r>
          </w:p>
        </w:tc>
        <w:tc>
          <w:tcPr>
            <w:tcW w:w="2020" w:type="dxa"/>
            <w:noWrap/>
            <w:hideMark/>
          </w:tcPr>
          <w:p w14:paraId="1ECB11E2" w14:textId="77777777" w:rsidR="00BD415C" w:rsidRPr="00BD415C" w:rsidRDefault="00BD415C" w:rsidP="00BD415C">
            <w:pPr>
              <w:pStyle w:val="Source"/>
              <w:spacing w:before="0" w:after="0"/>
              <w:rPr>
                <w:sz w:val="2"/>
                <w:szCs w:val="2"/>
              </w:rPr>
            </w:pPr>
            <w:r w:rsidRPr="00BD415C">
              <w:rPr>
                <w:sz w:val="2"/>
                <w:szCs w:val="2"/>
              </w:rPr>
              <w:t>23.7%</w:t>
            </w:r>
          </w:p>
        </w:tc>
        <w:tc>
          <w:tcPr>
            <w:tcW w:w="2480" w:type="dxa"/>
            <w:noWrap/>
            <w:hideMark/>
          </w:tcPr>
          <w:p w14:paraId="6F79BFB3" w14:textId="77777777" w:rsidR="00BD415C" w:rsidRPr="00BD415C" w:rsidRDefault="00BD415C" w:rsidP="00BD415C">
            <w:pPr>
              <w:pStyle w:val="Source"/>
              <w:spacing w:before="0" w:after="0"/>
              <w:rPr>
                <w:sz w:val="2"/>
                <w:szCs w:val="2"/>
              </w:rPr>
            </w:pPr>
          </w:p>
        </w:tc>
      </w:tr>
      <w:tr w:rsidR="00BD415C" w:rsidRPr="00BD415C" w14:paraId="3D13A00B" w14:textId="77777777" w:rsidTr="00BD415C">
        <w:trPr>
          <w:trHeight w:val="20"/>
          <w:jc w:val="center"/>
        </w:trPr>
        <w:tc>
          <w:tcPr>
            <w:tcW w:w="3840" w:type="dxa"/>
            <w:hideMark/>
          </w:tcPr>
          <w:p w14:paraId="48AAA783" w14:textId="77777777" w:rsidR="00BD415C" w:rsidRPr="00BD415C" w:rsidRDefault="00BD415C" w:rsidP="00BD415C">
            <w:pPr>
              <w:pStyle w:val="Source"/>
              <w:spacing w:before="0" w:after="0"/>
              <w:rPr>
                <w:sz w:val="2"/>
                <w:szCs w:val="2"/>
              </w:rPr>
            </w:pPr>
          </w:p>
        </w:tc>
        <w:tc>
          <w:tcPr>
            <w:tcW w:w="4720" w:type="dxa"/>
            <w:noWrap/>
            <w:hideMark/>
          </w:tcPr>
          <w:p w14:paraId="55E92767" w14:textId="77777777" w:rsidR="00BD415C" w:rsidRPr="00BD415C" w:rsidRDefault="00BD415C" w:rsidP="00BD415C">
            <w:pPr>
              <w:pStyle w:val="Source"/>
              <w:spacing w:before="0" w:after="0"/>
              <w:rPr>
                <w:sz w:val="2"/>
                <w:szCs w:val="2"/>
              </w:rPr>
            </w:pPr>
            <w:r w:rsidRPr="00BD415C">
              <w:rPr>
                <w:sz w:val="2"/>
                <w:szCs w:val="2"/>
              </w:rPr>
              <w:t>Child Care Worker</w:t>
            </w:r>
          </w:p>
        </w:tc>
        <w:tc>
          <w:tcPr>
            <w:tcW w:w="1420" w:type="dxa"/>
            <w:noWrap/>
            <w:hideMark/>
          </w:tcPr>
          <w:p w14:paraId="6C9979F3" w14:textId="77777777" w:rsidR="00BD415C" w:rsidRPr="00BD415C" w:rsidRDefault="00BD415C" w:rsidP="00BD415C">
            <w:pPr>
              <w:pStyle w:val="Source"/>
              <w:spacing w:before="0" w:after="0"/>
              <w:rPr>
                <w:sz w:val="2"/>
                <w:szCs w:val="2"/>
              </w:rPr>
            </w:pPr>
            <w:r w:rsidRPr="00BD415C">
              <w:rPr>
                <w:sz w:val="2"/>
                <w:szCs w:val="2"/>
              </w:rPr>
              <w:t>21.0%</w:t>
            </w:r>
          </w:p>
        </w:tc>
        <w:tc>
          <w:tcPr>
            <w:tcW w:w="2020" w:type="dxa"/>
            <w:noWrap/>
            <w:hideMark/>
          </w:tcPr>
          <w:p w14:paraId="56E84FD2" w14:textId="77777777" w:rsidR="00BD415C" w:rsidRPr="00BD415C" w:rsidRDefault="00BD415C" w:rsidP="00BD415C">
            <w:pPr>
              <w:pStyle w:val="Source"/>
              <w:spacing w:before="0" w:after="0"/>
              <w:rPr>
                <w:sz w:val="2"/>
                <w:szCs w:val="2"/>
              </w:rPr>
            </w:pPr>
          </w:p>
        </w:tc>
        <w:tc>
          <w:tcPr>
            <w:tcW w:w="2480" w:type="dxa"/>
            <w:noWrap/>
            <w:hideMark/>
          </w:tcPr>
          <w:p w14:paraId="294AFE89" w14:textId="77777777" w:rsidR="00BD415C" w:rsidRPr="00BD415C" w:rsidRDefault="00BD415C" w:rsidP="00BD415C">
            <w:pPr>
              <w:pStyle w:val="Source"/>
              <w:spacing w:before="0" w:after="0"/>
              <w:rPr>
                <w:sz w:val="2"/>
                <w:szCs w:val="2"/>
              </w:rPr>
            </w:pPr>
          </w:p>
        </w:tc>
      </w:tr>
      <w:tr w:rsidR="00BD415C" w:rsidRPr="00BD415C" w14:paraId="6FC956E1" w14:textId="77777777" w:rsidTr="00BD415C">
        <w:trPr>
          <w:trHeight w:val="20"/>
          <w:jc w:val="center"/>
        </w:trPr>
        <w:tc>
          <w:tcPr>
            <w:tcW w:w="3840" w:type="dxa"/>
            <w:noWrap/>
            <w:hideMark/>
          </w:tcPr>
          <w:p w14:paraId="34EF8A68" w14:textId="77777777" w:rsidR="00BD415C" w:rsidRPr="00BD415C" w:rsidRDefault="00BD415C" w:rsidP="00BD415C">
            <w:pPr>
              <w:pStyle w:val="Source"/>
              <w:spacing w:before="0" w:after="0"/>
              <w:rPr>
                <w:sz w:val="2"/>
                <w:szCs w:val="2"/>
              </w:rPr>
            </w:pPr>
          </w:p>
        </w:tc>
        <w:tc>
          <w:tcPr>
            <w:tcW w:w="4720" w:type="dxa"/>
            <w:noWrap/>
            <w:hideMark/>
          </w:tcPr>
          <w:p w14:paraId="649D8B66" w14:textId="77777777" w:rsidR="00BD415C" w:rsidRPr="00BD415C" w:rsidRDefault="00BD415C" w:rsidP="00BD415C">
            <w:pPr>
              <w:pStyle w:val="Source"/>
              <w:spacing w:before="0" w:after="0"/>
              <w:rPr>
                <w:sz w:val="2"/>
                <w:szCs w:val="2"/>
              </w:rPr>
            </w:pPr>
            <w:r w:rsidRPr="00BD415C">
              <w:rPr>
                <w:sz w:val="2"/>
                <w:szCs w:val="2"/>
              </w:rPr>
              <w:t>Other occupations</w:t>
            </w:r>
          </w:p>
        </w:tc>
        <w:tc>
          <w:tcPr>
            <w:tcW w:w="1420" w:type="dxa"/>
            <w:noWrap/>
            <w:hideMark/>
          </w:tcPr>
          <w:p w14:paraId="0AF9BD2C" w14:textId="77777777" w:rsidR="00BD415C" w:rsidRPr="00BD415C" w:rsidRDefault="00BD415C" w:rsidP="00BD415C">
            <w:pPr>
              <w:pStyle w:val="Source"/>
              <w:spacing w:before="0" w:after="0"/>
              <w:rPr>
                <w:sz w:val="2"/>
                <w:szCs w:val="2"/>
              </w:rPr>
            </w:pPr>
          </w:p>
        </w:tc>
        <w:tc>
          <w:tcPr>
            <w:tcW w:w="2020" w:type="dxa"/>
            <w:noWrap/>
            <w:hideMark/>
          </w:tcPr>
          <w:p w14:paraId="29DAF0CA" w14:textId="77777777" w:rsidR="00BD415C" w:rsidRPr="00BD415C" w:rsidRDefault="00BD415C" w:rsidP="00BD415C">
            <w:pPr>
              <w:pStyle w:val="Source"/>
              <w:spacing w:before="0" w:after="0"/>
              <w:rPr>
                <w:sz w:val="2"/>
                <w:szCs w:val="2"/>
              </w:rPr>
            </w:pPr>
            <w:r w:rsidRPr="00BD415C">
              <w:rPr>
                <w:sz w:val="2"/>
                <w:szCs w:val="2"/>
              </w:rPr>
              <w:t>17.9%</w:t>
            </w:r>
          </w:p>
        </w:tc>
        <w:tc>
          <w:tcPr>
            <w:tcW w:w="2480" w:type="dxa"/>
            <w:noWrap/>
            <w:hideMark/>
          </w:tcPr>
          <w:p w14:paraId="4F544AE0" w14:textId="77777777" w:rsidR="00BD415C" w:rsidRPr="00BD415C" w:rsidRDefault="00BD415C" w:rsidP="00BD415C">
            <w:pPr>
              <w:pStyle w:val="Source"/>
              <w:spacing w:before="0" w:after="0"/>
              <w:rPr>
                <w:sz w:val="2"/>
                <w:szCs w:val="2"/>
              </w:rPr>
            </w:pPr>
          </w:p>
        </w:tc>
      </w:tr>
      <w:tr w:rsidR="00BD415C" w:rsidRPr="00BD415C" w14:paraId="7F6DC1B0" w14:textId="77777777" w:rsidTr="00BD415C">
        <w:trPr>
          <w:trHeight w:val="20"/>
          <w:jc w:val="center"/>
        </w:trPr>
        <w:tc>
          <w:tcPr>
            <w:tcW w:w="3840" w:type="dxa"/>
            <w:noWrap/>
            <w:hideMark/>
          </w:tcPr>
          <w:p w14:paraId="1A16D7F9" w14:textId="77777777" w:rsidR="00BD415C" w:rsidRPr="00BD415C" w:rsidRDefault="00BD415C" w:rsidP="00BD415C">
            <w:pPr>
              <w:pStyle w:val="Source"/>
              <w:spacing w:before="0" w:after="0"/>
              <w:rPr>
                <w:sz w:val="2"/>
                <w:szCs w:val="2"/>
              </w:rPr>
            </w:pPr>
          </w:p>
        </w:tc>
        <w:tc>
          <w:tcPr>
            <w:tcW w:w="4720" w:type="dxa"/>
            <w:noWrap/>
            <w:hideMark/>
          </w:tcPr>
          <w:p w14:paraId="79682406" w14:textId="77777777" w:rsidR="00BD415C" w:rsidRPr="00BD415C" w:rsidRDefault="00BD415C" w:rsidP="00BD415C">
            <w:pPr>
              <w:pStyle w:val="Source"/>
              <w:spacing w:before="0" w:after="0"/>
              <w:rPr>
                <w:sz w:val="2"/>
                <w:szCs w:val="2"/>
              </w:rPr>
            </w:pPr>
            <w:r w:rsidRPr="00BD415C">
              <w:rPr>
                <w:sz w:val="2"/>
                <w:szCs w:val="2"/>
              </w:rPr>
              <w:t>Unknown</w:t>
            </w:r>
          </w:p>
        </w:tc>
        <w:tc>
          <w:tcPr>
            <w:tcW w:w="1420" w:type="dxa"/>
            <w:noWrap/>
            <w:hideMark/>
          </w:tcPr>
          <w:p w14:paraId="2B3AFFB4" w14:textId="77777777" w:rsidR="00BD415C" w:rsidRPr="00BD415C" w:rsidRDefault="00BD415C" w:rsidP="00BD415C">
            <w:pPr>
              <w:pStyle w:val="Source"/>
              <w:spacing w:before="0" w:after="0"/>
              <w:rPr>
                <w:sz w:val="2"/>
                <w:szCs w:val="2"/>
              </w:rPr>
            </w:pPr>
          </w:p>
        </w:tc>
        <w:tc>
          <w:tcPr>
            <w:tcW w:w="2020" w:type="dxa"/>
            <w:noWrap/>
            <w:hideMark/>
          </w:tcPr>
          <w:p w14:paraId="11706A3F" w14:textId="77777777" w:rsidR="00BD415C" w:rsidRPr="00BD415C" w:rsidRDefault="00BD415C" w:rsidP="00BD415C">
            <w:pPr>
              <w:pStyle w:val="Source"/>
              <w:spacing w:before="0" w:after="0"/>
              <w:rPr>
                <w:sz w:val="2"/>
                <w:szCs w:val="2"/>
              </w:rPr>
            </w:pPr>
          </w:p>
        </w:tc>
        <w:tc>
          <w:tcPr>
            <w:tcW w:w="2480" w:type="dxa"/>
            <w:noWrap/>
            <w:hideMark/>
          </w:tcPr>
          <w:p w14:paraId="20A89BCD" w14:textId="77777777" w:rsidR="00BD415C" w:rsidRPr="00BD415C" w:rsidRDefault="00BD415C" w:rsidP="00BD415C">
            <w:pPr>
              <w:pStyle w:val="Source"/>
              <w:spacing w:before="0" w:after="0"/>
              <w:rPr>
                <w:sz w:val="2"/>
                <w:szCs w:val="2"/>
              </w:rPr>
            </w:pPr>
            <w:r w:rsidRPr="00BD415C">
              <w:rPr>
                <w:sz w:val="2"/>
                <w:szCs w:val="2"/>
              </w:rPr>
              <w:t>12.9%</w:t>
            </w:r>
          </w:p>
        </w:tc>
      </w:tr>
      <w:tr w:rsidR="00BD415C" w:rsidRPr="00BD415C" w14:paraId="4EFA47E0" w14:textId="77777777" w:rsidTr="00BD415C">
        <w:trPr>
          <w:trHeight w:val="20"/>
          <w:jc w:val="center"/>
        </w:trPr>
        <w:tc>
          <w:tcPr>
            <w:tcW w:w="3840" w:type="dxa"/>
            <w:noWrap/>
            <w:hideMark/>
          </w:tcPr>
          <w:p w14:paraId="30AC8250" w14:textId="77777777" w:rsidR="00BD415C" w:rsidRPr="00BD415C" w:rsidRDefault="00BD415C" w:rsidP="00BD415C">
            <w:pPr>
              <w:pStyle w:val="Source"/>
              <w:spacing w:before="0" w:after="0"/>
              <w:rPr>
                <w:sz w:val="2"/>
                <w:szCs w:val="2"/>
              </w:rPr>
            </w:pPr>
          </w:p>
        </w:tc>
        <w:tc>
          <w:tcPr>
            <w:tcW w:w="4720" w:type="dxa"/>
            <w:noWrap/>
            <w:hideMark/>
          </w:tcPr>
          <w:p w14:paraId="650FF6D3" w14:textId="77777777" w:rsidR="00BD415C" w:rsidRPr="00BD415C" w:rsidRDefault="00BD415C" w:rsidP="00BD415C">
            <w:pPr>
              <w:pStyle w:val="Source"/>
              <w:spacing w:before="0" w:after="0"/>
              <w:rPr>
                <w:sz w:val="2"/>
                <w:szCs w:val="2"/>
              </w:rPr>
            </w:pPr>
            <w:r w:rsidRPr="00BD415C">
              <w:rPr>
                <w:sz w:val="2"/>
                <w:szCs w:val="2"/>
              </w:rPr>
              <w:t>No tax return</w:t>
            </w:r>
          </w:p>
        </w:tc>
        <w:tc>
          <w:tcPr>
            <w:tcW w:w="1420" w:type="dxa"/>
            <w:noWrap/>
            <w:hideMark/>
          </w:tcPr>
          <w:p w14:paraId="307CEC99" w14:textId="77777777" w:rsidR="00BD415C" w:rsidRPr="00BD415C" w:rsidRDefault="00BD415C" w:rsidP="00BD415C">
            <w:pPr>
              <w:pStyle w:val="Source"/>
              <w:spacing w:before="0" w:after="0"/>
              <w:rPr>
                <w:sz w:val="2"/>
                <w:szCs w:val="2"/>
              </w:rPr>
            </w:pPr>
          </w:p>
        </w:tc>
        <w:tc>
          <w:tcPr>
            <w:tcW w:w="2020" w:type="dxa"/>
            <w:noWrap/>
            <w:hideMark/>
          </w:tcPr>
          <w:p w14:paraId="438D6B4B" w14:textId="77777777" w:rsidR="00BD415C" w:rsidRPr="00BD415C" w:rsidRDefault="00BD415C" w:rsidP="00BD415C">
            <w:pPr>
              <w:pStyle w:val="Source"/>
              <w:spacing w:before="0" w:after="0"/>
              <w:rPr>
                <w:sz w:val="2"/>
                <w:szCs w:val="2"/>
              </w:rPr>
            </w:pPr>
          </w:p>
        </w:tc>
        <w:tc>
          <w:tcPr>
            <w:tcW w:w="2480" w:type="dxa"/>
            <w:noWrap/>
            <w:hideMark/>
          </w:tcPr>
          <w:p w14:paraId="235A018D" w14:textId="77777777" w:rsidR="00BD415C" w:rsidRPr="00BD415C" w:rsidRDefault="00BD415C" w:rsidP="00BD415C">
            <w:pPr>
              <w:pStyle w:val="Source"/>
              <w:spacing w:before="0" w:after="0"/>
              <w:rPr>
                <w:sz w:val="2"/>
                <w:szCs w:val="2"/>
              </w:rPr>
            </w:pPr>
            <w:r w:rsidRPr="00BD415C">
              <w:rPr>
                <w:sz w:val="2"/>
                <w:szCs w:val="2"/>
              </w:rPr>
              <w:t>8.1%</w:t>
            </w:r>
          </w:p>
        </w:tc>
      </w:tr>
      <w:tr w:rsidR="00BD415C" w:rsidRPr="00BD415C" w14:paraId="16A931EC" w14:textId="77777777" w:rsidTr="00BD415C">
        <w:trPr>
          <w:trHeight w:val="20"/>
          <w:jc w:val="center"/>
        </w:trPr>
        <w:tc>
          <w:tcPr>
            <w:tcW w:w="3840" w:type="dxa"/>
            <w:hideMark/>
          </w:tcPr>
          <w:p w14:paraId="72A44B6A" w14:textId="77777777" w:rsidR="00BD415C" w:rsidRPr="00BD415C" w:rsidRDefault="00BD415C" w:rsidP="00BD415C">
            <w:pPr>
              <w:pStyle w:val="Source"/>
              <w:spacing w:before="0" w:after="0"/>
              <w:rPr>
                <w:sz w:val="2"/>
                <w:szCs w:val="2"/>
              </w:rPr>
            </w:pPr>
          </w:p>
        </w:tc>
        <w:tc>
          <w:tcPr>
            <w:tcW w:w="6140" w:type="dxa"/>
            <w:gridSpan w:val="2"/>
            <w:noWrap/>
            <w:hideMark/>
          </w:tcPr>
          <w:p w14:paraId="23EE290E" w14:textId="77777777" w:rsidR="00BD415C" w:rsidRPr="00BD415C" w:rsidRDefault="00BD415C" w:rsidP="00BD415C">
            <w:pPr>
              <w:pStyle w:val="Source"/>
              <w:spacing w:before="0" w:after="0"/>
              <w:rPr>
                <w:sz w:val="2"/>
                <w:szCs w:val="2"/>
              </w:rPr>
            </w:pPr>
            <w:r w:rsidRPr="00BD415C">
              <w:rPr>
                <w:sz w:val="2"/>
                <w:szCs w:val="2"/>
              </w:rPr>
              <w:t>Secondary School Teacher</w:t>
            </w:r>
          </w:p>
        </w:tc>
        <w:tc>
          <w:tcPr>
            <w:tcW w:w="2020" w:type="dxa"/>
            <w:noWrap/>
            <w:hideMark/>
          </w:tcPr>
          <w:p w14:paraId="02A9C832" w14:textId="77777777" w:rsidR="00BD415C" w:rsidRPr="00BD415C" w:rsidRDefault="00BD415C" w:rsidP="00BD415C">
            <w:pPr>
              <w:pStyle w:val="Source"/>
              <w:spacing w:before="0" w:after="0"/>
              <w:rPr>
                <w:sz w:val="2"/>
                <w:szCs w:val="2"/>
              </w:rPr>
            </w:pPr>
            <w:r w:rsidRPr="00BD415C">
              <w:rPr>
                <w:sz w:val="2"/>
                <w:szCs w:val="2"/>
              </w:rPr>
              <w:t>5.8%</w:t>
            </w:r>
          </w:p>
        </w:tc>
        <w:tc>
          <w:tcPr>
            <w:tcW w:w="2480" w:type="dxa"/>
            <w:noWrap/>
            <w:hideMark/>
          </w:tcPr>
          <w:p w14:paraId="4671CBEE" w14:textId="77777777" w:rsidR="00BD415C" w:rsidRPr="00BD415C" w:rsidRDefault="00BD415C" w:rsidP="00BD415C">
            <w:pPr>
              <w:pStyle w:val="Source"/>
              <w:spacing w:before="0" w:after="0"/>
              <w:rPr>
                <w:sz w:val="2"/>
                <w:szCs w:val="2"/>
              </w:rPr>
            </w:pPr>
          </w:p>
        </w:tc>
      </w:tr>
      <w:tr w:rsidR="00BD415C" w:rsidRPr="00BD415C" w14:paraId="03DE434A" w14:textId="77777777" w:rsidTr="00BD415C">
        <w:trPr>
          <w:trHeight w:val="20"/>
          <w:jc w:val="center"/>
        </w:trPr>
        <w:tc>
          <w:tcPr>
            <w:tcW w:w="3840" w:type="dxa"/>
            <w:noWrap/>
            <w:hideMark/>
          </w:tcPr>
          <w:p w14:paraId="73ECE7A6" w14:textId="77777777" w:rsidR="00BD415C" w:rsidRPr="00BD415C" w:rsidRDefault="00BD415C" w:rsidP="00BD415C">
            <w:pPr>
              <w:pStyle w:val="Source"/>
              <w:spacing w:before="0" w:after="0"/>
              <w:rPr>
                <w:sz w:val="2"/>
                <w:szCs w:val="2"/>
              </w:rPr>
            </w:pPr>
          </w:p>
        </w:tc>
        <w:tc>
          <w:tcPr>
            <w:tcW w:w="4720" w:type="dxa"/>
            <w:noWrap/>
            <w:hideMark/>
          </w:tcPr>
          <w:p w14:paraId="627FBEFE" w14:textId="77777777" w:rsidR="00BD415C" w:rsidRPr="00BD415C" w:rsidRDefault="00BD415C" w:rsidP="00BD415C">
            <w:pPr>
              <w:pStyle w:val="Source"/>
              <w:spacing w:before="0" w:after="0"/>
              <w:rPr>
                <w:sz w:val="2"/>
                <w:szCs w:val="2"/>
              </w:rPr>
            </w:pPr>
            <w:r w:rsidRPr="00BD415C">
              <w:rPr>
                <w:sz w:val="2"/>
                <w:szCs w:val="2"/>
              </w:rPr>
              <w:t>Teachers' Aide</w:t>
            </w:r>
          </w:p>
        </w:tc>
        <w:tc>
          <w:tcPr>
            <w:tcW w:w="1420" w:type="dxa"/>
            <w:noWrap/>
            <w:hideMark/>
          </w:tcPr>
          <w:p w14:paraId="59CF017F" w14:textId="77777777" w:rsidR="00BD415C" w:rsidRPr="00BD415C" w:rsidRDefault="00BD415C" w:rsidP="00BD415C">
            <w:pPr>
              <w:pStyle w:val="Source"/>
              <w:spacing w:before="0" w:after="0"/>
              <w:rPr>
                <w:sz w:val="2"/>
                <w:szCs w:val="2"/>
              </w:rPr>
            </w:pPr>
          </w:p>
        </w:tc>
        <w:tc>
          <w:tcPr>
            <w:tcW w:w="2020" w:type="dxa"/>
            <w:noWrap/>
            <w:hideMark/>
          </w:tcPr>
          <w:p w14:paraId="75793C33" w14:textId="77777777" w:rsidR="00BD415C" w:rsidRPr="00BD415C" w:rsidRDefault="00BD415C" w:rsidP="00BD415C">
            <w:pPr>
              <w:pStyle w:val="Source"/>
              <w:spacing w:before="0" w:after="0"/>
              <w:rPr>
                <w:sz w:val="2"/>
                <w:szCs w:val="2"/>
              </w:rPr>
            </w:pPr>
            <w:r w:rsidRPr="00BD415C">
              <w:rPr>
                <w:sz w:val="2"/>
                <w:szCs w:val="2"/>
              </w:rPr>
              <w:t>4.6%</w:t>
            </w:r>
          </w:p>
        </w:tc>
        <w:tc>
          <w:tcPr>
            <w:tcW w:w="2480" w:type="dxa"/>
            <w:noWrap/>
            <w:hideMark/>
          </w:tcPr>
          <w:p w14:paraId="47077347" w14:textId="77777777" w:rsidR="00BD415C" w:rsidRPr="00BD415C" w:rsidRDefault="00BD415C" w:rsidP="00BD415C">
            <w:pPr>
              <w:pStyle w:val="Source"/>
              <w:spacing w:before="0" w:after="0"/>
              <w:rPr>
                <w:sz w:val="2"/>
                <w:szCs w:val="2"/>
              </w:rPr>
            </w:pPr>
          </w:p>
        </w:tc>
      </w:tr>
      <w:tr w:rsidR="00BD415C" w:rsidRPr="00BD415C" w14:paraId="5C3CA74F" w14:textId="77777777" w:rsidTr="00BD415C">
        <w:trPr>
          <w:trHeight w:val="20"/>
          <w:jc w:val="center"/>
        </w:trPr>
        <w:tc>
          <w:tcPr>
            <w:tcW w:w="3840" w:type="dxa"/>
            <w:noWrap/>
            <w:hideMark/>
          </w:tcPr>
          <w:p w14:paraId="00C80EDB" w14:textId="77777777" w:rsidR="00BD415C" w:rsidRPr="00BD415C" w:rsidRDefault="00BD415C" w:rsidP="00BD415C">
            <w:pPr>
              <w:pStyle w:val="Source"/>
              <w:spacing w:before="0" w:after="0"/>
              <w:rPr>
                <w:sz w:val="2"/>
                <w:szCs w:val="2"/>
              </w:rPr>
            </w:pPr>
          </w:p>
        </w:tc>
        <w:tc>
          <w:tcPr>
            <w:tcW w:w="4720" w:type="dxa"/>
            <w:noWrap/>
            <w:hideMark/>
          </w:tcPr>
          <w:p w14:paraId="15EE980A" w14:textId="77777777" w:rsidR="00BD415C" w:rsidRPr="00BD415C" w:rsidRDefault="00BD415C" w:rsidP="00BD415C">
            <w:pPr>
              <w:pStyle w:val="Source"/>
              <w:spacing w:before="0" w:after="0"/>
              <w:rPr>
                <w:sz w:val="2"/>
                <w:szCs w:val="2"/>
              </w:rPr>
            </w:pPr>
            <w:r w:rsidRPr="00BD415C">
              <w:rPr>
                <w:sz w:val="2"/>
                <w:szCs w:val="2"/>
              </w:rPr>
              <w:t>General Clerk</w:t>
            </w:r>
          </w:p>
        </w:tc>
        <w:tc>
          <w:tcPr>
            <w:tcW w:w="1420" w:type="dxa"/>
            <w:noWrap/>
            <w:hideMark/>
          </w:tcPr>
          <w:p w14:paraId="7D4B7F1D" w14:textId="77777777" w:rsidR="00BD415C" w:rsidRPr="00BD415C" w:rsidRDefault="00BD415C" w:rsidP="00BD415C">
            <w:pPr>
              <w:pStyle w:val="Source"/>
              <w:spacing w:before="0" w:after="0"/>
              <w:rPr>
                <w:sz w:val="2"/>
                <w:szCs w:val="2"/>
              </w:rPr>
            </w:pPr>
          </w:p>
        </w:tc>
        <w:tc>
          <w:tcPr>
            <w:tcW w:w="2020" w:type="dxa"/>
            <w:noWrap/>
            <w:hideMark/>
          </w:tcPr>
          <w:p w14:paraId="54586BD0" w14:textId="77777777" w:rsidR="00BD415C" w:rsidRPr="00BD415C" w:rsidRDefault="00BD415C" w:rsidP="00BD415C">
            <w:pPr>
              <w:pStyle w:val="Source"/>
              <w:spacing w:before="0" w:after="0"/>
              <w:rPr>
                <w:sz w:val="2"/>
                <w:szCs w:val="2"/>
              </w:rPr>
            </w:pPr>
            <w:r w:rsidRPr="00BD415C">
              <w:rPr>
                <w:sz w:val="2"/>
                <w:szCs w:val="2"/>
              </w:rPr>
              <w:t>2.2%</w:t>
            </w:r>
          </w:p>
        </w:tc>
        <w:tc>
          <w:tcPr>
            <w:tcW w:w="2480" w:type="dxa"/>
            <w:noWrap/>
            <w:hideMark/>
          </w:tcPr>
          <w:p w14:paraId="5F2CFEED" w14:textId="77777777" w:rsidR="00BD415C" w:rsidRPr="00BD415C" w:rsidRDefault="00BD415C" w:rsidP="00BD415C">
            <w:pPr>
              <w:pStyle w:val="Source"/>
              <w:spacing w:before="0" w:after="0"/>
              <w:rPr>
                <w:sz w:val="2"/>
                <w:szCs w:val="2"/>
              </w:rPr>
            </w:pPr>
          </w:p>
        </w:tc>
      </w:tr>
      <w:tr w:rsidR="00BD415C" w:rsidRPr="00BD415C" w14:paraId="0147D1B6" w14:textId="77777777" w:rsidTr="00BD415C">
        <w:trPr>
          <w:trHeight w:val="20"/>
          <w:jc w:val="center"/>
        </w:trPr>
        <w:tc>
          <w:tcPr>
            <w:tcW w:w="3840" w:type="dxa"/>
            <w:noWrap/>
            <w:hideMark/>
          </w:tcPr>
          <w:p w14:paraId="1DEB5A0B" w14:textId="77777777" w:rsidR="00BD415C" w:rsidRPr="00BD415C" w:rsidRDefault="00BD415C" w:rsidP="00BD415C">
            <w:pPr>
              <w:pStyle w:val="Source"/>
              <w:spacing w:before="0" w:after="0"/>
              <w:rPr>
                <w:sz w:val="2"/>
                <w:szCs w:val="2"/>
              </w:rPr>
            </w:pPr>
          </w:p>
        </w:tc>
        <w:tc>
          <w:tcPr>
            <w:tcW w:w="4720" w:type="dxa"/>
            <w:noWrap/>
            <w:hideMark/>
          </w:tcPr>
          <w:p w14:paraId="68EA1164" w14:textId="77777777" w:rsidR="00BD415C" w:rsidRPr="00BD415C" w:rsidRDefault="00BD415C" w:rsidP="00BD415C">
            <w:pPr>
              <w:pStyle w:val="Source"/>
              <w:spacing w:before="0" w:after="0"/>
              <w:rPr>
                <w:sz w:val="2"/>
                <w:szCs w:val="2"/>
              </w:rPr>
            </w:pPr>
            <w:r w:rsidRPr="00BD415C">
              <w:rPr>
                <w:sz w:val="2"/>
                <w:szCs w:val="2"/>
              </w:rPr>
              <w:t>Child Care Centre Manager</w:t>
            </w:r>
          </w:p>
        </w:tc>
        <w:tc>
          <w:tcPr>
            <w:tcW w:w="1420" w:type="dxa"/>
            <w:noWrap/>
            <w:hideMark/>
          </w:tcPr>
          <w:p w14:paraId="76AA0869" w14:textId="77777777" w:rsidR="00BD415C" w:rsidRPr="00BD415C" w:rsidRDefault="00BD415C" w:rsidP="00BD415C">
            <w:pPr>
              <w:pStyle w:val="Source"/>
              <w:spacing w:before="0" w:after="0"/>
              <w:rPr>
                <w:sz w:val="2"/>
                <w:szCs w:val="2"/>
              </w:rPr>
            </w:pPr>
            <w:r w:rsidRPr="00BD415C">
              <w:rPr>
                <w:sz w:val="2"/>
                <w:szCs w:val="2"/>
              </w:rPr>
              <w:t>2.0%</w:t>
            </w:r>
          </w:p>
        </w:tc>
        <w:tc>
          <w:tcPr>
            <w:tcW w:w="2020" w:type="dxa"/>
            <w:noWrap/>
            <w:hideMark/>
          </w:tcPr>
          <w:p w14:paraId="7411913D" w14:textId="77777777" w:rsidR="00BD415C" w:rsidRPr="00BD415C" w:rsidRDefault="00BD415C" w:rsidP="00BD415C">
            <w:pPr>
              <w:pStyle w:val="Source"/>
              <w:spacing w:before="0" w:after="0"/>
              <w:rPr>
                <w:sz w:val="2"/>
                <w:szCs w:val="2"/>
              </w:rPr>
            </w:pPr>
          </w:p>
        </w:tc>
        <w:tc>
          <w:tcPr>
            <w:tcW w:w="2480" w:type="dxa"/>
            <w:noWrap/>
            <w:hideMark/>
          </w:tcPr>
          <w:p w14:paraId="60FDBCFB" w14:textId="77777777" w:rsidR="00BD415C" w:rsidRPr="00BD415C" w:rsidRDefault="00BD415C" w:rsidP="00BD415C">
            <w:pPr>
              <w:pStyle w:val="Source"/>
              <w:spacing w:before="0" w:after="0"/>
              <w:rPr>
                <w:sz w:val="2"/>
                <w:szCs w:val="2"/>
              </w:rPr>
            </w:pPr>
          </w:p>
        </w:tc>
      </w:tr>
      <w:tr w:rsidR="00BD415C" w:rsidRPr="00BD415C" w14:paraId="68E70120" w14:textId="77777777" w:rsidTr="00BD415C">
        <w:trPr>
          <w:trHeight w:val="20"/>
          <w:jc w:val="center"/>
        </w:trPr>
        <w:tc>
          <w:tcPr>
            <w:tcW w:w="3840" w:type="dxa"/>
            <w:noWrap/>
            <w:hideMark/>
          </w:tcPr>
          <w:p w14:paraId="3B44F581" w14:textId="77777777" w:rsidR="00BD415C" w:rsidRPr="00BD415C" w:rsidRDefault="00BD415C" w:rsidP="00BD415C">
            <w:pPr>
              <w:pStyle w:val="Source"/>
              <w:spacing w:before="0" w:after="0"/>
              <w:rPr>
                <w:sz w:val="2"/>
                <w:szCs w:val="2"/>
              </w:rPr>
            </w:pPr>
          </w:p>
        </w:tc>
        <w:tc>
          <w:tcPr>
            <w:tcW w:w="4720" w:type="dxa"/>
            <w:noWrap/>
            <w:hideMark/>
          </w:tcPr>
          <w:p w14:paraId="5F8B2D28" w14:textId="77777777" w:rsidR="00BD415C" w:rsidRPr="00BD415C" w:rsidRDefault="00BD415C" w:rsidP="00BD415C">
            <w:pPr>
              <w:pStyle w:val="Source"/>
              <w:spacing w:before="0" w:after="0"/>
              <w:rPr>
                <w:sz w:val="2"/>
                <w:szCs w:val="2"/>
              </w:rPr>
            </w:pPr>
            <w:r w:rsidRPr="00BD415C">
              <w:rPr>
                <w:sz w:val="2"/>
                <w:szCs w:val="2"/>
              </w:rPr>
              <w:t>Early Childhood (Pre-primary School) Teacher</w:t>
            </w:r>
          </w:p>
        </w:tc>
        <w:tc>
          <w:tcPr>
            <w:tcW w:w="1420" w:type="dxa"/>
            <w:noWrap/>
            <w:hideMark/>
          </w:tcPr>
          <w:p w14:paraId="79502DEC" w14:textId="77777777" w:rsidR="00BD415C" w:rsidRPr="00BD415C" w:rsidRDefault="00BD415C" w:rsidP="00BD415C">
            <w:pPr>
              <w:pStyle w:val="Source"/>
              <w:spacing w:before="0" w:after="0"/>
              <w:rPr>
                <w:sz w:val="2"/>
                <w:szCs w:val="2"/>
              </w:rPr>
            </w:pPr>
            <w:r w:rsidRPr="00BD415C">
              <w:rPr>
                <w:sz w:val="2"/>
                <w:szCs w:val="2"/>
              </w:rPr>
              <w:t>1.8%</w:t>
            </w:r>
          </w:p>
        </w:tc>
        <w:tc>
          <w:tcPr>
            <w:tcW w:w="2020" w:type="dxa"/>
            <w:noWrap/>
            <w:hideMark/>
          </w:tcPr>
          <w:p w14:paraId="13FEA123" w14:textId="77777777" w:rsidR="00BD415C" w:rsidRPr="00BD415C" w:rsidRDefault="00BD415C" w:rsidP="00BD415C">
            <w:pPr>
              <w:pStyle w:val="Source"/>
              <w:spacing w:before="0" w:after="0"/>
              <w:rPr>
                <w:sz w:val="2"/>
                <w:szCs w:val="2"/>
              </w:rPr>
            </w:pPr>
          </w:p>
        </w:tc>
        <w:tc>
          <w:tcPr>
            <w:tcW w:w="2480" w:type="dxa"/>
            <w:noWrap/>
            <w:hideMark/>
          </w:tcPr>
          <w:p w14:paraId="2A786C7F" w14:textId="77777777" w:rsidR="00BD415C" w:rsidRPr="00BD415C" w:rsidRDefault="00BD415C" w:rsidP="00BD415C">
            <w:pPr>
              <w:pStyle w:val="Source"/>
              <w:spacing w:before="0" w:after="0"/>
              <w:rPr>
                <w:sz w:val="2"/>
                <w:szCs w:val="2"/>
              </w:rPr>
            </w:pPr>
          </w:p>
        </w:tc>
      </w:tr>
      <w:tr w:rsidR="00BD415C" w:rsidRPr="00BD415C" w14:paraId="4B82639D" w14:textId="77777777" w:rsidTr="00BD415C">
        <w:trPr>
          <w:trHeight w:val="20"/>
          <w:jc w:val="center"/>
        </w:trPr>
        <w:tc>
          <w:tcPr>
            <w:tcW w:w="3840" w:type="dxa"/>
            <w:hideMark/>
          </w:tcPr>
          <w:p w14:paraId="01232349" w14:textId="77777777" w:rsidR="00BD415C" w:rsidRPr="00BD415C" w:rsidRDefault="00BD415C" w:rsidP="00BD415C">
            <w:pPr>
              <w:pStyle w:val="Source"/>
              <w:spacing w:before="0" w:after="0"/>
              <w:rPr>
                <w:sz w:val="2"/>
                <w:szCs w:val="2"/>
              </w:rPr>
            </w:pPr>
          </w:p>
        </w:tc>
        <w:tc>
          <w:tcPr>
            <w:tcW w:w="4720" w:type="dxa"/>
            <w:noWrap/>
            <w:hideMark/>
          </w:tcPr>
          <w:p w14:paraId="3C0D6842" w14:textId="77777777" w:rsidR="00BD415C" w:rsidRPr="00BD415C" w:rsidRDefault="00BD415C" w:rsidP="00BD415C">
            <w:pPr>
              <w:pStyle w:val="Source"/>
              <w:spacing w:before="0" w:after="0"/>
              <w:rPr>
                <w:sz w:val="2"/>
                <w:szCs w:val="2"/>
              </w:rPr>
            </w:pPr>
          </w:p>
        </w:tc>
        <w:tc>
          <w:tcPr>
            <w:tcW w:w="1420" w:type="dxa"/>
            <w:noWrap/>
            <w:hideMark/>
          </w:tcPr>
          <w:p w14:paraId="6965836B" w14:textId="77777777" w:rsidR="00BD415C" w:rsidRPr="00BD415C" w:rsidRDefault="00BD415C" w:rsidP="00BD415C">
            <w:pPr>
              <w:pStyle w:val="Source"/>
              <w:spacing w:before="0" w:after="0"/>
              <w:rPr>
                <w:b/>
                <w:bCs/>
                <w:sz w:val="2"/>
                <w:szCs w:val="2"/>
              </w:rPr>
            </w:pPr>
            <w:r w:rsidRPr="00BD415C">
              <w:rPr>
                <w:b/>
                <w:bCs/>
                <w:sz w:val="2"/>
                <w:szCs w:val="2"/>
              </w:rPr>
              <w:t>Other ECEC</w:t>
            </w:r>
          </w:p>
        </w:tc>
        <w:tc>
          <w:tcPr>
            <w:tcW w:w="2020" w:type="dxa"/>
            <w:noWrap/>
            <w:hideMark/>
          </w:tcPr>
          <w:p w14:paraId="766F8432" w14:textId="77777777" w:rsidR="00BD415C" w:rsidRPr="00BD415C" w:rsidRDefault="00BD415C" w:rsidP="00BD415C">
            <w:pPr>
              <w:pStyle w:val="Source"/>
              <w:spacing w:before="0" w:after="0"/>
              <w:rPr>
                <w:b/>
                <w:bCs/>
                <w:sz w:val="2"/>
                <w:szCs w:val="2"/>
              </w:rPr>
            </w:pPr>
            <w:r w:rsidRPr="00BD415C">
              <w:rPr>
                <w:b/>
                <w:bCs/>
                <w:sz w:val="2"/>
                <w:szCs w:val="2"/>
              </w:rPr>
              <w:t>Other Occupation</w:t>
            </w:r>
          </w:p>
        </w:tc>
        <w:tc>
          <w:tcPr>
            <w:tcW w:w="2480" w:type="dxa"/>
            <w:noWrap/>
            <w:hideMark/>
          </w:tcPr>
          <w:p w14:paraId="2F2F7AAF" w14:textId="77777777" w:rsidR="00BD415C" w:rsidRPr="00BD415C" w:rsidRDefault="00BD415C" w:rsidP="00BD415C">
            <w:pPr>
              <w:pStyle w:val="Source"/>
              <w:spacing w:before="0" w:after="0"/>
              <w:rPr>
                <w:b/>
                <w:bCs/>
                <w:sz w:val="2"/>
                <w:szCs w:val="2"/>
              </w:rPr>
            </w:pPr>
            <w:r w:rsidRPr="00BD415C">
              <w:rPr>
                <w:b/>
                <w:bCs/>
                <w:sz w:val="2"/>
                <w:szCs w:val="2"/>
              </w:rPr>
              <w:t>No return or unknown</w:t>
            </w:r>
          </w:p>
        </w:tc>
      </w:tr>
      <w:tr w:rsidR="00BD415C" w:rsidRPr="00BD415C" w14:paraId="16036A76" w14:textId="77777777" w:rsidTr="00BD415C">
        <w:trPr>
          <w:trHeight w:val="20"/>
          <w:jc w:val="center"/>
        </w:trPr>
        <w:tc>
          <w:tcPr>
            <w:tcW w:w="3840" w:type="dxa"/>
            <w:noWrap/>
            <w:hideMark/>
          </w:tcPr>
          <w:p w14:paraId="64346848" w14:textId="77777777" w:rsidR="00BD415C" w:rsidRPr="00BD415C" w:rsidRDefault="00BD415C" w:rsidP="00BD415C">
            <w:pPr>
              <w:pStyle w:val="Source"/>
              <w:spacing w:before="0" w:after="0"/>
              <w:rPr>
                <w:b/>
                <w:bCs/>
                <w:sz w:val="2"/>
                <w:szCs w:val="2"/>
              </w:rPr>
            </w:pPr>
            <w:r w:rsidRPr="00BD415C">
              <w:rPr>
                <w:b/>
                <w:bCs/>
                <w:sz w:val="2"/>
                <w:szCs w:val="2"/>
              </w:rPr>
              <w:t>Early Childhood Teacher</w:t>
            </w:r>
          </w:p>
        </w:tc>
        <w:tc>
          <w:tcPr>
            <w:tcW w:w="6140" w:type="dxa"/>
            <w:gridSpan w:val="2"/>
            <w:noWrap/>
            <w:hideMark/>
          </w:tcPr>
          <w:p w14:paraId="499181B9" w14:textId="77777777" w:rsidR="00BD415C" w:rsidRPr="00BD415C" w:rsidRDefault="00BD415C" w:rsidP="00BD415C">
            <w:pPr>
              <w:pStyle w:val="Source"/>
              <w:spacing w:before="0" w:after="0"/>
              <w:rPr>
                <w:sz w:val="2"/>
                <w:szCs w:val="2"/>
              </w:rPr>
            </w:pPr>
            <w:r w:rsidRPr="00BD415C">
              <w:rPr>
                <w:sz w:val="2"/>
                <w:szCs w:val="2"/>
              </w:rPr>
              <w:t>Primary School Teacher</w:t>
            </w:r>
          </w:p>
        </w:tc>
        <w:tc>
          <w:tcPr>
            <w:tcW w:w="2020" w:type="dxa"/>
            <w:noWrap/>
            <w:hideMark/>
          </w:tcPr>
          <w:p w14:paraId="6E2A81CD" w14:textId="77777777" w:rsidR="00BD415C" w:rsidRPr="00BD415C" w:rsidRDefault="00BD415C" w:rsidP="00BD415C">
            <w:pPr>
              <w:pStyle w:val="Source"/>
              <w:spacing w:before="0" w:after="0"/>
              <w:rPr>
                <w:sz w:val="2"/>
                <w:szCs w:val="2"/>
              </w:rPr>
            </w:pPr>
            <w:r w:rsidRPr="00BD415C">
              <w:rPr>
                <w:sz w:val="2"/>
                <w:szCs w:val="2"/>
              </w:rPr>
              <w:t>24.1%</w:t>
            </w:r>
          </w:p>
        </w:tc>
        <w:tc>
          <w:tcPr>
            <w:tcW w:w="2480" w:type="dxa"/>
            <w:noWrap/>
            <w:hideMark/>
          </w:tcPr>
          <w:p w14:paraId="6FC28F61" w14:textId="77777777" w:rsidR="00BD415C" w:rsidRPr="00BD415C" w:rsidRDefault="00BD415C" w:rsidP="00BD415C">
            <w:pPr>
              <w:pStyle w:val="Source"/>
              <w:spacing w:before="0" w:after="0"/>
              <w:rPr>
                <w:sz w:val="2"/>
                <w:szCs w:val="2"/>
              </w:rPr>
            </w:pPr>
          </w:p>
        </w:tc>
      </w:tr>
      <w:tr w:rsidR="00BD415C" w:rsidRPr="00BD415C" w14:paraId="3EED1D1E" w14:textId="77777777" w:rsidTr="00BD415C">
        <w:trPr>
          <w:trHeight w:val="20"/>
          <w:jc w:val="center"/>
        </w:trPr>
        <w:tc>
          <w:tcPr>
            <w:tcW w:w="3840" w:type="dxa"/>
            <w:noWrap/>
            <w:hideMark/>
          </w:tcPr>
          <w:p w14:paraId="1C17EBD7" w14:textId="77777777" w:rsidR="00BD415C" w:rsidRPr="00BD415C" w:rsidRDefault="00BD415C" w:rsidP="00BD415C">
            <w:pPr>
              <w:pStyle w:val="Source"/>
              <w:spacing w:before="0" w:after="0"/>
              <w:rPr>
                <w:sz w:val="2"/>
                <w:szCs w:val="2"/>
              </w:rPr>
            </w:pPr>
          </w:p>
        </w:tc>
        <w:tc>
          <w:tcPr>
            <w:tcW w:w="4720" w:type="dxa"/>
            <w:noWrap/>
            <w:hideMark/>
          </w:tcPr>
          <w:p w14:paraId="5CBF48B5" w14:textId="77777777" w:rsidR="00BD415C" w:rsidRPr="00BD415C" w:rsidRDefault="00BD415C" w:rsidP="00BD415C">
            <w:pPr>
              <w:pStyle w:val="Source"/>
              <w:spacing w:before="0" w:after="0"/>
              <w:rPr>
                <w:sz w:val="2"/>
                <w:szCs w:val="2"/>
              </w:rPr>
            </w:pPr>
            <w:r w:rsidRPr="00BD415C">
              <w:rPr>
                <w:sz w:val="2"/>
                <w:szCs w:val="2"/>
              </w:rPr>
              <w:t>Unknown</w:t>
            </w:r>
          </w:p>
        </w:tc>
        <w:tc>
          <w:tcPr>
            <w:tcW w:w="1420" w:type="dxa"/>
            <w:noWrap/>
            <w:hideMark/>
          </w:tcPr>
          <w:p w14:paraId="31552B09" w14:textId="77777777" w:rsidR="00BD415C" w:rsidRPr="00BD415C" w:rsidRDefault="00BD415C" w:rsidP="00BD415C">
            <w:pPr>
              <w:pStyle w:val="Source"/>
              <w:spacing w:before="0" w:after="0"/>
              <w:rPr>
                <w:sz w:val="2"/>
                <w:szCs w:val="2"/>
              </w:rPr>
            </w:pPr>
          </w:p>
        </w:tc>
        <w:tc>
          <w:tcPr>
            <w:tcW w:w="2020" w:type="dxa"/>
            <w:noWrap/>
            <w:hideMark/>
          </w:tcPr>
          <w:p w14:paraId="2B60C599" w14:textId="77777777" w:rsidR="00BD415C" w:rsidRPr="00BD415C" w:rsidRDefault="00BD415C" w:rsidP="00BD415C">
            <w:pPr>
              <w:pStyle w:val="Source"/>
              <w:spacing w:before="0" w:after="0"/>
              <w:rPr>
                <w:sz w:val="2"/>
                <w:szCs w:val="2"/>
              </w:rPr>
            </w:pPr>
          </w:p>
        </w:tc>
        <w:tc>
          <w:tcPr>
            <w:tcW w:w="2480" w:type="dxa"/>
            <w:noWrap/>
            <w:hideMark/>
          </w:tcPr>
          <w:p w14:paraId="3A894371" w14:textId="77777777" w:rsidR="00BD415C" w:rsidRPr="00BD415C" w:rsidRDefault="00BD415C" w:rsidP="00BD415C">
            <w:pPr>
              <w:pStyle w:val="Source"/>
              <w:spacing w:before="0" w:after="0"/>
              <w:rPr>
                <w:sz w:val="2"/>
                <w:szCs w:val="2"/>
              </w:rPr>
            </w:pPr>
            <w:r w:rsidRPr="00BD415C">
              <w:rPr>
                <w:sz w:val="2"/>
                <w:szCs w:val="2"/>
              </w:rPr>
              <w:t>21.1%</w:t>
            </w:r>
          </w:p>
        </w:tc>
      </w:tr>
      <w:tr w:rsidR="00BD415C" w:rsidRPr="00BD415C" w14:paraId="72589FCB" w14:textId="77777777" w:rsidTr="00BD415C">
        <w:trPr>
          <w:trHeight w:val="20"/>
          <w:jc w:val="center"/>
        </w:trPr>
        <w:tc>
          <w:tcPr>
            <w:tcW w:w="3840" w:type="dxa"/>
            <w:noWrap/>
            <w:hideMark/>
          </w:tcPr>
          <w:p w14:paraId="2982E449" w14:textId="77777777" w:rsidR="00BD415C" w:rsidRPr="00BD415C" w:rsidRDefault="00BD415C" w:rsidP="00BD415C">
            <w:pPr>
              <w:pStyle w:val="Source"/>
              <w:spacing w:before="0" w:after="0"/>
              <w:rPr>
                <w:sz w:val="2"/>
                <w:szCs w:val="2"/>
              </w:rPr>
            </w:pPr>
          </w:p>
        </w:tc>
        <w:tc>
          <w:tcPr>
            <w:tcW w:w="4720" w:type="dxa"/>
            <w:noWrap/>
            <w:hideMark/>
          </w:tcPr>
          <w:p w14:paraId="1D7C9CF0" w14:textId="77777777" w:rsidR="00BD415C" w:rsidRPr="00BD415C" w:rsidRDefault="00BD415C" w:rsidP="00BD415C">
            <w:pPr>
              <w:pStyle w:val="Source"/>
              <w:spacing w:before="0" w:after="0"/>
              <w:rPr>
                <w:sz w:val="2"/>
                <w:szCs w:val="2"/>
              </w:rPr>
            </w:pPr>
            <w:r w:rsidRPr="00BD415C">
              <w:rPr>
                <w:sz w:val="2"/>
                <w:szCs w:val="2"/>
              </w:rPr>
              <w:t>No tax return</w:t>
            </w:r>
          </w:p>
        </w:tc>
        <w:tc>
          <w:tcPr>
            <w:tcW w:w="1420" w:type="dxa"/>
            <w:noWrap/>
            <w:hideMark/>
          </w:tcPr>
          <w:p w14:paraId="509D638D" w14:textId="77777777" w:rsidR="00BD415C" w:rsidRPr="00BD415C" w:rsidRDefault="00BD415C" w:rsidP="00BD415C">
            <w:pPr>
              <w:pStyle w:val="Source"/>
              <w:spacing w:before="0" w:after="0"/>
              <w:rPr>
                <w:sz w:val="2"/>
                <w:szCs w:val="2"/>
              </w:rPr>
            </w:pPr>
          </w:p>
        </w:tc>
        <w:tc>
          <w:tcPr>
            <w:tcW w:w="2020" w:type="dxa"/>
            <w:noWrap/>
            <w:hideMark/>
          </w:tcPr>
          <w:p w14:paraId="4100F330" w14:textId="77777777" w:rsidR="00BD415C" w:rsidRPr="00BD415C" w:rsidRDefault="00BD415C" w:rsidP="00BD415C">
            <w:pPr>
              <w:pStyle w:val="Source"/>
              <w:spacing w:before="0" w:after="0"/>
              <w:rPr>
                <w:sz w:val="2"/>
                <w:szCs w:val="2"/>
              </w:rPr>
            </w:pPr>
          </w:p>
        </w:tc>
        <w:tc>
          <w:tcPr>
            <w:tcW w:w="2480" w:type="dxa"/>
            <w:noWrap/>
            <w:hideMark/>
          </w:tcPr>
          <w:p w14:paraId="5C7E3F8B" w14:textId="77777777" w:rsidR="00BD415C" w:rsidRPr="00BD415C" w:rsidRDefault="00BD415C" w:rsidP="00BD415C">
            <w:pPr>
              <w:pStyle w:val="Source"/>
              <w:spacing w:before="0" w:after="0"/>
              <w:rPr>
                <w:sz w:val="2"/>
                <w:szCs w:val="2"/>
              </w:rPr>
            </w:pPr>
            <w:r w:rsidRPr="00BD415C">
              <w:rPr>
                <w:sz w:val="2"/>
                <w:szCs w:val="2"/>
              </w:rPr>
              <w:t>19.8%</w:t>
            </w:r>
          </w:p>
        </w:tc>
      </w:tr>
      <w:tr w:rsidR="00BD415C" w:rsidRPr="00BD415C" w14:paraId="2782CED3" w14:textId="77777777" w:rsidTr="00BD415C">
        <w:trPr>
          <w:trHeight w:val="20"/>
          <w:jc w:val="center"/>
        </w:trPr>
        <w:tc>
          <w:tcPr>
            <w:tcW w:w="3840" w:type="dxa"/>
            <w:noWrap/>
            <w:hideMark/>
          </w:tcPr>
          <w:p w14:paraId="4CF728F4" w14:textId="77777777" w:rsidR="00BD415C" w:rsidRPr="00BD415C" w:rsidRDefault="00BD415C" w:rsidP="00BD415C">
            <w:pPr>
              <w:pStyle w:val="Source"/>
              <w:spacing w:before="0" w:after="0"/>
              <w:rPr>
                <w:sz w:val="2"/>
                <w:szCs w:val="2"/>
              </w:rPr>
            </w:pPr>
          </w:p>
        </w:tc>
        <w:tc>
          <w:tcPr>
            <w:tcW w:w="4720" w:type="dxa"/>
            <w:noWrap/>
            <w:hideMark/>
          </w:tcPr>
          <w:p w14:paraId="40EAFC5F" w14:textId="77777777" w:rsidR="00BD415C" w:rsidRPr="00BD415C" w:rsidRDefault="00BD415C" w:rsidP="00BD415C">
            <w:pPr>
              <w:pStyle w:val="Source"/>
              <w:spacing w:before="0" w:after="0"/>
              <w:rPr>
                <w:sz w:val="2"/>
                <w:szCs w:val="2"/>
              </w:rPr>
            </w:pPr>
            <w:r w:rsidRPr="00BD415C">
              <w:rPr>
                <w:sz w:val="2"/>
                <w:szCs w:val="2"/>
              </w:rPr>
              <w:t>Other occupations</w:t>
            </w:r>
          </w:p>
        </w:tc>
        <w:tc>
          <w:tcPr>
            <w:tcW w:w="1420" w:type="dxa"/>
            <w:noWrap/>
            <w:hideMark/>
          </w:tcPr>
          <w:p w14:paraId="11E0994A" w14:textId="77777777" w:rsidR="00BD415C" w:rsidRPr="00BD415C" w:rsidRDefault="00BD415C" w:rsidP="00BD415C">
            <w:pPr>
              <w:pStyle w:val="Source"/>
              <w:spacing w:before="0" w:after="0"/>
              <w:rPr>
                <w:sz w:val="2"/>
                <w:szCs w:val="2"/>
              </w:rPr>
            </w:pPr>
          </w:p>
        </w:tc>
        <w:tc>
          <w:tcPr>
            <w:tcW w:w="2020" w:type="dxa"/>
            <w:noWrap/>
            <w:hideMark/>
          </w:tcPr>
          <w:p w14:paraId="70655803" w14:textId="77777777" w:rsidR="00BD415C" w:rsidRPr="00BD415C" w:rsidRDefault="00BD415C" w:rsidP="00BD415C">
            <w:pPr>
              <w:pStyle w:val="Source"/>
              <w:spacing w:before="0" w:after="0"/>
              <w:rPr>
                <w:sz w:val="2"/>
                <w:szCs w:val="2"/>
              </w:rPr>
            </w:pPr>
            <w:r w:rsidRPr="00BD415C">
              <w:rPr>
                <w:sz w:val="2"/>
                <w:szCs w:val="2"/>
              </w:rPr>
              <w:t>14.7%</w:t>
            </w:r>
          </w:p>
        </w:tc>
        <w:tc>
          <w:tcPr>
            <w:tcW w:w="2480" w:type="dxa"/>
            <w:noWrap/>
            <w:hideMark/>
          </w:tcPr>
          <w:p w14:paraId="7AEE6AC4" w14:textId="77777777" w:rsidR="00BD415C" w:rsidRPr="00BD415C" w:rsidRDefault="00BD415C" w:rsidP="00BD415C">
            <w:pPr>
              <w:pStyle w:val="Source"/>
              <w:spacing w:before="0" w:after="0"/>
              <w:rPr>
                <w:sz w:val="2"/>
                <w:szCs w:val="2"/>
              </w:rPr>
            </w:pPr>
          </w:p>
        </w:tc>
      </w:tr>
      <w:tr w:rsidR="00BD415C" w:rsidRPr="00BD415C" w14:paraId="6613A800" w14:textId="77777777" w:rsidTr="00BD415C">
        <w:trPr>
          <w:trHeight w:val="20"/>
          <w:jc w:val="center"/>
        </w:trPr>
        <w:tc>
          <w:tcPr>
            <w:tcW w:w="3840" w:type="dxa"/>
            <w:noWrap/>
            <w:hideMark/>
          </w:tcPr>
          <w:p w14:paraId="60454499" w14:textId="77777777" w:rsidR="00BD415C" w:rsidRPr="00BD415C" w:rsidRDefault="00BD415C" w:rsidP="00BD415C">
            <w:pPr>
              <w:pStyle w:val="Source"/>
              <w:spacing w:before="0" w:after="0"/>
              <w:rPr>
                <w:sz w:val="2"/>
                <w:szCs w:val="2"/>
              </w:rPr>
            </w:pPr>
          </w:p>
        </w:tc>
        <w:tc>
          <w:tcPr>
            <w:tcW w:w="4720" w:type="dxa"/>
            <w:noWrap/>
            <w:hideMark/>
          </w:tcPr>
          <w:p w14:paraId="5C659A84" w14:textId="77777777" w:rsidR="00BD415C" w:rsidRPr="00BD415C" w:rsidRDefault="00BD415C" w:rsidP="00BD415C">
            <w:pPr>
              <w:pStyle w:val="Source"/>
              <w:spacing w:before="0" w:after="0"/>
              <w:rPr>
                <w:sz w:val="2"/>
                <w:szCs w:val="2"/>
              </w:rPr>
            </w:pPr>
            <w:r w:rsidRPr="00BD415C">
              <w:rPr>
                <w:sz w:val="2"/>
                <w:szCs w:val="2"/>
              </w:rPr>
              <w:t>Child Care Worker</w:t>
            </w:r>
          </w:p>
        </w:tc>
        <w:tc>
          <w:tcPr>
            <w:tcW w:w="1420" w:type="dxa"/>
            <w:noWrap/>
            <w:hideMark/>
          </w:tcPr>
          <w:p w14:paraId="40E59A3C" w14:textId="77777777" w:rsidR="00BD415C" w:rsidRPr="00BD415C" w:rsidRDefault="00BD415C" w:rsidP="00BD415C">
            <w:pPr>
              <w:pStyle w:val="Source"/>
              <w:spacing w:before="0" w:after="0"/>
              <w:rPr>
                <w:sz w:val="2"/>
                <w:szCs w:val="2"/>
              </w:rPr>
            </w:pPr>
            <w:r w:rsidRPr="00BD415C">
              <w:rPr>
                <w:sz w:val="2"/>
                <w:szCs w:val="2"/>
              </w:rPr>
              <w:t>11.3%</w:t>
            </w:r>
          </w:p>
        </w:tc>
        <w:tc>
          <w:tcPr>
            <w:tcW w:w="2020" w:type="dxa"/>
            <w:noWrap/>
            <w:hideMark/>
          </w:tcPr>
          <w:p w14:paraId="435AD94C" w14:textId="77777777" w:rsidR="00BD415C" w:rsidRPr="00BD415C" w:rsidRDefault="00BD415C" w:rsidP="00BD415C">
            <w:pPr>
              <w:pStyle w:val="Source"/>
              <w:spacing w:before="0" w:after="0"/>
              <w:rPr>
                <w:sz w:val="2"/>
                <w:szCs w:val="2"/>
              </w:rPr>
            </w:pPr>
          </w:p>
        </w:tc>
        <w:tc>
          <w:tcPr>
            <w:tcW w:w="2480" w:type="dxa"/>
            <w:noWrap/>
            <w:hideMark/>
          </w:tcPr>
          <w:p w14:paraId="0F4F08DC" w14:textId="77777777" w:rsidR="00BD415C" w:rsidRPr="00BD415C" w:rsidRDefault="00BD415C" w:rsidP="00BD415C">
            <w:pPr>
              <w:pStyle w:val="Source"/>
              <w:spacing w:before="0" w:after="0"/>
              <w:rPr>
                <w:sz w:val="2"/>
                <w:szCs w:val="2"/>
              </w:rPr>
            </w:pPr>
          </w:p>
        </w:tc>
      </w:tr>
      <w:tr w:rsidR="00BD415C" w:rsidRPr="00BD415C" w14:paraId="1ECD776D" w14:textId="77777777" w:rsidTr="00BD415C">
        <w:trPr>
          <w:trHeight w:val="20"/>
          <w:jc w:val="center"/>
        </w:trPr>
        <w:tc>
          <w:tcPr>
            <w:tcW w:w="3840" w:type="dxa"/>
            <w:hideMark/>
          </w:tcPr>
          <w:p w14:paraId="1B20FE2A" w14:textId="77777777" w:rsidR="00BD415C" w:rsidRPr="00BD415C" w:rsidRDefault="00BD415C" w:rsidP="00BD415C">
            <w:pPr>
              <w:pStyle w:val="Source"/>
              <w:spacing w:before="0" w:after="0"/>
              <w:rPr>
                <w:sz w:val="2"/>
                <w:szCs w:val="2"/>
              </w:rPr>
            </w:pPr>
          </w:p>
        </w:tc>
        <w:tc>
          <w:tcPr>
            <w:tcW w:w="4720" w:type="dxa"/>
            <w:noWrap/>
            <w:hideMark/>
          </w:tcPr>
          <w:p w14:paraId="5BC355E4" w14:textId="77777777" w:rsidR="00BD415C" w:rsidRPr="00BD415C" w:rsidRDefault="00BD415C" w:rsidP="00BD415C">
            <w:pPr>
              <w:pStyle w:val="Source"/>
              <w:spacing w:before="0" w:after="0"/>
              <w:rPr>
                <w:sz w:val="2"/>
                <w:szCs w:val="2"/>
              </w:rPr>
            </w:pPr>
            <w:r w:rsidRPr="00BD415C">
              <w:rPr>
                <w:sz w:val="2"/>
                <w:szCs w:val="2"/>
              </w:rPr>
              <w:t>Child Care Centre Manager</w:t>
            </w:r>
          </w:p>
        </w:tc>
        <w:tc>
          <w:tcPr>
            <w:tcW w:w="1420" w:type="dxa"/>
            <w:noWrap/>
            <w:hideMark/>
          </w:tcPr>
          <w:p w14:paraId="6FC2F45A" w14:textId="77777777" w:rsidR="00BD415C" w:rsidRPr="00BD415C" w:rsidRDefault="00BD415C" w:rsidP="00BD415C">
            <w:pPr>
              <w:pStyle w:val="Source"/>
              <w:spacing w:before="0" w:after="0"/>
              <w:rPr>
                <w:sz w:val="2"/>
                <w:szCs w:val="2"/>
              </w:rPr>
            </w:pPr>
            <w:r w:rsidRPr="00BD415C">
              <w:rPr>
                <w:sz w:val="2"/>
                <w:szCs w:val="2"/>
              </w:rPr>
              <w:t>3.3%</w:t>
            </w:r>
          </w:p>
        </w:tc>
        <w:tc>
          <w:tcPr>
            <w:tcW w:w="2020" w:type="dxa"/>
            <w:noWrap/>
            <w:hideMark/>
          </w:tcPr>
          <w:p w14:paraId="25250972" w14:textId="77777777" w:rsidR="00BD415C" w:rsidRPr="00BD415C" w:rsidRDefault="00BD415C" w:rsidP="00BD415C">
            <w:pPr>
              <w:pStyle w:val="Source"/>
              <w:spacing w:before="0" w:after="0"/>
              <w:rPr>
                <w:sz w:val="2"/>
                <w:szCs w:val="2"/>
              </w:rPr>
            </w:pPr>
          </w:p>
        </w:tc>
        <w:tc>
          <w:tcPr>
            <w:tcW w:w="2480" w:type="dxa"/>
            <w:noWrap/>
            <w:hideMark/>
          </w:tcPr>
          <w:p w14:paraId="18E831DC" w14:textId="77777777" w:rsidR="00BD415C" w:rsidRPr="00BD415C" w:rsidRDefault="00BD415C" w:rsidP="00BD415C">
            <w:pPr>
              <w:pStyle w:val="Source"/>
              <w:spacing w:before="0" w:after="0"/>
              <w:rPr>
                <w:sz w:val="2"/>
                <w:szCs w:val="2"/>
              </w:rPr>
            </w:pPr>
          </w:p>
        </w:tc>
      </w:tr>
      <w:tr w:rsidR="00BD415C" w:rsidRPr="00BD415C" w14:paraId="5424CD85" w14:textId="77777777" w:rsidTr="00BD415C">
        <w:trPr>
          <w:trHeight w:val="20"/>
          <w:jc w:val="center"/>
        </w:trPr>
        <w:tc>
          <w:tcPr>
            <w:tcW w:w="3840" w:type="dxa"/>
            <w:noWrap/>
            <w:hideMark/>
          </w:tcPr>
          <w:p w14:paraId="4B6B5468" w14:textId="77777777" w:rsidR="00BD415C" w:rsidRPr="00BD415C" w:rsidRDefault="00BD415C" w:rsidP="00BD415C">
            <w:pPr>
              <w:pStyle w:val="Source"/>
              <w:spacing w:before="0" w:after="0"/>
              <w:rPr>
                <w:sz w:val="2"/>
                <w:szCs w:val="2"/>
              </w:rPr>
            </w:pPr>
          </w:p>
        </w:tc>
        <w:tc>
          <w:tcPr>
            <w:tcW w:w="6140" w:type="dxa"/>
            <w:gridSpan w:val="2"/>
            <w:noWrap/>
            <w:hideMark/>
          </w:tcPr>
          <w:p w14:paraId="6F920261" w14:textId="77777777" w:rsidR="00BD415C" w:rsidRPr="00BD415C" w:rsidRDefault="00BD415C" w:rsidP="00BD415C">
            <w:pPr>
              <w:pStyle w:val="Source"/>
              <w:spacing w:before="0" w:after="0"/>
              <w:rPr>
                <w:sz w:val="2"/>
                <w:szCs w:val="2"/>
              </w:rPr>
            </w:pPr>
            <w:r w:rsidRPr="00BD415C">
              <w:rPr>
                <w:sz w:val="2"/>
                <w:szCs w:val="2"/>
              </w:rPr>
              <w:t>Secondary School Teacher</w:t>
            </w:r>
          </w:p>
        </w:tc>
        <w:tc>
          <w:tcPr>
            <w:tcW w:w="2020" w:type="dxa"/>
            <w:noWrap/>
            <w:hideMark/>
          </w:tcPr>
          <w:p w14:paraId="4F7232F5" w14:textId="77777777" w:rsidR="00BD415C" w:rsidRPr="00BD415C" w:rsidRDefault="00BD415C" w:rsidP="00BD415C">
            <w:pPr>
              <w:pStyle w:val="Source"/>
              <w:spacing w:before="0" w:after="0"/>
              <w:rPr>
                <w:sz w:val="2"/>
                <w:szCs w:val="2"/>
              </w:rPr>
            </w:pPr>
            <w:r w:rsidRPr="00BD415C">
              <w:rPr>
                <w:sz w:val="2"/>
                <w:szCs w:val="2"/>
              </w:rPr>
              <w:t>3.1%</w:t>
            </w:r>
          </w:p>
        </w:tc>
        <w:tc>
          <w:tcPr>
            <w:tcW w:w="2480" w:type="dxa"/>
            <w:noWrap/>
            <w:hideMark/>
          </w:tcPr>
          <w:p w14:paraId="6B19B43F" w14:textId="77777777" w:rsidR="00BD415C" w:rsidRPr="00BD415C" w:rsidRDefault="00BD415C" w:rsidP="00BD415C">
            <w:pPr>
              <w:pStyle w:val="Source"/>
              <w:spacing w:before="0" w:after="0"/>
              <w:rPr>
                <w:sz w:val="2"/>
                <w:szCs w:val="2"/>
              </w:rPr>
            </w:pPr>
          </w:p>
        </w:tc>
      </w:tr>
      <w:tr w:rsidR="00BD415C" w:rsidRPr="00BD415C" w14:paraId="5B1E3DB4" w14:textId="77777777" w:rsidTr="00BD415C">
        <w:trPr>
          <w:trHeight w:val="20"/>
          <w:jc w:val="center"/>
        </w:trPr>
        <w:tc>
          <w:tcPr>
            <w:tcW w:w="3840" w:type="dxa"/>
            <w:noWrap/>
            <w:hideMark/>
          </w:tcPr>
          <w:p w14:paraId="22ED523E" w14:textId="77777777" w:rsidR="00BD415C" w:rsidRPr="00BD415C" w:rsidRDefault="00BD415C" w:rsidP="00BD415C">
            <w:pPr>
              <w:pStyle w:val="Source"/>
              <w:spacing w:before="0" w:after="0"/>
              <w:rPr>
                <w:sz w:val="2"/>
                <w:szCs w:val="2"/>
              </w:rPr>
            </w:pPr>
          </w:p>
        </w:tc>
        <w:tc>
          <w:tcPr>
            <w:tcW w:w="4720" w:type="dxa"/>
            <w:noWrap/>
            <w:hideMark/>
          </w:tcPr>
          <w:p w14:paraId="0578CFB8" w14:textId="77777777" w:rsidR="00BD415C" w:rsidRPr="00BD415C" w:rsidRDefault="00BD415C" w:rsidP="00BD415C">
            <w:pPr>
              <w:pStyle w:val="Source"/>
              <w:spacing w:before="0" w:after="0"/>
              <w:rPr>
                <w:sz w:val="2"/>
                <w:szCs w:val="2"/>
              </w:rPr>
            </w:pPr>
            <w:r w:rsidRPr="00BD415C">
              <w:rPr>
                <w:sz w:val="2"/>
                <w:szCs w:val="2"/>
              </w:rPr>
              <w:t>Teachers' Aide</w:t>
            </w:r>
          </w:p>
        </w:tc>
        <w:tc>
          <w:tcPr>
            <w:tcW w:w="1420" w:type="dxa"/>
            <w:noWrap/>
            <w:hideMark/>
          </w:tcPr>
          <w:p w14:paraId="06C58C5B" w14:textId="77777777" w:rsidR="00BD415C" w:rsidRPr="00BD415C" w:rsidRDefault="00BD415C" w:rsidP="00BD415C">
            <w:pPr>
              <w:pStyle w:val="Source"/>
              <w:spacing w:before="0" w:after="0"/>
              <w:rPr>
                <w:sz w:val="2"/>
                <w:szCs w:val="2"/>
              </w:rPr>
            </w:pPr>
          </w:p>
        </w:tc>
        <w:tc>
          <w:tcPr>
            <w:tcW w:w="2020" w:type="dxa"/>
            <w:noWrap/>
            <w:hideMark/>
          </w:tcPr>
          <w:p w14:paraId="63A62F9C" w14:textId="77777777" w:rsidR="00BD415C" w:rsidRPr="00BD415C" w:rsidRDefault="00BD415C" w:rsidP="00BD415C">
            <w:pPr>
              <w:pStyle w:val="Source"/>
              <w:spacing w:before="0" w:after="0"/>
              <w:rPr>
                <w:sz w:val="2"/>
                <w:szCs w:val="2"/>
              </w:rPr>
            </w:pPr>
            <w:r w:rsidRPr="00BD415C">
              <w:rPr>
                <w:sz w:val="2"/>
                <w:szCs w:val="2"/>
              </w:rPr>
              <w:t>2.5%</w:t>
            </w:r>
          </w:p>
        </w:tc>
        <w:tc>
          <w:tcPr>
            <w:tcW w:w="2480" w:type="dxa"/>
            <w:noWrap/>
            <w:hideMark/>
          </w:tcPr>
          <w:p w14:paraId="797D687B" w14:textId="77777777" w:rsidR="00BD415C" w:rsidRPr="00BD415C" w:rsidRDefault="00BD415C" w:rsidP="00BD415C">
            <w:pPr>
              <w:pStyle w:val="Source"/>
              <w:spacing w:before="0" w:after="0"/>
              <w:rPr>
                <w:sz w:val="2"/>
                <w:szCs w:val="2"/>
              </w:rPr>
            </w:pPr>
          </w:p>
        </w:tc>
      </w:tr>
      <w:tr w:rsidR="00BD415C" w:rsidRPr="00BD415C" w14:paraId="577AA848" w14:textId="77777777" w:rsidTr="00BD415C">
        <w:trPr>
          <w:trHeight w:val="20"/>
          <w:jc w:val="center"/>
        </w:trPr>
        <w:tc>
          <w:tcPr>
            <w:tcW w:w="3840" w:type="dxa"/>
            <w:noWrap/>
            <w:hideMark/>
          </w:tcPr>
          <w:p w14:paraId="32320885" w14:textId="77777777" w:rsidR="00BD415C" w:rsidRPr="00BD415C" w:rsidRDefault="00BD415C" w:rsidP="00BD415C">
            <w:pPr>
              <w:pStyle w:val="Source"/>
              <w:spacing w:before="0" w:after="0"/>
              <w:rPr>
                <w:sz w:val="2"/>
                <w:szCs w:val="2"/>
              </w:rPr>
            </w:pPr>
          </w:p>
        </w:tc>
        <w:tc>
          <w:tcPr>
            <w:tcW w:w="4720" w:type="dxa"/>
            <w:noWrap/>
            <w:hideMark/>
          </w:tcPr>
          <w:p w14:paraId="447D9FE5" w14:textId="77777777" w:rsidR="00BD415C" w:rsidRPr="00BD415C" w:rsidRDefault="00BD415C" w:rsidP="00BD415C">
            <w:pPr>
              <w:pStyle w:val="Source"/>
              <w:spacing w:before="0" w:after="0"/>
              <w:rPr>
                <w:sz w:val="2"/>
                <w:szCs w:val="2"/>
              </w:rPr>
            </w:pPr>
            <w:r w:rsidRPr="00BD415C">
              <w:rPr>
                <w:sz w:val="2"/>
                <w:szCs w:val="2"/>
              </w:rPr>
              <w:t>Out of School Hours Care Worker</w:t>
            </w:r>
          </w:p>
        </w:tc>
        <w:tc>
          <w:tcPr>
            <w:tcW w:w="1420" w:type="dxa"/>
            <w:noWrap/>
            <w:hideMark/>
          </w:tcPr>
          <w:p w14:paraId="226BFC45" w14:textId="77777777" w:rsidR="00BD415C" w:rsidRPr="00BD415C" w:rsidRDefault="00BD415C" w:rsidP="00BD415C">
            <w:pPr>
              <w:pStyle w:val="Source"/>
              <w:spacing w:before="0" w:after="0"/>
              <w:rPr>
                <w:sz w:val="2"/>
                <w:szCs w:val="2"/>
              </w:rPr>
            </w:pPr>
            <w:r w:rsidRPr="00BD415C">
              <w:rPr>
                <w:sz w:val="2"/>
                <w:szCs w:val="2"/>
              </w:rPr>
              <w:t>0.2%</w:t>
            </w:r>
          </w:p>
        </w:tc>
        <w:tc>
          <w:tcPr>
            <w:tcW w:w="2020" w:type="dxa"/>
            <w:noWrap/>
            <w:hideMark/>
          </w:tcPr>
          <w:p w14:paraId="23B9A202" w14:textId="77777777" w:rsidR="00BD415C" w:rsidRPr="00BD415C" w:rsidRDefault="00BD415C" w:rsidP="00BD415C">
            <w:pPr>
              <w:pStyle w:val="Source"/>
              <w:spacing w:before="0" w:after="0"/>
              <w:rPr>
                <w:sz w:val="2"/>
                <w:szCs w:val="2"/>
              </w:rPr>
            </w:pPr>
          </w:p>
        </w:tc>
        <w:tc>
          <w:tcPr>
            <w:tcW w:w="2480" w:type="dxa"/>
            <w:noWrap/>
            <w:hideMark/>
          </w:tcPr>
          <w:p w14:paraId="2388F062" w14:textId="77777777" w:rsidR="00BD415C" w:rsidRPr="00BD415C" w:rsidRDefault="00BD415C" w:rsidP="00BD415C">
            <w:pPr>
              <w:pStyle w:val="Source"/>
              <w:spacing w:before="0" w:after="0"/>
              <w:rPr>
                <w:sz w:val="2"/>
                <w:szCs w:val="2"/>
              </w:rPr>
            </w:pPr>
          </w:p>
        </w:tc>
      </w:tr>
      <w:tr w:rsidR="00BD415C" w:rsidRPr="00BD415C" w14:paraId="37A010FC" w14:textId="77777777" w:rsidTr="00BD415C">
        <w:trPr>
          <w:trHeight w:val="20"/>
          <w:jc w:val="center"/>
        </w:trPr>
        <w:tc>
          <w:tcPr>
            <w:tcW w:w="3840" w:type="dxa"/>
            <w:hideMark/>
          </w:tcPr>
          <w:p w14:paraId="1796B357" w14:textId="77777777" w:rsidR="00BD415C" w:rsidRPr="00BD415C" w:rsidRDefault="00BD415C" w:rsidP="00BD415C">
            <w:pPr>
              <w:pStyle w:val="Source"/>
              <w:spacing w:before="0" w:after="0"/>
              <w:rPr>
                <w:sz w:val="2"/>
                <w:szCs w:val="2"/>
              </w:rPr>
            </w:pPr>
          </w:p>
        </w:tc>
        <w:tc>
          <w:tcPr>
            <w:tcW w:w="4720" w:type="dxa"/>
            <w:hideMark/>
          </w:tcPr>
          <w:p w14:paraId="0B6ADAA3" w14:textId="77777777" w:rsidR="00BD415C" w:rsidRPr="00BD415C" w:rsidRDefault="00BD415C" w:rsidP="00BD415C">
            <w:pPr>
              <w:pStyle w:val="Source"/>
              <w:spacing w:before="0" w:after="0"/>
              <w:rPr>
                <w:sz w:val="2"/>
                <w:szCs w:val="2"/>
              </w:rPr>
            </w:pPr>
          </w:p>
        </w:tc>
        <w:tc>
          <w:tcPr>
            <w:tcW w:w="1420" w:type="dxa"/>
            <w:noWrap/>
            <w:hideMark/>
          </w:tcPr>
          <w:p w14:paraId="1D526460" w14:textId="77777777" w:rsidR="00BD415C" w:rsidRPr="00BD415C" w:rsidRDefault="00BD415C" w:rsidP="00BD415C">
            <w:pPr>
              <w:pStyle w:val="Source"/>
              <w:spacing w:before="0" w:after="0"/>
              <w:rPr>
                <w:b/>
                <w:bCs/>
                <w:sz w:val="2"/>
                <w:szCs w:val="2"/>
              </w:rPr>
            </w:pPr>
            <w:r w:rsidRPr="00BD415C">
              <w:rPr>
                <w:b/>
                <w:bCs/>
                <w:sz w:val="2"/>
                <w:szCs w:val="2"/>
              </w:rPr>
              <w:t>Other ECEC</w:t>
            </w:r>
          </w:p>
        </w:tc>
        <w:tc>
          <w:tcPr>
            <w:tcW w:w="2020" w:type="dxa"/>
            <w:noWrap/>
            <w:hideMark/>
          </w:tcPr>
          <w:p w14:paraId="7CE18373" w14:textId="77777777" w:rsidR="00BD415C" w:rsidRPr="00BD415C" w:rsidRDefault="00BD415C" w:rsidP="00BD415C">
            <w:pPr>
              <w:pStyle w:val="Source"/>
              <w:spacing w:before="0" w:after="0"/>
              <w:rPr>
                <w:b/>
                <w:bCs/>
                <w:sz w:val="2"/>
                <w:szCs w:val="2"/>
              </w:rPr>
            </w:pPr>
            <w:r w:rsidRPr="00BD415C">
              <w:rPr>
                <w:b/>
                <w:bCs/>
                <w:sz w:val="2"/>
                <w:szCs w:val="2"/>
              </w:rPr>
              <w:t>Other Occupation</w:t>
            </w:r>
          </w:p>
        </w:tc>
        <w:tc>
          <w:tcPr>
            <w:tcW w:w="2480" w:type="dxa"/>
            <w:noWrap/>
            <w:hideMark/>
          </w:tcPr>
          <w:p w14:paraId="727CC50A" w14:textId="77777777" w:rsidR="00BD415C" w:rsidRPr="00BD415C" w:rsidRDefault="00BD415C" w:rsidP="00BD415C">
            <w:pPr>
              <w:pStyle w:val="Source"/>
              <w:spacing w:before="0" w:after="0"/>
              <w:rPr>
                <w:b/>
                <w:bCs/>
                <w:sz w:val="2"/>
                <w:szCs w:val="2"/>
              </w:rPr>
            </w:pPr>
            <w:r w:rsidRPr="00BD415C">
              <w:rPr>
                <w:b/>
                <w:bCs/>
                <w:sz w:val="2"/>
                <w:szCs w:val="2"/>
              </w:rPr>
              <w:t>No return or unknown</w:t>
            </w:r>
          </w:p>
        </w:tc>
      </w:tr>
      <w:tr w:rsidR="00BD415C" w:rsidRPr="00BD415C" w14:paraId="2DE0505C" w14:textId="77777777" w:rsidTr="00BD415C">
        <w:trPr>
          <w:trHeight w:val="20"/>
          <w:jc w:val="center"/>
        </w:trPr>
        <w:tc>
          <w:tcPr>
            <w:tcW w:w="3840" w:type="dxa"/>
            <w:noWrap/>
            <w:hideMark/>
          </w:tcPr>
          <w:p w14:paraId="12B8733C" w14:textId="77777777" w:rsidR="00BD415C" w:rsidRPr="00BD415C" w:rsidRDefault="00BD415C" w:rsidP="00BD415C">
            <w:pPr>
              <w:pStyle w:val="Source"/>
              <w:spacing w:before="0" w:after="0"/>
              <w:rPr>
                <w:b/>
                <w:bCs/>
                <w:sz w:val="2"/>
                <w:szCs w:val="2"/>
              </w:rPr>
            </w:pPr>
            <w:r w:rsidRPr="00BD415C">
              <w:rPr>
                <w:b/>
                <w:bCs/>
                <w:sz w:val="2"/>
                <w:szCs w:val="2"/>
              </w:rPr>
              <w:t>Child Care Centre Manager</w:t>
            </w:r>
          </w:p>
        </w:tc>
        <w:tc>
          <w:tcPr>
            <w:tcW w:w="4720" w:type="dxa"/>
            <w:noWrap/>
            <w:hideMark/>
          </w:tcPr>
          <w:p w14:paraId="4929768D" w14:textId="77777777" w:rsidR="00BD415C" w:rsidRPr="00BD415C" w:rsidRDefault="00BD415C" w:rsidP="00BD415C">
            <w:pPr>
              <w:pStyle w:val="Source"/>
              <w:spacing w:before="0" w:after="0"/>
              <w:rPr>
                <w:sz w:val="2"/>
                <w:szCs w:val="2"/>
              </w:rPr>
            </w:pPr>
            <w:r w:rsidRPr="00BD415C">
              <w:rPr>
                <w:sz w:val="2"/>
                <w:szCs w:val="2"/>
              </w:rPr>
              <w:t>Child Care Worker</w:t>
            </w:r>
          </w:p>
        </w:tc>
        <w:tc>
          <w:tcPr>
            <w:tcW w:w="1420" w:type="dxa"/>
            <w:noWrap/>
            <w:hideMark/>
          </w:tcPr>
          <w:p w14:paraId="56B5CA13" w14:textId="77777777" w:rsidR="00BD415C" w:rsidRPr="00BD415C" w:rsidRDefault="00BD415C" w:rsidP="00BD415C">
            <w:pPr>
              <w:pStyle w:val="Source"/>
              <w:spacing w:before="0" w:after="0"/>
              <w:rPr>
                <w:sz w:val="2"/>
                <w:szCs w:val="2"/>
              </w:rPr>
            </w:pPr>
            <w:r w:rsidRPr="00BD415C">
              <w:rPr>
                <w:sz w:val="2"/>
                <w:szCs w:val="2"/>
              </w:rPr>
              <w:t>29.7%</w:t>
            </w:r>
          </w:p>
        </w:tc>
        <w:tc>
          <w:tcPr>
            <w:tcW w:w="2020" w:type="dxa"/>
            <w:noWrap/>
            <w:hideMark/>
          </w:tcPr>
          <w:p w14:paraId="1716265A" w14:textId="77777777" w:rsidR="00BD415C" w:rsidRPr="00BD415C" w:rsidRDefault="00BD415C" w:rsidP="00BD415C">
            <w:pPr>
              <w:pStyle w:val="Source"/>
              <w:spacing w:before="0" w:after="0"/>
              <w:rPr>
                <w:sz w:val="2"/>
                <w:szCs w:val="2"/>
              </w:rPr>
            </w:pPr>
          </w:p>
        </w:tc>
        <w:tc>
          <w:tcPr>
            <w:tcW w:w="2480" w:type="dxa"/>
            <w:noWrap/>
            <w:hideMark/>
          </w:tcPr>
          <w:p w14:paraId="47CA104E" w14:textId="77777777" w:rsidR="00BD415C" w:rsidRPr="00BD415C" w:rsidRDefault="00BD415C" w:rsidP="00BD415C">
            <w:pPr>
              <w:pStyle w:val="Source"/>
              <w:spacing w:before="0" w:after="0"/>
              <w:rPr>
                <w:sz w:val="2"/>
                <w:szCs w:val="2"/>
              </w:rPr>
            </w:pPr>
          </w:p>
        </w:tc>
      </w:tr>
      <w:tr w:rsidR="00BD415C" w:rsidRPr="00BD415C" w14:paraId="29C31268" w14:textId="77777777" w:rsidTr="00BD415C">
        <w:trPr>
          <w:trHeight w:val="20"/>
          <w:jc w:val="center"/>
        </w:trPr>
        <w:tc>
          <w:tcPr>
            <w:tcW w:w="3840" w:type="dxa"/>
            <w:noWrap/>
            <w:hideMark/>
          </w:tcPr>
          <w:p w14:paraId="1177B2F7" w14:textId="77777777" w:rsidR="00BD415C" w:rsidRPr="00BD415C" w:rsidRDefault="00BD415C" w:rsidP="00BD415C">
            <w:pPr>
              <w:pStyle w:val="Source"/>
              <w:spacing w:before="0" w:after="0"/>
              <w:rPr>
                <w:sz w:val="2"/>
                <w:szCs w:val="2"/>
              </w:rPr>
            </w:pPr>
          </w:p>
        </w:tc>
        <w:tc>
          <w:tcPr>
            <w:tcW w:w="4720" w:type="dxa"/>
            <w:noWrap/>
            <w:hideMark/>
          </w:tcPr>
          <w:p w14:paraId="38196388" w14:textId="77777777" w:rsidR="00BD415C" w:rsidRPr="00BD415C" w:rsidRDefault="00BD415C" w:rsidP="00BD415C">
            <w:pPr>
              <w:pStyle w:val="Source"/>
              <w:spacing w:before="0" w:after="0"/>
              <w:rPr>
                <w:sz w:val="2"/>
                <w:szCs w:val="2"/>
              </w:rPr>
            </w:pPr>
            <w:r w:rsidRPr="00BD415C">
              <w:rPr>
                <w:sz w:val="2"/>
                <w:szCs w:val="2"/>
              </w:rPr>
              <w:t>Unknown</w:t>
            </w:r>
          </w:p>
        </w:tc>
        <w:tc>
          <w:tcPr>
            <w:tcW w:w="1420" w:type="dxa"/>
            <w:noWrap/>
            <w:hideMark/>
          </w:tcPr>
          <w:p w14:paraId="410C1BEB" w14:textId="77777777" w:rsidR="00BD415C" w:rsidRPr="00BD415C" w:rsidRDefault="00BD415C" w:rsidP="00BD415C">
            <w:pPr>
              <w:pStyle w:val="Source"/>
              <w:spacing w:before="0" w:after="0"/>
              <w:rPr>
                <w:sz w:val="2"/>
                <w:szCs w:val="2"/>
              </w:rPr>
            </w:pPr>
          </w:p>
        </w:tc>
        <w:tc>
          <w:tcPr>
            <w:tcW w:w="2020" w:type="dxa"/>
            <w:noWrap/>
            <w:hideMark/>
          </w:tcPr>
          <w:p w14:paraId="0897D31A" w14:textId="77777777" w:rsidR="00BD415C" w:rsidRPr="00BD415C" w:rsidRDefault="00BD415C" w:rsidP="00BD415C">
            <w:pPr>
              <w:pStyle w:val="Source"/>
              <w:spacing w:before="0" w:after="0"/>
              <w:rPr>
                <w:sz w:val="2"/>
                <w:szCs w:val="2"/>
              </w:rPr>
            </w:pPr>
          </w:p>
        </w:tc>
        <w:tc>
          <w:tcPr>
            <w:tcW w:w="2480" w:type="dxa"/>
            <w:noWrap/>
            <w:hideMark/>
          </w:tcPr>
          <w:p w14:paraId="438A3FEC" w14:textId="77777777" w:rsidR="00BD415C" w:rsidRPr="00BD415C" w:rsidRDefault="00BD415C" w:rsidP="00BD415C">
            <w:pPr>
              <w:pStyle w:val="Source"/>
              <w:spacing w:before="0" w:after="0"/>
              <w:rPr>
                <w:sz w:val="2"/>
                <w:szCs w:val="2"/>
              </w:rPr>
            </w:pPr>
            <w:r w:rsidRPr="00BD415C">
              <w:rPr>
                <w:sz w:val="2"/>
                <w:szCs w:val="2"/>
              </w:rPr>
              <w:t>19.6%</w:t>
            </w:r>
          </w:p>
        </w:tc>
      </w:tr>
      <w:tr w:rsidR="00BD415C" w:rsidRPr="00BD415C" w14:paraId="5006FF82" w14:textId="77777777" w:rsidTr="00BD415C">
        <w:trPr>
          <w:trHeight w:val="20"/>
          <w:jc w:val="center"/>
        </w:trPr>
        <w:tc>
          <w:tcPr>
            <w:tcW w:w="3840" w:type="dxa"/>
            <w:noWrap/>
            <w:hideMark/>
          </w:tcPr>
          <w:p w14:paraId="3BA5F92C" w14:textId="77777777" w:rsidR="00BD415C" w:rsidRPr="00BD415C" w:rsidRDefault="00BD415C" w:rsidP="00BD415C">
            <w:pPr>
              <w:pStyle w:val="Source"/>
              <w:spacing w:before="0" w:after="0"/>
              <w:rPr>
                <w:sz w:val="2"/>
                <w:szCs w:val="2"/>
              </w:rPr>
            </w:pPr>
          </w:p>
        </w:tc>
        <w:tc>
          <w:tcPr>
            <w:tcW w:w="4720" w:type="dxa"/>
            <w:noWrap/>
            <w:hideMark/>
          </w:tcPr>
          <w:p w14:paraId="6954DB35" w14:textId="77777777" w:rsidR="00BD415C" w:rsidRPr="00BD415C" w:rsidRDefault="00BD415C" w:rsidP="00BD415C">
            <w:pPr>
              <w:pStyle w:val="Source"/>
              <w:spacing w:before="0" w:after="0"/>
              <w:rPr>
                <w:sz w:val="2"/>
                <w:szCs w:val="2"/>
              </w:rPr>
            </w:pPr>
            <w:r w:rsidRPr="00BD415C">
              <w:rPr>
                <w:sz w:val="2"/>
                <w:szCs w:val="2"/>
              </w:rPr>
              <w:t>No tax return</w:t>
            </w:r>
          </w:p>
        </w:tc>
        <w:tc>
          <w:tcPr>
            <w:tcW w:w="1420" w:type="dxa"/>
            <w:noWrap/>
            <w:hideMark/>
          </w:tcPr>
          <w:p w14:paraId="776A725E" w14:textId="77777777" w:rsidR="00BD415C" w:rsidRPr="00BD415C" w:rsidRDefault="00BD415C" w:rsidP="00BD415C">
            <w:pPr>
              <w:pStyle w:val="Source"/>
              <w:spacing w:before="0" w:after="0"/>
              <w:rPr>
                <w:sz w:val="2"/>
                <w:szCs w:val="2"/>
              </w:rPr>
            </w:pPr>
          </w:p>
        </w:tc>
        <w:tc>
          <w:tcPr>
            <w:tcW w:w="2020" w:type="dxa"/>
            <w:noWrap/>
            <w:hideMark/>
          </w:tcPr>
          <w:p w14:paraId="49B2727D" w14:textId="77777777" w:rsidR="00BD415C" w:rsidRPr="00BD415C" w:rsidRDefault="00BD415C" w:rsidP="00BD415C">
            <w:pPr>
              <w:pStyle w:val="Source"/>
              <w:spacing w:before="0" w:after="0"/>
              <w:rPr>
                <w:sz w:val="2"/>
                <w:szCs w:val="2"/>
              </w:rPr>
            </w:pPr>
          </w:p>
        </w:tc>
        <w:tc>
          <w:tcPr>
            <w:tcW w:w="2480" w:type="dxa"/>
            <w:noWrap/>
            <w:hideMark/>
          </w:tcPr>
          <w:p w14:paraId="5DDF0671" w14:textId="77777777" w:rsidR="00BD415C" w:rsidRPr="00BD415C" w:rsidRDefault="00BD415C" w:rsidP="00BD415C">
            <w:pPr>
              <w:pStyle w:val="Source"/>
              <w:spacing w:before="0" w:after="0"/>
              <w:rPr>
                <w:sz w:val="2"/>
                <w:szCs w:val="2"/>
              </w:rPr>
            </w:pPr>
            <w:r w:rsidRPr="00BD415C">
              <w:rPr>
                <w:sz w:val="2"/>
                <w:szCs w:val="2"/>
              </w:rPr>
              <w:t>17.3%</w:t>
            </w:r>
          </w:p>
        </w:tc>
      </w:tr>
      <w:tr w:rsidR="00BD415C" w:rsidRPr="00BD415C" w14:paraId="6599DE4D" w14:textId="77777777" w:rsidTr="00BD415C">
        <w:trPr>
          <w:trHeight w:val="20"/>
          <w:jc w:val="center"/>
        </w:trPr>
        <w:tc>
          <w:tcPr>
            <w:tcW w:w="3840" w:type="dxa"/>
            <w:noWrap/>
            <w:hideMark/>
          </w:tcPr>
          <w:p w14:paraId="3784EBA1" w14:textId="77777777" w:rsidR="00BD415C" w:rsidRPr="00BD415C" w:rsidRDefault="00BD415C" w:rsidP="00BD415C">
            <w:pPr>
              <w:pStyle w:val="Source"/>
              <w:spacing w:before="0" w:after="0"/>
              <w:rPr>
                <w:sz w:val="2"/>
                <w:szCs w:val="2"/>
              </w:rPr>
            </w:pPr>
          </w:p>
        </w:tc>
        <w:tc>
          <w:tcPr>
            <w:tcW w:w="4720" w:type="dxa"/>
            <w:noWrap/>
            <w:hideMark/>
          </w:tcPr>
          <w:p w14:paraId="01504B52" w14:textId="77777777" w:rsidR="00BD415C" w:rsidRPr="00BD415C" w:rsidRDefault="00BD415C" w:rsidP="00BD415C">
            <w:pPr>
              <w:pStyle w:val="Source"/>
              <w:spacing w:before="0" w:after="0"/>
              <w:rPr>
                <w:sz w:val="2"/>
                <w:szCs w:val="2"/>
              </w:rPr>
            </w:pPr>
            <w:r w:rsidRPr="00BD415C">
              <w:rPr>
                <w:sz w:val="2"/>
                <w:szCs w:val="2"/>
              </w:rPr>
              <w:t>Other occupations</w:t>
            </w:r>
          </w:p>
        </w:tc>
        <w:tc>
          <w:tcPr>
            <w:tcW w:w="1420" w:type="dxa"/>
            <w:noWrap/>
            <w:hideMark/>
          </w:tcPr>
          <w:p w14:paraId="00663560" w14:textId="77777777" w:rsidR="00BD415C" w:rsidRPr="00BD415C" w:rsidRDefault="00BD415C" w:rsidP="00BD415C">
            <w:pPr>
              <w:pStyle w:val="Source"/>
              <w:spacing w:before="0" w:after="0"/>
              <w:rPr>
                <w:sz w:val="2"/>
                <w:szCs w:val="2"/>
              </w:rPr>
            </w:pPr>
          </w:p>
        </w:tc>
        <w:tc>
          <w:tcPr>
            <w:tcW w:w="2020" w:type="dxa"/>
            <w:noWrap/>
            <w:hideMark/>
          </w:tcPr>
          <w:p w14:paraId="6C1A5A46" w14:textId="77777777" w:rsidR="00BD415C" w:rsidRPr="00BD415C" w:rsidRDefault="00BD415C" w:rsidP="00BD415C">
            <w:pPr>
              <w:pStyle w:val="Source"/>
              <w:spacing w:before="0" w:after="0"/>
              <w:rPr>
                <w:sz w:val="2"/>
                <w:szCs w:val="2"/>
              </w:rPr>
            </w:pPr>
            <w:r w:rsidRPr="00BD415C">
              <w:rPr>
                <w:sz w:val="2"/>
                <w:szCs w:val="2"/>
              </w:rPr>
              <w:t>12.7%</w:t>
            </w:r>
          </w:p>
        </w:tc>
        <w:tc>
          <w:tcPr>
            <w:tcW w:w="2480" w:type="dxa"/>
            <w:noWrap/>
            <w:hideMark/>
          </w:tcPr>
          <w:p w14:paraId="4A060FD3" w14:textId="77777777" w:rsidR="00BD415C" w:rsidRPr="00BD415C" w:rsidRDefault="00BD415C" w:rsidP="00BD415C">
            <w:pPr>
              <w:pStyle w:val="Source"/>
              <w:spacing w:before="0" w:after="0"/>
              <w:rPr>
                <w:sz w:val="2"/>
                <w:szCs w:val="2"/>
              </w:rPr>
            </w:pPr>
          </w:p>
        </w:tc>
      </w:tr>
      <w:tr w:rsidR="00BD415C" w:rsidRPr="00BD415C" w14:paraId="3D21811F" w14:textId="77777777" w:rsidTr="00BD415C">
        <w:trPr>
          <w:trHeight w:val="20"/>
          <w:jc w:val="center"/>
        </w:trPr>
        <w:tc>
          <w:tcPr>
            <w:tcW w:w="3840" w:type="dxa"/>
            <w:noWrap/>
            <w:hideMark/>
          </w:tcPr>
          <w:p w14:paraId="5AF22935" w14:textId="77777777" w:rsidR="00BD415C" w:rsidRPr="00BD415C" w:rsidRDefault="00BD415C" w:rsidP="00BD415C">
            <w:pPr>
              <w:pStyle w:val="Source"/>
              <w:spacing w:before="0" w:after="0"/>
              <w:rPr>
                <w:sz w:val="2"/>
                <w:szCs w:val="2"/>
              </w:rPr>
            </w:pPr>
          </w:p>
        </w:tc>
        <w:tc>
          <w:tcPr>
            <w:tcW w:w="6140" w:type="dxa"/>
            <w:gridSpan w:val="2"/>
            <w:noWrap/>
            <w:hideMark/>
          </w:tcPr>
          <w:p w14:paraId="1723AC0D" w14:textId="77777777" w:rsidR="00BD415C" w:rsidRPr="00BD415C" w:rsidRDefault="00BD415C" w:rsidP="00BD415C">
            <w:pPr>
              <w:pStyle w:val="Source"/>
              <w:spacing w:before="0" w:after="0"/>
              <w:rPr>
                <w:sz w:val="2"/>
                <w:szCs w:val="2"/>
              </w:rPr>
            </w:pPr>
            <w:r w:rsidRPr="00BD415C">
              <w:rPr>
                <w:sz w:val="2"/>
                <w:szCs w:val="2"/>
              </w:rPr>
              <w:t>Primary School Teacher</w:t>
            </w:r>
          </w:p>
        </w:tc>
        <w:tc>
          <w:tcPr>
            <w:tcW w:w="2020" w:type="dxa"/>
            <w:noWrap/>
            <w:hideMark/>
          </w:tcPr>
          <w:p w14:paraId="4E8C2160" w14:textId="77777777" w:rsidR="00BD415C" w:rsidRPr="00BD415C" w:rsidRDefault="00BD415C" w:rsidP="00BD415C">
            <w:pPr>
              <w:pStyle w:val="Source"/>
              <w:spacing w:before="0" w:after="0"/>
              <w:rPr>
                <w:sz w:val="2"/>
                <w:szCs w:val="2"/>
              </w:rPr>
            </w:pPr>
            <w:r w:rsidRPr="00BD415C">
              <w:rPr>
                <w:sz w:val="2"/>
                <w:szCs w:val="2"/>
              </w:rPr>
              <w:t>6.2%</w:t>
            </w:r>
          </w:p>
        </w:tc>
        <w:tc>
          <w:tcPr>
            <w:tcW w:w="2480" w:type="dxa"/>
            <w:noWrap/>
            <w:hideMark/>
          </w:tcPr>
          <w:p w14:paraId="70E9319E" w14:textId="77777777" w:rsidR="00BD415C" w:rsidRPr="00BD415C" w:rsidRDefault="00BD415C" w:rsidP="00BD415C">
            <w:pPr>
              <w:pStyle w:val="Source"/>
              <w:spacing w:before="0" w:after="0"/>
              <w:rPr>
                <w:sz w:val="2"/>
                <w:szCs w:val="2"/>
              </w:rPr>
            </w:pPr>
          </w:p>
        </w:tc>
      </w:tr>
      <w:tr w:rsidR="00BD415C" w:rsidRPr="00BD415C" w14:paraId="284BA09F" w14:textId="77777777" w:rsidTr="00BD415C">
        <w:trPr>
          <w:trHeight w:val="20"/>
          <w:jc w:val="center"/>
        </w:trPr>
        <w:tc>
          <w:tcPr>
            <w:tcW w:w="3840" w:type="dxa"/>
            <w:noWrap/>
            <w:hideMark/>
          </w:tcPr>
          <w:p w14:paraId="49634C84" w14:textId="77777777" w:rsidR="00BD415C" w:rsidRPr="00BD415C" w:rsidRDefault="00BD415C" w:rsidP="00BD415C">
            <w:pPr>
              <w:pStyle w:val="Source"/>
              <w:spacing w:before="0" w:after="0"/>
              <w:rPr>
                <w:sz w:val="2"/>
                <w:szCs w:val="2"/>
              </w:rPr>
            </w:pPr>
          </w:p>
        </w:tc>
        <w:tc>
          <w:tcPr>
            <w:tcW w:w="4720" w:type="dxa"/>
            <w:noWrap/>
            <w:hideMark/>
          </w:tcPr>
          <w:p w14:paraId="017B3E05" w14:textId="77777777" w:rsidR="00BD415C" w:rsidRPr="00BD415C" w:rsidRDefault="00BD415C" w:rsidP="00BD415C">
            <w:pPr>
              <w:pStyle w:val="Source"/>
              <w:spacing w:before="0" w:after="0"/>
              <w:rPr>
                <w:sz w:val="2"/>
                <w:szCs w:val="2"/>
              </w:rPr>
            </w:pPr>
            <w:r w:rsidRPr="00BD415C">
              <w:rPr>
                <w:sz w:val="2"/>
                <w:szCs w:val="2"/>
              </w:rPr>
              <w:t>Early Childhood (Pre-primary School) Teacher</w:t>
            </w:r>
          </w:p>
        </w:tc>
        <w:tc>
          <w:tcPr>
            <w:tcW w:w="1420" w:type="dxa"/>
            <w:noWrap/>
            <w:hideMark/>
          </w:tcPr>
          <w:p w14:paraId="70070607" w14:textId="77777777" w:rsidR="00BD415C" w:rsidRPr="00BD415C" w:rsidRDefault="00BD415C" w:rsidP="00BD415C">
            <w:pPr>
              <w:pStyle w:val="Source"/>
              <w:spacing w:before="0" w:after="0"/>
              <w:rPr>
                <w:sz w:val="2"/>
                <w:szCs w:val="2"/>
              </w:rPr>
            </w:pPr>
            <w:r w:rsidRPr="00BD415C">
              <w:rPr>
                <w:sz w:val="2"/>
                <w:szCs w:val="2"/>
              </w:rPr>
              <w:t>4.7%</w:t>
            </w:r>
          </w:p>
        </w:tc>
        <w:tc>
          <w:tcPr>
            <w:tcW w:w="2020" w:type="dxa"/>
            <w:noWrap/>
            <w:hideMark/>
          </w:tcPr>
          <w:p w14:paraId="587F2DEF" w14:textId="77777777" w:rsidR="00BD415C" w:rsidRPr="00BD415C" w:rsidRDefault="00BD415C" w:rsidP="00BD415C">
            <w:pPr>
              <w:pStyle w:val="Source"/>
              <w:spacing w:before="0" w:after="0"/>
              <w:rPr>
                <w:sz w:val="2"/>
                <w:szCs w:val="2"/>
              </w:rPr>
            </w:pPr>
          </w:p>
        </w:tc>
        <w:tc>
          <w:tcPr>
            <w:tcW w:w="2480" w:type="dxa"/>
            <w:noWrap/>
            <w:hideMark/>
          </w:tcPr>
          <w:p w14:paraId="221204B7" w14:textId="77777777" w:rsidR="00BD415C" w:rsidRPr="00BD415C" w:rsidRDefault="00BD415C" w:rsidP="00BD415C">
            <w:pPr>
              <w:pStyle w:val="Source"/>
              <w:spacing w:before="0" w:after="0"/>
              <w:rPr>
                <w:sz w:val="2"/>
                <w:szCs w:val="2"/>
              </w:rPr>
            </w:pPr>
          </w:p>
        </w:tc>
      </w:tr>
      <w:tr w:rsidR="00BD415C" w:rsidRPr="00BD415C" w14:paraId="650005AE" w14:textId="77777777" w:rsidTr="00BD415C">
        <w:trPr>
          <w:trHeight w:val="20"/>
          <w:jc w:val="center"/>
        </w:trPr>
        <w:tc>
          <w:tcPr>
            <w:tcW w:w="3840" w:type="dxa"/>
            <w:hideMark/>
          </w:tcPr>
          <w:p w14:paraId="785DB9D1" w14:textId="77777777" w:rsidR="00BD415C" w:rsidRPr="00BD415C" w:rsidRDefault="00BD415C" w:rsidP="00BD415C">
            <w:pPr>
              <w:pStyle w:val="Source"/>
              <w:spacing w:before="0" w:after="0"/>
              <w:rPr>
                <w:sz w:val="2"/>
                <w:szCs w:val="2"/>
              </w:rPr>
            </w:pPr>
          </w:p>
        </w:tc>
        <w:tc>
          <w:tcPr>
            <w:tcW w:w="4720" w:type="dxa"/>
            <w:hideMark/>
          </w:tcPr>
          <w:p w14:paraId="3EAE80C2" w14:textId="77777777" w:rsidR="00BD415C" w:rsidRPr="00BD415C" w:rsidRDefault="00BD415C" w:rsidP="00BD415C">
            <w:pPr>
              <w:pStyle w:val="Source"/>
              <w:spacing w:before="0" w:after="0"/>
              <w:rPr>
                <w:sz w:val="2"/>
                <w:szCs w:val="2"/>
              </w:rPr>
            </w:pPr>
            <w:r w:rsidRPr="00BD415C">
              <w:rPr>
                <w:sz w:val="2"/>
                <w:szCs w:val="2"/>
              </w:rPr>
              <w:t>Corporate General Manager</w:t>
            </w:r>
          </w:p>
        </w:tc>
        <w:tc>
          <w:tcPr>
            <w:tcW w:w="1420" w:type="dxa"/>
            <w:noWrap/>
            <w:hideMark/>
          </w:tcPr>
          <w:p w14:paraId="478E79CD" w14:textId="77777777" w:rsidR="00BD415C" w:rsidRPr="00BD415C" w:rsidRDefault="00BD415C" w:rsidP="00BD415C">
            <w:pPr>
              <w:pStyle w:val="Source"/>
              <w:spacing w:before="0" w:after="0"/>
              <w:rPr>
                <w:sz w:val="2"/>
                <w:szCs w:val="2"/>
              </w:rPr>
            </w:pPr>
          </w:p>
        </w:tc>
        <w:tc>
          <w:tcPr>
            <w:tcW w:w="2020" w:type="dxa"/>
            <w:noWrap/>
            <w:hideMark/>
          </w:tcPr>
          <w:p w14:paraId="3FE399D2" w14:textId="77777777" w:rsidR="00BD415C" w:rsidRPr="00BD415C" w:rsidRDefault="00BD415C" w:rsidP="00BD415C">
            <w:pPr>
              <w:pStyle w:val="Source"/>
              <w:spacing w:before="0" w:after="0"/>
              <w:rPr>
                <w:sz w:val="2"/>
                <w:szCs w:val="2"/>
              </w:rPr>
            </w:pPr>
            <w:r w:rsidRPr="00BD415C">
              <w:rPr>
                <w:sz w:val="2"/>
                <w:szCs w:val="2"/>
              </w:rPr>
              <w:t>4.2%</w:t>
            </w:r>
          </w:p>
        </w:tc>
        <w:tc>
          <w:tcPr>
            <w:tcW w:w="2480" w:type="dxa"/>
            <w:noWrap/>
            <w:hideMark/>
          </w:tcPr>
          <w:p w14:paraId="1990D9CB" w14:textId="77777777" w:rsidR="00BD415C" w:rsidRPr="00BD415C" w:rsidRDefault="00BD415C" w:rsidP="00BD415C">
            <w:pPr>
              <w:pStyle w:val="Source"/>
              <w:spacing w:before="0" w:after="0"/>
              <w:rPr>
                <w:sz w:val="2"/>
                <w:szCs w:val="2"/>
              </w:rPr>
            </w:pPr>
          </w:p>
        </w:tc>
      </w:tr>
      <w:tr w:rsidR="00BD415C" w:rsidRPr="00BD415C" w14:paraId="52C015CD" w14:textId="77777777" w:rsidTr="00BD415C">
        <w:trPr>
          <w:trHeight w:val="20"/>
          <w:jc w:val="center"/>
        </w:trPr>
        <w:tc>
          <w:tcPr>
            <w:tcW w:w="3840" w:type="dxa"/>
            <w:noWrap/>
            <w:hideMark/>
          </w:tcPr>
          <w:p w14:paraId="4CE6C23F" w14:textId="77777777" w:rsidR="00BD415C" w:rsidRPr="00BD415C" w:rsidRDefault="00BD415C" w:rsidP="00BD415C">
            <w:pPr>
              <w:pStyle w:val="Source"/>
              <w:spacing w:before="0" w:after="0"/>
              <w:rPr>
                <w:sz w:val="2"/>
                <w:szCs w:val="2"/>
              </w:rPr>
            </w:pPr>
          </w:p>
        </w:tc>
        <w:tc>
          <w:tcPr>
            <w:tcW w:w="4720" w:type="dxa"/>
            <w:noWrap/>
            <w:hideMark/>
          </w:tcPr>
          <w:p w14:paraId="4BB6C327" w14:textId="77777777" w:rsidR="00BD415C" w:rsidRPr="00BD415C" w:rsidRDefault="00BD415C" w:rsidP="00BD415C">
            <w:pPr>
              <w:pStyle w:val="Source"/>
              <w:spacing w:before="0" w:after="0"/>
              <w:rPr>
                <w:sz w:val="2"/>
                <w:szCs w:val="2"/>
              </w:rPr>
            </w:pPr>
            <w:r w:rsidRPr="00BD415C">
              <w:rPr>
                <w:sz w:val="2"/>
                <w:szCs w:val="2"/>
              </w:rPr>
              <w:t>Officer Manager</w:t>
            </w:r>
          </w:p>
        </w:tc>
        <w:tc>
          <w:tcPr>
            <w:tcW w:w="1420" w:type="dxa"/>
            <w:noWrap/>
            <w:hideMark/>
          </w:tcPr>
          <w:p w14:paraId="3D6987F5" w14:textId="77777777" w:rsidR="00BD415C" w:rsidRPr="00BD415C" w:rsidRDefault="00BD415C" w:rsidP="00BD415C">
            <w:pPr>
              <w:pStyle w:val="Source"/>
              <w:spacing w:before="0" w:after="0"/>
              <w:rPr>
                <w:sz w:val="2"/>
                <w:szCs w:val="2"/>
              </w:rPr>
            </w:pPr>
          </w:p>
        </w:tc>
        <w:tc>
          <w:tcPr>
            <w:tcW w:w="2020" w:type="dxa"/>
            <w:noWrap/>
            <w:hideMark/>
          </w:tcPr>
          <w:p w14:paraId="1491A536" w14:textId="77777777" w:rsidR="00BD415C" w:rsidRPr="00BD415C" w:rsidRDefault="00BD415C" w:rsidP="00BD415C">
            <w:pPr>
              <w:pStyle w:val="Source"/>
              <w:spacing w:before="0" w:after="0"/>
              <w:rPr>
                <w:sz w:val="2"/>
                <w:szCs w:val="2"/>
              </w:rPr>
            </w:pPr>
            <w:r w:rsidRPr="00BD415C">
              <w:rPr>
                <w:sz w:val="2"/>
                <w:szCs w:val="2"/>
              </w:rPr>
              <w:t>2.1%</w:t>
            </w:r>
          </w:p>
        </w:tc>
        <w:tc>
          <w:tcPr>
            <w:tcW w:w="2480" w:type="dxa"/>
            <w:noWrap/>
            <w:hideMark/>
          </w:tcPr>
          <w:p w14:paraId="327BCEFA" w14:textId="77777777" w:rsidR="00BD415C" w:rsidRPr="00BD415C" w:rsidRDefault="00BD415C" w:rsidP="00BD415C">
            <w:pPr>
              <w:pStyle w:val="Source"/>
              <w:spacing w:before="0" w:after="0"/>
              <w:rPr>
                <w:sz w:val="2"/>
                <w:szCs w:val="2"/>
              </w:rPr>
            </w:pPr>
          </w:p>
        </w:tc>
      </w:tr>
      <w:tr w:rsidR="00BD415C" w:rsidRPr="00BD415C" w14:paraId="23A10DAA" w14:textId="77777777" w:rsidTr="00BD415C">
        <w:trPr>
          <w:trHeight w:val="20"/>
          <w:jc w:val="center"/>
        </w:trPr>
        <w:tc>
          <w:tcPr>
            <w:tcW w:w="3840" w:type="dxa"/>
            <w:noWrap/>
            <w:hideMark/>
          </w:tcPr>
          <w:p w14:paraId="2E11302B" w14:textId="77777777" w:rsidR="00BD415C" w:rsidRPr="00BD415C" w:rsidRDefault="00BD415C" w:rsidP="00BD415C">
            <w:pPr>
              <w:pStyle w:val="Source"/>
              <w:spacing w:before="0" w:after="0"/>
              <w:rPr>
                <w:sz w:val="2"/>
                <w:szCs w:val="2"/>
              </w:rPr>
            </w:pPr>
          </w:p>
        </w:tc>
        <w:tc>
          <w:tcPr>
            <w:tcW w:w="6140" w:type="dxa"/>
            <w:gridSpan w:val="2"/>
            <w:noWrap/>
            <w:hideMark/>
          </w:tcPr>
          <w:p w14:paraId="64719B2A" w14:textId="77777777" w:rsidR="00BD415C" w:rsidRPr="00BD415C" w:rsidRDefault="00BD415C" w:rsidP="00BD415C">
            <w:pPr>
              <w:pStyle w:val="Source"/>
              <w:spacing w:before="0" w:after="0"/>
              <w:rPr>
                <w:sz w:val="2"/>
                <w:szCs w:val="2"/>
              </w:rPr>
            </w:pPr>
            <w:r w:rsidRPr="00BD415C">
              <w:rPr>
                <w:sz w:val="2"/>
                <w:szCs w:val="2"/>
              </w:rPr>
              <w:t>Chief Executive or Managing Director</w:t>
            </w:r>
          </w:p>
        </w:tc>
        <w:tc>
          <w:tcPr>
            <w:tcW w:w="2020" w:type="dxa"/>
            <w:noWrap/>
            <w:hideMark/>
          </w:tcPr>
          <w:p w14:paraId="755A8747" w14:textId="77777777" w:rsidR="00BD415C" w:rsidRPr="00BD415C" w:rsidRDefault="00BD415C" w:rsidP="00BD415C">
            <w:pPr>
              <w:pStyle w:val="Source"/>
              <w:spacing w:before="0" w:after="0"/>
              <w:rPr>
                <w:sz w:val="2"/>
                <w:szCs w:val="2"/>
              </w:rPr>
            </w:pPr>
            <w:r w:rsidRPr="00BD415C">
              <w:rPr>
                <w:sz w:val="2"/>
                <w:szCs w:val="2"/>
              </w:rPr>
              <w:t>2.1%</w:t>
            </w:r>
          </w:p>
        </w:tc>
        <w:tc>
          <w:tcPr>
            <w:tcW w:w="2480" w:type="dxa"/>
            <w:noWrap/>
            <w:hideMark/>
          </w:tcPr>
          <w:p w14:paraId="2D0493A6" w14:textId="77777777" w:rsidR="00BD415C" w:rsidRPr="00BD415C" w:rsidRDefault="00BD415C" w:rsidP="00BD415C">
            <w:pPr>
              <w:pStyle w:val="Source"/>
              <w:spacing w:before="0" w:after="0"/>
              <w:rPr>
                <w:sz w:val="2"/>
                <w:szCs w:val="2"/>
              </w:rPr>
            </w:pPr>
          </w:p>
        </w:tc>
      </w:tr>
      <w:tr w:rsidR="00BD415C" w:rsidRPr="00BD415C" w14:paraId="47EF7CFA" w14:textId="77777777" w:rsidTr="00BD415C">
        <w:trPr>
          <w:trHeight w:val="20"/>
          <w:jc w:val="center"/>
        </w:trPr>
        <w:tc>
          <w:tcPr>
            <w:tcW w:w="3840" w:type="dxa"/>
            <w:noWrap/>
            <w:hideMark/>
          </w:tcPr>
          <w:p w14:paraId="7495FBBC" w14:textId="77777777" w:rsidR="00BD415C" w:rsidRPr="00BD415C" w:rsidRDefault="00BD415C" w:rsidP="00BD415C">
            <w:pPr>
              <w:pStyle w:val="Source"/>
              <w:spacing w:before="0" w:after="0"/>
              <w:rPr>
                <w:sz w:val="2"/>
                <w:szCs w:val="2"/>
              </w:rPr>
            </w:pPr>
          </w:p>
        </w:tc>
        <w:tc>
          <w:tcPr>
            <w:tcW w:w="4720" w:type="dxa"/>
            <w:noWrap/>
            <w:hideMark/>
          </w:tcPr>
          <w:p w14:paraId="38E7585A" w14:textId="77777777" w:rsidR="00BD415C" w:rsidRPr="00BD415C" w:rsidRDefault="00BD415C" w:rsidP="00BD415C">
            <w:pPr>
              <w:pStyle w:val="Source"/>
              <w:spacing w:before="0" w:after="0"/>
              <w:rPr>
                <w:sz w:val="2"/>
                <w:szCs w:val="2"/>
              </w:rPr>
            </w:pPr>
            <w:r w:rsidRPr="00BD415C">
              <w:rPr>
                <w:sz w:val="2"/>
                <w:szCs w:val="2"/>
              </w:rPr>
              <w:t>Out of School Hours Care Worker</w:t>
            </w:r>
          </w:p>
        </w:tc>
        <w:tc>
          <w:tcPr>
            <w:tcW w:w="1420" w:type="dxa"/>
            <w:noWrap/>
            <w:hideMark/>
          </w:tcPr>
          <w:p w14:paraId="1E3554AE" w14:textId="77777777" w:rsidR="00BD415C" w:rsidRPr="00BD415C" w:rsidRDefault="00BD415C" w:rsidP="00BD415C">
            <w:pPr>
              <w:pStyle w:val="Source"/>
              <w:spacing w:before="0" w:after="0"/>
              <w:rPr>
                <w:sz w:val="2"/>
                <w:szCs w:val="2"/>
              </w:rPr>
            </w:pPr>
            <w:r w:rsidRPr="00BD415C">
              <w:rPr>
                <w:sz w:val="2"/>
                <w:szCs w:val="2"/>
              </w:rPr>
              <w:t>1.4%</w:t>
            </w:r>
          </w:p>
        </w:tc>
        <w:tc>
          <w:tcPr>
            <w:tcW w:w="2020" w:type="dxa"/>
            <w:noWrap/>
            <w:hideMark/>
          </w:tcPr>
          <w:p w14:paraId="7EFE64D5" w14:textId="77777777" w:rsidR="00BD415C" w:rsidRPr="00BD415C" w:rsidRDefault="00BD415C" w:rsidP="00BD415C">
            <w:pPr>
              <w:pStyle w:val="Source"/>
              <w:spacing w:before="0" w:after="0"/>
              <w:rPr>
                <w:sz w:val="2"/>
                <w:szCs w:val="2"/>
              </w:rPr>
            </w:pPr>
          </w:p>
        </w:tc>
        <w:tc>
          <w:tcPr>
            <w:tcW w:w="2480" w:type="dxa"/>
            <w:noWrap/>
            <w:hideMark/>
          </w:tcPr>
          <w:p w14:paraId="006F467B" w14:textId="77777777" w:rsidR="00BD415C" w:rsidRPr="00BD415C" w:rsidRDefault="00BD415C" w:rsidP="00BD415C">
            <w:pPr>
              <w:pStyle w:val="Source"/>
              <w:spacing w:before="0" w:after="0"/>
              <w:rPr>
                <w:sz w:val="2"/>
                <w:szCs w:val="2"/>
              </w:rPr>
            </w:pPr>
          </w:p>
        </w:tc>
      </w:tr>
    </w:tbl>
    <w:p w14:paraId="56AE1BF9" w14:textId="77777777" w:rsidR="00BD415C" w:rsidRDefault="00BD415C" w:rsidP="00701210">
      <w:pPr>
        <w:pStyle w:val="Source"/>
      </w:pPr>
    </w:p>
    <w:p w14:paraId="19CD9692" w14:textId="77777777" w:rsidR="00BD415C" w:rsidRDefault="00BD415C" w:rsidP="00701210">
      <w:pPr>
        <w:pStyle w:val="Source"/>
      </w:pPr>
    </w:p>
    <w:p w14:paraId="0E4F726E" w14:textId="77777777" w:rsidR="00BD415C" w:rsidRDefault="00BD415C" w:rsidP="00701210">
      <w:pPr>
        <w:pStyle w:val="Source"/>
      </w:pPr>
    </w:p>
    <w:p w14:paraId="39874305" w14:textId="77777777" w:rsidR="00BD415C" w:rsidRDefault="00BD415C" w:rsidP="00701210">
      <w:pPr>
        <w:pStyle w:val="Source"/>
      </w:pPr>
    </w:p>
    <w:p w14:paraId="74891BF7" w14:textId="77777777" w:rsidR="00BD415C" w:rsidRDefault="00BD415C" w:rsidP="00701210">
      <w:pPr>
        <w:pStyle w:val="Source"/>
      </w:pPr>
    </w:p>
    <w:p w14:paraId="440187FD" w14:textId="77777777" w:rsidR="00BD415C" w:rsidRDefault="00BD415C" w:rsidP="00701210">
      <w:pPr>
        <w:pStyle w:val="Source"/>
      </w:pPr>
    </w:p>
    <w:p w14:paraId="4417112C" w14:textId="77777777" w:rsidR="00BD415C" w:rsidRDefault="00BD415C" w:rsidP="00701210">
      <w:pPr>
        <w:pStyle w:val="Source"/>
      </w:pPr>
    </w:p>
    <w:p w14:paraId="01442F79" w14:textId="77777777" w:rsidR="00BD415C" w:rsidRDefault="00BD415C" w:rsidP="00701210">
      <w:pPr>
        <w:pStyle w:val="Source"/>
      </w:pPr>
    </w:p>
    <w:p w14:paraId="70DCC877" w14:textId="77777777" w:rsidR="00BD415C" w:rsidRDefault="00BD415C" w:rsidP="00701210">
      <w:pPr>
        <w:pStyle w:val="Source"/>
      </w:pPr>
    </w:p>
    <w:p w14:paraId="5E530892" w14:textId="77777777" w:rsidR="00BD415C" w:rsidRDefault="00BD415C" w:rsidP="00701210">
      <w:pPr>
        <w:pStyle w:val="Source"/>
      </w:pPr>
    </w:p>
    <w:p w14:paraId="74A66AB5" w14:textId="77777777" w:rsidR="00BD415C" w:rsidRDefault="00BD415C" w:rsidP="00701210">
      <w:pPr>
        <w:pStyle w:val="Source"/>
      </w:pPr>
    </w:p>
    <w:p w14:paraId="733F08B8" w14:textId="77777777" w:rsidR="00BD415C" w:rsidRDefault="00BD415C" w:rsidP="00701210">
      <w:pPr>
        <w:pStyle w:val="Source"/>
      </w:pPr>
    </w:p>
    <w:p w14:paraId="7C95E695" w14:textId="77777777" w:rsidR="00BD415C" w:rsidRDefault="00BD415C" w:rsidP="00701210">
      <w:pPr>
        <w:pStyle w:val="Source"/>
      </w:pPr>
    </w:p>
    <w:p w14:paraId="4B2BD11B" w14:textId="77777777" w:rsidR="00BD415C" w:rsidRDefault="00BD415C" w:rsidP="00701210">
      <w:pPr>
        <w:pStyle w:val="Source"/>
      </w:pPr>
    </w:p>
    <w:p w14:paraId="41E685DD" w14:textId="77777777" w:rsidR="00BD415C" w:rsidRDefault="00BD415C" w:rsidP="00701210">
      <w:pPr>
        <w:pStyle w:val="Source"/>
      </w:pPr>
    </w:p>
    <w:p w14:paraId="74967B62" w14:textId="77777777" w:rsidR="00BD415C" w:rsidRDefault="00BD415C" w:rsidP="00701210">
      <w:pPr>
        <w:pStyle w:val="Source"/>
      </w:pPr>
    </w:p>
    <w:p w14:paraId="772CE1F6" w14:textId="77777777" w:rsidR="00BD415C" w:rsidRDefault="00BD415C" w:rsidP="00701210">
      <w:pPr>
        <w:pStyle w:val="Source"/>
      </w:pPr>
    </w:p>
    <w:p w14:paraId="743CDDD1" w14:textId="77777777" w:rsidR="00BD415C" w:rsidRDefault="00BD415C" w:rsidP="00701210">
      <w:pPr>
        <w:pStyle w:val="Source"/>
      </w:pPr>
    </w:p>
    <w:p w14:paraId="24C5AD40" w14:textId="77777777" w:rsidR="00BD415C" w:rsidRDefault="00BD415C" w:rsidP="00701210">
      <w:pPr>
        <w:pStyle w:val="Source"/>
      </w:pPr>
    </w:p>
    <w:p w14:paraId="286157BF" w14:textId="77777777" w:rsidR="00BD415C" w:rsidRDefault="00BD415C" w:rsidP="00701210">
      <w:pPr>
        <w:pStyle w:val="Source"/>
      </w:pPr>
    </w:p>
    <w:p w14:paraId="1A12BA46" w14:textId="77777777" w:rsidR="00BD415C" w:rsidRDefault="00BD415C" w:rsidP="00701210">
      <w:pPr>
        <w:pStyle w:val="Source"/>
      </w:pPr>
    </w:p>
    <w:p w14:paraId="76F5A21D" w14:textId="77777777" w:rsidR="00BD415C" w:rsidRDefault="00BD415C" w:rsidP="00701210">
      <w:pPr>
        <w:pStyle w:val="Source"/>
      </w:pPr>
    </w:p>
    <w:p w14:paraId="1E13CFD4" w14:textId="77777777" w:rsidR="00BD415C" w:rsidRDefault="00BD415C" w:rsidP="00701210">
      <w:pPr>
        <w:pStyle w:val="Source"/>
      </w:pPr>
    </w:p>
    <w:p w14:paraId="4720BCC6" w14:textId="77777777" w:rsidR="00BD415C" w:rsidRDefault="00BD415C" w:rsidP="00701210">
      <w:pPr>
        <w:pStyle w:val="Source"/>
      </w:pPr>
    </w:p>
    <w:p w14:paraId="1335E915" w14:textId="77777777" w:rsidR="00BD415C" w:rsidRDefault="00BD415C" w:rsidP="00701210">
      <w:pPr>
        <w:pStyle w:val="Source"/>
      </w:pPr>
    </w:p>
    <w:p w14:paraId="05DA0708" w14:textId="77777777" w:rsidR="00BD415C" w:rsidRDefault="00BD415C" w:rsidP="00701210">
      <w:pPr>
        <w:pStyle w:val="Source"/>
      </w:pPr>
    </w:p>
    <w:p w14:paraId="49B1B6BC" w14:textId="77777777" w:rsidR="00BD415C" w:rsidRDefault="00BD415C" w:rsidP="00701210">
      <w:pPr>
        <w:pStyle w:val="Source"/>
      </w:pPr>
    </w:p>
    <w:p w14:paraId="6C47076A" w14:textId="77777777" w:rsidR="00BD415C" w:rsidRDefault="00BD415C" w:rsidP="00701210">
      <w:pPr>
        <w:pStyle w:val="Source"/>
      </w:pPr>
    </w:p>
    <w:p w14:paraId="6AB475C7" w14:textId="77777777" w:rsidR="00BD415C" w:rsidRDefault="00BD415C" w:rsidP="00701210">
      <w:pPr>
        <w:pStyle w:val="Source"/>
      </w:pPr>
    </w:p>
    <w:p w14:paraId="1DA0F237" w14:textId="77777777" w:rsidR="00BD415C" w:rsidRDefault="00BD415C" w:rsidP="00701210">
      <w:pPr>
        <w:pStyle w:val="Source"/>
      </w:pPr>
    </w:p>
    <w:p w14:paraId="31AA67A0" w14:textId="77777777" w:rsidR="00BD415C" w:rsidRDefault="00BD415C" w:rsidP="00701210">
      <w:pPr>
        <w:pStyle w:val="Source"/>
      </w:pPr>
    </w:p>
    <w:p w14:paraId="12FFAF52" w14:textId="77777777" w:rsidR="00BD415C" w:rsidRDefault="00BD415C" w:rsidP="00701210">
      <w:pPr>
        <w:pStyle w:val="Source"/>
      </w:pPr>
    </w:p>
    <w:p w14:paraId="2F5DD79C" w14:textId="7156336C" w:rsidR="00F47B0F" w:rsidRPr="00F47B0F" w:rsidRDefault="00F47B0F" w:rsidP="00701210">
      <w:pPr>
        <w:pStyle w:val="Source"/>
      </w:pPr>
      <w:r w:rsidRPr="00F47B0F">
        <w:t>Source: JSA (2023), Data on Occupation Mobility</w:t>
      </w:r>
    </w:p>
    <w:p w14:paraId="3E253657" w14:textId="77777777" w:rsidR="00F47B0F" w:rsidRPr="00F47B0F" w:rsidRDefault="00F47B0F" w:rsidP="00F47B0F">
      <w:pPr>
        <w:rPr>
          <w:highlight w:val="lightGray"/>
        </w:rPr>
      </w:pPr>
    </w:p>
    <w:p w14:paraId="7AACEACE" w14:textId="77777777" w:rsidR="00F47B0F" w:rsidRPr="00F47B0F" w:rsidRDefault="00F47B0F" w:rsidP="00F47B0F">
      <w:pPr>
        <w:pStyle w:val="Heading2"/>
      </w:pPr>
      <w:bookmarkStart w:id="123" w:name="_Toc174363708"/>
      <w:r w:rsidRPr="00F47B0F">
        <w:lastRenderedPageBreak/>
        <w:t>Summary</w:t>
      </w:r>
      <w:bookmarkEnd w:id="123"/>
    </w:p>
    <w:bookmarkEnd w:id="82"/>
    <w:p w14:paraId="56B8DA25" w14:textId="77777777" w:rsidR="00F47B0F" w:rsidRPr="00F47B0F" w:rsidRDefault="00F47B0F" w:rsidP="00F47B0F">
      <w:pPr>
        <w:rPr>
          <w:i/>
          <w:iCs/>
        </w:rPr>
      </w:pPr>
      <w:r w:rsidRPr="00F47B0F">
        <w:t xml:space="preserve">This chapter examines the characteristics of the ECEC workforce including the ECEC occupations and industries in focus, especially in childcare services and preschools. We draw on various data sources including ABS data, NWC, Lightcast, NERO and IVI to examine hiring trends, occupational flows and the role of skilled migration. This data shows that a very wide variety of skills are needed in ECEC, though they are concentrated on a relatively narrow selection of occupation categories, especially </w:t>
      </w:r>
      <w:r w:rsidRPr="00F47B0F">
        <w:rPr>
          <w:i/>
          <w:iCs/>
        </w:rPr>
        <w:t xml:space="preserve">Child Care Workers. </w:t>
      </w:r>
    </w:p>
    <w:p w14:paraId="0C959A48" w14:textId="77777777" w:rsidR="00F47B0F" w:rsidRPr="00F47B0F" w:rsidRDefault="00F47B0F" w:rsidP="00F47B0F">
      <w:r w:rsidRPr="00F47B0F">
        <w:t>Overall, ECEC occupations receive low levels of remuneration compared to other related work, which has a significant role in the movement of employees. Vacancy rates suggest high demand for ECEC workers, especially in certain regional areas. The chapter further describes the concentration of First Nations educators in the Northern Territory and in lower-paid segments of the ECEC workforce. While temporary migration accounts for some of the ECEC workforce, skilled migration provides fewer ECEC workers than might be expected.</w:t>
      </w:r>
    </w:p>
    <w:p w14:paraId="77C92598" w14:textId="77777777" w:rsidR="00846EE4" w:rsidRDefault="00846EE4" w:rsidP="00C17D9C">
      <w:pPr>
        <w:sectPr w:rsidR="00846EE4" w:rsidSect="00A2332E">
          <w:footerReference w:type="default" r:id="rId103"/>
          <w:type w:val="continuous"/>
          <w:pgSz w:w="11906" w:h="16838" w:code="9"/>
          <w:pgMar w:top="1440" w:right="1440" w:bottom="1440" w:left="1440" w:header="0" w:footer="709" w:gutter="0"/>
          <w:cols w:space="708"/>
          <w:docGrid w:linePitch="360"/>
        </w:sectPr>
      </w:pPr>
    </w:p>
    <w:p w14:paraId="16511E6A" w14:textId="77777777" w:rsidR="00846EE4" w:rsidRPr="00846EE4" w:rsidRDefault="00846EE4" w:rsidP="00846EE4">
      <w:pPr>
        <w:pStyle w:val="Heading1"/>
      </w:pPr>
      <w:bookmarkStart w:id="124" w:name="_Toc146892673"/>
      <w:bookmarkStart w:id="125" w:name="_Toc174363709"/>
      <w:r w:rsidRPr="00846EE4">
        <w:rPr>
          <w:noProof/>
        </w:rPr>
        <w:lastRenderedPageBreak/>
        <w:drawing>
          <wp:anchor distT="0" distB="0" distL="114300" distR="114300" simplePos="0" relativeHeight="251681795" behindDoc="0" locked="0" layoutInCell="1" allowOverlap="1" wp14:anchorId="493D54C9" wp14:editId="50EA7E95">
            <wp:simplePos x="0" y="0"/>
            <wp:positionH relativeFrom="page">
              <wp:align>left</wp:align>
            </wp:positionH>
            <wp:positionV relativeFrom="page">
              <wp:align>top</wp:align>
            </wp:positionV>
            <wp:extent cx="7560000" cy="10692000"/>
            <wp:effectExtent l="0" t="0" r="3175" b="0"/>
            <wp:wrapNone/>
            <wp:docPr id="7747519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75197" name="Picture 1">
                      <a:extLst>
                        <a:ext uri="{C183D7F6-B498-43B3-948B-1728B52AA6E4}">
                          <adec:decorative xmlns:adec="http://schemas.microsoft.com/office/drawing/2017/decorative" val="1"/>
                        </a:ext>
                      </a:extLst>
                    </pic:cNvPr>
                    <pic:cNvPicPr/>
                  </pic:nvPicPr>
                  <pic:blipFill>
                    <a:blip r:embed="rId104">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r w:rsidRPr="00846EE4">
        <w:t>Chap</w:t>
      </w:r>
      <w:bookmarkEnd w:id="124"/>
      <w:r w:rsidRPr="00846EE4">
        <w:t>ter 3: Pathways into the ECEC Workforce</w:t>
      </w:r>
      <w:bookmarkEnd w:id="125"/>
    </w:p>
    <w:p w14:paraId="410874CA" w14:textId="77777777" w:rsidR="00846EE4" w:rsidRPr="00846EE4" w:rsidRDefault="00846EE4" w:rsidP="00846EE4">
      <w:pPr>
        <w:rPr>
          <w:rFonts w:cs="Arial"/>
        </w:rPr>
      </w:pPr>
      <w:bookmarkStart w:id="126" w:name="_Toc146892674"/>
      <w:r w:rsidRPr="00846EE4">
        <w:rPr>
          <w:rFonts w:asciiTheme="majorHAnsi" w:hAnsiTheme="majorHAnsi" w:cstheme="majorBidi"/>
        </w:rPr>
        <w:br w:type="page"/>
      </w:r>
      <w:r w:rsidRPr="00846EE4">
        <w:rPr>
          <w:rFonts w:cs="Arial"/>
        </w:rPr>
        <w:lastRenderedPageBreak/>
        <w:t>Ensuring Australia has an ECEC sector that is fit for purpose demands a robust education and training system that ensures an adequate supply of appropriately trained workers. JSA</w:t>
      </w:r>
      <w:r w:rsidRPr="00846EE4">
        <w:rPr>
          <w:rFonts w:cs="Arial"/>
          <w:b/>
          <w:bCs/>
        </w:rPr>
        <w:t xml:space="preserve"> </w:t>
      </w:r>
      <w:r w:rsidRPr="00846EE4">
        <w:rPr>
          <w:rFonts w:cs="Arial"/>
        </w:rPr>
        <w:t>examined pathways into the ECEC workforce via both VET and higher education. This chapter identifies trends in early childhood education qualifications and features of the cohorts that may impact workforce composition covering topics:</w:t>
      </w:r>
      <w:r w:rsidRPr="00846EE4">
        <w:t> </w:t>
      </w:r>
    </w:p>
    <w:p w14:paraId="7C7550A1" w14:textId="77777777" w:rsidR="00846EE4" w:rsidRPr="00846EE4" w:rsidRDefault="00846EE4" w:rsidP="00846EE4">
      <w:pPr>
        <w:spacing w:line="240" w:lineRule="atLeast"/>
        <w:ind w:left="340" w:hanging="340"/>
        <w:rPr>
          <w:rFonts w:eastAsia="SimSun" w:cs="Arial"/>
          <w:spacing w:val="-1"/>
          <w:szCs w:val="20"/>
          <w:lang w:val="en-GB" w:eastAsia="en-GB"/>
        </w:rPr>
      </w:pPr>
      <w:r w:rsidRPr="00846EE4">
        <w:rPr>
          <w:rFonts w:eastAsia="SimSun" w:cs="Arial"/>
          <w:spacing w:val="-1"/>
          <w:szCs w:val="20"/>
          <w:lang w:val="en-GB" w:eastAsia="en-GB"/>
        </w:rPr>
        <w:t>Qualification routes for the ECEC workforce</w:t>
      </w:r>
    </w:p>
    <w:p w14:paraId="3BA33C3B" w14:textId="77777777" w:rsidR="00846EE4" w:rsidRPr="00846EE4" w:rsidRDefault="00846EE4" w:rsidP="00846EE4">
      <w:pPr>
        <w:spacing w:line="240" w:lineRule="atLeast"/>
        <w:ind w:left="340" w:hanging="340"/>
        <w:rPr>
          <w:rFonts w:eastAsia="SimSun" w:cs="Arial"/>
          <w:spacing w:val="-1"/>
          <w:szCs w:val="20"/>
          <w:lang w:val="en-GB" w:eastAsia="en-GB"/>
        </w:rPr>
      </w:pPr>
      <w:r w:rsidRPr="00846EE4">
        <w:rPr>
          <w:rFonts w:eastAsia="SimSun" w:cs="Arial"/>
          <w:spacing w:val="-1"/>
          <w:szCs w:val="20"/>
          <w:lang w:val="en-GB" w:eastAsia="en-GB"/>
        </w:rPr>
        <w:t xml:space="preserve">Characteristics of those in training, training market provision and training modes of delivery. </w:t>
      </w:r>
    </w:p>
    <w:p w14:paraId="004A7423" w14:textId="77777777" w:rsidR="00846EE4" w:rsidRPr="00846EE4" w:rsidRDefault="00846EE4" w:rsidP="00846EE4">
      <w:pPr>
        <w:spacing w:line="240" w:lineRule="atLeast"/>
        <w:ind w:left="340" w:hanging="340"/>
        <w:rPr>
          <w:rFonts w:eastAsia="SimSun" w:cs="Arial"/>
          <w:spacing w:val="-1"/>
          <w:szCs w:val="20"/>
          <w:lang w:val="en-GB" w:eastAsia="en-GB"/>
        </w:rPr>
      </w:pPr>
      <w:r w:rsidRPr="00846EE4">
        <w:rPr>
          <w:rFonts w:eastAsia="SimSun" w:cs="Arial"/>
          <w:spacing w:val="-1"/>
          <w:szCs w:val="20"/>
          <w:lang w:val="en-GB" w:eastAsia="en-GB"/>
        </w:rPr>
        <w:t xml:space="preserve">Work-based training and continuing professional development.  </w:t>
      </w:r>
    </w:p>
    <w:p w14:paraId="435607E1" w14:textId="77777777" w:rsidR="00846EE4" w:rsidRPr="00846EE4" w:rsidRDefault="00846EE4" w:rsidP="00846EE4">
      <w:pPr>
        <w:rPr>
          <w:rFonts w:cs="Arial"/>
        </w:rPr>
      </w:pPr>
      <w:r w:rsidRPr="00846EE4">
        <w:t>The issues that emerge from our analysis of this data are further articulated in Chapter 5</w:t>
      </w:r>
      <w:r w:rsidRPr="00846EE4">
        <w:rPr>
          <w:rFonts w:cs="Arial"/>
        </w:rPr>
        <w:t xml:space="preserve"> including relating to the content of ECEC qualifications and quality of training delivery</w:t>
      </w:r>
      <w:r w:rsidRPr="00846EE4">
        <w:t>.</w:t>
      </w:r>
    </w:p>
    <w:p w14:paraId="5679202D" w14:textId="77777777" w:rsidR="00846EE4" w:rsidRPr="00846EE4" w:rsidRDefault="00846EE4" w:rsidP="00846EE4">
      <w:pPr>
        <w:pStyle w:val="Heading2"/>
      </w:pPr>
      <w:bookmarkStart w:id="127" w:name="_Toc162526361"/>
      <w:bookmarkStart w:id="128" w:name="_Toc174363710"/>
      <w:r w:rsidRPr="00846EE4">
        <w:t>Qualification Routes for the ECEC Workforce</w:t>
      </w:r>
      <w:bookmarkEnd w:id="127"/>
      <w:bookmarkEnd w:id="128"/>
      <w:r w:rsidRPr="00846EE4">
        <w:t> </w:t>
      </w:r>
    </w:p>
    <w:p w14:paraId="7FD4339D" w14:textId="77777777" w:rsidR="00846EE4" w:rsidRPr="00846EE4" w:rsidRDefault="00846EE4" w:rsidP="00846EE4">
      <w:pPr>
        <w:rPr>
          <w:rFonts w:cs="Arial"/>
        </w:rPr>
      </w:pPr>
      <w:r w:rsidRPr="00846EE4">
        <w:rPr>
          <w:rFonts w:cs="Arial"/>
        </w:rPr>
        <w:t xml:space="preserve">In the ten years between 2011 and 2021, the proportion of ECEC staff holding a non-school qualification increased from 67.6% to 82.5% (ABS Census 2021). This growth is aligned with the establishment of the NQF in 2012, which introduced qualification requirements and staff ratios for ECEC services within its remit. As a result, educators must hold (or be working towards) at least a Certificate III-level ECEC qualification in service types with the most enrolled children (CBDC and FDC), with services also needing to ensure that they have access to a certain number of educators with diploma-level and bachelor-level (or equivalent) qualifications, in line with enrolments. </w:t>
      </w:r>
    </w:p>
    <w:p w14:paraId="0ACD0300" w14:textId="77777777" w:rsidR="00846EE4" w:rsidRPr="00846EE4" w:rsidRDefault="00846EE4" w:rsidP="00846EE4">
      <w:pPr>
        <w:rPr>
          <w:rFonts w:eastAsiaTheme="majorEastAsia" w:cs="Arial"/>
        </w:rPr>
      </w:pPr>
      <w:r w:rsidRPr="00846EE4">
        <w:rPr>
          <w:rFonts w:cs="Arial"/>
        </w:rPr>
        <w:t xml:space="preserve">There have also been increases in educational attainment noted in the 2021 ABS Census data on highest non-school qualification for respondents in ECEC focus occupations not directly attributable to the NQF. These include the increase in </w:t>
      </w:r>
      <w:r w:rsidRPr="00846EE4">
        <w:rPr>
          <w:rFonts w:cs="Arial"/>
          <w:i/>
          <w:iCs/>
        </w:rPr>
        <w:t>C</w:t>
      </w:r>
      <w:bookmarkStart w:id="129" w:name="_Int_M6FGZsfY"/>
      <w:r w:rsidRPr="00846EE4">
        <w:rPr>
          <w:rFonts w:cs="Arial"/>
          <w:i/>
          <w:iCs/>
        </w:rPr>
        <w:t>hild Care</w:t>
      </w:r>
      <w:bookmarkEnd w:id="129"/>
      <w:r w:rsidRPr="00846EE4">
        <w:rPr>
          <w:rFonts w:cs="Arial"/>
          <w:i/>
          <w:iCs/>
        </w:rPr>
        <w:t xml:space="preserve"> Centre Managers</w:t>
      </w:r>
      <w:r w:rsidRPr="00846EE4">
        <w:rPr>
          <w:rFonts w:cs="Arial"/>
        </w:rPr>
        <w:t xml:space="preserve"> and </w:t>
      </w:r>
      <w:r w:rsidRPr="00846EE4">
        <w:rPr>
          <w:rFonts w:cs="Arial"/>
          <w:i/>
          <w:iCs/>
        </w:rPr>
        <w:t>Early Childhood Teachers</w:t>
      </w:r>
      <w:r w:rsidRPr="00846EE4">
        <w:rPr>
          <w:rFonts w:cs="Arial"/>
        </w:rPr>
        <w:t xml:space="preserve"> with postgraduate qualifications, and that more than a quarter of educators possessed a bachelor-level qualification. </w:t>
      </w:r>
      <w:r w:rsidRPr="00846EE4">
        <w:rPr>
          <w:rFonts w:eastAsiaTheme="majorEastAsia" w:cs="Arial"/>
        </w:rPr>
        <w:t> </w:t>
      </w:r>
    </w:p>
    <w:p w14:paraId="75F8DF4E" w14:textId="77777777" w:rsidR="00846EE4" w:rsidRPr="00846EE4" w:rsidRDefault="00846EE4" w:rsidP="00846EE4">
      <w:pPr>
        <w:rPr>
          <w:rFonts w:eastAsiaTheme="majorEastAsia" w:cs="Arial"/>
        </w:rPr>
      </w:pPr>
      <w:r w:rsidRPr="00846EE4">
        <w:rPr>
          <w:rFonts w:cs="Arial"/>
        </w:rPr>
        <w:t xml:space="preserve">While the NQF, among other state and </w:t>
      </w:r>
      <w:proofErr w:type="gramStart"/>
      <w:r w:rsidRPr="00846EE4">
        <w:rPr>
          <w:rFonts w:cs="Arial"/>
        </w:rPr>
        <w:t>territory based</w:t>
      </w:r>
      <w:proofErr w:type="gramEnd"/>
      <w:r w:rsidRPr="00846EE4">
        <w:rPr>
          <w:rFonts w:cs="Arial"/>
        </w:rPr>
        <w:t xml:space="preserve"> regulations, puts in place qualification requirements and staffing ratios it does allow flexibility through the operation of waivers and rules that enable enrolment in a qualification to satisfy requirements that educators hold a qualification under certain conditions. </w:t>
      </w:r>
      <w:r w:rsidRPr="00846EE4">
        <w:rPr>
          <w:rFonts w:eastAsiaTheme="majorEastAsia" w:cs="Arial"/>
        </w:rPr>
        <w:t> </w:t>
      </w:r>
    </w:p>
    <w:p w14:paraId="679B980A" w14:textId="77777777" w:rsidR="00846EE4" w:rsidRPr="00846EE4" w:rsidRDefault="00846EE4" w:rsidP="00846EE4">
      <w:r w:rsidRPr="00846EE4">
        <w:rPr>
          <w:rFonts w:cs="Arial"/>
        </w:rPr>
        <w:t>Largely because of the guardrails put in place by the NQF and the relevant modern awards, the VET and higher education pathways into ECEC roles are well established. </w:t>
      </w:r>
      <w:r w:rsidRPr="00846EE4">
        <w:t>The qualification mix of the workforce reflects the strong VET training pathways into the sector</w:t>
      </w:r>
      <w:r w:rsidRPr="00846EE4">
        <w:rPr>
          <w:vertAlign w:val="superscript"/>
        </w:rPr>
        <w:footnoteReference w:id="44"/>
      </w:r>
      <w:r w:rsidRPr="00846EE4">
        <w:rPr>
          <w:vertAlign w:val="superscript"/>
        </w:rPr>
        <w:t>.</w:t>
      </w:r>
    </w:p>
    <w:p w14:paraId="57249644" w14:textId="77777777" w:rsidR="00846EE4" w:rsidRPr="00846EE4" w:rsidRDefault="00846EE4" w:rsidP="00701210">
      <w:pPr>
        <w:pStyle w:val="ListBullet"/>
      </w:pPr>
      <w:r w:rsidRPr="00846EE4">
        <w:t>The Certificate III in Early Childhood Education and Care is the dominant pathway into educator level roles. </w:t>
      </w:r>
    </w:p>
    <w:p w14:paraId="31A5985A" w14:textId="77777777" w:rsidR="00846EE4" w:rsidRPr="00846EE4" w:rsidRDefault="00846EE4" w:rsidP="00701210">
      <w:pPr>
        <w:pStyle w:val="ListBullet"/>
      </w:pPr>
      <w:r w:rsidRPr="00846EE4">
        <w:t xml:space="preserve">The Diploma of Early Childhood Education and Care provides the progression to more senior educator roles within middle management, such as Group or Room Leader. In the current training </w:t>
      </w:r>
      <w:proofErr w:type="gramStart"/>
      <w:r w:rsidRPr="00846EE4">
        <w:t>package</w:t>
      </w:r>
      <w:proofErr w:type="gramEnd"/>
      <w:r w:rsidRPr="00846EE4">
        <w:t xml:space="preserve"> the pre-requisite for entry into the Diploma is a Certificate III </w:t>
      </w:r>
      <w:r w:rsidRPr="00846EE4">
        <w:lastRenderedPageBreak/>
        <w:t xml:space="preserve">Early Childhood Education and Care, from one of the two most recent qualification versions. </w:t>
      </w:r>
    </w:p>
    <w:p w14:paraId="38D292E2" w14:textId="77777777" w:rsidR="00846EE4" w:rsidRPr="00846EE4" w:rsidRDefault="00846EE4" w:rsidP="00701210">
      <w:pPr>
        <w:pStyle w:val="ListBullet"/>
      </w:pPr>
      <w:r w:rsidRPr="00846EE4">
        <w:t xml:space="preserve">Various </w:t>
      </w:r>
      <w:proofErr w:type="gramStart"/>
      <w:r w:rsidRPr="00846EE4">
        <w:t>bachelor</w:t>
      </w:r>
      <w:proofErr w:type="gramEnd"/>
      <w:r w:rsidRPr="00846EE4">
        <w:t xml:space="preserve"> degree programs provide the main pathway into </w:t>
      </w:r>
      <w:r w:rsidRPr="00846EE4">
        <w:rPr>
          <w:i/>
          <w:iCs/>
        </w:rPr>
        <w:t>Early Childhood Teacher</w:t>
      </w:r>
      <w:r w:rsidRPr="00846EE4">
        <w:t xml:space="preserve"> roles, which may be specialised as pre-primary (0-5) or provide a dual pathway into primary teaching as well (0-12). </w:t>
      </w:r>
    </w:p>
    <w:p w14:paraId="0159A7F2" w14:textId="77777777" w:rsidR="00846EE4" w:rsidRPr="005E45F0" w:rsidRDefault="00846EE4" w:rsidP="00701210">
      <w:pPr>
        <w:pStyle w:val="ListBullet"/>
      </w:pPr>
      <w:r w:rsidRPr="00846EE4">
        <w:t xml:space="preserve">Other higher education pathways into </w:t>
      </w:r>
      <w:r w:rsidRPr="00846EE4">
        <w:rPr>
          <w:i/>
          <w:iCs/>
        </w:rPr>
        <w:t xml:space="preserve">Early Childhood Teacher </w:t>
      </w:r>
      <w:r w:rsidRPr="00846EE4">
        <w:t xml:space="preserve">roles include graduate diplomas and </w:t>
      </w:r>
      <w:proofErr w:type="gramStart"/>
      <w:r w:rsidRPr="00846EE4">
        <w:t>m</w:t>
      </w:r>
      <w:bookmarkStart w:id="130" w:name="_Int_gveUAaf0"/>
      <w:r w:rsidRPr="00846EE4">
        <w:t>aster</w:t>
      </w:r>
      <w:bookmarkEnd w:id="130"/>
      <w:r w:rsidRPr="00846EE4">
        <w:t>s</w:t>
      </w:r>
      <w:proofErr w:type="gramEnd"/>
      <w:r w:rsidRPr="00846EE4">
        <w:t xml:space="preserve"> programs for candidates with usually a </w:t>
      </w:r>
      <w:bookmarkStart w:id="131" w:name="_Int_FiHiHzIM"/>
      <w:r w:rsidRPr="00846EE4">
        <w:t>three year</w:t>
      </w:r>
      <w:bookmarkEnd w:id="131"/>
      <w:r w:rsidRPr="00846EE4">
        <w:t xml:space="preserve"> degree, not always in early childhood education. In some instances, these routes are open to</w:t>
      </w:r>
      <w:r w:rsidRPr="00846EE4">
        <w:rPr>
          <w:color w:val="000000"/>
        </w:rPr>
        <w:t xml:space="preserve"> those with a Diploma in ECEC and significant workplace experience.</w:t>
      </w:r>
      <w:r w:rsidRPr="00846EE4">
        <w:rPr>
          <w:color w:val="000000"/>
          <w:shd w:val="clear" w:color="auto" w:fill="FFFFFF"/>
        </w:rPr>
        <w:t xml:space="preserve"> Postgraduate diplomas and </w:t>
      </w:r>
      <w:proofErr w:type="gramStart"/>
      <w:r w:rsidRPr="00846EE4">
        <w:t>m</w:t>
      </w:r>
      <w:r w:rsidRPr="00846EE4">
        <w:rPr>
          <w:color w:val="000000"/>
          <w:shd w:val="clear" w:color="auto" w:fill="FFFFFF"/>
        </w:rPr>
        <w:t>asters</w:t>
      </w:r>
      <w:proofErr w:type="gramEnd"/>
      <w:r w:rsidRPr="00846EE4">
        <w:rPr>
          <w:color w:val="000000"/>
          <w:shd w:val="clear" w:color="auto" w:fill="FFFFFF"/>
        </w:rPr>
        <w:t xml:space="preserve"> qualification have seen recent proportional increases for international students.</w:t>
      </w:r>
    </w:p>
    <w:p w14:paraId="681786F9" w14:textId="77777777" w:rsidR="005E45F0" w:rsidRPr="005E45F0" w:rsidRDefault="005E45F0" w:rsidP="00701210">
      <w:pPr>
        <w:pStyle w:val="ListBullet"/>
      </w:pPr>
      <w:r w:rsidRPr="000F00B6">
        <w:rPr>
          <w:rFonts w:cs="Arial"/>
        </w:rPr>
        <w:t>Qualification routes for the ECEC workforce</w:t>
      </w:r>
      <w:r>
        <w:rPr>
          <w:rFonts w:cs="Arial"/>
        </w:rPr>
        <w:t>.</w:t>
      </w:r>
    </w:p>
    <w:p w14:paraId="65DBEFDE" w14:textId="77777777" w:rsidR="005E45F0" w:rsidRPr="005E45F0" w:rsidRDefault="005E45F0" w:rsidP="00701210">
      <w:pPr>
        <w:pStyle w:val="ListBullet"/>
      </w:pPr>
      <w:r w:rsidRPr="000F00B6">
        <w:rPr>
          <w:rFonts w:cs="Arial"/>
        </w:rPr>
        <w:t xml:space="preserve">Characteristics of those in training, training market provision and training modes of delivery. </w:t>
      </w:r>
    </w:p>
    <w:p w14:paraId="5F31A063" w14:textId="026C72EB" w:rsidR="005E45F0" w:rsidRPr="00846EE4" w:rsidRDefault="005E45F0" w:rsidP="00701210">
      <w:pPr>
        <w:pStyle w:val="ListBullet"/>
      </w:pPr>
      <w:r w:rsidRPr="000F00B6">
        <w:rPr>
          <w:rFonts w:cs="Arial"/>
        </w:rPr>
        <w:t>Work-based training and continuing professional development.</w:t>
      </w:r>
    </w:p>
    <w:p w14:paraId="678C9919" w14:textId="77777777" w:rsidR="00846EE4" w:rsidRPr="00846EE4" w:rsidRDefault="00846EE4" w:rsidP="00846EE4">
      <w:pPr>
        <w:pStyle w:val="Heading3"/>
      </w:pPr>
      <w:r w:rsidRPr="00846EE4">
        <w:t xml:space="preserve">Characteristics of Training </w:t>
      </w:r>
    </w:p>
    <w:p w14:paraId="17DA380A" w14:textId="77777777" w:rsidR="00846EE4" w:rsidRPr="00846EE4" w:rsidRDefault="00846EE4" w:rsidP="00846EE4">
      <w:r w:rsidRPr="00846EE4">
        <w:rPr>
          <w:rFonts w:cs="Arial"/>
        </w:rPr>
        <w:t xml:space="preserve">This study mapped the qualification pathways in Australia which are recognised by the national authority ACECQA to meet the staffing requirements of ECEC. </w:t>
      </w:r>
      <w:r w:rsidRPr="00846EE4">
        <w:rPr>
          <w:rFonts w:cs="Arial"/>
        </w:rPr>
        <w:fldChar w:fldCharType="begin" w:fldLock="1"/>
      </w:r>
      <w:r w:rsidRPr="00846EE4">
        <w:rPr>
          <w:rFonts w:cs="Arial"/>
        </w:rPr>
        <w:instrText xml:space="preserve"> REF _Ref168315684 \h </w:instrText>
      </w:r>
      <w:r w:rsidRPr="00846EE4">
        <w:rPr>
          <w:rFonts w:cs="Arial"/>
        </w:rPr>
      </w:r>
      <w:r w:rsidRPr="00846EE4">
        <w:rPr>
          <w:rFonts w:cs="Arial"/>
        </w:rPr>
        <w:fldChar w:fldCharType="separate"/>
      </w:r>
      <w:r w:rsidRPr="00846EE4">
        <w:t>Figure 3.</w:t>
      </w:r>
      <w:r w:rsidRPr="00846EE4">
        <w:rPr>
          <w:noProof/>
        </w:rPr>
        <w:t>1</w:t>
      </w:r>
      <w:r w:rsidRPr="00846EE4">
        <w:rPr>
          <w:rFonts w:cs="Arial"/>
        </w:rPr>
        <w:fldChar w:fldCharType="end"/>
      </w:r>
      <w:r w:rsidRPr="00846EE4">
        <w:rPr>
          <w:rFonts w:cs="Arial"/>
        </w:rPr>
        <w:t xml:space="preserve"> below shows the number of Certificate III and Diploma ECEC enrolments over the years 2018 to 2022 - together these enrolled 113,095 in 2022, with a marked, and increasing, preference for Certificate III over the longer Diploma. </w:t>
      </w:r>
      <w:r w:rsidRPr="00846EE4">
        <w:t xml:space="preserve">Enrolment figures in higher education are shown in </w:t>
      </w:r>
      <w:r w:rsidRPr="00846EE4">
        <w:fldChar w:fldCharType="begin" w:fldLock="1"/>
      </w:r>
      <w:r w:rsidRPr="00846EE4">
        <w:instrText xml:space="preserve"> REF _Ref168315720 \h </w:instrText>
      </w:r>
      <w:r w:rsidRPr="00846EE4">
        <w:fldChar w:fldCharType="separate"/>
      </w:r>
      <w:r w:rsidRPr="00846EE4">
        <w:t>Figure 3.</w:t>
      </w:r>
      <w:r w:rsidRPr="00846EE4">
        <w:rPr>
          <w:noProof/>
        </w:rPr>
        <w:t>2</w:t>
      </w:r>
      <w:r w:rsidRPr="00846EE4">
        <w:fldChar w:fldCharType="end"/>
      </w:r>
      <w:r w:rsidRPr="00846EE4">
        <w:t xml:space="preserve">. VET courses enrol almost six times as many students into ECEC routes as universities in Australia. </w:t>
      </w:r>
    </w:p>
    <w:p w14:paraId="29A4A26A" w14:textId="5A8A54DF" w:rsidR="00846EE4" w:rsidRPr="00846EE4" w:rsidRDefault="00BD415C" w:rsidP="00701210">
      <w:pPr>
        <w:pStyle w:val="Caption"/>
      </w:pPr>
      <w:bookmarkStart w:id="132" w:name="_Ref168315684"/>
      <w:r w:rsidRPr="00846EE4">
        <w:rPr>
          <w:noProof/>
        </w:rPr>
        <w:drawing>
          <wp:anchor distT="0" distB="0" distL="114300" distR="114300" simplePos="0" relativeHeight="251719683" behindDoc="0" locked="0" layoutInCell="1" allowOverlap="1" wp14:anchorId="4F06F29E" wp14:editId="41C87AC8">
            <wp:simplePos x="0" y="0"/>
            <wp:positionH relativeFrom="column">
              <wp:align>left</wp:align>
            </wp:positionH>
            <wp:positionV relativeFrom="paragraph">
              <wp:posOffset>362585</wp:posOffset>
            </wp:positionV>
            <wp:extent cx="5727600" cy="2743200"/>
            <wp:effectExtent l="0" t="0" r="6985" b="0"/>
            <wp:wrapNone/>
            <wp:docPr id="176046094" name="Chart 1">
              <a:extLst xmlns:a="http://schemas.openxmlformats.org/drawingml/2006/main">
                <a:ext uri="{FF2B5EF4-FFF2-40B4-BE49-F238E27FC236}">
                  <a16:creationId xmlns:a16="http://schemas.microsoft.com/office/drawing/2014/main" id="{F60F1A46-120D-45C4-B9EB-5A2FB52E50C9}"/>
                </a:ext>
                <a:ext uri="{147F2762-F138-4A5C-976F-8EAC2B608ADB}">
                  <a16:predDERef xmlns:a16="http://schemas.microsoft.com/office/drawing/2014/main" pred="{0CCC7B2A-D880-4E27-9F67-5800079BCF4B}"/>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14:sizeRelH relativeFrom="margin">
              <wp14:pctWidth>0</wp14:pctWidth>
            </wp14:sizeRelH>
          </wp:anchor>
        </w:drawing>
      </w:r>
      <w:r w:rsidR="00846EE4" w:rsidRPr="00846EE4">
        <w:t>Figure 3.</w:t>
      </w:r>
      <w:r w:rsidR="00846EE4" w:rsidRPr="00846EE4">
        <w:fldChar w:fldCharType="begin"/>
      </w:r>
      <w:r w:rsidR="00846EE4" w:rsidRPr="00846EE4">
        <w:instrText xml:space="preserve"> SEQ Figure \* ARABIC \s 1 </w:instrText>
      </w:r>
      <w:r w:rsidR="00846EE4" w:rsidRPr="00846EE4">
        <w:fldChar w:fldCharType="separate"/>
      </w:r>
      <w:r w:rsidR="005F18C1">
        <w:rPr>
          <w:noProof/>
        </w:rPr>
        <w:t>1</w:t>
      </w:r>
      <w:r w:rsidR="00846EE4" w:rsidRPr="00846EE4">
        <w:fldChar w:fldCharType="end"/>
      </w:r>
      <w:bookmarkEnd w:id="132"/>
      <w:r w:rsidR="00846EE4" w:rsidRPr="00846EE4">
        <w:t xml:space="preserve"> ECEC program enrolments, by level of education, 2018-2022</w:t>
      </w:r>
    </w:p>
    <w:p w14:paraId="2BF77AA0" w14:textId="29E637FD" w:rsidR="00846EE4" w:rsidRPr="00846EE4" w:rsidRDefault="00846EE4" w:rsidP="00846EE4"/>
    <w:tbl>
      <w:tblPr>
        <w:tblStyle w:val="Box"/>
        <w:tblW w:w="0" w:type="auto"/>
        <w:jc w:val="center"/>
        <w:tblLook w:val="04A0" w:firstRow="1" w:lastRow="0" w:firstColumn="1" w:lastColumn="0" w:noHBand="0" w:noVBand="1"/>
      </w:tblPr>
      <w:tblGrid>
        <w:gridCol w:w="3544"/>
        <w:gridCol w:w="883"/>
        <w:gridCol w:w="883"/>
        <w:gridCol w:w="883"/>
        <w:gridCol w:w="883"/>
        <w:gridCol w:w="646"/>
      </w:tblGrid>
      <w:tr w:rsidR="00BD415C" w:rsidRPr="00BD415C" w14:paraId="388F9545" w14:textId="77777777" w:rsidTr="00BD415C">
        <w:trPr>
          <w:trHeight w:val="300"/>
          <w:jc w:val="center"/>
        </w:trPr>
        <w:tc>
          <w:tcPr>
            <w:tcW w:w="3544" w:type="dxa"/>
            <w:noWrap/>
            <w:hideMark/>
          </w:tcPr>
          <w:p w14:paraId="373F9895" w14:textId="77777777" w:rsidR="00BD415C" w:rsidRPr="00BD415C" w:rsidRDefault="00BD415C" w:rsidP="00BD415C">
            <w:pPr>
              <w:pStyle w:val="Source"/>
              <w:rPr>
                <w:b/>
                <w:bCs/>
                <w:sz w:val="2"/>
                <w:szCs w:val="2"/>
              </w:rPr>
            </w:pPr>
            <w:r w:rsidRPr="00BD415C">
              <w:rPr>
                <w:b/>
                <w:bCs/>
                <w:sz w:val="2"/>
                <w:szCs w:val="2"/>
              </w:rPr>
              <w:t>Program name</w:t>
            </w:r>
          </w:p>
        </w:tc>
        <w:tc>
          <w:tcPr>
            <w:tcW w:w="883" w:type="dxa"/>
            <w:noWrap/>
            <w:hideMark/>
          </w:tcPr>
          <w:p w14:paraId="1DCD605A" w14:textId="77777777" w:rsidR="00BD415C" w:rsidRPr="00BD415C" w:rsidRDefault="00BD415C" w:rsidP="00BD415C">
            <w:pPr>
              <w:pStyle w:val="Source"/>
              <w:rPr>
                <w:b/>
                <w:bCs/>
                <w:sz w:val="2"/>
                <w:szCs w:val="2"/>
              </w:rPr>
            </w:pPr>
            <w:r w:rsidRPr="00BD415C">
              <w:rPr>
                <w:b/>
                <w:bCs/>
                <w:sz w:val="2"/>
                <w:szCs w:val="2"/>
              </w:rPr>
              <w:t>2018</w:t>
            </w:r>
          </w:p>
        </w:tc>
        <w:tc>
          <w:tcPr>
            <w:tcW w:w="883" w:type="dxa"/>
            <w:noWrap/>
            <w:hideMark/>
          </w:tcPr>
          <w:p w14:paraId="6AF61676" w14:textId="77777777" w:rsidR="00BD415C" w:rsidRPr="00BD415C" w:rsidRDefault="00BD415C" w:rsidP="00BD415C">
            <w:pPr>
              <w:pStyle w:val="Source"/>
              <w:rPr>
                <w:b/>
                <w:bCs/>
                <w:sz w:val="2"/>
                <w:szCs w:val="2"/>
              </w:rPr>
            </w:pPr>
            <w:r w:rsidRPr="00BD415C">
              <w:rPr>
                <w:b/>
                <w:bCs/>
                <w:sz w:val="2"/>
                <w:szCs w:val="2"/>
              </w:rPr>
              <w:t>2019</w:t>
            </w:r>
          </w:p>
        </w:tc>
        <w:tc>
          <w:tcPr>
            <w:tcW w:w="883" w:type="dxa"/>
            <w:noWrap/>
            <w:hideMark/>
          </w:tcPr>
          <w:p w14:paraId="7DC8AECA" w14:textId="77777777" w:rsidR="00BD415C" w:rsidRPr="00BD415C" w:rsidRDefault="00BD415C" w:rsidP="00BD415C">
            <w:pPr>
              <w:pStyle w:val="Source"/>
              <w:rPr>
                <w:b/>
                <w:bCs/>
                <w:sz w:val="2"/>
                <w:szCs w:val="2"/>
              </w:rPr>
            </w:pPr>
            <w:r w:rsidRPr="00BD415C">
              <w:rPr>
                <w:b/>
                <w:bCs/>
                <w:sz w:val="2"/>
                <w:szCs w:val="2"/>
              </w:rPr>
              <w:t>2020</w:t>
            </w:r>
          </w:p>
        </w:tc>
        <w:tc>
          <w:tcPr>
            <w:tcW w:w="883" w:type="dxa"/>
            <w:noWrap/>
            <w:hideMark/>
          </w:tcPr>
          <w:p w14:paraId="16E67A64" w14:textId="77777777" w:rsidR="00BD415C" w:rsidRPr="00BD415C" w:rsidRDefault="00BD415C" w:rsidP="00BD415C">
            <w:pPr>
              <w:pStyle w:val="Source"/>
              <w:rPr>
                <w:b/>
                <w:bCs/>
                <w:sz w:val="2"/>
                <w:szCs w:val="2"/>
              </w:rPr>
            </w:pPr>
            <w:r w:rsidRPr="00BD415C">
              <w:rPr>
                <w:b/>
                <w:bCs/>
                <w:sz w:val="2"/>
                <w:szCs w:val="2"/>
              </w:rPr>
              <w:t>2021</w:t>
            </w:r>
          </w:p>
        </w:tc>
        <w:tc>
          <w:tcPr>
            <w:tcW w:w="646" w:type="dxa"/>
            <w:noWrap/>
            <w:hideMark/>
          </w:tcPr>
          <w:p w14:paraId="22F1FD4F" w14:textId="77777777" w:rsidR="00BD415C" w:rsidRPr="00BD415C" w:rsidRDefault="00BD415C" w:rsidP="00BD415C">
            <w:pPr>
              <w:pStyle w:val="Source"/>
              <w:rPr>
                <w:b/>
                <w:bCs/>
                <w:sz w:val="2"/>
                <w:szCs w:val="2"/>
              </w:rPr>
            </w:pPr>
            <w:r w:rsidRPr="00BD415C">
              <w:rPr>
                <w:b/>
                <w:bCs/>
                <w:sz w:val="2"/>
                <w:szCs w:val="2"/>
              </w:rPr>
              <w:t>2022</w:t>
            </w:r>
          </w:p>
        </w:tc>
      </w:tr>
      <w:tr w:rsidR="00BD415C" w:rsidRPr="00BD415C" w14:paraId="79E836EC" w14:textId="77777777" w:rsidTr="00BD415C">
        <w:trPr>
          <w:trHeight w:val="285"/>
          <w:jc w:val="center"/>
        </w:trPr>
        <w:tc>
          <w:tcPr>
            <w:tcW w:w="3544" w:type="dxa"/>
            <w:noWrap/>
            <w:hideMark/>
          </w:tcPr>
          <w:p w14:paraId="775E3C2C" w14:textId="77777777" w:rsidR="00BD415C" w:rsidRPr="00BD415C" w:rsidRDefault="00BD415C" w:rsidP="00BD415C">
            <w:pPr>
              <w:pStyle w:val="Source"/>
              <w:rPr>
                <w:sz w:val="2"/>
                <w:szCs w:val="2"/>
              </w:rPr>
            </w:pPr>
            <w:r w:rsidRPr="00BD415C">
              <w:rPr>
                <w:sz w:val="2"/>
                <w:szCs w:val="2"/>
              </w:rPr>
              <w:t>Certificate III in Early Childhood Education and Care</w:t>
            </w:r>
          </w:p>
        </w:tc>
        <w:tc>
          <w:tcPr>
            <w:tcW w:w="883" w:type="dxa"/>
            <w:noWrap/>
            <w:hideMark/>
          </w:tcPr>
          <w:p w14:paraId="75376874" w14:textId="77777777" w:rsidR="00BD415C" w:rsidRPr="00BD415C" w:rsidRDefault="00BD415C" w:rsidP="00BD415C">
            <w:pPr>
              <w:pStyle w:val="Source"/>
              <w:rPr>
                <w:sz w:val="2"/>
                <w:szCs w:val="2"/>
              </w:rPr>
            </w:pPr>
            <w:r w:rsidRPr="00BD415C">
              <w:rPr>
                <w:sz w:val="2"/>
                <w:szCs w:val="2"/>
              </w:rPr>
              <w:t>52,835</w:t>
            </w:r>
          </w:p>
        </w:tc>
        <w:tc>
          <w:tcPr>
            <w:tcW w:w="883" w:type="dxa"/>
            <w:noWrap/>
            <w:hideMark/>
          </w:tcPr>
          <w:p w14:paraId="69AF2FBC" w14:textId="77777777" w:rsidR="00BD415C" w:rsidRPr="00BD415C" w:rsidRDefault="00BD415C" w:rsidP="00BD415C">
            <w:pPr>
              <w:pStyle w:val="Source"/>
              <w:rPr>
                <w:sz w:val="2"/>
                <w:szCs w:val="2"/>
              </w:rPr>
            </w:pPr>
            <w:r w:rsidRPr="00BD415C">
              <w:rPr>
                <w:sz w:val="2"/>
                <w:szCs w:val="2"/>
              </w:rPr>
              <w:t>55,005</w:t>
            </w:r>
          </w:p>
        </w:tc>
        <w:tc>
          <w:tcPr>
            <w:tcW w:w="883" w:type="dxa"/>
            <w:noWrap/>
            <w:hideMark/>
          </w:tcPr>
          <w:p w14:paraId="00C73A69" w14:textId="77777777" w:rsidR="00BD415C" w:rsidRPr="00BD415C" w:rsidRDefault="00BD415C" w:rsidP="00BD415C">
            <w:pPr>
              <w:pStyle w:val="Source"/>
              <w:rPr>
                <w:sz w:val="2"/>
                <w:szCs w:val="2"/>
              </w:rPr>
            </w:pPr>
            <w:r w:rsidRPr="00BD415C">
              <w:rPr>
                <w:sz w:val="2"/>
                <w:szCs w:val="2"/>
              </w:rPr>
              <w:t>55,030</w:t>
            </w:r>
          </w:p>
        </w:tc>
        <w:tc>
          <w:tcPr>
            <w:tcW w:w="883" w:type="dxa"/>
            <w:noWrap/>
            <w:hideMark/>
          </w:tcPr>
          <w:p w14:paraId="76186BF7" w14:textId="77777777" w:rsidR="00BD415C" w:rsidRPr="00BD415C" w:rsidRDefault="00BD415C" w:rsidP="00BD415C">
            <w:pPr>
              <w:pStyle w:val="Source"/>
              <w:rPr>
                <w:sz w:val="2"/>
                <w:szCs w:val="2"/>
              </w:rPr>
            </w:pPr>
            <w:r w:rsidRPr="00BD415C">
              <w:rPr>
                <w:sz w:val="2"/>
                <w:szCs w:val="2"/>
              </w:rPr>
              <w:t>64,445</w:t>
            </w:r>
          </w:p>
        </w:tc>
        <w:tc>
          <w:tcPr>
            <w:tcW w:w="646" w:type="dxa"/>
            <w:noWrap/>
            <w:hideMark/>
          </w:tcPr>
          <w:p w14:paraId="21F2C7D0" w14:textId="77777777" w:rsidR="00BD415C" w:rsidRPr="00BD415C" w:rsidRDefault="00BD415C" w:rsidP="00BD415C">
            <w:pPr>
              <w:pStyle w:val="Source"/>
              <w:rPr>
                <w:sz w:val="2"/>
                <w:szCs w:val="2"/>
              </w:rPr>
            </w:pPr>
            <w:r w:rsidRPr="00BD415C">
              <w:rPr>
                <w:sz w:val="2"/>
                <w:szCs w:val="2"/>
              </w:rPr>
              <w:t>73,855</w:t>
            </w:r>
          </w:p>
        </w:tc>
      </w:tr>
      <w:tr w:rsidR="00BD415C" w:rsidRPr="00BD415C" w14:paraId="0B8FD4B5" w14:textId="77777777" w:rsidTr="00BD415C">
        <w:trPr>
          <w:trHeight w:val="300"/>
          <w:jc w:val="center"/>
        </w:trPr>
        <w:tc>
          <w:tcPr>
            <w:tcW w:w="3544" w:type="dxa"/>
            <w:noWrap/>
            <w:hideMark/>
          </w:tcPr>
          <w:p w14:paraId="5C8FFD0F" w14:textId="77777777" w:rsidR="00BD415C" w:rsidRPr="00BD415C" w:rsidRDefault="00BD415C" w:rsidP="00BD415C">
            <w:pPr>
              <w:pStyle w:val="Source"/>
              <w:rPr>
                <w:sz w:val="2"/>
                <w:szCs w:val="2"/>
              </w:rPr>
            </w:pPr>
            <w:r w:rsidRPr="00BD415C">
              <w:rPr>
                <w:sz w:val="2"/>
                <w:szCs w:val="2"/>
              </w:rPr>
              <w:t>Diploma of Early Childhood Education and Care</w:t>
            </w:r>
          </w:p>
        </w:tc>
        <w:tc>
          <w:tcPr>
            <w:tcW w:w="883" w:type="dxa"/>
            <w:noWrap/>
            <w:hideMark/>
          </w:tcPr>
          <w:p w14:paraId="1AEC1612" w14:textId="77777777" w:rsidR="00BD415C" w:rsidRPr="00BD415C" w:rsidRDefault="00BD415C" w:rsidP="00BD415C">
            <w:pPr>
              <w:pStyle w:val="Source"/>
              <w:rPr>
                <w:sz w:val="2"/>
                <w:szCs w:val="2"/>
              </w:rPr>
            </w:pPr>
            <w:r w:rsidRPr="00BD415C">
              <w:rPr>
                <w:sz w:val="2"/>
                <w:szCs w:val="2"/>
              </w:rPr>
              <w:t>52,240</w:t>
            </w:r>
          </w:p>
        </w:tc>
        <w:tc>
          <w:tcPr>
            <w:tcW w:w="883" w:type="dxa"/>
            <w:noWrap/>
            <w:hideMark/>
          </w:tcPr>
          <w:p w14:paraId="6E178069" w14:textId="77777777" w:rsidR="00BD415C" w:rsidRPr="00BD415C" w:rsidRDefault="00BD415C" w:rsidP="00BD415C">
            <w:pPr>
              <w:pStyle w:val="Source"/>
              <w:rPr>
                <w:sz w:val="2"/>
                <w:szCs w:val="2"/>
              </w:rPr>
            </w:pPr>
            <w:r w:rsidRPr="00BD415C">
              <w:rPr>
                <w:sz w:val="2"/>
                <w:szCs w:val="2"/>
              </w:rPr>
              <w:t>48,750</w:t>
            </w:r>
          </w:p>
        </w:tc>
        <w:tc>
          <w:tcPr>
            <w:tcW w:w="883" w:type="dxa"/>
            <w:noWrap/>
            <w:hideMark/>
          </w:tcPr>
          <w:p w14:paraId="16A62E1D" w14:textId="77777777" w:rsidR="00BD415C" w:rsidRPr="00BD415C" w:rsidRDefault="00BD415C" w:rsidP="00BD415C">
            <w:pPr>
              <w:pStyle w:val="Source"/>
              <w:rPr>
                <w:sz w:val="2"/>
                <w:szCs w:val="2"/>
              </w:rPr>
            </w:pPr>
            <w:r w:rsidRPr="00BD415C">
              <w:rPr>
                <w:sz w:val="2"/>
                <w:szCs w:val="2"/>
              </w:rPr>
              <w:t>44,945</w:t>
            </w:r>
          </w:p>
        </w:tc>
        <w:tc>
          <w:tcPr>
            <w:tcW w:w="883" w:type="dxa"/>
            <w:noWrap/>
            <w:hideMark/>
          </w:tcPr>
          <w:p w14:paraId="0043CCA8" w14:textId="77777777" w:rsidR="00BD415C" w:rsidRPr="00BD415C" w:rsidRDefault="00BD415C" w:rsidP="00BD415C">
            <w:pPr>
              <w:pStyle w:val="Source"/>
              <w:rPr>
                <w:sz w:val="2"/>
                <w:szCs w:val="2"/>
              </w:rPr>
            </w:pPr>
            <w:r w:rsidRPr="00BD415C">
              <w:rPr>
                <w:sz w:val="2"/>
                <w:szCs w:val="2"/>
              </w:rPr>
              <w:t>49,910</w:t>
            </w:r>
          </w:p>
        </w:tc>
        <w:tc>
          <w:tcPr>
            <w:tcW w:w="646" w:type="dxa"/>
            <w:noWrap/>
            <w:hideMark/>
          </w:tcPr>
          <w:p w14:paraId="440EEC66" w14:textId="77777777" w:rsidR="00BD415C" w:rsidRPr="00BD415C" w:rsidRDefault="00BD415C" w:rsidP="00BD415C">
            <w:pPr>
              <w:pStyle w:val="Source"/>
              <w:rPr>
                <w:sz w:val="2"/>
                <w:szCs w:val="2"/>
              </w:rPr>
            </w:pPr>
            <w:r w:rsidRPr="00BD415C">
              <w:rPr>
                <w:sz w:val="2"/>
                <w:szCs w:val="2"/>
              </w:rPr>
              <w:t>39,240</w:t>
            </w:r>
          </w:p>
        </w:tc>
      </w:tr>
      <w:tr w:rsidR="00BD415C" w:rsidRPr="00BD415C" w14:paraId="4142614E" w14:textId="77777777" w:rsidTr="00BD415C">
        <w:trPr>
          <w:trHeight w:val="300"/>
          <w:jc w:val="center"/>
        </w:trPr>
        <w:tc>
          <w:tcPr>
            <w:tcW w:w="3544" w:type="dxa"/>
            <w:noWrap/>
            <w:hideMark/>
          </w:tcPr>
          <w:p w14:paraId="27DFE8D7" w14:textId="77777777" w:rsidR="00BD415C" w:rsidRPr="00BD415C" w:rsidRDefault="00BD415C" w:rsidP="00BD415C">
            <w:pPr>
              <w:pStyle w:val="Source"/>
              <w:rPr>
                <w:sz w:val="2"/>
                <w:szCs w:val="2"/>
              </w:rPr>
            </w:pPr>
            <w:r w:rsidRPr="00BD415C">
              <w:rPr>
                <w:sz w:val="2"/>
                <w:szCs w:val="2"/>
              </w:rPr>
              <w:t>Total</w:t>
            </w:r>
          </w:p>
        </w:tc>
        <w:tc>
          <w:tcPr>
            <w:tcW w:w="883" w:type="dxa"/>
            <w:noWrap/>
            <w:hideMark/>
          </w:tcPr>
          <w:p w14:paraId="53F445B7" w14:textId="77777777" w:rsidR="00BD415C" w:rsidRPr="00BD415C" w:rsidRDefault="00BD415C" w:rsidP="00BD415C">
            <w:pPr>
              <w:pStyle w:val="Source"/>
              <w:rPr>
                <w:sz w:val="2"/>
                <w:szCs w:val="2"/>
              </w:rPr>
            </w:pPr>
            <w:r w:rsidRPr="00BD415C">
              <w:rPr>
                <w:sz w:val="2"/>
                <w:szCs w:val="2"/>
              </w:rPr>
              <w:t>105,075</w:t>
            </w:r>
          </w:p>
        </w:tc>
        <w:tc>
          <w:tcPr>
            <w:tcW w:w="883" w:type="dxa"/>
            <w:noWrap/>
            <w:hideMark/>
          </w:tcPr>
          <w:p w14:paraId="5D234D81" w14:textId="77777777" w:rsidR="00BD415C" w:rsidRPr="00BD415C" w:rsidRDefault="00BD415C" w:rsidP="00BD415C">
            <w:pPr>
              <w:pStyle w:val="Source"/>
              <w:rPr>
                <w:sz w:val="2"/>
                <w:szCs w:val="2"/>
              </w:rPr>
            </w:pPr>
            <w:r w:rsidRPr="00BD415C">
              <w:rPr>
                <w:sz w:val="2"/>
                <w:szCs w:val="2"/>
              </w:rPr>
              <w:t>103,755</w:t>
            </w:r>
          </w:p>
        </w:tc>
        <w:tc>
          <w:tcPr>
            <w:tcW w:w="883" w:type="dxa"/>
            <w:noWrap/>
            <w:hideMark/>
          </w:tcPr>
          <w:p w14:paraId="2E612767" w14:textId="77777777" w:rsidR="00BD415C" w:rsidRPr="00BD415C" w:rsidRDefault="00BD415C" w:rsidP="00BD415C">
            <w:pPr>
              <w:pStyle w:val="Source"/>
              <w:rPr>
                <w:sz w:val="2"/>
                <w:szCs w:val="2"/>
              </w:rPr>
            </w:pPr>
            <w:r w:rsidRPr="00BD415C">
              <w:rPr>
                <w:sz w:val="2"/>
                <w:szCs w:val="2"/>
              </w:rPr>
              <w:t>99,975</w:t>
            </w:r>
          </w:p>
        </w:tc>
        <w:tc>
          <w:tcPr>
            <w:tcW w:w="883" w:type="dxa"/>
            <w:noWrap/>
            <w:hideMark/>
          </w:tcPr>
          <w:p w14:paraId="60317694" w14:textId="77777777" w:rsidR="00BD415C" w:rsidRPr="00BD415C" w:rsidRDefault="00BD415C" w:rsidP="00BD415C">
            <w:pPr>
              <w:pStyle w:val="Source"/>
              <w:rPr>
                <w:sz w:val="2"/>
                <w:szCs w:val="2"/>
              </w:rPr>
            </w:pPr>
            <w:r w:rsidRPr="00BD415C">
              <w:rPr>
                <w:sz w:val="2"/>
                <w:szCs w:val="2"/>
              </w:rPr>
              <w:t>114,355</w:t>
            </w:r>
          </w:p>
        </w:tc>
        <w:tc>
          <w:tcPr>
            <w:tcW w:w="646" w:type="dxa"/>
            <w:noWrap/>
            <w:hideMark/>
          </w:tcPr>
          <w:p w14:paraId="649EF5A3" w14:textId="77777777" w:rsidR="00BD415C" w:rsidRPr="00BD415C" w:rsidRDefault="00BD415C" w:rsidP="00BD415C">
            <w:pPr>
              <w:pStyle w:val="Source"/>
              <w:rPr>
                <w:sz w:val="2"/>
                <w:szCs w:val="2"/>
              </w:rPr>
            </w:pPr>
            <w:r w:rsidRPr="00BD415C">
              <w:rPr>
                <w:sz w:val="2"/>
                <w:szCs w:val="2"/>
              </w:rPr>
              <w:t>113,095</w:t>
            </w:r>
          </w:p>
        </w:tc>
      </w:tr>
    </w:tbl>
    <w:p w14:paraId="652DD891" w14:textId="77777777" w:rsidR="00BD415C" w:rsidRDefault="00BD415C" w:rsidP="00701210">
      <w:pPr>
        <w:pStyle w:val="Source"/>
      </w:pPr>
    </w:p>
    <w:p w14:paraId="16C9AED6" w14:textId="77777777" w:rsidR="00BD415C" w:rsidRDefault="00BD415C" w:rsidP="00BD415C"/>
    <w:p w14:paraId="3C6079C4" w14:textId="77777777" w:rsidR="00BD415C" w:rsidRDefault="00BD415C" w:rsidP="00BD415C"/>
    <w:p w14:paraId="23E12556" w14:textId="77777777" w:rsidR="00BD415C" w:rsidRDefault="00BD415C" w:rsidP="00BD415C"/>
    <w:p w14:paraId="428664B5" w14:textId="77777777" w:rsidR="00BD415C" w:rsidRDefault="00BD415C" w:rsidP="00BD415C"/>
    <w:p w14:paraId="7972D54E" w14:textId="77777777" w:rsidR="00BD415C" w:rsidRDefault="00BD415C" w:rsidP="00BD415C"/>
    <w:p w14:paraId="2C10BC88" w14:textId="77777777" w:rsidR="00BD415C" w:rsidRPr="00BD415C" w:rsidRDefault="00BD415C" w:rsidP="00BD415C"/>
    <w:p w14:paraId="502815DB" w14:textId="7248929F" w:rsidR="00846EE4" w:rsidRPr="00846EE4" w:rsidRDefault="00846EE4" w:rsidP="00701210">
      <w:pPr>
        <w:pStyle w:val="Source"/>
      </w:pPr>
      <w:r w:rsidRPr="00846EE4">
        <w:t xml:space="preserve">Source: NCVER 2023, Total VET Students and courses 2022. </w:t>
      </w:r>
    </w:p>
    <w:p w14:paraId="0162A430" w14:textId="77777777" w:rsidR="00BD415C" w:rsidRDefault="00BD415C">
      <w:pPr>
        <w:rPr>
          <w:b/>
          <w:bCs/>
          <w:color w:val="auto"/>
          <w:sz w:val="18"/>
          <w:szCs w:val="18"/>
        </w:rPr>
      </w:pPr>
      <w:bookmarkStart w:id="133" w:name="_Ref168315720"/>
      <w:r>
        <w:br w:type="page"/>
      </w:r>
    </w:p>
    <w:p w14:paraId="2CDB4235" w14:textId="65480CF2" w:rsidR="00846EE4" w:rsidRPr="00846EE4" w:rsidRDefault="00846EE4" w:rsidP="00701210">
      <w:pPr>
        <w:pStyle w:val="Caption"/>
      </w:pPr>
      <w:r w:rsidRPr="00846EE4">
        <w:lastRenderedPageBreak/>
        <w:t>Figure 3.</w:t>
      </w:r>
      <w:r w:rsidRPr="00846EE4">
        <w:fldChar w:fldCharType="begin"/>
      </w:r>
      <w:r w:rsidRPr="00846EE4">
        <w:instrText xml:space="preserve"> SEQ Figure \* ARABIC \s 1 </w:instrText>
      </w:r>
      <w:r w:rsidRPr="00846EE4">
        <w:fldChar w:fldCharType="separate"/>
      </w:r>
      <w:r w:rsidR="005F18C1">
        <w:rPr>
          <w:noProof/>
        </w:rPr>
        <w:t>2</w:t>
      </w:r>
      <w:r w:rsidRPr="00846EE4">
        <w:fldChar w:fldCharType="end"/>
      </w:r>
      <w:bookmarkEnd w:id="133"/>
      <w:r w:rsidRPr="00846EE4">
        <w:t xml:space="preserve"> Enrolments in Early childhood education higher education enrolments, time series</w:t>
      </w:r>
    </w:p>
    <w:p w14:paraId="7287C850" w14:textId="77777777" w:rsidR="00846EE4" w:rsidRPr="00846EE4" w:rsidRDefault="00846EE4" w:rsidP="00846EE4">
      <w:r w:rsidRPr="00846EE4">
        <w:rPr>
          <w:noProof/>
          <w14:ligatures w14:val="standardContextual"/>
        </w:rPr>
        <w:drawing>
          <wp:anchor distT="0" distB="0" distL="114300" distR="114300" simplePos="0" relativeHeight="251720707" behindDoc="0" locked="0" layoutInCell="1" allowOverlap="1" wp14:anchorId="217CC090" wp14:editId="73004CC9">
            <wp:simplePos x="0" y="0"/>
            <wp:positionH relativeFrom="column">
              <wp:posOffset>0</wp:posOffset>
            </wp:positionH>
            <wp:positionV relativeFrom="paragraph">
              <wp:posOffset>-1270</wp:posOffset>
            </wp:positionV>
            <wp:extent cx="5727802" cy="2743200"/>
            <wp:effectExtent l="0" t="0" r="6350" b="0"/>
            <wp:wrapNone/>
            <wp:docPr id="1135951459" name="Chart 1">
              <a:extLst xmlns:a="http://schemas.openxmlformats.org/drawingml/2006/main">
                <a:ext uri="{FF2B5EF4-FFF2-40B4-BE49-F238E27FC236}">
                  <a16:creationId xmlns:a16="http://schemas.microsoft.com/office/drawing/2014/main" id="{C9EE87CC-EEB6-9ABF-582C-FC2B782F2DD8}"/>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anchor>
        </w:drawing>
      </w:r>
    </w:p>
    <w:tbl>
      <w:tblPr>
        <w:tblStyle w:val="Box"/>
        <w:tblW w:w="0" w:type="auto"/>
        <w:jc w:val="center"/>
        <w:tblLook w:val="04A0" w:firstRow="1" w:lastRow="0" w:firstColumn="1" w:lastColumn="0" w:noHBand="0" w:noVBand="1"/>
      </w:tblPr>
      <w:tblGrid>
        <w:gridCol w:w="1985"/>
        <w:gridCol w:w="572"/>
        <w:gridCol w:w="573"/>
        <w:gridCol w:w="573"/>
        <w:gridCol w:w="573"/>
        <w:gridCol w:w="573"/>
        <w:gridCol w:w="573"/>
        <w:gridCol w:w="573"/>
        <w:gridCol w:w="573"/>
        <w:gridCol w:w="573"/>
        <w:gridCol w:w="573"/>
        <w:gridCol w:w="573"/>
      </w:tblGrid>
      <w:tr w:rsidR="00BD415C" w:rsidRPr="00BD415C" w14:paraId="035652BA" w14:textId="77777777" w:rsidTr="00BD415C">
        <w:trPr>
          <w:trHeight w:val="300"/>
          <w:jc w:val="center"/>
        </w:trPr>
        <w:tc>
          <w:tcPr>
            <w:tcW w:w="1985" w:type="dxa"/>
            <w:noWrap/>
            <w:hideMark/>
          </w:tcPr>
          <w:p w14:paraId="5A4456D5" w14:textId="77777777" w:rsidR="00BD415C" w:rsidRPr="00BD415C" w:rsidRDefault="00BD415C" w:rsidP="00BD415C">
            <w:pPr>
              <w:pStyle w:val="Source"/>
              <w:rPr>
                <w:b/>
                <w:bCs/>
                <w:sz w:val="2"/>
                <w:szCs w:val="2"/>
              </w:rPr>
            </w:pPr>
            <w:r w:rsidRPr="00BD415C">
              <w:rPr>
                <w:b/>
                <w:bCs/>
                <w:sz w:val="2"/>
                <w:szCs w:val="2"/>
              </w:rPr>
              <w:t>Program name</w:t>
            </w:r>
          </w:p>
        </w:tc>
        <w:tc>
          <w:tcPr>
            <w:tcW w:w="572" w:type="dxa"/>
            <w:noWrap/>
            <w:hideMark/>
          </w:tcPr>
          <w:p w14:paraId="0AC42085" w14:textId="77777777" w:rsidR="00BD415C" w:rsidRPr="00BD415C" w:rsidRDefault="00BD415C" w:rsidP="00BD415C">
            <w:pPr>
              <w:pStyle w:val="Source"/>
              <w:rPr>
                <w:b/>
                <w:bCs/>
                <w:sz w:val="2"/>
                <w:szCs w:val="2"/>
              </w:rPr>
            </w:pPr>
            <w:r w:rsidRPr="00BD415C">
              <w:rPr>
                <w:b/>
                <w:bCs/>
                <w:sz w:val="2"/>
                <w:szCs w:val="2"/>
              </w:rPr>
              <w:t>2012</w:t>
            </w:r>
          </w:p>
        </w:tc>
        <w:tc>
          <w:tcPr>
            <w:tcW w:w="573" w:type="dxa"/>
            <w:noWrap/>
            <w:hideMark/>
          </w:tcPr>
          <w:p w14:paraId="21203A74" w14:textId="77777777" w:rsidR="00BD415C" w:rsidRPr="00BD415C" w:rsidRDefault="00BD415C" w:rsidP="00BD415C">
            <w:pPr>
              <w:pStyle w:val="Source"/>
              <w:rPr>
                <w:b/>
                <w:bCs/>
                <w:sz w:val="2"/>
                <w:szCs w:val="2"/>
              </w:rPr>
            </w:pPr>
            <w:r w:rsidRPr="00BD415C">
              <w:rPr>
                <w:b/>
                <w:bCs/>
                <w:sz w:val="2"/>
                <w:szCs w:val="2"/>
              </w:rPr>
              <w:t>2013</w:t>
            </w:r>
          </w:p>
        </w:tc>
        <w:tc>
          <w:tcPr>
            <w:tcW w:w="573" w:type="dxa"/>
            <w:noWrap/>
            <w:hideMark/>
          </w:tcPr>
          <w:p w14:paraId="6C6F2717" w14:textId="77777777" w:rsidR="00BD415C" w:rsidRPr="00BD415C" w:rsidRDefault="00BD415C" w:rsidP="00BD415C">
            <w:pPr>
              <w:pStyle w:val="Source"/>
              <w:rPr>
                <w:b/>
                <w:bCs/>
                <w:sz w:val="2"/>
                <w:szCs w:val="2"/>
              </w:rPr>
            </w:pPr>
            <w:r w:rsidRPr="00BD415C">
              <w:rPr>
                <w:b/>
                <w:bCs/>
                <w:sz w:val="2"/>
                <w:szCs w:val="2"/>
              </w:rPr>
              <w:t>2014</w:t>
            </w:r>
          </w:p>
        </w:tc>
        <w:tc>
          <w:tcPr>
            <w:tcW w:w="573" w:type="dxa"/>
            <w:noWrap/>
            <w:hideMark/>
          </w:tcPr>
          <w:p w14:paraId="7F3B8AF9" w14:textId="77777777" w:rsidR="00BD415C" w:rsidRPr="00BD415C" w:rsidRDefault="00BD415C" w:rsidP="00BD415C">
            <w:pPr>
              <w:pStyle w:val="Source"/>
              <w:rPr>
                <w:b/>
                <w:bCs/>
                <w:sz w:val="2"/>
                <w:szCs w:val="2"/>
              </w:rPr>
            </w:pPr>
            <w:r w:rsidRPr="00BD415C">
              <w:rPr>
                <w:b/>
                <w:bCs/>
                <w:sz w:val="2"/>
                <w:szCs w:val="2"/>
              </w:rPr>
              <w:t>2015</w:t>
            </w:r>
          </w:p>
        </w:tc>
        <w:tc>
          <w:tcPr>
            <w:tcW w:w="573" w:type="dxa"/>
            <w:noWrap/>
            <w:hideMark/>
          </w:tcPr>
          <w:p w14:paraId="2A4F68C5" w14:textId="77777777" w:rsidR="00BD415C" w:rsidRPr="00BD415C" w:rsidRDefault="00BD415C" w:rsidP="00BD415C">
            <w:pPr>
              <w:pStyle w:val="Source"/>
              <w:rPr>
                <w:b/>
                <w:bCs/>
                <w:sz w:val="2"/>
                <w:szCs w:val="2"/>
              </w:rPr>
            </w:pPr>
            <w:r w:rsidRPr="00BD415C">
              <w:rPr>
                <w:b/>
                <w:bCs/>
                <w:sz w:val="2"/>
                <w:szCs w:val="2"/>
              </w:rPr>
              <w:t>2016</w:t>
            </w:r>
          </w:p>
        </w:tc>
        <w:tc>
          <w:tcPr>
            <w:tcW w:w="573" w:type="dxa"/>
            <w:noWrap/>
            <w:hideMark/>
          </w:tcPr>
          <w:p w14:paraId="43732036" w14:textId="77777777" w:rsidR="00BD415C" w:rsidRPr="00BD415C" w:rsidRDefault="00BD415C" w:rsidP="00BD415C">
            <w:pPr>
              <w:pStyle w:val="Source"/>
              <w:rPr>
                <w:b/>
                <w:bCs/>
                <w:sz w:val="2"/>
                <w:szCs w:val="2"/>
              </w:rPr>
            </w:pPr>
            <w:r w:rsidRPr="00BD415C">
              <w:rPr>
                <w:b/>
                <w:bCs/>
                <w:sz w:val="2"/>
                <w:szCs w:val="2"/>
              </w:rPr>
              <w:t>2017</w:t>
            </w:r>
          </w:p>
        </w:tc>
        <w:tc>
          <w:tcPr>
            <w:tcW w:w="573" w:type="dxa"/>
            <w:noWrap/>
            <w:hideMark/>
          </w:tcPr>
          <w:p w14:paraId="32A79EDF" w14:textId="77777777" w:rsidR="00BD415C" w:rsidRPr="00BD415C" w:rsidRDefault="00BD415C" w:rsidP="00BD415C">
            <w:pPr>
              <w:pStyle w:val="Source"/>
              <w:rPr>
                <w:b/>
                <w:bCs/>
                <w:sz w:val="2"/>
                <w:szCs w:val="2"/>
              </w:rPr>
            </w:pPr>
            <w:r w:rsidRPr="00BD415C">
              <w:rPr>
                <w:b/>
                <w:bCs/>
                <w:sz w:val="2"/>
                <w:szCs w:val="2"/>
              </w:rPr>
              <w:t>2018</w:t>
            </w:r>
          </w:p>
        </w:tc>
        <w:tc>
          <w:tcPr>
            <w:tcW w:w="573" w:type="dxa"/>
            <w:noWrap/>
            <w:hideMark/>
          </w:tcPr>
          <w:p w14:paraId="63869006" w14:textId="77777777" w:rsidR="00BD415C" w:rsidRPr="00BD415C" w:rsidRDefault="00BD415C" w:rsidP="00BD415C">
            <w:pPr>
              <w:pStyle w:val="Source"/>
              <w:rPr>
                <w:b/>
                <w:bCs/>
                <w:sz w:val="2"/>
                <w:szCs w:val="2"/>
              </w:rPr>
            </w:pPr>
            <w:r w:rsidRPr="00BD415C">
              <w:rPr>
                <w:b/>
                <w:bCs/>
                <w:sz w:val="2"/>
                <w:szCs w:val="2"/>
              </w:rPr>
              <w:t>2019</w:t>
            </w:r>
          </w:p>
        </w:tc>
        <w:tc>
          <w:tcPr>
            <w:tcW w:w="573" w:type="dxa"/>
            <w:noWrap/>
            <w:hideMark/>
          </w:tcPr>
          <w:p w14:paraId="3C502D2B" w14:textId="77777777" w:rsidR="00BD415C" w:rsidRPr="00BD415C" w:rsidRDefault="00BD415C" w:rsidP="00BD415C">
            <w:pPr>
              <w:pStyle w:val="Source"/>
              <w:rPr>
                <w:b/>
                <w:bCs/>
                <w:sz w:val="2"/>
                <w:szCs w:val="2"/>
              </w:rPr>
            </w:pPr>
            <w:r w:rsidRPr="00BD415C">
              <w:rPr>
                <w:b/>
                <w:bCs/>
                <w:sz w:val="2"/>
                <w:szCs w:val="2"/>
              </w:rPr>
              <w:t>2020</w:t>
            </w:r>
          </w:p>
        </w:tc>
        <w:tc>
          <w:tcPr>
            <w:tcW w:w="573" w:type="dxa"/>
            <w:noWrap/>
            <w:hideMark/>
          </w:tcPr>
          <w:p w14:paraId="6AE18F2E" w14:textId="77777777" w:rsidR="00BD415C" w:rsidRPr="00BD415C" w:rsidRDefault="00BD415C" w:rsidP="00BD415C">
            <w:pPr>
              <w:pStyle w:val="Source"/>
              <w:rPr>
                <w:b/>
                <w:bCs/>
                <w:sz w:val="2"/>
                <w:szCs w:val="2"/>
              </w:rPr>
            </w:pPr>
            <w:r w:rsidRPr="00BD415C">
              <w:rPr>
                <w:b/>
                <w:bCs/>
                <w:sz w:val="2"/>
                <w:szCs w:val="2"/>
              </w:rPr>
              <w:t>2021</w:t>
            </w:r>
          </w:p>
        </w:tc>
        <w:tc>
          <w:tcPr>
            <w:tcW w:w="573" w:type="dxa"/>
            <w:noWrap/>
            <w:hideMark/>
          </w:tcPr>
          <w:p w14:paraId="6A3EB944" w14:textId="77777777" w:rsidR="00BD415C" w:rsidRPr="00BD415C" w:rsidRDefault="00BD415C" w:rsidP="00BD415C">
            <w:pPr>
              <w:pStyle w:val="Source"/>
              <w:rPr>
                <w:b/>
                <w:bCs/>
                <w:sz w:val="2"/>
                <w:szCs w:val="2"/>
              </w:rPr>
            </w:pPr>
            <w:r w:rsidRPr="00BD415C">
              <w:rPr>
                <w:b/>
                <w:bCs/>
                <w:sz w:val="2"/>
                <w:szCs w:val="2"/>
              </w:rPr>
              <w:t>2022</w:t>
            </w:r>
          </w:p>
        </w:tc>
      </w:tr>
      <w:tr w:rsidR="00BD415C" w:rsidRPr="00BD415C" w14:paraId="1CB042E6" w14:textId="77777777" w:rsidTr="00BD415C">
        <w:trPr>
          <w:trHeight w:val="285"/>
          <w:jc w:val="center"/>
        </w:trPr>
        <w:tc>
          <w:tcPr>
            <w:tcW w:w="1985" w:type="dxa"/>
            <w:noWrap/>
            <w:hideMark/>
          </w:tcPr>
          <w:p w14:paraId="21B06810" w14:textId="77777777" w:rsidR="00BD415C" w:rsidRPr="00BD415C" w:rsidRDefault="00BD415C" w:rsidP="00BD415C">
            <w:pPr>
              <w:pStyle w:val="Source"/>
              <w:rPr>
                <w:sz w:val="2"/>
                <w:szCs w:val="2"/>
              </w:rPr>
            </w:pPr>
            <w:r w:rsidRPr="00BD415C">
              <w:rPr>
                <w:sz w:val="2"/>
                <w:szCs w:val="2"/>
              </w:rPr>
              <w:t>Teacher Education: Early Childhood 01. Postgraduate</w:t>
            </w:r>
          </w:p>
        </w:tc>
        <w:tc>
          <w:tcPr>
            <w:tcW w:w="572" w:type="dxa"/>
            <w:noWrap/>
            <w:hideMark/>
          </w:tcPr>
          <w:p w14:paraId="0794F406" w14:textId="77777777" w:rsidR="00BD415C" w:rsidRPr="00BD415C" w:rsidRDefault="00BD415C" w:rsidP="00BD415C">
            <w:pPr>
              <w:pStyle w:val="Source"/>
              <w:rPr>
                <w:sz w:val="2"/>
                <w:szCs w:val="2"/>
              </w:rPr>
            </w:pPr>
            <w:r w:rsidRPr="00BD415C">
              <w:rPr>
                <w:sz w:val="2"/>
                <w:szCs w:val="2"/>
              </w:rPr>
              <w:t>1,424</w:t>
            </w:r>
          </w:p>
        </w:tc>
        <w:tc>
          <w:tcPr>
            <w:tcW w:w="573" w:type="dxa"/>
            <w:noWrap/>
            <w:hideMark/>
          </w:tcPr>
          <w:p w14:paraId="78624538" w14:textId="77777777" w:rsidR="00BD415C" w:rsidRPr="00BD415C" w:rsidRDefault="00BD415C" w:rsidP="00BD415C">
            <w:pPr>
              <w:pStyle w:val="Source"/>
              <w:rPr>
                <w:sz w:val="2"/>
                <w:szCs w:val="2"/>
              </w:rPr>
            </w:pPr>
            <w:r w:rsidRPr="00BD415C">
              <w:rPr>
                <w:sz w:val="2"/>
                <w:szCs w:val="2"/>
              </w:rPr>
              <w:t>1,545</w:t>
            </w:r>
          </w:p>
        </w:tc>
        <w:tc>
          <w:tcPr>
            <w:tcW w:w="573" w:type="dxa"/>
            <w:noWrap/>
            <w:hideMark/>
          </w:tcPr>
          <w:p w14:paraId="6D067AA4" w14:textId="77777777" w:rsidR="00BD415C" w:rsidRPr="00BD415C" w:rsidRDefault="00BD415C" w:rsidP="00BD415C">
            <w:pPr>
              <w:pStyle w:val="Source"/>
              <w:rPr>
                <w:sz w:val="2"/>
                <w:szCs w:val="2"/>
              </w:rPr>
            </w:pPr>
            <w:r w:rsidRPr="00BD415C">
              <w:rPr>
                <w:sz w:val="2"/>
                <w:szCs w:val="2"/>
              </w:rPr>
              <w:t>1,940</w:t>
            </w:r>
          </w:p>
        </w:tc>
        <w:tc>
          <w:tcPr>
            <w:tcW w:w="573" w:type="dxa"/>
            <w:noWrap/>
            <w:hideMark/>
          </w:tcPr>
          <w:p w14:paraId="2C9BC4D0" w14:textId="77777777" w:rsidR="00BD415C" w:rsidRPr="00BD415C" w:rsidRDefault="00BD415C" w:rsidP="00BD415C">
            <w:pPr>
              <w:pStyle w:val="Source"/>
              <w:rPr>
                <w:sz w:val="2"/>
                <w:szCs w:val="2"/>
              </w:rPr>
            </w:pPr>
            <w:r w:rsidRPr="00BD415C">
              <w:rPr>
                <w:sz w:val="2"/>
                <w:szCs w:val="2"/>
              </w:rPr>
              <w:t>2,089</w:t>
            </w:r>
          </w:p>
        </w:tc>
        <w:tc>
          <w:tcPr>
            <w:tcW w:w="573" w:type="dxa"/>
            <w:noWrap/>
            <w:hideMark/>
          </w:tcPr>
          <w:p w14:paraId="6EDA344E" w14:textId="77777777" w:rsidR="00BD415C" w:rsidRPr="00BD415C" w:rsidRDefault="00BD415C" w:rsidP="00BD415C">
            <w:pPr>
              <w:pStyle w:val="Source"/>
              <w:rPr>
                <w:sz w:val="2"/>
                <w:szCs w:val="2"/>
              </w:rPr>
            </w:pPr>
            <w:r w:rsidRPr="00BD415C">
              <w:rPr>
                <w:sz w:val="2"/>
                <w:szCs w:val="2"/>
              </w:rPr>
              <w:t>2,200</w:t>
            </w:r>
          </w:p>
        </w:tc>
        <w:tc>
          <w:tcPr>
            <w:tcW w:w="573" w:type="dxa"/>
            <w:noWrap/>
            <w:hideMark/>
          </w:tcPr>
          <w:p w14:paraId="44157EE2" w14:textId="77777777" w:rsidR="00BD415C" w:rsidRPr="00BD415C" w:rsidRDefault="00BD415C" w:rsidP="00BD415C">
            <w:pPr>
              <w:pStyle w:val="Source"/>
              <w:rPr>
                <w:sz w:val="2"/>
                <w:szCs w:val="2"/>
              </w:rPr>
            </w:pPr>
            <w:r w:rsidRPr="00BD415C">
              <w:rPr>
                <w:sz w:val="2"/>
                <w:szCs w:val="2"/>
              </w:rPr>
              <w:t>2,314</w:t>
            </w:r>
          </w:p>
        </w:tc>
        <w:tc>
          <w:tcPr>
            <w:tcW w:w="573" w:type="dxa"/>
            <w:noWrap/>
            <w:hideMark/>
          </w:tcPr>
          <w:p w14:paraId="07B18955" w14:textId="77777777" w:rsidR="00BD415C" w:rsidRPr="00BD415C" w:rsidRDefault="00BD415C" w:rsidP="00BD415C">
            <w:pPr>
              <w:pStyle w:val="Source"/>
              <w:rPr>
                <w:sz w:val="2"/>
                <w:szCs w:val="2"/>
              </w:rPr>
            </w:pPr>
            <w:r w:rsidRPr="00BD415C">
              <w:rPr>
                <w:sz w:val="2"/>
                <w:szCs w:val="2"/>
              </w:rPr>
              <w:t>2,557</w:t>
            </w:r>
          </w:p>
        </w:tc>
        <w:tc>
          <w:tcPr>
            <w:tcW w:w="573" w:type="dxa"/>
            <w:noWrap/>
            <w:hideMark/>
          </w:tcPr>
          <w:p w14:paraId="40EE4491" w14:textId="77777777" w:rsidR="00BD415C" w:rsidRPr="00BD415C" w:rsidRDefault="00BD415C" w:rsidP="00BD415C">
            <w:pPr>
              <w:pStyle w:val="Source"/>
              <w:rPr>
                <w:sz w:val="2"/>
                <w:szCs w:val="2"/>
              </w:rPr>
            </w:pPr>
            <w:r w:rsidRPr="00BD415C">
              <w:rPr>
                <w:sz w:val="2"/>
                <w:szCs w:val="2"/>
              </w:rPr>
              <w:t>2,667</w:t>
            </w:r>
          </w:p>
        </w:tc>
        <w:tc>
          <w:tcPr>
            <w:tcW w:w="573" w:type="dxa"/>
            <w:noWrap/>
            <w:hideMark/>
          </w:tcPr>
          <w:p w14:paraId="0FC93B7B" w14:textId="77777777" w:rsidR="00BD415C" w:rsidRPr="00BD415C" w:rsidRDefault="00BD415C" w:rsidP="00BD415C">
            <w:pPr>
              <w:pStyle w:val="Source"/>
              <w:rPr>
                <w:sz w:val="2"/>
                <w:szCs w:val="2"/>
              </w:rPr>
            </w:pPr>
            <w:r w:rsidRPr="00BD415C">
              <w:rPr>
                <w:sz w:val="2"/>
                <w:szCs w:val="2"/>
              </w:rPr>
              <w:t>2,911</w:t>
            </w:r>
          </w:p>
        </w:tc>
        <w:tc>
          <w:tcPr>
            <w:tcW w:w="573" w:type="dxa"/>
            <w:noWrap/>
            <w:hideMark/>
          </w:tcPr>
          <w:p w14:paraId="35FB9821" w14:textId="77777777" w:rsidR="00BD415C" w:rsidRPr="00BD415C" w:rsidRDefault="00BD415C" w:rsidP="00BD415C">
            <w:pPr>
              <w:pStyle w:val="Source"/>
              <w:rPr>
                <w:sz w:val="2"/>
                <w:szCs w:val="2"/>
              </w:rPr>
            </w:pPr>
            <w:r w:rsidRPr="00BD415C">
              <w:rPr>
                <w:sz w:val="2"/>
                <w:szCs w:val="2"/>
              </w:rPr>
              <w:t>3,282</w:t>
            </w:r>
          </w:p>
        </w:tc>
        <w:tc>
          <w:tcPr>
            <w:tcW w:w="573" w:type="dxa"/>
            <w:noWrap/>
            <w:hideMark/>
          </w:tcPr>
          <w:p w14:paraId="1007F78B" w14:textId="77777777" w:rsidR="00BD415C" w:rsidRPr="00BD415C" w:rsidRDefault="00BD415C" w:rsidP="00BD415C">
            <w:pPr>
              <w:pStyle w:val="Source"/>
              <w:rPr>
                <w:sz w:val="2"/>
                <w:szCs w:val="2"/>
              </w:rPr>
            </w:pPr>
            <w:r w:rsidRPr="00BD415C">
              <w:rPr>
                <w:sz w:val="2"/>
                <w:szCs w:val="2"/>
              </w:rPr>
              <w:t>4,247</w:t>
            </w:r>
          </w:p>
        </w:tc>
      </w:tr>
      <w:tr w:rsidR="00BD415C" w:rsidRPr="00BD415C" w14:paraId="553E109B" w14:textId="77777777" w:rsidTr="00BD415C">
        <w:trPr>
          <w:trHeight w:val="300"/>
          <w:jc w:val="center"/>
        </w:trPr>
        <w:tc>
          <w:tcPr>
            <w:tcW w:w="1985" w:type="dxa"/>
            <w:noWrap/>
            <w:hideMark/>
          </w:tcPr>
          <w:p w14:paraId="31033C42" w14:textId="77777777" w:rsidR="00BD415C" w:rsidRPr="00BD415C" w:rsidRDefault="00BD415C" w:rsidP="00BD415C">
            <w:pPr>
              <w:pStyle w:val="Source"/>
              <w:rPr>
                <w:sz w:val="2"/>
                <w:szCs w:val="2"/>
              </w:rPr>
            </w:pPr>
            <w:r w:rsidRPr="00BD415C">
              <w:rPr>
                <w:sz w:val="2"/>
                <w:szCs w:val="2"/>
              </w:rPr>
              <w:t>Teacher Education: Early Childhood 02. Undergraduate</w:t>
            </w:r>
          </w:p>
        </w:tc>
        <w:tc>
          <w:tcPr>
            <w:tcW w:w="572" w:type="dxa"/>
            <w:noWrap/>
            <w:hideMark/>
          </w:tcPr>
          <w:p w14:paraId="642B8D7C" w14:textId="77777777" w:rsidR="00BD415C" w:rsidRPr="00BD415C" w:rsidRDefault="00BD415C" w:rsidP="00BD415C">
            <w:pPr>
              <w:pStyle w:val="Source"/>
              <w:rPr>
                <w:sz w:val="2"/>
                <w:szCs w:val="2"/>
              </w:rPr>
            </w:pPr>
            <w:r w:rsidRPr="00BD415C">
              <w:rPr>
                <w:sz w:val="2"/>
                <w:szCs w:val="2"/>
              </w:rPr>
              <w:t>13,340</w:t>
            </w:r>
          </w:p>
        </w:tc>
        <w:tc>
          <w:tcPr>
            <w:tcW w:w="573" w:type="dxa"/>
            <w:noWrap/>
            <w:hideMark/>
          </w:tcPr>
          <w:p w14:paraId="75DFC242" w14:textId="77777777" w:rsidR="00BD415C" w:rsidRPr="00BD415C" w:rsidRDefault="00BD415C" w:rsidP="00BD415C">
            <w:pPr>
              <w:pStyle w:val="Source"/>
              <w:rPr>
                <w:sz w:val="2"/>
                <w:szCs w:val="2"/>
              </w:rPr>
            </w:pPr>
            <w:r w:rsidRPr="00BD415C">
              <w:rPr>
                <w:sz w:val="2"/>
                <w:szCs w:val="2"/>
              </w:rPr>
              <w:t>14,419</w:t>
            </w:r>
          </w:p>
        </w:tc>
        <w:tc>
          <w:tcPr>
            <w:tcW w:w="573" w:type="dxa"/>
            <w:noWrap/>
            <w:hideMark/>
          </w:tcPr>
          <w:p w14:paraId="242C539E" w14:textId="77777777" w:rsidR="00BD415C" w:rsidRPr="00BD415C" w:rsidRDefault="00BD415C" w:rsidP="00BD415C">
            <w:pPr>
              <w:pStyle w:val="Source"/>
              <w:rPr>
                <w:sz w:val="2"/>
                <w:szCs w:val="2"/>
              </w:rPr>
            </w:pPr>
            <w:r w:rsidRPr="00BD415C">
              <w:rPr>
                <w:sz w:val="2"/>
                <w:szCs w:val="2"/>
              </w:rPr>
              <w:t>16,678</w:t>
            </w:r>
          </w:p>
        </w:tc>
        <w:tc>
          <w:tcPr>
            <w:tcW w:w="573" w:type="dxa"/>
            <w:noWrap/>
            <w:hideMark/>
          </w:tcPr>
          <w:p w14:paraId="53908EC4" w14:textId="77777777" w:rsidR="00BD415C" w:rsidRPr="00BD415C" w:rsidRDefault="00BD415C" w:rsidP="00BD415C">
            <w:pPr>
              <w:pStyle w:val="Source"/>
              <w:rPr>
                <w:sz w:val="2"/>
                <w:szCs w:val="2"/>
              </w:rPr>
            </w:pPr>
            <w:r w:rsidRPr="00BD415C">
              <w:rPr>
                <w:sz w:val="2"/>
                <w:szCs w:val="2"/>
              </w:rPr>
              <w:t>16,141</w:t>
            </w:r>
          </w:p>
        </w:tc>
        <w:tc>
          <w:tcPr>
            <w:tcW w:w="573" w:type="dxa"/>
            <w:noWrap/>
            <w:hideMark/>
          </w:tcPr>
          <w:p w14:paraId="6BC1E226" w14:textId="77777777" w:rsidR="00BD415C" w:rsidRPr="00BD415C" w:rsidRDefault="00BD415C" w:rsidP="00BD415C">
            <w:pPr>
              <w:pStyle w:val="Source"/>
              <w:rPr>
                <w:sz w:val="2"/>
                <w:szCs w:val="2"/>
              </w:rPr>
            </w:pPr>
            <w:r w:rsidRPr="00BD415C">
              <w:rPr>
                <w:sz w:val="2"/>
                <w:szCs w:val="2"/>
              </w:rPr>
              <w:t>15,536</w:t>
            </w:r>
          </w:p>
        </w:tc>
        <w:tc>
          <w:tcPr>
            <w:tcW w:w="573" w:type="dxa"/>
            <w:noWrap/>
            <w:hideMark/>
          </w:tcPr>
          <w:p w14:paraId="080DA9B2" w14:textId="77777777" w:rsidR="00BD415C" w:rsidRPr="00BD415C" w:rsidRDefault="00BD415C" w:rsidP="00BD415C">
            <w:pPr>
              <w:pStyle w:val="Source"/>
              <w:rPr>
                <w:sz w:val="2"/>
                <w:szCs w:val="2"/>
              </w:rPr>
            </w:pPr>
            <w:r w:rsidRPr="00BD415C">
              <w:rPr>
                <w:sz w:val="2"/>
                <w:szCs w:val="2"/>
              </w:rPr>
              <w:t>14,690</w:t>
            </w:r>
          </w:p>
        </w:tc>
        <w:tc>
          <w:tcPr>
            <w:tcW w:w="573" w:type="dxa"/>
            <w:noWrap/>
            <w:hideMark/>
          </w:tcPr>
          <w:p w14:paraId="0F33B5B5" w14:textId="77777777" w:rsidR="00BD415C" w:rsidRPr="00BD415C" w:rsidRDefault="00BD415C" w:rsidP="00BD415C">
            <w:pPr>
              <w:pStyle w:val="Source"/>
              <w:rPr>
                <w:sz w:val="2"/>
                <w:szCs w:val="2"/>
              </w:rPr>
            </w:pPr>
            <w:r w:rsidRPr="00BD415C">
              <w:rPr>
                <w:sz w:val="2"/>
                <w:szCs w:val="2"/>
              </w:rPr>
              <w:t>13,563</w:t>
            </w:r>
          </w:p>
        </w:tc>
        <w:tc>
          <w:tcPr>
            <w:tcW w:w="573" w:type="dxa"/>
            <w:noWrap/>
            <w:hideMark/>
          </w:tcPr>
          <w:p w14:paraId="4DCEA264" w14:textId="77777777" w:rsidR="00BD415C" w:rsidRPr="00BD415C" w:rsidRDefault="00BD415C" w:rsidP="00BD415C">
            <w:pPr>
              <w:pStyle w:val="Source"/>
              <w:rPr>
                <w:sz w:val="2"/>
                <w:szCs w:val="2"/>
              </w:rPr>
            </w:pPr>
            <w:r w:rsidRPr="00BD415C">
              <w:rPr>
                <w:sz w:val="2"/>
                <w:szCs w:val="2"/>
              </w:rPr>
              <w:t>12,904</w:t>
            </w:r>
          </w:p>
        </w:tc>
        <w:tc>
          <w:tcPr>
            <w:tcW w:w="573" w:type="dxa"/>
            <w:noWrap/>
            <w:hideMark/>
          </w:tcPr>
          <w:p w14:paraId="0B38B4AB" w14:textId="77777777" w:rsidR="00BD415C" w:rsidRPr="00BD415C" w:rsidRDefault="00BD415C" w:rsidP="00BD415C">
            <w:pPr>
              <w:pStyle w:val="Source"/>
              <w:rPr>
                <w:sz w:val="2"/>
                <w:szCs w:val="2"/>
              </w:rPr>
            </w:pPr>
            <w:r w:rsidRPr="00BD415C">
              <w:rPr>
                <w:sz w:val="2"/>
                <w:szCs w:val="2"/>
              </w:rPr>
              <w:t>13,589</w:t>
            </w:r>
          </w:p>
        </w:tc>
        <w:tc>
          <w:tcPr>
            <w:tcW w:w="573" w:type="dxa"/>
            <w:noWrap/>
            <w:hideMark/>
          </w:tcPr>
          <w:p w14:paraId="1977AB89" w14:textId="77777777" w:rsidR="00BD415C" w:rsidRPr="00BD415C" w:rsidRDefault="00BD415C" w:rsidP="00BD415C">
            <w:pPr>
              <w:pStyle w:val="Source"/>
              <w:rPr>
                <w:sz w:val="2"/>
                <w:szCs w:val="2"/>
              </w:rPr>
            </w:pPr>
            <w:r w:rsidRPr="00BD415C">
              <w:rPr>
                <w:sz w:val="2"/>
                <w:szCs w:val="2"/>
              </w:rPr>
              <w:t>16,222</w:t>
            </w:r>
          </w:p>
        </w:tc>
        <w:tc>
          <w:tcPr>
            <w:tcW w:w="573" w:type="dxa"/>
            <w:noWrap/>
            <w:hideMark/>
          </w:tcPr>
          <w:p w14:paraId="1EFC6F14" w14:textId="77777777" w:rsidR="00BD415C" w:rsidRPr="00BD415C" w:rsidRDefault="00BD415C" w:rsidP="00BD415C">
            <w:pPr>
              <w:pStyle w:val="Source"/>
              <w:rPr>
                <w:sz w:val="2"/>
                <w:szCs w:val="2"/>
              </w:rPr>
            </w:pPr>
            <w:r w:rsidRPr="00BD415C">
              <w:rPr>
                <w:sz w:val="2"/>
                <w:szCs w:val="2"/>
              </w:rPr>
              <w:t>17,281</w:t>
            </w:r>
          </w:p>
        </w:tc>
      </w:tr>
    </w:tbl>
    <w:p w14:paraId="2852F701" w14:textId="77777777" w:rsidR="00BD415C" w:rsidRDefault="00BD415C" w:rsidP="00701210">
      <w:pPr>
        <w:pStyle w:val="Source"/>
      </w:pPr>
    </w:p>
    <w:p w14:paraId="0E3897FB" w14:textId="77777777" w:rsidR="00BD415C" w:rsidRDefault="00BD415C" w:rsidP="00701210">
      <w:pPr>
        <w:pStyle w:val="Source"/>
      </w:pPr>
    </w:p>
    <w:p w14:paraId="10F17027" w14:textId="77777777" w:rsidR="00BD415C" w:rsidRDefault="00BD415C" w:rsidP="00701210">
      <w:pPr>
        <w:pStyle w:val="Source"/>
      </w:pPr>
    </w:p>
    <w:p w14:paraId="51545D20" w14:textId="77777777" w:rsidR="00BD415C" w:rsidRDefault="00BD415C" w:rsidP="00701210">
      <w:pPr>
        <w:pStyle w:val="Source"/>
      </w:pPr>
    </w:p>
    <w:p w14:paraId="18C5BC0E" w14:textId="77777777" w:rsidR="00BD415C" w:rsidRDefault="00BD415C" w:rsidP="00701210">
      <w:pPr>
        <w:pStyle w:val="Source"/>
      </w:pPr>
    </w:p>
    <w:p w14:paraId="58E1EF6D" w14:textId="77777777" w:rsidR="00BD415C" w:rsidRDefault="00BD415C" w:rsidP="00701210">
      <w:pPr>
        <w:pStyle w:val="Source"/>
      </w:pPr>
    </w:p>
    <w:p w14:paraId="3360BF27" w14:textId="77777777" w:rsidR="00BD415C" w:rsidRDefault="00BD415C" w:rsidP="00701210">
      <w:pPr>
        <w:pStyle w:val="Source"/>
      </w:pPr>
    </w:p>
    <w:p w14:paraId="78A4E8C8" w14:textId="77777777" w:rsidR="00BD415C" w:rsidRDefault="00BD415C" w:rsidP="00701210">
      <w:pPr>
        <w:pStyle w:val="Source"/>
      </w:pPr>
    </w:p>
    <w:p w14:paraId="67B2F3D4" w14:textId="77777777" w:rsidR="00BD415C" w:rsidRDefault="00BD415C" w:rsidP="00701210">
      <w:pPr>
        <w:pStyle w:val="Source"/>
      </w:pPr>
    </w:p>
    <w:p w14:paraId="09ACCE18" w14:textId="5740ED1F" w:rsidR="00846EE4" w:rsidRPr="00846EE4" w:rsidRDefault="00846EE4" w:rsidP="00701210">
      <w:pPr>
        <w:pStyle w:val="Source"/>
      </w:pPr>
      <w:r w:rsidRPr="00846EE4">
        <w:t xml:space="preserve">Source: Higher Education statistical collection – student data, Department of Education. Custom data request, 23_526 based on detailed field of education = 070101 Teacher Education: Early Childhood. </w:t>
      </w:r>
    </w:p>
    <w:p w14:paraId="456B2DA9" w14:textId="77777777" w:rsidR="00846EE4" w:rsidRPr="00846EE4" w:rsidRDefault="00846EE4" w:rsidP="00846EE4">
      <w:pPr>
        <w:pStyle w:val="Heading4"/>
      </w:pPr>
      <w:r w:rsidRPr="00846EE4">
        <w:t>Vocational Education</w:t>
      </w:r>
    </w:p>
    <w:p w14:paraId="3BC3760D" w14:textId="77777777" w:rsidR="00846EE4" w:rsidRPr="00846EE4" w:rsidRDefault="00846EE4" w:rsidP="00846EE4">
      <w:r w:rsidRPr="00846EE4">
        <w:t>Vocational education delivery has been critical to the ECEC workforce, particularly based on the core educator role, which is the foundation of workforce. ECEC accounts for a very high proportion of enrolments in VET nationally: consistently over the last five years around 1 in 25 students enrolled in any VET course is studying towards an ECEC qualification. ECEC is also one of the most frequently enrolled VET courses for First Nations people. In 2022, 70% of VET enrolments in ECEC qualifications were subsidised, with enrolments for Diploma level courses more commonly subsidised than for Certificate III/IV level courses (73.7% vs 67.9%).</w:t>
      </w:r>
      <w:r w:rsidRPr="00846EE4">
        <w:rPr>
          <w:vertAlign w:val="superscript"/>
        </w:rPr>
        <w:footnoteReference w:id="45"/>
      </w:r>
      <w:r w:rsidRPr="00846EE4">
        <w:t xml:space="preserve"> </w:t>
      </w:r>
    </w:p>
    <w:p w14:paraId="54949967" w14:textId="77777777" w:rsidR="00846EE4" w:rsidRPr="00846EE4" w:rsidRDefault="00846EE4" w:rsidP="00846EE4">
      <w:r w:rsidRPr="00846EE4">
        <w:t>Early childhood education and care falls under one of the Commonwealth and State Government designated areas of initial national priority</w:t>
      </w:r>
      <w:r w:rsidRPr="00846EE4">
        <w:rPr>
          <w:vertAlign w:val="superscript"/>
        </w:rPr>
        <w:footnoteReference w:id="46"/>
      </w:r>
      <w:r w:rsidRPr="00846EE4">
        <w:t xml:space="preserve"> and as a result enrolments in VET courses leading to an ECEC qualification are more commonly subsidised than VET courses overall. </w:t>
      </w:r>
    </w:p>
    <w:p w14:paraId="63CDE599" w14:textId="77777777" w:rsidR="00846EE4" w:rsidRPr="00846EE4" w:rsidRDefault="00846EE4" w:rsidP="00846EE4">
      <w:pPr>
        <w:rPr>
          <w:rFonts w:cs="Arial"/>
        </w:rPr>
      </w:pPr>
      <w:r w:rsidRPr="00846EE4">
        <w:t xml:space="preserve">The number of qualification completions for ECEC courses dipped to a low of 12,300 for Certificate III in 2020 during COVID-19 but increased in 2021 and per 2022 interim figures, displayed in </w:t>
      </w:r>
      <w:r w:rsidRPr="00846EE4">
        <w:fldChar w:fldCharType="begin" w:fldLock="1"/>
      </w:r>
      <w:r w:rsidRPr="00846EE4">
        <w:instrText xml:space="preserve"> REF _Ref168315822 \h </w:instrText>
      </w:r>
      <w:r w:rsidRPr="00846EE4">
        <w:fldChar w:fldCharType="separate"/>
      </w:r>
      <w:r w:rsidRPr="00846EE4">
        <w:t>Table 3.</w:t>
      </w:r>
      <w:r w:rsidRPr="00846EE4">
        <w:rPr>
          <w:noProof/>
        </w:rPr>
        <w:t>1</w:t>
      </w:r>
      <w:r w:rsidRPr="00846EE4">
        <w:fldChar w:fldCharType="end"/>
      </w:r>
      <w:r w:rsidRPr="00846EE4">
        <w:t xml:space="preserve">, have returned to a level </w:t>
      </w:r>
      <w:proofErr w:type="gramStart"/>
      <w:r w:rsidRPr="00846EE4">
        <w:t>similar to</w:t>
      </w:r>
      <w:proofErr w:type="gramEnd"/>
      <w:r w:rsidRPr="00846EE4">
        <w:t xml:space="preserve"> pre-COVID years. Similarly, in 2021, Diploma completions returned to levels prior to 2020 and a 30% significant increase of completions from 13,860 in 2021 to 18,000 in 2022.</w:t>
      </w:r>
    </w:p>
    <w:p w14:paraId="6CEE0EF9" w14:textId="0D382D5F" w:rsidR="00846EE4" w:rsidRPr="00846EE4" w:rsidRDefault="00846EE4" w:rsidP="00701210">
      <w:pPr>
        <w:pStyle w:val="Caption"/>
      </w:pPr>
      <w:bookmarkStart w:id="134" w:name="_Ref168315822"/>
      <w:r w:rsidRPr="00846EE4">
        <w:lastRenderedPageBreak/>
        <w:t>Table 3.</w:t>
      </w:r>
      <w:r w:rsidRPr="00846EE4">
        <w:fldChar w:fldCharType="begin"/>
      </w:r>
      <w:r w:rsidRPr="00846EE4">
        <w:instrText xml:space="preserve"> SEQ Table \* ARABIC \s 1 </w:instrText>
      </w:r>
      <w:r w:rsidRPr="00846EE4">
        <w:fldChar w:fldCharType="separate"/>
      </w:r>
      <w:r w:rsidR="005F18C1">
        <w:rPr>
          <w:noProof/>
        </w:rPr>
        <w:t>1</w:t>
      </w:r>
      <w:r w:rsidRPr="00846EE4">
        <w:fldChar w:fldCharType="end"/>
      </w:r>
      <w:bookmarkEnd w:id="134"/>
      <w:r w:rsidRPr="00846EE4">
        <w:t xml:space="preserve"> ECEC program completions, by level of education, 2018-2022</w:t>
      </w:r>
    </w:p>
    <w:tbl>
      <w:tblPr>
        <w:tblStyle w:val="JSATable1"/>
        <w:tblW w:w="5000" w:type="pct"/>
        <w:tblLayout w:type="fixed"/>
        <w:tblLook w:val="04A0" w:firstRow="1" w:lastRow="0" w:firstColumn="1" w:lastColumn="0" w:noHBand="0" w:noVBand="1"/>
      </w:tblPr>
      <w:tblGrid>
        <w:gridCol w:w="1276"/>
        <w:gridCol w:w="2020"/>
        <w:gridCol w:w="1009"/>
        <w:gridCol w:w="1096"/>
        <w:gridCol w:w="1096"/>
        <w:gridCol w:w="1123"/>
        <w:gridCol w:w="1406"/>
      </w:tblGrid>
      <w:tr w:rsidR="00846EE4" w:rsidRPr="00846EE4" w14:paraId="4B2A11A6" w14:textId="77777777" w:rsidTr="005F6ADC">
        <w:trPr>
          <w:cnfStyle w:val="100000000000" w:firstRow="1" w:lastRow="0" w:firstColumn="0" w:lastColumn="0" w:oddVBand="0" w:evenVBand="0" w:oddHBand="0" w:evenHBand="0" w:firstRowFirstColumn="0" w:firstRowLastColumn="0" w:lastRowFirstColumn="0" w:lastRowLastColumn="0"/>
          <w:trHeight w:val="280"/>
          <w:tblHeader/>
        </w:trPr>
        <w:tc>
          <w:tcPr>
            <w:tcW w:w="707" w:type="pct"/>
            <w:vAlign w:val="center"/>
          </w:tcPr>
          <w:p w14:paraId="03C151FC" w14:textId="77777777" w:rsidR="00846EE4" w:rsidRPr="00846EE4" w:rsidRDefault="00846EE4" w:rsidP="00846EE4">
            <w:pPr>
              <w:jc w:val="center"/>
              <w:rPr>
                <w:rFonts w:eastAsia="Times New Roman" w:cs="Arial"/>
                <w:i/>
                <w:color w:val="FFFFFF" w:themeColor="background1"/>
                <w:sz w:val="20"/>
                <w:szCs w:val="20"/>
                <w:lang w:eastAsia="en-AU"/>
              </w:rPr>
            </w:pPr>
            <w:r w:rsidRPr="00846EE4">
              <w:rPr>
                <w:rFonts w:eastAsia="Times New Roman" w:cs="Arial"/>
                <w:color w:val="FFFFFF"/>
                <w:sz w:val="20"/>
                <w:szCs w:val="20"/>
                <w:lang w:eastAsia="en-AU"/>
              </w:rPr>
              <w:t>Program ID</w:t>
            </w:r>
          </w:p>
        </w:tc>
        <w:tc>
          <w:tcPr>
            <w:tcW w:w="1119" w:type="pct"/>
            <w:noWrap/>
            <w:vAlign w:val="center"/>
            <w:hideMark/>
          </w:tcPr>
          <w:p w14:paraId="2A72D6D6" w14:textId="77777777" w:rsidR="00846EE4" w:rsidRPr="00846EE4" w:rsidRDefault="00846EE4" w:rsidP="00846EE4">
            <w:pPr>
              <w:jc w:val="center"/>
              <w:rPr>
                <w:rFonts w:eastAsia="Times New Roman" w:cs="Arial"/>
                <w:color w:val="FFFFFF" w:themeColor="background1"/>
                <w:sz w:val="20"/>
                <w:szCs w:val="20"/>
                <w:lang w:eastAsia="en-AU"/>
              </w:rPr>
            </w:pPr>
            <w:r w:rsidRPr="00846EE4">
              <w:rPr>
                <w:rFonts w:eastAsia="Times New Roman" w:cs="Arial"/>
                <w:color w:val="FFFFFF" w:themeColor="background1"/>
                <w:sz w:val="20"/>
                <w:szCs w:val="20"/>
                <w:lang w:eastAsia="en-AU"/>
              </w:rPr>
              <w:t>Program name</w:t>
            </w:r>
          </w:p>
        </w:tc>
        <w:tc>
          <w:tcPr>
            <w:tcW w:w="559" w:type="pct"/>
            <w:noWrap/>
            <w:vAlign w:val="center"/>
            <w:hideMark/>
          </w:tcPr>
          <w:p w14:paraId="12A8A29E" w14:textId="77777777" w:rsidR="00846EE4" w:rsidRPr="00846EE4" w:rsidRDefault="00846EE4" w:rsidP="00846EE4">
            <w:pPr>
              <w:jc w:val="center"/>
              <w:rPr>
                <w:rFonts w:eastAsia="Times New Roman" w:cs="Arial"/>
                <w:color w:val="FFFFFF" w:themeColor="background1"/>
                <w:sz w:val="20"/>
                <w:szCs w:val="20"/>
                <w:lang w:eastAsia="en-AU"/>
              </w:rPr>
            </w:pPr>
            <w:r w:rsidRPr="00846EE4">
              <w:rPr>
                <w:rFonts w:eastAsia="Times New Roman" w:cs="Arial"/>
                <w:color w:val="FFFFFF" w:themeColor="background1"/>
                <w:sz w:val="20"/>
                <w:szCs w:val="20"/>
                <w:lang w:eastAsia="en-AU"/>
              </w:rPr>
              <w:t>2018</w:t>
            </w:r>
          </w:p>
        </w:tc>
        <w:tc>
          <w:tcPr>
            <w:tcW w:w="607" w:type="pct"/>
            <w:noWrap/>
            <w:vAlign w:val="center"/>
            <w:hideMark/>
          </w:tcPr>
          <w:p w14:paraId="6A7336D3" w14:textId="77777777" w:rsidR="00846EE4" w:rsidRPr="00846EE4" w:rsidRDefault="00846EE4" w:rsidP="00846EE4">
            <w:pPr>
              <w:jc w:val="center"/>
              <w:rPr>
                <w:rFonts w:eastAsia="Times New Roman" w:cs="Arial"/>
                <w:color w:val="FFFFFF" w:themeColor="background1"/>
                <w:sz w:val="20"/>
                <w:szCs w:val="20"/>
                <w:lang w:eastAsia="en-AU"/>
              </w:rPr>
            </w:pPr>
            <w:r w:rsidRPr="00846EE4">
              <w:rPr>
                <w:rFonts w:eastAsia="Times New Roman" w:cs="Arial"/>
                <w:color w:val="FFFFFF" w:themeColor="background1"/>
                <w:sz w:val="20"/>
                <w:szCs w:val="20"/>
                <w:lang w:eastAsia="en-AU"/>
              </w:rPr>
              <w:t>2019</w:t>
            </w:r>
          </w:p>
        </w:tc>
        <w:tc>
          <w:tcPr>
            <w:tcW w:w="607" w:type="pct"/>
            <w:noWrap/>
            <w:vAlign w:val="center"/>
            <w:hideMark/>
          </w:tcPr>
          <w:p w14:paraId="610B3C07" w14:textId="77777777" w:rsidR="00846EE4" w:rsidRPr="00846EE4" w:rsidRDefault="00846EE4" w:rsidP="00846EE4">
            <w:pPr>
              <w:jc w:val="center"/>
              <w:rPr>
                <w:rFonts w:eastAsia="Times New Roman" w:cs="Arial"/>
                <w:color w:val="FFFFFF" w:themeColor="background1"/>
                <w:sz w:val="20"/>
                <w:szCs w:val="20"/>
                <w:lang w:eastAsia="en-AU"/>
              </w:rPr>
            </w:pPr>
            <w:r w:rsidRPr="00846EE4">
              <w:rPr>
                <w:rFonts w:eastAsia="Times New Roman" w:cs="Arial"/>
                <w:color w:val="FFFFFF" w:themeColor="background1"/>
                <w:sz w:val="20"/>
                <w:szCs w:val="20"/>
                <w:lang w:eastAsia="en-AU"/>
              </w:rPr>
              <w:t>2020</w:t>
            </w:r>
          </w:p>
        </w:tc>
        <w:tc>
          <w:tcPr>
            <w:tcW w:w="622" w:type="pct"/>
            <w:noWrap/>
            <w:vAlign w:val="center"/>
            <w:hideMark/>
          </w:tcPr>
          <w:p w14:paraId="070AD0A8" w14:textId="77777777" w:rsidR="00846EE4" w:rsidRPr="00846EE4" w:rsidRDefault="00846EE4" w:rsidP="00846EE4">
            <w:pPr>
              <w:jc w:val="center"/>
              <w:rPr>
                <w:rFonts w:eastAsia="Times New Roman" w:cs="Arial"/>
                <w:color w:val="FFFFFF" w:themeColor="background1"/>
                <w:sz w:val="20"/>
                <w:szCs w:val="20"/>
                <w:lang w:eastAsia="en-AU"/>
              </w:rPr>
            </w:pPr>
            <w:r w:rsidRPr="00846EE4">
              <w:rPr>
                <w:rFonts w:eastAsia="Times New Roman" w:cs="Arial"/>
                <w:color w:val="FFFFFF" w:themeColor="background1"/>
                <w:sz w:val="20"/>
                <w:szCs w:val="20"/>
                <w:lang w:eastAsia="en-AU"/>
              </w:rPr>
              <w:t>2021</w:t>
            </w:r>
          </w:p>
        </w:tc>
        <w:tc>
          <w:tcPr>
            <w:tcW w:w="779" w:type="pct"/>
            <w:noWrap/>
            <w:vAlign w:val="center"/>
            <w:hideMark/>
          </w:tcPr>
          <w:p w14:paraId="44F37707" w14:textId="77777777" w:rsidR="00846EE4" w:rsidRPr="00846EE4" w:rsidRDefault="00846EE4" w:rsidP="00846EE4">
            <w:pPr>
              <w:jc w:val="center"/>
              <w:rPr>
                <w:rFonts w:eastAsia="Times New Roman" w:cs="Arial"/>
                <w:color w:val="FFFFFF" w:themeColor="background1"/>
                <w:sz w:val="20"/>
                <w:szCs w:val="20"/>
                <w:lang w:eastAsia="en-AU"/>
              </w:rPr>
            </w:pPr>
            <w:r w:rsidRPr="00846EE4">
              <w:rPr>
                <w:rFonts w:eastAsia="Times New Roman" w:cs="Arial"/>
                <w:color w:val="FFFFFF" w:themeColor="background1"/>
                <w:sz w:val="20"/>
                <w:szCs w:val="20"/>
                <w:lang w:eastAsia="en-AU"/>
              </w:rPr>
              <w:t>2022</w:t>
            </w:r>
          </w:p>
        </w:tc>
      </w:tr>
      <w:tr w:rsidR="00846EE4" w:rsidRPr="00846EE4" w14:paraId="3C91F183" w14:textId="77777777" w:rsidTr="005F6ADC">
        <w:trPr>
          <w:trHeight w:val="280"/>
        </w:trPr>
        <w:tc>
          <w:tcPr>
            <w:tcW w:w="707" w:type="pct"/>
            <w:vAlign w:val="center"/>
          </w:tcPr>
          <w:p w14:paraId="27F3D96F" w14:textId="77777777" w:rsidR="00846EE4" w:rsidRPr="00846EE4" w:rsidRDefault="00846EE4" w:rsidP="00846EE4">
            <w:pPr>
              <w:jc w:val="center"/>
              <w:rPr>
                <w:rFonts w:eastAsia="Times New Roman" w:cs="Arial"/>
                <w:color w:val="000000"/>
                <w:sz w:val="20"/>
                <w:szCs w:val="20"/>
                <w:lang w:eastAsia="en-AU"/>
              </w:rPr>
            </w:pPr>
            <w:r w:rsidRPr="00846EE4">
              <w:rPr>
                <w:rFonts w:eastAsia="Times New Roman" w:cs="Arial"/>
                <w:color w:val="000000"/>
                <w:sz w:val="20"/>
                <w:szCs w:val="20"/>
                <w:lang w:eastAsia="en-AU"/>
              </w:rPr>
              <w:t>CHC30113/CHC30121</w:t>
            </w:r>
          </w:p>
        </w:tc>
        <w:tc>
          <w:tcPr>
            <w:tcW w:w="1119" w:type="pct"/>
            <w:noWrap/>
            <w:vAlign w:val="center"/>
            <w:hideMark/>
          </w:tcPr>
          <w:p w14:paraId="50E93FC7" w14:textId="77777777" w:rsidR="00846EE4" w:rsidRPr="00846EE4" w:rsidRDefault="00846EE4" w:rsidP="00846EE4">
            <w:pPr>
              <w:rPr>
                <w:rFonts w:eastAsia="Times New Roman" w:cs="Arial"/>
                <w:color w:val="000000"/>
                <w:sz w:val="20"/>
                <w:szCs w:val="20"/>
                <w:lang w:eastAsia="en-AU"/>
              </w:rPr>
            </w:pPr>
            <w:r w:rsidRPr="00846EE4">
              <w:rPr>
                <w:rFonts w:eastAsia="Times New Roman" w:cs="Arial"/>
                <w:color w:val="000000"/>
                <w:sz w:val="20"/>
                <w:szCs w:val="20"/>
                <w:lang w:eastAsia="en-AU"/>
              </w:rPr>
              <w:t>Certificate III in Early Childhood Education and Care</w:t>
            </w:r>
          </w:p>
        </w:tc>
        <w:tc>
          <w:tcPr>
            <w:tcW w:w="559" w:type="pct"/>
            <w:noWrap/>
            <w:vAlign w:val="center"/>
            <w:hideMark/>
          </w:tcPr>
          <w:p w14:paraId="1F40A7F0" w14:textId="77777777" w:rsidR="00846EE4" w:rsidRPr="00846EE4" w:rsidRDefault="00846EE4" w:rsidP="00846EE4">
            <w:pPr>
              <w:jc w:val="center"/>
              <w:rPr>
                <w:rFonts w:eastAsia="Times New Roman" w:cs="Arial"/>
                <w:color w:val="000000"/>
                <w:sz w:val="20"/>
                <w:szCs w:val="20"/>
                <w:lang w:eastAsia="en-AU"/>
              </w:rPr>
            </w:pPr>
            <w:r w:rsidRPr="00846EE4">
              <w:rPr>
                <w:rFonts w:eastAsia="Times New Roman" w:cs="Arial"/>
                <w:color w:val="000000"/>
                <w:sz w:val="20"/>
                <w:szCs w:val="20"/>
                <w:lang w:eastAsia="en-AU"/>
              </w:rPr>
              <w:t>15,730</w:t>
            </w:r>
          </w:p>
        </w:tc>
        <w:tc>
          <w:tcPr>
            <w:tcW w:w="607" w:type="pct"/>
            <w:noWrap/>
            <w:vAlign w:val="center"/>
            <w:hideMark/>
          </w:tcPr>
          <w:p w14:paraId="0E775238" w14:textId="77777777" w:rsidR="00846EE4" w:rsidRPr="00846EE4" w:rsidRDefault="00846EE4" w:rsidP="00846EE4">
            <w:pPr>
              <w:jc w:val="center"/>
              <w:rPr>
                <w:rFonts w:eastAsia="Times New Roman" w:cs="Arial"/>
                <w:color w:val="000000"/>
                <w:sz w:val="20"/>
                <w:szCs w:val="20"/>
                <w:lang w:eastAsia="en-AU"/>
              </w:rPr>
            </w:pPr>
            <w:r w:rsidRPr="00846EE4">
              <w:rPr>
                <w:rFonts w:eastAsia="Times New Roman" w:cs="Arial"/>
                <w:color w:val="000000"/>
                <w:sz w:val="20"/>
                <w:szCs w:val="20"/>
                <w:lang w:eastAsia="en-AU"/>
              </w:rPr>
              <w:t>15,700</w:t>
            </w:r>
          </w:p>
        </w:tc>
        <w:tc>
          <w:tcPr>
            <w:tcW w:w="607" w:type="pct"/>
            <w:noWrap/>
            <w:vAlign w:val="center"/>
            <w:hideMark/>
          </w:tcPr>
          <w:p w14:paraId="1299F262" w14:textId="77777777" w:rsidR="00846EE4" w:rsidRPr="00846EE4" w:rsidRDefault="00846EE4" w:rsidP="00846EE4">
            <w:pPr>
              <w:jc w:val="center"/>
              <w:rPr>
                <w:rFonts w:eastAsia="Times New Roman" w:cs="Arial"/>
                <w:color w:val="000000"/>
                <w:sz w:val="20"/>
                <w:szCs w:val="20"/>
                <w:lang w:eastAsia="en-AU"/>
              </w:rPr>
            </w:pPr>
            <w:r w:rsidRPr="00846EE4">
              <w:rPr>
                <w:rFonts w:eastAsia="Times New Roman" w:cs="Arial"/>
                <w:color w:val="000000"/>
                <w:sz w:val="20"/>
                <w:szCs w:val="20"/>
                <w:lang w:eastAsia="en-AU"/>
              </w:rPr>
              <w:t>12,300</w:t>
            </w:r>
          </w:p>
        </w:tc>
        <w:tc>
          <w:tcPr>
            <w:tcW w:w="622" w:type="pct"/>
            <w:noWrap/>
            <w:vAlign w:val="center"/>
            <w:hideMark/>
          </w:tcPr>
          <w:p w14:paraId="36F44A61" w14:textId="77777777" w:rsidR="00846EE4" w:rsidRPr="00846EE4" w:rsidRDefault="00846EE4" w:rsidP="00846EE4">
            <w:pPr>
              <w:jc w:val="center"/>
              <w:rPr>
                <w:rFonts w:eastAsia="Times New Roman" w:cs="Arial"/>
                <w:color w:val="000000"/>
                <w:sz w:val="20"/>
                <w:szCs w:val="20"/>
                <w:lang w:eastAsia="en-AU"/>
              </w:rPr>
            </w:pPr>
            <w:r w:rsidRPr="00846EE4">
              <w:rPr>
                <w:rFonts w:eastAsia="Times New Roman" w:cs="Arial"/>
                <w:color w:val="000000"/>
                <w:sz w:val="20"/>
                <w:szCs w:val="20"/>
                <w:lang w:eastAsia="en-AU"/>
              </w:rPr>
              <w:t>15,730</w:t>
            </w:r>
          </w:p>
        </w:tc>
        <w:tc>
          <w:tcPr>
            <w:tcW w:w="779" w:type="pct"/>
            <w:noWrap/>
            <w:vAlign w:val="center"/>
            <w:hideMark/>
          </w:tcPr>
          <w:p w14:paraId="54D64E98" w14:textId="77777777" w:rsidR="00846EE4" w:rsidRPr="00846EE4" w:rsidRDefault="00846EE4" w:rsidP="00846EE4">
            <w:pPr>
              <w:jc w:val="center"/>
              <w:rPr>
                <w:rFonts w:eastAsia="Times New Roman" w:cs="Arial"/>
                <w:color w:val="000000"/>
                <w:sz w:val="20"/>
                <w:szCs w:val="20"/>
                <w:lang w:eastAsia="en-AU"/>
              </w:rPr>
            </w:pPr>
            <w:r w:rsidRPr="00846EE4">
              <w:rPr>
                <w:rFonts w:eastAsia="Times New Roman" w:cs="Arial"/>
                <w:color w:val="000000"/>
                <w:sz w:val="20"/>
                <w:szCs w:val="20"/>
                <w:lang w:eastAsia="en-AU"/>
              </w:rPr>
              <w:t>17,610</w:t>
            </w:r>
          </w:p>
        </w:tc>
      </w:tr>
      <w:tr w:rsidR="00846EE4" w:rsidRPr="00846EE4" w14:paraId="5BF4B005" w14:textId="77777777" w:rsidTr="005F6ADC">
        <w:trPr>
          <w:cnfStyle w:val="000000010000" w:firstRow="0" w:lastRow="0" w:firstColumn="0" w:lastColumn="0" w:oddVBand="0" w:evenVBand="0" w:oddHBand="0" w:evenHBand="1" w:firstRowFirstColumn="0" w:firstRowLastColumn="0" w:lastRowFirstColumn="0" w:lastRowLastColumn="0"/>
          <w:trHeight w:val="280"/>
        </w:trPr>
        <w:tc>
          <w:tcPr>
            <w:tcW w:w="707" w:type="pct"/>
            <w:vAlign w:val="center"/>
          </w:tcPr>
          <w:p w14:paraId="45EB15B1" w14:textId="77777777" w:rsidR="00846EE4" w:rsidRPr="00846EE4" w:rsidRDefault="00846EE4" w:rsidP="00846EE4">
            <w:pPr>
              <w:jc w:val="center"/>
              <w:rPr>
                <w:rFonts w:cs="Arial"/>
                <w:color w:val="112277"/>
                <w:sz w:val="20"/>
                <w:szCs w:val="20"/>
              </w:rPr>
            </w:pPr>
            <w:r w:rsidRPr="00846EE4">
              <w:rPr>
                <w:rFonts w:eastAsia="Times New Roman" w:cs="Arial"/>
                <w:color w:val="000000"/>
                <w:sz w:val="20"/>
                <w:szCs w:val="20"/>
                <w:lang w:eastAsia="en-AU"/>
              </w:rPr>
              <w:t>CHC50113/CHC50121</w:t>
            </w:r>
          </w:p>
        </w:tc>
        <w:tc>
          <w:tcPr>
            <w:tcW w:w="1119" w:type="pct"/>
            <w:noWrap/>
            <w:vAlign w:val="center"/>
          </w:tcPr>
          <w:p w14:paraId="66ABFEBD" w14:textId="77777777" w:rsidR="00846EE4" w:rsidRPr="00846EE4" w:rsidRDefault="00846EE4" w:rsidP="00846EE4">
            <w:pPr>
              <w:rPr>
                <w:rFonts w:eastAsia="Times New Roman" w:cs="Arial"/>
                <w:color w:val="000000"/>
                <w:sz w:val="20"/>
                <w:szCs w:val="20"/>
                <w:lang w:eastAsia="en-AU"/>
              </w:rPr>
            </w:pPr>
            <w:r w:rsidRPr="00846EE4">
              <w:rPr>
                <w:rFonts w:eastAsia="Times New Roman" w:cs="Arial"/>
                <w:color w:val="000000"/>
                <w:sz w:val="20"/>
                <w:szCs w:val="20"/>
                <w:lang w:eastAsia="en-AU"/>
              </w:rPr>
              <w:t>Diploma of Early Childhood Education and Care</w:t>
            </w:r>
          </w:p>
        </w:tc>
        <w:tc>
          <w:tcPr>
            <w:tcW w:w="559" w:type="pct"/>
            <w:noWrap/>
            <w:vAlign w:val="center"/>
          </w:tcPr>
          <w:p w14:paraId="6F5897E3" w14:textId="77777777" w:rsidR="00846EE4" w:rsidRPr="00846EE4" w:rsidRDefault="00846EE4" w:rsidP="00846EE4">
            <w:pPr>
              <w:jc w:val="center"/>
              <w:rPr>
                <w:rFonts w:eastAsia="Times New Roman" w:cs="Arial"/>
                <w:color w:val="000000"/>
                <w:sz w:val="20"/>
                <w:szCs w:val="20"/>
                <w:lang w:eastAsia="en-AU"/>
              </w:rPr>
            </w:pPr>
            <w:r w:rsidRPr="00846EE4">
              <w:rPr>
                <w:rFonts w:eastAsia="Times New Roman" w:cs="Arial"/>
                <w:color w:val="000000"/>
                <w:sz w:val="20"/>
                <w:szCs w:val="20"/>
                <w:lang w:eastAsia="en-AU"/>
              </w:rPr>
              <w:t>13,570</w:t>
            </w:r>
          </w:p>
        </w:tc>
        <w:tc>
          <w:tcPr>
            <w:tcW w:w="607" w:type="pct"/>
            <w:noWrap/>
            <w:vAlign w:val="center"/>
          </w:tcPr>
          <w:p w14:paraId="34C7C9A4" w14:textId="77777777" w:rsidR="00846EE4" w:rsidRPr="00846EE4" w:rsidRDefault="00846EE4" w:rsidP="00846EE4">
            <w:pPr>
              <w:jc w:val="center"/>
              <w:rPr>
                <w:rFonts w:eastAsia="Times New Roman" w:cs="Arial"/>
                <w:color w:val="000000"/>
                <w:sz w:val="20"/>
                <w:szCs w:val="20"/>
                <w:lang w:eastAsia="en-AU"/>
              </w:rPr>
            </w:pPr>
            <w:r w:rsidRPr="00846EE4">
              <w:rPr>
                <w:rFonts w:eastAsia="Times New Roman" w:cs="Arial"/>
                <w:color w:val="000000"/>
                <w:sz w:val="20"/>
                <w:szCs w:val="20"/>
                <w:lang w:eastAsia="en-AU"/>
              </w:rPr>
              <w:t>12,625</w:t>
            </w:r>
          </w:p>
        </w:tc>
        <w:tc>
          <w:tcPr>
            <w:tcW w:w="607" w:type="pct"/>
            <w:noWrap/>
            <w:vAlign w:val="center"/>
          </w:tcPr>
          <w:p w14:paraId="6F8F5AE3" w14:textId="77777777" w:rsidR="00846EE4" w:rsidRPr="00846EE4" w:rsidRDefault="00846EE4" w:rsidP="00846EE4">
            <w:pPr>
              <w:jc w:val="center"/>
              <w:rPr>
                <w:rFonts w:eastAsia="Times New Roman" w:cs="Arial"/>
                <w:color w:val="000000"/>
                <w:sz w:val="20"/>
                <w:szCs w:val="20"/>
                <w:lang w:eastAsia="en-AU"/>
              </w:rPr>
            </w:pPr>
            <w:r w:rsidRPr="00846EE4">
              <w:rPr>
                <w:rFonts w:eastAsia="Times New Roman" w:cs="Arial"/>
                <w:color w:val="000000"/>
                <w:sz w:val="20"/>
                <w:szCs w:val="20"/>
                <w:lang w:eastAsia="en-AU"/>
              </w:rPr>
              <w:t>9,990</w:t>
            </w:r>
          </w:p>
        </w:tc>
        <w:tc>
          <w:tcPr>
            <w:tcW w:w="622" w:type="pct"/>
            <w:noWrap/>
            <w:vAlign w:val="center"/>
          </w:tcPr>
          <w:p w14:paraId="699EAD26" w14:textId="77777777" w:rsidR="00846EE4" w:rsidRPr="00846EE4" w:rsidRDefault="00846EE4" w:rsidP="00846EE4">
            <w:pPr>
              <w:jc w:val="center"/>
              <w:rPr>
                <w:rFonts w:eastAsia="Times New Roman" w:cs="Arial"/>
                <w:color w:val="000000"/>
                <w:sz w:val="20"/>
                <w:szCs w:val="20"/>
                <w:lang w:eastAsia="en-AU"/>
              </w:rPr>
            </w:pPr>
            <w:r w:rsidRPr="00846EE4">
              <w:rPr>
                <w:rFonts w:eastAsia="Times New Roman" w:cs="Arial"/>
                <w:color w:val="000000"/>
                <w:sz w:val="20"/>
                <w:szCs w:val="20"/>
                <w:lang w:eastAsia="en-AU"/>
              </w:rPr>
              <w:t>13,860</w:t>
            </w:r>
          </w:p>
        </w:tc>
        <w:tc>
          <w:tcPr>
            <w:tcW w:w="779" w:type="pct"/>
            <w:noWrap/>
            <w:vAlign w:val="center"/>
          </w:tcPr>
          <w:p w14:paraId="07658039" w14:textId="77777777" w:rsidR="00846EE4" w:rsidRPr="00846EE4" w:rsidRDefault="00846EE4" w:rsidP="00846EE4">
            <w:pPr>
              <w:jc w:val="center"/>
              <w:rPr>
                <w:rFonts w:eastAsia="Times New Roman" w:cs="Arial"/>
                <w:color w:val="000000"/>
                <w:sz w:val="20"/>
                <w:szCs w:val="20"/>
                <w:lang w:eastAsia="en-AU"/>
              </w:rPr>
            </w:pPr>
            <w:r w:rsidRPr="00846EE4">
              <w:rPr>
                <w:rFonts w:eastAsia="Times New Roman" w:cs="Arial"/>
                <w:color w:val="000000"/>
                <w:sz w:val="20"/>
                <w:szCs w:val="20"/>
                <w:lang w:eastAsia="en-AU"/>
              </w:rPr>
              <w:t>1</w:t>
            </w:r>
            <w:r w:rsidRPr="00846EE4">
              <w:rPr>
                <w:rFonts w:eastAsia="Times New Roman"/>
                <w:color w:val="000000"/>
                <w:sz w:val="20"/>
                <w:szCs w:val="20"/>
                <w:lang w:eastAsia="en-AU"/>
              </w:rPr>
              <w:t>8,000</w:t>
            </w:r>
          </w:p>
        </w:tc>
      </w:tr>
      <w:tr w:rsidR="00846EE4" w:rsidRPr="00846EE4" w14:paraId="162F6032" w14:textId="77777777" w:rsidTr="005F6ADC">
        <w:trPr>
          <w:trHeight w:val="280"/>
        </w:trPr>
        <w:tc>
          <w:tcPr>
            <w:tcW w:w="707" w:type="pct"/>
            <w:vAlign w:val="center"/>
          </w:tcPr>
          <w:p w14:paraId="55119B30" w14:textId="77777777" w:rsidR="00846EE4" w:rsidRPr="00846EE4" w:rsidRDefault="00846EE4" w:rsidP="00846EE4">
            <w:pPr>
              <w:jc w:val="center"/>
              <w:rPr>
                <w:rFonts w:cs="Arial"/>
                <w:color w:val="112277"/>
                <w:sz w:val="20"/>
                <w:szCs w:val="20"/>
              </w:rPr>
            </w:pPr>
          </w:p>
        </w:tc>
        <w:tc>
          <w:tcPr>
            <w:tcW w:w="1119" w:type="pct"/>
            <w:noWrap/>
            <w:vAlign w:val="center"/>
          </w:tcPr>
          <w:p w14:paraId="1F7B6571" w14:textId="77777777" w:rsidR="00846EE4" w:rsidRPr="00846EE4" w:rsidRDefault="00846EE4" w:rsidP="00846EE4">
            <w:pPr>
              <w:rPr>
                <w:rFonts w:cs="Arial"/>
                <w:color w:val="000000"/>
                <w:sz w:val="20"/>
                <w:szCs w:val="20"/>
              </w:rPr>
            </w:pPr>
            <w:r w:rsidRPr="00846EE4">
              <w:rPr>
                <w:rFonts w:cs="Arial"/>
                <w:color w:val="000000"/>
                <w:sz w:val="20"/>
                <w:szCs w:val="20"/>
              </w:rPr>
              <w:t>Total</w:t>
            </w:r>
          </w:p>
        </w:tc>
        <w:tc>
          <w:tcPr>
            <w:tcW w:w="559" w:type="pct"/>
            <w:noWrap/>
            <w:vAlign w:val="center"/>
          </w:tcPr>
          <w:p w14:paraId="5BEF7432" w14:textId="77777777" w:rsidR="00846EE4" w:rsidRPr="00846EE4" w:rsidRDefault="00846EE4" w:rsidP="00846EE4">
            <w:pPr>
              <w:jc w:val="center"/>
              <w:rPr>
                <w:rFonts w:cs="Arial"/>
                <w:color w:val="000000"/>
                <w:sz w:val="20"/>
                <w:szCs w:val="20"/>
              </w:rPr>
            </w:pPr>
            <w:r w:rsidRPr="00846EE4">
              <w:rPr>
                <w:rFonts w:eastAsia="Times New Roman" w:cs="Arial"/>
                <w:color w:val="000000"/>
                <w:sz w:val="20"/>
                <w:szCs w:val="20"/>
                <w:lang w:eastAsia="en-AU"/>
              </w:rPr>
              <w:t>29,300</w:t>
            </w:r>
          </w:p>
        </w:tc>
        <w:tc>
          <w:tcPr>
            <w:tcW w:w="607" w:type="pct"/>
            <w:noWrap/>
            <w:vAlign w:val="center"/>
          </w:tcPr>
          <w:p w14:paraId="0C497B55" w14:textId="77777777" w:rsidR="00846EE4" w:rsidRPr="00846EE4" w:rsidRDefault="00846EE4" w:rsidP="00846EE4">
            <w:pPr>
              <w:jc w:val="center"/>
              <w:rPr>
                <w:rFonts w:cs="Arial"/>
                <w:color w:val="000000"/>
                <w:sz w:val="20"/>
                <w:szCs w:val="20"/>
              </w:rPr>
            </w:pPr>
            <w:r w:rsidRPr="00846EE4">
              <w:rPr>
                <w:rFonts w:eastAsia="Times New Roman" w:cs="Arial"/>
                <w:color w:val="000000"/>
                <w:sz w:val="20"/>
                <w:szCs w:val="20"/>
                <w:lang w:eastAsia="en-AU"/>
              </w:rPr>
              <w:t>28,325</w:t>
            </w:r>
          </w:p>
        </w:tc>
        <w:tc>
          <w:tcPr>
            <w:tcW w:w="607" w:type="pct"/>
            <w:noWrap/>
            <w:vAlign w:val="center"/>
          </w:tcPr>
          <w:p w14:paraId="7A0D2532" w14:textId="77777777" w:rsidR="00846EE4" w:rsidRPr="00846EE4" w:rsidRDefault="00846EE4" w:rsidP="00846EE4">
            <w:pPr>
              <w:jc w:val="center"/>
              <w:rPr>
                <w:rFonts w:cs="Arial"/>
                <w:color w:val="000000"/>
                <w:sz w:val="20"/>
                <w:szCs w:val="20"/>
              </w:rPr>
            </w:pPr>
            <w:r w:rsidRPr="00846EE4">
              <w:rPr>
                <w:rFonts w:eastAsia="Times New Roman" w:cs="Arial"/>
                <w:color w:val="000000"/>
                <w:sz w:val="20"/>
                <w:szCs w:val="20"/>
                <w:lang w:eastAsia="en-AU"/>
              </w:rPr>
              <w:t>22,290</w:t>
            </w:r>
          </w:p>
        </w:tc>
        <w:tc>
          <w:tcPr>
            <w:tcW w:w="622" w:type="pct"/>
            <w:noWrap/>
            <w:vAlign w:val="center"/>
          </w:tcPr>
          <w:p w14:paraId="6558EDA4" w14:textId="77777777" w:rsidR="00846EE4" w:rsidRPr="00846EE4" w:rsidRDefault="00846EE4" w:rsidP="00846EE4">
            <w:pPr>
              <w:jc w:val="center"/>
              <w:rPr>
                <w:rFonts w:cs="Arial"/>
                <w:color w:val="000000"/>
                <w:sz w:val="20"/>
                <w:szCs w:val="20"/>
              </w:rPr>
            </w:pPr>
            <w:r w:rsidRPr="00846EE4">
              <w:rPr>
                <w:rFonts w:eastAsia="Times New Roman" w:cs="Arial"/>
                <w:color w:val="000000"/>
                <w:sz w:val="20"/>
                <w:szCs w:val="20"/>
                <w:lang w:eastAsia="en-AU"/>
              </w:rPr>
              <w:t>29,595</w:t>
            </w:r>
          </w:p>
        </w:tc>
        <w:tc>
          <w:tcPr>
            <w:tcW w:w="779" w:type="pct"/>
            <w:noWrap/>
            <w:vAlign w:val="center"/>
          </w:tcPr>
          <w:p w14:paraId="1FA19DCC" w14:textId="77777777" w:rsidR="00846EE4" w:rsidRPr="00846EE4" w:rsidRDefault="00846EE4" w:rsidP="00846EE4">
            <w:pPr>
              <w:jc w:val="center"/>
              <w:rPr>
                <w:rFonts w:cs="Arial"/>
                <w:color w:val="000000"/>
                <w:sz w:val="20"/>
                <w:szCs w:val="20"/>
              </w:rPr>
            </w:pPr>
            <w:r w:rsidRPr="00846EE4">
              <w:rPr>
                <w:rFonts w:eastAsia="Times New Roman" w:cs="Arial"/>
                <w:color w:val="000000"/>
                <w:sz w:val="20"/>
                <w:szCs w:val="20"/>
                <w:lang w:eastAsia="en-AU"/>
              </w:rPr>
              <w:t>35,605</w:t>
            </w:r>
          </w:p>
        </w:tc>
      </w:tr>
    </w:tbl>
    <w:p w14:paraId="328A23C6" w14:textId="77777777" w:rsidR="00846EE4" w:rsidRPr="00846EE4" w:rsidRDefault="00846EE4" w:rsidP="00701210">
      <w:pPr>
        <w:pStyle w:val="Source"/>
      </w:pPr>
      <w:r w:rsidRPr="00846EE4">
        <w:t>Source: NCVER 2023, Total VET students and courses 2022.</w:t>
      </w:r>
    </w:p>
    <w:p w14:paraId="788B32F3" w14:textId="77777777" w:rsidR="00846EE4" w:rsidRPr="00846EE4" w:rsidRDefault="00846EE4" w:rsidP="00846EE4">
      <w:r w:rsidRPr="00846EE4">
        <w:t xml:space="preserve">In terms of VET graduate outcomes there was very high rate of satisfaction with both Certificate III and Diploma in the most recently published Student Outcomes Survey, with a 91% satisfaction across both courses, which tracks well against other qualifications in the same Training Package as the ECEC qualifications. Satisfaction rates of ECEC were higher than those in the same training package (CHC) and all VET courses (both 89%). As this data was collected from graduates who completed their training in 2022, they will have been enrolled in the 2013 versions of both qualifications. </w:t>
      </w:r>
    </w:p>
    <w:p w14:paraId="0F2E942F" w14:textId="77777777" w:rsidR="00846EE4" w:rsidRPr="00846EE4" w:rsidRDefault="00846EE4" w:rsidP="00846EE4">
      <w:r w:rsidRPr="00846EE4">
        <w:t>ECEC Certificate III and Diploma graduates receive relatively large economic benefits, with 2017-18 graduates gaining an increase in income of around $16,000 in the financial year after they graduate.</w:t>
      </w:r>
      <w:r w:rsidRPr="00846EE4">
        <w:rPr>
          <w:vertAlign w:val="superscript"/>
        </w:rPr>
        <w:footnoteReference w:id="47"/>
      </w:r>
      <w:r w:rsidRPr="00846EE4">
        <w:t xml:space="preserve"> Both courses rank among the top 15 in terms of income uplift, as well as transitioning to employment, excluding programs in the traditional trades, as presented in </w:t>
      </w:r>
      <w:r w:rsidRPr="00846EE4">
        <w:fldChar w:fldCharType="begin" w:fldLock="1"/>
      </w:r>
      <w:r w:rsidRPr="00846EE4">
        <w:instrText xml:space="preserve"> REF _Ref168315894 \h </w:instrText>
      </w:r>
      <w:r w:rsidRPr="00846EE4">
        <w:fldChar w:fldCharType="separate"/>
      </w:r>
      <w:r w:rsidRPr="00846EE4">
        <w:t>Table 3.</w:t>
      </w:r>
      <w:r w:rsidRPr="00846EE4">
        <w:rPr>
          <w:noProof/>
        </w:rPr>
        <w:t>2</w:t>
      </w:r>
      <w:r w:rsidRPr="00846EE4">
        <w:fldChar w:fldCharType="end"/>
      </w:r>
      <w:r w:rsidRPr="00846EE4">
        <w:t xml:space="preserve"> below. </w:t>
      </w:r>
    </w:p>
    <w:p w14:paraId="08F784F4" w14:textId="77777777" w:rsidR="00846EE4" w:rsidRPr="00846EE4" w:rsidRDefault="00846EE4" w:rsidP="00846EE4">
      <w:pPr>
        <w:rPr>
          <w:b/>
          <w:bCs/>
          <w:color w:val="auto"/>
          <w:sz w:val="18"/>
          <w:szCs w:val="18"/>
        </w:rPr>
      </w:pPr>
      <w:bookmarkStart w:id="135" w:name="_Ref168315894"/>
      <w:r w:rsidRPr="00846EE4">
        <w:br w:type="page"/>
      </w:r>
    </w:p>
    <w:p w14:paraId="1AB428C2" w14:textId="1C68493A" w:rsidR="00846EE4" w:rsidRPr="00846EE4" w:rsidRDefault="00846EE4" w:rsidP="00701210">
      <w:pPr>
        <w:pStyle w:val="Caption"/>
      </w:pPr>
      <w:r w:rsidRPr="00846EE4">
        <w:lastRenderedPageBreak/>
        <w:t>Table 3.</w:t>
      </w:r>
      <w:r w:rsidRPr="00846EE4">
        <w:fldChar w:fldCharType="begin"/>
      </w:r>
      <w:r w:rsidRPr="00846EE4">
        <w:instrText xml:space="preserve"> SEQ Table \* ARABIC \s 1 </w:instrText>
      </w:r>
      <w:r w:rsidRPr="00846EE4">
        <w:fldChar w:fldCharType="separate"/>
      </w:r>
      <w:r w:rsidR="005F18C1">
        <w:rPr>
          <w:noProof/>
        </w:rPr>
        <w:t>2</w:t>
      </w:r>
      <w:r w:rsidRPr="00846EE4">
        <w:fldChar w:fldCharType="end"/>
      </w:r>
      <w:bookmarkEnd w:id="135"/>
      <w:r w:rsidRPr="00846EE4">
        <w:t>: Top 15 post-completion outcomes, FY18-19, by median income gain</w:t>
      </w:r>
      <w:r w:rsidRPr="00846EE4">
        <w:rPr>
          <w:vertAlign w:val="superscript"/>
        </w:rPr>
        <w:footnoteReference w:id="48"/>
      </w:r>
      <w:r w:rsidRPr="00846EE4">
        <w:rPr>
          <w:vertAlign w:val="superscript"/>
        </w:rPr>
        <w:footnoteReference w:id="49"/>
      </w:r>
    </w:p>
    <w:tbl>
      <w:tblPr>
        <w:tblStyle w:val="JSATable1"/>
        <w:tblW w:w="5071" w:type="pct"/>
        <w:tblLayout w:type="fixed"/>
        <w:tblLook w:val="04A0" w:firstRow="1" w:lastRow="0" w:firstColumn="1" w:lastColumn="0" w:noHBand="0" w:noVBand="1"/>
      </w:tblPr>
      <w:tblGrid>
        <w:gridCol w:w="1277"/>
        <w:gridCol w:w="2959"/>
        <w:gridCol w:w="1228"/>
        <w:gridCol w:w="1230"/>
        <w:gridCol w:w="1230"/>
        <w:gridCol w:w="1230"/>
      </w:tblGrid>
      <w:tr w:rsidR="00846EE4" w:rsidRPr="00846EE4" w14:paraId="08B50ED0" w14:textId="77777777" w:rsidTr="005F6ADC">
        <w:trPr>
          <w:cnfStyle w:val="100000000000" w:firstRow="1" w:lastRow="0" w:firstColumn="0" w:lastColumn="0" w:oddVBand="0" w:evenVBand="0" w:oddHBand="0" w:evenHBand="0" w:firstRowFirstColumn="0" w:firstRowLastColumn="0" w:lastRowFirstColumn="0" w:lastRowLastColumn="0"/>
          <w:trHeight w:val="280"/>
          <w:tblHeader/>
        </w:trPr>
        <w:tc>
          <w:tcPr>
            <w:tcW w:w="697" w:type="pct"/>
          </w:tcPr>
          <w:p w14:paraId="0C8C6316" w14:textId="77777777" w:rsidR="00846EE4" w:rsidRPr="00846EE4" w:rsidRDefault="00846EE4" w:rsidP="00846EE4">
            <w:pPr>
              <w:jc w:val="center"/>
              <w:rPr>
                <w:rFonts w:eastAsia="Times New Roman" w:cs="Arial"/>
                <w:i/>
                <w:color w:val="FFFFFF" w:themeColor="background1"/>
                <w:sz w:val="20"/>
                <w:szCs w:val="20"/>
                <w:lang w:eastAsia="en-AU"/>
              </w:rPr>
            </w:pPr>
            <w:r w:rsidRPr="00846EE4">
              <w:rPr>
                <w:rFonts w:eastAsia="Times New Roman" w:cs="Arial"/>
                <w:color w:val="FFFFFF"/>
                <w:sz w:val="20"/>
                <w:szCs w:val="20"/>
                <w:lang w:eastAsia="en-AU"/>
              </w:rPr>
              <w:t>Program ID</w:t>
            </w:r>
          </w:p>
        </w:tc>
        <w:tc>
          <w:tcPr>
            <w:tcW w:w="1616" w:type="pct"/>
            <w:noWrap/>
            <w:hideMark/>
          </w:tcPr>
          <w:p w14:paraId="00C1F6D9" w14:textId="77777777" w:rsidR="00846EE4" w:rsidRPr="00846EE4" w:rsidRDefault="00846EE4" w:rsidP="00846EE4">
            <w:pPr>
              <w:jc w:val="center"/>
              <w:rPr>
                <w:rFonts w:eastAsia="Times New Roman" w:cs="Arial"/>
                <w:color w:val="FFFFFF" w:themeColor="background1"/>
                <w:sz w:val="20"/>
                <w:szCs w:val="20"/>
                <w:lang w:eastAsia="en-AU"/>
              </w:rPr>
            </w:pPr>
            <w:r w:rsidRPr="00846EE4">
              <w:rPr>
                <w:rFonts w:eastAsia="Times New Roman" w:cs="Arial"/>
                <w:color w:val="FFFFFF" w:themeColor="background1"/>
                <w:sz w:val="20"/>
                <w:szCs w:val="20"/>
                <w:lang w:eastAsia="en-AU"/>
              </w:rPr>
              <w:t>Program name</w:t>
            </w:r>
          </w:p>
        </w:tc>
        <w:tc>
          <w:tcPr>
            <w:tcW w:w="671" w:type="pct"/>
            <w:noWrap/>
          </w:tcPr>
          <w:p w14:paraId="2C278A9F" w14:textId="77777777" w:rsidR="00846EE4" w:rsidRPr="00846EE4" w:rsidRDefault="00846EE4" w:rsidP="00846EE4">
            <w:pPr>
              <w:jc w:val="center"/>
              <w:rPr>
                <w:rFonts w:eastAsia="Times New Roman" w:cs="Arial"/>
                <w:color w:val="FFFFFF" w:themeColor="background1"/>
                <w:lang w:eastAsia="en-AU"/>
              </w:rPr>
            </w:pPr>
            <w:r w:rsidRPr="00846EE4">
              <w:rPr>
                <w:rFonts w:eastAsia="Times New Roman" w:cs="Arial"/>
                <w:color w:val="FFFFFF" w:themeColor="background1"/>
                <w:lang w:eastAsia="en-AU"/>
              </w:rPr>
              <w:t>Employed</w:t>
            </w:r>
          </w:p>
        </w:tc>
        <w:tc>
          <w:tcPr>
            <w:tcW w:w="672" w:type="pct"/>
            <w:noWrap/>
          </w:tcPr>
          <w:p w14:paraId="03FDBA8D" w14:textId="77777777" w:rsidR="00846EE4" w:rsidRPr="00846EE4" w:rsidRDefault="00846EE4" w:rsidP="00846EE4">
            <w:pPr>
              <w:jc w:val="center"/>
              <w:rPr>
                <w:rFonts w:eastAsia="Times New Roman" w:cs="Arial"/>
                <w:color w:val="FFFFFF" w:themeColor="background1"/>
                <w:lang w:eastAsia="en-AU"/>
              </w:rPr>
            </w:pPr>
            <w:r w:rsidRPr="00846EE4">
              <w:rPr>
                <w:rFonts w:eastAsia="Times New Roman" w:cs="Arial"/>
                <w:color w:val="FFFFFF" w:themeColor="background1"/>
                <w:lang w:eastAsia="en-AU"/>
              </w:rPr>
              <w:t>Gained emp.</w:t>
            </w:r>
          </w:p>
        </w:tc>
        <w:tc>
          <w:tcPr>
            <w:tcW w:w="672" w:type="pct"/>
            <w:noWrap/>
          </w:tcPr>
          <w:p w14:paraId="37EA6876" w14:textId="77777777" w:rsidR="00846EE4" w:rsidRPr="00846EE4" w:rsidRDefault="00846EE4" w:rsidP="00846EE4">
            <w:pPr>
              <w:jc w:val="center"/>
              <w:rPr>
                <w:rFonts w:eastAsia="Times New Roman" w:cs="Arial"/>
                <w:color w:val="FFFFFF" w:themeColor="background1"/>
                <w:lang w:eastAsia="en-AU"/>
              </w:rPr>
            </w:pPr>
            <w:r w:rsidRPr="00846EE4">
              <w:rPr>
                <w:rFonts w:eastAsia="Times New Roman" w:cs="Arial"/>
                <w:color w:val="FFFFFF" w:themeColor="background1"/>
                <w:lang w:eastAsia="en-AU"/>
              </w:rPr>
              <w:t>Income</w:t>
            </w:r>
          </w:p>
        </w:tc>
        <w:tc>
          <w:tcPr>
            <w:tcW w:w="672" w:type="pct"/>
            <w:noWrap/>
          </w:tcPr>
          <w:p w14:paraId="36B63FA9" w14:textId="77777777" w:rsidR="00846EE4" w:rsidRPr="00846EE4" w:rsidRDefault="00846EE4" w:rsidP="00846EE4">
            <w:pPr>
              <w:jc w:val="center"/>
              <w:rPr>
                <w:rFonts w:eastAsia="Times New Roman" w:cs="Arial"/>
                <w:color w:val="FFFFFF" w:themeColor="background1"/>
                <w:lang w:eastAsia="en-AU"/>
              </w:rPr>
            </w:pPr>
            <w:r w:rsidRPr="00846EE4">
              <w:rPr>
                <w:rFonts w:eastAsia="Times New Roman" w:cs="Arial"/>
                <w:color w:val="FFFFFF" w:themeColor="background1"/>
                <w:lang w:eastAsia="en-AU"/>
              </w:rPr>
              <w:t>Income uplift</w:t>
            </w:r>
          </w:p>
        </w:tc>
      </w:tr>
      <w:tr w:rsidR="00846EE4" w:rsidRPr="00846EE4" w14:paraId="1BEF80FE" w14:textId="77777777" w:rsidTr="005F6ADC">
        <w:trPr>
          <w:trHeight w:val="280"/>
        </w:trPr>
        <w:tc>
          <w:tcPr>
            <w:tcW w:w="697" w:type="pct"/>
          </w:tcPr>
          <w:p w14:paraId="250601EE" w14:textId="77777777" w:rsidR="00846EE4" w:rsidRPr="00846EE4" w:rsidRDefault="00846EE4" w:rsidP="00846EE4">
            <w:pPr>
              <w:rPr>
                <w:rFonts w:asciiTheme="majorHAnsi" w:eastAsia="Times New Roman" w:hAnsiTheme="majorHAnsi" w:cstheme="majorHAnsi"/>
                <w:color w:val="000000"/>
                <w:lang w:eastAsia="en-AU"/>
              </w:rPr>
            </w:pPr>
            <w:r w:rsidRPr="00846EE4">
              <w:rPr>
                <w:rFonts w:asciiTheme="majorHAnsi" w:hAnsiTheme="majorHAnsi" w:cstheme="majorHAnsi"/>
              </w:rPr>
              <w:t>CSC30120</w:t>
            </w:r>
          </w:p>
        </w:tc>
        <w:tc>
          <w:tcPr>
            <w:tcW w:w="1616" w:type="pct"/>
            <w:noWrap/>
          </w:tcPr>
          <w:p w14:paraId="7284BC0F" w14:textId="77777777" w:rsidR="00846EE4" w:rsidRPr="00846EE4" w:rsidRDefault="00846EE4" w:rsidP="00846EE4">
            <w:pPr>
              <w:rPr>
                <w:rFonts w:asciiTheme="majorHAnsi" w:eastAsia="Times New Roman" w:hAnsiTheme="majorHAnsi" w:cstheme="majorHAnsi"/>
                <w:color w:val="000000"/>
                <w:sz w:val="20"/>
                <w:szCs w:val="20"/>
                <w:lang w:eastAsia="en-AU"/>
              </w:rPr>
            </w:pPr>
            <w:r w:rsidRPr="00846EE4">
              <w:rPr>
                <w:rFonts w:asciiTheme="majorHAnsi" w:hAnsiTheme="majorHAnsi" w:cstheme="majorHAnsi"/>
                <w:sz w:val="20"/>
                <w:szCs w:val="20"/>
              </w:rPr>
              <w:t>Certificate III in Correctional Practice</w:t>
            </w:r>
          </w:p>
        </w:tc>
        <w:tc>
          <w:tcPr>
            <w:tcW w:w="671" w:type="pct"/>
            <w:noWrap/>
          </w:tcPr>
          <w:p w14:paraId="692F78EB"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99%</w:t>
            </w:r>
          </w:p>
        </w:tc>
        <w:tc>
          <w:tcPr>
            <w:tcW w:w="672" w:type="pct"/>
            <w:noWrap/>
          </w:tcPr>
          <w:p w14:paraId="5D3EB7BF"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9%</w:t>
            </w:r>
          </w:p>
        </w:tc>
        <w:tc>
          <w:tcPr>
            <w:tcW w:w="672" w:type="pct"/>
            <w:noWrap/>
          </w:tcPr>
          <w:p w14:paraId="4A1BF533"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$80,739</w:t>
            </w:r>
          </w:p>
        </w:tc>
        <w:tc>
          <w:tcPr>
            <w:tcW w:w="672" w:type="pct"/>
            <w:noWrap/>
          </w:tcPr>
          <w:p w14:paraId="2D9A8510"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$23,837</w:t>
            </w:r>
          </w:p>
        </w:tc>
      </w:tr>
      <w:tr w:rsidR="00846EE4" w:rsidRPr="00846EE4" w14:paraId="5CF1470C" w14:textId="77777777" w:rsidTr="005F6ADC">
        <w:trPr>
          <w:cnfStyle w:val="000000010000" w:firstRow="0" w:lastRow="0" w:firstColumn="0" w:lastColumn="0" w:oddVBand="0" w:evenVBand="0" w:oddHBand="0" w:evenHBand="1" w:firstRowFirstColumn="0" w:firstRowLastColumn="0" w:lastRowFirstColumn="0" w:lastRowLastColumn="0"/>
          <w:trHeight w:val="280"/>
        </w:trPr>
        <w:tc>
          <w:tcPr>
            <w:tcW w:w="697" w:type="pct"/>
          </w:tcPr>
          <w:p w14:paraId="4E34635E" w14:textId="77777777" w:rsidR="00846EE4" w:rsidRPr="00846EE4" w:rsidRDefault="00846EE4" w:rsidP="00846EE4">
            <w:pPr>
              <w:rPr>
                <w:rFonts w:asciiTheme="majorHAnsi" w:hAnsiTheme="majorHAnsi" w:cstheme="majorHAnsi"/>
              </w:rPr>
            </w:pPr>
            <w:r w:rsidRPr="00846EE4">
              <w:rPr>
                <w:rFonts w:asciiTheme="majorHAnsi" w:hAnsiTheme="majorHAnsi" w:cstheme="majorHAnsi"/>
              </w:rPr>
              <w:t>SHB30416</w:t>
            </w:r>
          </w:p>
        </w:tc>
        <w:tc>
          <w:tcPr>
            <w:tcW w:w="1616" w:type="pct"/>
            <w:noWrap/>
          </w:tcPr>
          <w:p w14:paraId="4AD4F7D9" w14:textId="77777777" w:rsidR="00846EE4" w:rsidRPr="00846EE4" w:rsidRDefault="00846EE4" w:rsidP="00846EE4">
            <w:pPr>
              <w:rPr>
                <w:rFonts w:asciiTheme="majorHAnsi" w:eastAsia="Times New Roman" w:hAnsiTheme="majorHAnsi" w:cstheme="majorHAnsi"/>
                <w:color w:val="000000"/>
                <w:sz w:val="20"/>
                <w:szCs w:val="20"/>
                <w:lang w:eastAsia="en-AU"/>
              </w:rPr>
            </w:pPr>
            <w:r w:rsidRPr="00846EE4">
              <w:rPr>
                <w:rFonts w:asciiTheme="majorHAnsi" w:hAnsiTheme="majorHAnsi" w:cstheme="majorHAnsi"/>
                <w:sz w:val="20"/>
                <w:szCs w:val="20"/>
              </w:rPr>
              <w:t>Certificate III in Hairdressing</w:t>
            </w:r>
          </w:p>
        </w:tc>
        <w:tc>
          <w:tcPr>
            <w:tcW w:w="671" w:type="pct"/>
            <w:noWrap/>
          </w:tcPr>
          <w:p w14:paraId="67350C7B"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84%</w:t>
            </w:r>
          </w:p>
        </w:tc>
        <w:tc>
          <w:tcPr>
            <w:tcW w:w="672" w:type="pct"/>
            <w:noWrap/>
          </w:tcPr>
          <w:p w14:paraId="792CC3EA"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21%</w:t>
            </w:r>
          </w:p>
        </w:tc>
        <w:tc>
          <w:tcPr>
            <w:tcW w:w="672" w:type="pct"/>
            <w:noWrap/>
          </w:tcPr>
          <w:p w14:paraId="4564E42A"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$37,811</w:t>
            </w:r>
          </w:p>
        </w:tc>
        <w:tc>
          <w:tcPr>
            <w:tcW w:w="672" w:type="pct"/>
            <w:noWrap/>
          </w:tcPr>
          <w:p w14:paraId="4A91F859"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$23,137</w:t>
            </w:r>
          </w:p>
        </w:tc>
      </w:tr>
      <w:tr w:rsidR="00846EE4" w:rsidRPr="00846EE4" w14:paraId="2E880378" w14:textId="77777777" w:rsidTr="005F6ADC">
        <w:trPr>
          <w:trHeight w:val="280"/>
        </w:trPr>
        <w:tc>
          <w:tcPr>
            <w:tcW w:w="697" w:type="pct"/>
          </w:tcPr>
          <w:p w14:paraId="2F3F7399" w14:textId="77777777" w:rsidR="00846EE4" w:rsidRPr="00846EE4" w:rsidRDefault="00846EE4" w:rsidP="00846EE4">
            <w:pPr>
              <w:rPr>
                <w:rFonts w:asciiTheme="majorHAnsi" w:eastAsia="Times New Roman" w:hAnsiTheme="majorHAnsi" w:cstheme="majorHAnsi"/>
                <w:color w:val="000000"/>
                <w:lang w:eastAsia="en-AU"/>
              </w:rPr>
            </w:pPr>
            <w:r w:rsidRPr="00846EE4">
              <w:rPr>
                <w:rFonts w:asciiTheme="majorHAnsi" w:hAnsiTheme="majorHAnsi" w:cstheme="majorHAnsi"/>
              </w:rPr>
              <w:t>HLT35015</w:t>
            </w:r>
          </w:p>
        </w:tc>
        <w:tc>
          <w:tcPr>
            <w:tcW w:w="1616" w:type="pct"/>
            <w:noWrap/>
          </w:tcPr>
          <w:p w14:paraId="30427F10" w14:textId="77777777" w:rsidR="00846EE4" w:rsidRPr="00846EE4" w:rsidRDefault="00846EE4" w:rsidP="00846EE4">
            <w:pPr>
              <w:rPr>
                <w:rFonts w:asciiTheme="majorHAnsi" w:eastAsia="Times New Roman" w:hAnsiTheme="majorHAnsi" w:cstheme="majorHAnsi"/>
                <w:color w:val="000000"/>
                <w:sz w:val="20"/>
                <w:szCs w:val="20"/>
                <w:lang w:eastAsia="en-AU"/>
              </w:rPr>
            </w:pPr>
            <w:r w:rsidRPr="00846EE4">
              <w:rPr>
                <w:rFonts w:asciiTheme="majorHAnsi" w:hAnsiTheme="majorHAnsi" w:cstheme="majorHAnsi"/>
                <w:sz w:val="20"/>
                <w:szCs w:val="20"/>
              </w:rPr>
              <w:t>Certificate III in Dental Assisting</w:t>
            </w:r>
          </w:p>
        </w:tc>
        <w:tc>
          <w:tcPr>
            <w:tcW w:w="671" w:type="pct"/>
            <w:noWrap/>
          </w:tcPr>
          <w:p w14:paraId="0211516C"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93%</w:t>
            </w:r>
          </w:p>
        </w:tc>
        <w:tc>
          <w:tcPr>
            <w:tcW w:w="672" w:type="pct"/>
            <w:noWrap/>
          </w:tcPr>
          <w:p w14:paraId="6D6D5015"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20%</w:t>
            </w:r>
          </w:p>
        </w:tc>
        <w:tc>
          <w:tcPr>
            <w:tcW w:w="672" w:type="pct"/>
            <w:noWrap/>
          </w:tcPr>
          <w:p w14:paraId="15A62A26"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$41,869</w:t>
            </w:r>
          </w:p>
        </w:tc>
        <w:tc>
          <w:tcPr>
            <w:tcW w:w="672" w:type="pct"/>
            <w:noWrap/>
          </w:tcPr>
          <w:p w14:paraId="22ABA93B"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$18,093</w:t>
            </w:r>
          </w:p>
        </w:tc>
      </w:tr>
      <w:tr w:rsidR="00846EE4" w:rsidRPr="00846EE4" w14:paraId="6A9B0F72" w14:textId="77777777" w:rsidTr="005F6ADC">
        <w:trPr>
          <w:cnfStyle w:val="000000010000" w:firstRow="0" w:lastRow="0" w:firstColumn="0" w:lastColumn="0" w:oddVBand="0" w:evenVBand="0" w:oddHBand="0" w:evenHBand="1" w:firstRowFirstColumn="0" w:firstRowLastColumn="0" w:lastRowFirstColumn="0" w:lastRowLastColumn="0"/>
          <w:trHeight w:val="280"/>
        </w:trPr>
        <w:tc>
          <w:tcPr>
            <w:tcW w:w="697" w:type="pct"/>
          </w:tcPr>
          <w:p w14:paraId="32F9CD90" w14:textId="77777777" w:rsidR="00846EE4" w:rsidRPr="00846EE4" w:rsidRDefault="00846EE4" w:rsidP="00846EE4">
            <w:pPr>
              <w:rPr>
                <w:rFonts w:asciiTheme="majorHAnsi" w:eastAsia="Times New Roman" w:hAnsiTheme="majorHAnsi" w:cstheme="majorHAnsi"/>
                <w:color w:val="000000"/>
                <w:lang w:eastAsia="en-AU"/>
              </w:rPr>
            </w:pPr>
            <w:r w:rsidRPr="00846EE4">
              <w:rPr>
                <w:rFonts w:asciiTheme="majorHAnsi" w:hAnsiTheme="majorHAnsi" w:cstheme="majorHAnsi"/>
              </w:rPr>
              <w:t>CHC43115</w:t>
            </w:r>
          </w:p>
        </w:tc>
        <w:tc>
          <w:tcPr>
            <w:tcW w:w="1616" w:type="pct"/>
            <w:noWrap/>
          </w:tcPr>
          <w:p w14:paraId="344FE548" w14:textId="77777777" w:rsidR="00846EE4" w:rsidRPr="00846EE4" w:rsidRDefault="00846EE4" w:rsidP="00846EE4">
            <w:pPr>
              <w:rPr>
                <w:rFonts w:asciiTheme="majorHAnsi" w:eastAsia="Times New Roman" w:hAnsiTheme="majorHAnsi" w:cstheme="majorHAnsi"/>
                <w:color w:val="000000"/>
                <w:sz w:val="20"/>
                <w:szCs w:val="20"/>
                <w:lang w:eastAsia="en-AU"/>
              </w:rPr>
            </w:pPr>
            <w:r w:rsidRPr="00846EE4">
              <w:rPr>
                <w:rFonts w:asciiTheme="majorHAnsi" w:hAnsiTheme="majorHAnsi" w:cstheme="majorHAnsi"/>
                <w:sz w:val="20"/>
                <w:szCs w:val="20"/>
              </w:rPr>
              <w:t>Certificate IV in Disability</w:t>
            </w:r>
          </w:p>
        </w:tc>
        <w:tc>
          <w:tcPr>
            <w:tcW w:w="671" w:type="pct"/>
            <w:noWrap/>
          </w:tcPr>
          <w:p w14:paraId="781BB812"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94%</w:t>
            </w:r>
          </w:p>
        </w:tc>
        <w:tc>
          <w:tcPr>
            <w:tcW w:w="672" w:type="pct"/>
            <w:noWrap/>
          </w:tcPr>
          <w:p w14:paraId="5A717E3A"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18%</w:t>
            </w:r>
          </w:p>
        </w:tc>
        <w:tc>
          <w:tcPr>
            <w:tcW w:w="672" w:type="pct"/>
            <w:noWrap/>
          </w:tcPr>
          <w:p w14:paraId="4F04624B"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$56,714</w:t>
            </w:r>
          </w:p>
        </w:tc>
        <w:tc>
          <w:tcPr>
            <w:tcW w:w="672" w:type="pct"/>
            <w:noWrap/>
          </w:tcPr>
          <w:p w14:paraId="763BAE4F"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$17,757</w:t>
            </w:r>
          </w:p>
        </w:tc>
      </w:tr>
      <w:tr w:rsidR="00846EE4" w:rsidRPr="00846EE4" w14:paraId="574D3CE5" w14:textId="77777777" w:rsidTr="005F6ADC">
        <w:trPr>
          <w:trHeight w:val="280"/>
        </w:trPr>
        <w:tc>
          <w:tcPr>
            <w:tcW w:w="697" w:type="pct"/>
          </w:tcPr>
          <w:p w14:paraId="59AC8744" w14:textId="77777777" w:rsidR="00846EE4" w:rsidRPr="00846EE4" w:rsidRDefault="00846EE4" w:rsidP="00846EE4">
            <w:pPr>
              <w:rPr>
                <w:rFonts w:asciiTheme="majorHAnsi" w:eastAsia="Times New Roman" w:hAnsiTheme="majorHAnsi" w:cstheme="majorHAnsi"/>
                <w:color w:val="000000"/>
                <w:lang w:eastAsia="en-AU"/>
              </w:rPr>
            </w:pPr>
            <w:r w:rsidRPr="00846EE4">
              <w:rPr>
                <w:rFonts w:asciiTheme="majorHAnsi" w:hAnsiTheme="majorHAnsi" w:cstheme="majorHAnsi"/>
              </w:rPr>
              <w:t>HLT54115</w:t>
            </w:r>
          </w:p>
        </w:tc>
        <w:tc>
          <w:tcPr>
            <w:tcW w:w="1616" w:type="pct"/>
            <w:noWrap/>
          </w:tcPr>
          <w:p w14:paraId="4ACE2966" w14:textId="77777777" w:rsidR="00846EE4" w:rsidRPr="00846EE4" w:rsidRDefault="00846EE4" w:rsidP="00846EE4">
            <w:pPr>
              <w:rPr>
                <w:rFonts w:asciiTheme="majorHAnsi" w:eastAsia="Times New Roman" w:hAnsiTheme="majorHAnsi" w:cstheme="majorHAnsi"/>
                <w:color w:val="000000"/>
                <w:sz w:val="20"/>
                <w:szCs w:val="20"/>
                <w:lang w:eastAsia="en-AU"/>
              </w:rPr>
            </w:pPr>
            <w:r w:rsidRPr="00846EE4">
              <w:rPr>
                <w:rFonts w:asciiTheme="majorHAnsi" w:hAnsiTheme="majorHAnsi" w:cstheme="majorHAnsi"/>
                <w:sz w:val="20"/>
                <w:szCs w:val="20"/>
              </w:rPr>
              <w:t>Diploma of Nursing</w:t>
            </w:r>
          </w:p>
        </w:tc>
        <w:tc>
          <w:tcPr>
            <w:tcW w:w="671" w:type="pct"/>
            <w:noWrap/>
          </w:tcPr>
          <w:p w14:paraId="621704E5"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94%</w:t>
            </w:r>
          </w:p>
        </w:tc>
        <w:tc>
          <w:tcPr>
            <w:tcW w:w="672" w:type="pct"/>
            <w:noWrap/>
          </w:tcPr>
          <w:p w14:paraId="2823B30A"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16%</w:t>
            </w:r>
          </w:p>
        </w:tc>
        <w:tc>
          <w:tcPr>
            <w:tcW w:w="672" w:type="pct"/>
            <w:noWrap/>
          </w:tcPr>
          <w:p w14:paraId="7C98450B"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$47,928</w:t>
            </w:r>
          </w:p>
        </w:tc>
        <w:tc>
          <w:tcPr>
            <w:tcW w:w="672" w:type="pct"/>
            <w:noWrap/>
          </w:tcPr>
          <w:p w14:paraId="789DC2F6"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$17,640</w:t>
            </w:r>
          </w:p>
        </w:tc>
      </w:tr>
      <w:tr w:rsidR="00846EE4" w:rsidRPr="00846EE4" w14:paraId="2596B210" w14:textId="77777777" w:rsidTr="005F6ADC">
        <w:trPr>
          <w:cnfStyle w:val="000000010000" w:firstRow="0" w:lastRow="0" w:firstColumn="0" w:lastColumn="0" w:oddVBand="0" w:evenVBand="0" w:oddHBand="0" w:evenHBand="1" w:firstRowFirstColumn="0" w:firstRowLastColumn="0" w:lastRowFirstColumn="0" w:lastRowLastColumn="0"/>
          <w:trHeight w:val="280"/>
        </w:trPr>
        <w:tc>
          <w:tcPr>
            <w:tcW w:w="697" w:type="pct"/>
            <w:shd w:val="clear" w:color="auto" w:fill="DABCF5" w:themeFill="text2" w:themeFillTint="33"/>
          </w:tcPr>
          <w:p w14:paraId="4925FBD3" w14:textId="77777777" w:rsidR="00846EE4" w:rsidRPr="00846EE4" w:rsidRDefault="00846EE4" w:rsidP="00846EE4">
            <w:pPr>
              <w:rPr>
                <w:rFonts w:asciiTheme="majorHAnsi" w:eastAsia="Times New Roman" w:hAnsiTheme="majorHAnsi" w:cstheme="majorHAnsi"/>
                <w:color w:val="000000"/>
                <w:lang w:eastAsia="en-AU"/>
              </w:rPr>
            </w:pPr>
            <w:r w:rsidRPr="00846EE4">
              <w:rPr>
                <w:rFonts w:asciiTheme="majorHAnsi" w:hAnsiTheme="majorHAnsi" w:cstheme="majorHAnsi"/>
              </w:rPr>
              <w:t>CHC30113</w:t>
            </w:r>
          </w:p>
        </w:tc>
        <w:tc>
          <w:tcPr>
            <w:tcW w:w="1616" w:type="pct"/>
            <w:shd w:val="clear" w:color="auto" w:fill="DABCF5" w:themeFill="text2" w:themeFillTint="33"/>
            <w:noWrap/>
          </w:tcPr>
          <w:p w14:paraId="513AB74D" w14:textId="77777777" w:rsidR="00846EE4" w:rsidRPr="00846EE4" w:rsidRDefault="00846EE4" w:rsidP="00846EE4">
            <w:pPr>
              <w:rPr>
                <w:rFonts w:asciiTheme="majorHAnsi" w:eastAsia="Times New Roman" w:hAnsiTheme="majorHAnsi" w:cstheme="majorHAnsi"/>
                <w:color w:val="000000"/>
                <w:sz w:val="20"/>
                <w:szCs w:val="20"/>
                <w:lang w:eastAsia="en-AU"/>
              </w:rPr>
            </w:pPr>
            <w:r w:rsidRPr="00846EE4">
              <w:rPr>
                <w:rFonts w:asciiTheme="majorHAnsi" w:hAnsiTheme="majorHAnsi" w:cstheme="majorHAnsi"/>
                <w:sz w:val="20"/>
                <w:szCs w:val="20"/>
              </w:rPr>
              <w:t>Certificate III in Early Childhood Education and Care</w:t>
            </w:r>
          </w:p>
        </w:tc>
        <w:tc>
          <w:tcPr>
            <w:tcW w:w="671" w:type="pct"/>
            <w:shd w:val="clear" w:color="auto" w:fill="DABCF5" w:themeFill="text2" w:themeFillTint="33"/>
            <w:noWrap/>
          </w:tcPr>
          <w:p w14:paraId="5496E328"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84%</w:t>
            </w:r>
          </w:p>
        </w:tc>
        <w:tc>
          <w:tcPr>
            <w:tcW w:w="672" w:type="pct"/>
            <w:shd w:val="clear" w:color="auto" w:fill="DABCF5" w:themeFill="text2" w:themeFillTint="33"/>
            <w:noWrap/>
          </w:tcPr>
          <w:p w14:paraId="3B955BBC"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31%</w:t>
            </w:r>
          </w:p>
        </w:tc>
        <w:tc>
          <w:tcPr>
            <w:tcW w:w="672" w:type="pct"/>
            <w:shd w:val="clear" w:color="auto" w:fill="DABCF5" w:themeFill="text2" w:themeFillTint="33"/>
            <w:noWrap/>
          </w:tcPr>
          <w:p w14:paraId="6BED0BD8"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$35,020</w:t>
            </w:r>
          </w:p>
        </w:tc>
        <w:tc>
          <w:tcPr>
            <w:tcW w:w="672" w:type="pct"/>
            <w:shd w:val="clear" w:color="auto" w:fill="DABCF5" w:themeFill="text2" w:themeFillTint="33"/>
            <w:noWrap/>
          </w:tcPr>
          <w:p w14:paraId="7FEC416B"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$17,149</w:t>
            </w:r>
          </w:p>
        </w:tc>
      </w:tr>
      <w:tr w:rsidR="00846EE4" w:rsidRPr="00846EE4" w14:paraId="65EC7DD0" w14:textId="77777777" w:rsidTr="005F6ADC">
        <w:trPr>
          <w:trHeight w:val="280"/>
        </w:trPr>
        <w:tc>
          <w:tcPr>
            <w:tcW w:w="697" w:type="pct"/>
          </w:tcPr>
          <w:p w14:paraId="2139E3F6" w14:textId="77777777" w:rsidR="00846EE4" w:rsidRPr="00846EE4" w:rsidRDefault="00846EE4" w:rsidP="00846EE4">
            <w:pPr>
              <w:rPr>
                <w:rFonts w:asciiTheme="majorHAnsi" w:eastAsia="Times New Roman" w:hAnsiTheme="majorHAnsi" w:cstheme="majorHAnsi"/>
                <w:color w:val="000000"/>
                <w:lang w:eastAsia="en-AU"/>
              </w:rPr>
            </w:pPr>
            <w:r w:rsidRPr="00846EE4">
              <w:rPr>
                <w:rFonts w:asciiTheme="majorHAnsi" w:hAnsiTheme="majorHAnsi" w:cstheme="majorHAnsi"/>
              </w:rPr>
              <w:t>ACM40418</w:t>
            </w:r>
          </w:p>
        </w:tc>
        <w:tc>
          <w:tcPr>
            <w:tcW w:w="1616" w:type="pct"/>
            <w:noWrap/>
          </w:tcPr>
          <w:p w14:paraId="44EB072B" w14:textId="77777777" w:rsidR="00846EE4" w:rsidRPr="00846EE4" w:rsidRDefault="00846EE4" w:rsidP="00846EE4">
            <w:pPr>
              <w:rPr>
                <w:rFonts w:asciiTheme="majorHAnsi" w:eastAsia="Times New Roman" w:hAnsiTheme="majorHAnsi" w:cstheme="majorHAnsi"/>
                <w:color w:val="000000"/>
                <w:sz w:val="20"/>
                <w:szCs w:val="20"/>
                <w:lang w:eastAsia="en-AU"/>
              </w:rPr>
            </w:pPr>
            <w:r w:rsidRPr="00846EE4">
              <w:rPr>
                <w:rFonts w:asciiTheme="majorHAnsi" w:hAnsiTheme="majorHAnsi" w:cstheme="majorHAnsi"/>
                <w:sz w:val="20"/>
                <w:szCs w:val="20"/>
              </w:rPr>
              <w:t>Certificate IV in Veterinary Nursing</w:t>
            </w:r>
          </w:p>
        </w:tc>
        <w:tc>
          <w:tcPr>
            <w:tcW w:w="671" w:type="pct"/>
            <w:noWrap/>
          </w:tcPr>
          <w:p w14:paraId="077EDC4F"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96%</w:t>
            </w:r>
          </w:p>
        </w:tc>
        <w:tc>
          <w:tcPr>
            <w:tcW w:w="672" w:type="pct"/>
            <w:noWrap/>
          </w:tcPr>
          <w:p w14:paraId="28D67474"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14%</w:t>
            </w:r>
          </w:p>
        </w:tc>
        <w:tc>
          <w:tcPr>
            <w:tcW w:w="672" w:type="pct"/>
            <w:noWrap/>
          </w:tcPr>
          <w:p w14:paraId="463E50FE"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$46,535</w:t>
            </w:r>
          </w:p>
        </w:tc>
        <w:tc>
          <w:tcPr>
            <w:tcW w:w="672" w:type="pct"/>
            <w:noWrap/>
          </w:tcPr>
          <w:p w14:paraId="5FB60BB8"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$17,146</w:t>
            </w:r>
          </w:p>
        </w:tc>
      </w:tr>
      <w:tr w:rsidR="00846EE4" w:rsidRPr="00846EE4" w14:paraId="7EE17B26" w14:textId="77777777" w:rsidTr="005F6ADC">
        <w:trPr>
          <w:cnfStyle w:val="000000010000" w:firstRow="0" w:lastRow="0" w:firstColumn="0" w:lastColumn="0" w:oddVBand="0" w:evenVBand="0" w:oddHBand="0" w:evenHBand="1" w:firstRowFirstColumn="0" w:firstRowLastColumn="0" w:lastRowFirstColumn="0" w:lastRowLastColumn="0"/>
          <w:trHeight w:val="280"/>
        </w:trPr>
        <w:tc>
          <w:tcPr>
            <w:tcW w:w="697" w:type="pct"/>
          </w:tcPr>
          <w:p w14:paraId="3CA38AF3" w14:textId="77777777" w:rsidR="00846EE4" w:rsidRPr="00846EE4" w:rsidRDefault="00846EE4" w:rsidP="00846EE4">
            <w:pPr>
              <w:rPr>
                <w:rFonts w:asciiTheme="majorHAnsi" w:eastAsia="Times New Roman" w:hAnsiTheme="majorHAnsi" w:cstheme="majorHAnsi"/>
                <w:color w:val="000000"/>
                <w:lang w:eastAsia="en-AU"/>
              </w:rPr>
            </w:pPr>
            <w:r w:rsidRPr="00846EE4">
              <w:rPr>
                <w:rFonts w:asciiTheme="majorHAnsi" w:hAnsiTheme="majorHAnsi" w:cstheme="majorHAnsi"/>
              </w:rPr>
              <w:t>SIT30816</w:t>
            </w:r>
          </w:p>
        </w:tc>
        <w:tc>
          <w:tcPr>
            <w:tcW w:w="1616" w:type="pct"/>
            <w:noWrap/>
          </w:tcPr>
          <w:p w14:paraId="691665D1" w14:textId="77777777" w:rsidR="00846EE4" w:rsidRPr="00846EE4" w:rsidRDefault="00846EE4" w:rsidP="00846EE4">
            <w:pPr>
              <w:rPr>
                <w:rFonts w:asciiTheme="majorHAnsi" w:eastAsia="Times New Roman" w:hAnsiTheme="majorHAnsi" w:cstheme="majorHAnsi"/>
                <w:color w:val="000000"/>
                <w:sz w:val="20"/>
                <w:szCs w:val="20"/>
                <w:lang w:eastAsia="en-AU"/>
              </w:rPr>
            </w:pPr>
            <w:r w:rsidRPr="00846EE4">
              <w:rPr>
                <w:rFonts w:asciiTheme="majorHAnsi" w:hAnsiTheme="majorHAnsi" w:cstheme="majorHAnsi"/>
                <w:sz w:val="20"/>
                <w:szCs w:val="20"/>
              </w:rPr>
              <w:t>Certificate III in Commercial Cookery</w:t>
            </w:r>
          </w:p>
        </w:tc>
        <w:tc>
          <w:tcPr>
            <w:tcW w:w="671" w:type="pct"/>
            <w:noWrap/>
          </w:tcPr>
          <w:p w14:paraId="1B4CDF17"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92%</w:t>
            </w:r>
          </w:p>
        </w:tc>
        <w:tc>
          <w:tcPr>
            <w:tcW w:w="672" w:type="pct"/>
            <w:noWrap/>
          </w:tcPr>
          <w:p w14:paraId="6F1738DD"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13%</w:t>
            </w:r>
          </w:p>
        </w:tc>
        <w:tc>
          <w:tcPr>
            <w:tcW w:w="672" w:type="pct"/>
            <w:noWrap/>
          </w:tcPr>
          <w:p w14:paraId="68ED695F"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$45,456</w:t>
            </w:r>
          </w:p>
        </w:tc>
        <w:tc>
          <w:tcPr>
            <w:tcW w:w="672" w:type="pct"/>
            <w:noWrap/>
          </w:tcPr>
          <w:p w14:paraId="76F061B6"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$16,046</w:t>
            </w:r>
          </w:p>
        </w:tc>
      </w:tr>
      <w:tr w:rsidR="00846EE4" w:rsidRPr="00846EE4" w14:paraId="6DD963BA" w14:textId="77777777" w:rsidTr="005F6ADC">
        <w:trPr>
          <w:trHeight w:val="280"/>
        </w:trPr>
        <w:tc>
          <w:tcPr>
            <w:tcW w:w="697" w:type="pct"/>
          </w:tcPr>
          <w:p w14:paraId="2B3E60B5" w14:textId="77777777" w:rsidR="00846EE4" w:rsidRPr="00846EE4" w:rsidRDefault="00846EE4" w:rsidP="00846EE4">
            <w:pPr>
              <w:rPr>
                <w:rFonts w:asciiTheme="majorHAnsi" w:eastAsia="Times New Roman" w:hAnsiTheme="majorHAnsi" w:cstheme="majorHAnsi"/>
                <w:color w:val="000000"/>
                <w:lang w:eastAsia="en-AU"/>
              </w:rPr>
            </w:pPr>
            <w:r w:rsidRPr="00846EE4">
              <w:rPr>
                <w:rFonts w:asciiTheme="majorHAnsi" w:hAnsiTheme="majorHAnsi" w:cstheme="majorHAnsi"/>
              </w:rPr>
              <w:t>CHC52015</w:t>
            </w:r>
          </w:p>
        </w:tc>
        <w:tc>
          <w:tcPr>
            <w:tcW w:w="1616" w:type="pct"/>
            <w:noWrap/>
          </w:tcPr>
          <w:p w14:paraId="1310DBFE" w14:textId="77777777" w:rsidR="00846EE4" w:rsidRPr="00846EE4" w:rsidRDefault="00846EE4" w:rsidP="00846EE4">
            <w:pPr>
              <w:rPr>
                <w:rFonts w:asciiTheme="majorHAnsi" w:eastAsia="Times New Roman" w:hAnsiTheme="majorHAnsi" w:cstheme="majorHAnsi"/>
                <w:color w:val="000000"/>
                <w:sz w:val="20"/>
                <w:szCs w:val="20"/>
                <w:lang w:eastAsia="en-AU"/>
              </w:rPr>
            </w:pPr>
            <w:r w:rsidRPr="00846EE4">
              <w:rPr>
                <w:rFonts w:asciiTheme="majorHAnsi" w:hAnsiTheme="majorHAnsi" w:cstheme="majorHAnsi"/>
                <w:sz w:val="20"/>
                <w:szCs w:val="20"/>
              </w:rPr>
              <w:t>Diploma of Community Services</w:t>
            </w:r>
          </w:p>
        </w:tc>
        <w:tc>
          <w:tcPr>
            <w:tcW w:w="671" w:type="pct"/>
            <w:noWrap/>
          </w:tcPr>
          <w:p w14:paraId="08D469C1"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88%</w:t>
            </w:r>
          </w:p>
        </w:tc>
        <w:tc>
          <w:tcPr>
            <w:tcW w:w="672" w:type="pct"/>
            <w:noWrap/>
          </w:tcPr>
          <w:p w14:paraId="57E9D9B8"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11%</w:t>
            </w:r>
          </w:p>
        </w:tc>
        <w:tc>
          <w:tcPr>
            <w:tcW w:w="672" w:type="pct"/>
            <w:noWrap/>
          </w:tcPr>
          <w:p w14:paraId="4152420F"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$60,008</w:t>
            </w:r>
          </w:p>
        </w:tc>
        <w:tc>
          <w:tcPr>
            <w:tcW w:w="672" w:type="pct"/>
            <w:noWrap/>
          </w:tcPr>
          <w:p w14:paraId="0BBD079A"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$16,044</w:t>
            </w:r>
          </w:p>
        </w:tc>
      </w:tr>
      <w:tr w:rsidR="00846EE4" w:rsidRPr="00846EE4" w14:paraId="72BE907B" w14:textId="77777777" w:rsidTr="005F6ADC">
        <w:trPr>
          <w:cnfStyle w:val="000000010000" w:firstRow="0" w:lastRow="0" w:firstColumn="0" w:lastColumn="0" w:oddVBand="0" w:evenVBand="0" w:oddHBand="0" w:evenHBand="1" w:firstRowFirstColumn="0" w:firstRowLastColumn="0" w:lastRowFirstColumn="0" w:lastRowLastColumn="0"/>
          <w:trHeight w:val="280"/>
        </w:trPr>
        <w:tc>
          <w:tcPr>
            <w:tcW w:w="697" w:type="pct"/>
          </w:tcPr>
          <w:p w14:paraId="47D3CD08" w14:textId="77777777" w:rsidR="00846EE4" w:rsidRPr="00846EE4" w:rsidRDefault="00846EE4" w:rsidP="00846EE4">
            <w:pPr>
              <w:rPr>
                <w:rFonts w:asciiTheme="majorHAnsi" w:eastAsia="Times New Roman" w:hAnsiTheme="majorHAnsi" w:cstheme="majorHAnsi"/>
                <w:color w:val="000000"/>
                <w:lang w:eastAsia="en-AU"/>
              </w:rPr>
            </w:pPr>
            <w:r w:rsidRPr="00846EE4">
              <w:rPr>
                <w:rFonts w:asciiTheme="majorHAnsi" w:hAnsiTheme="majorHAnsi" w:cstheme="majorHAnsi"/>
              </w:rPr>
              <w:t>SIR30216</w:t>
            </w:r>
          </w:p>
        </w:tc>
        <w:tc>
          <w:tcPr>
            <w:tcW w:w="1616" w:type="pct"/>
            <w:noWrap/>
          </w:tcPr>
          <w:p w14:paraId="236D8C7E" w14:textId="77777777" w:rsidR="00846EE4" w:rsidRPr="00846EE4" w:rsidRDefault="00846EE4" w:rsidP="00846EE4">
            <w:pPr>
              <w:rPr>
                <w:rFonts w:asciiTheme="majorHAnsi" w:eastAsia="Times New Roman" w:hAnsiTheme="majorHAnsi" w:cstheme="majorHAnsi"/>
                <w:color w:val="000000"/>
                <w:sz w:val="20"/>
                <w:szCs w:val="20"/>
                <w:lang w:eastAsia="en-AU"/>
              </w:rPr>
            </w:pPr>
            <w:r w:rsidRPr="00846EE4">
              <w:rPr>
                <w:rFonts w:asciiTheme="majorHAnsi" w:hAnsiTheme="majorHAnsi" w:cstheme="majorHAnsi"/>
                <w:sz w:val="20"/>
                <w:szCs w:val="20"/>
              </w:rPr>
              <w:t>Certificate III in Retail</w:t>
            </w:r>
          </w:p>
        </w:tc>
        <w:tc>
          <w:tcPr>
            <w:tcW w:w="671" w:type="pct"/>
            <w:noWrap/>
          </w:tcPr>
          <w:p w14:paraId="3CB3766B"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79%</w:t>
            </w:r>
          </w:p>
        </w:tc>
        <w:tc>
          <w:tcPr>
            <w:tcW w:w="672" w:type="pct"/>
            <w:noWrap/>
          </w:tcPr>
          <w:p w14:paraId="4BD2CCFF"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16%</w:t>
            </w:r>
          </w:p>
        </w:tc>
        <w:tc>
          <w:tcPr>
            <w:tcW w:w="672" w:type="pct"/>
            <w:noWrap/>
          </w:tcPr>
          <w:p w14:paraId="710F4294"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$29,150</w:t>
            </w:r>
          </w:p>
        </w:tc>
        <w:tc>
          <w:tcPr>
            <w:tcW w:w="672" w:type="pct"/>
            <w:noWrap/>
          </w:tcPr>
          <w:p w14:paraId="717A0FD7"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$15,716</w:t>
            </w:r>
          </w:p>
        </w:tc>
      </w:tr>
      <w:tr w:rsidR="00846EE4" w:rsidRPr="00846EE4" w14:paraId="3480CC7A" w14:textId="77777777" w:rsidTr="005F6ADC">
        <w:trPr>
          <w:trHeight w:val="280"/>
        </w:trPr>
        <w:tc>
          <w:tcPr>
            <w:tcW w:w="697" w:type="pct"/>
            <w:shd w:val="clear" w:color="auto" w:fill="DABCF5" w:themeFill="text2" w:themeFillTint="33"/>
          </w:tcPr>
          <w:p w14:paraId="13B9B5BF" w14:textId="77777777" w:rsidR="00846EE4" w:rsidRPr="00846EE4" w:rsidRDefault="00846EE4" w:rsidP="00846EE4">
            <w:pPr>
              <w:rPr>
                <w:rFonts w:asciiTheme="majorHAnsi" w:eastAsia="Times New Roman" w:hAnsiTheme="majorHAnsi" w:cstheme="majorHAnsi"/>
                <w:color w:val="000000"/>
                <w:lang w:eastAsia="en-AU"/>
              </w:rPr>
            </w:pPr>
            <w:r w:rsidRPr="00846EE4">
              <w:rPr>
                <w:rFonts w:asciiTheme="majorHAnsi" w:hAnsiTheme="majorHAnsi" w:cstheme="majorHAnsi"/>
              </w:rPr>
              <w:t>CHC50113</w:t>
            </w:r>
          </w:p>
        </w:tc>
        <w:tc>
          <w:tcPr>
            <w:tcW w:w="1616" w:type="pct"/>
            <w:shd w:val="clear" w:color="auto" w:fill="DABCF5" w:themeFill="text2" w:themeFillTint="33"/>
            <w:noWrap/>
          </w:tcPr>
          <w:p w14:paraId="567E2BFD" w14:textId="77777777" w:rsidR="00846EE4" w:rsidRPr="00846EE4" w:rsidRDefault="00846EE4" w:rsidP="00846EE4">
            <w:pPr>
              <w:rPr>
                <w:rFonts w:asciiTheme="majorHAnsi" w:eastAsia="Times New Roman" w:hAnsiTheme="majorHAnsi" w:cstheme="majorHAnsi"/>
                <w:color w:val="000000"/>
                <w:sz w:val="20"/>
                <w:szCs w:val="20"/>
                <w:lang w:eastAsia="en-AU"/>
              </w:rPr>
            </w:pPr>
            <w:r w:rsidRPr="00846EE4">
              <w:rPr>
                <w:rFonts w:asciiTheme="majorHAnsi" w:hAnsiTheme="majorHAnsi" w:cstheme="majorHAnsi"/>
                <w:sz w:val="20"/>
                <w:szCs w:val="20"/>
              </w:rPr>
              <w:t>Diploma of Early Childhood Education and Care</w:t>
            </w:r>
          </w:p>
        </w:tc>
        <w:tc>
          <w:tcPr>
            <w:tcW w:w="671" w:type="pct"/>
            <w:shd w:val="clear" w:color="auto" w:fill="DABCF5" w:themeFill="text2" w:themeFillTint="33"/>
            <w:noWrap/>
          </w:tcPr>
          <w:p w14:paraId="416A6D50"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85%</w:t>
            </w:r>
          </w:p>
        </w:tc>
        <w:tc>
          <w:tcPr>
            <w:tcW w:w="672" w:type="pct"/>
            <w:shd w:val="clear" w:color="auto" w:fill="DABCF5" w:themeFill="text2" w:themeFillTint="33"/>
            <w:noWrap/>
          </w:tcPr>
          <w:p w14:paraId="2AF07F30"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18%</w:t>
            </w:r>
          </w:p>
        </w:tc>
        <w:tc>
          <w:tcPr>
            <w:tcW w:w="672" w:type="pct"/>
            <w:shd w:val="clear" w:color="auto" w:fill="DABCF5" w:themeFill="text2" w:themeFillTint="33"/>
            <w:noWrap/>
          </w:tcPr>
          <w:p w14:paraId="674C2835"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$43,771</w:t>
            </w:r>
          </w:p>
        </w:tc>
        <w:tc>
          <w:tcPr>
            <w:tcW w:w="672" w:type="pct"/>
            <w:shd w:val="clear" w:color="auto" w:fill="DABCF5" w:themeFill="text2" w:themeFillTint="33"/>
            <w:noWrap/>
          </w:tcPr>
          <w:p w14:paraId="6FAF55F0"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$15,296</w:t>
            </w:r>
          </w:p>
        </w:tc>
      </w:tr>
      <w:tr w:rsidR="00846EE4" w:rsidRPr="00846EE4" w14:paraId="028C62D7" w14:textId="77777777" w:rsidTr="005F6ADC">
        <w:trPr>
          <w:cnfStyle w:val="000000010000" w:firstRow="0" w:lastRow="0" w:firstColumn="0" w:lastColumn="0" w:oddVBand="0" w:evenVBand="0" w:oddHBand="0" w:evenHBand="1" w:firstRowFirstColumn="0" w:firstRowLastColumn="0" w:lastRowFirstColumn="0" w:lastRowLastColumn="0"/>
          <w:trHeight w:val="280"/>
        </w:trPr>
        <w:tc>
          <w:tcPr>
            <w:tcW w:w="697" w:type="pct"/>
          </w:tcPr>
          <w:p w14:paraId="4C313A90" w14:textId="77777777" w:rsidR="00846EE4" w:rsidRPr="00846EE4" w:rsidRDefault="00846EE4" w:rsidP="00846EE4">
            <w:pPr>
              <w:rPr>
                <w:rFonts w:asciiTheme="majorHAnsi" w:eastAsia="Times New Roman" w:hAnsiTheme="majorHAnsi" w:cstheme="majorHAnsi"/>
                <w:color w:val="000000"/>
                <w:lang w:eastAsia="en-AU"/>
              </w:rPr>
            </w:pPr>
            <w:r w:rsidRPr="00846EE4">
              <w:rPr>
                <w:rFonts w:asciiTheme="majorHAnsi" w:hAnsiTheme="majorHAnsi" w:cstheme="majorHAnsi"/>
              </w:rPr>
              <w:t>FNS50615</w:t>
            </w:r>
          </w:p>
        </w:tc>
        <w:tc>
          <w:tcPr>
            <w:tcW w:w="1616" w:type="pct"/>
            <w:noWrap/>
          </w:tcPr>
          <w:p w14:paraId="17A082C7" w14:textId="77777777" w:rsidR="00846EE4" w:rsidRPr="00846EE4" w:rsidRDefault="00846EE4" w:rsidP="00846EE4">
            <w:pPr>
              <w:rPr>
                <w:rFonts w:asciiTheme="majorHAnsi" w:eastAsia="Times New Roman" w:hAnsiTheme="majorHAnsi" w:cstheme="majorHAnsi"/>
                <w:color w:val="000000"/>
                <w:sz w:val="20"/>
                <w:szCs w:val="20"/>
                <w:lang w:eastAsia="en-AU"/>
              </w:rPr>
            </w:pPr>
            <w:r w:rsidRPr="00846EE4">
              <w:rPr>
                <w:rFonts w:asciiTheme="majorHAnsi" w:hAnsiTheme="majorHAnsi" w:cstheme="majorHAnsi"/>
                <w:sz w:val="20"/>
                <w:szCs w:val="20"/>
              </w:rPr>
              <w:t>Diploma of Financial Planning</w:t>
            </w:r>
          </w:p>
        </w:tc>
        <w:tc>
          <w:tcPr>
            <w:tcW w:w="671" w:type="pct"/>
            <w:noWrap/>
          </w:tcPr>
          <w:p w14:paraId="03C5C551"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90%</w:t>
            </w:r>
          </w:p>
        </w:tc>
        <w:tc>
          <w:tcPr>
            <w:tcW w:w="672" w:type="pct"/>
            <w:noWrap/>
          </w:tcPr>
          <w:p w14:paraId="552F70AB"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6%</w:t>
            </w:r>
          </w:p>
        </w:tc>
        <w:tc>
          <w:tcPr>
            <w:tcW w:w="672" w:type="pct"/>
            <w:noWrap/>
          </w:tcPr>
          <w:p w14:paraId="18022B76"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$64,526</w:t>
            </w:r>
          </w:p>
        </w:tc>
        <w:tc>
          <w:tcPr>
            <w:tcW w:w="672" w:type="pct"/>
            <w:noWrap/>
          </w:tcPr>
          <w:p w14:paraId="264A1174"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$14,744</w:t>
            </w:r>
          </w:p>
        </w:tc>
      </w:tr>
      <w:tr w:rsidR="00846EE4" w:rsidRPr="00846EE4" w14:paraId="7C3721BB" w14:textId="77777777" w:rsidTr="005F6ADC">
        <w:trPr>
          <w:trHeight w:val="280"/>
        </w:trPr>
        <w:tc>
          <w:tcPr>
            <w:tcW w:w="697" w:type="pct"/>
          </w:tcPr>
          <w:p w14:paraId="5EB88175" w14:textId="77777777" w:rsidR="00846EE4" w:rsidRPr="00846EE4" w:rsidRDefault="00846EE4" w:rsidP="00846EE4">
            <w:pPr>
              <w:rPr>
                <w:rFonts w:asciiTheme="majorHAnsi" w:eastAsia="Times New Roman" w:hAnsiTheme="majorHAnsi" w:cstheme="majorHAnsi"/>
                <w:color w:val="000000"/>
                <w:lang w:eastAsia="en-AU"/>
              </w:rPr>
            </w:pPr>
            <w:r w:rsidRPr="00846EE4">
              <w:rPr>
                <w:rFonts w:asciiTheme="majorHAnsi" w:hAnsiTheme="majorHAnsi" w:cstheme="majorHAnsi"/>
              </w:rPr>
              <w:t>CHC33015</w:t>
            </w:r>
          </w:p>
        </w:tc>
        <w:tc>
          <w:tcPr>
            <w:tcW w:w="1616" w:type="pct"/>
            <w:noWrap/>
          </w:tcPr>
          <w:p w14:paraId="674B5DEA" w14:textId="77777777" w:rsidR="00846EE4" w:rsidRPr="00846EE4" w:rsidRDefault="00846EE4" w:rsidP="00846EE4">
            <w:pPr>
              <w:rPr>
                <w:rFonts w:asciiTheme="majorHAnsi" w:eastAsia="Times New Roman" w:hAnsiTheme="majorHAnsi" w:cstheme="majorHAnsi"/>
                <w:color w:val="000000"/>
                <w:sz w:val="20"/>
                <w:szCs w:val="20"/>
                <w:lang w:eastAsia="en-AU"/>
              </w:rPr>
            </w:pPr>
            <w:r w:rsidRPr="00846EE4">
              <w:rPr>
                <w:rFonts w:asciiTheme="majorHAnsi" w:hAnsiTheme="majorHAnsi" w:cstheme="majorHAnsi"/>
                <w:sz w:val="20"/>
                <w:szCs w:val="20"/>
              </w:rPr>
              <w:t>Certificate III in Individual Support</w:t>
            </w:r>
          </w:p>
        </w:tc>
        <w:tc>
          <w:tcPr>
            <w:tcW w:w="671" w:type="pct"/>
            <w:noWrap/>
          </w:tcPr>
          <w:p w14:paraId="515EC6E1"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87%</w:t>
            </w:r>
          </w:p>
        </w:tc>
        <w:tc>
          <w:tcPr>
            <w:tcW w:w="672" w:type="pct"/>
            <w:noWrap/>
          </w:tcPr>
          <w:p w14:paraId="3C007CA8"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35%</w:t>
            </w:r>
          </w:p>
        </w:tc>
        <w:tc>
          <w:tcPr>
            <w:tcW w:w="672" w:type="pct"/>
            <w:noWrap/>
          </w:tcPr>
          <w:p w14:paraId="79BB077A"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$38,885</w:t>
            </w:r>
          </w:p>
        </w:tc>
        <w:tc>
          <w:tcPr>
            <w:tcW w:w="672" w:type="pct"/>
            <w:noWrap/>
          </w:tcPr>
          <w:p w14:paraId="171ADA58"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$14,488</w:t>
            </w:r>
          </w:p>
        </w:tc>
      </w:tr>
      <w:tr w:rsidR="00846EE4" w:rsidRPr="00846EE4" w14:paraId="1A30D4DA" w14:textId="77777777" w:rsidTr="005F6ADC">
        <w:trPr>
          <w:cnfStyle w:val="000000010000" w:firstRow="0" w:lastRow="0" w:firstColumn="0" w:lastColumn="0" w:oddVBand="0" w:evenVBand="0" w:oddHBand="0" w:evenHBand="1" w:firstRowFirstColumn="0" w:firstRowLastColumn="0" w:lastRowFirstColumn="0" w:lastRowLastColumn="0"/>
          <w:trHeight w:val="280"/>
        </w:trPr>
        <w:tc>
          <w:tcPr>
            <w:tcW w:w="697" w:type="pct"/>
          </w:tcPr>
          <w:p w14:paraId="6A15F2E0" w14:textId="77777777" w:rsidR="00846EE4" w:rsidRPr="00846EE4" w:rsidRDefault="00846EE4" w:rsidP="00846EE4">
            <w:pPr>
              <w:rPr>
                <w:rFonts w:asciiTheme="majorHAnsi" w:eastAsia="Times New Roman" w:hAnsiTheme="majorHAnsi" w:cstheme="majorHAnsi"/>
                <w:color w:val="000000"/>
                <w:lang w:eastAsia="en-AU"/>
              </w:rPr>
            </w:pPr>
            <w:r w:rsidRPr="00846EE4">
              <w:rPr>
                <w:rFonts w:asciiTheme="majorHAnsi" w:hAnsiTheme="majorHAnsi" w:cstheme="majorHAnsi"/>
              </w:rPr>
              <w:t>ICT50220</w:t>
            </w:r>
          </w:p>
        </w:tc>
        <w:tc>
          <w:tcPr>
            <w:tcW w:w="1616" w:type="pct"/>
            <w:noWrap/>
          </w:tcPr>
          <w:p w14:paraId="67136399" w14:textId="77777777" w:rsidR="00846EE4" w:rsidRPr="00846EE4" w:rsidRDefault="00846EE4" w:rsidP="00846EE4">
            <w:pPr>
              <w:rPr>
                <w:rFonts w:asciiTheme="majorHAnsi" w:eastAsia="Times New Roman" w:hAnsiTheme="majorHAnsi" w:cstheme="majorHAnsi"/>
                <w:color w:val="000000"/>
                <w:sz w:val="20"/>
                <w:szCs w:val="20"/>
                <w:lang w:eastAsia="en-AU"/>
              </w:rPr>
            </w:pPr>
            <w:r w:rsidRPr="00846EE4">
              <w:rPr>
                <w:rFonts w:asciiTheme="majorHAnsi" w:hAnsiTheme="majorHAnsi" w:cstheme="majorHAnsi"/>
                <w:sz w:val="20"/>
                <w:szCs w:val="20"/>
              </w:rPr>
              <w:t>Diploma of Information Technology</w:t>
            </w:r>
          </w:p>
        </w:tc>
        <w:tc>
          <w:tcPr>
            <w:tcW w:w="671" w:type="pct"/>
            <w:noWrap/>
          </w:tcPr>
          <w:p w14:paraId="6DE0D7D2"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69%</w:t>
            </w:r>
          </w:p>
        </w:tc>
        <w:tc>
          <w:tcPr>
            <w:tcW w:w="672" w:type="pct"/>
            <w:noWrap/>
          </w:tcPr>
          <w:p w14:paraId="65C47B10"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13%</w:t>
            </w:r>
          </w:p>
        </w:tc>
        <w:tc>
          <w:tcPr>
            <w:tcW w:w="672" w:type="pct"/>
            <w:noWrap/>
          </w:tcPr>
          <w:p w14:paraId="3DB204AE"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$38,521</w:t>
            </w:r>
          </w:p>
        </w:tc>
        <w:tc>
          <w:tcPr>
            <w:tcW w:w="672" w:type="pct"/>
            <w:noWrap/>
          </w:tcPr>
          <w:p w14:paraId="716A6851"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$13,976</w:t>
            </w:r>
          </w:p>
        </w:tc>
      </w:tr>
      <w:tr w:rsidR="00846EE4" w:rsidRPr="00846EE4" w14:paraId="49129494" w14:textId="77777777" w:rsidTr="005F6ADC">
        <w:trPr>
          <w:trHeight w:val="280"/>
        </w:trPr>
        <w:tc>
          <w:tcPr>
            <w:tcW w:w="697" w:type="pct"/>
          </w:tcPr>
          <w:p w14:paraId="5E62788C" w14:textId="77777777" w:rsidR="00846EE4" w:rsidRPr="00846EE4" w:rsidRDefault="00846EE4" w:rsidP="00846EE4">
            <w:pPr>
              <w:rPr>
                <w:rFonts w:asciiTheme="majorHAnsi" w:eastAsia="Times New Roman" w:hAnsiTheme="majorHAnsi" w:cstheme="majorHAnsi"/>
                <w:color w:val="000000"/>
                <w:lang w:eastAsia="en-AU"/>
              </w:rPr>
            </w:pPr>
            <w:r w:rsidRPr="00846EE4">
              <w:rPr>
                <w:rFonts w:asciiTheme="majorHAnsi" w:hAnsiTheme="majorHAnsi" w:cstheme="majorHAnsi"/>
              </w:rPr>
              <w:t>BSB30120</w:t>
            </w:r>
          </w:p>
        </w:tc>
        <w:tc>
          <w:tcPr>
            <w:tcW w:w="1616" w:type="pct"/>
            <w:noWrap/>
          </w:tcPr>
          <w:p w14:paraId="02B78C66" w14:textId="77777777" w:rsidR="00846EE4" w:rsidRPr="00846EE4" w:rsidRDefault="00846EE4" w:rsidP="00846EE4">
            <w:pPr>
              <w:rPr>
                <w:rFonts w:asciiTheme="majorHAnsi" w:eastAsia="Times New Roman" w:hAnsiTheme="majorHAnsi" w:cstheme="majorHAnsi"/>
                <w:color w:val="000000"/>
                <w:sz w:val="20"/>
                <w:szCs w:val="20"/>
                <w:lang w:eastAsia="en-AU"/>
              </w:rPr>
            </w:pPr>
            <w:r w:rsidRPr="00846EE4">
              <w:rPr>
                <w:rFonts w:asciiTheme="majorHAnsi" w:hAnsiTheme="majorHAnsi" w:cstheme="majorHAnsi"/>
                <w:sz w:val="20"/>
                <w:szCs w:val="20"/>
              </w:rPr>
              <w:t>Certificate III in Business</w:t>
            </w:r>
          </w:p>
        </w:tc>
        <w:tc>
          <w:tcPr>
            <w:tcW w:w="671" w:type="pct"/>
            <w:noWrap/>
          </w:tcPr>
          <w:p w14:paraId="5691C9FE"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74%</w:t>
            </w:r>
          </w:p>
        </w:tc>
        <w:tc>
          <w:tcPr>
            <w:tcW w:w="672" w:type="pct"/>
            <w:noWrap/>
          </w:tcPr>
          <w:p w14:paraId="31FF042C"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11%</w:t>
            </w:r>
          </w:p>
        </w:tc>
        <w:tc>
          <w:tcPr>
            <w:tcW w:w="672" w:type="pct"/>
            <w:noWrap/>
          </w:tcPr>
          <w:p w14:paraId="1F4FCFDF"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$38,140</w:t>
            </w:r>
          </w:p>
        </w:tc>
        <w:tc>
          <w:tcPr>
            <w:tcW w:w="672" w:type="pct"/>
            <w:noWrap/>
          </w:tcPr>
          <w:p w14:paraId="53E66737" w14:textId="77777777" w:rsidR="00846EE4" w:rsidRPr="00846EE4" w:rsidRDefault="00846EE4" w:rsidP="00846EE4">
            <w:pPr>
              <w:jc w:val="center"/>
              <w:rPr>
                <w:rFonts w:asciiTheme="majorHAnsi" w:eastAsia="Times New Roman" w:hAnsiTheme="majorHAnsi" w:cstheme="majorHAnsi"/>
                <w:color w:val="000000"/>
                <w:lang w:eastAsia="en-AU"/>
              </w:rPr>
            </w:pPr>
            <w:r w:rsidRPr="00846EE4">
              <w:rPr>
                <w:rFonts w:asciiTheme="majorHAnsi" w:hAnsiTheme="majorHAnsi" w:cstheme="majorHAnsi"/>
              </w:rPr>
              <w:t>$13,062</w:t>
            </w:r>
          </w:p>
        </w:tc>
      </w:tr>
    </w:tbl>
    <w:p w14:paraId="68DAC54F" w14:textId="77777777" w:rsidR="00846EE4" w:rsidRPr="00846EE4" w:rsidRDefault="00846EE4" w:rsidP="00701210">
      <w:pPr>
        <w:pStyle w:val="Source"/>
      </w:pPr>
      <w:r w:rsidRPr="00846EE4">
        <w:t xml:space="preserve">Source: VET Student Outcomes – Top 100 courses, VET National Data Asset (VNDA), accessed from </w:t>
      </w:r>
      <w:hyperlink r:id="rId107">
        <w:r w:rsidRPr="00846EE4">
          <w:rPr>
            <w:color w:val="215E9E" w:themeColor="hyperlink"/>
            <w:u w:val="single"/>
          </w:rPr>
          <w:t>VET National Data Asset (VNDA) | Jobs and Skills Australia</w:t>
        </w:r>
      </w:hyperlink>
      <w:r w:rsidRPr="00846EE4">
        <w:t xml:space="preserve">. </w:t>
      </w:r>
      <w:r w:rsidRPr="00846EE4">
        <w:br/>
      </w:r>
    </w:p>
    <w:p w14:paraId="2BD055D8" w14:textId="5477D7DC" w:rsidR="00855656" w:rsidRDefault="00846EE4" w:rsidP="00846EE4">
      <w:r w:rsidRPr="00846EE4">
        <w:t>As shown in</w:t>
      </w:r>
      <w:r w:rsidR="00855656">
        <w:t xml:space="preserve"> </w:t>
      </w:r>
      <w:r w:rsidRPr="00846EE4">
        <w:fldChar w:fldCharType="begin"/>
      </w:r>
      <w:r w:rsidRPr="00846EE4">
        <w:instrText xml:space="preserve"> REF _Ref168317355 \h </w:instrText>
      </w:r>
      <w:r w:rsidRPr="00846EE4">
        <w:fldChar w:fldCharType="separate"/>
      </w:r>
      <w:r w:rsidR="005F18C1" w:rsidRPr="00846EE4">
        <w:t>Table 3.</w:t>
      </w:r>
      <w:r w:rsidR="005F18C1">
        <w:rPr>
          <w:noProof/>
        </w:rPr>
        <w:t>3</w:t>
      </w:r>
      <w:r w:rsidRPr="00846EE4">
        <w:fldChar w:fldCharType="end"/>
      </w:r>
      <w:r w:rsidRPr="00846EE4">
        <w:t>, of the 113,095 students enrolled in ECEC VET courses in 2022, 65% were in Certificate III programs, 35% were enrolled in Diploma courses.</w:t>
      </w:r>
    </w:p>
    <w:p w14:paraId="5868503D" w14:textId="77777777" w:rsidR="00855656" w:rsidRDefault="00855656">
      <w:r>
        <w:br w:type="page"/>
      </w:r>
    </w:p>
    <w:p w14:paraId="513AFC98" w14:textId="09F68F02" w:rsidR="00846EE4" w:rsidRPr="00846EE4" w:rsidRDefault="00846EE4" w:rsidP="00701210">
      <w:pPr>
        <w:pStyle w:val="Caption"/>
      </w:pPr>
      <w:bookmarkStart w:id="136" w:name="_Ref168317355"/>
      <w:r w:rsidRPr="00846EE4">
        <w:lastRenderedPageBreak/>
        <w:t>Table 3.</w:t>
      </w:r>
      <w:r w:rsidRPr="00846EE4">
        <w:fldChar w:fldCharType="begin"/>
      </w:r>
      <w:r w:rsidRPr="00846EE4">
        <w:instrText xml:space="preserve"> SEQ Table \* ARABIC \s 1 </w:instrText>
      </w:r>
      <w:r w:rsidRPr="00846EE4">
        <w:fldChar w:fldCharType="separate"/>
      </w:r>
      <w:r w:rsidR="005F18C1">
        <w:rPr>
          <w:noProof/>
        </w:rPr>
        <w:t>3</w:t>
      </w:r>
      <w:r w:rsidRPr="00846EE4">
        <w:fldChar w:fldCharType="end"/>
      </w:r>
      <w:bookmarkEnd w:id="136"/>
      <w:r w:rsidRPr="00846EE4">
        <w:t xml:space="preserve"> ECEC program enrolments by level of education and program ID, 2022</w:t>
      </w:r>
    </w:p>
    <w:tbl>
      <w:tblPr>
        <w:tblStyle w:val="JSATable1"/>
        <w:tblW w:w="9020" w:type="dxa"/>
        <w:tblInd w:w="6" w:type="dxa"/>
        <w:tblLook w:val="04A0" w:firstRow="1" w:lastRow="0" w:firstColumn="1" w:lastColumn="0" w:noHBand="0" w:noVBand="1"/>
      </w:tblPr>
      <w:tblGrid>
        <w:gridCol w:w="1641"/>
        <w:gridCol w:w="4283"/>
        <w:gridCol w:w="1488"/>
        <w:gridCol w:w="1608"/>
      </w:tblGrid>
      <w:tr w:rsidR="00846EE4" w:rsidRPr="00846EE4" w14:paraId="0AD731E4" w14:textId="77777777" w:rsidTr="005F6ADC">
        <w:trPr>
          <w:cnfStyle w:val="100000000000" w:firstRow="1" w:lastRow="0" w:firstColumn="0" w:lastColumn="0" w:oddVBand="0" w:evenVBand="0" w:oddHBand="0" w:evenHBand="0" w:firstRowFirstColumn="0" w:firstRowLastColumn="0" w:lastRowFirstColumn="0" w:lastRowLastColumn="0"/>
          <w:trHeight w:val="315"/>
        </w:trPr>
        <w:tc>
          <w:tcPr>
            <w:tcW w:w="1641" w:type="dxa"/>
            <w:hideMark/>
          </w:tcPr>
          <w:p w14:paraId="5EF93A3E" w14:textId="77777777" w:rsidR="00846EE4" w:rsidRPr="00846EE4" w:rsidRDefault="00846EE4" w:rsidP="00846EE4">
            <w:pPr>
              <w:textAlignment w:val="baseline"/>
              <w:rPr>
                <w:rFonts w:eastAsia="Times New Roman" w:cs="Arial"/>
                <w:sz w:val="20"/>
                <w:szCs w:val="20"/>
                <w:lang w:eastAsia="en-AU"/>
              </w:rPr>
            </w:pPr>
            <w:r w:rsidRPr="00846EE4">
              <w:rPr>
                <w:rFonts w:eastAsia="Times New Roman" w:cs="Arial"/>
                <w:color w:val="FFFFFF"/>
                <w:sz w:val="20"/>
                <w:szCs w:val="20"/>
                <w:lang w:eastAsia="en-AU"/>
              </w:rPr>
              <w:t>Program ID </w:t>
            </w:r>
          </w:p>
        </w:tc>
        <w:tc>
          <w:tcPr>
            <w:tcW w:w="4283" w:type="dxa"/>
            <w:hideMark/>
          </w:tcPr>
          <w:p w14:paraId="1A3C535D" w14:textId="77777777" w:rsidR="00846EE4" w:rsidRPr="00846EE4" w:rsidRDefault="00846EE4" w:rsidP="00846EE4">
            <w:pPr>
              <w:textAlignment w:val="baseline"/>
              <w:rPr>
                <w:rFonts w:eastAsia="Times New Roman" w:cs="Arial"/>
                <w:sz w:val="20"/>
                <w:szCs w:val="20"/>
                <w:lang w:eastAsia="en-AU"/>
              </w:rPr>
            </w:pPr>
            <w:r w:rsidRPr="00846EE4">
              <w:rPr>
                <w:rFonts w:eastAsia="Times New Roman" w:cs="Arial"/>
                <w:color w:val="FFFFFF"/>
                <w:sz w:val="20"/>
                <w:szCs w:val="20"/>
                <w:lang w:eastAsia="en-AU"/>
              </w:rPr>
              <w:t>Program name </w:t>
            </w:r>
          </w:p>
        </w:tc>
        <w:tc>
          <w:tcPr>
            <w:tcW w:w="1488" w:type="dxa"/>
            <w:hideMark/>
          </w:tcPr>
          <w:p w14:paraId="1756CD69" w14:textId="77777777" w:rsidR="00846EE4" w:rsidRPr="00846EE4" w:rsidRDefault="00846EE4" w:rsidP="00846EE4">
            <w:pPr>
              <w:jc w:val="center"/>
              <w:textAlignment w:val="baseline"/>
              <w:rPr>
                <w:rFonts w:eastAsia="Times New Roman" w:cs="Arial"/>
                <w:sz w:val="20"/>
                <w:szCs w:val="20"/>
                <w:lang w:eastAsia="en-AU"/>
              </w:rPr>
            </w:pPr>
            <w:r w:rsidRPr="00846EE4">
              <w:rPr>
                <w:rFonts w:eastAsia="Times New Roman" w:cs="Arial"/>
                <w:color w:val="FFFFFF"/>
                <w:sz w:val="20"/>
                <w:szCs w:val="20"/>
                <w:lang w:eastAsia="en-AU"/>
              </w:rPr>
              <w:t>Enrolments </w:t>
            </w:r>
          </w:p>
        </w:tc>
        <w:tc>
          <w:tcPr>
            <w:tcW w:w="1608" w:type="dxa"/>
            <w:hideMark/>
          </w:tcPr>
          <w:p w14:paraId="7812F894" w14:textId="77777777" w:rsidR="00846EE4" w:rsidRPr="00846EE4" w:rsidRDefault="00846EE4" w:rsidP="00846EE4">
            <w:pPr>
              <w:jc w:val="center"/>
              <w:textAlignment w:val="baseline"/>
              <w:rPr>
                <w:rFonts w:eastAsia="Times New Roman" w:cs="Arial"/>
                <w:sz w:val="20"/>
                <w:szCs w:val="20"/>
                <w:lang w:eastAsia="en-AU"/>
              </w:rPr>
            </w:pPr>
            <w:r w:rsidRPr="00846EE4">
              <w:rPr>
                <w:rFonts w:eastAsia="Times New Roman" w:cs="Arial"/>
                <w:color w:val="FFFFFF"/>
                <w:sz w:val="20"/>
                <w:szCs w:val="20"/>
                <w:lang w:eastAsia="en-AU"/>
              </w:rPr>
              <w:t>Proportion </w:t>
            </w:r>
          </w:p>
        </w:tc>
      </w:tr>
      <w:tr w:rsidR="00846EE4" w:rsidRPr="00846EE4" w14:paraId="252BCF39" w14:textId="77777777" w:rsidTr="005F6ADC">
        <w:trPr>
          <w:trHeight w:val="300"/>
        </w:trPr>
        <w:tc>
          <w:tcPr>
            <w:tcW w:w="5924" w:type="dxa"/>
            <w:gridSpan w:val="2"/>
            <w:hideMark/>
          </w:tcPr>
          <w:p w14:paraId="7CA1AF7F" w14:textId="77777777" w:rsidR="00846EE4" w:rsidRPr="00846EE4" w:rsidRDefault="00846EE4" w:rsidP="00846EE4">
            <w:pPr>
              <w:textAlignment w:val="baseline"/>
              <w:rPr>
                <w:rFonts w:eastAsia="Times New Roman" w:cs="Arial"/>
                <w:sz w:val="20"/>
                <w:szCs w:val="20"/>
                <w:lang w:eastAsia="en-AU"/>
              </w:rPr>
            </w:pPr>
            <w:r w:rsidRPr="00846EE4">
              <w:rPr>
                <w:rFonts w:eastAsia="Times New Roman" w:cs="Arial"/>
                <w:color w:val="000000"/>
                <w:sz w:val="20"/>
                <w:szCs w:val="20"/>
                <w:lang w:eastAsia="en-AU"/>
              </w:rPr>
              <w:t>Total Diploma </w:t>
            </w:r>
          </w:p>
        </w:tc>
        <w:tc>
          <w:tcPr>
            <w:tcW w:w="1488" w:type="dxa"/>
            <w:hideMark/>
          </w:tcPr>
          <w:p w14:paraId="61D699C4" w14:textId="77777777" w:rsidR="00846EE4" w:rsidRPr="00846EE4" w:rsidRDefault="00846EE4" w:rsidP="00846EE4">
            <w:pPr>
              <w:jc w:val="right"/>
              <w:textAlignment w:val="baseline"/>
              <w:rPr>
                <w:rFonts w:eastAsia="Times New Roman" w:cs="Arial"/>
                <w:sz w:val="20"/>
                <w:szCs w:val="20"/>
                <w:lang w:eastAsia="en-AU"/>
              </w:rPr>
            </w:pPr>
            <w:r w:rsidRPr="00846EE4">
              <w:rPr>
                <w:rFonts w:eastAsia="Times New Roman" w:cs="Arial"/>
                <w:color w:val="000000"/>
                <w:sz w:val="20"/>
                <w:szCs w:val="20"/>
                <w:lang w:eastAsia="en-AU"/>
              </w:rPr>
              <w:t>39,240 </w:t>
            </w:r>
          </w:p>
        </w:tc>
        <w:tc>
          <w:tcPr>
            <w:tcW w:w="1608" w:type="dxa"/>
            <w:hideMark/>
          </w:tcPr>
          <w:p w14:paraId="00D5CD26" w14:textId="77777777" w:rsidR="00846EE4" w:rsidRPr="00846EE4" w:rsidRDefault="00846EE4" w:rsidP="00846EE4">
            <w:pPr>
              <w:jc w:val="right"/>
              <w:textAlignment w:val="baseline"/>
              <w:rPr>
                <w:rFonts w:eastAsia="Times New Roman" w:cs="Arial"/>
                <w:sz w:val="20"/>
                <w:szCs w:val="20"/>
                <w:lang w:eastAsia="en-AU"/>
              </w:rPr>
            </w:pPr>
            <w:r w:rsidRPr="00846EE4">
              <w:rPr>
                <w:rFonts w:eastAsia="Times New Roman" w:cs="Arial"/>
                <w:color w:val="000000"/>
                <w:sz w:val="20"/>
                <w:szCs w:val="20"/>
                <w:lang w:eastAsia="en-AU"/>
              </w:rPr>
              <w:t>35% </w:t>
            </w:r>
          </w:p>
        </w:tc>
      </w:tr>
      <w:tr w:rsidR="00846EE4" w:rsidRPr="00846EE4" w14:paraId="3D1D2C8E" w14:textId="77777777" w:rsidTr="005F6ADC">
        <w:trPr>
          <w:cnfStyle w:val="000000010000" w:firstRow="0" w:lastRow="0" w:firstColumn="0" w:lastColumn="0" w:oddVBand="0" w:evenVBand="0" w:oddHBand="0" w:evenHBand="1" w:firstRowFirstColumn="0" w:firstRowLastColumn="0" w:lastRowFirstColumn="0" w:lastRowLastColumn="0"/>
          <w:trHeight w:val="300"/>
        </w:trPr>
        <w:tc>
          <w:tcPr>
            <w:tcW w:w="1641" w:type="dxa"/>
            <w:hideMark/>
          </w:tcPr>
          <w:p w14:paraId="1CB97BD4" w14:textId="77777777" w:rsidR="00846EE4" w:rsidRPr="00846EE4" w:rsidRDefault="00846EE4" w:rsidP="00846EE4">
            <w:pPr>
              <w:textAlignment w:val="baseline"/>
              <w:rPr>
                <w:rFonts w:eastAsia="Times New Roman" w:cs="Arial"/>
                <w:sz w:val="20"/>
                <w:szCs w:val="20"/>
                <w:lang w:eastAsia="en-AU"/>
              </w:rPr>
            </w:pPr>
            <w:r w:rsidRPr="00846EE4">
              <w:rPr>
                <w:rFonts w:eastAsia="Times New Roman" w:cs="Arial"/>
                <w:color w:val="000000"/>
                <w:sz w:val="20"/>
                <w:szCs w:val="20"/>
                <w:lang w:eastAsia="en-AU"/>
              </w:rPr>
              <w:t>CHC50113 </w:t>
            </w:r>
          </w:p>
        </w:tc>
        <w:tc>
          <w:tcPr>
            <w:tcW w:w="4283" w:type="dxa"/>
            <w:hideMark/>
          </w:tcPr>
          <w:p w14:paraId="12D022E3" w14:textId="77777777" w:rsidR="00846EE4" w:rsidRPr="00846EE4" w:rsidRDefault="00846EE4" w:rsidP="00846EE4">
            <w:pPr>
              <w:textAlignment w:val="baseline"/>
              <w:rPr>
                <w:rFonts w:eastAsia="Times New Roman" w:cs="Arial"/>
                <w:sz w:val="20"/>
                <w:szCs w:val="20"/>
                <w:lang w:eastAsia="en-AU"/>
              </w:rPr>
            </w:pPr>
            <w:r w:rsidRPr="00846EE4">
              <w:rPr>
                <w:rFonts w:eastAsia="Times New Roman" w:cs="Arial"/>
                <w:color w:val="000000"/>
                <w:sz w:val="20"/>
                <w:szCs w:val="20"/>
                <w:lang w:eastAsia="en-AU"/>
              </w:rPr>
              <w:t>Diploma of Early Childhood Education and Care </w:t>
            </w:r>
          </w:p>
        </w:tc>
        <w:tc>
          <w:tcPr>
            <w:tcW w:w="1488" w:type="dxa"/>
            <w:hideMark/>
          </w:tcPr>
          <w:p w14:paraId="55D71666" w14:textId="77777777" w:rsidR="00846EE4" w:rsidRPr="00846EE4" w:rsidRDefault="00846EE4" w:rsidP="00846EE4">
            <w:pPr>
              <w:jc w:val="right"/>
              <w:textAlignment w:val="baseline"/>
              <w:rPr>
                <w:rFonts w:eastAsia="Times New Roman" w:cs="Arial"/>
                <w:sz w:val="20"/>
                <w:szCs w:val="20"/>
                <w:lang w:eastAsia="en-AU"/>
              </w:rPr>
            </w:pPr>
            <w:r w:rsidRPr="00846EE4">
              <w:rPr>
                <w:rFonts w:eastAsia="Times New Roman" w:cs="Arial"/>
                <w:color w:val="000000"/>
                <w:sz w:val="20"/>
                <w:szCs w:val="20"/>
                <w:lang w:eastAsia="en-AU"/>
              </w:rPr>
              <w:t> 30,415  </w:t>
            </w:r>
          </w:p>
        </w:tc>
        <w:tc>
          <w:tcPr>
            <w:tcW w:w="1608" w:type="dxa"/>
            <w:hideMark/>
          </w:tcPr>
          <w:p w14:paraId="37832487" w14:textId="77777777" w:rsidR="00846EE4" w:rsidRPr="00846EE4" w:rsidRDefault="00846EE4" w:rsidP="00846EE4">
            <w:pPr>
              <w:jc w:val="right"/>
              <w:textAlignment w:val="baseline"/>
              <w:rPr>
                <w:rFonts w:eastAsia="Times New Roman" w:cs="Arial"/>
                <w:sz w:val="20"/>
                <w:szCs w:val="20"/>
                <w:lang w:eastAsia="en-AU"/>
              </w:rPr>
            </w:pPr>
            <w:r w:rsidRPr="00846EE4">
              <w:rPr>
                <w:rFonts w:eastAsia="Times New Roman" w:cs="Arial"/>
                <w:color w:val="000000"/>
                <w:sz w:val="20"/>
                <w:szCs w:val="20"/>
                <w:lang w:eastAsia="en-AU"/>
              </w:rPr>
              <w:t>27% </w:t>
            </w:r>
          </w:p>
        </w:tc>
      </w:tr>
      <w:tr w:rsidR="00846EE4" w:rsidRPr="00846EE4" w14:paraId="628F94A5" w14:textId="77777777" w:rsidTr="005F6ADC">
        <w:trPr>
          <w:trHeight w:val="300"/>
        </w:trPr>
        <w:tc>
          <w:tcPr>
            <w:tcW w:w="1641" w:type="dxa"/>
            <w:hideMark/>
          </w:tcPr>
          <w:p w14:paraId="23431170" w14:textId="77777777" w:rsidR="00846EE4" w:rsidRPr="00846EE4" w:rsidRDefault="00846EE4" w:rsidP="00846EE4">
            <w:pPr>
              <w:textAlignment w:val="baseline"/>
              <w:rPr>
                <w:rFonts w:eastAsia="Times New Roman" w:cs="Arial"/>
                <w:sz w:val="20"/>
                <w:szCs w:val="20"/>
                <w:lang w:eastAsia="en-AU"/>
              </w:rPr>
            </w:pPr>
            <w:r w:rsidRPr="00846EE4">
              <w:rPr>
                <w:rFonts w:eastAsia="Times New Roman" w:cs="Arial"/>
                <w:color w:val="000000"/>
                <w:sz w:val="20"/>
                <w:szCs w:val="20"/>
                <w:lang w:eastAsia="en-AU"/>
              </w:rPr>
              <w:t>CHC50121 </w:t>
            </w:r>
          </w:p>
        </w:tc>
        <w:tc>
          <w:tcPr>
            <w:tcW w:w="4283" w:type="dxa"/>
            <w:hideMark/>
          </w:tcPr>
          <w:p w14:paraId="5F00C4F6" w14:textId="77777777" w:rsidR="00846EE4" w:rsidRPr="00846EE4" w:rsidRDefault="00846EE4" w:rsidP="00846EE4">
            <w:pPr>
              <w:textAlignment w:val="baseline"/>
              <w:rPr>
                <w:rFonts w:eastAsia="Times New Roman" w:cs="Arial"/>
                <w:sz w:val="20"/>
                <w:szCs w:val="20"/>
                <w:lang w:eastAsia="en-AU"/>
              </w:rPr>
            </w:pPr>
            <w:r w:rsidRPr="00846EE4">
              <w:rPr>
                <w:rFonts w:eastAsia="Times New Roman" w:cs="Arial"/>
                <w:color w:val="000000"/>
                <w:sz w:val="20"/>
                <w:szCs w:val="20"/>
                <w:lang w:eastAsia="en-AU"/>
              </w:rPr>
              <w:t>Diploma of Early Childhood Education and Care </w:t>
            </w:r>
          </w:p>
        </w:tc>
        <w:tc>
          <w:tcPr>
            <w:tcW w:w="1488" w:type="dxa"/>
            <w:hideMark/>
          </w:tcPr>
          <w:p w14:paraId="3B90F1F3" w14:textId="77777777" w:rsidR="00846EE4" w:rsidRPr="00846EE4" w:rsidRDefault="00846EE4" w:rsidP="00846EE4">
            <w:pPr>
              <w:jc w:val="right"/>
              <w:textAlignment w:val="baseline"/>
              <w:rPr>
                <w:rFonts w:eastAsia="Times New Roman" w:cs="Arial"/>
                <w:sz w:val="20"/>
                <w:szCs w:val="20"/>
                <w:lang w:eastAsia="en-AU"/>
              </w:rPr>
            </w:pPr>
            <w:r w:rsidRPr="00846EE4">
              <w:rPr>
                <w:rFonts w:eastAsia="Times New Roman" w:cs="Arial"/>
                <w:color w:val="000000"/>
                <w:sz w:val="20"/>
                <w:szCs w:val="20"/>
                <w:lang w:eastAsia="en-AU"/>
              </w:rPr>
              <w:t> 8,825  </w:t>
            </w:r>
          </w:p>
        </w:tc>
        <w:tc>
          <w:tcPr>
            <w:tcW w:w="1608" w:type="dxa"/>
            <w:hideMark/>
          </w:tcPr>
          <w:p w14:paraId="429ED649" w14:textId="77777777" w:rsidR="00846EE4" w:rsidRPr="00846EE4" w:rsidRDefault="00846EE4" w:rsidP="00846EE4">
            <w:pPr>
              <w:jc w:val="right"/>
              <w:textAlignment w:val="baseline"/>
              <w:rPr>
                <w:rFonts w:eastAsia="Times New Roman" w:cs="Arial"/>
                <w:sz w:val="20"/>
                <w:szCs w:val="20"/>
                <w:lang w:eastAsia="en-AU"/>
              </w:rPr>
            </w:pPr>
            <w:r w:rsidRPr="00846EE4">
              <w:rPr>
                <w:rFonts w:eastAsia="Times New Roman" w:cs="Arial"/>
                <w:color w:val="000000"/>
                <w:sz w:val="20"/>
                <w:szCs w:val="20"/>
                <w:lang w:eastAsia="en-AU"/>
              </w:rPr>
              <w:t>8% </w:t>
            </w:r>
          </w:p>
        </w:tc>
      </w:tr>
      <w:tr w:rsidR="00846EE4" w:rsidRPr="00846EE4" w14:paraId="6FE99E52" w14:textId="77777777" w:rsidTr="005F6ADC">
        <w:trPr>
          <w:cnfStyle w:val="000000010000" w:firstRow="0" w:lastRow="0" w:firstColumn="0" w:lastColumn="0" w:oddVBand="0" w:evenVBand="0" w:oddHBand="0" w:evenHBand="1" w:firstRowFirstColumn="0" w:firstRowLastColumn="0" w:lastRowFirstColumn="0" w:lastRowLastColumn="0"/>
          <w:trHeight w:val="300"/>
        </w:trPr>
        <w:tc>
          <w:tcPr>
            <w:tcW w:w="5924" w:type="dxa"/>
            <w:gridSpan w:val="2"/>
            <w:hideMark/>
          </w:tcPr>
          <w:p w14:paraId="39466DE3" w14:textId="77777777" w:rsidR="00846EE4" w:rsidRPr="00846EE4" w:rsidRDefault="00846EE4" w:rsidP="00846EE4">
            <w:pPr>
              <w:textAlignment w:val="baseline"/>
              <w:rPr>
                <w:rFonts w:eastAsia="Times New Roman" w:cs="Arial"/>
                <w:sz w:val="20"/>
                <w:szCs w:val="20"/>
                <w:lang w:eastAsia="en-AU"/>
              </w:rPr>
            </w:pPr>
            <w:r w:rsidRPr="00846EE4">
              <w:rPr>
                <w:rFonts w:eastAsia="Times New Roman" w:cs="Arial"/>
                <w:color w:val="000000"/>
                <w:sz w:val="20"/>
                <w:szCs w:val="20"/>
                <w:lang w:eastAsia="en-AU"/>
              </w:rPr>
              <w:t>Total Certificate III </w:t>
            </w:r>
          </w:p>
        </w:tc>
        <w:tc>
          <w:tcPr>
            <w:tcW w:w="1488" w:type="dxa"/>
            <w:hideMark/>
          </w:tcPr>
          <w:p w14:paraId="5DF25F2D" w14:textId="77777777" w:rsidR="00846EE4" w:rsidRPr="00846EE4" w:rsidRDefault="00846EE4" w:rsidP="00846EE4">
            <w:pPr>
              <w:jc w:val="right"/>
              <w:textAlignment w:val="baseline"/>
              <w:rPr>
                <w:rFonts w:eastAsia="Times New Roman" w:cs="Arial"/>
                <w:sz w:val="20"/>
                <w:szCs w:val="20"/>
                <w:lang w:eastAsia="en-AU"/>
              </w:rPr>
            </w:pPr>
            <w:r w:rsidRPr="00846EE4">
              <w:rPr>
                <w:rFonts w:eastAsia="Times New Roman" w:cs="Arial"/>
                <w:color w:val="000000"/>
                <w:sz w:val="20"/>
                <w:szCs w:val="20"/>
                <w:lang w:eastAsia="en-AU"/>
              </w:rPr>
              <w:t>73,855 </w:t>
            </w:r>
          </w:p>
        </w:tc>
        <w:tc>
          <w:tcPr>
            <w:tcW w:w="1608" w:type="dxa"/>
            <w:hideMark/>
          </w:tcPr>
          <w:p w14:paraId="363A26A7" w14:textId="77777777" w:rsidR="00846EE4" w:rsidRPr="00846EE4" w:rsidRDefault="00846EE4" w:rsidP="00846EE4">
            <w:pPr>
              <w:jc w:val="right"/>
              <w:textAlignment w:val="baseline"/>
              <w:rPr>
                <w:rFonts w:eastAsia="Times New Roman" w:cs="Arial"/>
                <w:sz w:val="20"/>
                <w:szCs w:val="20"/>
                <w:lang w:eastAsia="en-AU"/>
              </w:rPr>
            </w:pPr>
            <w:r w:rsidRPr="00846EE4">
              <w:rPr>
                <w:rFonts w:eastAsia="Times New Roman" w:cs="Arial"/>
                <w:color w:val="000000"/>
                <w:sz w:val="20"/>
                <w:szCs w:val="20"/>
                <w:lang w:eastAsia="en-AU"/>
              </w:rPr>
              <w:t>65% </w:t>
            </w:r>
          </w:p>
        </w:tc>
      </w:tr>
      <w:tr w:rsidR="00846EE4" w:rsidRPr="00846EE4" w14:paraId="11CF71BC" w14:textId="77777777" w:rsidTr="005F6ADC">
        <w:trPr>
          <w:trHeight w:val="300"/>
        </w:trPr>
        <w:tc>
          <w:tcPr>
            <w:tcW w:w="1641" w:type="dxa"/>
            <w:hideMark/>
          </w:tcPr>
          <w:p w14:paraId="706B9ED5" w14:textId="77777777" w:rsidR="00846EE4" w:rsidRPr="00846EE4" w:rsidRDefault="00846EE4" w:rsidP="00846EE4">
            <w:pPr>
              <w:textAlignment w:val="baseline"/>
              <w:rPr>
                <w:rFonts w:eastAsia="Times New Roman" w:cs="Arial"/>
                <w:sz w:val="20"/>
                <w:szCs w:val="20"/>
                <w:lang w:eastAsia="en-AU"/>
              </w:rPr>
            </w:pPr>
            <w:r w:rsidRPr="00846EE4">
              <w:rPr>
                <w:rFonts w:eastAsia="Times New Roman" w:cs="Arial"/>
                <w:color w:val="000000"/>
                <w:sz w:val="20"/>
                <w:szCs w:val="20"/>
                <w:lang w:eastAsia="en-AU"/>
              </w:rPr>
              <w:t>CHC30113 </w:t>
            </w:r>
          </w:p>
        </w:tc>
        <w:tc>
          <w:tcPr>
            <w:tcW w:w="4283" w:type="dxa"/>
            <w:hideMark/>
          </w:tcPr>
          <w:p w14:paraId="6BB932B5" w14:textId="77777777" w:rsidR="00846EE4" w:rsidRPr="00846EE4" w:rsidRDefault="00846EE4" w:rsidP="00846EE4">
            <w:pPr>
              <w:textAlignment w:val="baseline"/>
              <w:rPr>
                <w:rFonts w:eastAsia="Times New Roman" w:cs="Arial"/>
                <w:sz w:val="20"/>
                <w:szCs w:val="20"/>
                <w:lang w:eastAsia="en-AU"/>
              </w:rPr>
            </w:pPr>
            <w:r w:rsidRPr="00846EE4">
              <w:rPr>
                <w:rFonts w:eastAsia="Times New Roman" w:cs="Arial"/>
                <w:color w:val="000000"/>
                <w:sz w:val="20"/>
                <w:szCs w:val="20"/>
                <w:lang w:eastAsia="en-AU"/>
              </w:rPr>
              <w:t>Certificate III in Early Childhood Education and Care </w:t>
            </w:r>
          </w:p>
        </w:tc>
        <w:tc>
          <w:tcPr>
            <w:tcW w:w="1488" w:type="dxa"/>
            <w:hideMark/>
          </w:tcPr>
          <w:p w14:paraId="3ADB4829" w14:textId="77777777" w:rsidR="00846EE4" w:rsidRPr="00846EE4" w:rsidRDefault="00846EE4" w:rsidP="00846EE4">
            <w:pPr>
              <w:jc w:val="right"/>
              <w:textAlignment w:val="baseline"/>
              <w:rPr>
                <w:rFonts w:eastAsia="Times New Roman" w:cs="Arial"/>
                <w:sz w:val="20"/>
                <w:szCs w:val="20"/>
                <w:lang w:eastAsia="en-AU"/>
              </w:rPr>
            </w:pPr>
            <w:r w:rsidRPr="00846EE4">
              <w:rPr>
                <w:rFonts w:eastAsia="Times New Roman" w:cs="Arial"/>
                <w:color w:val="000000"/>
                <w:sz w:val="20"/>
                <w:szCs w:val="20"/>
                <w:lang w:eastAsia="en-AU"/>
              </w:rPr>
              <w:t> 38,590  </w:t>
            </w:r>
          </w:p>
        </w:tc>
        <w:tc>
          <w:tcPr>
            <w:tcW w:w="1608" w:type="dxa"/>
            <w:hideMark/>
          </w:tcPr>
          <w:p w14:paraId="096C10DC" w14:textId="77777777" w:rsidR="00846EE4" w:rsidRPr="00846EE4" w:rsidRDefault="00846EE4" w:rsidP="00846EE4">
            <w:pPr>
              <w:jc w:val="right"/>
              <w:textAlignment w:val="baseline"/>
              <w:rPr>
                <w:rFonts w:eastAsia="Times New Roman" w:cs="Arial"/>
                <w:sz w:val="20"/>
                <w:szCs w:val="20"/>
                <w:lang w:eastAsia="en-AU"/>
              </w:rPr>
            </w:pPr>
            <w:r w:rsidRPr="00846EE4">
              <w:rPr>
                <w:rFonts w:eastAsia="Times New Roman" w:cs="Arial"/>
                <w:color w:val="000000"/>
                <w:sz w:val="20"/>
                <w:szCs w:val="20"/>
                <w:lang w:eastAsia="en-AU"/>
              </w:rPr>
              <w:t>34% </w:t>
            </w:r>
          </w:p>
        </w:tc>
      </w:tr>
      <w:tr w:rsidR="00846EE4" w:rsidRPr="00846EE4" w14:paraId="02DF4361" w14:textId="77777777" w:rsidTr="005F6ADC">
        <w:trPr>
          <w:cnfStyle w:val="000000010000" w:firstRow="0" w:lastRow="0" w:firstColumn="0" w:lastColumn="0" w:oddVBand="0" w:evenVBand="0" w:oddHBand="0" w:evenHBand="1" w:firstRowFirstColumn="0" w:firstRowLastColumn="0" w:lastRowFirstColumn="0" w:lastRowLastColumn="0"/>
          <w:trHeight w:val="300"/>
        </w:trPr>
        <w:tc>
          <w:tcPr>
            <w:tcW w:w="1641" w:type="dxa"/>
            <w:hideMark/>
          </w:tcPr>
          <w:p w14:paraId="5E4AFA68" w14:textId="77777777" w:rsidR="00846EE4" w:rsidRPr="00846EE4" w:rsidRDefault="00846EE4" w:rsidP="00846EE4">
            <w:pPr>
              <w:textAlignment w:val="baseline"/>
              <w:rPr>
                <w:rFonts w:eastAsia="Times New Roman" w:cs="Arial"/>
                <w:sz w:val="20"/>
                <w:szCs w:val="20"/>
                <w:lang w:eastAsia="en-AU"/>
              </w:rPr>
            </w:pPr>
            <w:r w:rsidRPr="00846EE4">
              <w:rPr>
                <w:rFonts w:eastAsia="Times New Roman" w:cs="Arial"/>
                <w:color w:val="000000"/>
                <w:sz w:val="20"/>
                <w:szCs w:val="20"/>
                <w:lang w:eastAsia="en-AU"/>
              </w:rPr>
              <w:t>CHC30121 </w:t>
            </w:r>
          </w:p>
        </w:tc>
        <w:tc>
          <w:tcPr>
            <w:tcW w:w="4283" w:type="dxa"/>
            <w:hideMark/>
          </w:tcPr>
          <w:p w14:paraId="7D756210" w14:textId="77777777" w:rsidR="00846EE4" w:rsidRPr="00846EE4" w:rsidRDefault="00846EE4" w:rsidP="00846EE4">
            <w:pPr>
              <w:textAlignment w:val="baseline"/>
              <w:rPr>
                <w:rFonts w:eastAsia="Times New Roman" w:cs="Arial"/>
                <w:sz w:val="20"/>
                <w:szCs w:val="20"/>
                <w:lang w:eastAsia="en-AU"/>
              </w:rPr>
            </w:pPr>
            <w:r w:rsidRPr="00846EE4">
              <w:rPr>
                <w:rFonts w:eastAsia="Times New Roman" w:cs="Arial"/>
                <w:color w:val="000000"/>
                <w:sz w:val="20"/>
                <w:szCs w:val="20"/>
                <w:lang w:eastAsia="en-AU"/>
              </w:rPr>
              <w:t>Certificate III in Early Childhood Education and Care </w:t>
            </w:r>
          </w:p>
        </w:tc>
        <w:tc>
          <w:tcPr>
            <w:tcW w:w="1488" w:type="dxa"/>
            <w:hideMark/>
          </w:tcPr>
          <w:p w14:paraId="1B3FEA70" w14:textId="77777777" w:rsidR="00846EE4" w:rsidRPr="00846EE4" w:rsidRDefault="00846EE4" w:rsidP="00846EE4">
            <w:pPr>
              <w:jc w:val="right"/>
              <w:textAlignment w:val="baseline"/>
              <w:rPr>
                <w:rFonts w:eastAsia="Times New Roman" w:cs="Arial"/>
                <w:sz w:val="20"/>
                <w:szCs w:val="20"/>
                <w:lang w:eastAsia="en-AU"/>
              </w:rPr>
            </w:pPr>
            <w:r w:rsidRPr="00846EE4">
              <w:rPr>
                <w:rFonts w:eastAsia="Times New Roman" w:cs="Arial"/>
                <w:color w:val="000000"/>
                <w:sz w:val="20"/>
                <w:szCs w:val="20"/>
                <w:lang w:eastAsia="en-AU"/>
              </w:rPr>
              <w:t> 35,265  </w:t>
            </w:r>
          </w:p>
        </w:tc>
        <w:tc>
          <w:tcPr>
            <w:tcW w:w="1608" w:type="dxa"/>
            <w:hideMark/>
          </w:tcPr>
          <w:p w14:paraId="7E119071" w14:textId="77777777" w:rsidR="00846EE4" w:rsidRPr="00846EE4" w:rsidRDefault="00846EE4" w:rsidP="00846EE4">
            <w:pPr>
              <w:jc w:val="right"/>
              <w:textAlignment w:val="baseline"/>
              <w:rPr>
                <w:rFonts w:eastAsia="Times New Roman" w:cs="Arial"/>
                <w:sz w:val="20"/>
                <w:szCs w:val="20"/>
                <w:lang w:eastAsia="en-AU"/>
              </w:rPr>
            </w:pPr>
            <w:r w:rsidRPr="00846EE4">
              <w:rPr>
                <w:rFonts w:eastAsia="Times New Roman" w:cs="Arial"/>
                <w:color w:val="000000"/>
                <w:sz w:val="20"/>
                <w:szCs w:val="20"/>
                <w:lang w:eastAsia="en-AU"/>
              </w:rPr>
              <w:t>31% </w:t>
            </w:r>
          </w:p>
        </w:tc>
      </w:tr>
      <w:tr w:rsidR="00846EE4" w:rsidRPr="00846EE4" w14:paraId="51564B35" w14:textId="77777777" w:rsidTr="005F6ADC">
        <w:trPr>
          <w:trHeight w:val="300"/>
        </w:trPr>
        <w:tc>
          <w:tcPr>
            <w:tcW w:w="1641" w:type="dxa"/>
            <w:hideMark/>
          </w:tcPr>
          <w:p w14:paraId="4A288B52" w14:textId="77777777" w:rsidR="00846EE4" w:rsidRPr="00846EE4" w:rsidRDefault="00846EE4" w:rsidP="00846EE4">
            <w:pPr>
              <w:textAlignment w:val="baseline"/>
              <w:rPr>
                <w:rFonts w:eastAsia="Times New Roman" w:cs="Arial"/>
                <w:sz w:val="20"/>
                <w:szCs w:val="20"/>
                <w:lang w:eastAsia="en-AU"/>
              </w:rPr>
            </w:pPr>
            <w:r w:rsidRPr="00846EE4">
              <w:rPr>
                <w:rFonts w:eastAsia="Times New Roman" w:cs="Arial"/>
                <w:color w:val="000000"/>
                <w:sz w:val="20"/>
                <w:szCs w:val="20"/>
                <w:lang w:eastAsia="en-AU"/>
              </w:rPr>
              <w:t>Total </w:t>
            </w:r>
          </w:p>
        </w:tc>
        <w:tc>
          <w:tcPr>
            <w:tcW w:w="4283" w:type="dxa"/>
            <w:hideMark/>
          </w:tcPr>
          <w:p w14:paraId="1075B3A4" w14:textId="77777777" w:rsidR="00846EE4" w:rsidRPr="00846EE4" w:rsidRDefault="00846EE4" w:rsidP="00846EE4">
            <w:pPr>
              <w:jc w:val="right"/>
              <w:textAlignment w:val="baseline"/>
              <w:rPr>
                <w:rFonts w:eastAsia="Times New Roman" w:cs="Arial"/>
                <w:sz w:val="20"/>
                <w:szCs w:val="20"/>
                <w:lang w:eastAsia="en-AU"/>
              </w:rPr>
            </w:pPr>
            <w:r w:rsidRPr="00846EE4">
              <w:rPr>
                <w:rFonts w:eastAsia="Times New Roman" w:cs="Arial"/>
                <w:color w:val="000000"/>
                <w:sz w:val="20"/>
                <w:szCs w:val="20"/>
                <w:lang w:eastAsia="en-AU"/>
              </w:rPr>
              <w:t> </w:t>
            </w:r>
          </w:p>
        </w:tc>
        <w:tc>
          <w:tcPr>
            <w:tcW w:w="1488" w:type="dxa"/>
            <w:hideMark/>
          </w:tcPr>
          <w:p w14:paraId="0E7965CF" w14:textId="77777777" w:rsidR="00846EE4" w:rsidRPr="00846EE4" w:rsidRDefault="00846EE4" w:rsidP="00846EE4">
            <w:pPr>
              <w:jc w:val="right"/>
              <w:textAlignment w:val="baseline"/>
              <w:rPr>
                <w:rFonts w:eastAsia="Times New Roman" w:cs="Arial"/>
                <w:sz w:val="20"/>
                <w:szCs w:val="20"/>
                <w:lang w:eastAsia="en-AU"/>
              </w:rPr>
            </w:pPr>
            <w:r w:rsidRPr="00846EE4">
              <w:rPr>
                <w:rFonts w:eastAsia="Times New Roman" w:cs="Arial"/>
                <w:color w:val="000000"/>
                <w:sz w:val="20"/>
                <w:szCs w:val="20"/>
                <w:lang w:eastAsia="en-AU"/>
              </w:rPr>
              <w:t>113,095  </w:t>
            </w:r>
          </w:p>
        </w:tc>
        <w:tc>
          <w:tcPr>
            <w:tcW w:w="1608" w:type="dxa"/>
            <w:hideMark/>
          </w:tcPr>
          <w:p w14:paraId="624377C2" w14:textId="77777777" w:rsidR="00846EE4" w:rsidRPr="00846EE4" w:rsidRDefault="00846EE4" w:rsidP="00846EE4">
            <w:pPr>
              <w:jc w:val="right"/>
              <w:textAlignment w:val="baseline"/>
              <w:rPr>
                <w:rFonts w:eastAsia="Times New Roman" w:cs="Arial"/>
                <w:sz w:val="20"/>
                <w:szCs w:val="20"/>
                <w:lang w:eastAsia="en-AU"/>
              </w:rPr>
            </w:pPr>
            <w:r w:rsidRPr="00846EE4">
              <w:rPr>
                <w:rFonts w:eastAsia="Times New Roman" w:cs="Arial"/>
                <w:color w:val="000000"/>
                <w:sz w:val="20"/>
                <w:szCs w:val="20"/>
                <w:lang w:eastAsia="en-AU"/>
              </w:rPr>
              <w:t>100% </w:t>
            </w:r>
          </w:p>
        </w:tc>
      </w:tr>
    </w:tbl>
    <w:p w14:paraId="76900226" w14:textId="77777777" w:rsidR="00846EE4" w:rsidRPr="00846EE4" w:rsidRDefault="00846EE4" w:rsidP="00701210">
      <w:pPr>
        <w:pStyle w:val="Source"/>
        <w:rPr>
          <w:bCs/>
        </w:rPr>
      </w:pPr>
      <w:r w:rsidRPr="00846EE4">
        <w:t xml:space="preserve">Source </w:t>
      </w:r>
      <w:r w:rsidRPr="00846EE4">
        <w:rPr>
          <w:lang w:eastAsia="en-AU"/>
        </w:rPr>
        <w:t>NCVER 2023, Total VET students and courses 2022</w:t>
      </w:r>
    </w:p>
    <w:p w14:paraId="1B20594F" w14:textId="77777777" w:rsidR="00846EE4" w:rsidRPr="00846EE4" w:rsidRDefault="00846EE4" w:rsidP="00846EE4">
      <w:r w:rsidRPr="00846EE4">
        <w:t>According to National Centre for Vocational Education Research (NCVER) data, in 2022:</w:t>
      </w:r>
    </w:p>
    <w:p w14:paraId="430EF893" w14:textId="77777777" w:rsidR="00846EE4" w:rsidRPr="00846EE4" w:rsidRDefault="00846EE4" w:rsidP="00701210">
      <w:pPr>
        <w:pStyle w:val="ListBullet"/>
      </w:pPr>
      <w:r w:rsidRPr="00846EE4">
        <w:t>94% of ECEC VET students are female,</w:t>
      </w:r>
    </w:p>
    <w:p w14:paraId="3063072E" w14:textId="77777777" w:rsidR="00846EE4" w:rsidRPr="00846EE4" w:rsidRDefault="00846EE4" w:rsidP="00701210">
      <w:pPr>
        <w:pStyle w:val="ListBullet"/>
      </w:pPr>
      <w:r w:rsidRPr="00846EE4">
        <w:t>50% enrolled in Certificate III programs are employed,</w:t>
      </w:r>
    </w:p>
    <w:p w14:paraId="62173924" w14:textId="77777777" w:rsidR="00846EE4" w:rsidRPr="00846EE4" w:rsidRDefault="00846EE4" w:rsidP="00701210">
      <w:pPr>
        <w:pStyle w:val="ListBullet"/>
      </w:pPr>
      <w:r w:rsidRPr="00846EE4">
        <w:t>59% of Diploma CHC50113 and 72% of Diploma CHC50121 are employed, and</w:t>
      </w:r>
    </w:p>
    <w:p w14:paraId="2FF7F438" w14:textId="77777777" w:rsidR="00846EE4" w:rsidRPr="00846EE4" w:rsidRDefault="00846EE4" w:rsidP="00701210">
      <w:pPr>
        <w:pStyle w:val="ListBullet"/>
      </w:pPr>
      <w:r w:rsidRPr="00846EE4">
        <w:t xml:space="preserve">7% of students reported having a disability. </w:t>
      </w:r>
    </w:p>
    <w:p w14:paraId="5660CF86" w14:textId="4A0427DA" w:rsidR="00846EE4" w:rsidRPr="00846EE4" w:rsidRDefault="00846EE4" w:rsidP="00846EE4">
      <w:pPr>
        <w:spacing w:line="240" w:lineRule="atLeast"/>
        <w:rPr>
          <w:rFonts w:eastAsia="SimSun" w:cs="Times New Roman"/>
          <w:spacing w:val="-1"/>
          <w:szCs w:val="20"/>
          <w:lang w:val="en-GB" w:eastAsia="en-GB"/>
        </w:rPr>
      </w:pPr>
      <w:r w:rsidRPr="00846EE4">
        <w:rPr>
          <w:rFonts w:eastAsia="SimSun" w:cs="Times New Roman"/>
          <w:spacing w:val="-1"/>
          <w:szCs w:val="20"/>
          <w:lang w:val="en-GB" w:eastAsia="en-GB"/>
        </w:rPr>
        <w:t xml:space="preserve">Compared to the ECEC workforce, where ABS Census 2021 shows the average age to be 41, those studying ECEC are relatively young: 43% of ECEC VET students are under 25 and 83% are under 40. In 2022, </w:t>
      </w:r>
      <w:proofErr w:type="gramStart"/>
      <w:r w:rsidRPr="00846EE4">
        <w:rPr>
          <w:rFonts w:eastAsia="SimSun" w:cs="Times New Roman"/>
          <w:spacing w:val="-1"/>
          <w:szCs w:val="20"/>
          <w:lang w:val="en-GB" w:eastAsia="en-GB"/>
        </w:rPr>
        <w:t>school based</w:t>
      </w:r>
      <w:proofErr w:type="gramEnd"/>
      <w:r w:rsidRPr="00846EE4">
        <w:rPr>
          <w:rFonts w:eastAsia="SimSun" w:cs="Times New Roman"/>
          <w:spacing w:val="-1"/>
          <w:szCs w:val="20"/>
          <w:lang w:val="en-GB" w:eastAsia="en-GB"/>
        </w:rPr>
        <w:t xml:space="preserve"> learning contributes around 1 in 7 of these students, with 14% of Certificate III students also studying at school, though only 1% of Diploma students are at school.</w:t>
      </w:r>
    </w:p>
    <w:p w14:paraId="5B0636F2" w14:textId="77777777" w:rsidR="00846EE4" w:rsidRPr="00846EE4" w:rsidRDefault="00846EE4" w:rsidP="00846EE4">
      <w:r w:rsidRPr="00846EE4">
        <w:t xml:space="preserve">The highest proportion of students (64%) are based in Australia’s major cities, followed by inner regional areas (18%), outer regional areas (8%), and remote and very remote regions (2%) – the remainder are unknown. </w:t>
      </w:r>
    </w:p>
    <w:p w14:paraId="1876D801" w14:textId="77777777" w:rsidR="00846EE4" w:rsidRPr="00846EE4" w:rsidRDefault="00846EE4" w:rsidP="00846EE4">
      <w:r w:rsidRPr="00846EE4">
        <w:t>The proportion of enrolments were consistent across the first four quintiles of relative socio-economic disadvantage (approximately 20%), where 12% of students fall into the most advantaged group (the remainder are unknown) based on address at time of enrolment.</w:t>
      </w:r>
    </w:p>
    <w:p w14:paraId="22495C08" w14:textId="77777777" w:rsidR="00846EE4" w:rsidRPr="00846EE4" w:rsidRDefault="00846EE4" w:rsidP="00846EE4">
      <w:r w:rsidRPr="00846EE4">
        <w:t>More than half (57%) of all students were born in Australia. Of all those born overseas, the highest enrolments were among students born in India (8,275), China (3,795), Philippines (2,960), New Zealand, (1,755), Pakistan (1,750), Nepal, (1,515), Sri Lanka (1,240), Bangladesh (1,190), Vietnam (1,135), and England (1,085). First Nations students constitute 5% of Certificate III and Diploma courses. Students who speak a main language other than English make up 28%.</w:t>
      </w:r>
    </w:p>
    <w:p w14:paraId="735C6530" w14:textId="77777777" w:rsidR="00846EE4" w:rsidRPr="00846EE4" w:rsidRDefault="00846EE4" w:rsidP="00846EE4">
      <w:r w:rsidRPr="00846EE4">
        <w:br w:type="page"/>
      </w:r>
    </w:p>
    <w:p w14:paraId="3AA2CAD0" w14:textId="77777777" w:rsidR="00846EE4" w:rsidRPr="00846EE4" w:rsidRDefault="00846EE4" w:rsidP="00846EE4">
      <w:pPr>
        <w:pStyle w:val="Heading4"/>
        <w:rPr>
          <w:highlight w:val="yellow"/>
        </w:rPr>
      </w:pPr>
      <w:r w:rsidRPr="00846EE4">
        <w:lastRenderedPageBreak/>
        <w:t>Higher Education</w:t>
      </w:r>
    </w:p>
    <w:p w14:paraId="124B6874" w14:textId="34DB283A" w:rsidR="00846EE4" w:rsidRPr="00846EE4" w:rsidRDefault="00846EE4" w:rsidP="00846EE4">
      <w:r w:rsidRPr="00846EE4">
        <w:t xml:space="preserve">Enrolments in ECEC higher education courses have rebounded after COVID-19. However, completions in undergraduate early childhood teaching courses were significantly impacted by placement barriers during the COVID-19 pandemic. Higher education enrolments have increased over the last ten years as shown with significant growth in postgraduate pathways over the last ten years in </w:t>
      </w:r>
      <w:r w:rsidRPr="00846EE4">
        <w:fldChar w:fldCharType="begin" w:fldLock="1"/>
      </w:r>
      <w:r w:rsidRPr="00846EE4">
        <w:instrText xml:space="preserve"> REF _Ref168315720 \h </w:instrText>
      </w:r>
      <w:r w:rsidRPr="00846EE4">
        <w:fldChar w:fldCharType="separate"/>
      </w:r>
      <w:r w:rsidRPr="00846EE4">
        <w:t>Figure 3.</w:t>
      </w:r>
      <w:r w:rsidRPr="00846EE4">
        <w:rPr>
          <w:noProof/>
        </w:rPr>
        <w:t>2</w:t>
      </w:r>
      <w:r w:rsidRPr="00846EE4">
        <w:fldChar w:fldCharType="end"/>
      </w:r>
      <w:r w:rsidRPr="00846EE4">
        <w:t xml:space="preserve"> above.</w:t>
      </w:r>
    </w:p>
    <w:p w14:paraId="71F2EA47" w14:textId="77777777" w:rsidR="00846EE4" w:rsidRPr="00846EE4" w:rsidRDefault="00846EE4" w:rsidP="00846EE4">
      <w:r w:rsidRPr="00846EE4">
        <w:t>Higher education providers report the basis of admission for courses</w:t>
      </w:r>
      <w:r w:rsidRPr="00846EE4">
        <w:rPr>
          <w:vertAlign w:val="superscript"/>
        </w:rPr>
        <w:footnoteReference w:id="50"/>
      </w:r>
      <w:r w:rsidRPr="00846EE4">
        <w:t xml:space="preserve">, which shows pathways into ECEC courses that differ from other areas of study. For public </w:t>
      </w:r>
      <w:proofErr w:type="gramStart"/>
      <w:r w:rsidRPr="00846EE4">
        <w:t>universities  had</w:t>
      </w:r>
      <w:proofErr w:type="gramEnd"/>
      <w:r w:rsidRPr="00846EE4">
        <w:t xml:space="preserve"> higher rates of work and life experience (meaning fewer students enter education straight out of school) for ECEC courses (17%) compared to all (13%). Higher education ECEC courses have a much higher proportion of students who reported using VET as the basis for their admission compared to all other undergraduate degrees (DoE, Custom data request 23_526). Correspondingly, there were much lower rates of ATAR-only admissions for ECEC at just 6% against 29.5% for all courses</w:t>
      </w:r>
      <w:r w:rsidRPr="00846EE4" w:rsidDel="267C0303">
        <w:t>.</w:t>
      </w:r>
      <w:r w:rsidRPr="00846EE4">
        <w:t xml:space="preserve"> Despite this, movement between sectors is obstructed by the lack of well-established pathways and/or credit agreement pathways from VET to higher education.</w:t>
      </w:r>
    </w:p>
    <w:p w14:paraId="0F129238" w14:textId="77777777" w:rsidR="00846EE4" w:rsidRPr="00846EE4" w:rsidRDefault="00846EE4" w:rsidP="00846EE4">
      <w:r w:rsidRPr="00846EE4">
        <w:t xml:space="preserve">Entry requirements vary considerably for single (e.g. ECT only) or dual pathway (e.g. ECT and Primary) degrees, with ATAR entrance scores ranging anywhere from 60 to mid 80. Additionally, international students are required to meet the English language requirements of International English Language Testing System (IELTS) Academic of 7 and above, however this may vary between institutions. </w:t>
      </w:r>
    </w:p>
    <w:p w14:paraId="56801B86" w14:textId="77777777" w:rsidR="00846EE4" w:rsidRPr="00846EE4" w:rsidRDefault="00846EE4" w:rsidP="00846EE4">
      <w:r w:rsidRPr="00846EE4">
        <w:t>In 2021 there were 19,500 students enrolled in higher education institutions to pursue ECEC:</w:t>
      </w:r>
    </w:p>
    <w:p w14:paraId="0BACD1D4" w14:textId="77777777" w:rsidR="00846EE4" w:rsidRPr="00846EE4" w:rsidRDefault="00846EE4" w:rsidP="00701210">
      <w:pPr>
        <w:pStyle w:val="ListBullet"/>
      </w:pPr>
      <w:r w:rsidRPr="00846EE4">
        <w:t>83% were taking undergraduate degrees,</w:t>
      </w:r>
    </w:p>
    <w:p w14:paraId="7FFA65F0" w14:textId="77777777" w:rsidR="00846EE4" w:rsidRPr="00846EE4" w:rsidRDefault="00846EE4" w:rsidP="00701210">
      <w:pPr>
        <w:pStyle w:val="ListBullet"/>
      </w:pPr>
      <w:r w:rsidRPr="00846EE4">
        <w:t>97% of undergraduate and 91% of postgraduate ECEC students were female,</w:t>
      </w:r>
    </w:p>
    <w:p w14:paraId="4425A3AB" w14:textId="77777777" w:rsidR="00846EE4" w:rsidRPr="00846EE4" w:rsidRDefault="00846EE4" w:rsidP="00701210">
      <w:pPr>
        <w:pStyle w:val="ListBullet"/>
      </w:pPr>
      <w:r w:rsidRPr="00846EE4">
        <w:t>88% of all students were enrolled in public universities, and</w:t>
      </w:r>
    </w:p>
    <w:p w14:paraId="7304BE25" w14:textId="77777777" w:rsidR="00846EE4" w:rsidRPr="00846EE4" w:rsidRDefault="00846EE4" w:rsidP="00701210">
      <w:pPr>
        <w:pStyle w:val="ListBullet"/>
      </w:pPr>
      <w:r w:rsidRPr="00846EE4">
        <w:t xml:space="preserve">97% of postgraduate students study in public universities. </w:t>
      </w:r>
    </w:p>
    <w:p w14:paraId="17FF8848" w14:textId="77777777" w:rsidR="00846EE4" w:rsidRPr="00846EE4" w:rsidRDefault="00846EE4" w:rsidP="00846EE4">
      <w:r w:rsidRPr="00846EE4">
        <w:t>Most ECEC students are from mid socio-economic status locations – 47% of undergraduates and 31% of postgraduates (though for a very high percentage of postgraduate enrolments socio-economic status of their entry location is unknown). One-fifth (21%) of ECEC undergraduate students and 9% of postgraduates are from low socio-economic status locations and 16% of all ECEC students are from high socio-economic status locations, a figure that is based on similar figures among undergraduate (15%) and postgraduate (17%) cohorts.</w:t>
      </w:r>
    </w:p>
    <w:p w14:paraId="411BE8EE" w14:textId="77777777" w:rsidR="00846EE4" w:rsidRPr="00846EE4" w:rsidRDefault="00846EE4" w:rsidP="00846EE4">
      <w:r w:rsidRPr="00846EE4">
        <w:t>Most enrolments are domestic students, though this is much higher at undergraduate (83%) than at postgraduate (58%) levels. Approximately 1 in 8 (12%) ECEC students at higher education level speak a language other than English at home – this is higher amongst postgraduates, where 16% speak a language other than English. First Nations people constitute 2% of enrolments, almost all are enrolled on undergraduate degrees.</w:t>
      </w:r>
    </w:p>
    <w:p w14:paraId="66C3C3D5" w14:textId="77777777" w:rsidR="00846EE4" w:rsidRPr="00846EE4" w:rsidRDefault="00846EE4" w:rsidP="00846EE4">
      <w:pPr>
        <w:keepLines/>
      </w:pPr>
      <w:bookmarkStart w:id="137" w:name="_Int_UWG9N3LV"/>
      <w:proofErr w:type="gramStart"/>
      <w:r w:rsidRPr="00846EE4">
        <w:lastRenderedPageBreak/>
        <w:t>Four year</w:t>
      </w:r>
      <w:bookmarkEnd w:id="137"/>
      <w:proofErr w:type="gramEnd"/>
      <w:r w:rsidRPr="00846EE4">
        <w:t xml:space="preserve"> completion rates for higher education courses are shown </w:t>
      </w:r>
      <w:r w:rsidRPr="00846EE4" w:rsidDel="267C0303">
        <w:t>in</w:t>
      </w:r>
      <w:r w:rsidRPr="00846EE4">
        <w:t xml:space="preserve"> </w:t>
      </w:r>
      <w:r w:rsidRPr="00846EE4">
        <w:fldChar w:fldCharType="begin" w:fldLock="1"/>
      </w:r>
      <w:r w:rsidRPr="00846EE4">
        <w:instrText xml:space="preserve"> REF _Ref168317122 \h </w:instrText>
      </w:r>
      <w:r w:rsidRPr="00846EE4">
        <w:fldChar w:fldCharType="separate"/>
      </w:r>
      <w:r w:rsidRPr="00846EE4">
        <w:t>Table 3.</w:t>
      </w:r>
      <w:r w:rsidRPr="00846EE4">
        <w:rPr>
          <w:noProof/>
        </w:rPr>
        <w:t>4</w:t>
      </w:r>
      <w:r w:rsidRPr="00846EE4">
        <w:fldChar w:fldCharType="end"/>
      </w:r>
      <w:r w:rsidRPr="00846EE4">
        <w:t xml:space="preserve">. ECEC course completions have been steady against the </w:t>
      </w:r>
      <w:proofErr w:type="gramStart"/>
      <w:r w:rsidRPr="00846EE4">
        <w:t>all course</w:t>
      </w:r>
      <w:proofErr w:type="gramEnd"/>
      <w:r w:rsidRPr="00846EE4">
        <w:t xml:space="preserve"> undergraduate rates but dipped for the 2018 commencing cohort who had their final study years during the COVID-19 pandemic and experienced placement disruptions. </w:t>
      </w:r>
    </w:p>
    <w:p w14:paraId="7F3CA641" w14:textId="3452D24E" w:rsidR="00846EE4" w:rsidRPr="00846EE4" w:rsidRDefault="00846EE4" w:rsidP="00701210">
      <w:pPr>
        <w:pStyle w:val="Caption"/>
      </w:pPr>
      <w:bookmarkStart w:id="138" w:name="_Ref168317122"/>
      <w:r w:rsidRPr="00846EE4">
        <w:t>Table 3.</w:t>
      </w:r>
      <w:r w:rsidRPr="00846EE4">
        <w:fldChar w:fldCharType="begin"/>
      </w:r>
      <w:r w:rsidRPr="00846EE4">
        <w:instrText xml:space="preserve"> SEQ Table \* ARABIC \s 1 </w:instrText>
      </w:r>
      <w:r w:rsidRPr="00846EE4">
        <w:fldChar w:fldCharType="separate"/>
      </w:r>
      <w:r w:rsidR="005F18C1">
        <w:rPr>
          <w:noProof/>
        </w:rPr>
        <w:t>4</w:t>
      </w:r>
      <w:r w:rsidRPr="00846EE4">
        <w:fldChar w:fldCharType="end"/>
      </w:r>
      <w:bookmarkEnd w:id="138"/>
      <w:r w:rsidRPr="00846EE4">
        <w:t xml:space="preserve">: </w:t>
      </w:r>
      <w:bookmarkStart w:id="139" w:name="_Int_yegfLqb8"/>
      <w:proofErr w:type="gramStart"/>
      <w:r w:rsidRPr="00846EE4">
        <w:t>Four year</w:t>
      </w:r>
      <w:bookmarkEnd w:id="139"/>
      <w:proofErr w:type="gramEnd"/>
      <w:r w:rsidRPr="00846EE4">
        <w:t xml:space="preserve"> undergraduate completion rates, time series</w:t>
      </w:r>
      <w:r w:rsidRPr="00846EE4">
        <w:rPr>
          <w:vertAlign w:val="superscript"/>
        </w:rPr>
        <w:footnoteReference w:id="51"/>
      </w:r>
    </w:p>
    <w:tbl>
      <w:tblPr>
        <w:tblStyle w:val="JSATable1"/>
        <w:tblW w:w="5000" w:type="pct"/>
        <w:tblLayout w:type="fixed"/>
        <w:tblLook w:val="04A0" w:firstRow="1" w:lastRow="0" w:firstColumn="1" w:lastColumn="0" w:noHBand="0" w:noVBand="1"/>
      </w:tblPr>
      <w:tblGrid>
        <w:gridCol w:w="1560"/>
        <w:gridCol w:w="746"/>
        <w:gridCol w:w="747"/>
        <w:gridCol w:w="747"/>
        <w:gridCol w:w="746"/>
        <w:gridCol w:w="747"/>
        <w:gridCol w:w="747"/>
        <w:gridCol w:w="746"/>
        <w:gridCol w:w="747"/>
        <w:gridCol w:w="747"/>
        <w:gridCol w:w="746"/>
      </w:tblGrid>
      <w:tr w:rsidR="00A2332E" w:rsidRPr="00846EE4" w14:paraId="510F8DFA" w14:textId="77777777" w:rsidTr="005F6ADC">
        <w:trPr>
          <w:cnfStyle w:val="100000000000" w:firstRow="1" w:lastRow="0" w:firstColumn="0" w:lastColumn="0" w:oddVBand="0" w:evenVBand="0" w:oddHBand="0" w:evenHBand="0" w:firstRowFirstColumn="0" w:firstRowLastColumn="0" w:lastRowFirstColumn="0" w:lastRowLastColumn="0"/>
          <w:trHeight w:val="280"/>
        </w:trPr>
        <w:tc>
          <w:tcPr>
            <w:tcW w:w="864" w:type="pct"/>
          </w:tcPr>
          <w:p w14:paraId="54C310AF" w14:textId="77777777" w:rsidR="00846EE4" w:rsidRPr="00846EE4" w:rsidRDefault="00846EE4" w:rsidP="00846EE4">
            <w:pPr>
              <w:jc w:val="center"/>
              <w:rPr>
                <w:rFonts w:asciiTheme="minorHAnsi" w:eastAsia="Times New Roman" w:hAnsiTheme="minorHAnsi" w:cstheme="minorHAnsi"/>
                <w:i/>
                <w:color w:val="FFFFFF" w:themeColor="background1"/>
                <w:sz w:val="19"/>
                <w:szCs w:val="19"/>
                <w:lang w:eastAsia="en-AU"/>
              </w:rPr>
            </w:pPr>
            <w:r w:rsidRPr="00846EE4">
              <w:rPr>
                <w:rFonts w:asciiTheme="minorHAnsi" w:eastAsia="Times New Roman" w:hAnsiTheme="minorHAnsi" w:cstheme="minorHAnsi"/>
                <w:i/>
                <w:color w:val="FFFFFF" w:themeColor="background1"/>
                <w:sz w:val="19"/>
                <w:szCs w:val="19"/>
                <w:lang w:eastAsia="en-AU"/>
              </w:rPr>
              <w:t>Commencement year</w:t>
            </w:r>
          </w:p>
        </w:tc>
        <w:tc>
          <w:tcPr>
            <w:tcW w:w="413" w:type="pct"/>
            <w:noWrap/>
            <w:hideMark/>
          </w:tcPr>
          <w:p w14:paraId="5A63FA31" w14:textId="77777777" w:rsidR="00846EE4" w:rsidRPr="00846EE4" w:rsidRDefault="00846EE4" w:rsidP="00846EE4">
            <w:pPr>
              <w:jc w:val="center"/>
              <w:rPr>
                <w:rFonts w:asciiTheme="minorHAnsi" w:eastAsia="Times New Roman" w:hAnsiTheme="minorHAnsi" w:cstheme="minorHAnsi"/>
                <w:color w:val="FFFFFF" w:themeColor="background1"/>
                <w:sz w:val="19"/>
                <w:szCs w:val="19"/>
                <w:lang w:eastAsia="en-AU"/>
              </w:rPr>
            </w:pPr>
            <w:r w:rsidRPr="00846EE4">
              <w:rPr>
                <w:rFonts w:asciiTheme="minorHAnsi" w:eastAsia="Times New Roman" w:hAnsiTheme="minorHAnsi" w:cstheme="minorHAnsi"/>
                <w:color w:val="FFFFFF" w:themeColor="background1"/>
                <w:sz w:val="19"/>
                <w:szCs w:val="19"/>
                <w:lang w:eastAsia="en-AU"/>
              </w:rPr>
              <w:t>2010</w:t>
            </w:r>
          </w:p>
        </w:tc>
        <w:tc>
          <w:tcPr>
            <w:tcW w:w="414" w:type="pct"/>
            <w:noWrap/>
            <w:hideMark/>
          </w:tcPr>
          <w:p w14:paraId="488203DD" w14:textId="77777777" w:rsidR="00846EE4" w:rsidRPr="00846EE4" w:rsidRDefault="00846EE4" w:rsidP="00846EE4">
            <w:pPr>
              <w:jc w:val="center"/>
              <w:rPr>
                <w:rFonts w:asciiTheme="minorHAnsi" w:eastAsia="Times New Roman" w:hAnsiTheme="minorHAnsi" w:cstheme="minorHAnsi"/>
                <w:color w:val="FFFFFF" w:themeColor="background1"/>
                <w:sz w:val="19"/>
                <w:szCs w:val="19"/>
                <w:lang w:eastAsia="en-AU"/>
              </w:rPr>
            </w:pPr>
            <w:r w:rsidRPr="00846EE4">
              <w:rPr>
                <w:rFonts w:asciiTheme="minorHAnsi" w:eastAsia="Times New Roman" w:hAnsiTheme="minorHAnsi" w:cstheme="minorHAnsi"/>
                <w:color w:val="FFFFFF" w:themeColor="background1"/>
                <w:sz w:val="19"/>
                <w:szCs w:val="19"/>
                <w:lang w:eastAsia="en-AU"/>
              </w:rPr>
              <w:t>2011</w:t>
            </w:r>
          </w:p>
        </w:tc>
        <w:tc>
          <w:tcPr>
            <w:tcW w:w="414" w:type="pct"/>
            <w:noWrap/>
            <w:hideMark/>
          </w:tcPr>
          <w:p w14:paraId="3EDB1BDD" w14:textId="77777777" w:rsidR="00846EE4" w:rsidRPr="00846EE4" w:rsidRDefault="00846EE4" w:rsidP="00846EE4">
            <w:pPr>
              <w:jc w:val="center"/>
              <w:rPr>
                <w:rFonts w:asciiTheme="minorHAnsi" w:eastAsia="Times New Roman" w:hAnsiTheme="minorHAnsi" w:cstheme="minorHAnsi"/>
                <w:color w:val="FFFFFF" w:themeColor="background1"/>
                <w:sz w:val="19"/>
                <w:szCs w:val="19"/>
                <w:lang w:eastAsia="en-AU"/>
              </w:rPr>
            </w:pPr>
            <w:r w:rsidRPr="00846EE4">
              <w:rPr>
                <w:rFonts w:asciiTheme="minorHAnsi" w:eastAsia="Times New Roman" w:hAnsiTheme="minorHAnsi" w:cstheme="minorHAnsi"/>
                <w:color w:val="FFFFFF" w:themeColor="background1"/>
                <w:sz w:val="19"/>
                <w:szCs w:val="19"/>
                <w:lang w:eastAsia="en-AU"/>
              </w:rPr>
              <w:t>2012</w:t>
            </w:r>
          </w:p>
        </w:tc>
        <w:tc>
          <w:tcPr>
            <w:tcW w:w="413" w:type="pct"/>
            <w:noWrap/>
            <w:hideMark/>
          </w:tcPr>
          <w:p w14:paraId="76C8BA4F" w14:textId="77777777" w:rsidR="00846EE4" w:rsidRPr="00846EE4" w:rsidRDefault="00846EE4" w:rsidP="00846EE4">
            <w:pPr>
              <w:jc w:val="center"/>
              <w:rPr>
                <w:rFonts w:asciiTheme="minorHAnsi" w:eastAsia="Times New Roman" w:hAnsiTheme="minorHAnsi" w:cstheme="minorHAnsi"/>
                <w:color w:val="FFFFFF" w:themeColor="background1"/>
                <w:sz w:val="19"/>
                <w:szCs w:val="19"/>
                <w:lang w:eastAsia="en-AU"/>
              </w:rPr>
            </w:pPr>
            <w:r w:rsidRPr="00846EE4">
              <w:rPr>
                <w:rFonts w:asciiTheme="minorHAnsi" w:eastAsia="Times New Roman" w:hAnsiTheme="minorHAnsi" w:cstheme="minorHAnsi"/>
                <w:color w:val="FFFFFF" w:themeColor="background1"/>
                <w:sz w:val="19"/>
                <w:szCs w:val="19"/>
                <w:lang w:eastAsia="en-AU"/>
              </w:rPr>
              <w:t>2013</w:t>
            </w:r>
          </w:p>
        </w:tc>
        <w:tc>
          <w:tcPr>
            <w:tcW w:w="414" w:type="pct"/>
            <w:noWrap/>
            <w:hideMark/>
          </w:tcPr>
          <w:p w14:paraId="0DA05E6A" w14:textId="77777777" w:rsidR="00846EE4" w:rsidRPr="00846EE4" w:rsidRDefault="00846EE4" w:rsidP="00846EE4">
            <w:pPr>
              <w:jc w:val="center"/>
              <w:rPr>
                <w:rFonts w:asciiTheme="minorHAnsi" w:eastAsia="Times New Roman" w:hAnsiTheme="minorHAnsi" w:cstheme="minorHAnsi"/>
                <w:color w:val="FFFFFF" w:themeColor="background1"/>
                <w:sz w:val="19"/>
                <w:szCs w:val="19"/>
                <w:lang w:eastAsia="en-AU"/>
              </w:rPr>
            </w:pPr>
            <w:r w:rsidRPr="00846EE4">
              <w:rPr>
                <w:rFonts w:asciiTheme="minorHAnsi" w:eastAsia="Times New Roman" w:hAnsiTheme="minorHAnsi" w:cstheme="minorHAnsi"/>
                <w:color w:val="FFFFFF" w:themeColor="background1"/>
                <w:sz w:val="19"/>
                <w:szCs w:val="19"/>
                <w:lang w:eastAsia="en-AU"/>
              </w:rPr>
              <w:t>2014</w:t>
            </w:r>
          </w:p>
        </w:tc>
        <w:tc>
          <w:tcPr>
            <w:tcW w:w="414" w:type="pct"/>
            <w:noWrap/>
            <w:hideMark/>
          </w:tcPr>
          <w:p w14:paraId="5C52C9C5" w14:textId="77777777" w:rsidR="00846EE4" w:rsidRPr="00846EE4" w:rsidRDefault="00846EE4" w:rsidP="00846EE4">
            <w:pPr>
              <w:jc w:val="center"/>
              <w:rPr>
                <w:rFonts w:asciiTheme="minorHAnsi" w:eastAsia="Times New Roman" w:hAnsiTheme="minorHAnsi" w:cstheme="minorHAnsi"/>
                <w:color w:val="FFFFFF" w:themeColor="background1"/>
                <w:sz w:val="19"/>
                <w:szCs w:val="19"/>
                <w:lang w:eastAsia="en-AU"/>
              </w:rPr>
            </w:pPr>
            <w:r w:rsidRPr="00846EE4">
              <w:rPr>
                <w:rFonts w:asciiTheme="minorHAnsi" w:eastAsia="Times New Roman" w:hAnsiTheme="minorHAnsi" w:cstheme="minorHAnsi"/>
                <w:color w:val="FFFFFF" w:themeColor="background1"/>
                <w:sz w:val="19"/>
                <w:szCs w:val="19"/>
                <w:lang w:eastAsia="en-AU"/>
              </w:rPr>
              <w:t>2015</w:t>
            </w:r>
          </w:p>
        </w:tc>
        <w:tc>
          <w:tcPr>
            <w:tcW w:w="413" w:type="pct"/>
            <w:noWrap/>
            <w:hideMark/>
          </w:tcPr>
          <w:p w14:paraId="6F136C6C" w14:textId="77777777" w:rsidR="00846EE4" w:rsidRPr="00846EE4" w:rsidRDefault="00846EE4" w:rsidP="00846EE4">
            <w:pPr>
              <w:jc w:val="center"/>
              <w:rPr>
                <w:rFonts w:asciiTheme="minorHAnsi" w:eastAsia="Times New Roman" w:hAnsiTheme="minorHAnsi" w:cstheme="minorHAnsi"/>
                <w:color w:val="FFFFFF" w:themeColor="background1"/>
                <w:sz w:val="19"/>
                <w:szCs w:val="19"/>
                <w:lang w:eastAsia="en-AU"/>
              </w:rPr>
            </w:pPr>
            <w:r w:rsidRPr="00846EE4">
              <w:rPr>
                <w:rFonts w:asciiTheme="minorHAnsi" w:eastAsia="Times New Roman" w:hAnsiTheme="minorHAnsi" w:cstheme="minorHAnsi"/>
                <w:color w:val="FFFFFF" w:themeColor="background1"/>
                <w:sz w:val="19"/>
                <w:szCs w:val="19"/>
                <w:lang w:eastAsia="en-AU"/>
              </w:rPr>
              <w:t>2016</w:t>
            </w:r>
          </w:p>
        </w:tc>
        <w:tc>
          <w:tcPr>
            <w:tcW w:w="414" w:type="pct"/>
            <w:noWrap/>
            <w:hideMark/>
          </w:tcPr>
          <w:p w14:paraId="57334D9D" w14:textId="77777777" w:rsidR="00846EE4" w:rsidRPr="00846EE4" w:rsidRDefault="00846EE4" w:rsidP="00846EE4">
            <w:pPr>
              <w:jc w:val="center"/>
              <w:rPr>
                <w:rFonts w:asciiTheme="minorHAnsi" w:eastAsia="Times New Roman" w:hAnsiTheme="minorHAnsi" w:cstheme="minorHAnsi"/>
                <w:color w:val="FFFFFF" w:themeColor="background1"/>
                <w:sz w:val="19"/>
                <w:szCs w:val="19"/>
                <w:lang w:eastAsia="en-AU"/>
              </w:rPr>
            </w:pPr>
            <w:r w:rsidRPr="00846EE4">
              <w:rPr>
                <w:rFonts w:asciiTheme="minorHAnsi" w:eastAsia="Times New Roman" w:hAnsiTheme="minorHAnsi" w:cstheme="minorHAnsi"/>
                <w:color w:val="FFFFFF" w:themeColor="background1"/>
                <w:sz w:val="19"/>
                <w:szCs w:val="19"/>
                <w:lang w:eastAsia="en-AU"/>
              </w:rPr>
              <w:t>2017</w:t>
            </w:r>
          </w:p>
        </w:tc>
        <w:tc>
          <w:tcPr>
            <w:tcW w:w="414" w:type="pct"/>
            <w:noWrap/>
            <w:hideMark/>
          </w:tcPr>
          <w:p w14:paraId="66356CE7" w14:textId="77777777" w:rsidR="00846EE4" w:rsidRPr="00846EE4" w:rsidRDefault="00846EE4" w:rsidP="00846EE4">
            <w:pPr>
              <w:jc w:val="center"/>
              <w:rPr>
                <w:rFonts w:asciiTheme="minorHAnsi" w:eastAsia="Times New Roman" w:hAnsiTheme="minorHAnsi" w:cstheme="minorHAnsi"/>
                <w:color w:val="FFFFFF" w:themeColor="background1"/>
                <w:sz w:val="19"/>
                <w:szCs w:val="19"/>
                <w:lang w:eastAsia="en-AU"/>
              </w:rPr>
            </w:pPr>
            <w:r w:rsidRPr="00846EE4">
              <w:rPr>
                <w:rFonts w:asciiTheme="minorHAnsi" w:eastAsia="Times New Roman" w:hAnsiTheme="minorHAnsi" w:cstheme="minorHAnsi"/>
                <w:color w:val="FFFFFF" w:themeColor="background1"/>
                <w:sz w:val="19"/>
                <w:szCs w:val="19"/>
                <w:lang w:eastAsia="en-AU"/>
              </w:rPr>
              <w:t>2018</w:t>
            </w:r>
          </w:p>
        </w:tc>
        <w:tc>
          <w:tcPr>
            <w:tcW w:w="414" w:type="pct"/>
          </w:tcPr>
          <w:p w14:paraId="2A9FD733" w14:textId="77777777" w:rsidR="00846EE4" w:rsidRPr="00846EE4" w:rsidRDefault="00846EE4" w:rsidP="00846EE4">
            <w:pPr>
              <w:jc w:val="center"/>
              <w:rPr>
                <w:rFonts w:asciiTheme="minorHAnsi" w:eastAsia="Times New Roman" w:hAnsiTheme="minorHAnsi" w:cstheme="minorHAnsi"/>
                <w:color w:val="FFFFFF" w:themeColor="background1"/>
                <w:sz w:val="19"/>
                <w:szCs w:val="19"/>
                <w:lang w:eastAsia="en-AU"/>
              </w:rPr>
            </w:pPr>
            <w:r w:rsidRPr="00846EE4">
              <w:rPr>
                <w:rFonts w:asciiTheme="minorHAnsi" w:eastAsia="Times New Roman" w:hAnsiTheme="minorHAnsi" w:cstheme="minorHAnsi"/>
                <w:color w:val="FFFFFF" w:themeColor="background1"/>
                <w:sz w:val="19"/>
                <w:szCs w:val="19"/>
                <w:lang w:eastAsia="en-AU"/>
              </w:rPr>
              <w:t>2019</w:t>
            </w:r>
          </w:p>
        </w:tc>
      </w:tr>
      <w:tr w:rsidR="00846EE4" w:rsidRPr="00846EE4" w14:paraId="27EA8E63" w14:textId="77777777" w:rsidTr="005F6ADC">
        <w:trPr>
          <w:trHeight w:val="280"/>
        </w:trPr>
        <w:tc>
          <w:tcPr>
            <w:tcW w:w="864" w:type="pct"/>
          </w:tcPr>
          <w:p w14:paraId="5CC6907A" w14:textId="77777777" w:rsidR="00846EE4" w:rsidRPr="00846EE4" w:rsidRDefault="00846EE4" w:rsidP="00846EE4">
            <w:pPr>
              <w:jc w:val="right"/>
              <w:rPr>
                <w:rFonts w:asciiTheme="minorHAnsi" w:eastAsia="Times New Roman" w:hAnsiTheme="minorHAnsi" w:cstheme="minorHAnsi"/>
                <w:color w:val="000000"/>
                <w:sz w:val="17"/>
                <w:szCs w:val="17"/>
                <w:lang w:eastAsia="en-AU"/>
              </w:rPr>
            </w:pPr>
            <w:r w:rsidRPr="00846EE4">
              <w:rPr>
                <w:rFonts w:asciiTheme="minorHAnsi" w:hAnsiTheme="minorHAnsi" w:cstheme="minorHAnsi"/>
                <w:color w:val="112277"/>
                <w:sz w:val="17"/>
                <w:szCs w:val="17"/>
              </w:rPr>
              <w:t>Domestic ECE</w:t>
            </w:r>
          </w:p>
        </w:tc>
        <w:tc>
          <w:tcPr>
            <w:tcW w:w="413" w:type="pct"/>
            <w:noWrap/>
            <w:hideMark/>
          </w:tcPr>
          <w:p w14:paraId="48A17E4C"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eastAsia="Times New Roman" w:hAnsiTheme="minorHAnsi" w:cstheme="minorHAnsi"/>
                <w:color w:val="000000"/>
                <w:sz w:val="20"/>
                <w:szCs w:val="20"/>
                <w:lang w:eastAsia="en-AU"/>
              </w:rPr>
              <w:t>45.1</w:t>
            </w:r>
          </w:p>
        </w:tc>
        <w:tc>
          <w:tcPr>
            <w:tcW w:w="414" w:type="pct"/>
            <w:noWrap/>
            <w:hideMark/>
          </w:tcPr>
          <w:p w14:paraId="76770B9D"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eastAsia="Times New Roman" w:hAnsiTheme="minorHAnsi" w:cstheme="minorHAnsi"/>
                <w:color w:val="000000"/>
                <w:sz w:val="20"/>
                <w:szCs w:val="20"/>
                <w:lang w:eastAsia="en-AU"/>
              </w:rPr>
              <w:t>44.9</w:t>
            </w:r>
          </w:p>
        </w:tc>
        <w:tc>
          <w:tcPr>
            <w:tcW w:w="414" w:type="pct"/>
            <w:noWrap/>
            <w:hideMark/>
          </w:tcPr>
          <w:p w14:paraId="5005765A"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eastAsia="Times New Roman" w:hAnsiTheme="minorHAnsi" w:cstheme="minorHAnsi"/>
                <w:color w:val="000000"/>
                <w:sz w:val="20"/>
                <w:szCs w:val="20"/>
                <w:lang w:eastAsia="en-AU"/>
              </w:rPr>
              <w:t>44.02</w:t>
            </w:r>
          </w:p>
        </w:tc>
        <w:tc>
          <w:tcPr>
            <w:tcW w:w="413" w:type="pct"/>
            <w:noWrap/>
            <w:hideMark/>
          </w:tcPr>
          <w:p w14:paraId="7C9A3F52"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eastAsia="Times New Roman" w:hAnsiTheme="minorHAnsi" w:cstheme="minorHAnsi"/>
                <w:color w:val="000000"/>
                <w:sz w:val="20"/>
                <w:szCs w:val="20"/>
                <w:lang w:eastAsia="en-AU"/>
              </w:rPr>
              <w:t>42.9</w:t>
            </w:r>
          </w:p>
        </w:tc>
        <w:tc>
          <w:tcPr>
            <w:tcW w:w="414" w:type="pct"/>
            <w:noWrap/>
            <w:hideMark/>
          </w:tcPr>
          <w:p w14:paraId="447C2AD2"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eastAsia="Times New Roman" w:hAnsiTheme="minorHAnsi" w:cstheme="minorHAnsi"/>
                <w:color w:val="000000"/>
                <w:sz w:val="20"/>
                <w:szCs w:val="20"/>
                <w:lang w:eastAsia="en-AU"/>
              </w:rPr>
              <w:t>42.1</w:t>
            </w:r>
          </w:p>
        </w:tc>
        <w:tc>
          <w:tcPr>
            <w:tcW w:w="414" w:type="pct"/>
            <w:noWrap/>
            <w:hideMark/>
          </w:tcPr>
          <w:p w14:paraId="6A8381D8"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eastAsia="Times New Roman" w:hAnsiTheme="minorHAnsi" w:cstheme="minorHAnsi"/>
                <w:color w:val="000000"/>
                <w:sz w:val="20"/>
                <w:szCs w:val="20"/>
                <w:lang w:eastAsia="en-AU"/>
              </w:rPr>
              <w:t>41.9</w:t>
            </w:r>
          </w:p>
        </w:tc>
        <w:tc>
          <w:tcPr>
            <w:tcW w:w="413" w:type="pct"/>
            <w:noWrap/>
            <w:hideMark/>
          </w:tcPr>
          <w:p w14:paraId="52192737"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eastAsia="Times New Roman" w:hAnsiTheme="minorHAnsi" w:cstheme="minorHAnsi"/>
                <w:color w:val="000000"/>
                <w:sz w:val="20"/>
                <w:szCs w:val="20"/>
                <w:lang w:eastAsia="en-AU"/>
              </w:rPr>
              <w:t>42.6</w:t>
            </w:r>
          </w:p>
        </w:tc>
        <w:tc>
          <w:tcPr>
            <w:tcW w:w="414" w:type="pct"/>
            <w:noWrap/>
            <w:hideMark/>
          </w:tcPr>
          <w:p w14:paraId="2A024A77"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eastAsia="Times New Roman" w:hAnsiTheme="minorHAnsi" w:cstheme="minorHAnsi"/>
                <w:color w:val="000000"/>
                <w:sz w:val="20"/>
                <w:szCs w:val="20"/>
                <w:lang w:eastAsia="en-AU"/>
              </w:rPr>
              <w:t>41.3</w:t>
            </w:r>
          </w:p>
        </w:tc>
        <w:tc>
          <w:tcPr>
            <w:tcW w:w="414" w:type="pct"/>
            <w:noWrap/>
            <w:hideMark/>
          </w:tcPr>
          <w:p w14:paraId="34EF76C5"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eastAsia="Times New Roman" w:hAnsiTheme="minorHAnsi" w:cstheme="minorHAnsi"/>
                <w:color w:val="000000"/>
                <w:sz w:val="20"/>
                <w:szCs w:val="20"/>
                <w:lang w:eastAsia="en-AU"/>
              </w:rPr>
              <w:t>40.9</w:t>
            </w:r>
          </w:p>
        </w:tc>
        <w:tc>
          <w:tcPr>
            <w:tcW w:w="414" w:type="pct"/>
          </w:tcPr>
          <w:p w14:paraId="61AC3E9A"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eastAsia="Times New Roman" w:hAnsiTheme="minorHAnsi" w:cstheme="minorHAnsi"/>
                <w:color w:val="000000"/>
                <w:sz w:val="20"/>
                <w:szCs w:val="20"/>
                <w:lang w:eastAsia="en-AU"/>
              </w:rPr>
              <w:t>40.8</w:t>
            </w:r>
          </w:p>
        </w:tc>
      </w:tr>
      <w:tr w:rsidR="00A2332E" w:rsidRPr="00846EE4" w14:paraId="39D4F158" w14:textId="77777777" w:rsidTr="005F6ADC">
        <w:trPr>
          <w:cnfStyle w:val="000000010000" w:firstRow="0" w:lastRow="0" w:firstColumn="0" w:lastColumn="0" w:oddVBand="0" w:evenVBand="0" w:oddHBand="0" w:evenHBand="1" w:firstRowFirstColumn="0" w:firstRowLastColumn="0" w:lastRowFirstColumn="0" w:lastRowLastColumn="0"/>
          <w:trHeight w:val="280"/>
        </w:trPr>
        <w:tc>
          <w:tcPr>
            <w:tcW w:w="864" w:type="pct"/>
          </w:tcPr>
          <w:p w14:paraId="6C6529C7" w14:textId="77777777" w:rsidR="00846EE4" w:rsidRPr="00846EE4" w:rsidRDefault="00846EE4" w:rsidP="00846EE4">
            <w:pPr>
              <w:jc w:val="right"/>
              <w:rPr>
                <w:rFonts w:asciiTheme="minorHAnsi" w:hAnsiTheme="minorHAnsi" w:cstheme="minorHAnsi"/>
                <w:color w:val="112277"/>
                <w:sz w:val="17"/>
                <w:szCs w:val="17"/>
              </w:rPr>
            </w:pPr>
            <w:r w:rsidRPr="00846EE4">
              <w:rPr>
                <w:rFonts w:asciiTheme="minorHAnsi" w:hAnsiTheme="minorHAnsi" w:cstheme="minorHAnsi"/>
                <w:color w:val="112277"/>
                <w:sz w:val="17"/>
                <w:szCs w:val="17"/>
              </w:rPr>
              <w:t xml:space="preserve">Domestic All </w:t>
            </w:r>
          </w:p>
        </w:tc>
        <w:tc>
          <w:tcPr>
            <w:tcW w:w="413" w:type="pct"/>
            <w:noWrap/>
            <w:vAlign w:val="center"/>
          </w:tcPr>
          <w:p w14:paraId="0000B1E1"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hAnsiTheme="minorHAnsi" w:cstheme="minorHAnsi"/>
                <w:color w:val="000000"/>
                <w:sz w:val="20"/>
                <w:szCs w:val="20"/>
              </w:rPr>
              <w:t>45.3</w:t>
            </w:r>
          </w:p>
        </w:tc>
        <w:tc>
          <w:tcPr>
            <w:tcW w:w="414" w:type="pct"/>
            <w:noWrap/>
            <w:vAlign w:val="center"/>
          </w:tcPr>
          <w:p w14:paraId="35B4BE82"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hAnsiTheme="minorHAnsi" w:cstheme="minorHAnsi"/>
                <w:color w:val="000000"/>
                <w:sz w:val="20"/>
                <w:szCs w:val="20"/>
              </w:rPr>
              <w:t>45.1</w:t>
            </w:r>
          </w:p>
        </w:tc>
        <w:tc>
          <w:tcPr>
            <w:tcW w:w="414" w:type="pct"/>
            <w:noWrap/>
            <w:vAlign w:val="center"/>
          </w:tcPr>
          <w:p w14:paraId="71FD5CCA"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hAnsiTheme="minorHAnsi" w:cstheme="minorHAnsi"/>
                <w:color w:val="000000"/>
                <w:sz w:val="20"/>
                <w:szCs w:val="20"/>
              </w:rPr>
              <w:t>44.2</w:t>
            </w:r>
          </w:p>
        </w:tc>
        <w:tc>
          <w:tcPr>
            <w:tcW w:w="413" w:type="pct"/>
            <w:noWrap/>
            <w:vAlign w:val="center"/>
          </w:tcPr>
          <w:p w14:paraId="1FDD97AA"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hAnsiTheme="minorHAnsi" w:cstheme="minorHAnsi"/>
                <w:color w:val="000000"/>
                <w:sz w:val="20"/>
                <w:szCs w:val="20"/>
              </w:rPr>
              <w:t>42.9</w:t>
            </w:r>
          </w:p>
        </w:tc>
        <w:tc>
          <w:tcPr>
            <w:tcW w:w="414" w:type="pct"/>
            <w:noWrap/>
            <w:vAlign w:val="center"/>
          </w:tcPr>
          <w:p w14:paraId="131005FD"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hAnsiTheme="minorHAnsi" w:cstheme="minorHAnsi"/>
                <w:color w:val="000000"/>
                <w:sz w:val="20"/>
                <w:szCs w:val="20"/>
              </w:rPr>
              <w:t>42.0</w:t>
            </w:r>
          </w:p>
        </w:tc>
        <w:tc>
          <w:tcPr>
            <w:tcW w:w="414" w:type="pct"/>
            <w:noWrap/>
            <w:vAlign w:val="center"/>
          </w:tcPr>
          <w:p w14:paraId="68C27B59"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hAnsiTheme="minorHAnsi" w:cstheme="minorHAnsi"/>
                <w:color w:val="000000"/>
                <w:sz w:val="20"/>
                <w:szCs w:val="20"/>
              </w:rPr>
              <w:t>42.1</w:t>
            </w:r>
          </w:p>
        </w:tc>
        <w:tc>
          <w:tcPr>
            <w:tcW w:w="413" w:type="pct"/>
            <w:noWrap/>
            <w:vAlign w:val="center"/>
          </w:tcPr>
          <w:p w14:paraId="0802E744"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hAnsiTheme="minorHAnsi" w:cstheme="minorHAnsi"/>
                <w:color w:val="000000"/>
                <w:sz w:val="20"/>
                <w:szCs w:val="20"/>
              </w:rPr>
              <w:t>43.0</w:t>
            </w:r>
          </w:p>
        </w:tc>
        <w:tc>
          <w:tcPr>
            <w:tcW w:w="414" w:type="pct"/>
            <w:noWrap/>
            <w:vAlign w:val="center"/>
          </w:tcPr>
          <w:p w14:paraId="726EDEB0"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hAnsiTheme="minorHAnsi" w:cstheme="minorHAnsi"/>
                <w:color w:val="000000"/>
                <w:sz w:val="20"/>
                <w:szCs w:val="20"/>
              </w:rPr>
              <w:t>41.7</w:t>
            </w:r>
          </w:p>
        </w:tc>
        <w:tc>
          <w:tcPr>
            <w:tcW w:w="414" w:type="pct"/>
            <w:noWrap/>
            <w:vAlign w:val="center"/>
          </w:tcPr>
          <w:p w14:paraId="2261EE9D"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hAnsiTheme="minorHAnsi" w:cstheme="minorHAnsi"/>
                <w:color w:val="000000"/>
                <w:sz w:val="20"/>
                <w:szCs w:val="20"/>
              </w:rPr>
              <w:t>41.0</w:t>
            </w:r>
          </w:p>
        </w:tc>
        <w:tc>
          <w:tcPr>
            <w:tcW w:w="414" w:type="pct"/>
          </w:tcPr>
          <w:p w14:paraId="220BCD6F" w14:textId="77777777" w:rsidR="00846EE4" w:rsidRPr="00846EE4" w:rsidRDefault="00846EE4" w:rsidP="00846EE4">
            <w:pPr>
              <w:jc w:val="right"/>
              <w:rPr>
                <w:rFonts w:asciiTheme="minorHAnsi" w:hAnsiTheme="minorHAnsi" w:cstheme="minorHAnsi"/>
                <w:color w:val="000000"/>
                <w:sz w:val="20"/>
                <w:szCs w:val="20"/>
              </w:rPr>
            </w:pPr>
            <w:r w:rsidRPr="00846EE4">
              <w:rPr>
                <w:rFonts w:asciiTheme="minorHAnsi" w:hAnsiTheme="minorHAnsi" w:cstheme="minorHAnsi"/>
                <w:color w:val="000000"/>
                <w:sz w:val="20"/>
                <w:szCs w:val="20"/>
              </w:rPr>
              <w:t>40.9</w:t>
            </w:r>
          </w:p>
        </w:tc>
      </w:tr>
      <w:tr w:rsidR="00846EE4" w:rsidRPr="00846EE4" w14:paraId="38E4D49E" w14:textId="77777777" w:rsidTr="005F6ADC">
        <w:trPr>
          <w:trHeight w:val="60"/>
        </w:trPr>
        <w:tc>
          <w:tcPr>
            <w:tcW w:w="864" w:type="pct"/>
          </w:tcPr>
          <w:p w14:paraId="393B8487" w14:textId="77777777" w:rsidR="00846EE4" w:rsidRPr="00846EE4" w:rsidRDefault="00846EE4" w:rsidP="00846EE4">
            <w:pPr>
              <w:jc w:val="right"/>
              <w:rPr>
                <w:rFonts w:asciiTheme="minorHAnsi" w:eastAsia="Times New Roman" w:hAnsiTheme="minorHAnsi" w:cstheme="minorHAnsi"/>
                <w:color w:val="000000"/>
                <w:sz w:val="17"/>
                <w:szCs w:val="17"/>
                <w:lang w:eastAsia="en-AU"/>
              </w:rPr>
            </w:pPr>
            <w:r w:rsidRPr="00846EE4">
              <w:rPr>
                <w:rFonts w:asciiTheme="minorHAnsi" w:hAnsiTheme="minorHAnsi" w:cstheme="minorHAnsi"/>
                <w:color w:val="112277"/>
                <w:sz w:val="17"/>
                <w:szCs w:val="17"/>
              </w:rPr>
              <w:t>International ECE</w:t>
            </w:r>
          </w:p>
        </w:tc>
        <w:tc>
          <w:tcPr>
            <w:tcW w:w="413" w:type="pct"/>
            <w:noWrap/>
            <w:hideMark/>
          </w:tcPr>
          <w:p w14:paraId="3B57F46D"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eastAsia="Times New Roman" w:hAnsiTheme="minorHAnsi" w:cstheme="minorHAnsi"/>
                <w:color w:val="000000"/>
                <w:sz w:val="20"/>
                <w:szCs w:val="20"/>
                <w:lang w:eastAsia="en-AU"/>
              </w:rPr>
              <w:t>71.0</w:t>
            </w:r>
          </w:p>
        </w:tc>
        <w:tc>
          <w:tcPr>
            <w:tcW w:w="414" w:type="pct"/>
            <w:noWrap/>
            <w:hideMark/>
          </w:tcPr>
          <w:p w14:paraId="3848DB15"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eastAsia="Times New Roman" w:hAnsiTheme="minorHAnsi" w:cstheme="minorHAnsi"/>
                <w:color w:val="000000"/>
                <w:sz w:val="20"/>
                <w:szCs w:val="20"/>
                <w:lang w:eastAsia="en-AU"/>
              </w:rPr>
              <w:t>70.6</w:t>
            </w:r>
          </w:p>
        </w:tc>
        <w:tc>
          <w:tcPr>
            <w:tcW w:w="414" w:type="pct"/>
            <w:noWrap/>
            <w:hideMark/>
          </w:tcPr>
          <w:p w14:paraId="5E09742B"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eastAsia="Times New Roman" w:hAnsiTheme="minorHAnsi" w:cstheme="minorHAnsi"/>
                <w:color w:val="000000"/>
                <w:sz w:val="20"/>
                <w:szCs w:val="20"/>
                <w:lang w:eastAsia="en-AU"/>
              </w:rPr>
              <w:t>70.7</w:t>
            </w:r>
          </w:p>
        </w:tc>
        <w:tc>
          <w:tcPr>
            <w:tcW w:w="413" w:type="pct"/>
            <w:noWrap/>
            <w:hideMark/>
          </w:tcPr>
          <w:p w14:paraId="2BBA70A9"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eastAsia="Times New Roman" w:hAnsiTheme="minorHAnsi" w:cstheme="minorHAnsi"/>
                <w:color w:val="000000"/>
                <w:sz w:val="20"/>
                <w:szCs w:val="20"/>
                <w:lang w:eastAsia="en-AU"/>
              </w:rPr>
              <w:t>71.1</w:t>
            </w:r>
          </w:p>
        </w:tc>
        <w:tc>
          <w:tcPr>
            <w:tcW w:w="414" w:type="pct"/>
            <w:noWrap/>
            <w:hideMark/>
          </w:tcPr>
          <w:p w14:paraId="2A80D179"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eastAsia="Times New Roman" w:hAnsiTheme="minorHAnsi" w:cstheme="minorHAnsi"/>
                <w:color w:val="000000"/>
                <w:sz w:val="20"/>
                <w:szCs w:val="20"/>
                <w:lang w:eastAsia="en-AU"/>
              </w:rPr>
              <w:t>70.1</w:t>
            </w:r>
          </w:p>
        </w:tc>
        <w:tc>
          <w:tcPr>
            <w:tcW w:w="414" w:type="pct"/>
            <w:noWrap/>
            <w:hideMark/>
          </w:tcPr>
          <w:p w14:paraId="2AF0CCC6"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eastAsia="Times New Roman" w:hAnsiTheme="minorHAnsi" w:cstheme="minorHAnsi"/>
                <w:color w:val="000000"/>
                <w:sz w:val="20"/>
                <w:szCs w:val="20"/>
                <w:lang w:eastAsia="en-AU"/>
              </w:rPr>
              <w:t>69.7</w:t>
            </w:r>
          </w:p>
        </w:tc>
        <w:tc>
          <w:tcPr>
            <w:tcW w:w="413" w:type="pct"/>
            <w:noWrap/>
            <w:hideMark/>
          </w:tcPr>
          <w:p w14:paraId="72EC9C25"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eastAsia="Times New Roman" w:hAnsiTheme="minorHAnsi" w:cstheme="minorHAnsi"/>
                <w:color w:val="000000"/>
                <w:sz w:val="20"/>
                <w:szCs w:val="20"/>
                <w:lang w:eastAsia="en-AU"/>
              </w:rPr>
              <w:t>70.1</w:t>
            </w:r>
          </w:p>
        </w:tc>
        <w:tc>
          <w:tcPr>
            <w:tcW w:w="414" w:type="pct"/>
            <w:noWrap/>
            <w:hideMark/>
          </w:tcPr>
          <w:p w14:paraId="7A2F3DEF"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eastAsia="Times New Roman" w:hAnsiTheme="minorHAnsi" w:cstheme="minorHAnsi"/>
                <w:color w:val="000000"/>
                <w:sz w:val="20"/>
                <w:szCs w:val="20"/>
                <w:lang w:eastAsia="en-AU"/>
              </w:rPr>
              <w:t>69.7</w:t>
            </w:r>
          </w:p>
        </w:tc>
        <w:tc>
          <w:tcPr>
            <w:tcW w:w="414" w:type="pct"/>
            <w:noWrap/>
            <w:hideMark/>
          </w:tcPr>
          <w:p w14:paraId="0167FBD4"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eastAsia="Times New Roman" w:hAnsiTheme="minorHAnsi" w:cstheme="minorHAnsi"/>
                <w:color w:val="000000"/>
                <w:sz w:val="20"/>
                <w:szCs w:val="20"/>
                <w:lang w:eastAsia="en-AU"/>
              </w:rPr>
              <w:t>66.7</w:t>
            </w:r>
          </w:p>
        </w:tc>
        <w:tc>
          <w:tcPr>
            <w:tcW w:w="414" w:type="pct"/>
          </w:tcPr>
          <w:p w14:paraId="0D34AD30"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eastAsia="Times New Roman" w:hAnsiTheme="minorHAnsi" w:cstheme="minorHAnsi"/>
                <w:color w:val="000000"/>
                <w:sz w:val="20"/>
                <w:szCs w:val="20"/>
                <w:lang w:eastAsia="en-AU"/>
              </w:rPr>
              <w:t>65.3</w:t>
            </w:r>
          </w:p>
        </w:tc>
      </w:tr>
      <w:tr w:rsidR="00A2332E" w:rsidRPr="00846EE4" w14:paraId="1F7AE252" w14:textId="77777777" w:rsidTr="005F6ADC">
        <w:trPr>
          <w:cnfStyle w:val="000000010000" w:firstRow="0" w:lastRow="0" w:firstColumn="0" w:lastColumn="0" w:oddVBand="0" w:evenVBand="0" w:oddHBand="0" w:evenHBand="1" w:firstRowFirstColumn="0" w:firstRowLastColumn="0" w:lastRowFirstColumn="0" w:lastRowLastColumn="0"/>
          <w:trHeight w:val="280"/>
        </w:trPr>
        <w:tc>
          <w:tcPr>
            <w:tcW w:w="864" w:type="pct"/>
          </w:tcPr>
          <w:p w14:paraId="3DBD8FFF" w14:textId="77777777" w:rsidR="00846EE4" w:rsidRPr="00846EE4" w:rsidRDefault="00846EE4" w:rsidP="00846EE4">
            <w:pPr>
              <w:jc w:val="right"/>
              <w:rPr>
                <w:rFonts w:asciiTheme="minorHAnsi" w:hAnsiTheme="minorHAnsi" w:cstheme="minorHAnsi"/>
                <w:color w:val="112277"/>
                <w:sz w:val="17"/>
                <w:szCs w:val="17"/>
              </w:rPr>
            </w:pPr>
            <w:r w:rsidRPr="00846EE4">
              <w:rPr>
                <w:rFonts w:asciiTheme="minorHAnsi" w:hAnsiTheme="minorHAnsi" w:cstheme="minorHAnsi"/>
                <w:color w:val="112277"/>
                <w:sz w:val="17"/>
                <w:szCs w:val="17"/>
              </w:rPr>
              <w:t>International All</w:t>
            </w:r>
          </w:p>
        </w:tc>
        <w:tc>
          <w:tcPr>
            <w:tcW w:w="413" w:type="pct"/>
            <w:noWrap/>
            <w:vAlign w:val="center"/>
          </w:tcPr>
          <w:p w14:paraId="2C49FCA9"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hAnsiTheme="minorHAnsi" w:cstheme="minorHAnsi"/>
                <w:color w:val="000000"/>
                <w:sz w:val="20"/>
                <w:szCs w:val="20"/>
              </w:rPr>
              <w:t>71.2</w:t>
            </w:r>
          </w:p>
        </w:tc>
        <w:tc>
          <w:tcPr>
            <w:tcW w:w="414" w:type="pct"/>
            <w:noWrap/>
            <w:vAlign w:val="center"/>
          </w:tcPr>
          <w:p w14:paraId="2D6E9CC3"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hAnsiTheme="minorHAnsi" w:cstheme="minorHAnsi"/>
                <w:color w:val="000000"/>
                <w:sz w:val="20"/>
                <w:szCs w:val="20"/>
              </w:rPr>
              <w:t>70.8</w:t>
            </w:r>
          </w:p>
        </w:tc>
        <w:tc>
          <w:tcPr>
            <w:tcW w:w="414" w:type="pct"/>
            <w:noWrap/>
            <w:vAlign w:val="center"/>
          </w:tcPr>
          <w:p w14:paraId="0780B59E"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hAnsiTheme="minorHAnsi" w:cstheme="minorHAnsi"/>
                <w:color w:val="000000"/>
                <w:sz w:val="20"/>
                <w:szCs w:val="20"/>
              </w:rPr>
              <w:t>71.0</w:t>
            </w:r>
          </w:p>
        </w:tc>
        <w:tc>
          <w:tcPr>
            <w:tcW w:w="413" w:type="pct"/>
            <w:noWrap/>
            <w:vAlign w:val="center"/>
          </w:tcPr>
          <w:p w14:paraId="6FC41A87"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hAnsiTheme="minorHAnsi" w:cstheme="minorHAnsi"/>
                <w:color w:val="000000"/>
                <w:sz w:val="20"/>
                <w:szCs w:val="20"/>
              </w:rPr>
              <w:t>71.2</w:t>
            </w:r>
          </w:p>
        </w:tc>
        <w:tc>
          <w:tcPr>
            <w:tcW w:w="414" w:type="pct"/>
            <w:noWrap/>
            <w:vAlign w:val="center"/>
          </w:tcPr>
          <w:p w14:paraId="513AACB8"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hAnsiTheme="minorHAnsi" w:cstheme="minorHAnsi"/>
                <w:color w:val="000000"/>
                <w:sz w:val="20"/>
                <w:szCs w:val="20"/>
              </w:rPr>
              <w:t>70.8</w:t>
            </w:r>
          </w:p>
        </w:tc>
        <w:tc>
          <w:tcPr>
            <w:tcW w:w="414" w:type="pct"/>
            <w:noWrap/>
            <w:vAlign w:val="center"/>
          </w:tcPr>
          <w:p w14:paraId="5300FC77"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hAnsiTheme="minorHAnsi" w:cstheme="minorHAnsi"/>
                <w:color w:val="000000"/>
                <w:sz w:val="20"/>
                <w:szCs w:val="20"/>
              </w:rPr>
              <w:t>69.5</w:t>
            </w:r>
          </w:p>
        </w:tc>
        <w:tc>
          <w:tcPr>
            <w:tcW w:w="413" w:type="pct"/>
            <w:noWrap/>
            <w:vAlign w:val="center"/>
          </w:tcPr>
          <w:p w14:paraId="67E2311A"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hAnsiTheme="minorHAnsi" w:cstheme="minorHAnsi"/>
                <w:color w:val="000000"/>
                <w:sz w:val="20"/>
                <w:szCs w:val="20"/>
              </w:rPr>
              <w:t>69.6</w:t>
            </w:r>
          </w:p>
        </w:tc>
        <w:tc>
          <w:tcPr>
            <w:tcW w:w="414" w:type="pct"/>
            <w:noWrap/>
            <w:vAlign w:val="center"/>
          </w:tcPr>
          <w:p w14:paraId="6B82A469"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hAnsiTheme="minorHAnsi" w:cstheme="minorHAnsi"/>
                <w:color w:val="000000"/>
                <w:sz w:val="20"/>
                <w:szCs w:val="20"/>
              </w:rPr>
              <w:t>69.3</w:t>
            </w:r>
          </w:p>
        </w:tc>
        <w:tc>
          <w:tcPr>
            <w:tcW w:w="414" w:type="pct"/>
            <w:noWrap/>
            <w:vAlign w:val="center"/>
          </w:tcPr>
          <w:p w14:paraId="0DEA348D" w14:textId="77777777" w:rsidR="00846EE4" w:rsidRPr="00846EE4" w:rsidRDefault="00846EE4" w:rsidP="00846EE4">
            <w:pPr>
              <w:jc w:val="right"/>
              <w:rPr>
                <w:rFonts w:asciiTheme="minorHAnsi" w:eastAsia="Times New Roman" w:hAnsiTheme="minorHAnsi" w:cstheme="minorHAnsi"/>
                <w:color w:val="000000"/>
                <w:sz w:val="20"/>
                <w:szCs w:val="20"/>
                <w:lang w:eastAsia="en-AU"/>
              </w:rPr>
            </w:pPr>
            <w:r w:rsidRPr="00846EE4">
              <w:rPr>
                <w:rFonts w:asciiTheme="minorHAnsi" w:hAnsiTheme="minorHAnsi" w:cstheme="minorHAnsi"/>
                <w:color w:val="000000"/>
                <w:sz w:val="20"/>
                <w:szCs w:val="20"/>
              </w:rPr>
              <w:t>65.9</w:t>
            </w:r>
          </w:p>
        </w:tc>
        <w:tc>
          <w:tcPr>
            <w:tcW w:w="414" w:type="pct"/>
          </w:tcPr>
          <w:p w14:paraId="6CEEC7FB" w14:textId="77777777" w:rsidR="00846EE4" w:rsidRPr="00846EE4" w:rsidRDefault="00846EE4" w:rsidP="00846EE4">
            <w:pPr>
              <w:jc w:val="right"/>
              <w:rPr>
                <w:rFonts w:asciiTheme="minorHAnsi" w:hAnsiTheme="minorHAnsi" w:cstheme="minorHAnsi"/>
                <w:color w:val="000000"/>
                <w:sz w:val="20"/>
                <w:szCs w:val="20"/>
              </w:rPr>
            </w:pPr>
            <w:r w:rsidRPr="00846EE4">
              <w:rPr>
                <w:rFonts w:asciiTheme="minorHAnsi" w:hAnsiTheme="minorHAnsi" w:cstheme="minorHAnsi"/>
                <w:color w:val="000000"/>
                <w:sz w:val="20"/>
                <w:szCs w:val="20"/>
              </w:rPr>
              <w:t>65.0</w:t>
            </w:r>
          </w:p>
        </w:tc>
      </w:tr>
    </w:tbl>
    <w:p w14:paraId="48491A43" w14:textId="77777777" w:rsidR="00846EE4" w:rsidRPr="00846EE4" w:rsidRDefault="00846EE4" w:rsidP="00701210">
      <w:pPr>
        <w:pStyle w:val="Source"/>
      </w:pPr>
      <w:r w:rsidRPr="00846EE4">
        <w:t xml:space="preserve">Source: ECEC Higher Education statistical collection – student data, Department of Education. Custom data request, 23_526 based on detailed field of education = 070101 Teacher Education: Early Childhood. </w:t>
      </w:r>
    </w:p>
    <w:p w14:paraId="37815834" w14:textId="77777777" w:rsidR="00846EE4" w:rsidRPr="00846EE4" w:rsidRDefault="00846EE4" w:rsidP="00701210">
      <w:pPr>
        <w:pStyle w:val="Source"/>
      </w:pPr>
      <w:r w:rsidRPr="00846EE4">
        <w:t xml:space="preserve">All course completion rates from </w:t>
      </w:r>
      <w:hyperlink r:id="rId108" w:history="1">
        <w:r w:rsidRPr="00846EE4">
          <w:rPr>
            <w:color w:val="215E9E" w:themeColor="hyperlink"/>
            <w:u w:val="single"/>
          </w:rPr>
          <w:t>Completion Rates of Higher Education Students - Cohort Analysis, 2005-2022 - Department of Education, Australian Government</w:t>
        </w:r>
      </w:hyperlink>
      <w:r w:rsidRPr="00846EE4">
        <w:t xml:space="preserve"> </w:t>
      </w:r>
    </w:p>
    <w:p w14:paraId="782190E3" w14:textId="77777777" w:rsidR="00846EE4" w:rsidRPr="00846EE4" w:rsidRDefault="00846EE4" w:rsidP="00846EE4"/>
    <w:tbl>
      <w:tblPr>
        <w:tblStyle w:val="BoxC3"/>
        <w:tblW w:w="0" w:type="auto"/>
        <w:tblLook w:val="0620" w:firstRow="1" w:lastRow="0" w:firstColumn="0" w:lastColumn="0" w:noHBand="1" w:noVBand="1"/>
      </w:tblPr>
      <w:tblGrid>
        <w:gridCol w:w="9016"/>
      </w:tblGrid>
      <w:tr w:rsidR="00846EE4" w:rsidRPr="00846EE4" w14:paraId="1695D6A7" w14:textId="77777777" w:rsidTr="005D67F5">
        <w:tc>
          <w:tcPr>
            <w:tcW w:w="9016" w:type="dxa"/>
          </w:tcPr>
          <w:p w14:paraId="3AC0580A" w14:textId="77777777" w:rsidR="00846EE4" w:rsidRPr="00846EE4" w:rsidRDefault="00846EE4" w:rsidP="00846EE4">
            <w:pPr>
              <w:spacing w:before="120" w:after="120" w:line="264" w:lineRule="auto"/>
              <w:rPr>
                <w:rFonts w:eastAsiaTheme="majorEastAsia" w:cstheme="majorBidi"/>
                <w:b/>
                <w:color w:val="441170" w:themeColor="text2"/>
                <w:sz w:val="32"/>
                <w:szCs w:val="24"/>
              </w:rPr>
            </w:pPr>
            <w:bookmarkStart w:id="140" w:name="_Hlk174111244"/>
            <w:r w:rsidRPr="00846EE4">
              <w:rPr>
                <w:rFonts w:eastAsiaTheme="majorEastAsia" w:cstheme="majorBidi"/>
                <w:b/>
                <w:color w:val="441170" w:themeColor="text2"/>
                <w:sz w:val="32"/>
                <w:szCs w:val="24"/>
              </w:rPr>
              <w:t>CASE STUDY – Supporting higher education student placements in central Victoria</w:t>
            </w:r>
          </w:p>
          <w:p w14:paraId="7FFE4FF8" w14:textId="77777777" w:rsidR="00846EE4" w:rsidRPr="00846EE4" w:rsidRDefault="00846EE4" w:rsidP="00846EE4">
            <w:pPr>
              <w:spacing w:before="120" w:after="120" w:line="264" w:lineRule="auto"/>
            </w:pPr>
            <w:r w:rsidRPr="00846EE4">
              <w:t>The Early Childhood Professional Practice Partnership program (ECP3), delivered by higher education providers including La Trobe University and funded by the Victorian Department of Education, supports pre-service teachers completing placements in central Victoria while undertaking the Bachelor of Early Childhood and Primary Education. The program first began in 2019, supporting Early Childhood services to provide effective placements for Early Childhood students by giving mentor teachers professional learning opportunities. The ECP3 program promotes the early childhood pathway to dual qualification (e.g. ECE and Primary) students by offering additional support in preparing for and during placement. Additionally, the ECP3 program strengthens partnerships between La Trobe University, ECEC providers and students.</w:t>
            </w:r>
          </w:p>
          <w:p w14:paraId="5A4EE337" w14:textId="77777777" w:rsidR="00846EE4" w:rsidRPr="00846EE4" w:rsidRDefault="00846EE4" w:rsidP="00846EE4">
            <w:pPr>
              <w:rPr>
                <w:i/>
                <w:iCs/>
              </w:rPr>
            </w:pPr>
            <w:r w:rsidRPr="00846EE4">
              <w:rPr>
                <w:i/>
                <w:iCs/>
              </w:rPr>
              <w:t>Submission 23 – La Trobe University</w:t>
            </w:r>
          </w:p>
          <w:p w14:paraId="1F6F9437" w14:textId="77777777" w:rsidR="00846EE4" w:rsidRPr="00846EE4" w:rsidRDefault="00846EE4" w:rsidP="00701210">
            <w:pPr>
              <w:pStyle w:val="Source"/>
              <w:rPr>
                <w:sz w:val="14"/>
                <w:szCs w:val="14"/>
              </w:rPr>
            </w:pPr>
            <w:r w:rsidRPr="00846EE4">
              <w:t xml:space="preserve">Source: La Trobe University, (n.d.), </w:t>
            </w:r>
            <w:r w:rsidRPr="00846EE4">
              <w:rPr>
                <w:i/>
                <w:iCs/>
              </w:rPr>
              <w:t>Enhanced Teacher Preparation,</w:t>
            </w:r>
            <w:r w:rsidRPr="00846EE4">
              <w:t xml:space="preserve"> La Trobe University, </w:t>
            </w:r>
            <w:hyperlink r:id="rId109" w:history="1">
              <w:r w:rsidRPr="00846EE4">
                <w:rPr>
                  <w:color w:val="215E9E" w:themeColor="hyperlink"/>
                  <w:u w:val="single"/>
                </w:rPr>
                <w:t>https://www.latrobe.edu.au/school-education/preparing-educators/enhanced-teacher-preparation</w:t>
              </w:r>
            </w:hyperlink>
            <w:r w:rsidRPr="00846EE4">
              <w:t xml:space="preserve">. </w:t>
            </w:r>
          </w:p>
        </w:tc>
      </w:tr>
      <w:bookmarkEnd w:id="140"/>
    </w:tbl>
    <w:p w14:paraId="0D5881E3" w14:textId="77777777" w:rsidR="00846EE4" w:rsidRPr="00846EE4" w:rsidRDefault="00846EE4" w:rsidP="00846EE4"/>
    <w:p w14:paraId="177BA44E" w14:textId="77777777" w:rsidR="00846EE4" w:rsidRPr="00846EE4" w:rsidRDefault="00846EE4" w:rsidP="00701210">
      <w:pPr>
        <w:pStyle w:val="Heading4"/>
        <w:keepNext/>
      </w:pPr>
      <w:r w:rsidRPr="00846EE4">
        <w:lastRenderedPageBreak/>
        <w:t>Market Provision and Modes of Delivery </w:t>
      </w:r>
    </w:p>
    <w:p w14:paraId="7D5AF8B5" w14:textId="77777777" w:rsidR="00846EE4" w:rsidRPr="00846EE4" w:rsidRDefault="00846EE4" w:rsidP="00846EE4">
      <w:pPr>
        <w:keepLines/>
        <w:rPr>
          <w:rFonts w:cs="Arial"/>
        </w:rPr>
      </w:pPr>
      <w:r w:rsidRPr="00846EE4">
        <w:rPr>
          <w:rFonts w:cs="Arial"/>
        </w:rPr>
        <w:t xml:space="preserve">There has long been a mix of public and private training providers for ECEC courses across a broad geographic footprint. Analyses show that in 2022 every SA4 (the largest sub-state level in the ASGS) had at least one provider </w:t>
      </w:r>
      <w:proofErr w:type="gramStart"/>
      <w:r w:rsidRPr="00846EE4">
        <w:rPr>
          <w:rFonts w:cs="Arial"/>
        </w:rPr>
        <w:t>delivering  Early</w:t>
      </w:r>
      <w:proofErr w:type="gramEnd"/>
      <w:r w:rsidRPr="00846EE4">
        <w:rPr>
          <w:rFonts w:cs="Arial"/>
        </w:rPr>
        <w:t xml:space="preserve"> Childhood Education and Care VET courses, however, these areas can be extremely large particularly in remote areas. In VET, private training providers accounted for over two thirds of ECEC program enrolments in 2022 as shown in </w:t>
      </w:r>
      <w:r w:rsidRPr="00846EE4">
        <w:rPr>
          <w:rFonts w:cs="Arial"/>
        </w:rPr>
        <w:fldChar w:fldCharType="begin" w:fldLock="1"/>
      </w:r>
      <w:r w:rsidRPr="00846EE4">
        <w:rPr>
          <w:rFonts w:cs="Arial"/>
        </w:rPr>
        <w:instrText xml:space="preserve"> REF _Ref168317370 \h </w:instrText>
      </w:r>
      <w:r w:rsidRPr="00846EE4">
        <w:rPr>
          <w:rFonts w:cs="Arial"/>
        </w:rPr>
      </w:r>
      <w:r w:rsidRPr="00846EE4">
        <w:rPr>
          <w:rFonts w:cs="Arial"/>
        </w:rPr>
        <w:fldChar w:fldCharType="separate"/>
      </w:r>
      <w:r w:rsidRPr="00846EE4">
        <w:t>Figure 3.</w:t>
      </w:r>
      <w:r w:rsidRPr="00846EE4">
        <w:rPr>
          <w:noProof/>
        </w:rPr>
        <w:t>3</w:t>
      </w:r>
      <w:r w:rsidRPr="00846EE4">
        <w:rPr>
          <w:rFonts w:cs="Arial"/>
        </w:rPr>
        <w:fldChar w:fldCharType="end"/>
      </w:r>
      <w:r w:rsidRPr="00846EE4">
        <w:rPr>
          <w:rFonts w:cs="Arial"/>
        </w:rPr>
        <w:t xml:space="preserve"> and </w:t>
      </w:r>
      <w:r w:rsidRPr="00846EE4">
        <w:rPr>
          <w:rFonts w:cs="Arial"/>
        </w:rPr>
        <w:fldChar w:fldCharType="begin" w:fldLock="1"/>
      </w:r>
      <w:r w:rsidRPr="00846EE4">
        <w:rPr>
          <w:rFonts w:cs="Arial"/>
        </w:rPr>
        <w:instrText xml:space="preserve"> REF _Ref168317371 \h </w:instrText>
      </w:r>
      <w:r w:rsidRPr="00846EE4">
        <w:rPr>
          <w:rFonts w:cs="Arial"/>
        </w:rPr>
      </w:r>
      <w:r w:rsidRPr="00846EE4">
        <w:rPr>
          <w:rFonts w:cs="Arial"/>
        </w:rPr>
        <w:fldChar w:fldCharType="separate"/>
      </w:r>
      <w:r w:rsidRPr="00846EE4">
        <w:t>Figure 3.</w:t>
      </w:r>
      <w:r w:rsidRPr="00846EE4">
        <w:rPr>
          <w:noProof/>
        </w:rPr>
        <w:t>4</w:t>
      </w:r>
      <w:r w:rsidRPr="00846EE4">
        <w:rPr>
          <w:rFonts w:cs="Arial"/>
        </w:rPr>
        <w:fldChar w:fldCharType="end"/>
      </w:r>
      <w:r w:rsidRPr="00846EE4">
        <w:rPr>
          <w:rFonts w:cs="Arial"/>
        </w:rPr>
        <w:t>. Less than a quarter of ECEC program enrolments are at a TAFE institute, with a change between TAFE and private provider delivery of VET over the five years up to 2022. </w:t>
      </w:r>
    </w:p>
    <w:p w14:paraId="260436AF" w14:textId="68A34A3B" w:rsidR="00846EE4" w:rsidRPr="00846EE4" w:rsidRDefault="00846EE4" w:rsidP="00701210">
      <w:pPr>
        <w:pStyle w:val="Caption"/>
      </w:pPr>
      <w:bookmarkStart w:id="141" w:name="_Ref168317370"/>
      <w:bookmarkStart w:id="142" w:name="_Ref168317366"/>
      <w:r w:rsidRPr="00846EE4">
        <w:t>Figure 3.</w:t>
      </w:r>
      <w:r w:rsidRPr="00846EE4">
        <w:fldChar w:fldCharType="begin"/>
      </w:r>
      <w:r w:rsidRPr="00846EE4">
        <w:instrText xml:space="preserve"> SEQ Figure \* ARABIC \s 1 </w:instrText>
      </w:r>
      <w:r w:rsidRPr="00846EE4">
        <w:fldChar w:fldCharType="separate"/>
      </w:r>
      <w:r w:rsidR="005F18C1">
        <w:rPr>
          <w:noProof/>
        </w:rPr>
        <w:t>3</w:t>
      </w:r>
      <w:r w:rsidRPr="00846EE4">
        <w:fldChar w:fldCharType="end"/>
      </w:r>
      <w:bookmarkEnd w:id="141"/>
      <w:r w:rsidRPr="00846EE4">
        <w:t xml:space="preserve"> Certificate III ECEC enrolment proportion by RTO provider type</w:t>
      </w:r>
      <w:bookmarkEnd w:id="142"/>
    </w:p>
    <w:p w14:paraId="0AB2A607" w14:textId="77777777" w:rsidR="00846EE4" w:rsidRPr="00846EE4" w:rsidRDefault="00846EE4" w:rsidP="00846EE4">
      <w:pPr>
        <w:spacing w:before="120" w:after="120" w:line="264" w:lineRule="auto"/>
        <w:rPr>
          <w:color w:val="auto"/>
          <w:sz w:val="18"/>
          <w:szCs w:val="18"/>
        </w:rPr>
      </w:pPr>
      <w:r w:rsidRPr="00846EE4">
        <w:rPr>
          <w:noProof/>
          <w:color w:val="auto"/>
          <w:sz w:val="18"/>
          <w:szCs w:val="18"/>
        </w:rPr>
        <w:drawing>
          <wp:anchor distT="0" distB="0" distL="114300" distR="114300" simplePos="0" relativeHeight="251721731" behindDoc="0" locked="0" layoutInCell="1" allowOverlap="1" wp14:anchorId="34DB1F87" wp14:editId="09731D94">
            <wp:simplePos x="0" y="0"/>
            <wp:positionH relativeFrom="column">
              <wp:posOffset>0</wp:posOffset>
            </wp:positionH>
            <wp:positionV relativeFrom="paragraph">
              <wp:posOffset>635</wp:posOffset>
            </wp:positionV>
            <wp:extent cx="5176520" cy="2784143"/>
            <wp:effectExtent l="0" t="0" r="5080" b="16510"/>
            <wp:wrapNone/>
            <wp:docPr id="2097098154" name="Chart 1">
              <a:extLst xmlns:a="http://schemas.openxmlformats.org/drawingml/2006/main">
                <a:ext uri="{FF2B5EF4-FFF2-40B4-BE49-F238E27FC236}">
                  <a16:creationId xmlns:a16="http://schemas.microsoft.com/office/drawing/2014/main" id="{5B01C643-C492-4B2F-7782-977A8A6D913E}"/>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anchor>
        </w:drawing>
      </w:r>
    </w:p>
    <w:tbl>
      <w:tblPr>
        <w:tblStyle w:val="Box"/>
        <w:tblW w:w="0" w:type="auto"/>
        <w:jc w:val="center"/>
        <w:tblLook w:val="04A0" w:firstRow="1" w:lastRow="0" w:firstColumn="1" w:lastColumn="0" w:noHBand="0" w:noVBand="1"/>
      </w:tblPr>
      <w:tblGrid>
        <w:gridCol w:w="2268"/>
        <w:gridCol w:w="960"/>
        <w:gridCol w:w="960"/>
        <w:gridCol w:w="960"/>
        <w:gridCol w:w="960"/>
        <w:gridCol w:w="960"/>
      </w:tblGrid>
      <w:tr w:rsidR="00BD415C" w:rsidRPr="00BD415C" w14:paraId="7AB5B088" w14:textId="77777777" w:rsidTr="00BD415C">
        <w:trPr>
          <w:trHeight w:val="300"/>
          <w:jc w:val="center"/>
        </w:trPr>
        <w:tc>
          <w:tcPr>
            <w:tcW w:w="2268" w:type="dxa"/>
            <w:noWrap/>
            <w:hideMark/>
          </w:tcPr>
          <w:p w14:paraId="44B1F16E" w14:textId="77777777" w:rsidR="00BD415C" w:rsidRPr="00BD415C" w:rsidRDefault="00BD415C" w:rsidP="00BD415C">
            <w:pPr>
              <w:pStyle w:val="Source"/>
              <w:rPr>
                <w:b/>
                <w:bCs/>
                <w:sz w:val="2"/>
                <w:szCs w:val="2"/>
              </w:rPr>
            </w:pPr>
            <w:r w:rsidRPr="00BD415C">
              <w:rPr>
                <w:b/>
                <w:bCs/>
                <w:sz w:val="2"/>
                <w:szCs w:val="2"/>
              </w:rPr>
              <w:t>RTO Provider Type</w:t>
            </w:r>
          </w:p>
        </w:tc>
        <w:tc>
          <w:tcPr>
            <w:tcW w:w="960" w:type="dxa"/>
            <w:noWrap/>
            <w:hideMark/>
          </w:tcPr>
          <w:p w14:paraId="7987D72F" w14:textId="77777777" w:rsidR="00BD415C" w:rsidRPr="00BD415C" w:rsidRDefault="00BD415C" w:rsidP="00BD415C">
            <w:pPr>
              <w:pStyle w:val="Source"/>
              <w:rPr>
                <w:b/>
                <w:bCs/>
                <w:sz w:val="2"/>
                <w:szCs w:val="2"/>
              </w:rPr>
            </w:pPr>
            <w:r w:rsidRPr="00BD415C">
              <w:rPr>
                <w:b/>
                <w:bCs/>
                <w:sz w:val="2"/>
                <w:szCs w:val="2"/>
              </w:rPr>
              <w:t>2018</w:t>
            </w:r>
          </w:p>
        </w:tc>
        <w:tc>
          <w:tcPr>
            <w:tcW w:w="960" w:type="dxa"/>
            <w:noWrap/>
            <w:hideMark/>
          </w:tcPr>
          <w:p w14:paraId="6B571830" w14:textId="77777777" w:rsidR="00BD415C" w:rsidRPr="00BD415C" w:rsidRDefault="00BD415C" w:rsidP="00BD415C">
            <w:pPr>
              <w:pStyle w:val="Source"/>
              <w:rPr>
                <w:b/>
                <w:bCs/>
                <w:sz w:val="2"/>
                <w:szCs w:val="2"/>
              </w:rPr>
            </w:pPr>
            <w:r w:rsidRPr="00BD415C">
              <w:rPr>
                <w:b/>
                <w:bCs/>
                <w:sz w:val="2"/>
                <w:szCs w:val="2"/>
              </w:rPr>
              <w:t>2019</w:t>
            </w:r>
          </w:p>
        </w:tc>
        <w:tc>
          <w:tcPr>
            <w:tcW w:w="960" w:type="dxa"/>
            <w:noWrap/>
            <w:hideMark/>
          </w:tcPr>
          <w:p w14:paraId="0747DBDB" w14:textId="77777777" w:rsidR="00BD415C" w:rsidRPr="00BD415C" w:rsidRDefault="00BD415C" w:rsidP="00BD415C">
            <w:pPr>
              <w:pStyle w:val="Source"/>
              <w:rPr>
                <w:b/>
                <w:bCs/>
                <w:sz w:val="2"/>
                <w:szCs w:val="2"/>
              </w:rPr>
            </w:pPr>
            <w:r w:rsidRPr="00BD415C">
              <w:rPr>
                <w:b/>
                <w:bCs/>
                <w:sz w:val="2"/>
                <w:szCs w:val="2"/>
              </w:rPr>
              <w:t>2020</w:t>
            </w:r>
          </w:p>
        </w:tc>
        <w:tc>
          <w:tcPr>
            <w:tcW w:w="960" w:type="dxa"/>
            <w:noWrap/>
            <w:hideMark/>
          </w:tcPr>
          <w:p w14:paraId="6ACA221E" w14:textId="77777777" w:rsidR="00BD415C" w:rsidRPr="00BD415C" w:rsidRDefault="00BD415C" w:rsidP="00BD415C">
            <w:pPr>
              <w:pStyle w:val="Source"/>
              <w:rPr>
                <w:b/>
                <w:bCs/>
                <w:sz w:val="2"/>
                <w:szCs w:val="2"/>
              </w:rPr>
            </w:pPr>
            <w:r w:rsidRPr="00BD415C">
              <w:rPr>
                <w:b/>
                <w:bCs/>
                <w:sz w:val="2"/>
                <w:szCs w:val="2"/>
              </w:rPr>
              <w:t>2021</w:t>
            </w:r>
          </w:p>
        </w:tc>
        <w:tc>
          <w:tcPr>
            <w:tcW w:w="960" w:type="dxa"/>
            <w:noWrap/>
            <w:hideMark/>
          </w:tcPr>
          <w:p w14:paraId="678BD6A0" w14:textId="77777777" w:rsidR="00BD415C" w:rsidRPr="00BD415C" w:rsidRDefault="00BD415C" w:rsidP="00BD415C">
            <w:pPr>
              <w:pStyle w:val="Source"/>
              <w:rPr>
                <w:b/>
                <w:bCs/>
                <w:sz w:val="2"/>
                <w:szCs w:val="2"/>
              </w:rPr>
            </w:pPr>
            <w:r w:rsidRPr="00BD415C">
              <w:rPr>
                <w:b/>
                <w:bCs/>
                <w:sz w:val="2"/>
                <w:szCs w:val="2"/>
              </w:rPr>
              <w:t>2022</w:t>
            </w:r>
          </w:p>
        </w:tc>
      </w:tr>
      <w:tr w:rsidR="00BD415C" w:rsidRPr="00BD415C" w14:paraId="2F287E1C" w14:textId="77777777" w:rsidTr="00BD415C">
        <w:trPr>
          <w:trHeight w:val="285"/>
          <w:jc w:val="center"/>
        </w:trPr>
        <w:tc>
          <w:tcPr>
            <w:tcW w:w="2268" w:type="dxa"/>
            <w:noWrap/>
            <w:hideMark/>
          </w:tcPr>
          <w:p w14:paraId="27424DA4" w14:textId="77777777" w:rsidR="00BD415C" w:rsidRPr="00BD415C" w:rsidRDefault="00BD415C" w:rsidP="00BD415C">
            <w:pPr>
              <w:pStyle w:val="Source"/>
              <w:rPr>
                <w:sz w:val="2"/>
                <w:szCs w:val="2"/>
              </w:rPr>
            </w:pPr>
            <w:r w:rsidRPr="00BD415C">
              <w:rPr>
                <w:sz w:val="2"/>
                <w:szCs w:val="2"/>
              </w:rPr>
              <w:t>TAFE institutes</w:t>
            </w:r>
          </w:p>
        </w:tc>
        <w:tc>
          <w:tcPr>
            <w:tcW w:w="960" w:type="dxa"/>
            <w:noWrap/>
            <w:hideMark/>
          </w:tcPr>
          <w:p w14:paraId="35A94659" w14:textId="77777777" w:rsidR="00BD415C" w:rsidRPr="00BD415C" w:rsidRDefault="00BD415C" w:rsidP="00BD415C">
            <w:pPr>
              <w:pStyle w:val="Source"/>
              <w:rPr>
                <w:sz w:val="2"/>
                <w:szCs w:val="2"/>
              </w:rPr>
            </w:pPr>
            <w:r w:rsidRPr="00BD415C">
              <w:rPr>
                <w:sz w:val="2"/>
                <w:szCs w:val="2"/>
              </w:rPr>
              <w:t>31.7%</w:t>
            </w:r>
          </w:p>
        </w:tc>
        <w:tc>
          <w:tcPr>
            <w:tcW w:w="960" w:type="dxa"/>
            <w:noWrap/>
            <w:hideMark/>
          </w:tcPr>
          <w:p w14:paraId="39FC9FE5" w14:textId="77777777" w:rsidR="00BD415C" w:rsidRPr="00BD415C" w:rsidRDefault="00BD415C" w:rsidP="00BD415C">
            <w:pPr>
              <w:pStyle w:val="Source"/>
              <w:rPr>
                <w:sz w:val="2"/>
                <w:szCs w:val="2"/>
              </w:rPr>
            </w:pPr>
            <w:r w:rsidRPr="00BD415C">
              <w:rPr>
                <w:sz w:val="2"/>
                <w:szCs w:val="2"/>
              </w:rPr>
              <w:t>30.0%</w:t>
            </w:r>
          </w:p>
        </w:tc>
        <w:tc>
          <w:tcPr>
            <w:tcW w:w="960" w:type="dxa"/>
            <w:noWrap/>
            <w:hideMark/>
          </w:tcPr>
          <w:p w14:paraId="2B8EECAF" w14:textId="77777777" w:rsidR="00BD415C" w:rsidRPr="00BD415C" w:rsidRDefault="00BD415C" w:rsidP="00BD415C">
            <w:pPr>
              <w:pStyle w:val="Source"/>
              <w:rPr>
                <w:sz w:val="2"/>
                <w:szCs w:val="2"/>
              </w:rPr>
            </w:pPr>
            <w:r w:rsidRPr="00BD415C">
              <w:rPr>
                <w:sz w:val="2"/>
                <w:szCs w:val="2"/>
              </w:rPr>
              <w:t>30.4%</w:t>
            </w:r>
          </w:p>
        </w:tc>
        <w:tc>
          <w:tcPr>
            <w:tcW w:w="960" w:type="dxa"/>
            <w:noWrap/>
            <w:hideMark/>
          </w:tcPr>
          <w:p w14:paraId="251ABCE8" w14:textId="77777777" w:rsidR="00BD415C" w:rsidRPr="00BD415C" w:rsidRDefault="00BD415C" w:rsidP="00BD415C">
            <w:pPr>
              <w:pStyle w:val="Source"/>
              <w:rPr>
                <w:sz w:val="2"/>
                <w:szCs w:val="2"/>
              </w:rPr>
            </w:pPr>
            <w:r w:rsidRPr="00BD415C">
              <w:rPr>
                <w:sz w:val="2"/>
                <w:szCs w:val="2"/>
              </w:rPr>
              <w:t>28.4%</w:t>
            </w:r>
          </w:p>
        </w:tc>
        <w:tc>
          <w:tcPr>
            <w:tcW w:w="960" w:type="dxa"/>
            <w:noWrap/>
            <w:hideMark/>
          </w:tcPr>
          <w:p w14:paraId="0DCDE720" w14:textId="77777777" w:rsidR="00BD415C" w:rsidRPr="00BD415C" w:rsidRDefault="00BD415C" w:rsidP="00BD415C">
            <w:pPr>
              <w:pStyle w:val="Source"/>
              <w:rPr>
                <w:sz w:val="2"/>
                <w:szCs w:val="2"/>
              </w:rPr>
            </w:pPr>
            <w:r w:rsidRPr="00BD415C">
              <w:rPr>
                <w:sz w:val="2"/>
                <w:szCs w:val="2"/>
              </w:rPr>
              <w:t>25.4%</w:t>
            </w:r>
          </w:p>
        </w:tc>
      </w:tr>
      <w:tr w:rsidR="00BD415C" w:rsidRPr="00BD415C" w14:paraId="0DE515F1" w14:textId="77777777" w:rsidTr="00BD415C">
        <w:trPr>
          <w:trHeight w:val="285"/>
          <w:jc w:val="center"/>
        </w:trPr>
        <w:tc>
          <w:tcPr>
            <w:tcW w:w="2268" w:type="dxa"/>
            <w:noWrap/>
            <w:hideMark/>
          </w:tcPr>
          <w:p w14:paraId="3F7AB696" w14:textId="77777777" w:rsidR="00BD415C" w:rsidRPr="00BD415C" w:rsidRDefault="00BD415C" w:rsidP="00BD415C">
            <w:pPr>
              <w:pStyle w:val="Source"/>
              <w:rPr>
                <w:sz w:val="2"/>
                <w:szCs w:val="2"/>
              </w:rPr>
            </w:pPr>
            <w:r w:rsidRPr="00BD415C">
              <w:rPr>
                <w:sz w:val="2"/>
                <w:szCs w:val="2"/>
              </w:rPr>
              <w:t>Universities</w:t>
            </w:r>
          </w:p>
        </w:tc>
        <w:tc>
          <w:tcPr>
            <w:tcW w:w="960" w:type="dxa"/>
            <w:noWrap/>
            <w:hideMark/>
          </w:tcPr>
          <w:p w14:paraId="61BB7E18" w14:textId="77777777" w:rsidR="00BD415C" w:rsidRPr="00BD415C" w:rsidRDefault="00BD415C" w:rsidP="00BD415C">
            <w:pPr>
              <w:pStyle w:val="Source"/>
              <w:rPr>
                <w:sz w:val="2"/>
                <w:szCs w:val="2"/>
              </w:rPr>
            </w:pPr>
            <w:r w:rsidRPr="00BD415C">
              <w:rPr>
                <w:sz w:val="2"/>
                <w:szCs w:val="2"/>
              </w:rPr>
              <w:t>1.8%</w:t>
            </w:r>
          </w:p>
        </w:tc>
        <w:tc>
          <w:tcPr>
            <w:tcW w:w="960" w:type="dxa"/>
            <w:noWrap/>
            <w:hideMark/>
          </w:tcPr>
          <w:p w14:paraId="70E1443E" w14:textId="77777777" w:rsidR="00BD415C" w:rsidRPr="00BD415C" w:rsidRDefault="00BD415C" w:rsidP="00BD415C">
            <w:pPr>
              <w:pStyle w:val="Source"/>
              <w:rPr>
                <w:sz w:val="2"/>
                <w:szCs w:val="2"/>
              </w:rPr>
            </w:pPr>
            <w:r w:rsidRPr="00BD415C">
              <w:rPr>
                <w:sz w:val="2"/>
                <w:szCs w:val="2"/>
              </w:rPr>
              <w:t>1.6%</w:t>
            </w:r>
          </w:p>
        </w:tc>
        <w:tc>
          <w:tcPr>
            <w:tcW w:w="960" w:type="dxa"/>
            <w:noWrap/>
            <w:hideMark/>
          </w:tcPr>
          <w:p w14:paraId="0D040373" w14:textId="77777777" w:rsidR="00BD415C" w:rsidRPr="00BD415C" w:rsidRDefault="00BD415C" w:rsidP="00BD415C">
            <w:pPr>
              <w:pStyle w:val="Source"/>
              <w:rPr>
                <w:sz w:val="2"/>
                <w:szCs w:val="2"/>
              </w:rPr>
            </w:pPr>
            <w:r w:rsidRPr="00BD415C">
              <w:rPr>
                <w:sz w:val="2"/>
                <w:szCs w:val="2"/>
              </w:rPr>
              <w:t>1.9%</w:t>
            </w:r>
          </w:p>
        </w:tc>
        <w:tc>
          <w:tcPr>
            <w:tcW w:w="960" w:type="dxa"/>
            <w:noWrap/>
            <w:hideMark/>
          </w:tcPr>
          <w:p w14:paraId="6E050F3E" w14:textId="77777777" w:rsidR="00BD415C" w:rsidRPr="00BD415C" w:rsidRDefault="00BD415C" w:rsidP="00BD415C">
            <w:pPr>
              <w:pStyle w:val="Source"/>
              <w:rPr>
                <w:sz w:val="2"/>
                <w:szCs w:val="2"/>
              </w:rPr>
            </w:pPr>
            <w:r w:rsidRPr="00BD415C">
              <w:rPr>
                <w:sz w:val="2"/>
                <w:szCs w:val="2"/>
              </w:rPr>
              <w:t>2.0%</w:t>
            </w:r>
          </w:p>
        </w:tc>
        <w:tc>
          <w:tcPr>
            <w:tcW w:w="960" w:type="dxa"/>
            <w:noWrap/>
            <w:hideMark/>
          </w:tcPr>
          <w:p w14:paraId="5326ADC4" w14:textId="77777777" w:rsidR="00BD415C" w:rsidRPr="00BD415C" w:rsidRDefault="00BD415C" w:rsidP="00BD415C">
            <w:pPr>
              <w:pStyle w:val="Source"/>
              <w:rPr>
                <w:sz w:val="2"/>
                <w:szCs w:val="2"/>
              </w:rPr>
            </w:pPr>
            <w:r w:rsidRPr="00BD415C">
              <w:rPr>
                <w:sz w:val="2"/>
                <w:szCs w:val="2"/>
              </w:rPr>
              <w:t>1.5%</w:t>
            </w:r>
          </w:p>
        </w:tc>
      </w:tr>
      <w:tr w:rsidR="00BD415C" w:rsidRPr="00BD415C" w14:paraId="35FB2D4F" w14:textId="77777777" w:rsidTr="00BD415C">
        <w:trPr>
          <w:trHeight w:val="285"/>
          <w:jc w:val="center"/>
        </w:trPr>
        <w:tc>
          <w:tcPr>
            <w:tcW w:w="2268" w:type="dxa"/>
            <w:noWrap/>
            <w:hideMark/>
          </w:tcPr>
          <w:p w14:paraId="28877AF2" w14:textId="77777777" w:rsidR="00BD415C" w:rsidRPr="00BD415C" w:rsidRDefault="00BD415C" w:rsidP="00BD415C">
            <w:pPr>
              <w:pStyle w:val="Source"/>
              <w:rPr>
                <w:sz w:val="2"/>
                <w:szCs w:val="2"/>
              </w:rPr>
            </w:pPr>
            <w:r w:rsidRPr="00BD415C">
              <w:rPr>
                <w:sz w:val="2"/>
                <w:szCs w:val="2"/>
              </w:rPr>
              <w:t>Schools</w:t>
            </w:r>
          </w:p>
        </w:tc>
        <w:tc>
          <w:tcPr>
            <w:tcW w:w="960" w:type="dxa"/>
            <w:noWrap/>
            <w:hideMark/>
          </w:tcPr>
          <w:p w14:paraId="708458D3" w14:textId="77777777" w:rsidR="00BD415C" w:rsidRPr="00BD415C" w:rsidRDefault="00BD415C" w:rsidP="00BD415C">
            <w:pPr>
              <w:pStyle w:val="Source"/>
              <w:rPr>
                <w:sz w:val="2"/>
                <w:szCs w:val="2"/>
              </w:rPr>
            </w:pPr>
            <w:r w:rsidRPr="00BD415C">
              <w:rPr>
                <w:sz w:val="2"/>
                <w:szCs w:val="2"/>
              </w:rPr>
              <w:t>1.8%</w:t>
            </w:r>
          </w:p>
        </w:tc>
        <w:tc>
          <w:tcPr>
            <w:tcW w:w="960" w:type="dxa"/>
            <w:noWrap/>
            <w:hideMark/>
          </w:tcPr>
          <w:p w14:paraId="2050785C" w14:textId="77777777" w:rsidR="00BD415C" w:rsidRPr="00BD415C" w:rsidRDefault="00BD415C" w:rsidP="00BD415C">
            <w:pPr>
              <w:pStyle w:val="Source"/>
              <w:rPr>
                <w:sz w:val="2"/>
                <w:szCs w:val="2"/>
              </w:rPr>
            </w:pPr>
            <w:r w:rsidRPr="00BD415C">
              <w:rPr>
                <w:sz w:val="2"/>
                <w:szCs w:val="2"/>
              </w:rPr>
              <w:t>1.7%</w:t>
            </w:r>
          </w:p>
        </w:tc>
        <w:tc>
          <w:tcPr>
            <w:tcW w:w="960" w:type="dxa"/>
            <w:noWrap/>
            <w:hideMark/>
          </w:tcPr>
          <w:p w14:paraId="4A2635DE" w14:textId="77777777" w:rsidR="00BD415C" w:rsidRPr="00BD415C" w:rsidRDefault="00BD415C" w:rsidP="00BD415C">
            <w:pPr>
              <w:pStyle w:val="Source"/>
              <w:rPr>
                <w:sz w:val="2"/>
                <w:szCs w:val="2"/>
              </w:rPr>
            </w:pPr>
            <w:r w:rsidRPr="00BD415C">
              <w:rPr>
                <w:sz w:val="2"/>
                <w:szCs w:val="2"/>
              </w:rPr>
              <w:t>1.5%</w:t>
            </w:r>
          </w:p>
        </w:tc>
        <w:tc>
          <w:tcPr>
            <w:tcW w:w="960" w:type="dxa"/>
            <w:noWrap/>
            <w:hideMark/>
          </w:tcPr>
          <w:p w14:paraId="36ED5453" w14:textId="77777777" w:rsidR="00BD415C" w:rsidRPr="00BD415C" w:rsidRDefault="00BD415C" w:rsidP="00BD415C">
            <w:pPr>
              <w:pStyle w:val="Source"/>
              <w:rPr>
                <w:sz w:val="2"/>
                <w:szCs w:val="2"/>
              </w:rPr>
            </w:pPr>
            <w:r w:rsidRPr="00BD415C">
              <w:rPr>
                <w:sz w:val="2"/>
                <w:szCs w:val="2"/>
              </w:rPr>
              <w:t>1.7%</w:t>
            </w:r>
          </w:p>
        </w:tc>
        <w:tc>
          <w:tcPr>
            <w:tcW w:w="960" w:type="dxa"/>
            <w:noWrap/>
            <w:hideMark/>
          </w:tcPr>
          <w:p w14:paraId="49C8C35A" w14:textId="77777777" w:rsidR="00BD415C" w:rsidRPr="00BD415C" w:rsidRDefault="00BD415C" w:rsidP="00BD415C">
            <w:pPr>
              <w:pStyle w:val="Source"/>
              <w:rPr>
                <w:sz w:val="2"/>
                <w:szCs w:val="2"/>
              </w:rPr>
            </w:pPr>
            <w:r w:rsidRPr="00BD415C">
              <w:rPr>
                <w:sz w:val="2"/>
                <w:szCs w:val="2"/>
              </w:rPr>
              <w:t>1.3%</w:t>
            </w:r>
          </w:p>
        </w:tc>
      </w:tr>
      <w:tr w:rsidR="00BD415C" w:rsidRPr="00BD415C" w14:paraId="17FF6ABC" w14:textId="77777777" w:rsidTr="00BD415C">
        <w:trPr>
          <w:trHeight w:val="285"/>
          <w:jc w:val="center"/>
        </w:trPr>
        <w:tc>
          <w:tcPr>
            <w:tcW w:w="2268" w:type="dxa"/>
            <w:noWrap/>
            <w:hideMark/>
          </w:tcPr>
          <w:p w14:paraId="000612D5" w14:textId="77777777" w:rsidR="00BD415C" w:rsidRPr="00BD415C" w:rsidRDefault="00BD415C" w:rsidP="00BD415C">
            <w:pPr>
              <w:pStyle w:val="Source"/>
              <w:rPr>
                <w:sz w:val="2"/>
                <w:szCs w:val="2"/>
              </w:rPr>
            </w:pPr>
            <w:r w:rsidRPr="00BD415C">
              <w:rPr>
                <w:sz w:val="2"/>
                <w:szCs w:val="2"/>
              </w:rPr>
              <w:t>Community education providers</w:t>
            </w:r>
          </w:p>
        </w:tc>
        <w:tc>
          <w:tcPr>
            <w:tcW w:w="960" w:type="dxa"/>
            <w:noWrap/>
            <w:hideMark/>
          </w:tcPr>
          <w:p w14:paraId="040D34C6" w14:textId="77777777" w:rsidR="00BD415C" w:rsidRPr="00BD415C" w:rsidRDefault="00BD415C" w:rsidP="00BD415C">
            <w:pPr>
              <w:pStyle w:val="Source"/>
              <w:rPr>
                <w:sz w:val="2"/>
                <w:szCs w:val="2"/>
              </w:rPr>
            </w:pPr>
            <w:r w:rsidRPr="00BD415C">
              <w:rPr>
                <w:sz w:val="2"/>
                <w:szCs w:val="2"/>
              </w:rPr>
              <w:t>8.5%</w:t>
            </w:r>
          </w:p>
        </w:tc>
        <w:tc>
          <w:tcPr>
            <w:tcW w:w="960" w:type="dxa"/>
            <w:noWrap/>
            <w:hideMark/>
          </w:tcPr>
          <w:p w14:paraId="09AE36AC" w14:textId="77777777" w:rsidR="00BD415C" w:rsidRPr="00BD415C" w:rsidRDefault="00BD415C" w:rsidP="00BD415C">
            <w:pPr>
              <w:pStyle w:val="Source"/>
              <w:rPr>
                <w:sz w:val="2"/>
                <w:szCs w:val="2"/>
              </w:rPr>
            </w:pPr>
            <w:r w:rsidRPr="00BD415C">
              <w:rPr>
                <w:sz w:val="2"/>
                <w:szCs w:val="2"/>
              </w:rPr>
              <w:t>8.7%</w:t>
            </w:r>
          </w:p>
        </w:tc>
        <w:tc>
          <w:tcPr>
            <w:tcW w:w="960" w:type="dxa"/>
            <w:noWrap/>
            <w:hideMark/>
          </w:tcPr>
          <w:p w14:paraId="7B742217" w14:textId="77777777" w:rsidR="00BD415C" w:rsidRPr="00BD415C" w:rsidRDefault="00BD415C" w:rsidP="00BD415C">
            <w:pPr>
              <w:pStyle w:val="Source"/>
              <w:rPr>
                <w:sz w:val="2"/>
                <w:szCs w:val="2"/>
              </w:rPr>
            </w:pPr>
            <w:r w:rsidRPr="00BD415C">
              <w:rPr>
                <w:sz w:val="2"/>
                <w:szCs w:val="2"/>
              </w:rPr>
              <w:t>8.2%</w:t>
            </w:r>
          </w:p>
        </w:tc>
        <w:tc>
          <w:tcPr>
            <w:tcW w:w="960" w:type="dxa"/>
            <w:noWrap/>
            <w:hideMark/>
          </w:tcPr>
          <w:p w14:paraId="314CD08D" w14:textId="77777777" w:rsidR="00BD415C" w:rsidRPr="00BD415C" w:rsidRDefault="00BD415C" w:rsidP="00BD415C">
            <w:pPr>
              <w:pStyle w:val="Source"/>
              <w:rPr>
                <w:sz w:val="2"/>
                <w:szCs w:val="2"/>
              </w:rPr>
            </w:pPr>
            <w:r w:rsidRPr="00BD415C">
              <w:rPr>
                <w:sz w:val="2"/>
                <w:szCs w:val="2"/>
              </w:rPr>
              <w:t>8.1%</w:t>
            </w:r>
          </w:p>
        </w:tc>
        <w:tc>
          <w:tcPr>
            <w:tcW w:w="960" w:type="dxa"/>
            <w:noWrap/>
            <w:hideMark/>
          </w:tcPr>
          <w:p w14:paraId="6AE96CCA" w14:textId="77777777" w:rsidR="00BD415C" w:rsidRPr="00BD415C" w:rsidRDefault="00BD415C" w:rsidP="00BD415C">
            <w:pPr>
              <w:pStyle w:val="Source"/>
              <w:rPr>
                <w:sz w:val="2"/>
                <w:szCs w:val="2"/>
              </w:rPr>
            </w:pPr>
            <w:r w:rsidRPr="00BD415C">
              <w:rPr>
                <w:sz w:val="2"/>
                <w:szCs w:val="2"/>
              </w:rPr>
              <w:t>7.7%</w:t>
            </w:r>
          </w:p>
        </w:tc>
      </w:tr>
      <w:tr w:rsidR="00BD415C" w:rsidRPr="00BD415C" w14:paraId="045F937A" w14:textId="77777777" w:rsidTr="00BD415C">
        <w:trPr>
          <w:trHeight w:val="285"/>
          <w:jc w:val="center"/>
        </w:trPr>
        <w:tc>
          <w:tcPr>
            <w:tcW w:w="2268" w:type="dxa"/>
            <w:noWrap/>
            <w:hideMark/>
          </w:tcPr>
          <w:p w14:paraId="3CAE70C2" w14:textId="77777777" w:rsidR="00BD415C" w:rsidRPr="00BD415C" w:rsidRDefault="00BD415C" w:rsidP="00BD415C">
            <w:pPr>
              <w:pStyle w:val="Source"/>
              <w:rPr>
                <w:sz w:val="2"/>
                <w:szCs w:val="2"/>
              </w:rPr>
            </w:pPr>
            <w:r w:rsidRPr="00BD415C">
              <w:rPr>
                <w:sz w:val="2"/>
                <w:szCs w:val="2"/>
              </w:rPr>
              <w:t>Enterprise providers</w:t>
            </w:r>
          </w:p>
        </w:tc>
        <w:tc>
          <w:tcPr>
            <w:tcW w:w="960" w:type="dxa"/>
            <w:noWrap/>
            <w:hideMark/>
          </w:tcPr>
          <w:p w14:paraId="0B28A0BD" w14:textId="77777777" w:rsidR="00BD415C" w:rsidRPr="00BD415C" w:rsidRDefault="00BD415C" w:rsidP="00BD415C">
            <w:pPr>
              <w:pStyle w:val="Source"/>
              <w:rPr>
                <w:sz w:val="2"/>
                <w:szCs w:val="2"/>
              </w:rPr>
            </w:pPr>
            <w:r w:rsidRPr="00BD415C">
              <w:rPr>
                <w:sz w:val="2"/>
                <w:szCs w:val="2"/>
              </w:rPr>
              <w:t>0.7%</w:t>
            </w:r>
          </w:p>
        </w:tc>
        <w:tc>
          <w:tcPr>
            <w:tcW w:w="960" w:type="dxa"/>
            <w:noWrap/>
            <w:hideMark/>
          </w:tcPr>
          <w:p w14:paraId="30AB3978" w14:textId="77777777" w:rsidR="00BD415C" w:rsidRPr="00BD415C" w:rsidRDefault="00BD415C" w:rsidP="00BD415C">
            <w:pPr>
              <w:pStyle w:val="Source"/>
              <w:rPr>
                <w:sz w:val="2"/>
                <w:szCs w:val="2"/>
              </w:rPr>
            </w:pPr>
            <w:r w:rsidRPr="00BD415C">
              <w:rPr>
                <w:sz w:val="2"/>
                <w:szCs w:val="2"/>
              </w:rPr>
              <w:t>0.5%</w:t>
            </w:r>
          </w:p>
        </w:tc>
        <w:tc>
          <w:tcPr>
            <w:tcW w:w="960" w:type="dxa"/>
            <w:noWrap/>
            <w:hideMark/>
          </w:tcPr>
          <w:p w14:paraId="33C87D06" w14:textId="77777777" w:rsidR="00BD415C" w:rsidRPr="00BD415C" w:rsidRDefault="00BD415C" w:rsidP="00BD415C">
            <w:pPr>
              <w:pStyle w:val="Source"/>
              <w:rPr>
                <w:sz w:val="2"/>
                <w:szCs w:val="2"/>
              </w:rPr>
            </w:pPr>
            <w:r w:rsidRPr="00BD415C">
              <w:rPr>
                <w:sz w:val="2"/>
                <w:szCs w:val="2"/>
              </w:rPr>
              <w:t>0.3%</w:t>
            </w:r>
          </w:p>
        </w:tc>
        <w:tc>
          <w:tcPr>
            <w:tcW w:w="960" w:type="dxa"/>
            <w:noWrap/>
            <w:hideMark/>
          </w:tcPr>
          <w:p w14:paraId="2D710D26" w14:textId="77777777" w:rsidR="00BD415C" w:rsidRPr="00BD415C" w:rsidRDefault="00BD415C" w:rsidP="00BD415C">
            <w:pPr>
              <w:pStyle w:val="Source"/>
              <w:rPr>
                <w:sz w:val="2"/>
                <w:szCs w:val="2"/>
              </w:rPr>
            </w:pPr>
            <w:r w:rsidRPr="00BD415C">
              <w:rPr>
                <w:sz w:val="2"/>
                <w:szCs w:val="2"/>
              </w:rPr>
              <w:t>0.3%</w:t>
            </w:r>
          </w:p>
        </w:tc>
        <w:tc>
          <w:tcPr>
            <w:tcW w:w="960" w:type="dxa"/>
            <w:noWrap/>
            <w:hideMark/>
          </w:tcPr>
          <w:p w14:paraId="65122698" w14:textId="77777777" w:rsidR="00BD415C" w:rsidRPr="00BD415C" w:rsidRDefault="00BD415C" w:rsidP="00BD415C">
            <w:pPr>
              <w:pStyle w:val="Source"/>
              <w:rPr>
                <w:sz w:val="2"/>
                <w:szCs w:val="2"/>
              </w:rPr>
            </w:pPr>
            <w:r w:rsidRPr="00BD415C">
              <w:rPr>
                <w:sz w:val="2"/>
                <w:szCs w:val="2"/>
              </w:rPr>
              <w:t>0.1%</w:t>
            </w:r>
          </w:p>
        </w:tc>
      </w:tr>
      <w:tr w:rsidR="00BD415C" w:rsidRPr="00BD415C" w14:paraId="05957D08" w14:textId="77777777" w:rsidTr="00BD415C">
        <w:trPr>
          <w:trHeight w:val="285"/>
          <w:jc w:val="center"/>
        </w:trPr>
        <w:tc>
          <w:tcPr>
            <w:tcW w:w="2268" w:type="dxa"/>
            <w:noWrap/>
            <w:hideMark/>
          </w:tcPr>
          <w:p w14:paraId="61A96544" w14:textId="77777777" w:rsidR="00BD415C" w:rsidRPr="00BD415C" w:rsidRDefault="00BD415C" w:rsidP="00BD415C">
            <w:pPr>
              <w:pStyle w:val="Source"/>
              <w:rPr>
                <w:sz w:val="2"/>
                <w:szCs w:val="2"/>
              </w:rPr>
            </w:pPr>
            <w:r w:rsidRPr="00BD415C">
              <w:rPr>
                <w:sz w:val="2"/>
                <w:szCs w:val="2"/>
              </w:rPr>
              <w:t>Private training providers</w:t>
            </w:r>
          </w:p>
        </w:tc>
        <w:tc>
          <w:tcPr>
            <w:tcW w:w="960" w:type="dxa"/>
            <w:noWrap/>
            <w:hideMark/>
          </w:tcPr>
          <w:p w14:paraId="3A9ED984" w14:textId="77777777" w:rsidR="00BD415C" w:rsidRPr="00BD415C" w:rsidRDefault="00BD415C" w:rsidP="00BD415C">
            <w:pPr>
              <w:pStyle w:val="Source"/>
              <w:rPr>
                <w:sz w:val="2"/>
                <w:szCs w:val="2"/>
              </w:rPr>
            </w:pPr>
            <w:r w:rsidRPr="00BD415C">
              <w:rPr>
                <w:sz w:val="2"/>
                <w:szCs w:val="2"/>
              </w:rPr>
              <w:t>55.4%</w:t>
            </w:r>
          </w:p>
        </w:tc>
        <w:tc>
          <w:tcPr>
            <w:tcW w:w="960" w:type="dxa"/>
            <w:noWrap/>
            <w:hideMark/>
          </w:tcPr>
          <w:p w14:paraId="7B0B616F" w14:textId="77777777" w:rsidR="00BD415C" w:rsidRPr="00BD415C" w:rsidRDefault="00BD415C" w:rsidP="00BD415C">
            <w:pPr>
              <w:pStyle w:val="Source"/>
              <w:rPr>
                <w:sz w:val="2"/>
                <w:szCs w:val="2"/>
              </w:rPr>
            </w:pPr>
            <w:r w:rsidRPr="00BD415C">
              <w:rPr>
                <w:sz w:val="2"/>
                <w:szCs w:val="2"/>
              </w:rPr>
              <w:t>57.4%</w:t>
            </w:r>
          </w:p>
        </w:tc>
        <w:tc>
          <w:tcPr>
            <w:tcW w:w="960" w:type="dxa"/>
            <w:noWrap/>
            <w:hideMark/>
          </w:tcPr>
          <w:p w14:paraId="7EA5E046" w14:textId="77777777" w:rsidR="00BD415C" w:rsidRPr="00BD415C" w:rsidRDefault="00BD415C" w:rsidP="00BD415C">
            <w:pPr>
              <w:pStyle w:val="Source"/>
              <w:rPr>
                <w:sz w:val="2"/>
                <w:szCs w:val="2"/>
              </w:rPr>
            </w:pPr>
            <w:r w:rsidRPr="00BD415C">
              <w:rPr>
                <w:sz w:val="2"/>
                <w:szCs w:val="2"/>
              </w:rPr>
              <w:t>57.7%</w:t>
            </w:r>
          </w:p>
        </w:tc>
        <w:tc>
          <w:tcPr>
            <w:tcW w:w="960" w:type="dxa"/>
            <w:noWrap/>
            <w:hideMark/>
          </w:tcPr>
          <w:p w14:paraId="3C99CE7F" w14:textId="77777777" w:rsidR="00BD415C" w:rsidRPr="00BD415C" w:rsidRDefault="00BD415C" w:rsidP="00BD415C">
            <w:pPr>
              <w:pStyle w:val="Source"/>
              <w:rPr>
                <w:sz w:val="2"/>
                <w:szCs w:val="2"/>
              </w:rPr>
            </w:pPr>
            <w:r w:rsidRPr="00BD415C">
              <w:rPr>
                <w:sz w:val="2"/>
                <w:szCs w:val="2"/>
              </w:rPr>
              <w:t>59.6%</w:t>
            </w:r>
          </w:p>
        </w:tc>
        <w:tc>
          <w:tcPr>
            <w:tcW w:w="960" w:type="dxa"/>
            <w:noWrap/>
            <w:hideMark/>
          </w:tcPr>
          <w:p w14:paraId="7393BBB8" w14:textId="77777777" w:rsidR="00BD415C" w:rsidRPr="00BD415C" w:rsidRDefault="00BD415C" w:rsidP="00BD415C">
            <w:pPr>
              <w:pStyle w:val="Source"/>
              <w:rPr>
                <w:sz w:val="2"/>
                <w:szCs w:val="2"/>
              </w:rPr>
            </w:pPr>
            <w:r w:rsidRPr="00BD415C">
              <w:rPr>
                <w:sz w:val="2"/>
                <w:szCs w:val="2"/>
              </w:rPr>
              <w:t>64.0%</w:t>
            </w:r>
          </w:p>
        </w:tc>
      </w:tr>
    </w:tbl>
    <w:p w14:paraId="1575451E" w14:textId="77777777" w:rsidR="00BD415C" w:rsidRDefault="00BD415C" w:rsidP="00701210">
      <w:pPr>
        <w:pStyle w:val="Source"/>
      </w:pPr>
    </w:p>
    <w:p w14:paraId="67E6F33B" w14:textId="77777777" w:rsidR="00BD415C" w:rsidRDefault="00BD415C" w:rsidP="00701210">
      <w:pPr>
        <w:pStyle w:val="Source"/>
      </w:pPr>
    </w:p>
    <w:p w14:paraId="11897299" w14:textId="77777777" w:rsidR="00BD415C" w:rsidRDefault="00BD415C" w:rsidP="00BD415C"/>
    <w:p w14:paraId="0F22F74B" w14:textId="77777777" w:rsidR="00BD415C" w:rsidRDefault="00BD415C" w:rsidP="00BD415C"/>
    <w:p w14:paraId="7E6051D2" w14:textId="77777777" w:rsidR="00BD415C" w:rsidRDefault="00BD415C" w:rsidP="00BD415C"/>
    <w:p w14:paraId="029814D7" w14:textId="4EE95176" w:rsidR="00846EE4" w:rsidRPr="00846EE4" w:rsidRDefault="00846EE4" w:rsidP="00701210">
      <w:pPr>
        <w:pStyle w:val="Source"/>
      </w:pPr>
      <w:r w:rsidRPr="00846EE4">
        <w:t>Source: NCVER 2023, Total VET students and courses 2022.</w:t>
      </w:r>
    </w:p>
    <w:p w14:paraId="1F643BB9" w14:textId="7B92817F" w:rsidR="00846EE4" w:rsidRPr="00846EE4" w:rsidRDefault="00846EE4" w:rsidP="00701210">
      <w:pPr>
        <w:pStyle w:val="Caption"/>
      </w:pPr>
      <w:bookmarkStart w:id="143" w:name="_Ref168317371"/>
      <w:r w:rsidRPr="00846EE4">
        <w:t>Figure 3.</w:t>
      </w:r>
      <w:r w:rsidRPr="00846EE4">
        <w:fldChar w:fldCharType="begin"/>
      </w:r>
      <w:r w:rsidRPr="00846EE4">
        <w:instrText xml:space="preserve"> SEQ Figure \* ARABIC \s 1 </w:instrText>
      </w:r>
      <w:r w:rsidRPr="00846EE4">
        <w:fldChar w:fldCharType="separate"/>
      </w:r>
      <w:r w:rsidR="005F18C1">
        <w:rPr>
          <w:noProof/>
        </w:rPr>
        <w:t>4</w:t>
      </w:r>
      <w:r w:rsidRPr="00846EE4">
        <w:fldChar w:fldCharType="end"/>
      </w:r>
      <w:bookmarkEnd w:id="143"/>
      <w:r w:rsidRPr="00846EE4">
        <w:t xml:space="preserve"> Diploma ECEC enrolment proportion by RTO provider type</w:t>
      </w:r>
    </w:p>
    <w:p w14:paraId="6353E3DA" w14:textId="77777777" w:rsidR="00846EE4" w:rsidRPr="00846EE4" w:rsidRDefault="00846EE4" w:rsidP="00846EE4">
      <w:pPr>
        <w:rPr>
          <w:rFonts w:cs="Arial"/>
        </w:rPr>
      </w:pPr>
      <w:r w:rsidRPr="00846EE4">
        <w:rPr>
          <w:noProof/>
        </w:rPr>
        <w:drawing>
          <wp:anchor distT="0" distB="0" distL="114300" distR="114300" simplePos="0" relativeHeight="251722755" behindDoc="0" locked="0" layoutInCell="1" allowOverlap="1" wp14:anchorId="421CD8AF" wp14:editId="1FD06698">
            <wp:simplePos x="0" y="0"/>
            <wp:positionH relativeFrom="column">
              <wp:posOffset>0</wp:posOffset>
            </wp:positionH>
            <wp:positionV relativeFrom="paragraph">
              <wp:posOffset>3175</wp:posOffset>
            </wp:positionV>
            <wp:extent cx="5176800" cy="2880000"/>
            <wp:effectExtent l="0" t="0" r="5080" b="15875"/>
            <wp:wrapNone/>
            <wp:docPr id="1538398389" name="Chart 1">
              <a:extLst xmlns:a="http://schemas.openxmlformats.org/drawingml/2006/main">
                <a:ext uri="{FF2B5EF4-FFF2-40B4-BE49-F238E27FC236}">
                  <a16:creationId xmlns:a16="http://schemas.microsoft.com/office/drawing/2014/main" id="{C2C82A79-1682-487F-8474-318ED6F840D6}"/>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anchor>
        </w:drawing>
      </w:r>
    </w:p>
    <w:tbl>
      <w:tblPr>
        <w:tblStyle w:val="Box"/>
        <w:tblW w:w="0" w:type="auto"/>
        <w:jc w:val="center"/>
        <w:tblLook w:val="04A0" w:firstRow="1" w:lastRow="0" w:firstColumn="1" w:lastColumn="0" w:noHBand="0" w:noVBand="1"/>
      </w:tblPr>
      <w:tblGrid>
        <w:gridCol w:w="3240"/>
        <w:gridCol w:w="960"/>
        <w:gridCol w:w="960"/>
        <w:gridCol w:w="960"/>
        <w:gridCol w:w="960"/>
        <w:gridCol w:w="960"/>
      </w:tblGrid>
      <w:tr w:rsidR="00BD415C" w:rsidRPr="00BD415C" w14:paraId="7540DE70" w14:textId="77777777" w:rsidTr="00BD415C">
        <w:trPr>
          <w:trHeight w:val="300"/>
          <w:jc w:val="center"/>
        </w:trPr>
        <w:tc>
          <w:tcPr>
            <w:tcW w:w="3240" w:type="dxa"/>
            <w:noWrap/>
            <w:hideMark/>
          </w:tcPr>
          <w:p w14:paraId="16F98016" w14:textId="77777777" w:rsidR="00BD415C" w:rsidRPr="00BD415C" w:rsidRDefault="00BD415C" w:rsidP="00BD415C">
            <w:pPr>
              <w:pStyle w:val="Source"/>
              <w:rPr>
                <w:b/>
                <w:bCs/>
                <w:sz w:val="2"/>
                <w:szCs w:val="2"/>
              </w:rPr>
            </w:pPr>
            <w:r w:rsidRPr="00BD415C">
              <w:rPr>
                <w:b/>
                <w:bCs/>
                <w:sz w:val="2"/>
                <w:szCs w:val="2"/>
              </w:rPr>
              <w:t>RTO Provider Type</w:t>
            </w:r>
          </w:p>
        </w:tc>
        <w:tc>
          <w:tcPr>
            <w:tcW w:w="960" w:type="dxa"/>
            <w:noWrap/>
            <w:hideMark/>
          </w:tcPr>
          <w:p w14:paraId="7CB37BF1" w14:textId="77777777" w:rsidR="00BD415C" w:rsidRPr="00BD415C" w:rsidRDefault="00BD415C" w:rsidP="00BD415C">
            <w:pPr>
              <w:pStyle w:val="Source"/>
              <w:rPr>
                <w:b/>
                <w:bCs/>
                <w:sz w:val="2"/>
                <w:szCs w:val="2"/>
              </w:rPr>
            </w:pPr>
            <w:r w:rsidRPr="00BD415C">
              <w:rPr>
                <w:b/>
                <w:bCs/>
                <w:sz w:val="2"/>
                <w:szCs w:val="2"/>
              </w:rPr>
              <w:t>2018</w:t>
            </w:r>
          </w:p>
        </w:tc>
        <w:tc>
          <w:tcPr>
            <w:tcW w:w="960" w:type="dxa"/>
            <w:noWrap/>
            <w:hideMark/>
          </w:tcPr>
          <w:p w14:paraId="0CA6D659" w14:textId="77777777" w:rsidR="00BD415C" w:rsidRPr="00BD415C" w:rsidRDefault="00BD415C" w:rsidP="00BD415C">
            <w:pPr>
              <w:pStyle w:val="Source"/>
              <w:rPr>
                <w:b/>
                <w:bCs/>
                <w:sz w:val="2"/>
                <w:szCs w:val="2"/>
              </w:rPr>
            </w:pPr>
            <w:r w:rsidRPr="00BD415C">
              <w:rPr>
                <w:b/>
                <w:bCs/>
                <w:sz w:val="2"/>
                <w:szCs w:val="2"/>
              </w:rPr>
              <w:t>2019</w:t>
            </w:r>
          </w:p>
        </w:tc>
        <w:tc>
          <w:tcPr>
            <w:tcW w:w="960" w:type="dxa"/>
            <w:noWrap/>
            <w:hideMark/>
          </w:tcPr>
          <w:p w14:paraId="7779C94E" w14:textId="77777777" w:rsidR="00BD415C" w:rsidRPr="00BD415C" w:rsidRDefault="00BD415C" w:rsidP="00BD415C">
            <w:pPr>
              <w:pStyle w:val="Source"/>
              <w:rPr>
                <w:b/>
                <w:bCs/>
                <w:sz w:val="2"/>
                <w:szCs w:val="2"/>
              </w:rPr>
            </w:pPr>
            <w:r w:rsidRPr="00BD415C">
              <w:rPr>
                <w:b/>
                <w:bCs/>
                <w:sz w:val="2"/>
                <w:szCs w:val="2"/>
              </w:rPr>
              <w:t>2020</w:t>
            </w:r>
          </w:p>
        </w:tc>
        <w:tc>
          <w:tcPr>
            <w:tcW w:w="960" w:type="dxa"/>
            <w:noWrap/>
            <w:hideMark/>
          </w:tcPr>
          <w:p w14:paraId="162C9F4A" w14:textId="77777777" w:rsidR="00BD415C" w:rsidRPr="00BD415C" w:rsidRDefault="00BD415C" w:rsidP="00BD415C">
            <w:pPr>
              <w:pStyle w:val="Source"/>
              <w:rPr>
                <w:b/>
                <w:bCs/>
                <w:sz w:val="2"/>
                <w:szCs w:val="2"/>
              </w:rPr>
            </w:pPr>
            <w:r w:rsidRPr="00BD415C">
              <w:rPr>
                <w:b/>
                <w:bCs/>
                <w:sz w:val="2"/>
                <w:szCs w:val="2"/>
              </w:rPr>
              <w:t>2021</w:t>
            </w:r>
          </w:p>
        </w:tc>
        <w:tc>
          <w:tcPr>
            <w:tcW w:w="960" w:type="dxa"/>
            <w:noWrap/>
            <w:hideMark/>
          </w:tcPr>
          <w:p w14:paraId="48E7875D" w14:textId="77777777" w:rsidR="00BD415C" w:rsidRPr="00BD415C" w:rsidRDefault="00BD415C" w:rsidP="00BD415C">
            <w:pPr>
              <w:pStyle w:val="Source"/>
              <w:rPr>
                <w:b/>
                <w:bCs/>
                <w:sz w:val="2"/>
                <w:szCs w:val="2"/>
              </w:rPr>
            </w:pPr>
            <w:r w:rsidRPr="00BD415C">
              <w:rPr>
                <w:b/>
                <w:bCs/>
                <w:sz w:val="2"/>
                <w:szCs w:val="2"/>
              </w:rPr>
              <w:t>2022</w:t>
            </w:r>
          </w:p>
        </w:tc>
      </w:tr>
      <w:tr w:rsidR="00BD415C" w:rsidRPr="00BD415C" w14:paraId="1B4ABE5E" w14:textId="77777777" w:rsidTr="00BD415C">
        <w:trPr>
          <w:trHeight w:val="285"/>
          <w:jc w:val="center"/>
        </w:trPr>
        <w:tc>
          <w:tcPr>
            <w:tcW w:w="3240" w:type="dxa"/>
            <w:noWrap/>
            <w:hideMark/>
          </w:tcPr>
          <w:p w14:paraId="54A25EDB" w14:textId="77777777" w:rsidR="00BD415C" w:rsidRPr="00BD415C" w:rsidRDefault="00BD415C" w:rsidP="00BD415C">
            <w:pPr>
              <w:pStyle w:val="Source"/>
              <w:rPr>
                <w:sz w:val="2"/>
                <w:szCs w:val="2"/>
              </w:rPr>
            </w:pPr>
            <w:r w:rsidRPr="00BD415C">
              <w:rPr>
                <w:sz w:val="2"/>
                <w:szCs w:val="2"/>
              </w:rPr>
              <w:t>TAFE institutes</w:t>
            </w:r>
          </w:p>
        </w:tc>
        <w:tc>
          <w:tcPr>
            <w:tcW w:w="960" w:type="dxa"/>
            <w:noWrap/>
            <w:hideMark/>
          </w:tcPr>
          <w:p w14:paraId="741DCE3F" w14:textId="77777777" w:rsidR="00BD415C" w:rsidRPr="00BD415C" w:rsidRDefault="00BD415C" w:rsidP="00BD415C">
            <w:pPr>
              <w:pStyle w:val="Source"/>
              <w:rPr>
                <w:sz w:val="2"/>
                <w:szCs w:val="2"/>
              </w:rPr>
            </w:pPr>
            <w:r w:rsidRPr="00BD415C">
              <w:rPr>
                <w:sz w:val="2"/>
                <w:szCs w:val="2"/>
              </w:rPr>
              <w:t>23.9%</w:t>
            </w:r>
          </w:p>
        </w:tc>
        <w:tc>
          <w:tcPr>
            <w:tcW w:w="960" w:type="dxa"/>
            <w:noWrap/>
            <w:hideMark/>
          </w:tcPr>
          <w:p w14:paraId="367E4D29" w14:textId="77777777" w:rsidR="00BD415C" w:rsidRPr="00BD415C" w:rsidRDefault="00BD415C" w:rsidP="00BD415C">
            <w:pPr>
              <w:pStyle w:val="Source"/>
              <w:rPr>
                <w:sz w:val="2"/>
                <w:szCs w:val="2"/>
              </w:rPr>
            </w:pPr>
            <w:r w:rsidRPr="00BD415C">
              <w:rPr>
                <w:sz w:val="2"/>
                <w:szCs w:val="2"/>
              </w:rPr>
              <w:t>18.1%</w:t>
            </w:r>
          </w:p>
        </w:tc>
        <w:tc>
          <w:tcPr>
            <w:tcW w:w="960" w:type="dxa"/>
            <w:noWrap/>
            <w:hideMark/>
          </w:tcPr>
          <w:p w14:paraId="2662E48E" w14:textId="77777777" w:rsidR="00BD415C" w:rsidRPr="00BD415C" w:rsidRDefault="00BD415C" w:rsidP="00BD415C">
            <w:pPr>
              <w:pStyle w:val="Source"/>
              <w:rPr>
                <w:sz w:val="2"/>
                <w:szCs w:val="2"/>
              </w:rPr>
            </w:pPr>
            <w:r w:rsidRPr="00BD415C">
              <w:rPr>
                <w:sz w:val="2"/>
                <w:szCs w:val="2"/>
              </w:rPr>
              <w:t>19.9%</w:t>
            </w:r>
          </w:p>
        </w:tc>
        <w:tc>
          <w:tcPr>
            <w:tcW w:w="960" w:type="dxa"/>
            <w:noWrap/>
            <w:hideMark/>
          </w:tcPr>
          <w:p w14:paraId="3AE6DA14" w14:textId="77777777" w:rsidR="00BD415C" w:rsidRPr="00BD415C" w:rsidRDefault="00BD415C" w:rsidP="00BD415C">
            <w:pPr>
              <w:pStyle w:val="Source"/>
              <w:rPr>
                <w:sz w:val="2"/>
                <w:szCs w:val="2"/>
              </w:rPr>
            </w:pPr>
            <w:r w:rsidRPr="00BD415C">
              <w:rPr>
                <w:sz w:val="2"/>
                <w:szCs w:val="2"/>
              </w:rPr>
              <w:t>18.9%</w:t>
            </w:r>
          </w:p>
        </w:tc>
        <w:tc>
          <w:tcPr>
            <w:tcW w:w="960" w:type="dxa"/>
            <w:noWrap/>
            <w:hideMark/>
          </w:tcPr>
          <w:p w14:paraId="4548F779" w14:textId="77777777" w:rsidR="00BD415C" w:rsidRPr="00BD415C" w:rsidRDefault="00BD415C" w:rsidP="00BD415C">
            <w:pPr>
              <w:pStyle w:val="Source"/>
              <w:rPr>
                <w:sz w:val="2"/>
                <w:szCs w:val="2"/>
              </w:rPr>
            </w:pPr>
            <w:r w:rsidRPr="00BD415C">
              <w:rPr>
                <w:sz w:val="2"/>
                <w:szCs w:val="2"/>
              </w:rPr>
              <w:t>17.1%</w:t>
            </w:r>
          </w:p>
        </w:tc>
      </w:tr>
      <w:tr w:rsidR="00BD415C" w:rsidRPr="00BD415C" w14:paraId="54AC393E" w14:textId="77777777" w:rsidTr="00BD415C">
        <w:trPr>
          <w:trHeight w:val="285"/>
          <w:jc w:val="center"/>
        </w:trPr>
        <w:tc>
          <w:tcPr>
            <w:tcW w:w="3240" w:type="dxa"/>
            <w:noWrap/>
            <w:hideMark/>
          </w:tcPr>
          <w:p w14:paraId="1D75D4B9" w14:textId="77777777" w:rsidR="00BD415C" w:rsidRPr="00BD415C" w:rsidRDefault="00BD415C" w:rsidP="00BD415C">
            <w:pPr>
              <w:pStyle w:val="Source"/>
              <w:rPr>
                <w:sz w:val="2"/>
                <w:szCs w:val="2"/>
              </w:rPr>
            </w:pPr>
            <w:r w:rsidRPr="00BD415C">
              <w:rPr>
                <w:sz w:val="2"/>
                <w:szCs w:val="2"/>
              </w:rPr>
              <w:t>Universities</w:t>
            </w:r>
          </w:p>
        </w:tc>
        <w:tc>
          <w:tcPr>
            <w:tcW w:w="960" w:type="dxa"/>
            <w:noWrap/>
            <w:hideMark/>
          </w:tcPr>
          <w:p w14:paraId="4C6E7601" w14:textId="77777777" w:rsidR="00BD415C" w:rsidRPr="00BD415C" w:rsidRDefault="00BD415C" w:rsidP="00BD415C">
            <w:pPr>
              <w:pStyle w:val="Source"/>
              <w:rPr>
                <w:sz w:val="2"/>
                <w:szCs w:val="2"/>
              </w:rPr>
            </w:pPr>
            <w:r w:rsidRPr="00BD415C">
              <w:rPr>
                <w:sz w:val="2"/>
                <w:szCs w:val="2"/>
              </w:rPr>
              <w:t>1.7%</w:t>
            </w:r>
          </w:p>
        </w:tc>
        <w:tc>
          <w:tcPr>
            <w:tcW w:w="960" w:type="dxa"/>
            <w:noWrap/>
            <w:hideMark/>
          </w:tcPr>
          <w:p w14:paraId="44B1D210" w14:textId="77777777" w:rsidR="00BD415C" w:rsidRPr="00BD415C" w:rsidRDefault="00BD415C" w:rsidP="00BD415C">
            <w:pPr>
              <w:pStyle w:val="Source"/>
              <w:rPr>
                <w:sz w:val="2"/>
                <w:szCs w:val="2"/>
              </w:rPr>
            </w:pPr>
            <w:r w:rsidRPr="00BD415C">
              <w:rPr>
                <w:sz w:val="2"/>
                <w:szCs w:val="2"/>
              </w:rPr>
              <w:t>1.5%</w:t>
            </w:r>
          </w:p>
        </w:tc>
        <w:tc>
          <w:tcPr>
            <w:tcW w:w="960" w:type="dxa"/>
            <w:noWrap/>
            <w:hideMark/>
          </w:tcPr>
          <w:p w14:paraId="74D49783" w14:textId="77777777" w:rsidR="00BD415C" w:rsidRPr="00BD415C" w:rsidRDefault="00BD415C" w:rsidP="00BD415C">
            <w:pPr>
              <w:pStyle w:val="Source"/>
              <w:rPr>
                <w:sz w:val="2"/>
                <w:szCs w:val="2"/>
              </w:rPr>
            </w:pPr>
            <w:r w:rsidRPr="00BD415C">
              <w:rPr>
                <w:sz w:val="2"/>
                <w:szCs w:val="2"/>
              </w:rPr>
              <w:t>2.1%</w:t>
            </w:r>
          </w:p>
        </w:tc>
        <w:tc>
          <w:tcPr>
            <w:tcW w:w="960" w:type="dxa"/>
            <w:noWrap/>
            <w:hideMark/>
          </w:tcPr>
          <w:p w14:paraId="1AC5656B" w14:textId="77777777" w:rsidR="00BD415C" w:rsidRPr="00BD415C" w:rsidRDefault="00BD415C" w:rsidP="00BD415C">
            <w:pPr>
              <w:pStyle w:val="Source"/>
              <w:rPr>
                <w:sz w:val="2"/>
                <w:szCs w:val="2"/>
              </w:rPr>
            </w:pPr>
            <w:r w:rsidRPr="00BD415C">
              <w:rPr>
                <w:sz w:val="2"/>
                <w:szCs w:val="2"/>
              </w:rPr>
              <w:t>2.1%</w:t>
            </w:r>
          </w:p>
        </w:tc>
        <w:tc>
          <w:tcPr>
            <w:tcW w:w="960" w:type="dxa"/>
            <w:noWrap/>
            <w:hideMark/>
          </w:tcPr>
          <w:p w14:paraId="21D071D8" w14:textId="77777777" w:rsidR="00BD415C" w:rsidRPr="00BD415C" w:rsidRDefault="00BD415C" w:rsidP="00BD415C">
            <w:pPr>
              <w:pStyle w:val="Source"/>
              <w:rPr>
                <w:sz w:val="2"/>
                <w:szCs w:val="2"/>
              </w:rPr>
            </w:pPr>
            <w:r w:rsidRPr="00BD415C">
              <w:rPr>
                <w:sz w:val="2"/>
                <w:szCs w:val="2"/>
              </w:rPr>
              <w:t>1.6%</w:t>
            </w:r>
          </w:p>
        </w:tc>
      </w:tr>
      <w:tr w:rsidR="00BD415C" w:rsidRPr="00BD415C" w14:paraId="0F197D45" w14:textId="77777777" w:rsidTr="00BD415C">
        <w:trPr>
          <w:trHeight w:val="285"/>
          <w:jc w:val="center"/>
        </w:trPr>
        <w:tc>
          <w:tcPr>
            <w:tcW w:w="3240" w:type="dxa"/>
            <w:noWrap/>
            <w:hideMark/>
          </w:tcPr>
          <w:p w14:paraId="6E1CEE31" w14:textId="77777777" w:rsidR="00BD415C" w:rsidRPr="00BD415C" w:rsidRDefault="00BD415C" w:rsidP="00BD415C">
            <w:pPr>
              <w:pStyle w:val="Source"/>
              <w:rPr>
                <w:sz w:val="2"/>
                <w:szCs w:val="2"/>
              </w:rPr>
            </w:pPr>
            <w:r w:rsidRPr="00BD415C">
              <w:rPr>
                <w:sz w:val="2"/>
                <w:szCs w:val="2"/>
              </w:rPr>
              <w:t>Schools</w:t>
            </w:r>
          </w:p>
        </w:tc>
        <w:tc>
          <w:tcPr>
            <w:tcW w:w="960" w:type="dxa"/>
            <w:noWrap/>
            <w:hideMark/>
          </w:tcPr>
          <w:p w14:paraId="66EAB281" w14:textId="77777777" w:rsidR="00BD415C" w:rsidRPr="00BD415C" w:rsidRDefault="00BD415C" w:rsidP="00BD415C">
            <w:pPr>
              <w:pStyle w:val="Source"/>
              <w:rPr>
                <w:sz w:val="2"/>
                <w:szCs w:val="2"/>
              </w:rPr>
            </w:pPr>
            <w:r w:rsidRPr="00BD415C">
              <w:rPr>
                <w:sz w:val="2"/>
                <w:szCs w:val="2"/>
              </w:rPr>
              <w:t>0.1%</w:t>
            </w:r>
          </w:p>
        </w:tc>
        <w:tc>
          <w:tcPr>
            <w:tcW w:w="960" w:type="dxa"/>
            <w:noWrap/>
            <w:hideMark/>
          </w:tcPr>
          <w:p w14:paraId="54CEDD7F" w14:textId="77777777" w:rsidR="00BD415C" w:rsidRPr="00BD415C" w:rsidRDefault="00BD415C" w:rsidP="00BD415C">
            <w:pPr>
              <w:pStyle w:val="Source"/>
              <w:rPr>
                <w:sz w:val="2"/>
                <w:szCs w:val="2"/>
              </w:rPr>
            </w:pPr>
            <w:r w:rsidRPr="00BD415C">
              <w:rPr>
                <w:sz w:val="2"/>
                <w:szCs w:val="2"/>
              </w:rPr>
              <w:t>0.0%</w:t>
            </w:r>
          </w:p>
        </w:tc>
        <w:tc>
          <w:tcPr>
            <w:tcW w:w="960" w:type="dxa"/>
            <w:noWrap/>
            <w:hideMark/>
          </w:tcPr>
          <w:p w14:paraId="1F143ACA" w14:textId="77777777" w:rsidR="00BD415C" w:rsidRPr="00BD415C" w:rsidRDefault="00BD415C" w:rsidP="00BD415C">
            <w:pPr>
              <w:pStyle w:val="Source"/>
              <w:rPr>
                <w:sz w:val="2"/>
                <w:szCs w:val="2"/>
              </w:rPr>
            </w:pPr>
            <w:r w:rsidRPr="00BD415C">
              <w:rPr>
                <w:sz w:val="2"/>
                <w:szCs w:val="2"/>
              </w:rPr>
              <w:t>0.0%</w:t>
            </w:r>
          </w:p>
        </w:tc>
        <w:tc>
          <w:tcPr>
            <w:tcW w:w="960" w:type="dxa"/>
            <w:noWrap/>
            <w:hideMark/>
          </w:tcPr>
          <w:p w14:paraId="66200F34" w14:textId="77777777" w:rsidR="00BD415C" w:rsidRPr="00BD415C" w:rsidRDefault="00BD415C" w:rsidP="00BD415C">
            <w:pPr>
              <w:pStyle w:val="Source"/>
              <w:rPr>
                <w:sz w:val="2"/>
                <w:szCs w:val="2"/>
              </w:rPr>
            </w:pPr>
            <w:r w:rsidRPr="00BD415C">
              <w:rPr>
                <w:sz w:val="2"/>
                <w:szCs w:val="2"/>
              </w:rPr>
              <w:t>0.0%</w:t>
            </w:r>
          </w:p>
        </w:tc>
        <w:tc>
          <w:tcPr>
            <w:tcW w:w="960" w:type="dxa"/>
            <w:noWrap/>
            <w:hideMark/>
          </w:tcPr>
          <w:p w14:paraId="76F42417" w14:textId="77777777" w:rsidR="00BD415C" w:rsidRPr="00BD415C" w:rsidRDefault="00BD415C" w:rsidP="00BD415C">
            <w:pPr>
              <w:pStyle w:val="Source"/>
              <w:rPr>
                <w:sz w:val="2"/>
                <w:szCs w:val="2"/>
              </w:rPr>
            </w:pPr>
            <w:r w:rsidRPr="00BD415C">
              <w:rPr>
                <w:sz w:val="2"/>
                <w:szCs w:val="2"/>
              </w:rPr>
              <w:t>0.0%</w:t>
            </w:r>
          </w:p>
        </w:tc>
      </w:tr>
      <w:tr w:rsidR="00BD415C" w:rsidRPr="00BD415C" w14:paraId="458B55D3" w14:textId="77777777" w:rsidTr="00BD415C">
        <w:trPr>
          <w:trHeight w:val="285"/>
          <w:jc w:val="center"/>
        </w:trPr>
        <w:tc>
          <w:tcPr>
            <w:tcW w:w="3240" w:type="dxa"/>
            <w:noWrap/>
            <w:hideMark/>
          </w:tcPr>
          <w:p w14:paraId="5FE77DBB" w14:textId="77777777" w:rsidR="00BD415C" w:rsidRPr="00BD415C" w:rsidRDefault="00BD415C" w:rsidP="00BD415C">
            <w:pPr>
              <w:pStyle w:val="Source"/>
              <w:rPr>
                <w:sz w:val="2"/>
                <w:szCs w:val="2"/>
              </w:rPr>
            </w:pPr>
            <w:r w:rsidRPr="00BD415C">
              <w:rPr>
                <w:sz w:val="2"/>
                <w:szCs w:val="2"/>
              </w:rPr>
              <w:t>Community education providers</w:t>
            </w:r>
          </w:p>
        </w:tc>
        <w:tc>
          <w:tcPr>
            <w:tcW w:w="960" w:type="dxa"/>
            <w:noWrap/>
            <w:hideMark/>
          </w:tcPr>
          <w:p w14:paraId="4ECF5B94" w14:textId="77777777" w:rsidR="00BD415C" w:rsidRPr="00BD415C" w:rsidRDefault="00BD415C" w:rsidP="00BD415C">
            <w:pPr>
              <w:pStyle w:val="Source"/>
              <w:rPr>
                <w:sz w:val="2"/>
                <w:szCs w:val="2"/>
              </w:rPr>
            </w:pPr>
            <w:r w:rsidRPr="00BD415C">
              <w:rPr>
                <w:sz w:val="2"/>
                <w:szCs w:val="2"/>
              </w:rPr>
              <w:t>6.7%</w:t>
            </w:r>
          </w:p>
        </w:tc>
        <w:tc>
          <w:tcPr>
            <w:tcW w:w="960" w:type="dxa"/>
            <w:noWrap/>
            <w:hideMark/>
          </w:tcPr>
          <w:p w14:paraId="03F92525" w14:textId="77777777" w:rsidR="00BD415C" w:rsidRPr="00BD415C" w:rsidRDefault="00BD415C" w:rsidP="00BD415C">
            <w:pPr>
              <w:pStyle w:val="Source"/>
              <w:rPr>
                <w:sz w:val="2"/>
                <w:szCs w:val="2"/>
              </w:rPr>
            </w:pPr>
            <w:r w:rsidRPr="00BD415C">
              <w:rPr>
                <w:sz w:val="2"/>
                <w:szCs w:val="2"/>
              </w:rPr>
              <w:t>7.1%</w:t>
            </w:r>
          </w:p>
        </w:tc>
        <w:tc>
          <w:tcPr>
            <w:tcW w:w="960" w:type="dxa"/>
            <w:noWrap/>
            <w:hideMark/>
          </w:tcPr>
          <w:p w14:paraId="0812B0E5" w14:textId="77777777" w:rsidR="00BD415C" w:rsidRPr="00BD415C" w:rsidRDefault="00BD415C" w:rsidP="00BD415C">
            <w:pPr>
              <w:pStyle w:val="Source"/>
              <w:rPr>
                <w:sz w:val="2"/>
                <w:szCs w:val="2"/>
              </w:rPr>
            </w:pPr>
            <w:r w:rsidRPr="00BD415C">
              <w:rPr>
                <w:sz w:val="2"/>
                <w:szCs w:val="2"/>
              </w:rPr>
              <w:t>7.2%</w:t>
            </w:r>
          </w:p>
        </w:tc>
        <w:tc>
          <w:tcPr>
            <w:tcW w:w="960" w:type="dxa"/>
            <w:noWrap/>
            <w:hideMark/>
          </w:tcPr>
          <w:p w14:paraId="5018FA5C" w14:textId="77777777" w:rsidR="00BD415C" w:rsidRPr="00BD415C" w:rsidRDefault="00BD415C" w:rsidP="00BD415C">
            <w:pPr>
              <w:pStyle w:val="Source"/>
              <w:rPr>
                <w:sz w:val="2"/>
                <w:szCs w:val="2"/>
              </w:rPr>
            </w:pPr>
            <w:r w:rsidRPr="00BD415C">
              <w:rPr>
                <w:sz w:val="2"/>
                <w:szCs w:val="2"/>
              </w:rPr>
              <w:t>6.7%</w:t>
            </w:r>
          </w:p>
        </w:tc>
        <w:tc>
          <w:tcPr>
            <w:tcW w:w="960" w:type="dxa"/>
            <w:noWrap/>
            <w:hideMark/>
          </w:tcPr>
          <w:p w14:paraId="69498BF6" w14:textId="77777777" w:rsidR="00BD415C" w:rsidRPr="00BD415C" w:rsidRDefault="00BD415C" w:rsidP="00BD415C">
            <w:pPr>
              <w:pStyle w:val="Source"/>
              <w:rPr>
                <w:sz w:val="2"/>
                <w:szCs w:val="2"/>
              </w:rPr>
            </w:pPr>
            <w:r w:rsidRPr="00BD415C">
              <w:rPr>
                <w:sz w:val="2"/>
                <w:szCs w:val="2"/>
              </w:rPr>
              <w:t>7.8%</w:t>
            </w:r>
          </w:p>
        </w:tc>
      </w:tr>
      <w:tr w:rsidR="00BD415C" w:rsidRPr="00BD415C" w14:paraId="5E05A8B5" w14:textId="77777777" w:rsidTr="00BD415C">
        <w:trPr>
          <w:trHeight w:val="285"/>
          <w:jc w:val="center"/>
        </w:trPr>
        <w:tc>
          <w:tcPr>
            <w:tcW w:w="3240" w:type="dxa"/>
            <w:noWrap/>
            <w:hideMark/>
          </w:tcPr>
          <w:p w14:paraId="0D686A5B" w14:textId="77777777" w:rsidR="00BD415C" w:rsidRPr="00BD415C" w:rsidRDefault="00BD415C" w:rsidP="00BD415C">
            <w:pPr>
              <w:pStyle w:val="Source"/>
              <w:rPr>
                <w:sz w:val="2"/>
                <w:szCs w:val="2"/>
              </w:rPr>
            </w:pPr>
            <w:r w:rsidRPr="00BD415C">
              <w:rPr>
                <w:sz w:val="2"/>
                <w:szCs w:val="2"/>
              </w:rPr>
              <w:t>Enterprise providers</w:t>
            </w:r>
          </w:p>
        </w:tc>
        <w:tc>
          <w:tcPr>
            <w:tcW w:w="960" w:type="dxa"/>
            <w:noWrap/>
            <w:hideMark/>
          </w:tcPr>
          <w:p w14:paraId="79C4CB58" w14:textId="77777777" w:rsidR="00BD415C" w:rsidRPr="00BD415C" w:rsidRDefault="00BD415C" w:rsidP="00BD415C">
            <w:pPr>
              <w:pStyle w:val="Source"/>
              <w:rPr>
                <w:sz w:val="2"/>
                <w:szCs w:val="2"/>
              </w:rPr>
            </w:pPr>
            <w:r w:rsidRPr="00BD415C">
              <w:rPr>
                <w:sz w:val="2"/>
                <w:szCs w:val="2"/>
              </w:rPr>
              <w:t>2.3%</w:t>
            </w:r>
          </w:p>
        </w:tc>
        <w:tc>
          <w:tcPr>
            <w:tcW w:w="960" w:type="dxa"/>
            <w:noWrap/>
            <w:hideMark/>
          </w:tcPr>
          <w:p w14:paraId="0DB9E835" w14:textId="77777777" w:rsidR="00BD415C" w:rsidRPr="00BD415C" w:rsidRDefault="00BD415C" w:rsidP="00BD415C">
            <w:pPr>
              <w:pStyle w:val="Source"/>
              <w:rPr>
                <w:sz w:val="2"/>
                <w:szCs w:val="2"/>
              </w:rPr>
            </w:pPr>
            <w:r w:rsidRPr="00BD415C">
              <w:rPr>
                <w:sz w:val="2"/>
                <w:szCs w:val="2"/>
              </w:rPr>
              <w:t>1.7%</w:t>
            </w:r>
          </w:p>
        </w:tc>
        <w:tc>
          <w:tcPr>
            <w:tcW w:w="960" w:type="dxa"/>
            <w:noWrap/>
            <w:hideMark/>
          </w:tcPr>
          <w:p w14:paraId="300DE8D6" w14:textId="77777777" w:rsidR="00BD415C" w:rsidRPr="00BD415C" w:rsidRDefault="00BD415C" w:rsidP="00BD415C">
            <w:pPr>
              <w:pStyle w:val="Source"/>
              <w:rPr>
                <w:sz w:val="2"/>
                <w:szCs w:val="2"/>
              </w:rPr>
            </w:pPr>
            <w:r w:rsidRPr="00BD415C">
              <w:rPr>
                <w:sz w:val="2"/>
                <w:szCs w:val="2"/>
              </w:rPr>
              <w:t>1.1%</w:t>
            </w:r>
          </w:p>
        </w:tc>
        <w:tc>
          <w:tcPr>
            <w:tcW w:w="960" w:type="dxa"/>
            <w:noWrap/>
            <w:hideMark/>
          </w:tcPr>
          <w:p w14:paraId="20AA1A55" w14:textId="77777777" w:rsidR="00BD415C" w:rsidRPr="00BD415C" w:rsidRDefault="00BD415C" w:rsidP="00BD415C">
            <w:pPr>
              <w:pStyle w:val="Source"/>
              <w:rPr>
                <w:sz w:val="2"/>
                <w:szCs w:val="2"/>
              </w:rPr>
            </w:pPr>
            <w:r w:rsidRPr="00BD415C">
              <w:rPr>
                <w:sz w:val="2"/>
                <w:szCs w:val="2"/>
              </w:rPr>
              <w:t>0.7%</w:t>
            </w:r>
          </w:p>
        </w:tc>
        <w:tc>
          <w:tcPr>
            <w:tcW w:w="960" w:type="dxa"/>
            <w:noWrap/>
            <w:hideMark/>
          </w:tcPr>
          <w:p w14:paraId="38C0F862" w14:textId="77777777" w:rsidR="00BD415C" w:rsidRPr="00BD415C" w:rsidRDefault="00BD415C" w:rsidP="00BD415C">
            <w:pPr>
              <w:pStyle w:val="Source"/>
              <w:rPr>
                <w:sz w:val="2"/>
                <w:szCs w:val="2"/>
              </w:rPr>
            </w:pPr>
            <w:r w:rsidRPr="00BD415C">
              <w:rPr>
                <w:sz w:val="2"/>
                <w:szCs w:val="2"/>
              </w:rPr>
              <w:t>0.3%</w:t>
            </w:r>
          </w:p>
        </w:tc>
      </w:tr>
      <w:tr w:rsidR="00BD415C" w:rsidRPr="00BD415C" w14:paraId="0FA8D038" w14:textId="77777777" w:rsidTr="00BD415C">
        <w:trPr>
          <w:trHeight w:val="285"/>
          <w:jc w:val="center"/>
        </w:trPr>
        <w:tc>
          <w:tcPr>
            <w:tcW w:w="3240" w:type="dxa"/>
            <w:noWrap/>
            <w:hideMark/>
          </w:tcPr>
          <w:p w14:paraId="1A26112E" w14:textId="77777777" w:rsidR="00BD415C" w:rsidRPr="00BD415C" w:rsidRDefault="00BD415C" w:rsidP="00BD415C">
            <w:pPr>
              <w:pStyle w:val="Source"/>
              <w:rPr>
                <w:sz w:val="2"/>
                <w:szCs w:val="2"/>
              </w:rPr>
            </w:pPr>
            <w:r w:rsidRPr="00BD415C">
              <w:rPr>
                <w:sz w:val="2"/>
                <w:szCs w:val="2"/>
              </w:rPr>
              <w:t>Private training providers</w:t>
            </w:r>
          </w:p>
        </w:tc>
        <w:tc>
          <w:tcPr>
            <w:tcW w:w="960" w:type="dxa"/>
            <w:noWrap/>
            <w:hideMark/>
          </w:tcPr>
          <w:p w14:paraId="416DDAFE" w14:textId="77777777" w:rsidR="00BD415C" w:rsidRPr="00BD415C" w:rsidRDefault="00BD415C" w:rsidP="00BD415C">
            <w:pPr>
              <w:pStyle w:val="Source"/>
              <w:rPr>
                <w:sz w:val="2"/>
                <w:szCs w:val="2"/>
              </w:rPr>
            </w:pPr>
            <w:r w:rsidRPr="00BD415C">
              <w:rPr>
                <w:sz w:val="2"/>
                <w:szCs w:val="2"/>
              </w:rPr>
              <w:t>65.3%</w:t>
            </w:r>
          </w:p>
        </w:tc>
        <w:tc>
          <w:tcPr>
            <w:tcW w:w="960" w:type="dxa"/>
            <w:noWrap/>
            <w:hideMark/>
          </w:tcPr>
          <w:p w14:paraId="2E770E7A" w14:textId="77777777" w:rsidR="00BD415C" w:rsidRPr="00BD415C" w:rsidRDefault="00BD415C" w:rsidP="00BD415C">
            <w:pPr>
              <w:pStyle w:val="Source"/>
              <w:rPr>
                <w:sz w:val="2"/>
                <w:szCs w:val="2"/>
              </w:rPr>
            </w:pPr>
            <w:r w:rsidRPr="00BD415C">
              <w:rPr>
                <w:sz w:val="2"/>
                <w:szCs w:val="2"/>
              </w:rPr>
              <w:t>71.6%</w:t>
            </w:r>
          </w:p>
        </w:tc>
        <w:tc>
          <w:tcPr>
            <w:tcW w:w="960" w:type="dxa"/>
            <w:noWrap/>
            <w:hideMark/>
          </w:tcPr>
          <w:p w14:paraId="28732DBF" w14:textId="77777777" w:rsidR="00BD415C" w:rsidRPr="00BD415C" w:rsidRDefault="00BD415C" w:rsidP="00BD415C">
            <w:pPr>
              <w:pStyle w:val="Source"/>
              <w:rPr>
                <w:sz w:val="2"/>
                <w:szCs w:val="2"/>
              </w:rPr>
            </w:pPr>
            <w:r w:rsidRPr="00BD415C">
              <w:rPr>
                <w:sz w:val="2"/>
                <w:szCs w:val="2"/>
              </w:rPr>
              <w:t>69.6%</w:t>
            </w:r>
          </w:p>
        </w:tc>
        <w:tc>
          <w:tcPr>
            <w:tcW w:w="960" w:type="dxa"/>
            <w:noWrap/>
            <w:hideMark/>
          </w:tcPr>
          <w:p w14:paraId="65AEC08A" w14:textId="77777777" w:rsidR="00BD415C" w:rsidRPr="00BD415C" w:rsidRDefault="00BD415C" w:rsidP="00BD415C">
            <w:pPr>
              <w:pStyle w:val="Source"/>
              <w:rPr>
                <w:sz w:val="2"/>
                <w:szCs w:val="2"/>
              </w:rPr>
            </w:pPr>
            <w:r w:rsidRPr="00BD415C">
              <w:rPr>
                <w:sz w:val="2"/>
                <w:szCs w:val="2"/>
              </w:rPr>
              <w:t>71.6%</w:t>
            </w:r>
          </w:p>
        </w:tc>
        <w:tc>
          <w:tcPr>
            <w:tcW w:w="960" w:type="dxa"/>
            <w:noWrap/>
            <w:hideMark/>
          </w:tcPr>
          <w:p w14:paraId="7C1D6B42" w14:textId="77777777" w:rsidR="00BD415C" w:rsidRPr="00BD415C" w:rsidRDefault="00BD415C" w:rsidP="00BD415C">
            <w:pPr>
              <w:pStyle w:val="Source"/>
              <w:rPr>
                <w:sz w:val="2"/>
                <w:szCs w:val="2"/>
              </w:rPr>
            </w:pPr>
            <w:r w:rsidRPr="00BD415C">
              <w:rPr>
                <w:sz w:val="2"/>
                <w:szCs w:val="2"/>
              </w:rPr>
              <w:t>73.3%</w:t>
            </w:r>
          </w:p>
        </w:tc>
      </w:tr>
    </w:tbl>
    <w:p w14:paraId="2F3A7AF7" w14:textId="77777777" w:rsidR="00BD415C" w:rsidRDefault="00BD415C" w:rsidP="00701210">
      <w:pPr>
        <w:pStyle w:val="Source"/>
      </w:pPr>
    </w:p>
    <w:p w14:paraId="260793E2" w14:textId="77777777" w:rsidR="00BD415C" w:rsidRDefault="00BD415C" w:rsidP="00701210">
      <w:pPr>
        <w:pStyle w:val="Source"/>
      </w:pPr>
    </w:p>
    <w:p w14:paraId="070140F0" w14:textId="77777777" w:rsidR="00BD415C" w:rsidRDefault="00BD415C" w:rsidP="00701210">
      <w:pPr>
        <w:pStyle w:val="Source"/>
      </w:pPr>
    </w:p>
    <w:p w14:paraId="630039C5" w14:textId="77777777" w:rsidR="00BD415C" w:rsidRDefault="00BD415C" w:rsidP="00701210">
      <w:pPr>
        <w:pStyle w:val="Source"/>
      </w:pPr>
    </w:p>
    <w:p w14:paraId="33A83FBE" w14:textId="77777777" w:rsidR="00BD415C" w:rsidRDefault="00BD415C" w:rsidP="00701210">
      <w:pPr>
        <w:pStyle w:val="Source"/>
      </w:pPr>
    </w:p>
    <w:p w14:paraId="6021C62A" w14:textId="77777777" w:rsidR="00BD415C" w:rsidRDefault="00BD415C" w:rsidP="00701210">
      <w:pPr>
        <w:pStyle w:val="Source"/>
      </w:pPr>
    </w:p>
    <w:p w14:paraId="24590328" w14:textId="63843A9B" w:rsidR="00846EE4" w:rsidRPr="00846EE4" w:rsidRDefault="00846EE4" w:rsidP="00701210">
      <w:pPr>
        <w:pStyle w:val="Source"/>
      </w:pPr>
      <w:r w:rsidRPr="00846EE4">
        <w:t>Source: NCVER 2023, Total VET students and courses 2022.</w:t>
      </w:r>
    </w:p>
    <w:p w14:paraId="05DACAA9" w14:textId="77777777" w:rsidR="00846EE4" w:rsidRPr="00846EE4" w:rsidRDefault="00846EE4" w:rsidP="00846EE4">
      <w:r w:rsidRPr="00846EE4">
        <w:lastRenderedPageBreak/>
        <w:t xml:space="preserve">Between 2015 and 2022, there has been increasing market concentration of training delivery. In 2015, 15% of enrolments in relevant ECEC VET qualifications was delivered by the three RTOs with the largest market shares (NCVER, Total VET students and courses (unperturbed data) 2022). In 2022, that proportion had increased to 22%. There was also concentration in the next largest band, the 10 RTOs with the largest enrolments. Their market concentration increased from 28% in 2015 to 41%. Among the top ten RTOs in 2022 were included two TAFE institutes, 1 community education provider and the remaining 7 were private training providers. Based on JSA’s RTO typology (2024), 5 of the 7 private RTOs were “Early Educators specialists” (meaning more than 80% of their enrolments are in the relevant early childhood qualifications) and the remaining 2 were human services specialists (meaning more than 80% of enrolments were in the Community Services (CHC) training package, which encompasses early childhood, aged care, disability care, and other community services qualifications). Since 2019, the 25 largest RTOs have held a majority of enrolments (out of approximately 330-375 RTOs with </w:t>
      </w:r>
      <w:proofErr w:type="gramStart"/>
      <w:r w:rsidRPr="00846EE4">
        <w:t>enrolments)  according</w:t>
      </w:r>
      <w:proofErr w:type="gramEnd"/>
      <w:r w:rsidRPr="00846EE4">
        <w:t xml:space="preserve"> to NCVER’s ‘Total VET students and courses (unperturbed data) (NCVER, 2022). </w:t>
      </w:r>
    </w:p>
    <w:p w14:paraId="359D608E" w14:textId="42FE99BD" w:rsidR="00846EE4" w:rsidRPr="00846EE4" w:rsidRDefault="00846EE4" w:rsidP="00701210">
      <w:pPr>
        <w:pStyle w:val="Caption"/>
      </w:pPr>
      <w:r w:rsidRPr="00846EE4">
        <w:t>Figure 3.</w:t>
      </w:r>
      <w:r w:rsidRPr="00846EE4">
        <w:fldChar w:fldCharType="begin"/>
      </w:r>
      <w:r w:rsidRPr="00846EE4">
        <w:instrText xml:space="preserve"> SEQ Figure \* ARABIC \s 1 </w:instrText>
      </w:r>
      <w:r w:rsidRPr="00846EE4">
        <w:fldChar w:fldCharType="separate"/>
      </w:r>
      <w:r w:rsidR="005F18C1">
        <w:rPr>
          <w:noProof/>
        </w:rPr>
        <w:t>5</w:t>
      </w:r>
      <w:r w:rsidRPr="00846EE4">
        <w:fldChar w:fldCharType="end"/>
      </w:r>
      <w:r w:rsidRPr="00846EE4">
        <w:t xml:space="preserve"> Market % share of RTOs delivering ECEC qualifications</w:t>
      </w:r>
    </w:p>
    <w:p w14:paraId="718DF309" w14:textId="77777777" w:rsidR="00846EE4" w:rsidRPr="00846EE4" w:rsidRDefault="00846EE4" w:rsidP="00846EE4">
      <w:pPr>
        <w:jc w:val="center"/>
      </w:pPr>
      <w:r w:rsidRPr="00846EE4">
        <w:rPr>
          <w:noProof/>
        </w:rPr>
        <w:drawing>
          <wp:anchor distT="0" distB="0" distL="114300" distR="114300" simplePos="0" relativeHeight="251723779" behindDoc="0" locked="0" layoutInCell="1" allowOverlap="1" wp14:anchorId="21F34B09" wp14:editId="7CD30911">
            <wp:simplePos x="0" y="0"/>
            <wp:positionH relativeFrom="column">
              <wp:posOffset>723900</wp:posOffset>
            </wp:positionH>
            <wp:positionV relativeFrom="paragraph">
              <wp:posOffset>-4445</wp:posOffset>
            </wp:positionV>
            <wp:extent cx="4292600" cy="2599200"/>
            <wp:effectExtent l="0" t="0" r="0" b="0"/>
            <wp:wrapNone/>
            <wp:docPr id="1886470827" name="Chart 1">
              <a:extLst xmlns:a="http://schemas.openxmlformats.org/drawingml/2006/main">
                <a:ext uri="{FF2B5EF4-FFF2-40B4-BE49-F238E27FC236}">
                  <a16:creationId xmlns:a16="http://schemas.microsoft.com/office/drawing/2014/main" id="{F3C3D19E-28B9-4D9E-1DBC-1F060691B37A}"/>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anchor>
        </w:drawing>
      </w:r>
    </w:p>
    <w:tbl>
      <w:tblPr>
        <w:tblStyle w:val="Box"/>
        <w:tblW w:w="2124" w:type="dxa"/>
        <w:jc w:val="center"/>
        <w:tblLook w:val="04A0" w:firstRow="1" w:lastRow="0" w:firstColumn="1" w:lastColumn="0" w:noHBand="0" w:noVBand="1"/>
      </w:tblPr>
      <w:tblGrid>
        <w:gridCol w:w="278"/>
        <w:gridCol w:w="273"/>
        <w:gridCol w:w="273"/>
        <w:gridCol w:w="273"/>
        <w:gridCol w:w="273"/>
        <w:gridCol w:w="273"/>
        <w:gridCol w:w="273"/>
        <w:gridCol w:w="273"/>
        <w:gridCol w:w="273"/>
      </w:tblGrid>
      <w:tr w:rsidR="00BD415C" w:rsidRPr="00BD415C" w14:paraId="06D18D44" w14:textId="77777777" w:rsidTr="00BD415C">
        <w:trPr>
          <w:trHeight w:val="300"/>
          <w:jc w:val="center"/>
        </w:trPr>
        <w:tc>
          <w:tcPr>
            <w:tcW w:w="236" w:type="dxa"/>
            <w:noWrap/>
            <w:hideMark/>
          </w:tcPr>
          <w:p w14:paraId="2483BA3B" w14:textId="77777777" w:rsidR="00BD415C" w:rsidRPr="00BD415C" w:rsidRDefault="00BD415C" w:rsidP="00BD415C">
            <w:pPr>
              <w:pStyle w:val="Source"/>
              <w:rPr>
                <w:sz w:val="2"/>
                <w:szCs w:val="2"/>
              </w:rPr>
            </w:pPr>
          </w:p>
        </w:tc>
        <w:tc>
          <w:tcPr>
            <w:tcW w:w="236" w:type="dxa"/>
            <w:noWrap/>
            <w:hideMark/>
          </w:tcPr>
          <w:p w14:paraId="6C8C3855" w14:textId="77777777" w:rsidR="00BD415C" w:rsidRPr="00BD415C" w:rsidRDefault="00BD415C" w:rsidP="00BD415C">
            <w:pPr>
              <w:pStyle w:val="Source"/>
              <w:rPr>
                <w:b/>
                <w:bCs/>
                <w:sz w:val="2"/>
                <w:szCs w:val="2"/>
              </w:rPr>
            </w:pPr>
            <w:r w:rsidRPr="00BD415C">
              <w:rPr>
                <w:b/>
                <w:bCs/>
                <w:sz w:val="2"/>
                <w:szCs w:val="2"/>
              </w:rPr>
              <w:t>2015</w:t>
            </w:r>
          </w:p>
        </w:tc>
        <w:tc>
          <w:tcPr>
            <w:tcW w:w="236" w:type="dxa"/>
            <w:noWrap/>
            <w:hideMark/>
          </w:tcPr>
          <w:p w14:paraId="5A59F8FB" w14:textId="77777777" w:rsidR="00BD415C" w:rsidRPr="00BD415C" w:rsidRDefault="00BD415C" w:rsidP="00BD415C">
            <w:pPr>
              <w:pStyle w:val="Source"/>
              <w:rPr>
                <w:b/>
                <w:bCs/>
                <w:sz w:val="2"/>
                <w:szCs w:val="2"/>
              </w:rPr>
            </w:pPr>
            <w:r w:rsidRPr="00BD415C">
              <w:rPr>
                <w:b/>
                <w:bCs/>
                <w:sz w:val="2"/>
                <w:szCs w:val="2"/>
              </w:rPr>
              <w:t>2016</w:t>
            </w:r>
          </w:p>
        </w:tc>
        <w:tc>
          <w:tcPr>
            <w:tcW w:w="236" w:type="dxa"/>
            <w:noWrap/>
            <w:hideMark/>
          </w:tcPr>
          <w:p w14:paraId="48B1A8CC" w14:textId="77777777" w:rsidR="00BD415C" w:rsidRPr="00BD415C" w:rsidRDefault="00BD415C" w:rsidP="00BD415C">
            <w:pPr>
              <w:pStyle w:val="Source"/>
              <w:rPr>
                <w:b/>
                <w:bCs/>
                <w:sz w:val="2"/>
                <w:szCs w:val="2"/>
              </w:rPr>
            </w:pPr>
            <w:r w:rsidRPr="00BD415C">
              <w:rPr>
                <w:b/>
                <w:bCs/>
                <w:sz w:val="2"/>
                <w:szCs w:val="2"/>
              </w:rPr>
              <w:t>2017</w:t>
            </w:r>
          </w:p>
        </w:tc>
        <w:tc>
          <w:tcPr>
            <w:tcW w:w="236" w:type="dxa"/>
            <w:noWrap/>
            <w:hideMark/>
          </w:tcPr>
          <w:p w14:paraId="62A57E5D" w14:textId="77777777" w:rsidR="00BD415C" w:rsidRPr="00BD415C" w:rsidRDefault="00BD415C" w:rsidP="00BD415C">
            <w:pPr>
              <w:pStyle w:val="Source"/>
              <w:rPr>
                <w:b/>
                <w:bCs/>
                <w:sz w:val="2"/>
                <w:szCs w:val="2"/>
              </w:rPr>
            </w:pPr>
            <w:r w:rsidRPr="00BD415C">
              <w:rPr>
                <w:b/>
                <w:bCs/>
                <w:sz w:val="2"/>
                <w:szCs w:val="2"/>
              </w:rPr>
              <w:t>2018</w:t>
            </w:r>
          </w:p>
        </w:tc>
        <w:tc>
          <w:tcPr>
            <w:tcW w:w="236" w:type="dxa"/>
            <w:noWrap/>
            <w:hideMark/>
          </w:tcPr>
          <w:p w14:paraId="01ED90FA" w14:textId="77777777" w:rsidR="00BD415C" w:rsidRPr="00BD415C" w:rsidRDefault="00BD415C" w:rsidP="00BD415C">
            <w:pPr>
              <w:pStyle w:val="Source"/>
              <w:rPr>
                <w:b/>
                <w:bCs/>
                <w:sz w:val="2"/>
                <w:szCs w:val="2"/>
              </w:rPr>
            </w:pPr>
            <w:r w:rsidRPr="00BD415C">
              <w:rPr>
                <w:b/>
                <w:bCs/>
                <w:sz w:val="2"/>
                <w:szCs w:val="2"/>
              </w:rPr>
              <w:t>2019</w:t>
            </w:r>
          </w:p>
        </w:tc>
        <w:tc>
          <w:tcPr>
            <w:tcW w:w="236" w:type="dxa"/>
            <w:noWrap/>
            <w:hideMark/>
          </w:tcPr>
          <w:p w14:paraId="11DF7C79" w14:textId="77777777" w:rsidR="00BD415C" w:rsidRPr="00BD415C" w:rsidRDefault="00BD415C" w:rsidP="00BD415C">
            <w:pPr>
              <w:pStyle w:val="Source"/>
              <w:rPr>
                <w:b/>
                <w:bCs/>
                <w:sz w:val="2"/>
                <w:szCs w:val="2"/>
              </w:rPr>
            </w:pPr>
            <w:r w:rsidRPr="00BD415C">
              <w:rPr>
                <w:b/>
                <w:bCs/>
                <w:sz w:val="2"/>
                <w:szCs w:val="2"/>
              </w:rPr>
              <w:t>2020</w:t>
            </w:r>
          </w:p>
        </w:tc>
        <w:tc>
          <w:tcPr>
            <w:tcW w:w="236" w:type="dxa"/>
            <w:noWrap/>
            <w:hideMark/>
          </w:tcPr>
          <w:p w14:paraId="45B6E388" w14:textId="77777777" w:rsidR="00BD415C" w:rsidRPr="00BD415C" w:rsidRDefault="00BD415C" w:rsidP="00BD415C">
            <w:pPr>
              <w:pStyle w:val="Source"/>
              <w:rPr>
                <w:b/>
                <w:bCs/>
                <w:sz w:val="2"/>
                <w:szCs w:val="2"/>
              </w:rPr>
            </w:pPr>
            <w:r w:rsidRPr="00BD415C">
              <w:rPr>
                <w:b/>
                <w:bCs/>
                <w:sz w:val="2"/>
                <w:szCs w:val="2"/>
              </w:rPr>
              <w:t>2021</w:t>
            </w:r>
          </w:p>
        </w:tc>
        <w:tc>
          <w:tcPr>
            <w:tcW w:w="236" w:type="dxa"/>
            <w:noWrap/>
            <w:hideMark/>
          </w:tcPr>
          <w:p w14:paraId="1443C462" w14:textId="77777777" w:rsidR="00BD415C" w:rsidRPr="00BD415C" w:rsidRDefault="00BD415C" w:rsidP="00BD415C">
            <w:pPr>
              <w:pStyle w:val="Source"/>
              <w:rPr>
                <w:b/>
                <w:bCs/>
                <w:sz w:val="2"/>
                <w:szCs w:val="2"/>
              </w:rPr>
            </w:pPr>
            <w:r w:rsidRPr="00BD415C">
              <w:rPr>
                <w:b/>
                <w:bCs/>
                <w:sz w:val="2"/>
                <w:szCs w:val="2"/>
              </w:rPr>
              <w:t>2022</w:t>
            </w:r>
          </w:p>
        </w:tc>
      </w:tr>
      <w:tr w:rsidR="00BD415C" w:rsidRPr="00BD415C" w14:paraId="123F698E" w14:textId="77777777" w:rsidTr="00BD415C">
        <w:trPr>
          <w:trHeight w:val="285"/>
          <w:jc w:val="center"/>
        </w:trPr>
        <w:tc>
          <w:tcPr>
            <w:tcW w:w="236" w:type="dxa"/>
            <w:noWrap/>
            <w:hideMark/>
          </w:tcPr>
          <w:p w14:paraId="30251CE1" w14:textId="77777777" w:rsidR="00BD415C" w:rsidRPr="00BD415C" w:rsidRDefault="00BD415C" w:rsidP="00BD415C">
            <w:pPr>
              <w:pStyle w:val="Source"/>
              <w:rPr>
                <w:sz w:val="2"/>
                <w:szCs w:val="2"/>
              </w:rPr>
            </w:pPr>
            <w:r w:rsidRPr="00BD415C">
              <w:rPr>
                <w:sz w:val="2"/>
                <w:szCs w:val="2"/>
              </w:rPr>
              <w:t>Top 3 RTO market share</w:t>
            </w:r>
          </w:p>
        </w:tc>
        <w:tc>
          <w:tcPr>
            <w:tcW w:w="236" w:type="dxa"/>
            <w:noWrap/>
            <w:hideMark/>
          </w:tcPr>
          <w:p w14:paraId="1AD1BFE7" w14:textId="77777777" w:rsidR="00BD415C" w:rsidRPr="00BD415C" w:rsidRDefault="00BD415C" w:rsidP="00BD415C">
            <w:pPr>
              <w:pStyle w:val="Source"/>
              <w:rPr>
                <w:sz w:val="2"/>
                <w:szCs w:val="2"/>
              </w:rPr>
            </w:pPr>
            <w:r w:rsidRPr="00BD415C">
              <w:rPr>
                <w:sz w:val="2"/>
                <w:szCs w:val="2"/>
              </w:rPr>
              <w:t>14.9%</w:t>
            </w:r>
          </w:p>
        </w:tc>
        <w:tc>
          <w:tcPr>
            <w:tcW w:w="236" w:type="dxa"/>
            <w:noWrap/>
            <w:hideMark/>
          </w:tcPr>
          <w:p w14:paraId="7BBBC46D" w14:textId="77777777" w:rsidR="00BD415C" w:rsidRPr="00BD415C" w:rsidRDefault="00BD415C" w:rsidP="00BD415C">
            <w:pPr>
              <w:pStyle w:val="Source"/>
              <w:rPr>
                <w:sz w:val="2"/>
                <w:szCs w:val="2"/>
              </w:rPr>
            </w:pPr>
            <w:r w:rsidRPr="00BD415C">
              <w:rPr>
                <w:sz w:val="2"/>
                <w:szCs w:val="2"/>
              </w:rPr>
              <w:t>14.4%</w:t>
            </w:r>
          </w:p>
        </w:tc>
        <w:tc>
          <w:tcPr>
            <w:tcW w:w="236" w:type="dxa"/>
            <w:noWrap/>
            <w:hideMark/>
          </w:tcPr>
          <w:p w14:paraId="6D6B7CAF" w14:textId="77777777" w:rsidR="00BD415C" w:rsidRPr="00BD415C" w:rsidRDefault="00BD415C" w:rsidP="00BD415C">
            <w:pPr>
              <w:pStyle w:val="Source"/>
              <w:rPr>
                <w:sz w:val="2"/>
                <w:szCs w:val="2"/>
              </w:rPr>
            </w:pPr>
            <w:r w:rsidRPr="00BD415C">
              <w:rPr>
                <w:sz w:val="2"/>
                <w:szCs w:val="2"/>
              </w:rPr>
              <w:t>15.5%</w:t>
            </w:r>
          </w:p>
        </w:tc>
        <w:tc>
          <w:tcPr>
            <w:tcW w:w="236" w:type="dxa"/>
            <w:noWrap/>
            <w:hideMark/>
          </w:tcPr>
          <w:p w14:paraId="4F9B45C7" w14:textId="77777777" w:rsidR="00BD415C" w:rsidRPr="00BD415C" w:rsidRDefault="00BD415C" w:rsidP="00BD415C">
            <w:pPr>
              <w:pStyle w:val="Source"/>
              <w:rPr>
                <w:sz w:val="2"/>
                <w:szCs w:val="2"/>
              </w:rPr>
            </w:pPr>
            <w:r w:rsidRPr="00BD415C">
              <w:rPr>
                <w:sz w:val="2"/>
                <w:szCs w:val="2"/>
              </w:rPr>
              <w:t>14.6%</w:t>
            </w:r>
          </w:p>
        </w:tc>
        <w:tc>
          <w:tcPr>
            <w:tcW w:w="236" w:type="dxa"/>
            <w:noWrap/>
            <w:hideMark/>
          </w:tcPr>
          <w:p w14:paraId="12D0B50B" w14:textId="77777777" w:rsidR="00BD415C" w:rsidRPr="00BD415C" w:rsidRDefault="00BD415C" w:rsidP="00BD415C">
            <w:pPr>
              <w:pStyle w:val="Source"/>
              <w:rPr>
                <w:sz w:val="2"/>
                <w:szCs w:val="2"/>
              </w:rPr>
            </w:pPr>
            <w:r w:rsidRPr="00BD415C">
              <w:rPr>
                <w:sz w:val="2"/>
                <w:szCs w:val="2"/>
              </w:rPr>
              <w:t>20.7%</w:t>
            </w:r>
          </w:p>
        </w:tc>
        <w:tc>
          <w:tcPr>
            <w:tcW w:w="236" w:type="dxa"/>
            <w:noWrap/>
            <w:hideMark/>
          </w:tcPr>
          <w:p w14:paraId="6BBE20FD" w14:textId="77777777" w:rsidR="00BD415C" w:rsidRPr="00BD415C" w:rsidRDefault="00BD415C" w:rsidP="00BD415C">
            <w:pPr>
              <w:pStyle w:val="Source"/>
              <w:rPr>
                <w:sz w:val="2"/>
                <w:szCs w:val="2"/>
              </w:rPr>
            </w:pPr>
            <w:r w:rsidRPr="00BD415C">
              <w:rPr>
                <w:sz w:val="2"/>
                <w:szCs w:val="2"/>
              </w:rPr>
              <w:t>21.9%</w:t>
            </w:r>
          </w:p>
        </w:tc>
        <w:tc>
          <w:tcPr>
            <w:tcW w:w="236" w:type="dxa"/>
            <w:noWrap/>
            <w:hideMark/>
          </w:tcPr>
          <w:p w14:paraId="78047A60" w14:textId="77777777" w:rsidR="00BD415C" w:rsidRPr="00BD415C" w:rsidRDefault="00BD415C" w:rsidP="00BD415C">
            <w:pPr>
              <w:pStyle w:val="Source"/>
              <w:rPr>
                <w:sz w:val="2"/>
                <w:szCs w:val="2"/>
              </w:rPr>
            </w:pPr>
            <w:r w:rsidRPr="00BD415C">
              <w:rPr>
                <w:sz w:val="2"/>
                <w:szCs w:val="2"/>
              </w:rPr>
              <w:t>22.2%</w:t>
            </w:r>
          </w:p>
        </w:tc>
        <w:tc>
          <w:tcPr>
            <w:tcW w:w="236" w:type="dxa"/>
            <w:noWrap/>
            <w:hideMark/>
          </w:tcPr>
          <w:p w14:paraId="5ED7A770" w14:textId="77777777" w:rsidR="00BD415C" w:rsidRPr="00BD415C" w:rsidRDefault="00BD415C" w:rsidP="00BD415C">
            <w:pPr>
              <w:pStyle w:val="Source"/>
              <w:rPr>
                <w:sz w:val="2"/>
                <w:szCs w:val="2"/>
              </w:rPr>
            </w:pPr>
            <w:r w:rsidRPr="00BD415C">
              <w:rPr>
                <w:sz w:val="2"/>
                <w:szCs w:val="2"/>
              </w:rPr>
              <w:t>22.4%</w:t>
            </w:r>
          </w:p>
        </w:tc>
      </w:tr>
      <w:tr w:rsidR="00BD415C" w:rsidRPr="00BD415C" w14:paraId="251C5EC8" w14:textId="77777777" w:rsidTr="00BD415C">
        <w:trPr>
          <w:trHeight w:val="285"/>
          <w:jc w:val="center"/>
        </w:trPr>
        <w:tc>
          <w:tcPr>
            <w:tcW w:w="236" w:type="dxa"/>
            <w:noWrap/>
            <w:hideMark/>
          </w:tcPr>
          <w:p w14:paraId="25C11559" w14:textId="77777777" w:rsidR="00BD415C" w:rsidRPr="00BD415C" w:rsidRDefault="00BD415C" w:rsidP="00BD415C">
            <w:pPr>
              <w:pStyle w:val="Source"/>
              <w:rPr>
                <w:sz w:val="2"/>
                <w:szCs w:val="2"/>
              </w:rPr>
            </w:pPr>
            <w:r w:rsidRPr="00BD415C">
              <w:rPr>
                <w:sz w:val="2"/>
                <w:szCs w:val="2"/>
              </w:rPr>
              <w:t>Top 10 RTO market share</w:t>
            </w:r>
          </w:p>
        </w:tc>
        <w:tc>
          <w:tcPr>
            <w:tcW w:w="236" w:type="dxa"/>
            <w:noWrap/>
            <w:hideMark/>
          </w:tcPr>
          <w:p w14:paraId="7B5CC9FA" w14:textId="77777777" w:rsidR="00BD415C" w:rsidRPr="00BD415C" w:rsidRDefault="00BD415C" w:rsidP="00BD415C">
            <w:pPr>
              <w:pStyle w:val="Source"/>
              <w:rPr>
                <w:sz w:val="2"/>
                <w:szCs w:val="2"/>
              </w:rPr>
            </w:pPr>
            <w:r w:rsidRPr="00BD415C">
              <w:rPr>
                <w:sz w:val="2"/>
                <w:szCs w:val="2"/>
              </w:rPr>
              <w:t>12.7%</w:t>
            </w:r>
          </w:p>
        </w:tc>
        <w:tc>
          <w:tcPr>
            <w:tcW w:w="236" w:type="dxa"/>
            <w:noWrap/>
            <w:hideMark/>
          </w:tcPr>
          <w:p w14:paraId="31BD6313" w14:textId="77777777" w:rsidR="00BD415C" w:rsidRPr="00BD415C" w:rsidRDefault="00BD415C" w:rsidP="00BD415C">
            <w:pPr>
              <w:pStyle w:val="Source"/>
              <w:rPr>
                <w:sz w:val="2"/>
                <w:szCs w:val="2"/>
              </w:rPr>
            </w:pPr>
            <w:r w:rsidRPr="00BD415C">
              <w:rPr>
                <w:sz w:val="2"/>
                <w:szCs w:val="2"/>
              </w:rPr>
              <w:t>12.7%</w:t>
            </w:r>
          </w:p>
        </w:tc>
        <w:tc>
          <w:tcPr>
            <w:tcW w:w="236" w:type="dxa"/>
            <w:noWrap/>
            <w:hideMark/>
          </w:tcPr>
          <w:p w14:paraId="498E8F11" w14:textId="77777777" w:rsidR="00BD415C" w:rsidRPr="00BD415C" w:rsidRDefault="00BD415C" w:rsidP="00BD415C">
            <w:pPr>
              <w:pStyle w:val="Source"/>
              <w:rPr>
                <w:sz w:val="2"/>
                <w:szCs w:val="2"/>
              </w:rPr>
            </w:pPr>
            <w:r w:rsidRPr="00BD415C">
              <w:rPr>
                <w:sz w:val="2"/>
                <w:szCs w:val="2"/>
              </w:rPr>
              <w:t>13.0%</w:t>
            </w:r>
          </w:p>
        </w:tc>
        <w:tc>
          <w:tcPr>
            <w:tcW w:w="236" w:type="dxa"/>
            <w:noWrap/>
            <w:hideMark/>
          </w:tcPr>
          <w:p w14:paraId="7D135DBB" w14:textId="77777777" w:rsidR="00BD415C" w:rsidRPr="00BD415C" w:rsidRDefault="00BD415C" w:rsidP="00BD415C">
            <w:pPr>
              <w:pStyle w:val="Source"/>
              <w:rPr>
                <w:sz w:val="2"/>
                <w:szCs w:val="2"/>
              </w:rPr>
            </w:pPr>
            <w:r w:rsidRPr="00BD415C">
              <w:rPr>
                <w:sz w:val="2"/>
                <w:szCs w:val="2"/>
              </w:rPr>
              <w:t>14.5%</w:t>
            </w:r>
          </w:p>
        </w:tc>
        <w:tc>
          <w:tcPr>
            <w:tcW w:w="236" w:type="dxa"/>
            <w:noWrap/>
            <w:hideMark/>
          </w:tcPr>
          <w:p w14:paraId="6AFFD7FA" w14:textId="77777777" w:rsidR="00BD415C" w:rsidRPr="00BD415C" w:rsidRDefault="00BD415C" w:rsidP="00BD415C">
            <w:pPr>
              <w:pStyle w:val="Source"/>
              <w:rPr>
                <w:sz w:val="2"/>
                <w:szCs w:val="2"/>
              </w:rPr>
            </w:pPr>
            <w:r w:rsidRPr="00BD415C">
              <w:rPr>
                <w:sz w:val="2"/>
                <w:szCs w:val="2"/>
              </w:rPr>
              <w:t>16.4%</w:t>
            </w:r>
          </w:p>
        </w:tc>
        <w:tc>
          <w:tcPr>
            <w:tcW w:w="236" w:type="dxa"/>
            <w:noWrap/>
            <w:hideMark/>
          </w:tcPr>
          <w:p w14:paraId="740D7433" w14:textId="77777777" w:rsidR="00BD415C" w:rsidRPr="00BD415C" w:rsidRDefault="00BD415C" w:rsidP="00BD415C">
            <w:pPr>
              <w:pStyle w:val="Source"/>
              <w:rPr>
                <w:sz w:val="2"/>
                <w:szCs w:val="2"/>
              </w:rPr>
            </w:pPr>
            <w:r w:rsidRPr="00BD415C">
              <w:rPr>
                <w:sz w:val="2"/>
                <w:szCs w:val="2"/>
              </w:rPr>
              <w:t>16.8%</w:t>
            </w:r>
          </w:p>
        </w:tc>
        <w:tc>
          <w:tcPr>
            <w:tcW w:w="236" w:type="dxa"/>
            <w:noWrap/>
            <w:hideMark/>
          </w:tcPr>
          <w:p w14:paraId="432FB566" w14:textId="77777777" w:rsidR="00BD415C" w:rsidRPr="00BD415C" w:rsidRDefault="00BD415C" w:rsidP="00BD415C">
            <w:pPr>
              <w:pStyle w:val="Source"/>
              <w:rPr>
                <w:sz w:val="2"/>
                <w:szCs w:val="2"/>
              </w:rPr>
            </w:pPr>
            <w:r w:rsidRPr="00BD415C">
              <w:rPr>
                <w:sz w:val="2"/>
                <w:szCs w:val="2"/>
              </w:rPr>
              <w:t>17.3%</w:t>
            </w:r>
          </w:p>
        </w:tc>
        <w:tc>
          <w:tcPr>
            <w:tcW w:w="236" w:type="dxa"/>
            <w:noWrap/>
            <w:hideMark/>
          </w:tcPr>
          <w:p w14:paraId="184EE10D" w14:textId="77777777" w:rsidR="00BD415C" w:rsidRPr="00BD415C" w:rsidRDefault="00BD415C" w:rsidP="00BD415C">
            <w:pPr>
              <w:pStyle w:val="Source"/>
              <w:rPr>
                <w:sz w:val="2"/>
                <w:szCs w:val="2"/>
              </w:rPr>
            </w:pPr>
            <w:r w:rsidRPr="00BD415C">
              <w:rPr>
                <w:sz w:val="2"/>
                <w:szCs w:val="2"/>
              </w:rPr>
              <w:t>18.2%</w:t>
            </w:r>
          </w:p>
        </w:tc>
      </w:tr>
      <w:tr w:rsidR="00BD415C" w:rsidRPr="00BD415C" w14:paraId="59E3E064" w14:textId="77777777" w:rsidTr="00BD415C">
        <w:trPr>
          <w:trHeight w:val="285"/>
          <w:jc w:val="center"/>
        </w:trPr>
        <w:tc>
          <w:tcPr>
            <w:tcW w:w="236" w:type="dxa"/>
            <w:noWrap/>
            <w:hideMark/>
          </w:tcPr>
          <w:p w14:paraId="4C6CD4D4" w14:textId="77777777" w:rsidR="00BD415C" w:rsidRPr="00BD415C" w:rsidRDefault="00BD415C" w:rsidP="00BD415C">
            <w:pPr>
              <w:pStyle w:val="Source"/>
              <w:rPr>
                <w:sz w:val="2"/>
                <w:szCs w:val="2"/>
              </w:rPr>
            </w:pPr>
            <w:r w:rsidRPr="00BD415C">
              <w:rPr>
                <w:sz w:val="2"/>
                <w:szCs w:val="2"/>
              </w:rPr>
              <w:t>Top 25 RTO market share</w:t>
            </w:r>
          </w:p>
        </w:tc>
        <w:tc>
          <w:tcPr>
            <w:tcW w:w="236" w:type="dxa"/>
            <w:noWrap/>
            <w:hideMark/>
          </w:tcPr>
          <w:p w14:paraId="062DAF5F" w14:textId="77777777" w:rsidR="00BD415C" w:rsidRPr="00BD415C" w:rsidRDefault="00BD415C" w:rsidP="00BD415C">
            <w:pPr>
              <w:pStyle w:val="Source"/>
              <w:rPr>
                <w:sz w:val="2"/>
                <w:szCs w:val="2"/>
              </w:rPr>
            </w:pPr>
            <w:r w:rsidRPr="00BD415C">
              <w:rPr>
                <w:sz w:val="2"/>
                <w:szCs w:val="2"/>
              </w:rPr>
              <w:t>16.6%</w:t>
            </w:r>
          </w:p>
        </w:tc>
        <w:tc>
          <w:tcPr>
            <w:tcW w:w="236" w:type="dxa"/>
            <w:noWrap/>
            <w:hideMark/>
          </w:tcPr>
          <w:p w14:paraId="21AD87A3" w14:textId="77777777" w:rsidR="00BD415C" w:rsidRPr="00BD415C" w:rsidRDefault="00BD415C" w:rsidP="00BD415C">
            <w:pPr>
              <w:pStyle w:val="Source"/>
              <w:rPr>
                <w:sz w:val="2"/>
                <w:szCs w:val="2"/>
              </w:rPr>
            </w:pPr>
            <w:r w:rsidRPr="00BD415C">
              <w:rPr>
                <w:sz w:val="2"/>
                <w:szCs w:val="2"/>
              </w:rPr>
              <w:t>16.3%</w:t>
            </w:r>
          </w:p>
        </w:tc>
        <w:tc>
          <w:tcPr>
            <w:tcW w:w="236" w:type="dxa"/>
            <w:noWrap/>
            <w:hideMark/>
          </w:tcPr>
          <w:p w14:paraId="19392D91" w14:textId="77777777" w:rsidR="00BD415C" w:rsidRPr="00BD415C" w:rsidRDefault="00BD415C" w:rsidP="00BD415C">
            <w:pPr>
              <w:pStyle w:val="Source"/>
              <w:rPr>
                <w:sz w:val="2"/>
                <w:szCs w:val="2"/>
              </w:rPr>
            </w:pPr>
            <w:r w:rsidRPr="00BD415C">
              <w:rPr>
                <w:sz w:val="2"/>
                <w:szCs w:val="2"/>
              </w:rPr>
              <w:t>14.8%</w:t>
            </w:r>
          </w:p>
        </w:tc>
        <w:tc>
          <w:tcPr>
            <w:tcW w:w="236" w:type="dxa"/>
            <w:noWrap/>
            <w:hideMark/>
          </w:tcPr>
          <w:p w14:paraId="4195D3BD" w14:textId="77777777" w:rsidR="00BD415C" w:rsidRPr="00BD415C" w:rsidRDefault="00BD415C" w:rsidP="00BD415C">
            <w:pPr>
              <w:pStyle w:val="Source"/>
              <w:rPr>
                <w:sz w:val="2"/>
                <w:szCs w:val="2"/>
              </w:rPr>
            </w:pPr>
            <w:r w:rsidRPr="00BD415C">
              <w:rPr>
                <w:sz w:val="2"/>
                <w:szCs w:val="2"/>
              </w:rPr>
              <w:t>15.7%</w:t>
            </w:r>
          </w:p>
        </w:tc>
        <w:tc>
          <w:tcPr>
            <w:tcW w:w="236" w:type="dxa"/>
            <w:noWrap/>
            <w:hideMark/>
          </w:tcPr>
          <w:p w14:paraId="2BE8DF1D" w14:textId="77777777" w:rsidR="00BD415C" w:rsidRPr="00BD415C" w:rsidRDefault="00BD415C" w:rsidP="00BD415C">
            <w:pPr>
              <w:pStyle w:val="Source"/>
              <w:rPr>
                <w:sz w:val="2"/>
                <w:szCs w:val="2"/>
              </w:rPr>
            </w:pPr>
            <w:r w:rsidRPr="00BD415C">
              <w:rPr>
                <w:sz w:val="2"/>
                <w:szCs w:val="2"/>
              </w:rPr>
              <w:t>14.4%</w:t>
            </w:r>
          </w:p>
        </w:tc>
        <w:tc>
          <w:tcPr>
            <w:tcW w:w="236" w:type="dxa"/>
            <w:noWrap/>
            <w:hideMark/>
          </w:tcPr>
          <w:p w14:paraId="1FC43321" w14:textId="77777777" w:rsidR="00BD415C" w:rsidRPr="00BD415C" w:rsidRDefault="00BD415C" w:rsidP="00BD415C">
            <w:pPr>
              <w:pStyle w:val="Source"/>
              <w:rPr>
                <w:sz w:val="2"/>
                <w:szCs w:val="2"/>
              </w:rPr>
            </w:pPr>
            <w:r w:rsidRPr="00BD415C">
              <w:rPr>
                <w:sz w:val="2"/>
                <w:szCs w:val="2"/>
              </w:rPr>
              <w:t>16.1%</w:t>
            </w:r>
          </w:p>
        </w:tc>
        <w:tc>
          <w:tcPr>
            <w:tcW w:w="236" w:type="dxa"/>
            <w:noWrap/>
            <w:hideMark/>
          </w:tcPr>
          <w:p w14:paraId="44EA396D" w14:textId="77777777" w:rsidR="00BD415C" w:rsidRPr="00BD415C" w:rsidRDefault="00BD415C" w:rsidP="00BD415C">
            <w:pPr>
              <w:pStyle w:val="Source"/>
              <w:rPr>
                <w:sz w:val="2"/>
                <w:szCs w:val="2"/>
              </w:rPr>
            </w:pPr>
            <w:r w:rsidRPr="00BD415C">
              <w:rPr>
                <w:sz w:val="2"/>
                <w:szCs w:val="2"/>
              </w:rPr>
              <w:t>15.7%</w:t>
            </w:r>
          </w:p>
        </w:tc>
        <w:tc>
          <w:tcPr>
            <w:tcW w:w="236" w:type="dxa"/>
            <w:noWrap/>
            <w:hideMark/>
          </w:tcPr>
          <w:p w14:paraId="68A9EC87" w14:textId="77777777" w:rsidR="00BD415C" w:rsidRPr="00BD415C" w:rsidRDefault="00BD415C" w:rsidP="00BD415C">
            <w:pPr>
              <w:pStyle w:val="Source"/>
              <w:rPr>
                <w:sz w:val="2"/>
                <w:szCs w:val="2"/>
              </w:rPr>
            </w:pPr>
            <w:r w:rsidRPr="00BD415C">
              <w:rPr>
                <w:sz w:val="2"/>
                <w:szCs w:val="2"/>
              </w:rPr>
              <w:t>16.5%</w:t>
            </w:r>
          </w:p>
        </w:tc>
      </w:tr>
    </w:tbl>
    <w:p w14:paraId="2E0BC432" w14:textId="77777777" w:rsidR="00BD415C" w:rsidRDefault="00BD415C" w:rsidP="00701210">
      <w:pPr>
        <w:pStyle w:val="Source"/>
      </w:pPr>
    </w:p>
    <w:p w14:paraId="074FAC9C" w14:textId="77777777" w:rsidR="00BD415C" w:rsidRDefault="00BD415C" w:rsidP="00701210">
      <w:pPr>
        <w:pStyle w:val="Source"/>
      </w:pPr>
    </w:p>
    <w:p w14:paraId="37FA3918" w14:textId="77777777" w:rsidR="00BD415C" w:rsidRDefault="00BD415C" w:rsidP="00701210">
      <w:pPr>
        <w:pStyle w:val="Source"/>
      </w:pPr>
    </w:p>
    <w:p w14:paraId="1800A5B6" w14:textId="77777777" w:rsidR="00BD415C" w:rsidRDefault="00BD415C" w:rsidP="00701210">
      <w:pPr>
        <w:pStyle w:val="Source"/>
      </w:pPr>
    </w:p>
    <w:p w14:paraId="5467A119" w14:textId="77777777" w:rsidR="00BD415C" w:rsidRDefault="00BD415C" w:rsidP="00701210">
      <w:pPr>
        <w:pStyle w:val="Source"/>
      </w:pPr>
    </w:p>
    <w:p w14:paraId="4DDC4694" w14:textId="77777777" w:rsidR="00BD415C" w:rsidRDefault="00BD415C" w:rsidP="00701210">
      <w:pPr>
        <w:pStyle w:val="Source"/>
      </w:pPr>
    </w:p>
    <w:p w14:paraId="44422F06" w14:textId="77777777" w:rsidR="00BD415C" w:rsidRDefault="00BD415C" w:rsidP="00701210">
      <w:pPr>
        <w:pStyle w:val="Source"/>
      </w:pPr>
    </w:p>
    <w:p w14:paraId="6DB19D19" w14:textId="470FCD42" w:rsidR="00846EE4" w:rsidRPr="00846EE4" w:rsidRDefault="00846EE4" w:rsidP="00701210">
      <w:pPr>
        <w:pStyle w:val="Source"/>
      </w:pPr>
      <w:r w:rsidRPr="00846EE4">
        <w:t>Source: JSA analysis of Total VET Activity 2015-2022</w:t>
      </w:r>
    </w:p>
    <w:p w14:paraId="51E4B999" w14:textId="77777777" w:rsidR="00846EE4" w:rsidRPr="00846EE4" w:rsidRDefault="00846EE4" w:rsidP="00846EE4">
      <w:pPr>
        <w:rPr>
          <w:b/>
          <w:bCs/>
          <w:sz w:val="18"/>
          <w:szCs w:val="18"/>
        </w:rPr>
      </w:pPr>
      <w:r w:rsidRPr="00846EE4">
        <w:rPr>
          <w:rFonts w:cs="Arial"/>
        </w:rPr>
        <w:t xml:space="preserve">For higher education, as shown below in </w:t>
      </w:r>
      <w:r w:rsidRPr="00846EE4">
        <w:rPr>
          <w:rFonts w:cs="Arial"/>
        </w:rPr>
        <w:fldChar w:fldCharType="begin" w:fldLock="1"/>
      </w:r>
      <w:r w:rsidRPr="00846EE4">
        <w:rPr>
          <w:rFonts w:cs="Arial"/>
        </w:rPr>
        <w:instrText xml:space="preserve"> REF _Ref168317723 \h  \* MERGEFORMAT </w:instrText>
      </w:r>
      <w:r w:rsidRPr="00846EE4">
        <w:rPr>
          <w:rFonts w:cs="Arial"/>
        </w:rPr>
      </w:r>
      <w:r w:rsidRPr="00846EE4">
        <w:rPr>
          <w:rFonts w:cs="Arial"/>
        </w:rPr>
        <w:fldChar w:fldCharType="separate"/>
      </w:r>
      <w:r w:rsidRPr="00846EE4">
        <w:t>Figure 3.</w:t>
      </w:r>
      <w:r w:rsidRPr="00846EE4">
        <w:rPr>
          <w:noProof/>
        </w:rPr>
        <w:t>6</w:t>
      </w:r>
      <w:r w:rsidRPr="00846EE4">
        <w:rPr>
          <w:rFonts w:cs="Arial"/>
        </w:rPr>
        <w:fldChar w:fldCharType="end"/>
      </w:r>
      <w:r w:rsidRPr="00846EE4">
        <w:rPr>
          <w:rFonts w:cs="Arial"/>
        </w:rPr>
        <w:t>, ECEC enrolments are almost entirely within public universities. There has, however, been growth in undergraduate domestic students enrolling in self-accrediting institutions and non-university high education providers.</w:t>
      </w:r>
      <w:r w:rsidRPr="00846EE4" w:rsidDel="267C0303">
        <w:rPr>
          <w:rFonts w:cs="Arial"/>
        </w:rPr>
        <w:t xml:space="preserve"> </w:t>
      </w:r>
      <w:r w:rsidRPr="00846EE4">
        <w:rPr>
          <w:rFonts w:cs="Arial"/>
        </w:rPr>
        <w:t xml:space="preserve">There was no postgraduate domestic delivery outside public universities in the reference period. </w:t>
      </w:r>
      <w:bookmarkStart w:id="144" w:name="_Ref168317723"/>
    </w:p>
    <w:p w14:paraId="68B22ABF" w14:textId="77777777" w:rsidR="00FE21A7" w:rsidRDefault="00FE21A7">
      <w:pPr>
        <w:rPr>
          <w:b/>
          <w:bCs/>
          <w:color w:val="auto"/>
          <w:sz w:val="18"/>
          <w:szCs w:val="18"/>
        </w:rPr>
      </w:pPr>
      <w:r>
        <w:br w:type="page"/>
      </w:r>
    </w:p>
    <w:p w14:paraId="4EB1039D" w14:textId="69D78A61" w:rsidR="00846EE4" w:rsidRPr="00846EE4" w:rsidRDefault="00846EE4" w:rsidP="00701210">
      <w:pPr>
        <w:pStyle w:val="Caption"/>
      </w:pPr>
      <w:r w:rsidRPr="00846EE4">
        <w:lastRenderedPageBreak/>
        <w:t>Figure 3.</w:t>
      </w:r>
      <w:r w:rsidRPr="00846EE4">
        <w:fldChar w:fldCharType="begin"/>
      </w:r>
      <w:r w:rsidRPr="00846EE4">
        <w:instrText xml:space="preserve"> SEQ Figure \* ARABIC \s 1 </w:instrText>
      </w:r>
      <w:r w:rsidRPr="00846EE4">
        <w:fldChar w:fldCharType="separate"/>
      </w:r>
      <w:r w:rsidR="005F18C1">
        <w:rPr>
          <w:noProof/>
        </w:rPr>
        <w:t>6</w:t>
      </w:r>
      <w:r w:rsidRPr="00846EE4">
        <w:fldChar w:fldCharType="end"/>
      </w:r>
      <w:bookmarkEnd w:id="144"/>
      <w:r w:rsidRPr="00846EE4">
        <w:t xml:space="preserve"> Undergraduate domestic ECEC enrolments proportion by higher education provider type 2021</w:t>
      </w:r>
    </w:p>
    <w:p w14:paraId="77E4807D" w14:textId="77777777" w:rsidR="00846EE4" w:rsidRPr="00846EE4" w:rsidRDefault="00846EE4" w:rsidP="00846EE4">
      <w:r w:rsidRPr="00846EE4">
        <w:rPr>
          <w:noProof/>
        </w:rPr>
        <w:drawing>
          <wp:anchor distT="0" distB="0" distL="114300" distR="114300" simplePos="0" relativeHeight="251724803" behindDoc="0" locked="0" layoutInCell="1" allowOverlap="1" wp14:anchorId="41B58172" wp14:editId="57315757">
            <wp:simplePos x="0" y="0"/>
            <wp:positionH relativeFrom="column">
              <wp:posOffset>0</wp:posOffset>
            </wp:positionH>
            <wp:positionV relativeFrom="paragraph">
              <wp:posOffset>-1270</wp:posOffset>
            </wp:positionV>
            <wp:extent cx="5429250" cy="3038475"/>
            <wp:effectExtent l="0" t="0" r="0" b="9525"/>
            <wp:wrapNone/>
            <wp:docPr id="751476662" name="Chart 1">
              <a:extLst xmlns:a="http://schemas.openxmlformats.org/drawingml/2006/main">
                <a:ext uri="{FF2B5EF4-FFF2-40B4-BE49-F238E27FC236}">
                  <a16:creationId xmlns:a16="http://schemas.microsoft.com/office/drawing/2014/main" id="{D2CF7D62-7658-4F08-B43D-18AF2D3FE9FC}"/>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anchor>
        </w:drawing>
      </w:r>
    </w:p>
    <w:tbl>
      <w:tblPr>
        <w:tblStyle w:val="Box"/>
        <w:tblW w:w="0" w:type="auto"/>
        <w:jc w:val="center"/>
        <w:tblLook w:val="04A0" w:firstRow="1" w:lastRow="0" w:firstColumn="1" w:lastColumn="0" w:noHBand="0" w:noVBand="1"/>
      </w:tblPr>
      <w:tblGrid>
        <w:gridCol w:w="3119"/>
        <w:gridCol w:w="960"/>
        <w:gridCol w:w="960"/>
        <w:gridCol w:w="960"/>
        <w:gridCol w:w="960"/>
      </w:tblGrid>
      <w:tr w:rsidR="00FE21A7" w:rsidRPr="00FE21A7" w14:paraId="1F648E40" w14:textId="77777777" w:rsidTr="00FE21A7">
        <w:trPr>
          <w:trHeight w:val="300"/>
          <w:jc w:val="center"/>
        </w:trPr>
        <w:tc>
          <w:tcPr>
            <w:tcW w:w="3119" w:type="dxa"/>
            <w:noWrap/>
            <w:hideMark/>
          </w:tcPr>
          <w:p w14:paraId="2C660690" w14:textId="77777777" w:rsidR="00FE21A7" w:rsidRPr="00FE21A7" w:rsidRDefault="00FE21A7" w:rsidP="00FE21A7">
            <w:pPr>
              <w:pStyle w:val="Source"/>
              <w:rPr>
                <w:sz w:val="2"/>
                <w:szCs w:val="2"/>
                <w:lang w:eastAsia="en-AU"/>
              </w:rPr>
            </w:pPr>
          </w:p>
        </w:tc>
        <w:tc>
          <w:tcPr>
            <w:tcW w:w="960" w:type="dxa"/>
            <w:noWrap/>
            <w:hideMark/>
          </w:tcPr>
          <w:p w14:paraId="61167D6E" w14:textId="77777777" w:rsidR="00FE21A7" w:rsidRPr="00FE21A7" w:rsidRDefault="00FE21A7" w:rsidP="00FE21A7">
            <w:pPr>
              <w:pStyle w:val="Source"/>
              <w:rPr>
                <w:b/>
                <w:bCs/>
                <w:sz w:val="2"/>
                <w:szCs w:val="2"/>
                <w:lang w:eastAsia="en-AU"/>
              </w:rPr>
            </w:pPr>
            <w:r w:rsidRPr="00FE21A7">
              <w:rPr>
                <w:b/>
                <w:bCs/>
                <w:sz w:val="2"/>
                <w:szCs w:val="2"/>
                <w:lang w:eastAsia="en-AU"/>
              </w:rPr>
              <w:t>2018</w:t>
            </w:r>
          </w:p>
        </w:tc>
        <w:tc>
          <w:tcPr>
            <w:tcW w:w="960" w:type="dxa"/>
            <w:noWrap/>
            <w:hideMark/>
          </w:tcPr>
          <w:p w14:paraId="36D6CADD" w14:textId="77777777" w:rsidR="00FE21A7" w:rsidRPr="00FE21A7" w:rsidRDefault="00FE21A7" w:rsidP="00FE21A7">
            <w:pPr>
              <w:pStyle w:val="Source"/>
              <w:rPr>
                <w:b/>
                <w:bCs/>
                <w:sz w:val="2"/>
                <w:szCs w:val="2"/>
                <w:lang w:eastAsia="en-AU"/>
              </w:rPr>
            </w:pPr>
            <w:r w:rsidRPr="00FE21A7">
              <w:rPr>
                <w:b/>
                <w:bCs/>
                <w:sz w:val="2"/>
                <w:szCs w:val="2"/>
                <w:lang w:eastAsia="en-AU"/>
              </w:rPr>
              <w:t>2019</w:t>
            </w:r>
          </w:p>
        </w:tc>
        <w:tc>
          <w:tcPr>
            <w:tcW w:w="960" w:type="dxa"/>
            <w:noWrap/>
            <w:hideMark/>
          </w:tcPr>
          <w:p w14:paraId="69315B52" w14:textId="77777777" w:rsidR="00FE21A7" w:rsidRPr="00FE21A7" w:rsidRDefault="00FE21A7" w:rsidP="00FE21A7">
            <w:pPr>
              <w:pStyle w:val="Source"/>
              <w:rPr>
                <w:b/>
                <w:bCs/>
                <w:sz w:val="2"/>
                <w:szCs w:val="2"/>
                <w:lang w:eastAsia="en-AU"/>
              </w:rPr>
            </w:pPr>
            <w:r w:rsidRPr="00FE21A7">
              <w:rPr>
                <w:b/>
                <w:bCs/>
                <w:sz w:val="2"/>
                <w:szCs w:val="2"/>
                <w:lang w:eastAsia="en-AU"/>
              </w:rPr>
              <w:t>2020</w:t>
            </w:r>
          </w:p>
        </w:tc>
        <w:tc>
          <w:tcPr>
            <w:tcW w:w="960" w:type="dxa"/>
            <w:noWrap/>
            <w:hideMark/>
          </w:tcPr>
          <w:p w14:paraId="25894D3B" w14:textId="77777777" w:rsidR="00FE21A7" w:rsidRPr="00FE21A7" w:rsidRDefault="00FE21A7" w:rsidP="00FE21A7">
            <w:pPr>
              <w:pStyle w:val="Source"/>
              <w:rPr>
                <w:b/>
                <w:bCs/>
                <w:sz w:val="2"/>
                <w:szCs w:val="2"/>
                <w:lang w:eastAsia="en-AU"/>
              </w:rPr>
            </w:pPr>
            <w:r w:rsidRPr="00FE21A7">
              <w:rPr>
                <w:b/>
                <w:bCs/>
                <w:sz w:val="2"/>
                <w:szCs w:val="2"/>
                <w:lang w:eastAsia="en-AU"/>
              </w:rPr>
              <w:t>2021</w:t>
            </w:r>
          </w:p>
        </w:tc>
      </w:tr>
      <w:tr w:rsidR="00FE21A7" w:rsidRPr="00FE21A7" w14:paraId="785A1F84" w14:textId="77777777" w:rsidTr="00FE21A7">
        <w:trPr>
          <w:trHeight w:val="285"/>
          <w:jc w:val="center"/>
        </w:trPr>
        <w:tc>
          <w:tcPr>
            <w:tcW w:w="3119" w:type="dxa"/>
            <w:noWrap/>
            <w:hideMark/>
          </w:tcPr>
          <w:p w14:paraId="6FB20178" w14:textId="77777777" w:rsidR="00FE21A7" w:rsidRPr="00FE21A7" w:rsidRDefault="00FE21A7" w:rsidP="00FE21A7">
            <w:pPr>
              <w:pStyle w:val="Source"/>
              <w:rPr>
                <w:sz w:val="2"/>
                <w:szCs w:val="2"/>
                <w:lang w:eastAsia="en-AU"/>
              </w:rPr>
            </w:pPr>
            <w:r w:rsidRPr="00FE21A7">
              <w:rPr>
                <w:sz w:val="2"/>
                <w:szCs w:val="2"/>
                <w:lang w:eastAsia="en-AU"/>
              </w:rPr>
              <w:t>Table A Institutions</w:t>
            </w:r>
          </w:p>
        </w:tc>
        <w:tc>
          <w:tcPr>
            <w:tcW w:w="960" w:type="dxa"/>
            <w:noWrap/>
            <w:hideMark/>
          </w:tcPr>
          <w:p w14:paraId="1AEF38BB" w14:textId="77777777" w:rsidR="00FE21A7" w:rsidRPr="00FE21A7" w:rsidRDefault="00FE21A7" w:rsidP="00FE21A7">
            <w:pPr>
              <w:pStyle w:val="Source"/>
              <w:rPr>
                <w:sz w:val="2"/>
                <w:szCs w:val="2"/>
                <w:lang w:eastAsia="en-AU"/>
              </w:rPr>
            </w:pPr>
            <w:r w:rsidRPr="00FE21A7">
              <w:rPr>
                <w:sz w:val="2"/>
                <w:szCs w:val="2"/>
                <w:lang w:eastAsia="en-AU"/>
              </w:rPr>
              <w:t>94.6%</w:t>
            </w:r>
          </w:p>
        </w:tc>
        <w:tc>
          <w:tcPr>
            <w:tcW w:w="960" w:type="dxa"/>
            <w:noWrap/>
            <w:hideMark/>
          </w:tcPr>
          <w:p w14:paraId="66601335" w14:textId="77777777" w:rsidR="00FE21A7" w:rsidRPr="00FE21A7" w:rsidRDefault="00FE21A7" w:rsidP="00FE21A7">
            <w:pPr>
              <w:pStyle w:val="Source"/>
              <w:rPr>
                <w:sz w:val="2"/>
                <w:szCs w:val="2"/>
                <w:lang w:eastAsia="en-AU"/>
              </w:rPr>
            </w:pPr>
            <w:r w:rsidRPr="00FE21A7">
              <w:rPr>
                <w:sz w:val="2"/>
                <w:szCs w:val="2"/>
                <w:lang w:eastAsia="en-AU"/>
              </w:rPr>
              <w:t>94.9%</w:t>
            </w:r>
          </w:p>
        </w:tc>
        <w:tc>
          <w:tcPr>
            <w:tcW w:w="960" w:type="dxa"/>
            <w:noWrap/>
            <w:hideMark/>
          </w:tcPr>
          <w:p w14:paraId="0ECDB7B7" w14:textId="77777777" w:rsidR="00FE21A7" w:rsidRPr="00FE21A7" w:rsidRDefault="00FE21A7" w:rsidP="00FE21A7">
            <w:pPr>
              <w:pStyle w:val="Source"/>
              <w:rPr>
                <w:sz w:val="2"/>
                <w:szCs w:val="2"/>
                <w:lang w:eastAsia="en-AU"/>
              </w:rPr>
            </w:pPr>
            <w:r w:rsidRPr="00FE21A7">
              <w:rPr>
                <w:sz w:val="2"/>
                <w:szCs w:val="2"/>
                <w:lang w:eastAsia="en-AU"/>
              </w:rPr>
              <w:t>95.8%</w:t>
            </w:r>
          </w:p>
        </w:tc>
        <w:tc>
          <w:tcPr>
            <w:tcW w:w="960" w:type="dxa"/>
            <w:noWrap/>
            <w:hideMark/>
          </w:tcPr>
          <w:p w14:paraId="050DAAB2" w14:textId="77777777" w:rsidR="00FE21A7" w:rsidRPr="00FE21A7" w:rsidRDefault="00FE21A7" w:rsidP="00FE21A7">
            <w:pPr>
              <w:pStyle w:val="Source"/>
              <w:rPr>
                <w:sz w:val="2"/>
                <w:szCs w:val="2"/>
                <w:lang w:eastAsia="en-AU"/>
              </w:rPr>
            </w:pPr>
            <w:r w:rsidRPr="00FE21A7">
              <w:rPr>
                <w:sz w:val="2"/>
                <w:szCs w:val="2"/>
                <w:lang w:eastAsia="en-AU"/>
              </w:rPr>
              <w:t>94.0%</w:t>
            </w:r>
          </w:p>
        </w:tc>
      </w:tr>
      <w:tr w:rsidR="00FE21A7" w:rsidRPr="00FE21A7" w14:paraId="246BE361" w14:textId="77777777" w:rsidTr="00FE21A7">
        <w:trPr>
          <w:trHeight w:val="285"/>
          <w:jc w:val="center"/>
        </w:trPr>
        <w:tc>
          <w:tcPr>
            <w:tcW w:w="3119" w:type="dxa"/>
            <w:noWrap/>
            <w:hideMark/>
          </w:tcPr>
          <w:p w14:paraId="3477F547" w14:textId="77777777" w:rsidR="00FE21A7" w:rsidRPr="00FE21A7" w:rsidRDefault="00FE21A7" w:rsidP="00FE21A7">
            <w:pPr>
              <w:pStyle w:val="Source"/>
              <w:rPr>
                <w:sz w:val="2"/>
                <w:szCs w:val="2"/>
                <w:lang w:eastAsia="en-AU"/>
              </w:rPr>
            </w:pPr>
            <w:r w:rsidRPr="00FE21A7">
              <w:rPr>
                <w:sz w:val="2"/>
                <w:szCs w:val="2"/>
                <w:lang w:eastAsia="en-AU"/>
              </w:rPr>
              <w:t>Table B Institutions</w:t>
            </w:r>
          </w:p>
        </w:tc>
        <w:tc>
          <w:tcPr>
            <w:tcW w:w="960" w:type="dxa"/>
            <w:noWrap/>
            <w:hideMark/>
          </w:tcPr>
          <w:p w14:paraId="7909750A" w14:textId="77777777" w:rsidR="00FE21A7" w:rsidRPr="00FE21A7" w:rsidRDefault="00FE21A7" w:rsidP="00FE21A7">
            <w:pPr>
              <w:pStyle w:val="Source"/>
              <w:rPr>
                <w:sz w:val="2"/>
                <w:szCs w:val="2"/>
                <w:lang w:eastAsia="en-AU"/>
              </w:rPr>
            </w:pPr>
            <w:r w:rsidRPr="00FE21A7">
              <w:rPr>
                <w:sz w:val="2"/>
                <w:szCs w:val="2"/>
                <w:lang w:eastAsia="en-AU"/>
              </w:rPr>
              <w:t>3.8%</w:t>
            </w:r>
          </w:p>
        </w:tc>
        <w:tc>
          <w:tcPr>
            <w:tcW w:w="960" w:type="dxa"/>
            <w:noWrap/>
            <w:hideMark/>
          </w:tcPr>
          <w:p w14:paraId="7ADBEF13" w14:textId="77777777" w:rsidR="00FE21A7" w:rsidRPr="00FE21A7" w:rsidRDefault="00FE21A7" w:rsidP="00FE21A7">
            <w:pPr>
              <w:pStyle w:val="Source"/>
              <w:rPr>
                <w:sz w:val="2"/>
                <w:szCs w:val="2"/>
                <w:lang w:eastAsia="en-AU"/>
              </w:rPr>
            </w:pPr>
            <w:r w:rsidRPr="00FE21A7">
              <w:rPr>
                <w:sz w:val="2"/>
                <w:szCs w:val="2"/>
                <w:lang w:eastAsia="en-AU"/>
              </w:rPr>
              <w:t>3.5%</w:t>
            </w:r>
          </w:p>
        </w:tc>
        <w:tc>
          <w:tcPr>
            <w:tcW w:w="960" w:type="dxa"/>
            <w:noWrap/>
            <w:hideMark/>
          </w:tcPr>
          <w:p w14:paraId="626FA236" w14:textId="77777777" w:rsidR="00FE21A7" w:rsidRPr="00FE21A7" w:rsidRDefault="00FE21A7" w:rsidP="00FE21A7">
            <w:pPr>
              <w:pStyle w:val="Source"/>
              <w:rPr>
                <w:sz w:val="2"/>
                <w:szCs w:val="2"/>
                <w:lang w:eastAsia="en-AU"/>
              </w:rPr>
            </w:pPr>
            <w:r w:rsidRPr="00FE21A7">
              <w:rPr>
                <w:sz w:val="2"/>
                <w:szCs w:val="2"/>
                <w:lang w:eastAsia="en-AU"/>
              </w:rPr>
              <w:t>2.7%</w:t>
            </w:r>
          </w:p>
        </w:tc>
        <w:tc>
          <w:tcPr>
            <w:tcW w:w="960" w:type="dxa"/>
            <w:noWrap/>
            <w:hideMark/>
          </w:tcPr>
          <w:p w14:paraId="6FAEEAA0" w14:textId="77777777" w:rsidR="00FE21A7" w:rsidRPr="00FE21A7" w:rsidRDefault="00FE21A7" w:rsidP="00FE21A7">
            <w:pPr>
              <w:pStyle w:val="Source"/>
              <w:rPr>
                <w:sz w:val="2"/>
                <w:szCs w:val="2"/>
                <w:lang w:eastAsia="en-AU"/>
              </w:rPr>
            </w:pPr>
            <w:r w:rsidRPr="00FE21A7">
              <w:rPr>
                <w:sz w:val="2"/>
                <w:szCs w:val="2"/>
                <w:lang w:eastAsia="en-AU"/>
              </w:rPr>
              <w:t>2.1%</w:t>
            </w:r>
          </w:p>
        </w:tc>
      </w:tr>
      <w:tr w:rsidR="00FE21A7" w:rsidRPr="00FE21A7" w14:paraId="75D57ED3" w14:textId="77777777" w:rsidTr="00FE21A7">
        <w:trPr>
          <w:trHeight w:val="285"/>
          <w:jc w:val="center"/>
        </w:trPr>
        <w:tc>
          <w:tcPr>
            <w:tcW w:w="3119" w:type="dxa"/>
            <w:noWrap/>
            <w:hideMark/>
          </w:tcPr>
          <w:p w14:paraId="59FEBF67" w14:textId="77777777" w:rsidR="00FE21A7" w:rsidRPr="00FE21A7" w:rsidRDefault="00FE21A7" w:rsidP="00FE21A7">
            <w:pPr>
              <w:pStyle w:val="Source"/>
              <w:rPr>
                <w:sz w:val="2"/>
                <w:szCs w:val="2"/>
                <w:lang w:eastAsia="en-AU"/>
              </w:rPr>
            </w:pPr>
            <w:r w:rsidRPr="00FE21A7">
              <w:rPr>
                <w:sz w:val="2"/>
                <w:szCs w:val="2"/>
                <w:lang w:eastAsia="en-AU"/>
              </w:rPr>
              <w:t>Non-University Higher Education Institutions</w:t>
            </w:r>
          </w:p>
        </w:tc>
        <w:tc>
          <w:tcPr>
            <w:tcW w:w="960" w:type="dxa"/>
            <w:noWrap/>
            <w:hideMark/>
          </w:tcPr>
          <w:p w14:paraId="1D01B0FB" w14:textId="77777777" w:rsidR="00FE21A7" w:rsidRPr="00FE21A7" w:rsidRDefault="00FE21A7" w:rsidP="00FE21A7">
            <w:pPr>
              <w:pStyle w:val="Source"/>
              <w:rPr>
                <w:sz w:val="2"/>
                <w:szCs w:val="2"/>
                <w:lang w:eastAsia="en-AU"/>
              </w:rPr>
            </w:pPr>
            <w:r w:rsidRPr="00FE21A7">
              <w:rPr>
                <w:sz w:val="2"/>
                <w:szCs w:val="2"/>
                <w:lang w:eastAsia="en-AU"/>
              </w:rPr>
              <w:t>1.6%</w:t>
            </w:r>
          </w:p>
        </w:tc>
        <w:tc>
          <w:tcPr>
            <w:tcW w:w="960" w:type="dxa"/>
            <w:noWrap/>
            <w:hideMark/>
          </w:tcPr>
          <w:p w14:paraId="64EF4980" w14:textId="77777777" w:rsidR="00FE21A7" w:rsidRPr="00FE21A7" w:rsidRDefault="00FE21A7" w:rsidP="00FE21A7">
            <w:pPr>
              <w:pStyle w:val="Source"/>
              <w:rPr>
                <w:sz w:val="2"/>
                <w:szCs w:val="2"/>
                <w:lang w:eastAsia="en-AU"/>
              </w:rPr>
            </w:pPr>
            <w:r w:rsidRPr="00FE21A7">
              <w:rPr>
                <w:sz w:val="2"/>
                <w:szCs w:val="2"/>
                <w:lang w:eastAsia="en-AU"/>
              </w:rPr>
              <w:t>1.7%</w:t>
            </w:r>
          </w:p>
        </w:tc>
        <w:tc>
          <w:tcPr>
            <w:tcW w:w="960" w:type="dxa"/>
            <w:noWrap/>
            <w:hideMark/>
          </w:tcPr>
          <w:p w14:paraId="4AE395CE" w14:textId="77777777" w:rsidR="00FE21A7" w:rsidRPr="00FE21A7" w:rsidRDefault="00FE21A7" w:rsidP="00FE21A7">
            <w:pPr>
              <w:pStyle w:val="Source"/>
              <w:rPr>
                <w:sz w:val="2"/>
                <w:szCs w:val="2"/>
                <w:lang w:eastAsia="en-AU"/>
              </w:rPr>
            </w:pPr>
            <w:r w:rsidRPr="00FE21A7">
              <w:rPr>
                <w:sz w:val="2"/>
                <w:szCs w:val="2"/>
                <w:lang w:eastAsia="en-AU"/>
              </w:rPr>
              <w:t>1.4%</w:t>
            </w:r>
          </w:p>
        </w:tc>
        <w:tc>
          <w:tcPr>
            <w:tcW w:w="960" w:type="dxa"/>
            <w:noWrap/>
            <w:hideMark/>
          </w:tcPr>
          <w:p w14:paraId="17F6E5AB" w14:textId="77777777" w:rsidR="00FE21A7" w:rsidRPr="00FE21A7" w:rsidRDefault="00FE21A7" w:rsidP="00FE21A7">
            <w:pPr>
              <w:pStyle w:val="Source"/>
              <w:rPr>
                <w:sz w:val="2"/>
                <w:szCs w:val="2"/>
                <w:lang w:eastAsia="en-AU"/>
              </w:rPr>
            </w:pPr>
            <w:r w:rsidRPr="00FE21A7">
              <w:rPr>
                <w:sz w:val="2"/>
                <w:szCs w:val="2"/>
                <w:lang w:eastAsia="en-AU"/>
              </w:rPr>
              <w:t>3.9%</w:t>
            </w:r>
          </w:p>
        </w:tc>
      </w:tr>
    </w:tbl>
    <w:p w14:paraId="34912B47" w14:textId="77777777" w:rsidR="00FE21A7" w:rsidRDefault="00FE21A7" w:rsidP="00701210">
      <w:pPr>
        <w:pStyle w:val="Source"/>
        <w:rPr>
          <w:lang w:eastAsia="en-AU"/>
        </w:rPr>
      </w:pPr>
    </w:p>
    <w:p w14:paraId="74C1DDDE" w14:textId="77777777" w:rsidR="00FE21A7" w:rsidRDefault="00FE21A7" w:rsidP="00701210">
      <w:pPr>
        <w:pStyle w:val="Source"/>
        <w:rPr>
          <w:lang w:eastAsia="en-AU"/>
        </w:rPr>
      </w:pPr>
    </w:p>
    <w:p w14:paraId="08B2F31A" w14:textId="77777777" w:rsidR="00FE21A7" w:rsidRDefault="00FE21A7" w:rsidP="00701210">
      <w:pPr>
        <w:pStyle w:val="Source"/>
        <w:rPr>
          <w:lang w:eastAsia="en-AU"/>
        </w:rPr>
      </w:pPr>
    </w:p>
    <w:p w14:paraId="24929F36" w14:textId="77777777" w:rsidR="00FE21A7" w:rsidRDefault="00FE21A7" w:rsidP="00701210">
      <w:pPr>
        <w:pStyle w:val="Source"/>
        <w:rPr>
          <w:lang w:eastAsia="en-AU"/>
        </w:rPr>
      </w:pPr>
    </w:p>
    <w:p w14:paraId="22D6F723" w14:textId="77777777" w:rsidR="00FE21A7" w:rsidRDefault="00FE21A7" w:rsidP="00701210">
      <w:pPr>
        <w:pStyle w:val="Source"/>
        <w:rPr>
          <w:lang w:eastAsia="en-AU"/>
        </w:rPr>
      </w:pPr>
    </w:p>
    <w:p w14:paraId="76CCB2C0" w14:textId="77777777" w:rsidR="00FE21A7" w:rsidRDefault="00FE21A7" w:rsidP="00701210">
      <w:pPr>
        <w:pStyle w:val="Source"/>
        <w:rPr>
          <w:lang w:eastAsia="en-AU"/>
        </w:rPr>
      </w:pPr>
    </w:p>
    <w:p w14:paraId="5D008087" w14:textId="77777777" w:rsidR="00FE21A7" w:rsidRDefault="00FE21A7" w:rsidP="00701210">
      <w:pPr>
        <w:pStyle w:val="Source"/>
        <w:rPr>
          <w:lang w:eastAsia="en-AU"/>
        </w:rPr>
      </w:pPr>
    </w:p>
    <w:p w14:paraId="43C48BA0" w14:textId="77777777" w:rsidR="00FE21A7" w:rsidRDefault="00FE21A7" w:rsidP="00701210">
      <w:pPr>
        <w:pStyle w:val="Source"/>
        <w:rPr>
          <w:lang w:eastAsia="en-AU"/>
        </w:rPr>
      </w:pPr>
    </w:p>
    <w:p w14:paraId="33BB92E4" w14:textId="77777777" w:rsidR="00FE21A7" w:rsidRDefault="00FE21A7" w:rsidP="00FE21A7">
      <w:pPr>
        <w:rPr>
          <w:lang w:eastAsia="en-AU"/>
        </w:rPr>
      </w:pPr>
    </w:p>
    <w:p w14:paraId="14222F2D" w14:textId="774F9999" w:rsidR="00846EE4" w:rsidRPr="00846EE4" w:rsidRDefault="00846EE4" w:rsidP="00701210">
      <w:pPr>
        <w:pStyle w:val="Source"/>
        <w:rPr>
          <w:lang w:eastAsia="en-AU"/>
        </w:rPr>
      </w:pPr>
      <w:r w:rsidRPr="00846EE4">
        <w:rPr>
          <w:lang w:eastAsia="en-AU"/>
        </w:rPr>
        <w:t>Source: Unistats data request, Department of Education, 2023</w:t>
      </w:r>
    </w:p>
    <w:p w14:paraId="7E789D3F" w14:textId="5736714A" w:rsidR="009042F4" w:rsidRDefault="00846EE4" w:rsidP="00701210">
      <w:pPr>
        <w:pStyle w:val="Source"/>
        <w:rPr>
          <w:lang w:eastAsia="en-AU"/>
        </w:rPr>
      </w:pPr>
      <w:r w:rsidRPr="00846EE4">
        <w:rPr>
          <w:lang w:eastAsia="en-AU"/>
        </w:rPr>
        <w:t>Notes: Logarithmic scale used</w:t>
      </w:r>
    </w:p>
    <w:p w14:paraId="599228DC" w14:textId="79A0DFA5" w:rsidR="00846EE4" w:rsidRPr="009042F4" w:rsidRDefault="009042F4" w:rsidP="009042F4">
      <w:pPr>
        <w:rPr>
          <w:color w:val="auto"/>
          <w:sz w:val="18"/>
          <w:szCs w:val="18"/>
          <w:lang w:eastAsia="en-AU"/>
        </w:rPr>
      </w:pPr>
      <w:r>
        <w:rPr>
          <w:lang w:eastAsia="en-AU"/>
        </w:rPr>
        <w:br w:type="page"/>
      </w:r>
    </w:p>
    <w:tbl>
      <w:tblPr>
        <w:tblStyle w:val="BoxC3"/>
        <w:tblW w:w="0" w:type="auto"/>
        <w:tblLook w:val="0620" w:firstRow="1" w:lastRow="0" w:firstColumn="0" w:lastColumn="0" w:noHBand="1" w:noVBand="1"/>
      </w:tblPr>
      <w:tblGrid>
        <w:gridCol w:w="9016"/>
      </w:tblGrid>
      <w:tr w:rsidR="00846EE4" w:rsidRPr="00846EE4" w14:paraId="3BE73C04" w14:textId="77777777" w:rsidTr="005D67F5">
        <w:tc>
          <w:tcPr>
            <w:tcW w:w="9016" w:type="dxa"/>
          </w:tcPr>
          <w:p w14:paraId="74357A29" w14:textId="77777777" w:rsidR="00846EE4" w:rsidRPr="00846EE4" w:rsidRDefault="00846EE4" w:rsidP="00846EE4">
            <w:pPr>
              <w:spacing w:before="120" w:after="120" w:line="264" w:lineRule="auto"/>
              <w:rPr>
                <w:rFonts w:eastAsiaTheme="majorEastAsia" w:cstheme="majorBidi"/>
                <w:b/>
                <w:color w:val="441170" w:themeColor="text2"/>
                <w:sz w:val="32"/>
                <w:szCs w:val="24"/>
              </w:rPr>
            </w:pPr>
            <w:r w:rsidRPr="00846EE4">
              <w:rPr>
                <w:rFonts w:eastAsiaTheme="majorEastAsia" w:cstheme="majorBidi"/>
                <w:b/>
                <w:color w:val="441170" w:themeColor="text2"/>
                <w:sz w:val="32"/>
                <w:szCs w:val="24"/>
              </w:rPr>
              <w:lastRenderedPageBreak/>
              <w:t>CASE STUDY – Aboriginal managed and controlled RTO – Bubup Wilam</w:t>
            </w:r>
          </w:p>
          <w:p w14:paraId="429C75E6" w14:textId="77777777" w:rsidR="00846EE4" w:rsidRPr="00846EE4" w:rsidRDefault="00846EE4" w:rsidP="00846EE4">
            <w:pPr>
              <w:spacing w:before="120" w:after="120" w:line="264" w:lineRule="auto"/>
            </w:pPr>
            <w:r w:rsidRPr="00846EE4">
              <w:t xml:space="preserve">Bubup Wilam Aboriginal Child and Family Centre, meaning ‘Children’s Place’ in Woi Wurrung, is an Aboriginal community-controlled education, health, and well-being organisation in Thomastown, Naarm (Melbourne). Bubup Wilam aims to ensure local Aboriginal communities can make decisions that directly affect them and exercise their right to self-determination in a meaningful and effective way. </w:t>
            </w:r>
          </w:p>
          <w:p w14:paraId="0763CDE7" w14:textId="77777777" w:rsidR="00846EE4" w:rsidRPr="00846EE4" w:rsidRDefault="00846EE4" w:rsidP="00846EE4">
            <w:pPr>
              <w:spacing w:before="120" w:after="120" w:line="264" w:lineRule="auto"/>
            </w:pPr>
            <w:r w:rsidRPr="00846EE4">
              <w:t xml:space="preserve">Bubup Wilam offers a unique model of integrated, wrap-around health and wellbeing services that are interwoven within the centre and within the delivery of the educational program. Bubup Wilam is one of only three Aboriginal service providers nationally to offer preventive and early childhood intervention services as NDIS providers. This includes allied health services such as hearing tests, speech pathologists, visits to general practitioners, a comprehensive primary school integration program, and access to other health care services without fear, shame, racism, and the burden of additional, often prohibitive, time-consuming costs and need to take time off work. Through this quality, culturally safe, and accessible model, Bubup Wilam reinforces children’s strong sense of Aboriginal identities and personal self-esteem as the foundation for lifelong learning, health, and well-being. </w:t>
            </w:r>
          </w:p>
          <w:p w14:paraId="1ADEC620" w14:textId="77777777" w:rsidR="00846EE4" w:rsidRPr="00846EE4" w:rsidRDefault="00846EE4" w:rsidP="00846EE4">
            <w:pPr>
              <w:spacing w:before="120" w:after="120" w:line="264" w:lineRule="auto"/>
            </w:pPr>
            <w:r w:rsidRPr="00846EE4">
              <w:t xml:space="preserve">Delivering this model requires a highly skilled, multi-disciplined, and strong workforce who build strong relationships with children and their families and are aware of, and responsive to their cultural, educational, health and wellbeing needs. This requires commitment to the attraction, training and retention of Aboriginal employees who bring specific skills and knowledge that are imperative to quality education and care for Aboriginal children. </w:t>
            </w:r>
          </w:p>
          <w:p w14:paraId="6F637DBB" w14:textId="77777777" w:rsidR="00846EE4" w:rsidRPr="00846EE4" w:rsidRDefault="00846EE4" w:rsidP="00846EE4">
            <w:pPr>
              <w:spacing w:before="120" w:after="120" w:line="264" w:lineRule="auto"/>
            </w:pPr>
            <w:r w:rsidRPr="00846EE4">
              <w:t>Bubup Wilam stands out in the health, wellbeing and early years and adult education programs they offer, evident in the fact they were rated exceeding National quality standard in all quality areas in their recent assessment and rating and are now eligible to apply for recognition to achieve an Excellent rating. Bubup also won the 2023 national NAIDOC award for education and has recently become a Registered Training Organisation (RTO) with ASQA.</w:t>
            </w:r>
          </w:p>
          <w:p w14:paraId="56DB7368" w14:textId="77777777" w:rsidR="00846EE4" w:rsidRPr="00846EE4" w:rsidRDefault="00846EE4" w:rsidP="00701210">
            <w:pPr>
              <w:pStyle w:val="Source"/>
            </w:pPr>
            <w:r w:rsidRPr="00846EE4">
              <w:t xml:space="preserve">Source: Bubup Wilam, (n.d), Bubup Wilam Aboriginal Child and Family Centre, </w:t>
            </w:r>
            <w:hyperlink r:id="rId114" w:history="1">
              <w:r w:rsidRPr="00846EE4">
                <w:rPr>
                  <w:rFonts w:cs="Arial"/>
                  <w:i/>
                  <w:iCs/>
                  <w:color w:val="215E9E" w:themeColor="hyperlink"/>
                  <w:u w:val="single"/>
                </w:rPr>
                <w:t>https://bubupwilam.org.au/</w:t>
              </w:r>
            </w:hyperlink>
            <w:r w:rsidRPr="00846EE4">
              <w:t xml:space="preserve">. </w:t>
            </w:r>
          </w:p>
        </w:tc>
      </w:tr>
    </w:tbl>
    <w:p w14:paraId="30F63A20" w14:textId="77777777" w:rsidR="00846EE4" w:rsidRPr="00846EE4" w:rsidRDefault="00846EE4" w:rsidP="00846EE4"/>
    <w:p w14:paraId="71209AD7" w14:textId="77777777" w:rsidR="00846EE4" w:rsidRPr="00846EE4" w:rsidRDefault="00846EE4" w:rsidP="00846EE4">
      <w:pPr>
        <w:pStyle w:val="Heading3"/>
      </w:pPr>
      <w:r w:rsidRPr="00846EE4">
        <w:t>Work-based Training</w:t>
      </w:r>
    </w:p>
    <w:p w14:paraId="0AE1134F" w14:textId="77777777" w:rsidR="00846EE4" w:rsidRPr="00846EE4" w:rsidRDefault="00846EE4" w:rsidP="00846EE4">
      <w:pPr>
        <w:rPr>
          <w:b/>
          <w:bCs/>
          <w:color w:val="auto"/>
          <w:sz w:val="18"/>
          <w:szCs w:val="18"/>
        </w:rPr>
      </w:pPr>
      <w:r w:rsidRPr="00846EE4">
        <w:rPr>
          <w:rFonts w:cs="Arial"/>
        </w:rPr>
        <w:t xml:space="preserve">There is a heavy practical component in both VET and HE courses leading to ECEC qualifications. For example, for a Certificate III ECEC course requires 160 hours of work in a regulated children’s education and care service while the Diploma level qualification requires 280 hours. Significant supervised professional experience / work placement is also needed in higher education qualifications for Early Childhood Teachers. The practical orientation of training means that ECEC work is well suited to the apprenticeship/traineeship model, and higher education courses incorporate significant work integrated learning elements. </w:t>
      </w:r>
      <w:r w:rsidRPr="00846EE4">
        <w:rPr>
          <w:rFonts w:cs="Arial"/>
        </w:rPr>
        <w:fldChar w:fldCharType="begin" w:fldLock="1"/>
      </w:r>
      <w:r w:rsidRPr="00846EE4">
        <w:rPr>
          <w:rFonts w:cs="Arial"/>
        </w:rPr>
        <w:instrText xml:space="preserve"> REF _Ref168317774 \h </w:instrText>
      </w:r>
      <w:r w:rsidRPr="00846EE4">
        <w:rPr>
          <w:rFonts w:cs="Arial"/>
        </w:rPr>
      </w:r>
      <w:r w:rsidRPr="00846EE4">
        <w:rPr>
          <w:rFonts w:cs="Arial"/>
        </w:rPr>
        <w:fldChar w:fldCharType="separate"/>
      </w:r>
      <w:r w:rsidRPr="00846EE4">
        <w:t>Table 3.</w:t>
      </w:r>
      <w:r w:rsidRPr="00846EE4">
        <w:rPr>
          <w:noProof/>
        </w:rPr>
        <w:t>5</w:t>
      </w:r>
      <w:r w:rsidRPr="00846EE4">
        <w:rPr>
          <w:rFonts w:cs="Arial"/>
        </w:rPr>
        <w:fldChar w:fldCharType="end"/>
      </w:r>
      <w:r w:rsidRPr="00846EE4">
        <w:rPr>
          <w:rFonts w:cs="Arial"/>
        </w:rPr>
        <w:t xml:space="preserve"> looks at the ECEC VET program cluster (the Certificate III ECEC and Diploma ECEC) </w:t>
      </w:r>
      <w:r w:rsidRPr="00846EE4">
        <w:rPr>
          <w:rFonts w:cs="Arial"/>
        </w:rPr>
        <w:lastRenderedPageBreak/>
        <w:t>against other program clusters to see what the rate of employment and apprentice/trainee rates were, revealing that ECEC has enrolments with the highest rate of concurrent employment and a far higher rate of apprentice/trainee delivery than chosen comparison program clusters.</w:t>
      </w:r>
      <w:bookmarkStart w:id="145" w:name="_Ref168317774"/>
      <w:bookmarkStart w:id="146" w:name="_Ref168317768"/>
    </w:p>
    <w:p w14:paraId="77AE7212" w14:textId="11A08137" w:rsidR="00846EE4" w:rsidRPr="00846EE4" w:rsidRDefault="00846EE4" w:rsidP="00701210">
      <w:pPr>
        <w:pStyle w:val="Caption"/>
      </w:pPr>
      <w:r w:rsidRPr="00846EE4">
        <w:t>Table 3.</w:t>
      </w:r>
      <w:r w:rsidRPr="00846EE4">
        <w:fldChar w:fldCharType="begin"/>
      </w:r>
      <w:r w:rsidRPr="00846EE4">
        <w:instrText xml:space="preserve"> SEQ Table \* ARABIC \s 1 </w:instrText>
      </w:r>
      <w:r w:rsidRPr="00846EE4">
        <w:fldChar w:fldCharType="separate"/>
      </w:r>
      <w:r w:rsidR="005F18C1">
        <w:rPr>
          <w:noProof/>
        </w:rPr>
        <w:t>5</w:t>
      </w:r>
      <w:r w:rsidRPr="00846EE4">
        <w:fldChar w:fldCharType="end"/>
      </w:r>
      <w:bookmarkEnd w:id="145"/>
      <w:r w:rsidRPr="00846EE4">
        <w:t>: ECEC VET programs cluster comparison with employment components, compared to other clusters, 2022</w:t>
      </w:r>
      <w:r w:rsidRPr="00846EE4">
        <w:rPr>
          <w:vertAlign w:val="superscript"/>
        </w:rPr>
        <w:footnoteReference w:id="52"/>
      </w:r>
      <w:bookmarkEnd w:id="146"/>
    </w:p>
    <w:tbl>
      <w:tblPr>
        <w:tblStyle w:val="JSATable1"/>
        <w:tblW w:w="0" w:type="auto"/>
        <w:tblLook w:val="04A0" w:firstRow="1" w:lastRow="0" w:firstColumn="1" w:lastColumn="0" w:noHBand="0" w:noVBand="1"/>
      </w:tblPr>
      <w:tblGrid>
        <w:gridCol w:w="2254"/>
        <w:gridCol w:w="2254"/>
        <w:gridCol w:w="2254"/>
        <w:gridCol w:w="2254"/>
      </w:tblGrid>
      <w:tr w:rsidR="00846EE4" w:rsidRPr="00846EE4" w14:paraId="7837F4D6" w14:textId="77777777" w:rsidTr="005F6ADC">
        <w:trPr>
          <w:cnfStyle w:val="100000000000" w:firstRow="1" w:lastRow="0" w:firstColumn="0" w:lastColumn="0" w:oddVBand="0" w:evenVBand="0" w:oddHBand="0" w:evenHBand="0" w:firstRowFirstColumn="0" w:firstRowLastColumn="0" w:lastRowFirstColumn="0" w:lastRowLastColumn="0"/>
        </w:trPr>
        <w:tc>
          <w:tcPr>
            <w:tcW w:w="2254" w:type="dxa"/>
          </w:tcPr>
          <w:p w14:paraId="7A5B1B77" w14:textId="77777777" w:rsidR="00846EE4" w:rsidRPr="00846EE4" w:rsidRDefault="00846EE4" w:rsidP="00846EE4">
            <w:r w:rsidRPr="00846EE4">
              <w:rPr>
                <w:rFonts w:asciiTheme="majorHAnsi" w:eastAsia="Times New Roman" w:hAnsiTheme="majorHAnsi" w:cstheme="majorHAnsi"/>
                <w:color w:val="FFFFFF"/>
                <w:sz w:val="20"/>
                <w:szCs w:val="20"/>
                <w:lang w:eastAsia="en-AU"/>
              </w:rPr>
              <w:t xml:space="preserve">Selected VET programs within occupation group </w:t>
            </w:r>
          </w:p>
        </w:tc>
        <w:tc>
          <w:tcPr>
            <w:tcW w:w="2254" w:type="dxa"/>
          </w:tcPr>
          <w:p w14:paraId="1439990C" w14:textId="77777777" w:rsidR="00846EE4" w:rsidRPr="00846EE4" w:rsidRDefault="00846EE4" w:rsidP="00846EE4">
            <w:r w:rsidRPr="00846EE4">
              <w:rPr>
                <w:rFonts w:asciiTheme="majorHAnsi" w:eastAsia="Times New Roman" w:hAnsiTheme="majorHAnsi" w:cstheme="majorHAnsi"/>
                <w:color w:val="FFFFFF" w:themeColor="background1"/>
                <w:sz w:val="20"/>
                <w:szCs w:val="20"/>
                <w:lang w:eastAsia="en-AU"/>
              </w:rPr>
              <w:t>Programs in cluster</w:t>
            </w:r>
          </w:p>
        </w:tc>
        <w:tc>
          <w:tcPr>
            <w:tcW w:w="2254" w:type="dxa"/>
          </w:tcPr>
          <w:p w14:paraId="00B11BBC" w14:textId="77777777" w:rsidR="00846EE4" w:rsidRPr="00846EE4" w:rsidRDefault="00846EE4" w:rsidP="00846EE4">
            <w:r w:rsidRPr="00846EE4">
              <w:rPr>
                <w:rFonts w:asciiTheme="majorHAnsi" w:eastAsia="Times New Roman" w:hAnsiTheme="majorHAnsi" w:cstheme="majorHAnsi"/>
                <w:color w:val="FFFFFF"/>
                <w:sz w:val="20"/>
                <w:szCs w:val="20"/>
                <w:lang w:eastAsia="en-AU"/>
              </w:rPr>
              <w:t>Employed at commencement</w:t>
            </w:r>
          </w:p>
        </w:tc>
        <w:tc>
          <w:tcPr>
            <w:tcW w:w="2254" w:type="dxa"/>
          </w:tcPr>
          <w:p w14:paraId="25819B85" w14:textId="77777777" w:rsidR="00846EE4" w:rsidRPr="00846EE4" w:rsidRDefault="00846EE4" w:rsidP="00846EE4">
            <w:r w:rsidRPr="00846EE4">
              <w:rPr>
                <w:rFonts w:asciiTheme="majorHAnsi" w:eastAsia="Times New Roman" w:hAnsiTheme="majorHAnsi" w:cstheme="majorHAnsi"/>
                <w:color w:val="FFFFFF" w:themeColor="background1"/>
                <w:sz w:val="19"/>
                <w:szCs w:val="19"/>
                <w:lang w:eastAsia="en-AU"/>
              </w:rPr>
              <w:t>Apprentice/ trainee</w:t>
            </w:r>
          </w:p>
        </w:tc>
      </w:tr>
      <w:tr w:rsidR="00846EE4" w:rsidRPr="00846EE4" w14:paraId="1D678E3C" w14:textId="77777777" w:rsidTr="005F6ADC">
        <w:tc>
          <w:tcPr>
            <w:tcW w:w="2254" w:type="dxa"/>
          </w:tcPr>
          <w:p w14:paraId="15B8B1F0" w14:textId="77777777" w:rsidR="00846EE4" w:rsidRPr="00846EE4" w:rsidRDefault="00846EE4" w:rsidP="00846EE4">
            <w:r w:rsidRPr="00846EE4">
              <w:rPr>
                <w:rFonts w:asciiTheme="majorHAnsi" w:eastAsia="Times New Roman" w:hAnsiTheme="majorHAnsi" w:cstheme="majorHAnsi"/>
                <w:color w:val="000000"/>
                <w:sz w:val="20"/>
                <w:szCs w:val="20"/>
                <w:lang w:eastAsia="en-AU"/>
              </w:rPr>
              <w:t>Early Childhood Education and Care</w:t>
            </w:r>
          </w:p>
        </w:tc>
        <w:tc>
          <w:tcPr>
            <w:tcW w:w="2254" w:type="dxa"/>
          </w:tcPr>
          <w:p w14:paraId="698F0D8A" w14:textId="77777777" w:rsidR="00846EE4" w:rsidRPr="00846EE4" w:rsidRDefault="00846EE4" w:rsidP="00846EE4">
            <w:pPr>
              <w:rPr>
                <w:rFonts w:asciiTheme="majorHAnsi" w:eastAsia="Times New Roman" w:hAnsiTheme="majorHAnsi" w:cstheme="majorHAnsi"/>
                <w:sz w:val="20"/>
                <w:szCs w:val="20"/>
                <w:lang w:eastAsia="en-AU"/>
              </w:rPr>
            </w:pPr>
            <w:r w:rsidRPr="00846EE4">
              <w:rPr>
                <w:rFonts w:asciiTheme="majorHAnsi" w:eastAsia="Times New Roman" w:hAnsiTheme="majorHAnsi" w:cstheme="majorHAnsi"/>
                <w:sz w:val="20"/>
                <w:szCs w:val="20"/>
                <w:lang w:eastAsia="en-AU"/>
              </w:rPr>
              <w:t>Certificate III in Early Childhood Education and Care</w:t>
            </w:r>
          </w:p>
          <w:p w14:paraId="300760AB" w14:textId="77777777" w:rsidR="00846EE4" w:rsidRPr="00846EE4" w:rsidRDefault="00846EE4" w:rsidP="00846EE4">
            <w:pPr>
              <w:rPr>
                <w:sz w:val="20"/>
                <w:szCs w:val="20"/>
              </w:rPr>
            </w:pPr>
            <w:r w:rsidRPr="00846EE4">
              <w:rPr>
                <w:rFonts w:asciiTheme="majorHAnsi" w:eastAsia="Times New Roman" w:hAnsiTheme="majorHAnsi" w:cstheme="majorHAnsi"/>
                <w:sz w:val="20"/>
                <w:szCs w:val="20"/>
                <w:lang w:eastAsia="en-AU"/>
              </w:rPr>
              <w:t>Diploma of Early Childhood Education and Care</w:t>
            </w:r>
          </w:p>
        </w:tc>
        <w:tc>
          <w:tcPr>
            <w:tcW w:w="2254" w:type="dxa"/>
          </w:tcPr>
          <w:p w14:paraId="26144B6D" w14:textId="77777777" w:rsidR="00846EE4" w:rsidRPr="00846EE4" w:rsidRDefault="00846EE4" w:rsidP="00846EE4">
            <w:r w:rsidRPr="00846EE4">
              <w:rPr>
                <w:rFonts w:asciiTheme="majorHAnsi" w:eastAsia="Times New Roman" w:hAnsiTheme="majorHAnsi" w:cstheme="majorHAnsi"/>
                <w:sz w:val="20"/>
                <w:szCs w:val="20"/>
                <w:lang w:eastAsia="en-AU"/>
              </w:rPr>
              <w:t>54.0%</w:t>
            </w:r>
          </w:p>
        </w:tc>
        <w:tc>
          <w:tcPr>
            <w:tcW w:w="2254" w:type="dxa"/>
          </w:tcPr>
          <w:p w14:paraId="739E5D20" w14:textId="77777777" w:rsidR="00846EE4" w:rsidRPr="00846EE4" w:rsidRDefault="00846EE4" w:rsidP="00846EE4">
            <w:r w:rsidRPr="00846EE4">
              <w:rPr>
                <w:rFonts w:asciiTheme="majorHAnsi" w:eastAsia="Times New Roman" w:hAnsiTheme="majorHAnsi" w:cstheme="majorHAnsi"/>
                <w:color w:val="000000"/>
                <w:sz w:val="20"/>
                <w:szCs w:val="20"/>
                <w:lang w:eastAsia="en-AU"/>
              </w:rPr>
              <w:t>21.7%</w:t>
            </w:r>
          </w:p>
        </w:tc>
      </w:tr>
      <w:tr w:rsidR="00846EE4" w:rsidRPr="00846EE4" w14:paraId="471E44DF" w14:textId="77777777" w:rsidTr="005F6ADC">
        <w:trPr>
          <w:cnfStyle w:val="000000010000" w:firstRow="0" w:lastRow="0" w:firstColumn="0" w:lastColumn="0" w:oddVBand="0" w:evenVBand="0" w:oddHBand="0" w:evenHBand="1" w:firstRowFirstColumn="0" w:firstRowLastColumn="0" w:lastRowFirstColumn="0" w:lastRowLastColumn="0"/>
        </w:trPr>
        <w:tc>
          <w:tcPr>
            <w:tcW w:w="2254" w:type="dxa"/>
          </w:tcPr>
          <w:p w14:paraId="28C86625" w14:textId="77777777" w:rsidR="00846EE4" w:rsidRPr="00846EE4" w:rsidRDefault="00846EE4" w:rsidP="00846EE4">
            <w:pPr>
              <w:rPr>
                <w:rFonts w:asciiTheme="majorHAnsi" w:eastAsia="Times New Roman" w:hAnsiTheme="majorHAnsi" w:cstheme="majorHAnsi"/>
                <w:color w:val="000000"/>
                <w:sz w:val="20"/>
                <w:szCs w:val="20"/>
                <w:lang w:eastAsia="en-AU"/>
              </w:rPr>
            </w:pPr>
            <w:r w:rsidRPr="00846EE4">
              <w:rPr>
                <w:rFonts w:asciiTheme="majorHAnsi" w:eastAsia="Times New Roman" w:hAnsiTheme="majorHAnsi" w:cstheme="majorHAnsi"/>
                <w:color w:val="000000"/>
                <w:sz w:val="20"/>
                <w:szCs w:val="20"/>
                <w:lang w:eastAsia="en-AU"/>
              </w:rPr>
              <w:t>Health and Welfare Support</w:t>
            </w:r>
          </w:p>
        </w:tc>
        <w:tc>
          <w:tcPr>
            <w:tcW w:w="2254" w:type="dxa"/>
          </w:tcPr>
          <w:p w14:paraId="2B0364D2" w14:textId="77777777" w:rsidR="00846EE4" w:rsidRPr="00846EE4" w:rsidRDefault="00846EE4" w:rsidP="00846EE4">
            <w:pPr>
              <w:rPr>
                <w:rFonts w:asciiTheme="majorHAnsi" w:eastAsia="Times New Roman" w:hAnsiTheme="majorHAnsi" w:cstheme="majorHAnsi"/>
                <w:sz w:val="20"/>
                <w:szCs w:val="20"/>
                <w:lang w:eastAsia="en-AU"/>
              </w:rPr>
            </w:pPr>
            <w:r w:rsidRPr="00846EE4">
              <w:rPr>
                <w:rFonts w:asciiTheme="majorHAnsi" w:eastAsia="Times New Roman" w:hAnsiTheme="majorHAnsi" w:cstheme="majorHAnsi"/>
                <w:sz w:val="20"/>
                <w:szCs w:val="20"/>
                <w:lang w:eastAsia="en-AU"/>
              </w:rPr>
              <w:t>Certificate II in Community Services</w:t>
            </w:r>
            <w:r w:rsidRPr="00846EE4">
              <w:rPr>
                <w:rFonts w:asciiTheme="majorHAnsi" w:eastAsia="Times New Roman" w:hAnsiTheme="majorHAnsi" w:cstheme="majorHAnsi"/>
                <w:sz w:val="20"/>
                <w:szCs w:val="20"/>
                <w:lang w:eastAsia="en-AU"/>
              </w:rPr>
              <w:br/>
              <w:t>Certificate III in Community Services</w:t>
            </w:r>
            <w:r w:rsidRPr="00846EE4">
              <w:rPr>
                <w:rFonts w:asciiTheme="majorHAnsi" w:eastAsia="Times New Roman" w:hAnsiTheme="majorHAnsi" w:cstheme="majorHAnsi"/>
                <w:sz w:val="20"/>
                <w:szCs w:val="20"/>
                <w:lang w:eastAsia="en-AU"/>
              </w:rPr>
              <w:br/>
              <w:t>Certificate IV in Community Services</w:t>
            </w:r>
            <w:r w:rsidRPr="00846EE4">
              <w:rPr>
                <w:rFonts w:asciiTheme="majorHAnsi" w:eastAsia="Times New Roman" w:hAnsiTheme="majorHAnsi" w:cstheme="majorHAnsi"/>
                <w:sz w:val="20"/>
                <w:szCs w:val="20"/>
                <w:lang w:eastAsia="en-AU"/>
              </w:rPr>
              <w:br/>
              <w:t>Diploma of Community Services</w:t>
            </w:r>
            <w:r w:rsidRPr="00846EE4">
              <w:rPr>
                <w:rFonts w:asciiTheme="majorHAnsi" w:eastAsia="Times New Roman" w:hAnsiTheme="majorHAnsi" w:cstheme="majorHAnsi"/>
                <w:sz w:val="20"/>
                <w:szCs w:val="20"/>
                <w:lang w:eastAsia="en-AU"/>
              </w:rPr>
              <w:br/>
              <w:t>Diploma of Mental Health</w:t>
            </w:r>
          </w:p>
        </w:tc>
        <w:tc>
          <w:tcPr>
            <w:tcW w:w="2254" w:type="dxa"/>
          </w:tcPr>
          <w:p w14:paraId="3C3F9BCA" w14:textId="77777777" w:rsidR="00846EE4" w:rsidRPr="00846EE4" w:rsidRDefault="00846EE4" w:rsidP="00846EE4">
            <w:pPr>
              <w:rPr>
                <w:rFonts w:asciiTheme="majorHAnsi" w:eastAsia="Times New Roman" w:hAnsiTheme="majorHAnsi" w:cstheme="majorHAnsi"/>
                <w:sz w:val="20"/>
                <w:szCs w:val="20"/>
                <w:lang w:eastAsia="en-AU"/>
              </w:rPr>
            </w:pPr>
            <w:r w:rsidRPr="00846EE4">
              <w:rPr>
                <w:rFonts w:asciiTheme="majorHAnsi" w:eastAsia="Times New Roman" w:hAnsiTheme="majorHAnsi" w:cstheme="majorHAnsi"/>
                <w:sz w:val="20"/>
                <w:szCs w:val="20"/>
                <w:lang w:eastAsia="en-AU"/>
              </w:rPr>
              <w:t>49.0%</w:t>
            </w:r>
          </w:p>
        </w:tc>
        <w:tc>
          <w:tcPr>
            <w:tcW w:w="2254" w:type="dxa"/>
          </w:tcPr>
          <w:p w14:paraId="6F486381" w14:textId="77777777" w:rsidR="00846EE4" w:rsidRPr="00846EE4" w:rsidRDefault="00846EE4" w:rsidP="00846EE4">
            <w:pPr>
              <w:rPr>
                <w:rFonts w:asciiTheme="majorHAnsi" w:eastAsia="Times New Roman" w:hAnsiTheme="majorHAnsi" w:cstheme="majorHAnsi"/>
                <w:color w:val="000000"/>
                <w:sz w:val="20"/>
                <w:szCs w:val="20"/>
                <w:lang w:eastAsia="en-AU"/>
              </w:rPr>
            </w:pPr>
            <w:r w:rsidRPr="00846EE4">
              <w:rPr>
                <w:rFonts w:asciiTheme="majorHAnsi" w:eastAsia="Times New Roman" w:hAnsiTheme="majorHAnsi" w:cstheme="majorHAnsi"/>
                <w:color w:val="000000"/>
                <w:sz w:val="20"/>
                <w:szCs w:val="20"/>
                <w:lang w:eastAsia="en-AU"/>
              </w:rPr>
              <w:t>3.4%</w:t>
            </w:r>
          </w:p>
        </w:tc>
      </w:tr>
      <w:tr w:rsidR="00846EE4" w:rsidRPr="00846EE4" w14:paraId="35A770E0" w14:textId="77777777" w:rsidTr="005F6ADC">
        <w:tc>
          <w:tcPr>
            <w:tcW w:w="2254" w:type="dxa"/>
          </w:tcPr>
          <w:p w14:paraId="6F450656" w14:textId="77777777" w:rsidR="00846EE4" w:rsidRPr="00846EE4" w:rsidRDefault="00846EE4" w:rsidP="00846EE4">
            <w:pPr>
              <w:rPr>
                <w:rFonts w:asciiTheme="majorHAnsi" w:eastAsia="Times New Roman" w:hAnsiTheme="majorHAnsi" w:cstheme="majorHAnsi"/>
                <w:color w:val="000000"/>
                <w:sz w:val="20"/>
                <w:szCs w:val="20"/>
                <w:lang w:eastAsia="en-AU"/>
              </w:rPr>
            </w:pPr>
            <w:r w:rsidRPr="00846EE4">
              <w:rPr>
                <w:rFonts w:asciiTheme="majorHAnsi" w:eastAsia="Times New Roman" w:hAnsiTheme="majorHAnsi" w:cstheme="majorHAnsi"/>
                <w:color w:val="000000"/>
                <w:sz w:val="20"/>
                <w:szCs w:val="20"/>
                <w:lang w:eastAsia="en-AU"/>
              </w:rPr>
              <w:t>Education Support</w:t>
            </w:r>
          </w:p>
        </w:tc>
        <w:tc>
          <w:tcPr>
            <w:tcW w:w="2254" w:type="dxa"/>
          </w:tcPr>
          <w:p w14:paraId="4610FD97" w14:textId="77777777" w:rsidR="00846EE4" w:rsidRPr="00846EE4" w:rsidRDefault="00846EE4" w:rsidP="00846EE4">
            <w:pPr>
              <w:rPr>
                <w:rFonts w:asciiTheme="majorHAnsi" w:eastAsia="Times New Roman" w:hAnsiTheme="majorHAnsi" w:cstheme="majorHAnsi"/>
                <w:sz w:val="20"/>
                <w:szCs w:val="20"/>
                <w:lang w:eastAsia="en-AU"/>
              </w:rPr>
            </w:pPr>
            <w:r w:rsidRPr="00846EE4">
              <w:rPr>
                <w:rFonts w:asciiTheme="majorHAnsi" w:eastAsia="Times New Roman" w:hAnsiTheme="majorHAnsi" w:cstheme="majorHAnsi"/>
                <w:sz w:val="20"/>
                <w:szCs w:val="20"/>
                <w:lang w:eastAsia="en-AU"/>
              </w:rPr>
              <w:t>Certificate III in Education Support</w:t>
            </w:r>
            <w:r w:rsidRPr="00846EE4">
              <w:rPr>
                <w:rFonts w:asciiTheme="majorHAnsi" w:eastAsia="Times New Roman" w:hAnsiTheme="majorHAnsi" w:cstheme="majorHAnsi"/>
                <w:sz w:val="20"/>
                <w:szCs w:val="20"/>
                <w:lang w:eastAsia="en-AU"/>
              </w:rPr>
              <w:br/>
              <w:t>Certificate IV in Education Support</w:t>
            </w:r>
            <w:r w:rsidRPr="00846EE4">
              <w:rPr>
                <w:rFonts w:asciiTheme="majorHAnsi" w:eastAsia="Times New Roman" w:hAnsiTheme="majorHAnsi" w:cstheme="majorHAnsi"/>
                <w:sz w:val="20"/>
                <w:szCs w:val="20"/>
                <w:lang w:eastAsia="en-AU"/>
              </w:rPr>
              <w:br/>
              <w:t>Certificate III in School Based Education Support</w:t>
            </w:r>
            <w:r w:rsidRPr="00846EE4">
              <w:rPr>
                <w:rFonts w:asciiTheme="majorHAnsi" w:eastAsia="Times New Roman" w:hAnsiTheme="majorHAnsi" w:cstheme="majorHAnsi"/>
                <w:sz w:val="20"/>
                <w:szCs w:val="20"/>
                <w:lang w:eastAsia="en-AU"/>
              </w:rPr>
              <w:br/>
              <w:t>Certificate IV in School Based Education Support</w:t>
            </w:r>
          </w:p>
        </w:tc>
        <w:tc>
          <w:tcPr>
            <w:tcW w:w="2254" w:type="dxa"/>
          </w:tcPr>
          <w:p w14:paraId="14DD5683" w14:textId="77777777" w:rsidR="00846EE4" w:rsidRPr="00846EE4" w:rsidRDefault="00846EE4" w:rsidP="00846EE4">
            <w:pPr>
              <w:rPr>
                <w:rFonts w:asciiTheme="majorHAnsi" w:eastAsia="Times New Roman" w:hAnsiTheme="majorHAnsi" w:cstheme="majorHAnsi"/>
                <w:sz w:val="20"/>
                <w:szCs w:val="20"/>
                <w:lang w:eastAsia="en-AU"/>
              </w:rPr>
            </w:pPr>
            <w:r w:rsidRPr="00846EE4">
              <w:rPr>
                <w:rFonts w:asciiTheme="majorHAnsi" w:eastAsia="Times New Roman" w:hAnsiTheme="majorHAnsi" w:cstheme="majorHAnsi"/>
                <w:sz w:val="20"/>
                <w:szCs w:val="20"/>
                <w:lang w:eastAsia="en-AU"/>
              </w:rPr>
              <w:t>47.2%</w:t>
            </w:r>
          </w:p>
        </w:tc>
        <w:tc>
          <w:tcPr>
            <w:tcW w:w="2254" w:type="dxa"/>
          </w:tcPr>
          <w:p w14:paraId="0A4C8C1A" w14:textId="77777777" w:rsidR="00846EE4" w:rsidRPr="00846EE4" w:rsidRDefault="00846EE4" w:rsidP="00846EE4">
            <w:pPr>
              <w:rPr>
                <w:rFonts w:asciiTheme="majorHAnsi" w:eastAsia="Times New Roman" w:hAnsiTheme="majorHAnsi" w:cstheme="majorHAnsi"/>
                <w:color w:val="000000"/>
                <w:sz w:val="20"/>
                <w:szCs w:val="20"/>
                <w:lang w:eastAsia="en-AU"/>
              </w:rPr>
            </w:pPr>
            <w:r w:rsidRPr="00846EE4">
              <w:rPr>
                <w:rFonts w:asciiTheme="majorHAnsi" w:eastAsia="Times New Roman" w:hAnsiTheme="majorHAnsi" w:cstheme="majorHAnsi"/>
                <w:color w:val="000000"/>
                <w:sz w:val="20"/>
                <w:szCs w:val="20"/>
                <w:lang w:eastAsia="en-AU"/>
              </w:rPr>
              <w:t>3.0%</w:t>
            </w:r>
          </w:p>
        </w:tc>
      </w:tr>
      <w:tr w:rsidR="00846EE4" w:rsidRPr="00846EE4" w14:paraId="3DA0CA12" w14:textId="77777777" w:rsidTr="005F6ADC">
        <w:trPr>
          <w:cnfStyle w:val="000000010000" w:firstRow="0" w:lastRow="0" w:firstColumn="0" w:lastColumn="0" w:oddVBand="0" w:evenVBand="0" w:oddHBand="0" w:evenHBand="1" w:firstRowFirstColumn="0" w:firstRowLastColumn="0" w:lastRowFirstColumn="0" w:lastRowLastColumn="0"/>
        </w:trPr>
        <w:tc>
          <w:tcPr>
            <w:tcW w:w="2254" w:type="dxa"/>
          </w:tcPr>
          <w:p w14:paraId="73A21A63" w14:textId="77777777" w:rsidR="00846EE4" w:rsidRPr="00846EE4" w:rsidRDefault="00846EE4" w:rsidP="00846EE4">
            <w:pPr>
              <w:rPr>
                <w:rFonts w:asciiTheme="majorHAnsi" w:eastAsia="Times New Roman" w:hAnsiTheme="majorHAnsi" w:cstheme="majorHAnsi"/>
                <w:color w:val="000000"/>
                <w:sz w:val="20"/>
                <w:szCs w:val="20"/>
                <w:lang w:eastAsia="en-AU"/>
              </w:rPr>
            </w:pPr>
            <w:r w:rsidRPr="00846EE4">
              <w:rPr>
                <w:rFonts w:asciiTheme="majorHAnsi" w:eastAsia="Times New Roman" w:hAnsiTheme="majorHAnsi" w:cstheme="majorHAnsi"/>
                <w:color w:val="000000"/>
                <w:sz w:val="20"/>
                <w:szCs w:val="20"/>
                <w:lang w:eastAsia="en-AU"/>
              </w:rPr>
              <w:t>Personal Care and Assistance</w:t>
            </w:r>
          </w:p>
        </w:tc>
        <w:tc>
          <w:tcPr>
            <w:tcW w:w="2254" w:type="dxa"/>
          </w:tcPr>
          <w:p w14:paraId="2CDB4014" w14:textId="77777777" w:rsidR="00846EE4" w:rsidRPr="00846EE4" w:rsidRDefault="00846EE4" w:rsidP="00846EE4">
            <w:pPr>
              <w:rPr>
                <w:rFonts w:asciiTheme="majorHAnsi" w:eastAsia="Times New Roman" w:hAnsiTheme="majorHAnsi" w:cstheme="majorHAnsi"/>
                <w:sz w:val="20"/>
                <w:szCs w:val="20"/>
                <w:lang w:eastAsia="en-AU"/>
              </w:rPr>
            </w:pPr>
            <w:r w:rsidRPr="00846EE4">
              <w:rPr>
                <w:rFonts w:asciiTheme="majorHAnsi" w:eastAsia="Times New Roman" w:hAnsiTheme="majorHAnsi" w:cstheme="majorHAnsi"/>
                <w:sz w:val="20"/>
                <w:szCs w:val="20"/>
                <w:lang w:eastAsia="en-AU"/>
              </w:rPr>
              <w:t>Certificate III in Individual Support</w:t>
            </w:r>
          </w:p>
          <w:p w14:paraId="7235F955" w14:textId="77777777" w:rsidR="00846EE4" w:rsidRPr="00846EE4" w:rsidRDefault="00846EE4" w:rsidP="00846EE4">
            <w:pPr>
              <w:rPr>
                <w:rFonts w:asciiTheme="majorHAnsi" w:eastAsia="Times New Roman" w:hAnsiTheme="majorHAnsi" w:cstheme="majorHAnsi"/>
                <w:sz w:val="20"/>
                <w:szCs w:val="20"/>
                <w:lang w:eastAsia="en-AU"/>
              </w:rPr>
            </w:pPr>
            <w:r w:rsidRPr="00846EE4">
              <w:rPr>
                <w:rFonts w:asciiTheme="majorHAnsi" w:eastAsia="Times New Roman" w:hAnsiTheme="majorHAnsi" w:cstheme="majorHAnsi"/>
                <w:sz w:val="20"/>
                <w:szCs w:val="20"/>
                <w:lang w:eastAsia="en-AU"/>
              </w:rPr>
              <w:t>Certificate IV in Mental Health</w:t>
            </w:r>
          </w:p>
          <w:p w14:paraId="1BAB2951" w14:textId="77777777" w:rsidR="00846EE4" w:rsidRPr="00846EE4" w:rsidRDefault="00846EE4" w:rsidP="00846EE4">
            <w:pPr>
              <w:rPr>
                <w:rFonts w:asciiTheme="majorHAnsi" w:eastAsia="Times New Roman" w:hAnsiTheme="majorHAnsi" w:cstheme="majorHAnsi"/>
                <w:sz w:val="20"/>
                <w:szCs w:val="20"/>
                <w:lang w:eastAsia="en-AU"/>
              </w:rPr>
            </w:pPr>
            <w:r w:rsidRPr="00846EE4">
              <w:rPr>
                <w:rFonts w:asciiTheme="majorHAnsi" w:eastAsia="Times New Roman" w:hAnsiTheme="majorHAnsi" w:cstheme="majorHAnsi"/>
                <w:sz w:val="20"/>
                <w:szCs w:val="20"/>
                <w:lang w:eastAsia="en-AU"/>
              </w:rPr>
              <w:t>Certificate IV in Ageing Support</w:t>
            </w:r>
          </w:p>
        </w:tc>
        <w:tc>
          <w:tcPr>
            <w:tcW w:w="2254" w:type="dxa"/>
          </w:tcPr>
          <w:p w14:paraId="105CD096" w14:textId="77777777" w:rsidR="00846EE4" w:rsidRPr="00846EE4" w:rsidRDefault="00846EE4" w:rsidP="00846EE4">
            <w:pPr>
              <w:rPr>
                <w:rFonts w:asciiTheme="majorHAnsi" w:eastAsia="Times New Roman" w:hAnsiTheme="majorHAnsi" w:cstheme="majorHAnsi"/>
                <w:sz w:val="20"/>
                <w:szCs w:val="20"/>
                <w:lang w:eastAsia="en-AU"/>
              </w:rPr>
            </w:pPr>
            <w:r w:rsidRPr="00846EE4">
              <w:rPr>
                <w:rFonts w:asciiTheme="majorHAnsi" w:eastAsia="Times New Roman" w:hAnsiTheme="majorHAnsi" w:cstheme="majorHAnsi"/>
                <w:sz w:val="20"/>
                <w:szCs w:val="20"/>
                <w:lang w:eastAsia="en-AU"/>
              </w:rPr>
              <w:t>47.5%</w:t>
            </w:r>
          </w:p>
        </w:tc>
        <w:tc>
          <w:tcPr>
            <w:tcW w:w="2254" w:type="dxa"/>
          </w:tcPr>
          <w:p w14:paraId="53BABAE5" w14:textId="77777777" w:rsidR="00846EE4" w:rsidRPr="00846EE4" w:rsidRDefault="00846EE4" w:rsidP="00846EE4">
            <w:pPr>
              <w:rPr>
                <w:rFonts w:asciiTheme="majorHAnsi" w:eastAsia="Times New Roman" w:hAnsiTheme="majorHAnsi" w:cstheme="majorHAnsi"/>
                <w:color w:val="000000"/>
                <w:sz w:val="20"/>
                <w:szCs w:val="20"/>
                <w:lang w:eastAsia="en-AU"/>
              </w:rPr>
            </w:pPr>
            <w:r w:rsidRPr="00846EE4">
              <w:rPr>
                <w:rFonts w:asciiTheme="majorHAnsi" w:eastAsia="Times New Roman" w:hAnsiTheme="majorHAnsi" w:cstheme="majorHAnsi"/>
                <w:color w:val="000000"/>
                <w:sz w:val="20"/>
                <w:szCs w:val="20"/>
                <w:lang w:eastAsia="en-AU"/>
              </w:rPr>
              <w:t>5.3%</w:t>
            </w:r>
          </w:p>
        </w:tc>
      </w:tr>
    </w:tbl>
    <w:p w14:paraId="5C74D713" w14:textId="77777777" w:rsidR="00846EE4" w:rsidRPr="00846EE4" w:rsidRDefault="00846EE4" w:rsidP="00701210">
      <w:pPr>
        <w:pStyle w:val="Source"/>
      </w:pPr>
      <w:r w:rsidRPr="00846EE4">
        <w:t>Source: NCVER 2023, Total VET students and courses 2022.</w:t>
      </w:r>
    </w:p>
    <w:p w14:paraId="096BD922" w14:textId="77777777" w:rsidR="00846EE4" w:rsidRPr="00846EE4" w:rsidRDefault="00846EE4" w:rsidP="00846EE4">
      <w:r w:rsidRPr="00846EE4">
        <w:t xml:space="preserve">Currently, </w:t>
      </w:r>
      <w:bookmarkStart w:id="147" w:name="_Int_M830Bip6"/>
      <w:r w:rsidRPr="00846EE4">
        <w:rPr>
          <w:i/>
          <w:iCs/>
        </w:rPr>
        <w:t>Child Care</w:t>
      </w:r>
      <w:bookmarkEnd w:id="147"/>
      <w:r w:rsidRPr="00846EE4">
        <w:rPr>
          <w:i/>
          <w:iCs/>
        </w:rPr>
        <w:t xml:space="preserve"> Worker</w:t>
      </w:r>
      <w:r w:rsidRPr="00846EE4">
        <w:t xml:space="preserve"> is among the occupations listed on the Australian Apprenticeships Priority List, which entitles employers of trainees in this occupation (studying a related qualification, including both the Certificate III in Early Childhood Education and Care and the Diploma of Early Childhood Education and Care, alongside certain other qualifications) to a Priority Wage Subsidy. </w:t>
      </w:r>
      <w:r w:rsidRPr="00846EE4">
        <w:rPr>
          <w:i/>
          <w:iCs/>
        </w:rPr>
        <w:t>Out of School Hours Care Worker</w:t>
      </w:r>
      <w:r w:rsidRPr="00846EE4">
        <w:t xml:space="preserve"> was added to the Apprenticeships Priority List in February 2024. </w:t>
      </w:r>
    </w:p>
    <w:p w14:paraId="0975B00B" w14:textId="77777777" w:rsidR="00846EE4" w:rsidRPr="00846EE4" w:rsidRDefault="00846EE4" w:rsidP="00846EE4">
      <w:pPr>
        <w:keepLines/>
      </w:pPr>
      <w:r w:rsidRPr="00846EE4">
        <w:lastRenderedPageBreak/>
        <w:t xml:space="preserve">Traineeship commencements in ECEC appear to be highly sensitive to incentive arrangements. </w:t>
      </w:r>
      <w:r w:rsidRPr="00846EE4">
        <w:fldChar w:fldCharType="begin" w:fldLock="1"/>
      </w:r>
      <w:r w:rsidRPr="00846EE4">
        <w:instrText xml:space="preserve"> REF _Ref168317873 \h </w:instrText>
      </w:r>
      <w:r w:rsidRPr="00846EE4">
        <w:fldChar w:fldCharType="separate"/>
      </w:r>
      <w:r w:rsidRPr="00846EE4">
        <w:t>Figure 3.</w:t>
      </w:r>
      <w:r w:rsidRPr="00846EE4">
        <w:rPr>
          <w:noProof/>
        </w:rPr>
        <w:t>7</w:t>
      </w:r>
      <w:r w:rsidRPr="00846EE4">
        <w:fldChar w:fldCharType="end"/>
      </w:r>
      <w:r w:rsidRPr="00846EE4">
        <w:t xml:space="preserve">, using the NCVER Apprentices and Trainees collection, looks at the number of apprentices and trainees in training in ECEC-related occupations back to 1994. For each quarter, the total is segmented by the training occupation and the level of the qualification. The graph clearly shows that trainee numbers were increasing steadily until 2014, when incentive payments were removed from ECEC professional staff along with many other non-trade occupations. The number of apprentices and trainees in training began to increase again from 2020, when the Boosting Apprenticeships Commencement initiative began. </w:t>
      </w:r>
    </w:p>
    <w:p w14:paraId="02EF3C70" w14:textId="40EFE235" w:rsidR="00846EE4" w:rsidRPr="00846EE4" w:rsidRDefault="00846EE4" w:rsidP="00846EE4">
      <w:pPr>
        <w:pStyle w:val="Caption"/>
      </w:pPr>
      <w:bookmarkStart w:id="148" w:name="_Ref168317873"/>
      <w:bookmarkStart w:id="149" w:name="_Ref168317861"/>
      <w:r w:rsidRPr="00846EE4">
        <w:t>Figure 3.</w:t>
      </w:r>
      <w:r w:rsidRPr="00846EE4">
        <w:fldChar w:fldCharType="begin"/>
      </w:r>
      <w:r w:rsidRPr="00846EE4">
        <w:instrText xml:space="preserve"> SEQ Figure \* ARABIC \s 1 </w:instrText>
      </w:r>
      <w:r w:rsidRPr="00846EE4">
        <w:fldChar w:fldCharType="separate"/>
      </w:r>
      <w:r w:rsidR="005F18C1">
        <w:rPr>
          <w:noProof/>
        </w:rPr>
        <w:t>7</w:t>
      </w:r>
      <w:r w:rsidRPr="00846EE4">
        <w:fldChar w:fldCharType="end"/>
      </w:r>
      <w:bookmarkEnd w:id="148"/>
      <w:r w:rsidRPr="00846EE4">
        <w:t>: Apprentices and Trainees in training in ECEC related occupations, by occupation and qualification level, July-September 1994 to July-September 2023</w:t>
      </w:r>
      <w:bookmarkEnd w:id="149"/>
    </w:p>
    <w:p w14:paraId="2EEE4F22" w14:textId="77777777" w:rsidR="00846EE4" w:rsidRPr="00846EE4" w:rsidRDefault="00846EE4" w:rsidP="00846EE4">
      <w:r w:rsidRPr="00846EE4">
        <w:rPr>
          <w:noProof/>
        </w:rPr>
        <w:drawing>
          <wp:inline distT="0" distB="0" distL="0" distR="0" wp14:anchorId="3C52553E" wp14:editId="0C2A4A34">
            <wp:extent cx="5731200" cy="3657600"/>
            <wp:effectExtent l="0" t="0" r="3175" b="0"/>
            <wp:docPr id="839718294" name="Picture 2" descr="From 1994 to 2014 there was a steady increase in the number of apprentice and traineeship commencements. Following the removal of incentive payments, there was a drop in commencements between 2014 and 2019. From 2020 onwards the number of apprentice and traineeship commencements increased when the Boosting Apprenticeships Commencement initiative be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718294" name="Picture 2" descr="From 1994 to 2014 there was a steady increase in the number of apprentice and traineeship commencements. Following the removal of incentive payments, there was a drop in commencements between 2014 and 2019. From 2020 onwards the number of apprentice and traineeship commencements increased when the Boosting Apprenticeships Commencement initiative began."/>
                    <pic:cNvPicPr>
                      <a:picLocks noChangeAspect="1" noChangeArrowheads="1"/>
                    </pic:cNvPicPr>
                  </pic:nvPicPr>
                  <pic:blipFill>
                    <a:blip r:embed="rId115" cstate="screen">
                      <a:extLst>
                        <a:ext uri="{28A0092B-C50C-407E-A947-70E740481C1C}">
                          <a14:useLocalDpi xmlns:a14="http://schemas.microsoft.com/office/drawing/2010/main" val="0"/>
                        </a:ext>
                      </a:extLst>
                    </a:blip>
                    <a:srcRect/>
                    <a:stretch>
                      <a:fillRect/>
                    </a:stretch>
                  </pic:blipFill>
                  <pic:spPr bwMode="auto">
                    <a:xfrm>
                      <a:off x="0" y="0"/>
                      <a:ext cx="5731200" cy="3657600"/>
                    </a:xfrm>
                    <a:prstGeom prst="rect">
                      <a:avLst/>
                    </a:prstGeom>
                    <a:noFill/>
                  </pic:spPr>
                </pic:pic>
              </a:graphicData>
            </a:graphic>
          </wp:inline>
        </w:drawing>
      </w:r>
    </w:p>
    <w:p w14:paraId="075E98E9" w14:textId="77777777" w:rsidR="00846EE4" w:rsidRPr="00846EE4" w:rsidRDefault="00846EE4" w:rsidP="00846EE4">
      <w:pPr>
        <w:pStyle w:val="Source"/>
      </w:pPr>
      <w:r w:rsidRPr="00846EE4">
        <w:t>Source: NCVER, Apprentice and Trainee collection.</w:t>
      </w:r>
    </w:p>
    <w:p w14:paraId="531CC6AF" w14:textId="77777777" w:rsidR="00846EE4" w:rsidRPr="00846EE4" w:rsidRDefault="00846EE4" w:rsidP="00846EE4">
      <w:pPr>
        <w:pStyle w:val="Source"/>
      </w:pPr>
      <w:r w:rsidRPr="00846EE4">
        <w:t>Note: Certificate III/IV level qualifications include CHC30113, CHC30121, CHC40113, CHC41208. Diploma level qualifications include: CHC50113, CHC50121, CHC50202, CHC50213, CHC50211.</w:t>
      </w:r>
    </w:p>
    <w:p w14:paraId="11FF0F94" w14:textId="77777777" w:rsidR="00846EE4" w:rsidRPr="00846EE4" w:rsidRDefault="00846EE4" w:rsidP="00846EE4">
      <w:r w:rsidRPr="00846EE4">
        <w:t xml:space="preserve">The graph also shows the rapid increase in the proportion of apprentices and trainees in ECEC undertaking training at the Certificate III level – indeed almost all the growth in trainees since 2020 is accounted for by an increase in the Certificate III level, such that they have increased from 53% of total ECEC trainees in July-September 2021 to 70% in July-September 2023. The proportion of all </w:t>
      </w:r>
      <w:r w:rsidRPr="00846EE4">
        <w:rPr>
          <w:i/>
          <w:iCs/>
        </w:rPr>
        <w:t>Child Carers</w:t>
      </w:r>
      <w:r w:rsidRPr="00846EE4">
        <w:t xml:space="preserve"> who were undertaking a traineeship increased from an estimated 7% in Q3 2019 to 13% in Q3 2023 (JSA analysis of NCVER Apprentice and Trainee Collection data and ABS Quarterly Labour Force Survey data). </w:t>
      </w:r>
    </w:p>
    <w:p w14:paraId="010558BE" w14:textId="77777777" w:rsidR="00846EE4" w:rsidRPr="00846EE4" w:rsidRDefault="00846EE4" w:rsidP="00846EE4">
      <w:pPr>
        <w:keepLines/>
      </w:pPr>
      <w:r w:rsidRPr="00846EE4">
        <w:rPr>
          <w:rFonts w:cs="Arial"/>
        </w:rPr>
        <w:t xml:space="preserve">Facilitating adequate work placements for other students (including HEI students) remains a challenge, and not just because of funding. There are emerging initiatives in a range of jurisdictions to support paid placements. </w:t>
      </w:r>
      <w:r w:rsidRPr="00846EE4">
        <w:t xml:space="preserve">As those qualifying to become </w:t>
      </w:r>
      <w:r w:rsidRPr="00846EE4">
        <w:rPr>
          <w:i/>
          <w:iCs/>
        </w:rPr>
        <w:t>Early Childhood Teachers</w:t>
      </w:r>
      <w:r w:rsidRPr="00846EE4">
        <w:t xml:space="preserve"> cannot complete their course without undertaking practicum days at a service other than their employer, it can be financially challenging for students. As noted by La Trobe University in their submission to this Study:</w:t>
      </w:r>
    </w:p>
    <w:p w14:paraId="452A1870" w14:textId="77777777" w:rsidR="00846EE4" w:rsidRPr="00846EE4" w:rsidRDefault="00846EE4" w:rsidP="00846EE4">
      <w:pPr>
        <w:pStyle w:val="IntenseQuote"/>
      </w:pPr>
      <w:r w:rsidRPr="00846EE4">
        <w:lastRenderedPageBreak/>
        <w:t>ACECQA requirements for placements do not allow credit to be awarded for work experience or placements undertaken in prior studies (if lesser qualifications). For example, an upskilling diploma qualified educator may have run a 0-2 childcare room for 5 years but is still required to undertake ten days mandatory placement in a 0-2 setting to meet Bachelor qualification requirements. (Submission 23)</w:t>
      </w:r>
    </w:p>
    <w:p w14:paraId="7AF848FE" w14:textId="77777777" w:rsidR="00846EE4" w:rsidRPr="00846EE4" w:rsidRDefault="00846EE4" w:rsidP="00846EE4">
      <w:pPr>
        <w:rPr>
          <w:rFonts w:cs="Arial"/>
        </w:rPr>
      </w:pPr>
      <w:r w:rsidRPr="00846EE4">
        <w:t xml:space="preserve">From July 2023, the Australian Government has launched a scheme to support paid leave for ECEC educators taking practicums to complete their qualification (Department of Education, 2024b). </w:t>
      </w:r>
    </w:p>
    <w:p w14:paraId="22152871" w14:textId="77777777" w:rsidR="00846EE4" w:rsidRPr="00846EE4" w:rsidRDefault="00846EE4" w:rsidP="00846EE4">
      <w:r w:rsidRPr="00846EE4">
        <w:rPr>
          <w:rFonts w:cs="Arial"/>
        </w:rPr>
        <w:t>VET and higher education courses attract substantial funding contributions from government, leaving the student with little or no upfront cost for tuition, setting aside study material costs. There is strong government support in both VET and HE sectors for ECEC courses (Fee Free TAFE/Job Ready Graduate rates that are alongside health and other education courses</w:t>
      </w:r>
      <w:bookmarkStart w:id="150" w:name="_Int_Uf2xhjcb"/>
      <w:proofErr w:type="gramStart"/>
      <w:r w:rsidRPr="00846EE4">
        <w:rPr>
          <w:rFonts w:cs="Arial"/>
        </w:rPr>
        <w:t>)</w:t>
      </w:r>
      <w:bookmarkEnd w:id="150"/>
      <w:proofErr w:type="gramEnd"/>
      <w:r w:rsidRPr="00846EE4">
        <w:rPr>
          <w:rFonts w:cs="Arial"/>
        </w:rPr>
        <w:t xml:space="preserve"> and income-contingent loans are available on diplomas/degrees for students. Employer sponsorship is also common to fund student fees </w:t>
      </w:r>
      <w:proofErr w:type="gramStart"/>
      <w:r w:rsidRPr="00846EE4">
        <w:rPr>
          <w:rFonts w:cs="Arial"/>
        </w:rPr>
        <w:t>and in most cases</w:t>
      </w:r>
      <w:proofErr w:type="gramEnd"/>
      <w:r w:rsidRPr="00846EE4">
        <w:rPr>
          <w:rFonts w:cs="Arial"/>
        </w:rPr>
        <w:t xml:space="preserve"> exempt from Fringe Benefits Tax (FBT) if related to work (individual FBT rules applying to employers). However, the opportunity cost from lost income during time spent training is also a substantial barrier, addressed in part by various scholarship schemes offered by state and territory governments, often targeted at priority cohorts.  </w:t>
      </w:r>
      <w:r w:rsidRPr="00846EE4">
        <w:t xml:space="preserve"> To support students managing the costs associated with undertaking mandatory placements, the Australian Government has launched an initiative to provide HE and VET students in teaching and selected health and social work disciplines with financial assistance. Available from 1 July 2024, students will be able to access a weekly payment (benchmarked to the single Austudy rate) for the duration of their placement. The payment is means-tested to target students who need it the most (Department of Education, 2024a). </w:t>
      </w:r>
    </w:p>
    <w:p w14:paraId="20BD4DBF" w14:textId="77777777" w:rsidR="00846EE4" w:rsidRPr="00846EE4" w:rsidRDefault="00846EE4" w:rsidP="00846EE4">
      <w:pPr>
        <w:pStyle w:val="Heading4"/>
      </w:pPr>
      <w:r w:rsidRPr="00846EE4">
        <w:t>Continuing Professional Development</w:t>
      </w:r>
    </w:p>
    <w:p w14:paraId="195C51EF" w14:textId="77777777" w:rsidR="00846EE4" w:rsidRPr="00846EE4" w:rsidRDefault="00846EE4" w:rsidP="00846EE4">
      <w:r w:rsidRPr="00846EE4">
        <w:t xml:space="preserve">Qualification requirements for staff are established by the NQF, with higher education and vocational education courses being oriented towards initial training and progression to other roles within the workforce. However, there are few formal education qualifications with the purpose of developing staff in their current role. Key peak bodies have a breadth of professional learning opportunities available, including face-to-face, online offerings and conferences which maps to the National Quality Standard (NQS). </w:t>
      </w:r>
    </w:p>
    <w:p w14:paraId="05C0047C" w14:textId="77777777" w:rsidR="00846EE4" w:rsidRPr="00846EE4" w:rsidRDefault="00846EE4" w:rsidP="00846EE4">
      <w:pPr>
        <w:keepLines/>
      </w:pPr>
      <w:r w:rsidRPr="00846EE4">
        <w:t>The emphasis on developing an effective culture of lifelong learning has led to an increase in the delivery of microcredentials through providers and well-established organisational development departments within large multisite providers, with some organisations offering specific courses in relation to management and understanding children’s behaviour. Some of these courses may be accredited by the relevant issuing state authority. An early childhood advocacy organisation noted the importance of professional development in their submission to our Study:</w:t>
      </w:r>
    </w:p>
    <w:p w14:paraId="3278C78A" w14:textId="77777777" w:rsidR="00846EE4" w:rsidRPr="00846EE4" w:rsidRDefault="00846EE4" w:rsidP="00701210">
      <w:pPr>
        <w:pStyle w:val="IntenseQuote"/>
        <w:keepLines/>
        <w:ind w:left="862" w:right="862"/>
      </w:pPr>
      <w:r w:rsidRPr="00846EE4">
        <w:lastRenderedPageBreak/>
        <w:t>The need for quality professional development for early childhood educators cannot be overstated. Continued professional development, mentoring and support is critical to a skilled and supported workforce. Ongoing professional learning is essential to ensure the time, effort and cost spent in completing qualifications does not go to waste and the benefits do not fade away. Continuing PD fills the gaps in knowledge and skills that are often apparent in practice after initial training, and it keeps educators in touch with research into best practice. (Submission 9)</w:t>
      </w:r>
    </w:p>
    <w:p w14:paraId="5E8BBF57" w14:textId="77777777" w:rsidR="00846EE4" w:rsidRPr="00846EE4" w:rsidRDefault="00846EE4" w:rsidP="00846EE4">
      <w:r w:rsidRPr="00846EE4">
        <w:t>Across numerous service types, staff members may be required to hold additional certifications in relation to first aid, anaphylaxis management and emergency asthma management training, as stipulated under the Education and Care Services National Regulations as these certifications may require refreshers as regularly as every 12 months. There are concerns from stakeholders about possible barriers to professional development as noted by an early childhood advocacy organisation:</w:t>
      </w:r>
    </w:p>
    <w:p w14:paraId="32384E03" w14:textId="77777777" w:rsidR="00846EE4" w:rsidRPr="00846EE4" w:rsidRDefault="00846EE4" w:rsidP="00846EE4">
      <w:pPr>
        <w:pStyle w:val="IntenseQuote"/>
      </w:pPr>
      <w:r w:rsidRPr="00846EE4">
        <w:t>Barriers to completing professional learning include the costs and time to complete courses, as well as the variable quality of professional learning available to educators. (Submission 9)</w:t>
      </w:r>
    </w:p>
    <w:p w14:paraId="3515A806" w14:textId="77777777" w:rsidR="00846EE4" w:rsidRPr="00846EE4" w:rsidRDefault="00846EE4" w:rsidP="00846EE4">
      <w:r w:rsidRPr="00846EE4">
        <w:t xml:space="preserve">A key policy concern has been to strengthen both systems of induction and ongoing opportunities and there are numerous efforts nationally, in jurisdictions and across service types to do this. Within the </w:t>
      </w:r>
      <w:r w:rsidRPr="00846EE4">
        <w:rPr>
          <w:i/>
          <w:iCs/>
        </w:rPr>
        <w:t xml:space="preserve">Shaping our Future - </w:t>
      </w:r>
      <w:r w:rsidRPr="00846EE4">
        <w:rPr>
          <w:rFonts w:asciiTheme="minorHAnsi" w:eastAsiaTheme="minorEastAsia" w:hAnsiTheme="minorHAnsi"/>
          <w:i/>
          <w:iCs/>
        </w:rPr>
        <w:t xml:space="preserve">National Children’s Education and Care Workforce Strategy </w:t>
      </w:r>
      <w:bookmarkStart w:id="151" w:name="_Toc162952878"/>
      <w:bookmarkStart w:id="152" w:name="_Toc162960658"/>
      <w:r w:rsidRPr="00846EE4">
        <w:rPr>
          <w:rFonts w:asciiTheme="minorHAnsi" w:eastAsiaTheme="minorEastAsia" w:hAnsiTheme="minorHAnsi"/>
        </w:rPr>
        <w:t>ther</w:t>
      </w:r>
      <w:r w:rsidRPr="00846EE4">
        <w:t>e are several actions which directly seek to develop these staff support systems including (</w:t>
      </w:r>
      <w:r w:rsidRPr="00846EE4">
        <w:rPr>
          <w:i/>
          <w:iCs/>
        </w:rPr>
        <w:t xml:space="preserve">Shaping Our Future, </w:t>
      </w:r>
      <w:r w:rsidRPr="00846EE4">
        <w:t>2021):</w:t>
      </w:r>
    </w:p>
    <w:p w14:paraId="1ADBCD57" w14:textId="77777777" w:rsidR="00846EE4" w:rsidRPr="00846EE4" w:rsidRDefault="00846EE4" w:rsidP="00701210">
      <w:pPr>
        <w:pStyle w:val="ListBullet"/>
      </w:pPr>
      <w:r w:rsidRPr="00846EE4">
        <w:t>FA1-3 – Enhance mentoring and induction support for new teachers</w:t>
      </w:r>
    </w:p>
    <w:p w14:paraId="7D61504D" w14:textId="77777777" w:rsidR="00846EE4" w:rsidRPr="00846EE4" w:rsidRDefault="00846EE4" w:rsidP="00701210">
      <w:pPr>
        <w:pStyle w:val="ListBullet"/>
      </w:pPr>
      <w:r w:rsidRPr="00846EE4">
        <w:t>FA3-1 – Improve access to core professional development for educators and teachers</w:t>
      </w:r>
    </w:p>
    <w:p w14:paraId="1952A80A" w14:textId="76FF2396" w:rsidR="009042F4" w:rsidRDefault="00846EE4" w:rsidP="00701210">
      <w:pPr>
        <w:pStyle w:val="ListBullet"/>
      </w:pPr>
      <w:r w:rsidRPr="00846EE4">
        <w:t>FA3-2 – Improve access to an increasing range of micro-credentials for educators and teachers in areas of identified need.</w:t>
      </w:r>
    </w:p>
    <w:p w14:paraId="4C5F16EB" w14:textId="246CDEAF" w:rsidR="00846EE4" w:rsidRPr="009042F4" w:rsidRDefault="009042F4" w:rsidP="009042F4">
      <w:pPr>
        <w:rPr>
          <w:rFonts w:eastAsia="SimSun" w:cs="Times New Roman"/>
          <w:spacing w:val="-1"/>
          <w:szCs w:val="20"/>
          <w:lang w:val="en-GB" w:eastAsia="en-GB"/>
        </w:rPr>
      </w:pPr>
      <w:r>
        <w:br w:type="page"/>
      </w:r>
    </w:p>
    <w:tbl>
      <w:tblPr>
        <w:tblStyle w:val="BoxC3"/>
        <w:tblW w:w="0" w:type="auto"/>
        <w:tblLook w:val="0620" w:firstRow="1" w:lastRow="0" w:firstColumn="0" w:lastColumn="0" w:noHBand="1" w:noVBand="1"/>
      </w:tblPr>
      <w:tblGrid>
        <w:gridCol w:w="9016"/>
      </w:tblGrid>
      <w:tr w:rsidR="00846EE4" w:rsidRPr="00846EE4" w14:paraId="6727EBB3" w14:textId="77777777" w:rsidTr="005D67F5">
        <w:tc>
          <w:tcPr>
            <w:tcW w:w="9016" w:type="dxa"/>
          </w:tcPr>
          <w:p w14:paraId="13054A19" w14:textId="77777777" w:rsidR="00846EE4" w:rsidRPr="00846EE4" w:rsidRDefault="00846EE4" w:rsidP="00846EE4">
            <w:pPr>
              <w:spacing w:before="120" w:after="120" w:line="264" w:lineRule="auto"/>
              <w:rPr>
                <w:rFonts w:eastAsiaTheme="majorEastAsia" w:cstheme="majorBidi"/>
                <w:b/>
                <w:color w:val="441170" w:themeColor="text2"/>
                <w:sz w:val="32"/>
                <w:szCs w:val="24"/>
              </w:rPr>
            </w:pPr>
            <w:r w:rsidRPr="00846EE4">
              <w:rPr>
                <w:rFonts w:eastAsiaTheme="majorEastAsia" w:cstheme="majorBidi"/>
                <w:b/>
                <w:color w:val="441170" w:themeColor="text2"/>
                <w:sz w:val="32"/>
                <w:szCs w:val="24"/>
              </w:rPr>
              <w:lastRenderedPageBreak/>
              <w:t>CASE STUDY – Supporting professional development and new students with mentorships</w:t>
            </w:r>
          </w:p>
          <w:p w14:paraId="4CF858FA" w14:textId="77777777" w:rsidR="00846EE4" w:rsidRPr="00846EE4" w:rsidRDefault="00846EE4" w:rsidP="00846EE4">
            <w:pPr>
              <w:spacing w:before="120" w:after="120" w:line="264" w:lineRule="auto"/>
            </w:pPr>
            <w:r w:rsidRPr="00846EE4">
              <w:t xml:space="preserve">TAFE NSW has developed a pilot mentorship program in which existing ECEC educators can complete two free VET units as professional development. The two units, part of the Certificate IV in Training and Assessment, are TAEDEL414 Mentor in the Workplace and TAEDEL311 Provide Work Skill Instruction. Participants in the program supervise and mentor current ECEC students benefiting both existing educators in their pursuit to become leaders and new students looking for a career in early childhood. The program provides students with a support system, while existing educators will develop skills in supervision, providing instructions, coaching and mentoring. TAFE NSW will undertake an evaluation of the pilot </w:t>
            </w:r>
            <w:proofErr w:type="gramStart"/>
            <w:r w:rsidRPr="00846EE4">
              <w:t>in the near future</w:t>
            </w:r>
            <w:proofErr w:type="gramEnd"/>
            <w:r w:rsidRPr="00846EE4">
              <w:t>.</w:t>
            </w:r>
          </w:p>
          <w:p w14:paraId="6E7A5BFD" w14:textId="77777777" w:rsidR="00846EE4" w:rsidRPr="00846EE4" w:rsidRDefault="00846EE4" w:rsidP="00846EE4">
            <w:pPr>
              <w:spacing w:before="120" w:after="120" w:line="264" w:lineRule="auto"/>
              <w:rPr>
                <w:i/>
                <w:iCs/>
              </w:rPr>
            </w:pPr>
            <w:r w:rsidRPr="00846EE4">
              <w:rPr>
                <w:i/>
                <w:iCs/>
              </w:rPr>
              <w:t>Submission 2 – TAFE NSW</w:t>
            </w:r>
          </w:p>
        </w:tc>
      </w:tr>
    </w:tbl>
    <w:p w14:paraId="018A165C" w14:textId="77777777" w:rsidR="00846EE4" w:rsidRPr="00846EE4" w:rsidRDefault="00846EE4" w:rsidP="00846EE4"/>
    <w:p w14:paraId="29888337" w14:textId="77777777" w:rsidR="00846EE4" w:rsidRPr="00846EE4" w:rsidRDefault="00846EE4" w:rsidP="00846EE4">
      <w:pPr>
        <w:pStyle w:val="Heading2"/>
      </w:pPr>
      <w:bookmarkStart w:id="153" w:name="_Toc174363711"/>
      <w:bookmarkEnd w:id="151"/>
      <w:bookmarkEnd w:id="152"/>
      <w:r w:rsidRPr="00846EE4">
        <w:t>Summary</w:t>
      </w:r>
      <w:bookmarkEnd w:id="153"/>
    </w:p>
    <w:p w14:paraId="751EACDF" w14:textId="77777777" w:rsidR="00846EE4" w:rsidRPr="00846EE4" w:rsidRDefault="00846EE4" w:rsidP="00846EE4">
      <w:r w:rsidRPr="00846EE4">
        <w:t xml:space="preserve">This chapter describes the dominant education and training pathways to ECEC roles, showing that most ECEC educators enter the field via VET, with a smaller proportion attaining ECEC qualifications via higher education. VET pathways include a diverse mix of public and private institutions, while most higher education courses are confined to public universities. It also noted the characteristics of the students and learners who participate in these formal qualification pathways and used census data on age, gender, employment location status, disability, location, and socio-economic status to show that those entering ECEC tend to be female and from mid socio-economic status location backgrounds. Workplace-based education is fundamental to the ECEC workforce pathway and there has been a rapid increase in apprenticeships and traineeships since 2020. </w:t>
      </w:r>
    </w:p>
    <w:p w14:paraId="34DACED3" w14:textId="77777777" w:rsidR="00846EE4" w:rsidRPr="00846EE4" w:rsidRDefault="00846EE4" w:rsidP="00846EE4">
      <w:r w:rsidRPr="00846EE4">
        <w:t xml:space="preserve">This chapter found that it is important to facilitate adequate paid work placements as a pathway into the ECEC workforce. The opportunity for ongoing, on-the-job professional development, including greater support for progression to other, more specialised roles, is also an important consideration. </w:t>
      </w:r>
      <w:bookmarkEnd w:id="126"/>
    </w:p>
    <w:p w14:paraId="054F5A33" w14:textId="77777777" w:rsidR="006212DA" w:rsidRDefault="006212DA" w:rsidP="00C17D9C">
      <w:pPr>
        <w:sectPr w:rsidR="006212DA" w:rsidSect="00A2332E">
          <w:headerReference w:type="default" r:id="rId116"/>
          <w:footerReference w:type="default" r:id="rId117"/>
          <w:pgSz w:w="11906" w:h="16838" w:code="9"/>
          <w:pgMar w:top="1440" w:right="1440" w:bottom="1440" w:left="1440" w:header="0" w:footer="709" w:gutter="0"/>
          <w:cols w:space="708"/>
          <w:docGrid w:linePitch="360"/>
        </w:sectPr>
      </w:pPr>
    </w:p>
    <w:p w14:paraId="65C210A6" w14:textId="77777777" w:rsidR="006212DA" w:rsidRPr="00C72D39" w:rsidRDefault="006212DA" w:rsidP="006212DA">
      <w:pPr>
        <w:pStyle w:val="Heading1"/>
      </w:pPr>
      <w:bookmarkStart w:id="154" w:name="_Toc174363712"/>
      <w:bookmarkStart w:id="155" w:name="_Toc146892678"/>
      <w:r>
        <w:rPr>
          <w:noProof/>
        </w:rPr>
        <w:lastRenderedPageBreak/>
        <w:drawing>
          <wp:anchor distT="0" distB="0" distL="114300" distR="114300" simplePos="0" relativeHeight="251683843" behindDoc="0" locked="0" layoutInCell="1" allowOverlap="1" wp14:anchorId="64EF4EBA" wp14:editId="4BAC15B4">
            <wp:simplePos x="0" y="0"/>
            <wp:positionH relativeFrom="page">
              <wp:align>left</wp:align>
            </wp:positionH>
            <wp:positionV relativeFrom="page">
              <wp:align>top</wp:align>
            </wp:positionV>
            <wp:extent cx="7560000" cy="10692000"/>
            <wp:effectExtent l="0" t="0" r="3175" b="0"/>
            <wp:wrapNone/>
            <wp:docPr id="122132863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328634" name="Picture 1">
                      <a:extLst>
                        <a:ext uri="{C183D7F6-B498-43B3-948B-1728B52AA6E4}">
                          <adec:decorative xmlns:adec="http://schemas.microsoft.com/office/drawing/2017/decorative" val="1"/>
                        </a:ext>
                      </a:extLst>
                    </pic:cNvPr>
                    <pic:cNvPicPr/>
                  </pic:nvPicPr>
                  <pic:blipFill>
                    <a:blip r:embed="rId118">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r w:rsidRPr="00C72D39">
        <w:t xml:space="preserve">Chapter </w:t>
      </w:r>
      <w:r>
        <w:t>4: Future States</w:t>
      </w:r>
      <w:bookmarkEnd w:id="154"/>
      <w:r w:rsidRPr="00C72D39">
        <w:t xml:space="preserve"> </w:t>
      </w:r>
      <w:bookmarkEnd w:id="155"/>
    </w:p>
    <w:p w14:paraId="6105A185" w14:textId="77777777" w:rsidR="006212DA" w:rsidRPr="002E56DB" w:rsidRDefault="006212DA" w:rsidP="006212DA">
      <w:pPr>
        <w:jc w:val="center"/>
      </w:pPr>
    </w:p>
    <w:p w14:paraId="301256C4" w14:textId="77777777" w:rsidR="006212DA" w:rsidRPr="00E5087D" w:rsidRDefault="006212DA" w:rsidP="006212DA">
      <w:r w:rsidRPr="00E5087D">
        <w:br w:type="page"/>
      </w:r>
    </w:p>
    <w:p w14:paraId="4A9762D0" w14:textId="77777777" w:rsidR="006212DA" w:rsidRPr="00651A49" w:rsidRDefault="006212DA" w:rsidP="006212DA">
      <w:pPr>
        <w:pStyle w:val="Heading2"/>
      </w:pPr>
      <w:bookmarkStart w:id="156" w:name="_Toc174363713"/>
      <w:r w:rsidRPr="00651A49">
        <w:lastRenderedPageBreak/>
        <w:t>Introduction</w:t>
      </w:r>
      <w:bookmarkEnd w:id="156"/>
    </w:p>
    <w:p w14:paraId="2CB69596" w14:textId="77777777" w:rsidR="006212DA" w:rsidRDefault="006212DA" w:rsidP="006212DA">
      <w:r>
        <w:t>With such high expectations placed on the ECEC sector and its workforce, a key objective of the Study was to analyse future demand and supply at the national, state and regional level for the ECEC workforce over the next 10 years. To do this, JSA commissioned Deloitte Access Economics to assist with detailed economic modelling. Modelling results were iterated and refined based on feedback from Steering Group members.</w:t>
      </w:r>
    </w:p>
    <w:p w14:paraId="73957507" w14:textId="77777777" w:rsidR="006212DA" w:rsidRDefault="006212DA" w:rsidP="006212DA">
      <w:r>
        <w:t xml:space="preserve">To build a picture of future workforce demand, the following components were </w:t>
      </w:r>
      <w:proofErr w:type="gramStart"/>
      <w:r>
        <w:t>taken into account</w:t>
      </w:r>
      <w:proofErr w:type="gramEnd"/>
      <w:r>
        <w:t>:</w:t>
      </w:r>
    </w:p>
    <w:p w14:paraId="47B79011" w14:textId="77777777" w:rsidR="006212DA" w:rsidRDefault="006212DA" w:rsidP="006212DA">
      <w:pPr>
        <w:pStyle w:val="ListBullet"/>
      </w:pPr>
      <w:r>
        <w:t>The current levels of met demand for ECEC services and current workforce levels</w:t>
      </w:r>
    </w:p>
    <w:p w14:paraId="681EC632" w14:textId="77777777" w:rsidR="006212DA" w:rsidRDefault="006212DA" w:rsidP="006212DA">
      <w:pPr>
        <w:pStyle w:val="ListBullet"/>
      </w:pPr>
      <w:r>
        <w:t>Evidence that the current workforce is being unsustainably stretched to meet current levels of demand, such as additional hours worked and lack of provision for ongoing professional development</w:t>
      </w:r>
    </w:p>
    <w:p w14:paraId="7FA66D30" w14:textId="77777777" w:rsidR="006212DA" w:rsidRDefault="006212DA" w:rsidP="006212DA">
      <w:pPr>
        <w:pStyle w:val="ListBullet"/>
      </w:pPr>
      <w:r>
        <w:t>Existing unmet demand, such as parents and carers seeking additional hours of ECEC for their children</w:t>
      </w:r>
    </w:p>
    <w:p w14:paraId="2EB7C266" w14:textId="77777777" w:rsidR="006212DA" w:rsidRDefault="006212DA" w:rsidP="006212DA">
      <w:pPr>
        <w:pStyle w:val="ListBullet"/>
      </w:pPr>
      <w:r>
        <w:t xml:space="preserve">The expansion in services and workforce that will be required to continue the rollout of committed policies, such as preschool for </w:t>
      </w:r>
      <w:proofErr w:type="gramStart"/>
      <w:r>
        <w:t>3 year olds</w:t>
      </w:r>
      <w:proofErr w:type="gramEnd"/>
      <w:r>
        <w:t>.</w:t>
      </w:r>
    </w:p>
    <w:p w14:paraId="5AA9958D" w14:textId="77777777" w:rsidR="006212DA" w:rsidRDefault="006212DA" w:rsidP="006212DA">
      <w:pPr>
        <w:pStyle w:val="ListBullet"/>
      </w:pPr>
      <w:r>
        <w:t>The further expansion in services and workforce that would be required to achieve more ambitious proposals, notably a universal entitlement for up to 30 hours a week available to all children.</w:t>
      </w:r>
    </w:p>
    <w:p w14:paraId="36DB1B8A" w14:textId="77777777" w:rsidR="006212DA" w:rsidRDefault="006212DA" w:rsidP="006212DA">
      <w:r>
        <w:t xml:space="preserve">This layered picture of demand was built up from the smallest level of regional data available (SA4) to </w:t>
      </w:r>
      <w:proofErr w:type="gramStart"/>
      <w:r>
        <w:t>take into account</w:t>
      </w:r>
      <w:proofErr w:type="gramEnd"/>
      <w:r>
        <w:t xml:space="preserve"> differences in communities’ population and existing patterns of ECEC participation as well as variation in state and territory policy settings.</w:t>
      </w:r>
    </w:p>
    <w:p w14:paraId="0EBC4465" w14:textId="77777777" w:rsidR="006212DA" w:rsidRDefault="006212DA" w:rsidP="006212DA">
      <w:r>
        <w:t>The future demand analysis looks at the main ECEC roles separately (</w:t>
      </w:r>
      <w:r w:rsidRPr="00E62FEE">
        <w:rPr>
          <w:i/>
          <w:iCs/>
        </w:rPr>
        <w:t>Child Carer, Early Childhood Teacher</w:t>
      </w:r>
      <w:r>
        <w:t>) and together.</w:t>
      </w:r>
    </w:p>
    <w:p w14:paraId="67988033" w14:textId="77777777" w:rsidR="006212DA" w:rsidRDefault="006212DA" w:rsidP="006212DA">
      <w:r>
        <w:t>The assessment of future workforce supply was built up in a similar way, beginning with the current workforce and drawing on historical data to model the likely flows in and out of ECEC roles attributable to various factors, including completion of VET and higher education qualifications, occupational movements within and out of the sector, migration and retirements.</w:t>
      </w:r>
    </w:p>
    <w:p w14:paraId="607B167E" w14:textId="77777777" w:rsidR="006212DA" w:rsidRDefault="006212DA" w:rsidP="006212DA">
      <w:r>
        <w:t>As for future workforce demand, the future workforce supply is considered for each of the core ECEC occupations and overall.</w:t>
      </w:r>
    </w:p>
    <w:p w14:paraId="6D1AC42D" w14:textId="77777777" w:rsidR="006212DA" w:rsidRDefault="006212DA" w:rsidP="006212DA">
      <w:r>
        <w:t xml:space="preserve">The results of this analysis are stark but consistent with the evidence already presented in earlier chapters. There will not be sufficient ECEC workforce to meet anticipated demand if current workforce settings and trends continue, with particularly large shortages for </w:t>
      </w:r>
      <w:r w:rsidRPr="00E62FEE">
        <w:rPr>
          <w:i/>
          <w:iCs/>
        </w:rPr>
        <w:t>Early Childhood Teachers</w:t>
      </w:r>
      <w:r>
        <w:t xml:space="preserve"> emerging and persisting over the remainder of the </w:t>
      </w:r>
      <w:proofErr w:type="gramStart"/>
      <w:r>
        <w:t>ten year</w:t>
      </w:r>
      <w:proofErr w:type="gramEnd"/>
      <w:r>
        <w:t xml:space="preserve"> forecast horizon.</w:t>
      </w:r>
    </w:p>
    <w:p w14:paraId="36E4DB79" w14:textId="77777777" w:rsidR="006212DA" w:rsidRDefault="006212DA" w:rsidP="006212DA">
      <w:r w:rsidRPr="00637FCF">
        <w:t xml:space="preserve">As with any modelling exercise, there are uncertainties involved in developing projections of the future, including with data inputs, model structure, and parameterisation. Nevertheless, the </w:t>
      </w:r>
      <w:r>
        <w:t>analysis</w:t>
      </w:r>
      <w:r w:rsidRPr="00637FCF">
        <w:t xml:space="preserve"> provides an indication of how the ECEC workforce supply and demand may change over the next decade under different scenarios.</w:t>
      </w:r>
    </w:p>
    <w:p w14:paraId="04C484CE" w14:textId="77777777" w:rsidR="006212DA" w:rsidRPr="001F36D6" w:rsidRDefault="006212DA" w:rsidP="006212DA">
      <w:pPr>
        <w:pStyle w:val="Heading2"/>
      </w:pPr>
      <w:bookmarkStart w:id="157" w:name="_Toc174363714"/>
      <w:r>
        <w:lastRenderedPageBreak/>
        <w:t>Approach and Assumptions</w:t>
      </w:r>
      <w:bookmarkEnd w:id="157"/>
    </w:p>
    <w:p w14:paraId="02279022" w14:textId="77777777" w:rsidR="006212DA" w:rsidRPr="006912C7" w:rsidRDefault="006212DA" w:rsidP="006212DA">
      <w:pPr>
        <w:pStyle w:val="Heading3"/>
      </w:pPr>
      <w:r>
        <w:t>Occupational Categories and Data Sources</w:t>
      </w:r>
    </w:p>
    <w:p w14:paraId="42D10BCB" w14:textId="77777777" w:rsidR="006212DA" w:rsidRDefault="006212DA" w:rsidP="006212DA">
      <w:r>
        <w:t>The modelling exercise focused on three occupational categories of particular importance to the ECEC sector:</w:t>
      </w:r>
    </w:p>
    <w:p w14:paraId="68BE415D" w14:textId="77777777" w:rsidR="006212DA" w:rsidRPr="00E62FEE" w:rsidRDefault="006212DA" w:rsidP="00D22563">
      <w:pPr>
        <w:pStyle w:val="ListParagraph"/>
        <w:numPr>
          <w:ilvl w:val="0"/>
          <w:numId w:val="21"/>
        </w:numPr>
        <w:tabs>
          <w:tab w:val="clear" w:pos="357"/>
        </w:tabs>
        <w:spacing w:after="160" w:line="259" w:lineRule="auto"/>
        <w:rPr>
          <w:i w:val="0"/>
          <w:iCs w:val="0"/>
        </w:rPr>
      </w:pPr>
      <w:r w:rsidRPr="00E62FEE">
        <w:t>Child Carer</w:t>
      </w:r>
    </w:p>
    <w:p w14:paraId="65DE7CBA" w14:textId="77777777" w:rsidR="006212DA" w:rsidRPr="00E62FEE" w:rsidRDefault="006212DA" w:rsidP="00D22563">
      <w:pPr>
        <w:pStyle w:val="ListParagraph"/>
        <w:numPr>
          <w:ilvl w:val="0"/>
          <w:numId w:val="21"/>
        </w:numPr>
        <w:tabs>
          <w:tab w:val="clear" w:pos="357"/>
        </w:tabs>
        <w:spacing w:after="160" w:line="259" w:lineRule="auto"/>
        <w:rPr>
          <w:i w:val="0"/>
          <w:iCs w:val="0"/>
        </w:rPr>
      </w:pPr>
      <w:r w:rsidRPr="00E62FEE">
        <w:t>Early Childhood Teacher</w:t>
      </w:r>
    </w:p>
    <w:p w14:paraId="2363D3A6" w14:textId="77777777" w:rsidR="006212DA" w:rsidRPr="00E62FEE" w:rsidRDefault="006212DA" w:rsidP="00D22563">
      <w:pPr>
        <w:pStyle w:val="ListParagraph"/>
        <w:numPr>
          <w:ilvl w:val="0"/>
          <w:numId w:val="21"/>
        </w:numPr>
        <w:tabs>
          <w:tab w:val="clear" w:pos="357"/>
        </w:tabs>
        <w:spacing w:after="160" w:line="259" w:lineRule="auto"/>
        <w:rPr>
          <w:i w:val="0"/>
          <w:iCs w:val="0"/>
        </w:rPr>
      </w:pPr>
      <w:r w:rsidRPr="00E62FEE">
        <w:t xml:space="preserve">Child Care Centre </w:t>
      </w:r>
      <w:r>
        <w:t>Manager</w:t>
      </w:r>
    </w:p>
    <w:p w14:paraId="47BB463F" w14:textId="77777777" w:rsidR="006212DA" w:rsidRPr="00130B42" w:rsidRDefault="006212DA" w:rsidP="006212DA">
      <w:r>
        <w:t xml:space="preserve">The modelling also includes the occupational category </w:t>
      </w:r>
      <w:r>
        <w:rPr>
          <w:i/>
          <w:iCs/>
        </w:rPr>
        <w:t>Education Aides</w:t>
      </w:r>
      <w:r>
        <w:t>, to the extent these are employed in ECEC services as opposed to schools and other settings. Further details on the occupations and sectors in scope for the modelling is set out in Appendix 4.</w:t>
      </w:r>
    </w:p>
    <w:p w14:paraId="7682A88A" w14:textId="77777777" w:rsidR="006212DA" w:rsidRDefault="006212DA" w:rsidP="006212DA">
      <w:r>
        <w:t>While other occupations make a valuable contribution to the work of ECEC services (as acknowledged in Chapter 2), they are either occupations with low barriers to entry and not currently experiencing shortage (e.g. Cleaners, Administration Assistants) or found in very low numbers.</w:t>
      </w:r>
    </w:p>
    <w:p w14:paraId="0D88A52E" w14:textId="77777777" w:rsidR="006212DA" w:rsidRDefault="006212DA" w:rsidP="006212DA">
      <w:r>
        <w:t>The principal data sources for the modelling exercise are: 2021 Census of Population and Housing (for workforce composition and characteristics), the Australian Census Longitudinal Dataset (to examine occupational flows). Service demand modelling relied on the Department of Education’s NWC and CCS administrative data and the ABS Preschool Education collection. Treasury forecasts for labour force participation rates were used, as were Deloitte Access Economics population forecasts for more detailed regional estimates.</w:t>
      </w:r>
    </w:p>
    <w:p w14:paraId="4E3590AE" w14:textId="77777777" w:rsidR="006212DA" w:rsidRPr="006912C7" w:rsidRDefault="006212DA" w:rsidP="006212DA">
      <w:pPr>
        <w:pStyle w:val="Heading3"/>
      </w:pPr>
      <w:r>
        <w:t>Estimating Future Demand</w:t>
      </w:r>
    </w:p>
    <w:p w14:paraId="77FC3B2C" w14:textId="77777777" w:rsidR="006212DA" w:rsidRDefault="006212DA" w:rsidP="006212DA">
      <w:r>
        <w:t>The model builds up from first principles to derive workforce demand. First, the demand for ECEC services by children and families is estimated based on historic usage rates and other core drivers such as female labour force participation. Then, the demand for educators required to meet that level of service demand is derived based on a combination of empirical and theoretical staffing patterns.</w:t>
      </w:r>
    </w:p>
    <w:p w14:paraId="227710A1" w14:textId="77777777" w:rsidR="006212DA" w:rsidRDefault="006212DA" w:rsidP="006212DA">
      <w:r>
        <w:t xml:space="preserve">The following sections outline the structure underpinning the model, presenting details on each of the four scenarios, and explores sustainability of the workforce. </w:t>
      </w:r>
    </w:p>
    <w:p w14:paraId="4CC5BDE4" w14:textId="77777777" w:rsidR="006212DA" w:rsidRPr="00FC30B1" w:rsidRDefault="006212DA" w:rsidP="006212DA">
      <w:pPr>
        <w:pStyle w:val="Heading4"/>
      </w:pPr>
      <w:r>
        <w:t>Current Met Demand</w:t>
      </w:r>
    </w:p>
    <w:p w14:paraId="59129FA8" w14:textId="77777777" w:rsidR="006212DA" w:rsidRDefault="006212DA" w:rsidP="006212DA">
      <w:r>
        <w:t>First, current estimates of ECEC service usage and hours were estimated for 2021 and 2022 using:</w:t>
      </w:r>
    </w:p>
    <w:p w14:paraId="3A83C2FA" w14:textId="77777777" w:rsidR="006212DA" w:rsidRDefault="006212DA" w:rsidP="006212DA">
      <w:pPr>
        <w:pStyle w:val="ListBullet"/>
      </w:pPr>
      <w:r>
        <w:t>ABS Preschool Education data, which captures enrolments in Standalone Preschools and Centre Based Day Cares for children aged between three to six in August.</w:t>
      </w:r>
    </w:p>
    <w:p w14:paraId="6BDBCD94" w14:textId="77777777" w:rsidR="006212DA" w:rsidRDefault="006212DA" w:rsidP="006212DA">
      <w:pPr>
        <w:pStyle w:val="ListBullet"/>
      </w:pPr>
      <w:r>
        <w:t xml:space="preserve">CCS data, which captures enrolments in </w:t>
      </w:r>
      <w:r w:rsidRPr="00E62FEE">
        <w:t>Child Care</w:t>
      </w:r>
      <w:r>
        <w:t xml:space="preserve"> (including CBDC, FDC, IHC and OSHC) over an average week in June. </w:t>
      </w:r>
    </w:p>
    <w:p w14:paraId="6A6AA205" w14:textId="77777777" w:rsidR="006212DA" w:rsidRDefault="006212DA" w:rsidP="006212DA">
      <w:r>
        <w:t xml:space="preserve">2021 usage patterns were used for 2021 and supports consistent comparisons with other data sources (including the 2021 ABS Census and ECEC NWC), while 2022 usage patterns were used as the basis of the projections. </w:t>
      </w:r>
    </w:p>
    <w:p w14:paraId="17D69261" w14:textId="77777777" w:rsidR="006212DA" w:rsidRDefault="006212DA" w:rsidP="006212DA">
      <w:r>
        <w:lastRenderedPageBreak/>
        <w:t xml:space="preserve">Service demand was then projected over the next 10 years, </w:t>
      </w:r>
      <w:proofErr w:type="gramStart"/>
      <w:r>
        <w:t>taking into account</w:t>
      </w:r>
      <w:proofErr w:type="gramEnd"/>
      <w:r>
        <w:t xml:space="preserve"> population growth and changes in ECEC usage patterns (hours and participation), including female labour force participation and the propensity to use ECEC by labour force status, relative to 2022 levels. </w:t>
      </w:r>
    </w:p>
    <w:p w14:paraId="1DBA50AF" w14:textId="77777777" w:rsidR="006212DA" w:rsidRPr="00FC30B1" w:rsidRDefault="006212DA" w:rsidP="006212DA">
      <w:pPr>
        <w:pStyle w:val="Heading5"/>
      </w:pPr>
      <w:r>
        <w:t>Converting Service Demand to Workforce Demand</w:t>
      </w:r>
    </w:p>
    <w:p w14:paraId="0FB5FAF5" w14:textId="77777777" w:rsidR="006212DA" w:rsidRDefault="006212DA" w:rsidP="006212DA">
      <w:r>
        <w:t>Incremental</w:t>
      </w:r>
      <w:r>
        <w:rPr>
          <w:rStyle w:val="FootnoteReference"/>
        </w:rPr>
        <w:footnoteReference w:id="53"/>
      </w:r>
      <w:r>
        <w:t xml:space="preserve"> service demand projections were converted into incremental workforce demand by sector, SA4 and occupation using two sets of ratios - the actual ‘employment-to-demand’ ratio and the theoretical ‘employment-to-demand’ ratio. </w:t>
      </w:r>
    </w:p>
    <w:p w14:paraId="53693104" w14:textId="77777777" w:rsidR="006212DA" w:rsidRDefault="006212DA" w:rsidP="006212DA">
      <w:pPr>
        <w:pStyle w:val="ListBullet"/>
      </w:pPr>
      <w:r>
        <w:t>The actual ‘employment-to-demand’ ratio compared 2021 service demand (as measured by weekly enrolment hours) with 2021 staff demand, which accounted for both employees in the sector and an estimate of unmet workforce demand, as indicated by staffing waivers.</w:t>
      </w:r>
      <w:r>
        <w:rPr>
          <w:rStyle w:val="FootnoteReference"/>
        </w:rPr>
        <w:footnoteReference w:id="54"/>
      </w:r>
    </w:p>
    <w:p w14:paraId="058A4025" w14:textId="77777777" w:rsidR="006212DA" w:rsidRDefault="006212DA" w:rsidP="006212DA">
      <w:pPr>
        <w:pStyle w:val="ListBullet"/>
      </w:pPr>
      <w:r w:rsidRPr="00FC30B1">
        <w:t xml:space="preserve">The theoretical ‘employment-to-demand’ ratio determined the minimum </w:t>
      </w:r>
      <w:r>
        <w:t>staff</w:t>
      </w:r>
      <w:r w:rsidRPr="00FC30B1">
        <w:t xml:space="preserve"> requirements for a given level of service demand (enrolment hours) based on the regulatory requirements for educator numbers, qualifications and working conditions.</w:t>
      </w:r>
    </w:p>
    <w:p w14:paraId="23CB8F2E" w14:textId="77777777" w:rsidR="006212DA" w:rsidRDefault="006212DA" w:rsidP="006212DA">
      <w:r>
        <w:t xml:space="preserve">This forms the basis for the first demand scenario modelled </w:t>
      </w:r>
      <w:r w:rsidRPr="00FC30B1">
        <w:t>that maintain</w:t>
      </w:r>
      <w:r>
        <w:t>ed</w:t>
      </w:r>
      <w:r w:rsidRPr="00FC30B1">
        <w:t xml:space="preserve"> current trends and policy settings (up to and including 2022).</w:t>
      </w:r>
      <w:r>
        <w:t xml:space="preserve"> </w:t>
      </w:r>
    </w:p>
    <w:p w14:paraId="534092FA" w14:textId="77777777" w:rsidR="006212DA" w:rsidRPr="00AE7424" w:rsidRDefault="006212DA" w:rsidP="006212DA">
      <w:pPr>
        <w:pStyle w:val="Heading4"/>
      </w:pPr>
      <w:r>
        <w:t>Sustainable Workforce Levels</w:t>
      </w:r>
    </w:p>
    <w:p w14:paraId="6F5374A8" w14:textId="77777777" w:rsidR="006212DA" w:rsidRDefault="006212DA" w:rsidP="006212DA">
      <w:r>
        <w:t xml:space="preserve">Discussion with sector stakeholders indicates that the ECEC sector is under significant strain. </w:t>
      </w:r>
      <w:r w:rsidRPr="00D5322D">
        <w:t xml:space="preserve">The below adjustments </w:t>
      </w:r>
      <w:r>
        <w:t xml:space="preserve">were </w:t>
      </w:r>
      <w:r w:rsidRPr="00D5322D">
        <w:t xml:space="preserve">built into </w:t>
      </w:r>
      <w:r>
        <w:t xml:space="preserve">the modelling to </w:t>
      </w:r>
      <w:r w:rsidRPr="00D5322D">
        <w:t>account for current and sustainable working conditions.</w:t>
      </w:r>
      <w:r>
        <w:rPr>
          <w:rStyle w:val="FootnoteReference"/>
        </w:rPr>
        <w:footnoteReference w:id="55"/>
      </w:r>
    </w:p>
    <w:p w14:paraId="6FAF4A30" w14:textId="77777777" w:rsidR="006212DA" w:rsidRDefault="006212DA" w:rsidP="006212DA">
      <w:r>
        <w:t>Both the current and sustainable working conditions adjustments are added to the theoretical ‘employment-to-demand’ ratio, to better reflect the practical worker requirements to meet service demand.</w:t>
      </w:r>
    </w:p>
    <w:p w14:paraId="32BE08B4" w14:textId="77777777" w:rsidR="006212DA" w:rsidRDefault="006212DA" w:rsidP="006212DA">
      <w:r>
        <w:t xml:space="preserve">Only the sustainable working conditions adjustments are added to the actual ‘employment-to-demand’ ratio and captures the workers should have been employed in 2021 to support service delivery in a sustainable way. </w:t>
      </w:r>
    </w:p>
    <w:p w14:paraId="3F609F35" w14:textId="77777777" w:rsidR="006212DA" w:rsidRDefault="006212DA" w:rsidP="006212DA">
      <w:pPr>
        <w:rPr>
          <w:b/>
          <w:bCs/>
          <w:sz w:val="18"/>
          <w:szCs w:val="18"/>
        </w:rPr>
      </w:pPr>
      <w:r>
        <w:rPr>
          <w:b/>
          <w:bCs/>
          <w:sz w:val="18"/>
          <w:szCs w:val="18"/>
        </w:rPr>
        <w:br w:type="page"/>
      </w:r>
    </w:p>
    <w:p w14:paraId="78C88878" w14:textId="77777777" w:rsidR="006212DA" w:rsidRPr="003F752F" w:rsidRDefault="006212DA" w:rsidP="006212DA">
      <w:pPr>
        <w:rPr>
          <w:b/>
          <w:bCs/>
          <w:sz w:val="18"/>
          <w:szCs w:val="18"/>
        </w:rPr>
      </w:pPr>
      <w:r w:rsidRPr="003F752F">
        <w:rPr>
          <w:b/>
          <w:bCs/>
          <w:sz w:val="18"/>
          <w:szCs w:val="18"/>
        </w:rPr>
        <w:lastRenderedPageBreak/>
        <w:t>Figure 4.</w:t>
      </w:r>
      <w:r>
        <w:rPr>
          <w:b/>
          <w:bCs/>
          <w:sz w:val="18"/>
          <w:szCs w:val="18"/>
        </w:rPr>
        <w:t>1</w:t>
      </w:r>
      <w:r w:rsidRPr="003F752F">
        <w:rPr>
          <w:b/>
          <w:bCs/>
          <w:sz w:val="18"/>
          <w:szCs w:val="18"/>
        </w:rPr>
        <w:t xml:space="preserve">: </w:t>
      </w:r>
      <w:r>
        <w:rPr>
          <w:b/>
          <w:bCs/>
          <w:sz w:val="18"/>
          <w:szCs w:val="18"/>
        </w:rPr>
        <w:t xml:space="preserve">Workforce tensions in ECEC workforce </w:t>
      </w:r>
    </w:p>
    <w:p w14:paraId="40286A17" w14:textId="77777777" w:rsidR="006212DA" w:rsidRPr="00FC30B1" w:rsidRDefault="006212DA" w:rsidP="006212DA">
      <w:pPr>
        <w:pStyle w:val="Heading4"/>
      </w:pPr>
      <w:r w:rsidRPr="00E305D9">
        <w:rPr>
          <w:noProof/>
          <w:sz w:val="26"/>
          <w:szCs w:val="20"/>
        </w:rPr>
        <w:drawing>
          <wp:inline distT="0" distB="0" distL="0" distR="0" wp14:anchorId="23C975F4" wp14:editId="59A83B2A">
            <wp:extent cx="5419725" cy="2743200"/>
            <wp:effectExtent l="0" t="0" r="47625" b="0"/>
            <wp:docPr id="1349084927" name="Diagram 1" descr="Current Working Conditions ​&#10;&#10;Sick and annual leave – assumes 2 weeks of sick leave and 4 weeks of annual leave per year​&#10;(Source: Children Services Awards)​&#10;&#10;Group size margin – 12%, based on analysis of NWC data on attendance for preschool aged children, relative to class sizes at ratio​&#10;&#10;​&#10;&#10;Sustainable Working Conditions​&#10;&#10;Professional development – assumes 2 days per year​&#10;&#10;Overtime – 8%, based on analysis of working hours for full-time ECEC workers (40 hours per week)​"/>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9" r:lo="rId120" r:qs="rId121" r:cs="rId122"/>
              </a:graphicData>
            </a:graphic>
          </wp:inline>
        </w:drawing>
      </w:r>
      <w:r>
        <w:t xml:space="preserve">Considering Unmet Service Demand </w:t>
      </w:r>
    </w:p>
    <w:p w14:paraId="697ACFFE" w14:textId="77777777" w:rsidR="006212DA" w:rsidRPr="00FC30B1" w:rsidRDefault="006212DA" w:rsidP="006212DA">
      <w:r w:rsidRPr="00FC30B1">
        <w:t>Unmet service demand</w:t>
      </w:r>
      <w:r>
        <w:t xml:space="preserve">, which refers to </w:t>
      </w:r>
      <w:r w:rsidRPr="00FC30B1">
        <w:t xml:space="preserve">any existing supply constraints in the ECEC sector </w:t>
      </w:r>
      <w:r>
        <w:t xml:space="preserve">that </w:t>
      </w:r>
      <w:r w:rsidRPr="00FC30B1">
        <w:t>result</w:t>
      </w:r>
      <w:r>
        <w:t>s in</w:t>
      </w:r>
      <w:r w:rsidRPr="00FC30B1">
        <w:t xml:space="preserve"> </w:t>
      </w:r>
      <w:r>
        <w:t xml:space="preserve">unfulfilled demand </w:t>
      </w:r>
      <w:r w:rsidRPr="00FC30B1">
        <w:t>for families</w:t>
      </w:r>
      <w:r>
        <w:t>,</w:t>
      </w:r>
      <w:r w:rsidRPr="00055A1E">
        <w:t xml:space="preserve"> </w:t>
      </w:r>
      <w:r w:rsidRPr="00FC30B1">
        <w:t xml:space="preserve">was </w:t>
      </w:r>
      <w:r>
        <w:t>also</w:t>
      </w:r>
      <w:r w:rsidRPr="00FC30B1">
        <w:t xml:space="preserve"> </w:t>
      </w:r>
      <w:r>
        <w:t xml:space="preserve">factored into the modelling. </w:t>
      </w:r>
      <w:r w:rsidRPr="00FC30B1">
        <w:t>The below indicators were used to identify S</w:t>
      </w:r>
      <w:r>
        <w:t xml:space="preserve">tatistical </w:t>
      </w:r>
      <w:r w:rsidRPr="00FC30B1">
        <w:t>A</w:t>
      </w:r>
      <w:r>
        <w:t xml:space="preserve">rea </w:t>
      </w:r>
      <w:r w:rsidRPr="00FC30B1">
        <w:t>2</w:t>
      </w:r>
      <w:r>
        <w:t xml:space="preserve"> (SA2)</w:t>
      </w:r>
      <w:r w:rsidRPr="00FC30B1">
        <w:t xml:space="preserve"> where unmet demand </w:t>
      </w:r>
      <w:r>
        <w:t xml:space="preserve">for CBDC </w:t>
      </w:r>
      <w:r w:rsidRPr="00FC30B1">
        <w:t xml:space="preserve">was mostly likely </w:t>
      </w:r>
      <w:r>
        <w:t xml:space="preserve">to </w:t>
      </w:r>
      <w:r w:rsidRPr="00FC30B1">
        <w:t>occur in 2021.</w:t>
      </w:r>
    </w:p>
    <w:p w14:paraId="278A22BC" w14:textId="77777777" w:rsidR="006212DA" w:rsidRPr="00D22563" w:rsidRDefault="006212DA" w:rsidP="00D22563">
      <w:pPr>
        <w:pStyle w:val="ListParagraph"/>
        <w:numPr>
          <w:ilvl w:val="0"/>
          <w:numId w:val="22"/>
        </w:numPr>
        <w:tabs>
          <w:tab w:val="clear" w:pos="357"/>
        </w:tabs>
        <w:rPr>
          <w:i w:val="0"/>
          <w:iCs w:val="0"/>
        </w:rPr>
      </w:pPr>
      <w:r w:rsidRPr="00D22563">
        <w:rPr>
          <w:i w:val="0"/>
          <w:iCs w:val="0"/>
        </w:rPr>
        <w:t>Licensed places per child (aged 0-12): based on ACECQA data on licensed places of CBDC services based in a SA2 compared to the resident population of 0-12 in the same region. Fewer licensed places available per child suggests that ECEC usage is lower compared to other regions.</w:t>
      </w:r>
    </w:p>
    <w:p w14:paraId="79634981" w14:textId="77777777" w:rsidR="006212DA" w:rsidRPr="00D22563" w:rsidRDefault="006212DA" w:rsidP="006212DA">
      <w:pPr>
        <w:pStyle w:val="ListParagraph"/>
        <w:rPr>
          <w:i w:val="0"/>
          <w:iCs w:val="0"/>
        </w:rPr>
      </w:pPr>
    </w:p>
    <w:p w14:paraId="7107D771" w14:textId="77777777" w:rsidR="006212DA" w:rsidRPr="00D22563" w:rsidRDefault="006212DA" w:rsidP="00D22563">
      <w:pPr>
        <w:pStyle w:val="ListParagraph"/>
        <w:numPr>
          <w:ilvl w:val="0"/>
          <w:numId w:val="22"/>
        </w:numPr>
        <w:tabs>
          <w:tab w:val="clear" w:pos="357"/>
        </w:tabs>
        <w:rPr>
          <w:i w:val="0"/>
          <w:iCs w:val="0"/>
        </w:rPr>
      </w:pPr>
      <w:r w:rsidRPr="00D22563">
        <w:rPr>
          <w:i w:val="0"/>
          <w:iCs w:val="0"/>
        </w:rPr>
        <w:t xml:space="preserve">Use of existing capacity, with a high level of utilisation suggesting families are unable to increase their usage. </w:t>
      </w:r>
    </w:p>
    <w:p w14:paraId="54E0F460" w14:textId="77777777" w:rsidR="006212DA" w:rsidRPr="00D22563" w:rsidRDefault="006212DA" w:rsidP="00D22563">
      <w:pPr>
        <w:pStyle w:val="ListParagraph"/>
        <w:numPr>
          <w:ilvl w:val="1"/>
          <w:numId w:val="20"/>
        </w:numPr>
        <w:tabs>
          <w:tab w:val="clear" w:pos="357"/>
        </w:tabs>
        <w:rPr>
          <w:i w:val="0"/>
          <w:iCs w:val="0"/>
        </w:rPr>
      </w:pPr>
      <w:r w:rsidRPr="00D22563">
        <w:rPr>
          <w:i w:val="0"/>
          <w:iCs w:val="0"/>
        </w:rPr>
        <w:t xml:space="preserve">Reported use of services in the National Workforce Census, which compares the maximum places offered per day in a service to the number of places </w:t>
      </w:r>
      <w:proofErr w:type="gramStart"/>
      <w:r w:rsidRPr="00D22563">
        <w:rPr>
          <w:i w:val="0"/>
          <w:iCs w:val="0"/>
        </w:rPr>
        <w:t>actually filled</w:t>
      </w:r>
      <w:proofErr w:type="gramEnd"/>
      <w:r w:rsidRPr="00D22563">
        <w:rPr>
          <w:i w:val="0"/>
          <w:iCs w:val="0"/>
        </w:rPr>
        <w:t>.</w:t>
      </w:r>
    </w:p>
    <w:p w14:paraId="550BD71F" w14:textId="77777777" w:rsidR="006212DA" w:rsidRPr="00D22563" w:rsidRDefault="006212DA" w:rsidP="00D22563">
      <w:pPr>
        <w:pStyle w:val="ListParagraph"/>
        <w:numPr>
          <w:ilvl w:val="1"/>
          <w:numId w:val="20"/>
        </w:numPr>
        <w:tabs>
          <w:tab w:val="clear" w:pos="357"/>
        </w:tabs>
        <w:rPr>
          <w:i w:val="0"/>
          <w:iCs w:val="0"/>
        </w:rPr>
      </w:pPr>
      <w:r w:rsidRPr="00D22563">
        <w:rPr>
          <w:i w:val="0"/>
          <w:iCs w:val="0"/>
        </w:rPr>
        <w:t xml:space="preserve">Estimated use of services, comparing the maximum charged days over a week in June 2021 with their maximum capacity (licensed places multiplied by days open). </w:t>
      </w:r>
    </w:p>
    <w:p w14:paraId="4248AEB5" w14:textId="011FB533" w:rsidR="006212DA" w:rsidRDefault="006212DA" w:rsidP="006212DA">
      <w:r w:rsidRPr="00FC30B1">
        <w:t>These indicators were</w:t>
      </w:r>
      <w:r>
        <w:t xml:space="preserve"> then</w:t>
      </w:r>
      <w:r w:rsidRPr="00FC30B1">
        <w:t xml:space="preserve"> equally weighted and combined to create a single measure of unmet demand by SA2.</w:t>
      </w:r>
      <w:r>
        <w:t xml:space="preserve"> This component is referred to as ‘unmet service demand’</w:t>
      </w:r>
      <w:r w:rsidR="007A0961">
        <w:t>.</w:t>
      </w:r>
    </w:p>
    <w:p w14:paraId="7963258D" w14:textId="77777777" w:rsidR="006212DA" w:rsidRPr="00FC30B1" w:rsidRDefault="006212DA" w:rsidP="006212DA">
      <w:pPr>
        <w:pStyle w:val="Heading4"/>
      </w:pPr>
      <w:r>
        <w:t>Rollout of Committed Policies</w:t>
      </w:r>
    </w:p>
    <w:p w14:paraId="6BA47D38" w14:textId="77777777" w:rsidR="006212DA" w:rsidRDefault="006212DA" w:rsidP="006212DA">
      <w:r>
        <w:t>The demand modelling also examines</w:t>
      </w:r>
      <w:r w:rsidRPr="00FC30B1">
        <w:t xml:space="preserve"> the potential changes in ECEC service demand and workforce demand </w:t>
      </w:r>
      <w:proofErr w:type="gramStart"/>
      <w:r w:rsidRPr="00FC30B1">
        <w:t>as a result of</w:t>
      </w:r>
      <w:proofErr w:type="gramEnd"/>
      <w:r w:rsidRPr="00FC30B1">
        <w:t xml:space="preserve"> Commonwealth</w:t>
      </w:r>
      <w:r>
        <w:t>,</w:t>
      </w:r>
      <w:r w:rsidRPr="00FC30B1">
        <w:t xml:space="preserve"> </w:t>
      </w:r>
      <w:r>
        <w:t>S</w:t>
      </w:r>
      <w:r w:rsidRPr="00FC30B1">
        <w:t xml:space="preserve">tate and </w:t>
      </w:r>
      <w:r>
        <w:t>T</w:t>
      </w:r>
      <w:r w:rsidRPr="00FC30B1">
        <w:t>erritory policy changes from 2023 onwards</w:t>
      </w:r>
      <w:r>
        <w:t xml:space="preserve"> is also presented</w:t>
      </w:r>
      <w:r w:rsidRPr="00FC30B1">
        <w:t>.</w:t>
      </w:r>
      <w:r>
        <w:t xml:space="preserve"> This includes:</w:t>
      </w:r>
    </w:p>
    <w:p w14:paraId="2064B5DF" w14:textId="77777777" w:rsidR="006212DA" w:rsidRDefault="006212DA" w:rsidP="00D22563">
      <w:pPr>
        <w:pStyle w:val="ListBullet"/>
      </w:pPr>
      <w:r>
        <w:t xml:space="preserve">Increasing CCS, which commenced in July 2023. Increases to the payment rate and expanded eligibility is expected to result in greater affordability and ECEC </w:t>
      </w:r>
      <w:proofErr w:type="gramStart"/>
      <w:r>
        <w:t>usage;</w:t>
      </w:r>
      <w:proofErr w:type="gramEnd"/>
    </w:p>
    <w:p w14:paraId="52A1EE79" w14:textId="77777777" w:rsidR="006212DA" w:rsidRDefault="006212DA" w:rsidP="00D22563">
      <w:pPr>
        <w:pStyle w:val="ListBullet"/>
      </w:pPr>
      <w:r>
        <w:t xml:space="preserve">Expanding preschool access to 30 hours for four-year-olds in Victoria and New South Wales, which is expected to affect ECEC usage in CBDCs and standalone preschools; and, </w:t>
      </w:r>
    </w:p>
    <w:p w14:paraId="29467638" w14:textId="77777777" w:rsidR="006212DA" w:rsidRDefault="006212DA" w:rsidP="00D22563">
      <w:pPr>
        <w:pStyle w:val="ListBullet"/>
      </w:pPr>
      <w:r>
        <w:lastRenderedPageBreak/>
        <w:t>Expanding preschool access for three-year-olds up to 15 hours per week in Victoria, New South Wales, South Australia and Australian Capital Territory.</w:t>
      </w:r>
    </w:p>
    <w:p w14:paraId="0F320927" w14:textId="77777777" w:rsidR="006212DA" w:rsidRPr="00FC30B1" w:rsidRDefault="006212DA" w:rsidP="006212DA">
      <w:r>
        <w:t>This component is referred to as ‘Committed Policies’ in the chapter.</w:t>
      </w:r>
    </w:p>
    <w:p w14:paraId="0D95E999" w14:textId="77777777" w:rsidR="006212DA" w:rsidRDefault="006212DA" w:rsidP="006212DA">
      <w:pPr>
        <w:pStyle w:val="Heading4"/>
      </w:pPr>
      <w:r>
        <w:t>Scaling up to Universal Access</w:t>
      </w:r>
    </w:p>
    <w:p w14:paraId="4B2F508C" w14:textId="77777777" w:rsidR="006212DA" w:rsidRDefault="006212DA" w:rsidP="006212DA">
      <w:r w:rsidRPr="00FC30B1">
        <w:t xml:space="preserve">A potential universal preschool and childcare scenario that considers the likely growth path of ECEC service and workforce demand </w:t>
      </w:r>
      <w:proofErr w:type="gramStart"/>
      <w:r w:rsidRPr="00FC30B1">
        <w:t>as a result of</w:t>
      </w:r>
      <w:proofErr w:type="gramEnd"/>
      <w:r w:rsidRPr="00FC30B1">
        <w:t xml:space="preserve"> a uniform uplift in preschool service provision</w:t>
      </w:r>
      <w:r>
        <w:t xml:space="preserve"> is also presented</w:t>
      </w:r>
      <w:r w:rsidRPr="00FC30B1">
        <w:t>.</w:t>
      </w:r>
      <w:r>
        <w:t xml:space="preserve"> More specifically:</w:t>
      </w:r>
    </w:p>
    <w:p w14:paraId="7131ED03" w14:textId="77777777" w:rsidR="006212DA" w:rsidRDefault="006212DA" w:rsidP="00D22563">
      <w:pPr>
        <w:pStyle w:val="ListBullet"/>
      </w:pPr>
      <w:r>
        <w:t>Ensure up to 30 hours per week of ECEC is available to all children</w:t>
      </w:r>
      <w:r>
        <w:rPr>
          <w:rStyle w:val="FootnoteReference"/>
        </w:rPr>
        <w:footnoteReference w:id="56"/>
      </w:r>
      <w:r>
        <w:t xml:space="preserve"> </w:t>
      </w:r>
    </w:p>
    <w:p w14:paraId="235E8A59" w14:textId="77777777" w:rsidR="006212DA" w:rsidRDefault="006212DA" w:rsidP="00D22563">
      <w:pPr>
        <w:pStyle w:val="ListBullet"/>
      </w:pPr>
      <w:r>
        <w:t>Expand access for 4-year-old preschool for the remaining jurisdictions (at 30 hours per week)</w:t>
      </w:r>
    </w:p>
    <w:p w14:paraId="7CEE2E5A" w14:textId="77777777" w:rsidR="006212DA" w:rsidRDefault="006212DA" w:rsidP="00D22563">
      <w:pPr>
        <w:pStyle w:val="ListBullet"/>
      </w:pPr>
      <w:r>
        <w:t>Expand access for 3-year-old preschool for remaining jurisdictions (at 15 hours per week)</w:t>
      </w:r>
    </w:p>
    <w:p w14:paraId="58753179" w14:textId="77777777" w:rsidR="006212DA" w:rsidRPr="00FC30B1" w:rsidRDefault="006212DA" w:rsidP="006212DA">
      <w:r>
        <w:t>This scenario is referred to as ‘Universal Access’ in the chapter.</w:t>
      </w:r>
    </w:p>
    <w:p w14:paraId="22F7D5B0" w14:textId="77777777" w:rsidR="006212DA" w:rsidRPr="006912C7" w:rsidRDefault="006212DA" w:rsidP="006212DA">
      <w:pPr>
        <w:pStyle w:val="Heading3"/>
      </w:pPr>
      <w:r>
        <w:t>Modelling W</w:t>
      </w:r>
      <w:r w:rsidRPr="006912C7">
        <w:t xml:space="preserve">orkforce </w:t>
      </w:r>
      <w:r>
        <w:t>S</w:t>
      </w:r>
      <w:r w:rsidRPr="006912C7">
        <w:t xml:space="preserve">upply </w:t>
      </w:r>
    </w:p>
    <w:p w14:paraId="18CD758A" w14:textId="77777777" w:rsidR="006212DA" w:rsidRPr="00FC30B1" w:rsidRDefault="006212DA" w:rsidP="006212DA">
      <w:r w:rsidRPr="00FC30B1">
        <w:t xml:space="preserve">Workforce supply was modelled using a stocks-and-flows approach. The starting stock of labour supply was estimated at a base year (2021), after which a series of inflows and outflows were </w:t>
      </w:r>
      <w:proofErr w:type="gramStart"/>
      <w:r w:rsidRPr="00FC30B1">
        <w:t>taken into account</w:t>
      </w:r>
      <w:proofErr w:type="gramEnd"/>
      <w:r w:rsidRPr="00FC30B1">
        <w:t xml:space="preserve"> for each year of the </w:t>
      </w:r>
      <w:r>
        <w:t>projection</w:t>
      </w:r>
      <w:r w:rsidRPr="00FC30B1">
        <w:t xml:space="preserve"> period. These flows included:</w:t>
      </w:r>
    </w:p>
    <w:p w14:paraId="1D22F63E" w14:textId="77777777" w:rsidR="006212DA" w:rsidRPr="00FC30B1" w:rsidRDefault="006212DA" w:rsidP="00D22563">
      <w:pPr>
        <w:pStyle w:val="ListBullet"/>
      </w:pPr>
      <w:r w:rsidRPr="00FC30B1">
        <w:t xml:space="preserve">Inflows to the ECEC workforce through new </w:t>
      </w:r>
      <w:r>
        <w:t xml:space="preserve">education and </w:t>
      </w:r>
      <w:r w:rsidRPr="00FC30B1">
        <w:t>training completions</w:t>
      </w:r>
    </w:p>
    <w:p w14:paraId="614D6A75" w14:textId="77777777" w:rsidR="006212DA" w:rsidRPr="00FC30B1" w:rsidRDefault="006212DA" w:rsidP="00D22563">
      <w:pPr>
        <w:pStyle w:val="ListBullet"/>
      </w:pPr>
      <w:r w:rsidRPr="00FC30B1">
        <w:t>Outflows from the ECEC workforce due to retirements</w:t>
      </w:r>
    </w:p>
    <w:p w14:paraId="71FA04B6" w14:textId="77777777" w:rsidR="006212DA" w:rsidRPr="00FC30B1" w:rsidRDefault="006212DA" w:rsidP="00D22563">
      <w:pPr>
        <w:pStyle w:val="ListBullet"/>
      </w:pPr>
      <w:r w:rsidRPr="00FC30B1">
        <w:t>Inflows and outflows due to international and interstate migration</w:t>
      </w:r>
    </w:p>
    <w:p w14:paraId="1F939DC6" w14:textId="77777777" w:rsidR="006212DA" w:rsidRPr="00D26A9A" w:rsidRDefault="006212DA" w:rsidP="00D22563">
      <w:pPr>
        <w:pStyle w:val="ListBullet"/>
        <w:rPr>
          <w:b/>
          <w:bCs/>
          <w:sz w:val="18"/>
          <w:szCs w:val="18"/>
        </w:rPr>
      </w:pPr>
      <w:r w:rsidRPr="00FC30B1">
        <w:t>Inflows and outflows from/to employment in non-ECEC occupations (and between ECEC occupations)</w:t>
      </w:r>
    </w:p>
    <w:p w14:paraId="7D187EE1" w14:textId="77777777" w:rsidR="006212DA" w:rsidRDefault="006212DA" w:rsidP="00D22563">
      <w:pPr>
        <w:pStyle w:val="ListBullet"/>
      </w:pPr>
      <w:r>
        <w:t xml:space="preserve">Movements into employment from unemployment or ‘not in the labour force’ (NILF) status, and vice-versa. </w:t>
      </w:r>
    </w:p>
    <w:p w14:paraId="2FC888A8" w14:textId="77777777" w:rsidR="006212DA" w:rsidRPr="003A35A7" w:rsidRDefault="006212DA" w:rsidP="006212DA">
      <w:r>
        <w:t xml:space="preserve">There are two components of the workforce supply estimates: A </w:t>
      </w:r>
      <w:r>
        <w:rPr>
          <w:i/>
          <w:iCs/>
        </w:rPr>
        <w:t>ready workforce supply</w:t>
      </w:r>
      <w:r>
        <w:t xml:space="preserve">, comprising existing ECEC workforce and recent VET and higher education graduates, and flows from within the workforce (referred to as Core Supply). The additional </w:t>
      </w:r>
      <w:r>
        <w:rPr>
          <w:i/>
          <w:iCs/>
        </w:rPr>
        <w:t>potential workforce supply</w:t>
      </w:r>
      <w:r>
        <w:t xml:space="preserve"> component, which includes those inflows and outflows </w:t>
      </w:r>
      <w:r w:rsidRPr="005C4F20">
        <w:t>from unemployment or ‘not in the labour force’ (NILF) status, and vice-versa</w:t>
      </w:r>
      <w:r>
        <w:t xml:space="preserve">. Inflows from this category may require training to meet NQF requirements. </w:t>
      </w:r>
    </w:p>
    <w:p w14:paraId="3B2F65E1" w14:textId="77777777" w:rsidR="006212DA" w:rsidRPr="00FC30B1" w:rsidRDefault="006212DA" w:rsidP="006212DA">
      <w:r>
        <w:t>The modelling of future workforce supply</w:t>
      </w:r>
      <w:r w:rsidRPr="00FC30B1">
        <w:t xml:space="preserve"> </w:t>
      </w:r>
      <w:r>
        <w:t xml:space="preserve">assumes </w:t>
      </w:r>
      <w:r w:rsidRPr="00FC30B1">
        <w:t>current trends and policy settings (up to and including 2022)</w:t>
      </w:r>
      <w:r>
        <w:t xml:space="preserve"> are maintained into the future</w:t>
      </w:r>
      <w:r w:rsidRPr="00FC30B1">
        <w:t>.</w:t>
      </w:r>
      <w:r>
        <w:t xml:space="preserve"> </w:t>
      </w:r>
    </w:p>
    <w:p w14:paraId="24644234" w14:textId="77777777" w:rsidR="006212DA" w:rsidRDefault="006212DA" w:rsidP="006212DA">
      <w:pPr>
        <w:pStyle w:val="Heading3"/>
      </w:pPr>
      <w:r w:rsidRPr="00061D71">
        <w:lastRenderedPageBreak/>
        <w:t xml:space="preserve">Limitations of the </w:t>
      </w:r>
      <w:r>
        <w:t>M</w:t>
      </w:r>
      <w:r w:rsidRPr="00061D71">
        <w:t>odelling</w:t>
      </w:r>
      <w:r>
        <w:t xml:space="preserve"> </w:t>
      </w:r>
    </w:p>
    <w:p w14:paraId="354C9A16" w14:textId="77777777" w:rsidR="006212DA" w:rsidRPr="007C7E23" w:rsidRDefault="006212DA" w:rsidP="006212DA">
      <w:r>
        <w:t xml:space="preserve">This section details the limitations of the modelling and methodological constraints. </w:t>
      </w:r>
    </w:p>
    <w:p w14:paraId="56C0059F" w14:textId="77777777" w:rsidR="006212DA" w:rsidRPr="002C5CB6" w:rsidRDefault="006212DA" w:rsidP="006212DA">
      <w:r>
        <w:t>M</w:t>
      </w:r>
      <w:r w:rsidRPr="002C5CB6">
        <w:t xml:space="preserve">easuring the ECEC workforce is challenging due to different </w:t>
      </w:r>
      <w:r>
        <w:t xml:space="preserve">workforce </w:t>
      </w:r>
      <w:r w:rsidRPr="002C5CB6">
        <w:t>data sources having different methodologies</w:t>
      </w:r>
      <w:r>
        <w:t>, scope and reference periods</w:t>
      </w:r>
      <w:r w:rsidRPr="002C5CB6" w:rsidDel="00E054D6">
        <w:t>.</w:t>
      </w:r>
      <w:r w:rsidRPr="002C5CB6">
        <w:t xml:space="preserve"> </w:t>
      </w:r>
      <w:r>
        <w:t>Modelling assumptions and decisions about inclusions and exclusions</w:t>
      </w:r>
      <w:r w:rsidDel="00E054D6">
        <w:t xml:space="preserve"> </w:t>
      </w:r>
      <w:r>
        <w:t>can cause more complications.</w:t>
      </w:r>
      <w:r w:rsidDel="00F961CF">
        <w:t xml:space="preserve"> </w:t>
      </w:r>
      <w:r w:rsidRPr="002C5CB6">
        <w:t>A result of this is that comparing projected ECEC supply</w:t>
      </w:r>
      <w:r w:rsidRPr="002C5CB6" w:rsidDel="00E054D6">
        <w:t xml:space="preserve"> </w:t>
      </w:r>
      <w:r w:rsidRPr="002C5CB6">
        <w:t xml:space="preserve">(which is </w:t>
      </w:r>
      <w:r>
        <w:t xml:space="preserve">based off </w:t>
      </w:r>
      <w:r w:rsidRPr="002C5CB6">
        <w:t xml:space="preserve">the ABS Census) with projected demand (which is informed by service distribution and regulation requirements) is intrinsically difficult. </w:t>
      </w:r>
    </w:p>
    <w:p w14:paraId="1FA4977B" w14:textId="77777777" w:rsidR="006212DA" w:rsidRPr="00DC3D4A" w:rsidRDefault="006212DA" w:rsidP="006212DA">
      <w:r w:rsidRPr="00DC3D4A">
        <w:t xml:space="preserve">As already noted, the modelling primarily uses the ABS Census as the main source of data. While employment totals for the four ECEC occupations modelled at the </w:t>
      </w:r>
      <w:proofErr w:type="gramStart"/>
      <w:r w:rsidRPr="00DC3D4A">
        <w:t>4 digit</w:t>
      </w:r>
      <w:proofErr w:type="gramEnd"/>
      <w:r w:rsidRPr="00DC3D4A">
        <w:t xml:space="preserve"> ANZS</w:t>
      </w:r>
      <w:r>
        <w:t>C</w:t>
      </w:r>
      <w:r w:rsidRPr="00DC3D4A">
        <w:t>O level broadly align with ABS Labour Force Survey for the same reference period (August 2021), there are some differences at the individual occupation level. Further, this exercise has modelled the portion of these occupations working in the ECEC sector, as informed by detailed ANZSIC sectors. This modelling has relied on the figures available from ABS Census, to inform a detailed starting estimate for the ECEC workforce. This limits the extent of direct comparability to alternative sources (that may not include this layer of granularity). </w:t>
      </w:r>
    </w:p>
    <w:p w14:paraId="085400AF" w14:textId="77777777" w:rsidR="006212DA" w:rsidRDefault="006212DA" w:rsidP="006212DA">
      <w:r>
        <w:t>Deloitte Access Economics also undertook illustrative modelling to identify SA2s where unmet CBDC service demand was most likely to be occurring. It should be noted that these modelled estimates only serve as a broad indication of what unmet demand is currently or likely to be in the future. There is likely to be unmet demand in other sectors including FDC which has not been captured due to the lack of appropriate data (despite intense efforts during the Study) and subsequent modelling challenges.</w:t>
      </w:r>
    </w:p>
    <w:p w14:paraId="19AAF97E" w14:textId="77777777" w:rsidR="006212DA" w:rsidRDefault="006212DA" w:rsidP="006212DA">
      <w:pPr>
        <w:spacing w:after="100" w:line="264" w:lineRule="auto"/>
      </w:pPr>
      <w:r>
        <w:t>Also, average weekly participation rates and average hours from June</w:t>
      </w:r>
      <w:r>
        <w:rPr>
          <w:rStyle w:val="FootnoteReference"/>
        </w:rPr>
        <w:footnoteReference w:id="57"/>
      </w:r>
      <w:r>
        <w:t xml:space="preserve"> were utilised for ECEC services (excluding preschool). There are likely to be variations in demand across the year, and during peak periods, worker demand could be higher than what has been estimated. As mentioned in the previous section, estimated use of services, compares the average charged days over a week in June with their maximum capacity. </w:t>
      </w:r>
    </w:p>
    <w:p w14:paraId="4F3207ED" w14:textId="77777777" w:rsidR="006212DA" w:rsidRPr="000E25AA" w:rsidRDefault="006212DA" w:rsidP="006212DA">
      <w:pPr>
        <w:rPr>
          <w:color w:val="auto"/>
        </w:rPr>
      </w:pPr>
      <w:r w:rsidRPr="000E25AA">
        <w:rPr>
          <w:color w:val="auto"/>
        </w:rPr>
        <w:t>The modelling also doesn’t account for the number of service providers in the sector operating within a given region. For example, growth in the sector might have to come from increases in the number of service providers, as existing service providers are likely to be fully occupied and cannot readily increase capacity. This could lead to a change in the mix of service types, and therefore staffing arrangements, going forward.</w:t>
      </w:r>
    </w:p>
    <w:p w14:paraId="4D66EEEE" w14:textId="77777777" w:rsidR="006212DA" w:rsidRDefault="006212DA" w:rsidP="006212DA">
      <w:r w:rsidRPr="00CE7EF3">
        <w:t>It must also be noted that the calculation of ratios and other analyses are performed at the ‘market level’. This doesn’t consider the heterogeneity across individual services and across services of different characteristics (e.g. quality, provider management type).</w:t>
      </w:r>
    </w:p>
    <w:p w14:paraId="00E90684" w14:textId="77777777" w:rsidR="006212DA" w:rsidRPr="00740CD4" w:rsidRDefault="006212DA" w:rsidP="006212DA">
      <w:r w:rsidRPr="00740CD4">
        <w:t xml:space="preserve">Projections for the Committed Policies Scenario are illustrative only. Indeed, in some jurisdictions there is no current, stated policy position or proposal. The specific policy proposals (in terms of rollout schedule, provision across different policy settings) will affect the workforce demand projections. Where policy commitments are not in place, reliable estimates will only be able to be generated once proposals of sufficient detail have been developed. </w:t>
      </w:r>
    </w:p>
    <w:p w14:paraId="06ABB891" w14:textId="77777777" w:rsidR="006212DA" w:rsidRPr="003F7B12" w:rsidRDefault="006212DA" w:rsidP="006212DA">
      <w:r>
        <w:t xml:space="preserve"> </w:t>
      </w:r>
    </w:p>
    <w:p w14:paraId="04D45884" w14:textId="77777777" w:rsidR="006212DA" w:rsidRDefault="006212DA" w:rsidP="006212DA">
      <w:r>
        <w:lastRenderedPageBreak/>
        <w:t xml:space="preserve">Further, the Universal Access Scenario, which includes modelling of up to 30 hours per week of ECEC for all children, was based on the PC’s recommendation in the </w:t>
      </w:r>
      <w:r w:rsidRPr="008C753E">
        <w:rPr>
          <w:i/>
          <w:iCs/>
        </w:rPr>
        <w:t>Path to Universal Early Childhood Education and Care</w:t>
      </w:r>
      <w:r>
        <w:t xml:space="preserve"> draft report. In the event the PC updates its modelling methodology for its final report, the results presented in this report will not be comparable.</w:t>
      </w:r>
    </w:p>
    <w:p w14:paraId="615463A8" w14:textId="77777777" w:rsidR="006212DA" w:rsidRDefault="006212DA" w:rsidP="006212DA">
      <w:r>
        <w:t>The modelling results also rely on detailed data from the 2021 ECEC National Workforce Census and the ABS Census 2021 which are dated. Data used to inform certain elements of the supply modelling also rely on observations between points in time, either using the 2016 to 2021 ABS Australian Census Longitudinal Dataset (ACLD) or the 2016-17 to 2020-21 Data on Occupation Mobility (DOM). These data sources, however, are the most detailed ‘up to date’ data available on the ECEC workforce.</w:t>
      </w:r>
    </w:p>
    <w:p w14:paraId="7D7FFFDA" w14:textId="77777777" w:rsidR="006212DA" w:rsidRDefault="006212DA" w:rsidP="006212DA">
      <w:r>
        <w:t>Where possible, the supply modelling has drawn on historical data at the most detailed occupation, industry, and regional level. However, in some instances, limited observations or suppression of small counts required the modelling to draw on a higher level of definition (e.g., retirement rates are based on 4-digit ANZSCO unit groups because 6-digit ANZSCO occupation data was unavailable).</w:t>
      </w:r>
    </w:p>
    <w:p w14:paraId="32875238" w14:textId="77777777" w:rsidR="006212DA" w:rsidRDefault="006212DA" w:rsidP="006212DA">
      <w:r>
        <w:t>The data used to inform some supply flows creates a possibility of double-counting</w:t>
      </w:r>
      <w:proofErr w:type="gramStart"/>
      <w:r>
        <w:t>, in particular, between</w:t>
      </w:r>
      <w:proofErr w:type="gramEnd"/>
      <w:r>
        <w:t xml:space="preserve"> training completions and movements between occupations where, for example, a person both changes occupation and obtains a higher qualification. Data from the 2021 ABS Census, National Centre for Vocational Education Research (NCVER), and Department of Education Higher Education Statistics have been used to avoid double-counting by estimating the ‘additionality’ of new training completions to the workforce. </w:t>
      </w:r>
    </w:p>
    <w:p w14:paraId="0C6A0A49" w14:textId="77777777" w:rsidR="006212DA" w:rsidRDefault="006212DA" w:rsidP="006212DA">
      <w:r>
        <w:t xml:space="preserve">While </w:t>
      </w:r>
      <w:r w:rsidRPr="00743285">
        <w:t xml:space="preserve">ABS Census </w:t>
      </w:r>
      <w:r>
        <w:t xml:space="preserve">provides educational attainment, </w:t>
      </w:r>
      <w:r w:rsidRPr="00743285">
        <w:t xml:space="preserve">other aspects of ECEC workforce supply </w:t>
      </w:r>
      <w:r>
        <w:t xml:space="preserve">such as </w:t>
      </w:r>
      <w:r w:rsidRPr="00743285">
        <w:t>occupational movements</w:t>
      </w:r>
      <w:r>
        <w:t xml:space="preserve"> and</w:t>
      </w:r>
      <w:r w:rsidRPr="00743285">
        <w:t xml:space="preserve"> migration limit the extent to which </w:t>
      </w:r>
      <w:r>
        <w:t xml:space="preserve">disaggregation can occur </w:t>
      </w:r>
      <w:r w:rsidRPr="00743285">
        <w:t xml:space="preserve">at this level of detail. </w:t>
      </w:r>
      <w:r>
        <w:t xml:space="preserve">The </w:t>
      </w:r>
      <w:r w:rsidRPr="00743285">
        <w:t xml:space="preserve">ECEC workforce supply </w:t>
      </w:r>
      <w:r>
        <w:t xml:space="preserve">is </w:t>
      </w:r>
      <w:r w:rsidRPr="00743285">
        <w:t>therefore not modelled with a qualification breakdown</w:t>
      </w:r>
      <w:r>
        <w:t>, despite the significant distinction in requirements and remuneration for early childhood educators with a Certificate III qualification and those with a Diploma qualification. Proposed ANZSCO changes will help to address this in future data collection and analysis.</w:t>
      </w:r>
    </w:p>
    <w:p w14:paraId="5B194120" w14:textId="77777777" w:rsidR="006212DA" w:rsidRPr="00D4776F" w:rsidRDefault="006212DA" w:rsidP="006212DA">
      <w:pPr>
        <w:rPr>
          <w:color w:val="auto"/>
        </w:rPr>
      </w:pPr>
      <w:r w:rsidRPr="00D4776F">
        <w:t>Finally, as discussed in Chapter 2, for-profit providers have driven the strong growth recorded in CBDC and OSHC services in recent years. It should be noted that the characteristics of for-profit services ha</w:t>
      </w:r>
      <w:r>
        <w:t>ve</w:t>
      </w:r>
      <w:r w:rsidRPr="00D4776F">
        <w:t xml:space="preserve"> changed over time particularly </w:t>
      </w:r>
      <w:proofErr w:type="gramStart"/>
      <w:r w:rsidRPr="00D4776F">
        <w:t>with regard to</w:t>
      </w:r>
      <w:proofErr w:type="gramEnd"/>
      <w:r w:rsidRPr="00D4776F">
        <w:t xml:space="preserve"> workforce composition, prices and q</w:t>
      </w:r>
      <w:r w:rsidRPr="00D4776F">
        <w:rPr>
          <w:color w:val="auto"/>
        </w:rPr>
        <w:t>uality of service. The modelling projections presented in this chapter do not capture these dynamics.</w:t>
      </w:r>
    </w:p>
    <w:p w14:paraId="72E441B6" w14:textId="77777777" w:rsidR="006212DA" w:rsidRPr="00864DDC" w:rsidRDefault="006212DA" w:rsidP="00442C59">
      <w:pPr>
        <w:pStyle w:val="Finding"/>
        <w:numPr>
          <w:ilvl w:val="0"/>
          <w:numId w:val="0"/>
        </w:numPr>
        <w:rPr>
          <w:rFonts w:eastAsia="Arial" w:cs="Arial"/>
        </w:rPr>
      </w:pPr>
      <w:r w:rsidRPr="00864DDC">
        <w:rPr>
          <w:rFonts w:eastAsia="Arial" w:cs="Arial"/>
        </w:rPr>
        <w:t>Finding -</w:t>
      </w:r>
      <w:r w:rsidRPr="00864DDC">
        <w:rPr>
          <w:rFonts w:eastAsia="Arial" w:cs="Arial"/>
          <w:b w:val="0"/>
          <w:bCs w:val="0"/>
        </w:rPr>
        <w:t xml:space="preserve"> Data gaps and inconsistencies constrain effective workforce planning. This includes difficulty capturing the extent of unmet service demand, inconsistencies in scope and estimates between the National Workforce Census (NWC) and Australian Bureau of Statistics Labour Force Survey and other collections, and insufficient data on the First Nations ECEC workforce.</w:t>
      </w:r>
    </w:p>
    <w:p w14:paraId="39B9E232" w14:textId="77777777" w:rsidR="006212DA" w:rsidRDefault="006212DA" w:rsidP="006212DA">
      <w:pPr>
        <w:rPr>
          <w:rFonts w:eastAsiaTheme="majorEastAsia" w:cstheme="majorBidi"/>
          <w:b/>
          <w:sz w:val="56"/>
          <w:szCs w:val="26"/>
        </w:rPr>
      </w:pPr>
      <w:r>
        <w:br w:type="page"/>
      </w:r>
    </w:p>
    <w:p w14:paraId="2B277467" w14:textId="77777777" w:rsidR="006212DA" w:rsidRPr="001F36D6" w:rsidRDefault="006212DA" w:rsidP="006212DA">
      <w:pPr>
        <w:pStyle w:val="Heading2"/>
      </w:pPr>
      <w:bookmarkStart w:id="158" w:name="_Toc174363715"/>
      <w:r>
        <w:lastRenderedPageBreak/>
        <w:t>Future Demand</w:t>
      </w:r>
      <w:bookmarkEnd w:id="158"/>
      <w:r>
        <w:t xml:space="preserve"> </w:t>
      </w:r>
    </w:p>
    <w:p w14:paraId="23A95DE6" w14:textId="77777777" w:rsidR="006212DA" w:rsidRPr="004B68C1" w:rsidRDefault="006212DA" w:rsidP="006212DA">
      <w:r>
        <w:t xml:space="preserve">Future demand for Early Childhood Education and Care was estimated by looking at service demand and workforce demand, this section presents projections on both elements. </w:t>
      </w:r>
    </w:p>
    <w:p w14:paraId="33840929" w14:textId="77777777" w:rsidR="006212DA" w:rsidRDefault="006212DA" w:rsidP="006212DA">
      <w:pPr>
        <w:pStyle w:val="Heading3"/>
      </w:pPr>
      <w:proofErr w:type="gramStart"/>
      <w:r>
        <w:t>Future Outlook</w:t>
      </w:r>
      <w:proofErr w:type="gramEnd"/>
      <w:r>
        <w:t xml:space="preserve"> for Service Demand </w:t>
      </w:r>
    </w:p>
    <w:p w14:paraId="6B60441B" w14:textId="77777777" w:rsidR="006212DA" w:rsidRDefault="006212DA" w:rsidP="006212DA">
      <w:r>
        <w:t>As outlined above, estimates for future workforce demand under committed policy settings have been developed in four stages:</w:t>
      </w:r>
    </w:p>
    <w:p w14:paraId="6721B452" w14:textId="77777777" w:rsidR="006212DA" w:rsidRDefault="006212DA" w:rsidP="00D22563">
      <w:pPr>
        <w:pStyle w:val="ListBullet"/>
      </w:pPr>
      <w:r>
        <w:t xml:space="preserve">current levels of serviced demand for ECEC services, growing in line with Treasury forecasts for female labour force participation and Deloitte Access Economics population growth and </w:t>
      </w:r>
    </w:p>
    <w:p w14:paraId="130F9904" w14:textId="77777777" w:rsidR="006212DA" w:rsidRDefault="006212DA" w:rsidP="00D22563">
      <w:pPr>
        <w:pStyle w:val="ListBullet"/>
      </w:pPr>
      <w:proofErr w:type="gramStart"/>
      <w:r>
        <w:t>taking into account</w:t>
      </w:r>
      <w:proofErr w:type="gramEnd"/>
      <w:r>
        <w:t xml:space="preserve"> the current extent of understaffing in the sector</w:t>
      </w:r>
    </w:p>
    <w:p w14:paraId="586DDF28" w14:textId="77777777" w:rsidR="006212DA" w:rsidRDefault="006212DA" w:rsidP="00D22563">
      <w:pPr>
        <w:pStyle w:val="ListBullet"/>
      </w:pPr>
      <w:r>
        <w:t>existing levels of unmet demand (to the extent this could be reliably measured)</w:t>
      </w:r>
    </w:p>
    <w:p w14:paraId="0A16DDEC" w14:textId="77777777" w:rsidR="006212DA" w:rsidRDefault="006212DA" w:rsidP="00D22563">
      <w:pPr>
        <w:pStyle w:val="ListBullet"/>
      </w:pPr>
      <w:r>
        <w:t xml:space="preserve">the expansion in services and workforce that will be required to continue the rollout of committed policies, such as preschool for </w:t>
      </w:r>
      <w:proofErr w:type="gramStart"/>
      <w:r>
        <w:t>3 year olds</w:t>
      </w:r>
      <w:proofErr w:type="gramEnd"/>
      <w:r>
        <w:t>.</w:t>
      </w:r>
    </w:p>
    <w:p w14:paraId="2A4C58CA" w14:textId="77777777" w:rsidR="006212DA" w:rsidRPr="00D1534A" w:rsidRDefault="006212DA" w:rsidP="006212DA">
      <w:r>
        <w:t>Taking into consideration population projections (</w:t>
      </w:r>
      <w:r w:rsidRPr="00D00743">
        <w:t>1.3%</w:t>
      </w:r>
      <w:r>
        <w:t xml:space="preserve"> per year over the next 10 years) and increased female labour force participation</w:t>
      </w:r>
      <w:r>
        <w:rPr>
          <w:rStyle w:val="FootnoteReference"/>
        </w:rPr>
        <w:footnoteReference w:id="58"/>
      </w:r>
      <w:r>
        <w:t>, and the impact of committed policies, more than</w:t>
      </w:r>
      <w:r w:rsidRPr="00C54A24">
        <w:t xml:space="preserve"> 1.6 million enrolments in the ECEC sector</w:t>
      </w:r>
      <w:r>
        <w:t xml:space="preserve"> are projected by 2034</w:t>
      </w:r>
      <w:r w:rsidRPr="00C54A24">
        <w:t xml:space="preserve">, </w:t>
      </w:r>
      <w:r>
        <w:t xml:space="preserve">representing an </w:t>
      </w:r>
      <w:r w:rsidRPr="00C54A24">
        <w:t>average growth</w:t>
      </w:r>
      <w:r>
        <w:t xml:space="preserve"> rate of </w:t>
      </w:r>
      <w:r w:rsidRPr="00C54A24">
        <w:t>1.</w:t>
      </w:r>
      <w:r>
        <w:t xml:space="preserve">2% </w:t>
      </w:r>
      <w:r w:rsidRPr="00C54A24">
        <w:t>per year</w:t>
      </w:r>
      <w:r>
        <w:t xml:space="preserve"> (Committed Policies Scenario). Consistent with the emphasis on expanding preschool access, the age profile of children and recent service type usage trends, the largest average annual growth rate is expected to be in standalone preschools and preschool delivered within CBDC settings. Smaller growth is expected for the other service types (details shown in Table 4.1). </w:t>
      </w:r>
    </w:p>
    <w:p w14:paraId="4DF6FDBF" w14:textId="77777777" w:rsidR="006212DA" w:rsidRPr="00D1534A" w:rsidRDefault="006212DA" w:rsidP="006212DA">
      <w:pPr>
        <w:pStyle w:val="Caption"/>
        <w:rPr>
          <w:b w:val="0"/>
          <w:bCs w:val="0"/>
          <w:i/>
          <w:iCs/>
        </w:rPr>
      </w:pPr>
      <w:r w:rsidRPr="00D1534A">
        <w:t>Table 4</w:t>
      </w:r>
      <w:r>
        <w:t>.1</w:t>
      </w:r>
      <w:r w:rsidRPr="00D1534A">
        <w:t xml:space="preserve"> Number of children (enrolments) and growth rate by s</w:t>
      </w:r>
      <w:r>
        <w:t>ervice type</w:t>
      </w:r>
      <w:r w:rsidRPr="00D1534A">
        <w:t xml:space="preserve"> (</w:t>
      </w:r>
      <w:r>
        <w:t>2024-</w:t>
      </w:r>
      <w:r w:rsidRPr="00D1534A">
        <w:t>2034), Committed Policies</w:t>
      </w:r>
      <w:r>
        <w:t xml:space="preserve"> Scenario</w:t>
      </w:r>
    </w:p>
    <w:tbl>
      <w:tblPr>
        <w:tblStyle w:val="JSATable1"/>
        <w:tblW w:w="7230" w:type="dxa"/>
        <w:tblLook w:val="04A0" w:firstRow="1" w:lastRow="0" w:firstColumn="1" w:lastColumn="0" w:noHBand="0" w:noVBand="1"/>
      </w:tblPr>
      <w:tblGrid>
        <w:gridCol w:w="2410"/>
        <w:gridCol w:w="1492"/>
        <w:gridCol w:w="3328"/>
      </w:tblGrid>
      <w:tr w:rsidR="006212DA" w:rsidRPr="00C54A24" w14:paraId="3F6829C6" w14:textId="77777777" w:rsidTr="005F6ADC">
        <w:trPr>
          <w:cnfStyle w:val="100000000000" w:firstRow="1" w:lastRow="0" w:firstColumn="0" w:lastColumn="0" w:oddVBand="0" w:evenVBand="0" w:oddHBand="0" w:evenHBand="0" w:firstRowFirstColumn="0" w:firstRowLastColumn="0" w:lastRowFirstColumn="0" w:lastRowLastColumn="0"/>
          <w:trHeight w:val="300"/>
        </w:trPr>
        <w:tc>
          <w:tcPr>
            <w:tcW w:w="2410" w:type="dxa"/>
            <w:noWrap/>
            <w:hideMark/>
          </w:tcPr>
          <w:p w14:paraId="1771635A" w14:textId="77777777" w:rsidR="006212DA" w:rsidRPr="00666B34" w:rsidRDefault="006212DA" w:rsidP="005F6ADC">
            <w:pPr>
              <w:rPr>
                <w:rFonts w:eastAsia="Times New Roman" w:cs="Arial"/>
                <w:b/>
                <w:color w:val="FFFFFF" w:themeColor="background1"/>
                <w:sz w:val="20"/>
                <w:szCs w:val="20"/>
                <w:lang w:eastAsia="en-AU"/>
              </w:rPr>
            </w:pPr>
            <w:r w:rsidRPr="00666B34">
              <w:rPr>
                <w:rFonts w:eastAsia="Times New Roman" w:cs="Arial"/>
                <w:b/>
                <w:color w:val="FFFFFF" w:themeColor="background1"/>
                <w:sz w:val="20"/>
                <w:szCs w:val="20"/>
                <w:lang w:eastAsia="en-AU"/>
              </w:rPr>
              <w:t xml:space="preserve">Service type </w:t>
            </w:r>
          </w:p>
        </w:tc>
        <w:tc>
          <w:tcPr>
            <w:tcW w:w="1492" w:type="dxa"/>
            <w:noWrap/>
            <w:hideMark/>
          </w:tcPr>
          <w:p w14:paraId="73FD3ACD" w14:textId="77777777" w:rsidR="006212DA" w:rsidRPr="00666B34" w:rsidRDefault="006212DA" w:rsidP="005F6ADC">
            <w:pPr>
              <w:jc w:val="center"/>
              <w:rPr>
                <w:rFonts w:eastAsia="Times New Roman" w:cs="Arial"/>
                <w:b/>
                <w:color w:val="FFFFFF" w:themeColor="background1"/>
                <w:sz w:val="20"/>
                <w:szCs w:val="20"/>
                <w:lang w:eastAsia="en-AU"/>
              </w:rPr>
            </w:pPr>
            <w:r w:rsidRPr="00666B34">
              <w:rPr>
                <w:rFonts w:eastAsia="Times New Roman" w:cs="Arial"/>
                <w:b/>
                <w:color w:val="FFFFFF" w:themeColor="background1"/>
                <w:sz w:val="20"/>
                <w:szCs w:val="20"/>
                <w:lang w:eastAsia="en-AU"/>
              </w:rPr>
              <w:t>2034</w:t>
            </w:r>
          </w:p>
        </w:tc>
        <w:tc>
          <w:tcPr>
            <w:tcW w:w="3328" w:type="dxa"/>
            <w:noWrap/>
            <w:hideMark/>
          </w:tcPr>
          <w:p w14:paraId="54C5B2C6" w14:textId="77777777" w:rsidR="006212DA" w:rsidRPr="00666B34" w:rsidRDefault="006212DA" w:rsidP="005F6ADC">
            <w:pPr>
              <w:jc w:val="center"/>
              <w:rPr>
                <w:rFonts w:eastAsia="Times New Roman" w:cs="Arial"/>
                <w:b/>
                <w:color w:val="FFFFFF" w:themeColor="background1"/>
                <w:sz w:val="20"/>
                <w:szCs w:val="20"/>
                <w:lang w:eastAsia="en-AU"/>
              </w:rPr>
            </w:pPr>
            <w:r>
              <w:rPr>
                <w:rFonts w:eastAsia="Times New Roman" w:cs="Arial"/>
                <w:b/>
                <w:color w:val="FFFFFF" w:themeColor="background1"/>
                <w:sz w:val="20"/>
                <w:szCs w:val="20"/>
                <w:lang w:eastAsia="en-AU"/>
              </w:rPr>
              <w:t>CAGR</w:t>
            </w:r>
            <w:r>
              <w:rPr>
                <w:rStyle w:val="FootnoteReference"/>
                <w:rFonts w:eastAsia="Times New Roman" w:cs="Arial"/>
                <w:b/>
                <w:color w:val="FFFFFF" w:themeColor="background1"/>
                <w:sz w:val="20"/>
                <w:szCs w:val="20"/>
                <w:lang w:eastAsia="en-AU"/>
              </w:rPr>
              <w:footnoteReference w:id="59"/>
            </w:r>
            <w:r>
              <w:rPr>
                <w:rFonts w:eastAsia="Times New Roman" w:cs="Arial"/>
                <w:b/>
                <w:color w:val="FFFFFF" w:themeColor="background1"/>
                <w:sz w:val="20"/>
                <w:szCs w:val="20"/>
                <w:lang w:eastAsia="en-AU"/>
              </w:rPr>
              <w:t xml:space="preserve"> </w:t>
            </w:r>
            <w:r w:rsidRPr="00666B34">
              <w:rPr>
                <w:rFonts w:eastAsia="Times New Roman" w:cs="Arial"/>
                <w:b/>
                <w:color w:val="FFFFFF" w:themeColor="background1"/>
                <w:sz w:val="20"/>
                <w:szCs w:val="20"/>
                <w:lang w:eastAsia="en-AU"/>
              </w:rPr>
              <w:t>(%)</w:t>
            </w:r>
          </w:p>
        </w:tc>
      </w:tr>
      <w:tr w:rsidR="006212DA" w:rsidRPr="00C54A24" w14:paraId="10784403" w14:textId="77777777" w:rsidTr="005F6ADC">
        <w:trPr>
          <w:trHeight w:val="300"/>
        </w:trPr>
        <w:tc>
          <w:tcPr>
            <w:tcW w:w="2410" w:type="dxa"/>
            <w:noWrap/>
            <w:hideMark/>
          </w:tcPr>
          <w:p w14:paraId="1A177496" w14:textId="77777777" w:rsidR="006212DA" w:rsidRPr="00666B34" w:rsidRDefault="006212DA" w:rsidP="005F6ADC">
            <w:pPr>
              <w:rPr>
                <w:rFonts w:eastAsia="Times New Roman" w:cs="Arial"/>
                <w:color w:val="000000"/>
                <w:sz w:val="18"/>
                <w:szCs w:val="18"/>
                <w:lang w:eastAsia="en-AU"/>
              </w:rPr>
            </w:pPr>
            <w:r w:rsidRPr="00666B34">
              <w:rPr>
                <w:rFonts w:eastAsia="Times New Roman" w:cs="Arial"/>
                <w:color w:val="000000"/>
                <w:sz w:val="18"/>
                <w:szCs w:val="18"/>
                <w:lang w:eastAsia="en-AU"/>
              </w:rPr>
              <w:t>Preschool</w:t>
            </w:r>
          </w:p>
        </w:tc>
        <w:tc>
          <w:tcPr>
            <w:tcW w:w="1492" w:type="dxa"/>
            <w:noWrap/>
            <w:hideMark/>
          </w:tcPr>
          <w:p w14:paraId="10E0684D" w14:textId="77777777" w:rsidR="006212DA" w:rsidRPr="00666B34" w:rsidRDefault="006212DA" w:rsidP="005F6ADC">
            <w:pPr>
              <w:jc w:val="center"/>
              <w:rPr>
                <w:rFonts w:eastAsia="Times New Roman" w:cs="Arial"/>
                <w:color w:val="000000"/>
                <w:sz w:val="18"/>
                <w:szCs w:val="18"/>
                <w:lang w:eastAsia="en-AU"/>
              </w:rPr>
            </w:pPr>
            <w:r w:rsidRPr="00666B34">
              <w:rPr>
                <w:rFonts w:cs="Arial"/>
                <w:color w:val="000000"/>
                <w:sz w:val="18"/>
                <w:szCs w:val="18"/>
              </w:rPr>
              <w:t>304,000</w:t>
            </w:r>
          </w:p>
        </w:tc>
        <w:tc>
          <w:tcPr>
            <w:tcW w:w="3328" w:type="dxa"/>
            <w:noWrap/>
            <w:hideMark/>
          </w:tcPr>
          <w:p w14:paraId="0C0E023B" w14:textId="77777777" w:rsidR="006212DA" w:rsidRPr="00666B34" w:rsidRDefault="006212DA" w:rsidP="005F6ADC">
            <w:pPr>
              <w:jc w:val="center"/>
              <w:rPr>
                <w:rFonts w:eastAsia="Times New Roman" w:cs="Arial"/>
                <w:color w:val="000000"/>
                <w:sz w:val="18"/>
                <w:szCs w:val="18"/>
                <w:lang w:eastAsia="en-AU"/>
              </w:rPr>
            </w:pPr>
            <w:r w:rsidRPr="00666B34">
              <w:rPr>
                <w:rFonts w:cs="Arial"/>
                <w:color w:val="000000"/>
                <w:sz w:val="18"/>
                <w:szCs w:val="18"/>
              </w:rPr>
              <w:t>1.4%</w:t>
            </w:r>
          </w:p>
        </w:tc>
      </w:tr>
      <w:tr w:rsidR="006212DA" w:rsidRPr="00C54A24" w14:paraId="1057175E" w14:textId="77777777" w:rsidTr="005F6ADC">
        <w:trPr>
          <w:cnfStyle w:val="000000010000" w:firstRow="0" w:lastRow="0" w:firstColumn="0" w:lastColumn="0" w:oddVBand="0" w:evenVBand="0" w:oddHBand="0" w:evenHBand="1" w:firstRowFirstColumn="0" w:firstRowLastColumn="0" w:lastRowFirstColumn="0" w:lastRowLastColumn="0"/>
          <w:trHeight w:val="300"/>
        </w:trPr>
        <w:tc>
          <w:tcPr>
            <w:tcW w:w="2410" w:type="dxa"/>
            <w:noWrap/>
            <w:hideMark/>
          </w:tcPr>
          <w:p w14:paraId="70D5F1DE" w14:textId="77777777" w:rsidR="006212DA" w:rsidRPr="00666B34" w:rsidRDefault="006212DA" w:rsidP="005F6ADC">
            <w:pPr>
              <w:rPr>
                <w:rFonts w:eastAsia="Times New Roman" w:cs="Arial"/>
                <w:color w:val="000000"/>
                <w:sz w:val="18"/>
                <w:szCs w:val="18"/>
                <w:lang w:eastAsia="en-AU"/>
              </w:rPr>
            </w:pPr>
            <w:r w:rsidRPr="00666B34">
              <w:rPr>
                <w:rFonts w:eastAsia="Times New Roman" w:cs="Arial"/>
                <w:color w:val="000000"/>
                <w:sz w:val="18"/>
                <w:szCs w:val="18"/>
                <w:lang w:eastAsia="en-AU"/>
              </w:rPr>
              <w:t>CBDC (preschool)</w:t>
            </w:r>
          </w:p>
        </w:tc>
        <w:tc>
          <w:tcPr>
            <w:tcW w:w="1492" w:type="dxa"/>
            <w:noWrap/>
            <w:hideMark/>
          </w:tcPr>
          <w:p w14:paraId="5AACB620" w14:textId="77777777" w:rsidR="006212DA" w:rsidRPr="00666B34" w:rsidRDefault="006212DA" w:rsidP="005F6ADC">
            <w:pPr>
              <w:jc w:val="center"/>
              <w:rPr>
                <w:rFonts w:eastAsia="Times New Roman" w:cs="Arial"/>
                <w:color w:val="000000"/>
                <w:sz w:val="18"/>
                <w:szCs w:val="18"/>
                <w:lang w:eastAsia="en-AU"/>
              </w:rPr>
            </w:pPr>
            <w:r w:rsidRPr="00666B34">
              <w:rPr>
                <w:rFonts w:cs="Arial"/>
                <w:color w:val="000000"/>
                <w:sz w:val="18"/>
                <w:szCs w:val="18"/>
              </w:rPr>
              <w:t>300,000</w:t>
            </w:r>
          </w:p>
        </w:tc>
        <w:tc>
          <w:tcPr>
            <w:tcW w:w="3328" w:type="dxa"/>
            <w:noWrap/>
            <w:hideMark/>
          </w:tcPr>
          <w:p w14:paraId="2ED3D9CB" w14:textId="77777777" w:rsidR="006212DA" w:rsidRPr="00666B34" w:rsidRDefault="006212DA" w:rsidP="005F6ADC">
            <w:pPr>
              <w:jc w:val="center"/>
              <w:rPr>
                <w:rFonts w:eastAsia="Times New Roman" w:cs="Arial"/>
                <w:color w:val="000000"/>
                <w:sz w:val="18"/>
                <w:szCs w:val="18"/>
                <w:lang w:eastAsia="en-AU"/>
              </w:rPr>
            </w:pPr>
            <w:r w:rsidRPr="00666B34">
              <w:rPr>
                <w:rFonts w:cs="Arial"/>
                <w:color w:val="000000"/>
                <w:sz w:val="18"/>
                <w:szCs w:val="18"/>
              </w:rPr>
              <w:t>1.7%</w:t>
            </w:r>
          </w:p>
        </w:tc>
      </w:tr>
      <w:tr w:rsidR="006212DA" w:rsidRPr="00C54A24" w14:paraId="13E4F009" w14:textId="77777777" w:rsidTr="005F6ADC">
        <w:trPr>
          <w:trHeight w:val="300"/>
        </w:trPr>
        <w:tc>
          <w:tcPr>
            <w:tcW w:w="2410" w:type="dxa"/>
            <w:noWrap/>
            <w:hideMark/>
          </w:tcPr>
          <w:p w14:paraId="782823B9" w14:textId="77777777" w:rsidR="006212DA" w:rsidRPr="00666B34" w:rsidRDefault="006212DA" w:rsidP="005F6ADC">
            <w:pPr>
              <w:rPr>
                <w:rFonts w:eastAsia="Times New Roman" w:cs="Arial"/>
                <w:color w:val="000000"/>
                <w:sz w:val="18"/>
                <w:szCs w:val="18"/>
                <w:lang w:eastAsia="en-AU"/>
              </w:rPr>
            </w:pPr>
            <w:r w:rsidRPr="00666B34">
              <w:rPr>
                <w:rFonts w:eastAsia="Times New Roman" w:cs="Arial"/>
                <w:color w:val="000000"/>
                <w:sz w:val="18"/>
                <w:szCs w:val="18"/>
                <w:lang w:eastAsia="en-AU"/>
              </w:rPr>
              <w:t>CBDC (non-preschool)</w:t>
            </w:r>
          </w:p>
        </w:tc>
        <w:tc>
          <w:tcPr>
            <w:tcW w:w="1492" w:type="dxa"/>
            <w:noWrap/>
            <w:hideMark/>
          </w:tcPr>
          <w:p w14:paraId="36EF615A" w14:textId="77777777" w:rsidR="006212DA" w:rsidRPr="00666B34" w:rsidRDefault="006212DA" w:rsidP="005F6ADC">
            <w:pPr>
              <w:jc w:val="center"/>
              <w:rPr>
                <w:rFonts w:eastAsia="Times New Roman" w:cs="Arial"/>
                <w:color w:val="000000"/>
                <w:sz w:val="18"/>
                <w:szCs w:val="18"/>
                <w:lang w:eastAsia="en-AU"/>
              </w:rPr>
            </w:pPr>
            <w:r w:rsidRPr="00666B34">
              <w:rPr>
                <w:rFonts w:cs="Arial"/>
                <w:color w:val="000000"/>
                <w:sz w:val="18"/>
                <w:szCs w:val="18"/>
              </w:rPr>
              <w:t>543,000</w:t>
            </w:r>
          </w:p>
        </w:tc>
        <w:tc>
          <w:tcPr>
            <w:tcW w:w="3328" w:type="dxa"/>
            <w:noWrap/>
            <w:hideMark/>
          </w:tcPr>
          <w:p w14:paraId="187677F7" w14:textId="77777777" w:rsidR="006212DA" w:rsidRPr="00666B34" w:rsidRDefault="006212DA" w:rsidP="005F6ADC">
            <w:pPr>
              <w:jc w:val="center"/>
              <w:rPr>
                <w:rFonts w:eastAsia="Times New Roman" w:cs="Arial"/>
                <w:color w:val="000000"/>
                <w:sz w:val="18"/>
                <w:szCs w:val="18"/>
                <w:lang w:eastAsia="en-AU"/>
              </w:rPr>
            </w:pPr>
            <w:r w:rsidRPr="00666B34">
              <w:rPr>
                <w:rFonts w:cs="Arial"/>
                <w:color w:val="000000"/>
                <w:sz w:val="18"/>
                <w:szCs w:val="18"/>
              </w:rPr>
              <w:t>1.2%</w:t>
            </w:r>
          </w:p>
        </w:tc>
      </w:tr>
      <w:tr w:rsidR="006212DA" w:rsidRPr="00C54A24" w14:paraId="1498F945" w14:textId="77777777" w:rsidTr="005F6ADC">
        <w:trPr>
          <w:cnfStyle w:val="000000010000" w:firstRow="0" w:lastRow="0" w:firstColumn="0" w:lastColumn="0" w:oddVBand="0" w:evenVBand="0" w:oddHBand="0" w:evenHBand="1" w:firstRowFirstColumn="0" w:firstRowLastColumn="0" w:lastRowFirstColumn="0" w:lastRowLastColumn="0"/>
          <w:trHeight w:val="300"/>
        </w:trPr>
        <w:tc>
          <w:tcPr>
            <w:tcW w:w="2410" w:type="dxa"/>
            <w:noWrap/>
            <w:hideMark/>
          </w:tcPr>
          <w:p w14:paraId="50D950AD" w14:textId="77777777" w:rsidR="006212DA" w:rsidRPr="00666B34" w:rsidRDefault="006212DA" w:rsidP="005F6ADC">
            <w:pPr>
              <w:rPr>
                <w:rFonts w:eastAsia="Times New Roman" w:cs="Arial"/>
                <w:color w:val="000000"/>
                <w:sz w:val="18"/>
                <w:szCs w:val="18"/>
                <w:lang w:eastAsia="en-AU"/>
              </w:rPr>
            </w:pPr>
            <w:r w:rsidRPr="00666B34">
              <w:rPr>
                <w:rFonts w:eastAsia="Times New Roman" w:cs="Arial"/>
                <w:color w:val="000000"/>
                <w:sz w:val="18"/>
                <w:szCs w:val="18"/>
                <w:lang w:eastAsia="en-AU"/>
              </w:rPr>
              <w:t>FDC</w:t>
            </w:r>
          </w:p>
        </w:tc>
        <w:tc>
          <w:tcPr>
            <w:tcW w:w="1492" w:type="dxa"/>
            <w:noWrap/>
            <w:hideMark/>
          </w:tcPr>
          <w:p w14:paraId="3BF8DAA9" w14:textId="77777777" w:rsidR="006212DA" w:rsidRPr="00666B34" w:rsidRDefault="006212DA" w:rsidP="005F6ADC">
            <w:pPr>
              <w:jc w:val="center"/>
              <w:rPr>
                <w:rFonts w:eastAsia="Times New Roman" w:cs="Arial"/>
                <w:color w:val="000000"/>
                <w:sz w:val="18"/>
                <w:szCs w:val="18"/>
                <w:lang w:eastAsia="en-AU"/>
              </w:rPr>
            </w:pPr>
            <w:r w:rsidRPr="00666B34">
              <w:rPr>
                <w:rFonts w:cs="Arial"/>
                <w:color w:val="000000"/>
                <w:sz w:val="18"/>
                <w:szCs w:val="18"/>
              </w:rPr>
              <w:t>76,000</w:t>
            </w:r>
          </w:p>
        </w:tc>
        <w:tc>
          <w:tcPr>
            <w:tcW w:w="3328" w:type="dxa"/>
            <w:noWrap/>
            <w:hideMark/>
          </w:tcPr>
          <w:p w14:paraId="54E948C1" w14:textId="77777777" w:rsidR="006212DA" w:rsidRPr="00666B34" w:rsidRDefault="006212DA" w:rsidP="005F6ADC">
            <w:pPr>
              <w:jc w:val="center"/>
              <w:rPr>
                <w:rFonts w:eastAsia="Times New Roman" w:cs="Arial"/>
                <w:color w:val="000000"/>
                <w:sz w:val="18"/>
                <w:szCs w:val="18"/>
                <w:lang w:eastAsia="en-AU"/>
              </w:rPr>
            </w:pPr>
            <w:r w:rsidRPr="00666B34">
              <w:rPr>
                <w:rFonts w:cs="Arial"/>
                <w:color w:val="000000"/>
                <w:sz w:val="18"/>
                <w:szCs w:val="18"/>
              </w:rPr>
              <w:t>1.1%</w:t>
            </w:r>
          </w:p>
        </w:tc>
      </w:tr>
      <w:tr w:rsidR="006212DA" w:rsidRPr="00C54A24" w14:paraId="7A4AC79E" w14:textId="77777777" w:rsidTr="005F6ADC">
        <w:trPr>
          <w:trHeight w:val="300"/>
        </w:trPr>
        <w:tc>
          <w:tcPr>
            <w:tcW w:w="2410" w:type="dxa"/>
            <w:noWrap/>
            <w:hideMark/>
          </w:tcPr>
          <w:p w14:paraId="4B9F87C9" w14:textId="77777777" w:rsidR="006212DA" w:rsidRPr="00666B34" w:rsidRDefault="006212DA" w:rsidP="005F6ADC">
            <w:pPr>
              <w:rPr>
                <w:rFonts w:eastAsia="Times New Roman" w:cs="Arial"/>
                <w:color w:val="000000"/>
                <w:sz w:val="18"/>
                <w:szCs w:val="18"/>
                <w:lang w:eastAsia="en-AU"/>
              </w:rPr>
            </w:pPr>
            <w:r w:rsidRPr="00666B34">
              <w:rPr>
                <w:rFonts w:eastAsia="Times New Roman" w:cs="Arial"/>
                <w:color w:val="000000"/>
                <w:sz w:val="18"/>
                <w:szCs w:val="18"/>
                <w:lang w:eastAsia="en-AU"/>
              </w:rPr>
              <w:t>IHC</w:t>
            </w:r>
          </w:p>
        </w:tc>
        <w:tc>
          <w:tcPr>
            <w:tcW w:w="1492" w:type="dxa"/>
            <w:noWrap/>
            <w:hideMark/>
          </w:tcPr>
          <w:p w14:paraId="4228FAF1" w14:textId="77777777" w:rsidR="006212DA" w:rsidRPr="00666B34" w:rsidRDefault="006212DA" w:rsidP="005F6ADC">
            <w:pPr>
              <w:jc w:val="center"/>
              <w:rPr>
                <w:rFonts w:eastAsia="Times New Roman" w:cs="Arial"/>
                <w:color w:val="000000"/>
                <w:sz w:val="18"/>
                <w:szCs w:val="18"/>
                <w:lang w:eastAsia="en-AU"/>
              </w:rPr>
            </w:pPr>
            <w:r w:rsidRPr="00666B34">
              <w:rPr>
                <w:rFonts w:cs="Arial"/>
                <w:color w:val="000000"/>
                <w:sz w:val="18"/>
                <w:szCs w:val="18"/>
              </w:rPr>
              <w:t>2,000</w:t>
            </w:r>
          </w:p>
        </w:tc>
        <w:tc>
          <w:tcPr>
            <w:tcW w:w="3328" w:type="dxa"/>
            <w:noWrap/>
            <w:hideMark/>
          </w:tcPr>
          <w:p w14:paraId="392FCFFC" w14:textId="77777777" w:rsidR="006212DA" w:rsidRPr="00666B34" w:rsidRDefault="006212DA" w:rsidP="005F6ADC">
            <w:pPr>
              <w:jc w:val="center"/>
              <w:rPr>
                <w:rFonts w:eastAsia="Times New Roman" w:cs="Arial"/>
                <w:color w:val="000000"/>
                <w:sz w:val="18"/>
                <w:szCs w:val="18"/>
                <w:lang w:eastAsia="en-AU"/>
              </w:rPr>
            </w:pPr>
            <w:r w:rsidRPr="00666B34">
              <w:rPr>
                <w:rFonts w:cs="Arial"/>
                <w:color w:val="000000"/>
                <w:sz w:val="18"/>
                <w:szCs w:val="18"/>
              </w:rPr>
              <w:t>0.9%</w:t>
            </w:r>
          </w:p>
        </w:tc>
      </w:tr>
      <w:tr w:rsidR="006212DA" w:rsidRPr="00C54A24" w14:paraId="7DE4403D" w14:textId="77777777" w:rsidTr="005F6ADC">
        <w:trPr>
          <w:cnfStyle w:val="000000010000" w:firstRow="0" w:lastRow="0" w:firstColumn="0" w:lastColumn="0" w:oddVBand="0" w:evenVBand="0" w:oddHBand="0" w:evenHBand="1" w:firstRowFirstColumn="0" w:firstRowLastColumn="0" w:lastRowFirstColumn="0" w:lastRowLastColumn="0"/>
          <w:trHeight w:val="300"/>
        </w:trPr>
        <w:tc>
          <w:tcPr>
            <w:tcW w:w="2410" w:type="dxa"/>
            <w:noWrap/>
            <w:hideMark/>
          </w:tcPr>
          <w:p w14:paraId="21D8E6C5" w14:textId="77777777" w:rsidR="006212DA" w:rsidRPr="00666B34" w:rsidRDefault="006212DA" w:rsidP="005F6ADC">
            <w:pPr>
              <w:rPr>
                <w:rFonts w:eastAsia="Times New Roman" w:cs="Arial"/>
                <w:color w:val="000000"/>
                <w:sz w:val="18"/>
                <w:szCs w:val="18"/>
                <w:lang w:eastAsia="en-AU"/>
              </w:rPr>
            </w:pPr>
            <w:r w:rsidRPr="00666B34">
              <w:rPr>
                <w:rFonts w:eastAsia="Times New Roman" w:cs="Arial"/>
                <w:color w:val="000000"/>
                <w:sz w:val="18"/>
                <w:szCs w:val="18"/>
                <w:lang w:eastAsia="en-AU"/>
              </w:rPr>
              <w:t>OSHC</w:t>
            </w:r>
          </w:p>
        </w:tc>
        <w:tc>
          <w:tcPr>
            <w:tcW w:w="1492" w:type="dxa"/>
            <w:noWrap/>
            <w:hideMark/>
          </w:tcPr>
          <w:p w14:paraId="1919DC79" w14:textId="77777777" w:rsidR="006212DA" w:rsidRPr="00666B34" w:rsidRDefault="006212DA" w:rsidP="005F6ADC">
            <w:pPr>
              <w:jc w:val="center"/>
              <w:rPr>
                <w:rFonts w:eastAsia="Times New Roman" w:cs="Arial"/>
                <w:color w:val="000000"/>
                <w:sz w:val="18"/>
                <w:szCs w:val="18"/>
                <w:lang w:eastAsia="en-AU"/>
              </w:rPr>
            </w:pPr>
            <w:r w:rsidRPr="00666B34">
              <w:rPr>
                <w:rFonts w:cs="Arial"/>
                <w:color w:val="000000"/>
                <w:sz w:val="18"/>
                <w:szCs w:val="18"/>
              </w:rPr>
              <w:t>411,000</w:t>
            </w:r>
          </w:p>
        </w:tc>
        <w:tc>
          <w:tcPr>
            <w:tcW w:w="3328" w:type="dxa"/>
            <w:noWrap/>
            <w:hideMark/>
          </w:tcPr>
          <w:p w14:paraId="102BDDAF" w14:textId="77777777" w:rsidR="006212DA" w:rsidRPr="00666B34" w:rsidRDefault="006212DA" w:rsidP="005F6ADC">
            <w:pPr>
              <w:jc w:val="center"/>
              <w:rPr>
                <w:rFonts w:eastAsia="Times New Roman" w:cs="Arial"/>
                <w:color w:val="000000"/>
                <w:sz w:val="18"/>
                <w:szCs w:val="18"/>
                <w:lang w:eastAsia="en-AU"/>
              </w:rPr>
            </w:pPr>
            <w:r w:rsidRPr="00666B34">
              <w:rPr>
                <w:rFonts w:cs="Arial"/>
                <w:color w:val="000000"/>
                <w:sz w:val="18"/>
                <w:szCs w:val="18"/>
              </w:rPr>
              <w:t>0.7%</w:t>
            </w:r>
          </w:p>
        </w:tc>
      </w:tr>
      <w:tr w:rsidR="006212DA" w:rsidRPr="00C54A24" w14:paraId="1B82E847" w14:textId="77777777" w:rsidTr="005F6ADC">
        <w:trPr>
          <w:trHeight w:val="300"/>
        </w:trPr>
        <w:tc>
          <w:tcPr>
            <w:tcW w:w="2410" w:type="dxa"/>
            <w:noWrap/>
            <w:hideMark/>
          </w:tcPr>
          <w:p w14:paraId="388150CF" w14:textId="77777777" w:rsidR="006212DA" w:rsidRPr="00666B34" w:rsidRDefault="006212DA" w:rsidP="005F6ADC">
            <w:pPr>
              <w:rPr>
                <w:rFonts w:eastAsia="Times New Roman" w:cs="Arial"/>
                <w:b/>
                <w:bCs/>
                <w:color w:val="000000"/>
                <w:sz w:val="18"/>
                <w:szCs w:val="18"/>
                <w:lang w:eastAsia="en-AU"/>
              </w:rPr>
            </w:pPr>
            <w:r w:rsidRPr="00666B34">
              <w:rPr>
                <w:rFonts w:eastAsia="Times New Roman" w:cs="Arial"/>
                <w:b/>
                <w:bCs/>
                <w:color w:val="000000"/>
                <w:sz w:val="18"/>
                <w:szCs w:val="18"/>
                <w:lang w:eastAsia="en-AU"/>
              </w:rPr>
              <w:t>Total</w:t>
            </w:r>
          </w:p>
        </w:tc>
        <w:tc>
          <w:tcPr>
            <w:tcW w:w="1492" w:type="dxa"/>
            <w:noWrap/>
            <w:hideMark/>
          </w:tcPr>
          <w:p w14:paraId="5405D75C" w14:textId="77777777" w:rsidR="006212DA" w:rsidRPr="00666B34" w:rsidRDefault="006212DA" w:rsidP="005F6ADC">
            <w:pPr>
              <w:jc w:val="center"/>
              <w:rPr>
                <w:rFonts w:eastAsia="Times New Roman" w:cs="Arial"/>
                <w:b/>
                <w:bCs/>
                <w:color w:val="000000"/>
                <w:sz w:val="18"/>
                <w:szCs w:val="18"/>
                <w:lang w:eastAsia="en-AU"/>
              </w:rPr>
            </w:pPr>
            <w:r w:rsidRPr="00666B34">
              <w:rPr>
                <w:rFonts w:cs="Arial"/>
                <w:b/>
                <w:bCs/>
                <w:color w:val="000000"/>
                <w:sz w:val="18"/>
                <w:szCs w:val="18"/>
              </w:rPr>
              <w:t>1,636,000</w:t>
            </w:r>
          </w:p>
        </w:tc>
        <w:tc>
          <w:tcPr>
            <w:tcW w:w="3328" w:type="dxa"/>
            <w:noWrap/>
            <w:hideMark/>
          </w:tcPr>
          <w:p w14:paraId="7F23CD2B" w14:textId="77777777" w:rsidR="006212DA" w:rsidRPr="00666B34" w:rsidRDefault="006212DA" w:rsidP="005F6ADC">
            <w:pPr>
              <w:jc w:val="center"/>
              <w:rPr>
                <w:rFonts w:eastAsia="Times New Roman" w:cs="Arial"/>
                <w:b/>
                <w:bCs/>
                <w:color w:val="000000"/>
                <w:sz w:val="18"/>
                <w:szCs w:val="18"/>
                <w:lang w:eastAsia="en-AU"/>
              </w:rPr>
            </w:pPr>
            <w:r w:rsidRPr="00666B34">
              <w:rPr>
                <w:rFonts w:cs="Arial"/>
                <w:b/>
                <w:bCs/>
                <w:color w:val="000000"/>
                <w:sz w:val="18"/>
                <w:szCs w:val="18"/>
              </w:rPr>
              <w:t>1.2%</w:t>
            </w:r>
          </w:p>
        </w:tc>
      </w:tr>
    </w:tbl>
    <w:p w14:paraId="0815B6CD" w14:textId="77777777" w:rsidR="006212DA" w:rsidRPr="008D6447" w:rsidRDefault="006212DA" w:rsidP="00D22563">
      <w:pPr>
        <w:pStyle w:val="Source"/>
      </w:pPr>
      <w:r>
        <w:t>S</w:t>
      </w:r>
      <w:r w:rsidRPr="008D6447">
        <w:t xml:space="preserve">ource: </w:t>
      </w:r>
      <w:r>
        <w:t>Commissioned Deloitte Access Economics</w:t>
      </w:r>
      <w:r w:rsidRPr="008D6447">
        <w:t xml:space="preserve"> modelling</w:t>
      </w:r>
      <w:r>
        <w:t xml:space="preserve"> for JSA ECEC Capacity Study</w:t>
      </w:r>
    </w:p>
    <w:p w14:paraId="44128321" w14:textId="77777777" w:rsidR="006212DA" w:rsidRDefault="006212DA" w:rsidP="006212DA">
      <w:pPr>
        <w:pStyle w:val="Heading3"/>
      </w:pPr>
      <w:r>
        <w:lastRenderedPageBreak/>
        <w:t xml:space="preserve">Workforce Demand </w:t>
      </w:r>
    </w:p>
    <w:p w14:paraId="153D6CB9" w14:textId="77777777" w:rsidR="006212DA" w:rsidRDefault="006212DA" w:rsidP="006212DA">
      <w:r>
        <w:t>When these projected increases in service demand are mapped to workforce levels, it is expected to have the following impacts:</w:t>
      </w:r>
    </w:p>
    <w:p w14:paraId="70809F9D" w14:textId="77777777" w:rsidR="006212DA" w:rsidRDefault="006212DA" w:rsidP="006212DA">
      <w:r>
        <w:t xml:space="preserve">To meet expected increases in population and changes in the female labour force participation rate, the total ECEC workforce will need to grow by 1.5% on average each year for the next 10 years. While all occupations will need to grow, faster growth is required among </w:t>
      </w:r>
      <w:r w:rsidRPr="00E62FEE">
        <w:rPr>
          <w:i/>
          <w:iCs/>
        </w:rPr>
        <w:t>Child Carers.</w:t>
      </w:r>
    </w:p>
    <w:p w14:paraId="117842E6" w14:textId="77777777" w:rsidR="006212DA" w:rsidRPr="000D4CAD" w:rsidRDefault="006212DA" w:rsidP="00442C59">
      <w:pPr>
        <w:pStyle w:val="Finding"/>
        <w:numPr>
          <w:ilvl w:val="0"/>
          <w:numId w:val="0"/>
        </w:numPr>
        <w:rPr>
          <w:b w:val="0"/>
        </w:rPr>
      </w:pPr>
      <w:r w:rsidRPr="007A58BC">
        <w:t>Finding -</w:t>
      </w:r>
      <w:r>
        <w:t xml:space="preserve"> </w:t>
      </w:r>
      <w:r>
        <w:rPr>
          <w:b w:val="0"/>
          <w:bCs w:val="0"/>
        </w:rPr>
        <w:t>To meet projected</w:t>
      </w:r>
      <w:r>
        <w:rPr>
          <w:b w:val="0"/>
        </w:rPr>
        <w:t xml:space="preserve"> national population growth increases (1.3 per cent per year) and increased female participation in the workforce, the ECEC workforce will need to grow </w:t>
      </w:r>
      <w:r w:rsidRPr="000D4CAD">
        <w:rPr>
          <w:b w:val="0"/>
        </w:rPr>
        <w:t xml:space="preserve">by around 1.5 per cent per year by 2034 to service the increase in demand. </w:t>
      </w:r>
    </w:p>
    <w:p w14:paraId="4DAB2495" w14:textId="77777777" w:rsidR="006212DA" w:rsidRPr="000D4CAD" w:rsidRDefault="006212DA" w:rsidP="006212DA">
      <w:r w:rsidRPr="000D4CAD">
        <w:t xml:space="preserve">The modelling captures unmet workforce demand </w:t>
      </w:r>
      <w:proofErr w:type="gramStart"/>
      <w:r w:rsidRPr="000D4CAD">
        <w:t>through the use of</w:t>
      </w:r>
      <w:proofErr w:type="gramEnd"/>
      <w:r w:rsidRPr="000D4CAD">
        <w:t xml:space="preserve"> staffing related waivers and exemptions by services, and where additional staff would be required to support sustainable working conditions for the existing workforce. </w:t>
      </w:r>
    </w:p>
    <w:p w14:paraId="39A7365B" w14:textId="77777777" w:rsidR="006212DA" w:rsidRPr="000D4CAD" w:rsidRDefault="006212DA" w:rsidP="006212DA">
      <w:r w:rsidRPr="000D4CAD">
        <w:t xml:space="preserve">ACECQA data suggests that in 2023, 0.9% of CBDCs and 2.1% of OSHCs had an active staffing waiver related to ratio, and NWC data finds that services with ratio waivers have contact staff to child ratios that are on average lower by 12% and 2% lower for CBDCs and OSHCs respectively. </w:t>
      </w:r>
    </w:p>
    <w:p w14:paraId="5EDD0CCF" w14:textId="77777777" w:rsidR="006212DA" w:rsidRDefault="006212DA" w:rsidP="006212DA">
      <w:r w:rsidRPr="000D4CAD">
        <w:t xml:space="preserve">Analysis of ABS Census data suggests that full-time ECEC staff are working 8% more than the nominal </w:t>
      </w:r>
      <w:proofErr w:type="gramStart"/>
      <w:r w:rsidRPr="000D4CAD">
        <w:t>full time</w:t>
      </w:r>
      <w:proofErr w:type="gramEnd"/>
      <w:r w:rsidRPr="000D4CAD">
        <w:t xml:space="preserve"> workload (38 hours). Assuming these trends hold across all ECEC staff, this means that the workforce would need to be larger by 8% to ensure workers do not work </w:t>
      </w:r>
      <w:proofErr w:type="gramStart"/>
      <w:r w:rsidRPr="000D4CAD">
        <w:t>overtime, and</w:t>
      </w:r>
      <w:proofErr w:type="gramEnd"/>
      <w:r w:rsidRPr="000D4CAD">
        <w:t xml:space="preserve"> have two days a year set aside for professional development. </w:t>
      </w:r>
    </w:p>
    <w:p w14:paraId="6141538A" w14:textId="77777777" w:rsidR="006212DA" w:rsidRDefault="006212DA" w:rsidP="006212DA">
      <w:r w:rsidRPr="002C49C2">
        <w:t xml:space="preserve">Engagement with the Study steering group and stakeholders participating in roundtable discussions confirmed understaffing </w:t>
      </w:r>
      <w:r>
        <w:t>led to widespread inability to participate in the minimum two days per year allocated for ongoing professional development.</w:t>
      </w:r>
      <w:r w:rsidRPr="002C49C2">
        <w:t xml:space="preserve">  </w:t>
      </w:r>
    </w:p>
    <w:p w14:paraId="222EB604" w14:textId="77777777" w:rsidR="006212DA" w:rsidRDefault="006212DA" w:rsidP="006212DA">
      <w:r w:rsidRPr="00F46997">
        <w:t xml:space="preserve">The number of additional workers required to address understaffing and meet current levels of unmet demand was calculated based on minimum ratio requirements as well as the need to </w:t>
      </w:r>
      <w:proofErr w:type="gramStart"/>
      <w:r w:rsidRPr="00F46997">
        <w:t>take into account</w:t>
      </w:r>
      <w:proofErr w:type="gramEnd"/>
      <w:r w:rsidRPr="00F46997">
        <w:t xml:space="preserve"> provision for sick leave and annual leave for permanent and fixed term employees. Taken together, this amounts to an 8 per cent understaffing level in the sector, applied uniformly across occupational categories.</w:t>
      </w:r>
      <w:r>
        <w:t xml:space="preserve"> </w:t>
      </w:r>
    </w:p>
    <w:p w14:paraId="75098BF8" w14:textId="77777777" w:rsidR="006212DA" w:rsidRPr="007A58BC" w:rsidRDefault="006212DA" w:rsidP="00442C59">
      <w:pPr>
        <w:pStyle w:val="Finding"/>
        <w:numPr>
          <w:ilvl w:val="0"/>
          <w:numId w:val="0"/>
        </w:numPr>
      </w:pPr>
      <w:r>
        <w:t xml:space="preserve">Finding - </w:t>
      </w:r>
      <w:r w:rsidRPr="00864DDC">
        <w:rPr>
          <w:rFonts w:eastAsia="Arial" w:cs="Arial"/>
          <w:b w:val="0"/>
          <w:bCs w:val="0"/>
        </w:rPr>
        <w:t>The current ECEC workforce would likely need to grow by an extra 8 per cent to satisfy current estimated unmet demand for early childhood services and another 8 per cent to meet unmet demand for qualified workers</w:t>
      </w:r>
      <w:r w:rsidRPr="00864DDC">
        <w:rPr>
          <w:rFonts w:eastAsia="Arial" w:cs="Arial"/>
          <w:b w:val="0"/>
          <w:bCs w:val="0"/>
          <w:i/>
          <w:iCs/>
        </w:rPr>
        <w:t xml:space="preserve">. </w:t>
      </w:r>
      <w:r w:rsidRPr="444B5D1C">
        <w:rPr>
          <w:b w:val="0"/>
          <w:bCs w:val="0"/>
        </w:rPr>
        <w:t xml:space="preserve"> </w:t>
      </w:r>
    </w:p>
    <w:p w14:paraId="0A4BA51B" w14:textId="77777777" w:rsidR="006212DA" w:rsidRDefault="006212DA" w:rsidP="006212DA">
      <w:r>
        <w:t>These estimates reflect only those settings that existed in 2021, when the baseline workforce data was collected. To take account of policy changes that have occurred since then, and which governments have committed to implementing over the next ten years, will require additional workforce. This includes the 2023 changes to the CCS, intended to result in greater ECEC usage by addressing affordability. It also includes state and territory government commitments to expand preschool access, in various stages of implementation:</w:t>
      </w:r>
    </w:p>
    <w:p w14:paraId="1309A19A" w14:textId="77777777" w:rsidR="006212DA" w:rsidRDefault="006212DA" w:rsidP="00D22563">
      <w:pPr>
        <w:pStyle w:val="ListBullet"/>
      </w:pPr>
      <w:r>
        <w:t xml:space="preserve">Expanding preschool access to 30 hours for four-year-olds in Victoria and New South Wales, which is expected to affect ECEC usage in CBDCs and standalone preschools; and, </w:t>
      </w:r>
    </w:p>
    <w:p w14:paraId="73894B89" w14:textId="77777777" w:rsidR="006212DA" w:rsidRDefault="006212DA" w:rsidP="00D22563">
      <w:pPr>
        <w:pStyle w:val="ListBullet"/>
      </w:pPr>
      <w:r>
        <w:t>Expanding preschool access for three-year-olds up to 15 hours per week in Victoria, New South Wales, South Australia and Australian Capital Territory.</w:t>
      </w:r>
    </w:p>
    <w:p w14:paraId="7523C89E" w14:textId="77777777" w:rsidR="006212DA" w:rsidRDefault="006212DA" w:rsidP="006212DA">
      <w:r>
        <w:lastRenderedPageBreak/>
        <w:t>Considering these policy commitments and factoring in unmet service demand, the modelling estimates current workforce demand to be around 260,000 staff (headcount)</w:t>
      </w:r>
      <w:r>
        <w:rPr>
          <w:rStyle w:val="FootnoteReference"/>
        </w:rPr>
        <w:footnoteReference w:id="60"/>
      </w:r>
      <w:r>
        <w:t xml:space="preserve">. These changes together are expected to increase demand for ECEC staff by an average of 1.9 per cent per </w:t>
      </w:r>
      <w:r w:rsidRPr="00B2733D">
        <w:rPr>
          <w:color w:val="auto"/>
        </w:rPr>
        <w:t xml:space="preserve">year </w:t>
      </w:r>
      <w:r w:rsidRPr="00B2733D">
        <w:rPr>
          <w:rFonts w:eastAsia="Arial" w:cs="Arial"/>
          <w:color w:val="auto"/>
        </w:rPr>
        <w:t>(over the ten years to 2034 or 54,000 extra staff for the forecast period)</w:t>
      </w:r>
      <w:r w:rsidRPr="00B2733D">
        <w:rPr>
          <w:color w:val="auto"/>
        </w:rPr>
        <w:t xml:space="preserve">. </w:t>
      </w:r>
      <w:r>
        <w:t xml:space="preserve">Predictably given the emphasis on expanding preschool access, the required growth in demand for </w:t>
      </w:r>
      <w:r w:rsidRPr="00E93A1A">
        <w:rPr>
          <w:i/>
          <w:iCs/>
        </w:rPr>
        <w:t xml:space="preserve">Early Childhood Teachers </w:t>
      </w:r>
      <w:r>
        <w:t>is even higher – 3.2 per cent per year on average, or at least an additional 14,000 teachers within ten years.</w:t>
      </w:r>
    </w:p>
    <w:p w14:paraId="78D44D5B" w14:textId="77777777" w:rsidR="006212DA" w:rsidRDefault="006212DA" w:rsidP="006212DA">
      <w:pPr>
        <w:rPr>
          <w:rFonts w:eastAsia="Arial" w:cs="Arial"/>
          <w:color w:val="4B0885"/>
        </w:rPr>
      </w:pPr>
      <w:r w:rsidRPr="7E3DB421">
        <w:rPr>
          <w:b/>
          <w:bCs/>
          <w:color w:val="441170" w:themeColor="text2"/>
        </w:rPr>
        <w:t>Finding -</w:t>
      </w:r>
      <w:r w:rsidRPr="00864DDC">
        <w:rPr>
          <w:color w:val="441170" w:themeColor="text2"/>
        </w:rPr>
        <w:t xml:space="preserve"> </w:t>
      </w:r>
      <w:proofErr w:type="gramStart"/>
      <w:r w:rsidRPr="00864DDC">
        <w:rPr>
          <w:rFonts w:eastAsia="Arial" w:cs="Arial"/>
          <w:color w:val="4B0885"/>
        </w:rPr>
        <w:t>In order to</w:t>
      </w:r>
      <w:proofErr w:type="gramEnd"/>
      <w:r w:rsidRPr="00864DDC">
        <w:rPr>
          <w:rFonts w:eastAsia="Arial" w:cs="Arial"/>
          <w:color w:val="4B0885"/>
        </w:rPr>
        <w:t xml:space="preserve"> meet the various policies already committed to by Commonwealth, State and Territory governments, the ECEC workforce will likely need to increase by an annual average growth rate of 1.9 per cent per y</w:t>
      </w:r>
      <w:r w:rsidRPr="00864DDC">
        <w:rPr>
          <w:rFonts w:eastAsia="Arial" w:cs="Arial"/>
          <w:color w:val="441170" w:themeColor="text2"/>
        </w:rPr>
        <w:t xml:space="preserve">ear overall </w:t>
      </w:r>
      <w:r>
        <w:rPr>
          <w:rFonts w:eastAsia="Arial" w:cs="Arial"/>
          <w:color w:val="441170" w:themeColor="text2"/>
        </w:rPr>
        <w:t>and</w:t>
      </w:r>
      <w:r w:rsidRPr="00864DDC">
        <w:rPr>
          <w:rFonts w:eastAsia="Arial" w:cs="Arial"/>
          <w:color w:val="4B0885"/>
        </w:rPr>
        <w:t xml:space="preserve"> by 3.2 per cent per year </w:t>
      </w:r>
      <w:r>
        <w:rPr>
          <w:rFonts w:eastAsia="Arial" w:cs="Arial"/>
          <w:color w:val="4B0885"/>
        </w:rPr>
        <w:t xml:space="preserve">overall </w:t>
      </w:r>
      <w:r w:rsidRPr="00864DDC">
        <w:rPr>
          <w:rFonts w:eastAsia="Arial" w:cs="Arial"/>
          <w:color w:val="4B0885"/>
        </w:rPr>
        <w:t>for Early Childhood Teachers.</w:t>
      </w:r>
    </w:p>
    <w:p w14:paraId="03A894EC" w14:textId="77777777" w:rsidR="006212DA" w:rsidRDefault="006212DA" w:rsidP="006212DA">
      <w:r>
        <w:t xml:space="preserve">There is evidence that further expanding access to early childhood education to a universal model of up to 30 hours per week, including universal preschool for </w:t>
      </w:r>
      <w:proofErr w:type="gramStart"/>
      <w:r>
        <w:t>3 and 4 year olds</w:t>
      </w:r>
      <w:proofErr w:type="gramEnd"/>
      <w:r>
        <w:t xml:space="preserve">, could deliver substantial benefits for child development, social inclusion and long-term skills growth, as well as women’s labour force participation. </w:t>
      </w:r>
    </w:p>
    <w:p w14:paraId="7565D4C2" w14:textId="77777777" w:rsidR="006212DA" w:rsidRPr="00B12818" w:rsidRDefault="006212DA" w:rsidP="006212DA">
      <w:r w:rsidRPr="00B12818">
        <w:t xml:space="preserve">Universal preschool access assumes 85% of </w:t>
      </w:r>
      <w:proofErr w:type="gramStart"/>
      <w:r w:rsidRPr="00B12818">
        <w:t>3 year olds</w:t>
      </w:r>
      <w:proofErr w:type="gramEnd"/>
      <w:r w:rsidRPr="00B12818">
        <w:t xml:space="preserve"> will participate in preschool, and 100% of 4 year olds already enrolled in preschool will increase their usage to 30 hours per week. The modelling assumes that existing market share for </w:t>
      </w:r>
      <w:proofErr w:type="gramStart"/>
      <w:r w:rsidRPr="00B12818">
        <w:t>4 year olds</w:t>
      </w:r>
      <w:proofErr w:type="gramEnd"/>
      <w:r w:rsidRPr="00B12818">
        <w:t xml:space="preserve"> is maintained.</w:t>
      </w:r>
    </w:p>
    <w:p w14:paraId="5EA00B10" w14:textId="77777777" w:rsidR="006212DA" w:rsidRDefault="006212DA" w:rsidP="006212DA">
      <w:r w:rsidRPr="00B12818">
        <w:t xml:space="preserve">Universal access to </w:t>
      </w:r>
      <w:proofErr w:type="gramStart"/>
      <w:r w:rsidRPr="00B12818">
        <w:t>child care</w:t>
      </w:r>
      <w:proofErr w:type="gramEnd"/>
      <w:r w:rsidRPr="00B12818">
        <w:t xml:space="preserve"> is modelled using the assumptions underpinning the Productivity Commission's draft recommendation 6.2. By modifying the CCS to allow (1) all families to access up to 30 hours or three days of subsidised </w:t>
      </w:r>
      <w:proofErr w:type="gramStart"/>
      <w:r>
        <w:t>child care</w:t>
      </w:r>
      <w:proofErr w:type="gramEnd"/>
      <w:r w:rsidRPr="00B12818">
        <w:t xml:space="preserve"> per week without an activity requirement, and (2) families with annual income at or below $80,000 should be eligible for a subsidy rate of 100% of the fee, up to the hourly rate cap, the Productivity Commission estimates a 12% increase in total ECEC hours demanded.</w:t>
      </w:r>
    </w:p>
    <w:p w14:paraId="3CD556EE" w14:textId="77777777" w:rsidR="006212DA" w:rsidRDefault="006212DA" w:rsidP="006212DA">
      <w:r>
        <w:t>Achieving this increase in access would add to the scale of future workforce demand. T</w:t>
      </w:r>
      <w:r w:rsidRPr="00864DDC">
        <w:t>he ECEC workforce will likely need to grow by 3.0 per cent per year</w:t>
      </w:r>
      <w:r>
        <w:t xml:space="preserve"> over the ten years to 2034 (or 89,000 additional staff for the forecast period)</w:t>
      </w:r>
      <w:r>
        <w:rPr>
          <w:rStyle w:val="FootnoteReference"/>
          <w:rFonts w:eastAsia="Arial" w:cs="Arial"/>
          <w:color w:val="441170" w:themeColor="text2"/>
        </w:rPr>
        <w:footnoteReference w:id="61"/>
      </w:r>
      <w:r>
        <w:t>,</w:t>
      </w:r>
      <w:r w:rsidRPr="00864DDC">
        <w:t xml:space="preserve"> with Early Childhood </w:t>
      </w:r>
      <w:r>
        <w:t>T</w:t>
      </w:r>
      <w:r w:rsidRPr="00864DDC">
        <w:t>eachers needing to grow by 5.4 per cent per year</w:t>
      </w:r>
      <w:r>
        <w:t xml:space="preserve"> or 26,000 extra staff for the forecast period</w:t>
      </w:r>
      <w:r w:rsidRPr="00864DDC">
        <w:t>.</w:t>
      </w:r>
    </w:p>
    <w:p w14:paraId="5F74B470" w14:textId="77777777" w:rsidR="006212DA" w:rsidRDefault="006212DA" w:rsidP="006212DA">
      <w:pPr>
        <w:rPr>
          <w:rFonts w:eastAsia="Arial" w:cs="Arial"/>
          <w:color w:val="441170" w:themeColor="text2"/>
        </w:rPr>
      </w:pPr>
      <w:r w:rsidRPr="004C5C40">
        <w:rPr>
          <w:b/>
          <w:color w:val="441170" w:themeColor="text2"/>
        </w:rPr>
        <w:t>Finding -</w:t>
      </w:r>
      <w:r w:rsidRPr="2231FF67">
        <w:rPr>
          <w:color w:val="441170" w:themeColor="text2"/>
        </w:rPr>
        <w:t xml:space="preserve"> </w:t>
      </w:r>
      <w:r w:rsidRPr="00864DDC">
        <w:rPr>
          <w:rFonts w:eastAsia="Arial" w:cs="Arial"/>
          <w:color w:val="441170" w:themeColor="text2"/>
        </w:rPr>
        <w:t xml:space="preserve">To implement universal access and universal preschool for </w:t>
      </w:r>
      <w:proofErr w:type="gramStart"/>
      <w:r w:rsidRPr="00864DDC">
        <w:rPr>
          <w:rFonts w:eastAsia="Arial" w:cs="Arial"/>
          <w:color w:val="441170" w:themeColor="text2"/>
        </w:rPr>
        <w:t>3 and 4 year olds</w:t>
      </w:r>
      <w:proofErr w:type="gramEnd"/>
      <w:r w:rsidRPr="00864DDC">
        <w:rPr>
          <w:rFonts w:eastAsia="Arial" w:cs="Arial"/>
          <w:color w:val="441170" w:themeColor="text2"/>
        </w:rPr>
        <w:t xml:space="preserve"> and up to 30 hours per week over three days of ECEC to be available to all children, the ECEC workforce will likely need to grow by 3.0 per cent per year with Early Childhood </w:t>
      </w:r>
      <w:r>
        <w:rPr>
          <w:rFonts w:eastAsia="Arial" w:cs="Arial"/>
          <w:color w:val="441170" w:themeColor="text2"/>
        </w:rPr>
        <w:t>T</w:t>
      </w:r>
      <w:r w:rsidRPr="00864DDC">
        <w:rPr>
          <w:rFonts w:eastAsia="Arial" w:cs="Arial"/>
          <w:color w:val="441170" w:themeColor="text2"/>
        </w:rPr>
        <w:t>eachers needing to grow by 5.4 per cent per year.</w:t>
      </w:r>
    </w:p>
    <w:p w14:paraId="1B3B0D93" w14:textId="77777777" w:rsidR="006212DA" w:rsidRDefault="006212DA" w:rsidP="006212DA">
      <w:pPr>
        <w:rPr>
          <w:b/>
          <w:bCs/>
          <w:color w:val="auto"/>
          <w:sz w:val="18"/>
          <w:szCs w:val="18"/>
        </w:rPr>
      </w:pPr>
      <w:r>
        <w:rPr>
          <w:b/>
          <w:bCs/>
          <w:i/>
          <w:iCs/>
          <w:color w:val="auto"/>
        </w:rPr>
        <w:br w:type="page"/>
      </w:r>
    </w:p>
    <w:p w14:paraId="43846E8F" w14:textId="77777777" w:rsidR="006212DA" w:rsidRPr="002350A0" w:rsidRDefault="006212DA" w:rsidP="006212DA">
      <w:pPr>
        <w:pStyle w:val="Caption"/>
        <w:rPr>
          <w:b w:val="0"/>
          <w:bCs w:val="0"/>
        </w:rPr>
      </w:pPr>
      <w:r w:rsidRPr="002350A0">
        <w:lastRenderedPageBreak/>
        <w:t xml:space="preserve">Table </w:t>
      </w:r>
      <w:r>
        <w:t>4</w:t>
      </w:r>
      <w:r w:rsidRPr="002350A0">
        <w:t>.</w:t>
      </w:r>
      <w:r>
        <w:t>2</w:t>
      </w:r>
      <w:r w:rsidRPr="002350A0">
        <w:t xml:space="preserve"> </w:t>
      </w:r>
      <w:r>
        <w:t>ECEC staff demand p</w:t>
      </w:r>
      <w:r w:rsidRPr="002350A0">
        <w:t>rojections by occupation 202</w:t>
      </w:r>
      <w:r>
        <w:t>4</w:t>
      </w:r>
      <w:r w:rsidRPr="002350A0">
        <w:t>-34</w:t>
      </w:r>
      <w:r w:rsidRPr="001F3AE2">
        <w:rPr>
          <w:rStyle w:val="FootnoteReference"/>
        </w:rPr>
        <w:footnoteReference w:id="62"/>
      </w:r>
    </w:p>
    <w:tbl>
      <w:tblPr>
        <w:tblStyle w:val="JSATable1"/>
        <w:tblW w:w="9016" w:type="dxa"/>
        <w:tblLayout w:type="fixed"/>
        <w:tblLook w:val="04A0" w:firstRow="1" w:lastRow="0" w:firstColumn="1" w:lastColumn="0" w:noHBand="0" w:noVBand="1"/>
      </w:tblPr>
      <w:tblGrid>
        <w:gridCol w:w="1413"/>
        <w:gridCol w:w="1134"/>
        <w:gridCol w:w="1522"/>
        <w:gridCol w:w="1074"/>
        <w:gridCol w:w="990"/>
        <w:gridCol w:w="1888"/>
        <w:gridCol w:w="995"/>
      </w:tblGrid>
      <w:tr w:rsidR="006212DA" w:rsidRPr="00523029" w14:paraId="381AB531" w14:textId="77777777" w:rsidTr="005F6ADC">
        <w:trPr>
          <w:cnfStyle w:val="100000000000" w:firstRow="1" w:lastRow="0" w:firstColumn="0" w:lastColumn="0" w:oddVBand="0" w:evenVBand="0" w:oddHBand="0" w:evenHBand="0" w:firstRowFirstColumn="0" w:firstRowLastColumn="0" w:lastRowFirstColumn="0" w:lastRowLastColumn="0"/>
          <w:trHeight w:val="720"/>
        </w:trPr>
        <w:tc>
          <w:tcPr>
            <w:tcW w:w="0" w:type="dxa"/>
            <w:vMerge w:val="restart"/>
            <w:hideMark/>
          </w:tcPr>
          <w:p w14:paraId="4A923998" w14:textId="77777777" w:rsidR="006212DA" w:rsidRPr="00D01277" w:rsidRDefault="006212DA" w:rsidP="005F6ADC">
            <w:pPr>
              <w:rPr>
                <w:rFonts w:eastAsia="Times New Roman" w:cs="Arial"/>
                <w:color w:val="FFFFFF" w:themeColor="background1"/>
                <w:sz w:val="20"/>
                <w:szCs w:val="20"/>
                <w:lang w:eastAsia="en-AU"/>
              </w:rPr>
            </w:pPr>
            <w:r w:rsidRPr="00D01277">
              <w:rPr>
                <w:rFonts w:eastAsia="Times New Roman" w:cs="Arial"/>
                <w:b/>
                <w:bCs/>
                <w:color w:val="FFFFFF" w:themeColor="background1"/>
                <w:sz w:val="20"/>
                <w:szCs w:val="20"/>
                <w:lang w:eastAsia="en-AU"/>
              </w:rPr>
              <w:t>ECEC specific occupations</w:t>
            </w:r>
          </w:p>
        </w:tc>
        <w:tc>
          <w:tcPr>
            <w:tcW w:w="0" w:type="dxa"/>
            <w:gridSpan w:val="3"/>
            <w:hideMark/>
          </w:tcPr>
          <w:p w14:paraId="66B8474B" w14:textId="77777777" w:rsidR="006212DA" w:rsidRPr="00D01277" w:rsidRDefault="006212DA" w:rsidP="005F6ADC">
            <w:pPr>
              <w:jc w:val="center"/>
              <w:rPr>
                <w:rFonts w:eastAsia="Times New Roman" w:cs="Arial"/>
                <w:b/>
                <w:bCs/>
                <w:color w:val="FFFFFF" w:themeColor="background1"/>
                <w:sz w:val="20"/>
                <w:szCs w:val="20"/>
                <w:lang w:eastAsia="en-AU"/>
              </w:rPr>
            </w:pPr>
            <w:r w:rsidRPr="00D01277">
              <w:rPr>
                <w:rFonts w:eastAsia="Times New Roman" w:cs="Arial"/>
                <w:b/>
                <w:bCs/>
                <w:color w:val="FFFFFF" w:themeColor="background1"/>
                <w:sz w:val="20"/>
                <w:szCs w:val="20"/>
                <w:lang w:eastAsia="en-AU"/>
              </w:rPr>
              <w:t>Expansion to implement Committed Policies</w:t>
            </w:r>
          </w:p>
        </w:tc>
        <w:tc>
          <w:tcPr>
            <w:tcW w:w="0" w:type="dxa"/>
            <w:gridSpan w:val="3"/>
            <w:noWrap/>
            <w:hideMark/>
          </w:tcPr>
          <w:p w14:paraId="46940899" w14:textId="77777777" w:rsidR="006212DA" w:rsidRPr="00D01277" w:rsidRDefault="006212DA" w:rsidP="005F6ADC">
            <w:pPr>
              <w:jc w:val="center"/>
              <w:rPr>
                <w:rFonts w:eastAsia="Times New Roman" w:cs="Arial"/>
                <w:b/>
                <w:bCs/>
                <w:color w:val="FFFFFF" w:themeColor="background1"/>
                <w:sz w:val="20"/>
                <w:szCs w:val="20"/>
                <w:lang w:eastAsia="en-AU"/>
              </w:rPr>
            </w:pPr>
            <w:r w:rsidRPr="00D01277">
              <w:rPr>
                <w:rFonts w:eastAsia="Times New Roman" w:cs="Arial"/>
                <w:b/>
                <w:bCs/>
                <w:color w:val="FFFFFF" w:themeColor="background1"/>
                <w:sz w:val="20"/>
                <w:szCs w:val="20"/>
                <w:lang w:eastAsia="en-AU"/>
              </w:rPr>
              <w:t>Universal Access</w:t>
            </w:r>
          </w:p>
        </w:tc>
      </w:tr>
      <w:tr w:rsidR="006212DA" w:rsidRPr="00523029" w14:paraId="24FEE5E4" w14:textId="77777777" w:rsidTr="005F6ADC">
        <w:trPr>
          <w:trHeight w:val="1016"/>
        </w:trPr>
        <w:tc>
          <w:tcPr>
            <w:tcW w:w="0" w:type="dxa"/>
            <w:vMerge/>
            <w:hideMark/>
          </w:tcPr>
          <w:p w14:paraId="73A5E9F2" w14:textId="77777777" w:rsidR="006212DA" w:rsidRPr="00D01277" w:rsidRDefault="006212DA" w:rsidP="005F6ADC">
            <w:pPr>
              <w:rPr>
                <w:rFonts w:eastAsia="Times New Roman" w:cs="Arial"/>
                <w:color w:val="auto"/>
                <w:sz w:val="20"/>
                <w:szCs w:val="20"/>
                <w:lang w:eastAsia="en-AU"/>
              </w:rPr>
            </w:pPr>
          </w:p>
        </w:tc>
        <w:tc>
          <w:tcPr>
            <w:tcW w:w="0" w:type="dxa"/>
            <w:shd w:val="clear" w:color="auto" w:fill="2F005F"/>
            <w:hideMark/>
          </w:tcPr>
          <w:p w14:paraId="3F0CDE41" w14:textId="77777777" w:rsidR="006212DA" w:rsidRPr="00D01277" w:rsidRDefault="006212DA" w:rsidP="005F6ADC">
            <w:pPr>
              <w:jc w:val="center"/>
              <w:rPr>
                <w:rFonts w:eastAsia="Times New Roman" w:cs="Arial"/>
                <w:color w:val="FFFFFF" w:themeColor="background1"/>
                <w:sz w:val="20"/>
                <w:szCs w:val="20"/>
                <w:lang w:eastAsia="en-AU"/>
              </w:rPr>
            </w:pPr>
            <w:r w:rsidRPr="00D01277">
              <w:rPr>
                <w:rFonts w:eastAsia="Times New Roman" w:cs="Arial"/>
                <w:color w:val="FFFFFF" w:themeColor="background1"/>
                <w:sz w:val="20"/>
                <w:szCs w:val="20"/>
                <w:lang w:eastAsia="en-AU"/>
              </w:rPr>
              <w:t>Total Workers (2034)</w:t>
            </w:r>
          </w:p>
        </w:tc>
        <w:tc>
          <w:tcPr>
            <w:tcW w:w="0" w:type="dxa"/>
            <w:shd w:val="clear" w:color="auto" w:fill="2F005F"/>
            <w:hideMark/>
          </w:tcPr>
          <w:p w14:paraId="6BB72878" w14:textId="77777777" w:rsidR="006212DA" w:rsidRPr="00D01277" w:rsidRDefault="006212DA" w:rsidP="005F6ADC">
            <w:pPr>
              <w:jc w:val="center"/>
              <w:rPr>
                <w:rFonts w:eastAsia="Times New Roman" w:cs="Arial"/>
                <w:color w:val="FFFFFF" w:themeColor="background1"/>
                <w:sz w:val="20"/>
                <w:szCs w:val="20"/>
                <w:lang w:eastAsia="en-AU"/>
              </w:rPr>
            </w:pPr>
            <w:r w:rsidRPr="00D01277">
              <w:rPr>
                <w:rFonts w:eastAsia="Times New Roman" w:cs="Arial"/>
                <w:color w:val="FFFFFF" w:themeColor="background1"/>
                <w:sz w:val="20"/>
                <w:szCs w:val="20"/>
                <w:lang w:eastAsia="en-AU"/>
              </w:rPr>
              <w:t>Additional staff demand (2024 to 2034)</w:t>
            </w:r>
          </w:p>
        </w:tc>
        <w:tc>
          <w:tcPr>
            <w:tcW w:w="0" w:type="dxa"/>
            <w:shd w:val="clear" w:color="auto" w:fill="2F005F"/>
            <w:hideMark/>
          </w:tcPr>
          <w:p w14:paraId="6C988105" w14:textId="77777777" w:rsidR="006212DA" w:rsidRPr="00D01277" w:rsidRDefault="006212DA" w:rsidP="005F6ADC">
            <w:pPr>
              <w:jc w:val="center"/>
              <w:rPr>
                <w:rFonts w:eastAsia="Times New Roman" w:cs="Arial"/>
                <w:color w:val="FFFFFF" w:themeColor="background1"/>
                <w:sz w:val="20"/>
                <w:szCs w:val="20"/>
                <w:lang w:eastAsia="en-AU"/>
              </w:rPr>
            </w:pPr>
            <w:r>
              <w:rPr>
                <w:rFonts w:eastAsia="Times New Roman" w:cs="Arial"/>
                <w:b/>
                <w:color w:val="FFFFFF" w:themeColor="background1"/>
                <w:sz w:val="20"/>
                <w:szCs w:val="20"/>
                <w:lang w:eastAsia="en-AU"/>
              </w:rPr>
              <w:t>CAGR</w:t>
            </w:r>
            <w:r>
              <w:rPr>
                <w:rStyle w:val="FootnoteReference"/>
                <w:rFonts w:eastAsia="Times New Roman" w:cs="Arial"/>
                <w:b/>
                <w:color w:val="FFFFFF" w:themeColor="background1"/>
                <w:sz w:val="20"/>
                <w:szCs w:val="20"/>
                <w:lang w:eastAsia="en-AU"/>
              </w:rPr>
              <w:footnoteReference w:id="63"/>
            </w:r>
          </w:p>
        </w:tc>
        <w:tc>
          <w:tcPr>
            <w:tcW w:w="0" w:type="dxa"/>
            <w:shd w:val="clear" w:color="auto" w:fill="2F005F"/>
            <w:hideMark/>
          </w:tcPr>
          <w:p w14:paraId="319A9FB8" w14:textId="77777777" w:rsidR="006212DA" w:rsidRPr="00D01277" w:rsidRDefault="006212DA" w:rsidP="005F6ADC">
            <w:pPr>
              <w:jc w:val="center"/>
              <w:rPr>
                <w:rFonts w:eastAsia="Times New Roman" w:cs="Arial"/>
                <w:color w:val="FFFFFF" w:themeColor="background1"/>
                <w:sz w:val="20"/>
                <w:szCs w:val="20"/>
                <w:lang w:eastAsia="en-AU"/>
              </w:rPr>
            </w:pPr>
            <w:r w:rsidRPr="00D01277">
              <w:rPr>
                <w:rFonts w:eastAsia="Times New Roman" w:cs="Arial"/>
                <w:color w:val="FFFFFF" w:themeColor="background1"/>
                <w:sz w:val="20"/>
                <w:szCs w:val="20"/>
                <w:lang w:eastAsia="en-AU"/>
              </w:rPr>
              <w:t>Total Workers (2034)</w:t>
            </w:r>
          </w:p>
        </w:tc>
        <w:tc>
          <w:tcPr>
            <w:tcW w:w="0" w:type="dxa"/>
            <w:shd w:val="clear" w:color="auto" w:fill="2F005F"/>
            <w:hideMark/>
          </w:tcPr>
          <w:p w14:paraId="13EE15E9" w14:textId="77777777" w:rsidR="006212DA" w:rsidRPr="00D01277" w:rsidRDefault="006212DA" w:rsidP="005F6ADC">
            <w:pPr>
              <w:jc w:val="center"/>
              <w:rPr>
                <w:rFonts w:eastAsia="Times New Roman" w:cs="Arial"/>
                <w:color w:val="FFFFFF" w:themeColor="background1"/>
                <w:sz w:val="20"/>
                <w:szCs w:val="20"/>
                <w:lang w:eastAsia="en-AU"/>
              </w:rPr>
            </w:pPr>
            <w:r w:rsidRPr="00D01277">
              <w:rPr>
                <w:rFonts w:eastAsia="Times New Roman" w:cs="Arial"/>
                <w:color w:val="FFFFFF" w:themeColor="background1"/>
                <w:sz w:val="20"/>
                <w:szCs w:val="20"/>
                <w:lang w:eastAsia="en-AU"/>
              </w:rPr>
              <w:t>Additional staff demand (2024 to 2034)</w:t>
            </w:r>
          </w:p>
        </w:tc>
        <w:tc>
          <w:tcPr>
            <w:tcW w:w="0" w:type="dxa"/>
            <w:shd w:val="clear" w:color="auto" w:fill="2F005F"/>
            <w:hideMark/>
          </w:tcPr>
          <w:p w14:paraId="2FCB4ABC" w14:textId="77777777" w:rsidR="006212DA" w:rsidRPr="00D01277" w:rsidRDefault="006212DA" w:rsidP="005F6ADC">
            <w:pPr>
              <w:jc w:val="center"/>
              <w:rPr>
                <w:rFonts w:eastAsia="Times New Roman" w:cs="Arial"/>
                <w:color w:val="FFFFFF" w:themeColor="background1"/>
                <w:sz w:val="20"/>
                <w:szCs w:val="20"/>
                <w:lang w:eastAsia="en-AU"/>
              </w:rPr>
            </w:pPr>
            <w:r>
              <w:rPr>
                <w:rFonts w:eastAsia="Times New Roman" w:cs="Arial"/>
                <w:b/>
                <w:color w:val="FFFFFF" w:themeColor="background1"/>
                <w:sz w:val="20"/>
                <w:szCs w:val="20"/>
                <w:lang w:eastAsia="en-AU"/>
              </w:rPr>
              <w:t>CAGR</w:t>
            </w:r>
            <w:r>
              <w:rPr>
                <w:rStyle w:val="FootnoteReference"/>
                <w:rFonts w:eastAsia="Times New Roman" w:cs="Arial"/>
                <w:b/>
                <w:color w:val="FFFFFF" w:themeColor="background1"/>
                <w:sz w:val="20"/>
                <w:szCs w:val="20"/>
                <w:lang w:eastAsia="en-AU"/>
              </w:rPr>
              <w:footnoteReference w:id="64"/>
            </w:r>
            <w:r w:rsidRPr="00D01277">
              <w:rPr>
                <w:rFonts w:eastAsia="Times New Roman" w:cs="Arial"/>
                <w:color w:val="FFFFFF" w:themeColor="background1"/>
                <w:sz w:val="20"/>
                <w:szCs w:val="20"/>
                <w:lang w:eastAsia="en-AU"/>
              </w:rPr>
              <w:t xml:space="preserve">% </w:t>
            </w:r>
          </w:p>
        </w:tc>
      </w:tr>
      <w:tr w:rsidR="006212DA" w:rsidRPr="00523029" w14:paraId="5C833C72" w14:textId="77777777" w:rsidTr="005F6ADC">
        <w:trPr>
          <w:cnfStyle w:val="000000010000" w:firstRow="0" w:lastRow="0" w:firstColumn="0" w:lastColumn="0" w:oddVBand="0" w:evenVBand="0" w:oddHBand="0" w:evenHBand="1" w:firstRowFirstColumn="0" w:firstRowLastColumn="0" w:lastRowFirstColumn="0" w:lastRowLastColumn="0"/>
          <w:trHeight w:val="421"/>
        </w:trPr>
        <w:tc>
          <w:tcPr>
            <w:tcW w:w="1413" w:type="dxa"/>
            <w:hideMark/>
          </w:tcPr>
          <w:p w14:paraId="61C61C44" w14:textId="77777777" w:rsidR="006212DA" w:rsidRPr="00666B34" w:rsidRDefault="006212DA" w:rsidP="005F6ADC">
            <w:pPr>
              <w:rPr>
                <w:rFonts w:eastAsia="Times New Roman" w:cs="Arial"/>
                <w:color w:val="000000"/>
                <w:sz w:val="18"/>
                <w:szCs w:val="18"/>
                <w:lang w:eastAsia="en-AU"/>
              </w:rPr>
            </w:pPr>
            <w:r w:rsidRPr="00666B34">
              <w:rPr>
                <w:rFonts w:eastAsia="Times New Roman" w:cs="Arial"/>
                <w:color w:val="000000"/>
                <w:sz w:val="18"/>
                <w:szCs w:val="18"/>
                <w:lang w:eastAsia="en-AU"/>
              </w:rPr>
              <w:t>Child Care Manager</w:t>
            </w:r>
          </w:p>
        </w:tc>
        <w:tc>
          <w:tcPr>
            <w:tcW w:w="1134" w:type="dxa"/>
            <w:noWrap/>
            <w:hideMark/>
          </w:tcPr>
          <w:p w14:paraId="08373EA3" w14:textId="77777777" w:rsidR="006212DA" w:rsidRPr="00666B34" w:rsidRDefault="006212DA" w:rsidP="005F6ADC">
            <w:pPr>
              <w:jc w:val="center"/>
              <w:rPr>
                <w:rFonts w:eastAsia="Times New Roman" w:cs="Arial"/>
                <w:color w:val="000000"/>
                <w:sz w:val="18"/>
                <w:szCs w:val="18"/>
                <w:lang w:eastAsia="en-AU"/>
              </w:rPr>
            </w:pPr>
            <w:r w:rsidRPr="00666B34">
              <w:rPr>
                <w:rFonts w:eastAsia="Times New Roman" w:cs="Arial"/>
                <w:color w:val="000000"/>
                <w:sz w:val="18"/>
                <w:szCs w:val="18"/>
                <w:lang w:eastAsia="en-AU"/>
              </w:rPr>
              <w:t>30,000</w:t>
            </w:r>
          </w:p>
        </w:tc>
        <w:tc>
          <w:tcPr>
            <w:tcW w:w="1522" w:type="dxa"/>
            <w:noWrap/>
            <w:hideMark/>
          </w:tcPr>
          <w:p w14:paraId="4A6AB633" w14:textId="77777777" w:rsidR="006212DA" w:rsidRPr="00666B34" w:rsidRDefault="006212DA" w:rsidP="005F6ADC">
            <w:pPr>
              <w:jc w:val="center"/>
              <w:rPr>
                <w:rFonts w:eastAsia="Times New Roman" w:cs="Arial"/>
                <w:color w:val="000000"/>
                <w:sz w:val="18"/>
                <w:szCs w:val="18"/>
                <w:lang w:eastAsia="en-AU"/>
              </w:rPr>
            </w:pPr>
            <w:r w:rsidRPr="00666B34">
              <w:rPr>
                <w:rFonts w:eastAsia="Times New Roman" w:cs="Arial"/>
                <w:color w:val="000000"/>
                <w:sz w:val="18"/>
                <w:szCs w:val="18"/>
                <w:lang w:eastAsia="en-AU"/>
              </w:rPr>
              <w:t>6,000</w:t>
            </w:r>
          </w:p>
        </w:tc>
        <w:tc>
          <w:tcPr>
            <w:tcW w:w="1074" w:type="dxa"/>
            <w:noWrap/>
            <w:hideMark/>
          </w:tcPr>
          <w:p w14:paraId="7ADCAB33" w14:textId="77777777" w:rsidR="006212DA" w:rsidRPr="00666B34" w:rsidRDefault="006212DA" w:rsidP="005F6ADC">
            <w:pPr>
              <w:jc w:val="center"/>
              <w:rPr>
                <w:rFonts w:eastAsia="Times New Roman" w:cs="Arial"/>
                <w:color w:val="000000"/>
                <w:sz w:val="18"/>
                <w:szCs w:val="18"/>
                <w:lang w:eastAsia="en-AU"/>
              </w:rPr>
            </w:pPr>
            <w:r w:rsidRPr="00666B34">
              <w:rPr>
                <w:rFonts w:eastAsia="Times New Roman" w:cs="Arial"/>
                <w:color w:val="000000"/>
                <w:sz w:val="18"/>
                <w:szCs w:val="18"/>
                <w:lang w:eastAsia="en-AU"/>
              </w:rPr>
              <w:t>2.3</w:t>
            </w:r>
          </w:p>
        </w:tc>
        <w:tc>
          <w:tcPr>
            <w:tcW w:w="990" w:type="dxa"/>
            <w:noWrap/>
            <w:hideMark/>
          </w:tcPr>
          <w:p w14:paraId="7EA0BA36" w14:textId="77777777" w:rsidR="006212DA" w:rsidRPr="00666B34" w:rsidRDefault="006212DA" w:rsidP="005F6ADC">
            <w:pPr>
              <w:jc w:val="center"/>
              <w:rPr>
                <w:rFonts w:eastAsia="Times New Roman" w:cs="Arial"/>
                <w:color w:val="000000"/>
                <w:sz w:val="18"/>
                <w:szCs w:val="18"/>
                <w:lang w:eastAsia="en-AU"/>
              </w:rPr>
            </w:pPr>
            <w:r w:rsidRPr="00666B34">
              <w:rPr>
                <w:rFonts w:eastAsia="Times New Roman" w:cs="Arial"/>
                <w:color w:val="000000"/>
                <w:sz w:val="18"/>
                <w:szCs w:val="18"/>
                <w:lang w:eastAsia="en-AU"/>
              </w:rPr>
              <w:t>35,000</w:t>
            </w:r>
          </w:p>
        </w:tc>
        <w:tc>
          <w:tcPr>
            <w:tcW w:w="1888" w:type="dxa"/>
            <w:noWrap/>
            <w:hideMark/>
          </w:tcPr>
          <w:p w14:paraId="77149F07" w14:textId="77777777" w:rsidR="006212DA" w:rsidRPr="00666B34" w:rsidRDefault="006212DA" w:rsidP="005F6ADC">
            <w:pPr>
              <w:jc w:val="center"/>
              <w:rPr>
                <w:rFonts w:eastAsia="Times New Roman" w:cs="Arial"/>
                <w:color w:val="000000"/>
                <w:sz w:val="18"/>
                <w:szCs w:val="18"/>
                <w:lang w:eastAsia="en-AU"/>
              </w:rPr>
            </w:pPr>
            <w:r w:rsidRPr="00666B34">
              <w:rPr>
                <w:rFonts w:eastAsia="Times New Roman" w:cs="Arial"/>
                <w:color w:val="000000"/>
                <w:sz w:val="18"/>
                <w:szCs w:val="18"/>
                <w:lang w:eastAsia="en-AU"/>
              </w:rPr>
              <w:t>10,000</w:t>
            </w:r>
          </w:p>
        </w:tc>
        <w:tc>
          <w:tcPr>
            <w:tcW w:w="995" w:type="dxa"/>
            <w:noWrap/>
            <w:hideMark/>
          </w:tcPr>
          <w:p w14:paraId="6D25C1A8" w14:textId="77777777" w:rsidR="006212DA" w:rsidRPr="00666B34" w:rsidRDefault="006212DA" w:rsidP="005F6ADC">
            <w:pPr>
              <w:jc w:val="center"/>
              <w:rPr>
                <w:rFonts w:eastAsia="Times New Roman" w:cs="Arial"/>
                <w:color w:val="000000"/>
                <w:sz w:val="18"/>
                <w:szCs w:val="18"/>
                <w:lang w:eastAsia="en-AU"/>
              </w:rPr>
            </w:pPr>
            <w:r w:rsidRPr="00666B34">
              <w:rPr>
                <w:rFonts w:eastAsia="Times New Roman" w:cs="Arial"/>
                <w:color w:val="000000"/>
                <w:sz w:val="18"/>
                <w:szCs w:val="18"/>
                <w:lang w:eastAsia="en-AU"/>
              </w:rPr>
              <w:t>3.6</w:t>
            </w:r>
          </w:p>
        </w:tc>
      </w:tr>
      <w:tr w:rsidR="006212DA" w:rsidRPr="00523029" w14:paraId="3E659648" w14:textId="77777777" w:rsidTr="005F6ADC">
        <w:trPr>
          <w:trHeight w:val="670"/>
        </w:trPr>
        <w:tc>
          <w:tcPr>
            <w:tcW w:w="0" w:type="dxa"/>
            <w:hideMark/>
          </w:tcPr>
          <w:p w14:paraId="31B2C957" w14:textId="77777777" w:rsidR="006212DA" w:rsidRPr="00666B34" w:rsidRDefault="006212DA" w:rsidP="005F6ADC">
            <w:pPr>
              <w:rPr>
                <w:rFonts w:eastAsia="Times New Roman" w:cs="Arial"/>
                <w:color w:val="000000"/>
                <w:sz w:val="18"/>
                <w:szCs w:val="18"/>
                <w:lang w:eastAsia="en-AU"/>
              </w:rPr>
            </w:pPr>
            <w:r w:rsidRPr="00666B34">
              <w:rPr>
                <w:rFonts w:eastAsia="Times New Roman" w:cs="Arial"/>
                <w:color w:val="000000"/>
                <w:sz w:val="18"/>
                <w:szCs w:val="18"/>
                <w:lang w:eastAsia="en-AU"/>
              </w:rPr>
              <w:t>Early Childhood Teacher</w:t>
            </w:r>
          </w:p>
        </w:tc>
        <w:tc>
          <w:tcPr>
            <w:tcW w:w="1134" w:type="dxa"/>
            <w:noWrap/>
            <w:hideMark/>
          </w:tcPr>
          <w:p w14:paraId="32E2E5F9" w14:textId="77777777" w:rsidR="006212DA" w:rsidRPr="00666B34" w:rsidRDefault="006212DA" w:rsidP="005F6ADC">
            <w:pPr>
              <w:jc w:val="center"/>
              <w:rPr>
                <w:rFonts w:eastAsia="Times New Roman" w:cs="Arial"/>
                <w:color w:val="000000"/>
                <w:sz w:val="18"/>
                <w:szCs w:val="18"/>
                <w:lang w:eastAsia="en-AU"/>
              </w:rPr>
            </w:pPr>
            <w:r w:rsidRPr="00666B34">
              <w:rPr>
                <w:rFonts w:eastAsia="Times New Roman" w:cs="Arial"/>
                <w:color w:val="000000"/>
                <w:sz w:val="18"/>
                <w:szCs w:val="18"/>
                <w:lang w:eastAsia="en-AU"/>
              </w:rPr>
              <w:t>51,000</w:t>
            </w:r>
          </w:p>
        </w:tc>
        <w:tc>
          <w:tcPr>
            <w:tcW w:w="1522" w:type="dxa"/>
            <w:noWrap/>
            <w:hideMark/>
          </w:tcPr>
          <w:p w14:paraId="459D535B" w14:textId="77777777" w:rsidR="006212DA" w:rsidRPr="00666B34" w:rsidRDefault="006212DA" w:rsidP="005F6ADC">
            <w:pPr>
              <w:jc w:val="center"/>
              <w:rPr>
                <w:rFonts w:eastAsia="Times New Roman" w:cs="Arial"/>
                <w:color w:val="000000"/>
                <w:sz w:val="18"/>
                <w:szCs w:val="18"/>
                <w:lang w:eastAsia="en-AU"/>
              </w:rPr>
            </w:pPr>
            <w:r w:rsidRPr="00666B34">
              <w:rPr>
                <w:rFonts w:eastAsia="Times New Roman" w:cs="Arial"/>
                <w:color w:val="000000"/>
                <w:sz w:val="18"/>
                <w:szCs w:val="18"/>
                <w:lang w:eastAsia="en-AU"/>
              </w:rPr>
              <w:t>14,000</w:t>
            </w:r>
          </w:p>
        </w:tc>
        <w:tc>
          <w:tcPr>
            <w:tcW w:w="0" w:type="dxa"/>
            <w:noWrap/>
            <w:hideMark/>
          </w:tcPr>
          <w:p w14:paraId="3F9391FD" w14:textId="77777777" w:rsidR="006212DA" w:rsidRPr="00666B34" w:rsidRDefault="006212DA" w:rsidP="005F6ADC">
            <w:pPr>
              <w:jc w:val="center"/>
              <w:rPr>
                <w:rFonts w:eastAsia="Times New Roman" w:cs="Arial"/>
                <w:color w:val="000000"/>
                <w:sz w:val="18"/>
                <w:szCs w:val="18"/>
                <w:lang w:eastAsia="en-AU"/>
              </w:rPr>
            </w:pPr>
            <w:r w:rsidRPr="00666B34">
              <w:rPr>
                <w:rFonts w:eastAsia="Times New Roman" w:cs="Arial"/>
                <w:color w:val="000000"/>
                <w:sz w:val="18"/>
                <w:szCs w:val="18"/>
                <w:lang w:eastAsia="en-AU"/>
              </w:rPr>
              <w:t>3.2</w:t>
            </w:r>
          </w:p>
        </w:tc>
        <w:tc>
          <w:tcPr>
            <w:tcW w:w="0" w:type="dxa"/>
            <w:noWrap/>
            <w:hideMark/>
          </w:tcPr>
          <w:p w14:paraId="1B547F23" w14:textId="77777777" w:rsidR="006212DA" w:rsidRPr="00666B34" w:rsidRDefault="006212DA" w:rsidP="005F6ADC">
            <w:pPr>
              <w:jc w:val="center"/>
              <w:rPr>
                <w:rFonts w:eastAsia="Times New Roman" w:cs="Arial"/>
                <w:color w:val="000000"/>
                <w:sz w:val="18"/>
                <w:szCs w:val="18"/>
                <w:lang w:eastAsia="en-AU"/>
              </w:rPr>
            </w:pPr>
            <w:r w:rsidRPr="00666B34">
              <w:rPr>
                <w:rFonts w:eastAsia="Times New Roman" w:cs="Arial"/>
                <w:color w:val="000000"/>
                <w:sz w:val="18"/>
                <w:szCs w:val="18"/>
                <w:lang w:eastAsia="en-AU"/>
              </w:rPr>
              <w:t>63,000</w:t>
            </w:r>
          </w:p>
        </w:tc>
        <w:tc>
          <w:tcPr>
            <w:tcW w:w="0" w:type="dxa"/>
            <w:noWrap/>
            <w:hideMark/>
          </w:tcPr>
          <w:p w14:paraId="139E2E98" w14:textId="77777777" w:rsidR="006212DA" w:rsidRPr="00666B34" w:rsidRDefault="006212DA" w:rsidP="005F6ADC">
            <w:pPr>
              <w:jc w:val="center"/>
              <w:rPr>
                <w:rFonts w:eastAsia="Times New Roman" w:cs="Arial"/>
                <w:color w:val="000000"/>
                <w:sz w:val="18"/>
                <w:szCs w:val="18"/>
                <w:lang w:eastAsia="en-AU"/>
              </w:rPr>
            </w:pPr>
            <w:r w:rsidRPr="00666B34">
              <w:rPr>
                <w:rFonts w:eastAsia="Times New Roman" w:cs="Arial"/>
                <w:color w:val="000000"/>
                <w:sz w:val="18"/>
                <w:szCs w:val="18"/>
                <w:lang w:eastAsia="en-AU"/>
              </w:rPr>
              <w:t>26,000</w:t>
            </w:r>
          </w:p>
        </w:tc>
        <w:tc>
          <w:tcPr>
            <w:tcW w:w="0" w:type="dxa"/>
            <w:noWrap/>
            <w:hideMark/>
          </w:tcPr>
          <w:p w14:paraId="366E3EA2" w14:textId="77777777" w:rsidR="006212DA" w:rsidRPr="00666B34" w:rsidRDefault="006212DA" w:rsidP="005F6ADC">
            <w:pPr>
              <w:jc w:val="center"/>
              <w:rPr>
                <w:rFonts w:eastAsia="Times New Roman" w:cs="Arial"/>
                <w:color w:val="000000"/>
                <w:sz w:val="18"/>
                <w:szCs w:val="18"/>
                <w:lang w:eastAsia="en-AU"/>
              </w:rPr>
            </w:pPr>
            <w:r w:rsidRPr="00666B34">
              <w:rPr>
                <w:rFonts w:eastAsia="Times New Roman" w:cs="Arial"/>
                <w:color w:val="000000"/>
                <w:sz w:val="18"/>
                <w:szCs w:val="18"/>
                <w:lang w:eastAsia="en-AU"/>
              </w:rPr>
              <w:t>5.4</w:t>
            </w:r>
          </w:p>
        </w:tc>
      </w:tr>
      <w:tr w:rsidR="006212DA" w:rsidRPr="00523029" w14:paraId="7BAE5C03" w14:textId="77777777" w:rsidTr="005F6ADC">
        <w:trPr>
          <w:cnfStyle w:val="000000010000" w:firstRow="0" w:lastRow="0" w:firstColumn="0" w:lastColumn="0" w:oddVBand="0" w:evenVBand="0" w:oddHBand="0" w:evenHBand="1" w:firstRowFirstColumn="0" w:firstRowLastColumn="0" w:lastRowFirstColumn="0" w:lastRowLastColumn="0"/>
          <w:trHeight w:val="300"/>
        </w:trPr>
        <w:tc>
          <w:tcPr>
            <w:tcW w:w="1413" w:type="dxa"/>
            <w:hideMark/>
          </w:tcPr>
          <w:p w14:paraId="5A43224B" w14:textId="77777777" w:rsidR="006212DA" w:rsidRPr="00666B34" w:rsidRDefault="006212DA" w:rsidP="005F6ADC">
            <w:pPr>
              <w:rPr>
                <w:rFonts w:eastAsia="Times New Roman" w:cs="Arial"/>
                <w:color w:val="000000"/>
                <w:sz w:val="18"/>
                <w:szCs w:val="18"/>
                <w:lang w:eastAsia="en-AU"/>
              </w:rPr>
            </w:pPr>
            <w:r w:rsidRPr="00666B34">
              <w:rPr>
                <w:rFonts w:eastAsia="Times New Roman" w:cs="Arial"/>
                <w:color w:val="000000"/>
                <w:sz w:val="18"/>
                <w:szCs w:val="18"/>
                <w:lang w:eastAsia="en-AU"/>
              </w:rPr>
              <w:t xml:space="preserve">Child Carers </w:t>
            </w:r>
          </w:p>
        </w:tc>
        <w:tc>
          <w:tcPr>
            <w:tcW w:w="1134" w:type="dxa"/>
            <w:noWrap/>
            <w:hideMark/>
          </w:tcPr>
          <w:p w14:paraId="5C8784CA" w14:textId="77777777" w:rsidR="006212DA" w:rsidRPr="00666B34" w:rsidRDefault="006212DA" w:rsidP="005F6ADC">
            <w:pPr>
              <w:jc w:val="center"/>
              <w:rPr>
                <w:rFonts w:eastAsia="Times New Roman" w:cs="Arial"/>
                <w:color w:val="000000"/>
                <w:sz w:val="18"/>
                <w:szCs w:val="18"/>
                <w:lang w:eastAsia="en-AU"/>
              </w:rPr>
            </w:pPr>
            <w:r w:rsidRPr="00666B34">
              <w:rPr>
                <w:rFonts w:eastAsia="Times New Roman" w:cs="Arial"/>
                <w:color w:val="000000"/>
                <w:sz w:val="18"/>
                <w:szCs w:val="18"/>
                <w:lang w:eastAsia="en-AU"/>
              </w:rPr>
              <w:t>228,000</w:t>
            </w:r>
          </w:p>
        </w:tc>
        <w:tc>
          <w:tcPr>
            <w:tcW w:w="1522" w:type="dxa"/>
            <w:noWrap/>
            <w:hideMark/>
          </w:tcPr>
          <w:p w14:paraId="55FE28A6" w14:textId="77777777" w:rsidR="006212DA" w:rsidRPr="00666B34" w:rsidRDefault="006212DA" w:rsidP="005F6ADC">
            <w:pPr>
              <w:jc w:val="center"/>
              <w:rPr>
                <w:rFonts w:eastAsia="Times New Roman" w:cs="Arial"/>
                <w:color w:val="000000"/>
                <w:sz w:val="18"/>
                <w:szCs w:val="18"/>
                <w:lang w:eastAsia="en-AU"/>
              </w:rPr>
            </w:pPr>
            <w:r w:rsidRPr="00666B34">
              <w:rPr>
                <w:rFonts w:eastAsia="Times New Roman" w:cs="Arial"/>
                <w:color w:val="000000"/>
                <w:sz w:val="18"/>
                <w:szCs w:val="18"/>
                <w:lang w:eastAsia="en-AU"/>
              </w:rPr>
              <w:t>33,000</w:t>
            </w:r>
          </w:p>
        </w:tc>
        <w:tc>
          <w:tcPr>
            <w:tcW w:w="1074" w:type="dxa"/>
            <w:noWrap/>
            <w:hideMark/>
          </w:tcPr>
          <w:p w14:paraId="126A5E65" w14:textId="77777777" w:rsidR="006212DA" w:rsidRPr="00666B34" w:rsidRDefault="006212DA" w:rsidP="005F6ADC">
            <w:pPr>
              <w:jc w:val="center"/>
              <w:rPr>
                <w:rFonts w:eastAsia="Times New Roman" w:cs="Arial"/>
                <w:color w:val="000000"/>
                <w:sz w:val="18"/>
                <w:szCs w:val="18"/>
                <w:lang w:eastAsia="en-AU"/>
              </w:rPr>
            </w:pPr>
            <w:r w:rsidRPr="00666B34">
              <w:rPr>
                <w:rFonts w:eastAsia="Times New Roman" w:cs="Arial"/>
                <w:color w:val="000000"/>
                <w:sz w:val="18"/>
                <w:szCs w:val="18"/>
                <w:lang w:eastAsia="en-AU"/>
              </w:rPr>
              <w:t>1.6</w:t>
            </w:r>
          </w:p>
        </w:tc>
        <w:tc>
          <w:tcPr>
            <w:tcW w:w="990" w:type="dxa"/>
            <w:noWrap/>
            <w:hideMark/>
          </w:tcPr>
          <w:p w14:paraId="15B4065C" w14:textId="77777777" w:rsidR="006212DA" w:rsidRPr="00666B34" w:rsidRDefault="006212DA" w:rsidP="005F6ADC">
            <w:pPr>
              <w:jc w:val="center"/>
              <w:rPr>
                <w:rFonts w:eastAsia="Times New Roman" w:cs="Arial"/>
                <w:color w:val="000000"/>
                <w:sz w:val="18"/>
                <w:szCs w:val="18"/>
                <w:lang w:eastAsia="en-AU"/>
              </w:rPr>
            </w:pPr>
            <w:r w:rsidRPr="00666B34">
              <w:rPr>
                <w:rFonts w:eastAsia="Times New Roman" w:cs="Arial"/>
                <w:color w:val="000000"/>
                <w:sz w:val="18"/>
                <w:szCs w:val="18"/>
                <w:lang w:eastAsia="en-AU"/>
              </w:rPr>
              <w:t>246,000</w:t>
            </w:r>
          </w:p>
        </w:tc>
        <w:tc>
          <w:tcPr>
            <w:tcW w:w="1888" w:type="dxa"/>
            <w:noWrap/>
            <w:hideMark/>
          </w:tcPr>
          <w:p w14:paraId="3664BDB5" w14:textId="77777777" w:rsidR="006212DA" w:rsidRPr="00666B34" w:rsidRDefault="006212DA" w:rsidP="005F6ADC">
            <w:pPr>
              <w:jc w:val="center"/>
              <w:rPr>
                <w:rFonts w:eastAsia="Times New Roman" w:cs="Arial"/>
                <w:color w:val="000000"/>
                <w:sz w:val="18"/>
                <w:szCs w:val="18"/>
                <w:lang w:eastAsia="en-AU"/>
              </w:rPr>
            </w:pPr>
            <w:r w:rsidRPr="00666B34">
              <w:rPr>
                <w:rFonts w:eastAsia="Times New Roman" w:cs="Arial"/>
                <w:color w:val="000000"/>
                <w:sz w:val="18"/>
                <w:szCs w:val="18"/>
                <w:lang w:eastAsia="en-AU"/>
              </w:rPr>
              <w:t>52,000</w:t>
            </w:r>
          </w:p>
        </w:tc>
        <w:tc>
          <w:tcPr>
            <w:tcW w:w="995" w:type="dxa"/>
            <w:noWrap/>
            <w:hideMark/>
          </w:tcPr>
          <w:p w14:paraId="51CE8AC4" w14:textId="77777777" w:rsidR="006212DA" w:rsidRPr="00666B34" w:rsidRDefault="006212DA" w:rsidP="005F6ADC">
            <w:pPr>
              <w:jc w:val="center"/>
              <w:rPr>
                <w:rFonts w:eastAsia="Times New Roman" w:cs="Arial"/>
                <w:color w:val="000000"/>
                <w:sz w:val="18"/>
                <w:szCs w:val="18"/>
                <w:lang w:eastAsia="en-AU"/>
              </w:rPr>
            </w:pPr>
            <w:r w:rsidRPr="00666B34">
              <w:rPr>
                <w:rFonts w:eastAsia="Times New Roman" w:cs="Arial"/>
                <w:color w:val="000000"/>
                <w:sz w:val="18"/>
                <w:szCs w:val="18"/>
                <w:lang w:eastAsia="en-AU"/>
              </w:rPr>
              <w:t>2.4</w:t>
            </w:r>
          </w:p>
        </w:tc>
      </w:tr>
      <w:tr w:rsidR="006212DA" w:rsidRPr="00523029" w14:paraId="3DCF66AB" w14:textId="77777777" w:rsidTr="005F6ADC">
        <w:trPr>
          <w:trHeight w:val="426"/>
        </w:trPr>
        <w:tc>
          <w:tcPr>
            <w:tcW w:w="0" w:type="dxa"/>
            <w:hideMark/>
          </w:tcPr>
          <w:p w14:paraId="6B0CE4FC" w14:textId="77777777" w:rsidR="006212DA" w:rsidRPr="00666B34" w:rsidRDefault="006212DA" w:rsidP="005F6ADC">
            <w:pPr>
              <w:rPr>
                <w:rFonts w:eastAsia="Times New Roman" w:cs="Arial"/>
                <w:b/>
                <w:bCs/>
                <w:color w:val="000000"/>
                <w:sz w:val="18"/>
                <w:szCs w:val="18"/>
                <w:lang w:eastAsia="en-AU"/>
              </w:rPr>
            </w:pPr>
            <w:r w:rsidRPr="00666B34">
              <w:rPr>
                <w:rFonts w:eastAsia="Times New Roman" w:cs="Arial"/>
                <w:b/>
                <w:bCs/>
                <w:color w:val="000000"/>
                <w:sz w:val="18"/>
                <w:szCs w:val="18"/>
                <w:lang w:eastAsia="en-AU"/>
              </w:rPr>
              <w:t>Total ECEC Workforce</w:t>
            </w:r>
          </w:p>
        </w:tc>
        <w:tc>
          <w:tcPr>
            <w:tcW w:w="1134" w:type="dxa"/>
            <w:noWrap/>
            <w:hideMark/>
          </w:tcPr>
          <w:p w14:paraId="68B98829" w14:textId="77777777" w:rsidR="006212DA" w:rsidRPr="00666B34" w:rsidRDefault="006212DA" w:rsidP="005F6ADC">
            <w:pPr>
              <w:jc w:val="center"/>
              <w:rPr>
                <w:rFonts w:eastAsia="Times New Roman" w:cs="Arial"/>
                <w:b/>
                <w:bCs/>
                <w:color w:val="000000"/>
                <w:sz w:val="18"/>
                <w:szCs w:val="18"/>
                <w:lang w:eastAsia="en-AU"/>
              </w:rPr>
            </w:pPr>
            <w:r w:rsidRPr="00666B34">
              <w:rPr>
                <w:rFonts w:eastAsia="Times New Roman" w:cs="Arial"/>
                <w:b/>
                <w:bCs/>
                <w:color w:val="000000"/>
                <w:sz w:val="18"/>
                <w:szCs w:val="18"/>
                <w:lang w:eastAsia="en-AU"/>
              </w:rPr>
              <w:t>314,000</w:t>
            </w:r>
          </w:p>
        </w:tc>
        <w:tc>
          <w:tcPr>
            <w:tcW w:w="1522" w:type="dxa"/>
            <w:noWrap/>
            <w:hideMark/>
          </w:tcPr>
          <w:p w14:paraId="30A98D66" w14:textId="77777777" w:rsidR="006212DA" w:rsidRPr="00666B34" w:rsidRDefault="006212DA" w:rsidP="005F6ADC">
            <w:pPr>
              <w:jc w:val="center"/>
              <w:rPr>
                <w:rFonts w:eastAsia="Times New Roman" w:cs="Arial"/>
                <w:b/>
                <w:bCs/>
                <w:color w:val="000000"/>
                <w:sz w:val="18"/>
                <w:szCs w:val="18"/>
                <w:lang w:eastAsia="en-AU"/>
              </w:rPr>
            </w:pPr>
            <w:r w:rsidRPr="00666B34">
              <w:rPr>
                <w:rFonts w:eastAsia="Times New Roman" w:cs="Arial"/>
                <w:b/>
                <w:bCs/>
                <w:color w:val="000000"/>
                <w:sz w:val="18"/>
                <w:szCs w:val="18"/>
                <w:lang w:eastAsia="en-AU"/>
              </w:rPr>
              <w:t>54,000</w:t>
            </w:r>
          </w:p>
        </w:tc>
        <w:tc>
          <w:tcPr>
            <w:tcW w:w="0" w:type="dxa"/>
            <w:noWrap/>
            <w:hideMark/>
          </w:tcPr>
          <w:p w14:paraId="73A2493C" w14:textId="77777777" w:rsidR="006212DA" w:rsidRPr="00666B34" w:rsidRDefault="006212DA" w:rsidP="005F6ADC">
            <w:pPr>
              <w:jc w:val="center"/>
              <w:rPr>
                <w:rFonts w:eastAsia="Times New Roman" w:cs="Arial"/>
                <w:b/>
                <w:bCs/>
                <w:color w:val="000000"/>
                <w:sz w:val="18"/>
                <w:szCs w:val="18"/>
                <w:lang w:eastAsia="en-AU"/>
              </w:rPr>
            </w:pPr>
            <w:r w:rsidRPr="00666B34">
              <w:rPr>
                <w:rFonts w:eastAsia="Times New Roman" w:cs="Arial"/>
                <w:b/>
                <w:bCs/>
                <w:color w:val="000000"/>
                <w:sz w:val="18"/>
                <w:szCs w:val="18"/>
                <w:lang w:eastAsia="en-AU"/>
              </w:rPr>
              <w:t>1.9</w:t>
            </w:r>
          </w:p>
        </w:tc>
        <w:tc>
          <w:tcPr>
            <w:tcW w:w="0" w:type="dxa"/>
            <w:noWrap/>
            <w:hideMark/>
          </w:tcPr>
          <w:p w14:paraId="33E07211" w14:textId="77777777" w:rsidR="006212DA" w:rsidRPr="00666B34" w:rsidRDefault="006212DA" w:rsidP="005F6ADC">
            <w:pPr>
              <w:jc w:val="center"/>
              <w:rPr>
                <w:rFonts w:eastAsia="Times New Roman" w:cs="Arial"/>
                <w:b/>
                <w:bCs/>
                <w:color w:val="000000"/>
                <w:sz w:val="18"/>
                <w:szCs w:val="18"/>
                <w:lang w:eastAsia="en-AU"/>
              </w:rPr>
            </w:pPr>
            <w:r w:rsidRPr="00666B34">
              <w:rPr>
                <w:rFonts w:eastAsia="Times New Roman" w:cs="Arial"/>
                <w:b/>
                <w:bCs/>
                <w:color w:val="000000"/>
                <w:sz w:val="18"/>
                <w:szCs w:val="18"/>
                <w:lang w:eastAsia="en-AU"/>
              </w:rPr>
              <w:t>349,000</w:t>
            </w:r>
          </w:p>
        </w:tc>
        <w:tc>
          <w:tcPr>
            <w:tcW w:w="0" w:type="dxa"/>
            <w:noWrap/>
            <w:hideMark/>
          </w:tcPr>
          <w:p w14:paraId="4484C5F9" w14:textId="77777777" w:rsidR="006212DA" w:rsidRPr="00666B34" w:rsidRDefault="006212DA" w:rsidP="005F6ADC">
            <w:pPr>
              <w:jc w:val="center"/>
              <w:rPr>
                <w:rFonts w:eastAsia="Times New Roman" w:cs="Arial"/>
                <w:b/>
                <w:bCs/>
                <w:color w:val="000000"/>
                <w:sz w:val="18"/>
                <w:szCs w:val="18"/>
                <w:lang w:eastAsia="en-AU"/>
              </w:rPr>
            </w:pPr>
            <w:r w:rsidRPr="00666B34">
              <w:rPr>
                <w:rFonts w:eastAsia="Times New Roman" w:cs="Arial"/>
                <w:b/>
                <w:bCs/>
                <w:color w:val="000000"/>
                <w:sz w:val="18"/>
                <w:szCs w:val="18"/>
                <w:lang w:eastAsia="en-AU"/>
              </w:rPr>
              <w:t>89,000</w:t>
            </w:r>
          </w:p>
        </w:tc>
        <w:tc>
          <w:tcPr>
            <w:tcW w:w="0" w:type="dxa"/>
            <w:noWrap/>
            <w:hideMark/>
          </w:tcPr>
          <w:p w14:paraId="34ABCC75" w14:textId="77777777" w:rsidR="006212DA" w:rsidRPr="00666B34" w:rsidRDefault="006212DA" w:rsidP="005F6ADC">
            <w:pPr>
              <w:jc w:val="center"/>
              <w:rPr>
                <w:rFonts w:eastAsia="Times New Roman" w:cs="Arial"/>
                <w:b/>
                <w:bCs/>
                <w:color w:val="000000"/>
                <w:sz w:val="18"/>
                <w:szCs w:val="18"/>
                <w:lang w:eastAsia="en-AU"/>
              </w:rPr>
            </w:pPr>
            <w:r w:rsidRPr="00666B34">
              <w:rPr>
                <w:rFonts w:eastAsia="Times New Roman" w:cs="Arial"/>
                <w:b/>
                <w:bCs/>
                <w:color w:val="000000"/>
                <w:sz w:val="18"/>
                <w:szCs w:val="18"/>
                <w:lang w:eastAsia="en-AU"/>
              </w:rPr>
              <w:t>3.0</w:t>
            </w:r>
          </w:p>
        </w:tc>
      </w:tr>
    </w:tbl>
    <w:p w14:paraId="58A27082" w14:textId="77777777" w:rsidR="006212DA" w:rsidRDefault="006212DA" w:rsidP="004777E0">
      <w:pPr>
        <w:pStyle w:val="Source"/>
        <w:rPr>
          <w:i/>
          <w:iCs/>
        </w:rPr>
      </w:pPr>
      <w:r w:rsidRPr="009B0CB4">
        <w:t>Source</w:t>
      </w:r>
      <w:r>
        <w:t>:</w:t>
      </w:r>
      <w:r w:rsidRPr="009B0CB4">
        <w:t xml:space="preserve"> </w:t>
      </w:r>
      <w:r>
        <w:t xml:space="preserve">Commissioned </w:t>
      </w:r>
      <w:r w:rsidRPr="00732EBF">
        <w:t>Deloitte Access Economics</w:t>
      </w:r>
      <w:r>
        <w:t xml:space="preserve"> modelling for JSA ECEC Capacity Study</w:t>
      </w:r>
      <w:r w:rsidRPr="009B0CB4">
        <w:t>.</w:t>
      </w:r>
    </w:p>
    <w:p w14:paraId="6AC30284" w14:textId="77777777" w:rsidR="006212DA" w:rsidRPr="009F5C1C" w:rsidRDefault="006212DA" w:rsidP="006212DA"/>
    <w:p w14:paraId="5644733E" w14:textId="77777777" w:rsidR="006212DA" w:rsidRDefault="006212DA" w:rsidP="006212DA">
      <w:pPr>
        <w:pStyle w:val="Caption"/>
        <w:rPr>
          <w:b w:val="0"/>
          <w:bCs w:val="0"/>
          <w:i/>
          <w:iCs/>
        </w:rPr>
      </w:pPr>
      <w:r>
        <w:t>Figure</w:t>
      </w:r>
      <w:r w:rsidRPr="008A5F33">
        <w:t xml:space="preserve"> 4</w:t>
      </w:r>
      <w:r>
        <w:t>.2</w:t>
      </w:r>
      <w:r w:rsidRPr="008A5F33">
        <w:t xml:space="preserve"> </w:t>
      </w:r>
      <w:r w:rsidRPr="005A5A9C">
        <w:t>ECEC staff</w:t>
      </w:r>
      <w:r>
        <w:t xml:space="preserve"> demand</w:t>
      </w:r>
      <w:r w:rsidRPr="00CA0175">
        <w:t xml:space="preserve"> projections</w:t>
      </w:r>
      <w:r>
        <w:t xml:space="preserve"> by </w:t>
      </w:r>
      <w:r w:rsidRPr="008A5F33">
        <w:t>scenario 2024-34</w:t>
      </w:r>
    </w:p>
    <w:p w14:paraId="1B0603F1" w14:textId="77777777" w:rsidR="006212DA" w:rsidRPr="005A5A9C" w:rsidRDefault="006212DA" w:rsidP="006212DA">
      <w:r w:rsidRPr="000718BF">
        <w:rPr>
          <w:noProof/>
        </w:rPr>
        <w:drawing>
          <wp:inline distT="0" distB="0" distL="0" distR="0" wp14:anchorId="7128E1AE" wp14:editId="76905090">
            <wp:extent cx="5630061" cy="3629532"/>
            <wp:effectExtent l="0" t="0" r="8890" b="9525"/>
            <wp:docPr id="453163006" name="Picture 1" descr="ECEC staff demand projections by scenario 2024-34. Growth is expected to be most rapid for the Committed Policies scenario and the Universal Access scen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163006" name="Picture 1" descr="ECEC staff demand projections by scenario 2024-34. Growth is expected to be most rapid for the Committed Policies scenario and the Universal Access scenario."/>
                    <pic:cNvPicPr/>
                  </pic:nvPicPr>
                  <pic:blipFill>
                    <a:blip r:embed="rId124"/>
                    <a:stretch>
                      <a:fillRect/>
                    </a:stretch>
                  </pic:blipFill>
                  <pic:spPr>
                    <a:xfrm>
                      <a:off x="0" y="0"/>
                      <a:ext cx="5630061" cy="3629532"/>
                    </a:xfrm>
                    <a:prstGeom prst="rect">
                      <a:avLst/>
                    </a:prstGeom>
                  </pic:spPr>
                </pic:pic>
              </a:graphicData>
            </a:graphic>
          </wp:inline>
        </w:drawing>
      </w:r>
    </w:p>
    <w:p w14:paraId="50D1F60A" w14:textId="77777777" w:rsidR="006212DA" w:rsidRPr="009B0CB4" w:rsidRDefault="006212DA" w:rsidP="006212DA">
      <w:pPr>
        <w:pStyle w:val="Source"/>
        <w:rPr>
          <w:i/>
        </w:rPr>
      </w:pPr>
      <w:r w:rsidRPr="009B0CB4">
        <w:t>Source</w:t>
      </w:r>
      <w:r>
        <w:t>:</w:t>
      </w:r>
      <w:r w:rsidRPr="009B0CB4">
        <w:t xml:space="preserve"> </w:t>
      </w:r>
      <w:r>
        <w:t xml:space="preserve">Commissioned </w:t>
      </w:r>
      <w:r w:rsidRPr="00732EBF">
        <w:t>Deloitte Access Economics</w:t>
      </w:r>
      <w:r>
        <w:t xml:space="preserve"> modelling for JSA ECEC Capacity Study</w:t>
      </w:r>
      <w:r w:rsidRPr="009B0CB4">
        <w:t>.</w:t>
      </w:r>
    </w:p>
    <w:p w14:paraId="21D8AE08" w14:textId="77777777" w:rsidR="006212DA" w:rsidRDefault="006212DA" w:rsidP="006212DA"/>
    <w:p w14:paraId="10993EED" w14:textId="77777777" w:rsidR="006212DA" w:rsidRPr="0027530A" w:rsidRDefault="006212DA" w:rsidP="006212DA">
      <w:pPr>
        <w:pStyle w:val="Heading2"/>
      </w:pPr>
      <w:bookmarkStart w:id="159" w:name="_Toc174363716"/>
      <w:r>
        <w:lastRenderedPageBreak/>
        <w:t>Future Workforce Supply and Emerging Gaps</w:t>
      </w:r>
      <w:bookmarkEnd w:id="159"/>
      <w:r>
        <w:t xml:space="preserve"> </w:t>
      </w:r>
    </w:p>
    <w:p w14:paraId="620FD1A7" w14:textId="77777777" w:rsidR="006212DA" w:rsidRPr="007C7E23" w:rsidRDefault="006212DA" w:rsidP="006212DA">
      <w:r>
        <w:t xml:space="preserve">This section presents analysis on future workforce supply and emerging gaps and covers supply of </w:t>
      </w:r>
      <w:r>
        <w:rPr>
          <w:i/>
          <w:iCs/>
        </w:rPr>
        <w:t>Child Carers</w:t>
      </w:r>
      <w:r>
        <w:t xml:space="preserve">, </w:t>
      </w:r>
      <w:r>
        <w:rPr>
          <w:i/>
          <w:iCs/>
        </w:rPr>
        <w:t xml:space="preserve">Early Childhood Teacher </w:t>
      </w:r>
      <w:r w:rsidRPr="007C7E23">
        <w:t>and</w:t>
      </w:r>
      <w:r>
        <w:rPr>
          <w:i/>
          <w:iCs/>
        </w:rPr>
        <w:t xml:space="preserve"> Childcare Centre Managers. </w:t>
      </w:r>
      <w:r>
        <w:t xml:space="preserve">The section concludes with analysis of emerging gaps and findings. </w:t>
      </w:r>
    </w:p>
    <w:p w14:paraId="13EADF6B" w14:textId="77777777" w:rsidR="006212DA" w:rsidRPr="00CA6077" w:rsidRDefault="006212DA" w:rsidP="006212DA">
      <w:r w:rsidRPr="00D276ED">
        <w:t xml:space="preserve">The below occupational </w:t>
      </w:r>
      <w:r>
        <w:t xml:space="preserve">supply projection gives us </w:t>
      </w:r>
      <w:r w:rsidRPr="00CA6077">
        <w:t xml:space="preserve">an indication of supply trends if existing conditions are maintained. </w:t>
      </w:r>
      <w:r>
        <w:t xml:space="preserve">The number of qualified staff </w:t>
      </w:r>
      <w:r w:rsidRPr="00CA6077">
        <w:t>suppl</w:t>
      </w:r>
      <w:r>
        <w:t>ied</w:t>
      </w:r>
      <w:r w:rsidRPr="00CA6077">
        <w:t xml:space="preserve"> is expected to increase by 2.0% per year over the next 10 years</w:t>
      </w:r>
      <w:r>
        <w:t xml:space="preserve"> (or around 44,000 additional staff over the period) from the current modelled estimate of around 203,000 appropriately qualified staff</w:t>
      </w:r>
      <w:r w:rsidRPr="00CA6077">
        <w:t xml:space="preserve">. The biggest contributions to aggregate supply growth are expected to come from VET completions </w:t>
      </w:r>
      <w:r>
        <w:t xml:space="preserve">and </w:t>
      </w:r>
      <w:r w:rsidRPr="00CA6077">
        <w:t xml:space="preserve">‘movements between </w:t>
      </w:r>
      <w:proofErr w:type="gramStart"/>
      <w:r w:rsidRPr="00CA6077">
        <w:t>occupations’</w:t>
      </w:r>
      <w:proofErr w:type="gramEnd"/>
      <w:r w:rsidRPr="00CA6077">
        <w:t xml:space="preserve">. </w:t>
      </w:r>
    </w:p>
    <w:p w14:paraId="3489C6FE" w14:textId="77777777" w:rsidR="006212DA" w:rsidRPr="00CA6077" w:rsidRDefault="006212DA" w:rsidP="006212DA">
      <w:pPr>
        <w:pStyle w:val="Heading3"/>
        <w:rPr>
          <w:i/>
          <w:iCs/>
        </w:rPr>
      </w:pPr>
      <w:r w:rsidRPr="00CA6077">
        <w:t xml:space="preserve">Supply of </w:t>
      </w:r>
      <w:r w:rsidRPr="00CA6077">
        <w:rPr>
          <w:i/>
          <w:iCs/>
        </w:rPr>
        <w:t>Child Carers</w:t>
      </w:r>
    </w:p>
    <w:p w14:paraId="24A3BDD1" w14:textId="77777777" w:rsidR="006212DA" w:rsidRPr="00CA6077" w:rsidRDefault="006212DA" w:rsidP="006212DA">
      <w:r w:rsidRPr="00CA6077">
        <w:t xml:space="preserve">The supply of </w:t>
      </w:r>
      <w:r w:rsidRPr="007C7E23">
        <w:rPr>
          <w:i/>
        </w:rPr>
        <w:t>Child Carers</w:t>
      </w:r>
      <w:r w:rsidRPr="00CA6077">
        <w:t xml:space="preserve"> is expected to grow over the next 10 years by 2.0% per year</w:t>
      </w:r>
      <w:r>
        <w:t xml:space="preserve"> (or around 35,000 additional staff over the period).</w:t>
      </w:r>
      <w:r w:rsidRPr="00CA6077">
        <w:t xml:space="preserve"> The </w:t>
      </w:r>
      <w:r w:rsidRPr="00CA6077">
        <w:rPr>
          <w:i/>
          <w:iCs/>
        </w:rPr>
        <w:t>Child Care Worker</w:t>
      </w:r>
      <w:r w:rsidRPr="00CA6077">
        <w:t xml:space="preserve"> occupation is expected to experience the highest injection of supply from new training completions (1.9% per year) and movements between occupations (1.3% per year). Workforce inflows into the </w:t>
      </w:r>
      <w:r w:rsidRPr="00CA6077">
        <w:rPr>
          <w:i/>
          <w:iCs/>
        </w:rPr>
        <w:t>Child Care Worker</w:t>
      </w:r>
      <w:r w:rsidRPr="00CA6077">
        <w:t xml:space="preserve"> occupation predominantly came from outside the ECEC sector. This includes both lower-skilled roles (such as retail or hospitality) and non-ECEC teacher roles, who may initially work as </w:t>
      </w:r>
      <w:r w:rsidRPr="00CA6077">
        <w:rPr>
          <w:i/>
          <w:iCs/>
        </w:rPr>
        <w:t>Child Care Workers</w:t>
      </w:r>
      <w:r w:rsidRPr="00CA6077">
        <w:t xml:space="preserve"> before being qualified as </w:t>
      </w:r>
      <w:r w:rsidRPr="00CA6077">
        <w:rPr>
          <w:i/>
          <w:iCs/>
        </w:rPr>
        <w:t>Early Childhood (Pre-primary School) Teachers</w:t>
      </w:r>
      <w:r w:rsidRPr="00CA6077">
        <w:t>.</w:t>
      </w:r>
    </w:p>
    <w:p w14:paraId="38B5AF9A" w14:textId="77777777" w:rsidR="006212DA" w:rsidRPr="00CA6077" w:rsidRDefault="006212DA" w:rsidP="006212DA">
      <w:pPr>
        <w:pStyle w:val="Heading3"/>
      </w:pPr>
      <w:r w:rsidRPr="00CA6077">
        <w:t xml:space="preserve">Supply of </w:t>
      </w:r>
      <w:r w:rsidRPr="00CA6077">
        <w:rPr>
          <w:i/>
          <w:iCs/>
        </w:rPr>
        <w:t>Early Childhood Teacher</w:t>
      </w:r>
      <w:r>
        <w:rPr>
          <w:i/>
          <w:iCs/>
        </w:rPr>
        <w:t>s</w:t>
      </w:r>
    </w:p>
    <w:p w14:paraId="2D1E7506" w14:textId="77777777" w:rsidR="006212DA" w:rsidRPr="00CA6077" w:rsidRDefault="006212DA" w:rsidP="006212DA">
      <w:r w:rsidRPr="00CA6077">
        <w:t xml:space="preserve">The </w:t>
      </w:r>
      <w:r w:rsidRPr="00CA6077">
        <w:rPr>
          <w:i/>
          <w:iCs/>
        </w:rPr>
        <w:t>Early Childhood Teacher</w:t>
      </w:r>
      <w:r w:rsidRPr="00CA6077">
        <w:t xml:space="preserve"> occupation is anticipated to record modest supply growth increasing by 1.9% per year</w:t>
      </w:r>
      <w:r>
        <w:t xml:space="preserve"> (or around 6,000 extra staff over the period)</w:t>
      </w:r>
      <w:r w:rsidRPr="00CA6077">
        <w:t xml:space="preserve">. </w:t>
      </w:r>
      <w:r>
        <w:t xml:space="preserve">The occupation is expected to experience </w:t>
      </w:r>
      <w:r w:rsidRPr="00CA6077">
        <w:t xml:space="preserve">growth in supply </w:t>
      </w:r>
      <w:r>
        <w:t xml:space="preserve">mainly </w:t>
      </w:r>
      <w:r w:rsidRPr="00CA6077">
        <w:t xml:space="preserve">from </w:t>
      </w:r>
      <w:r>
        <w:t>‘</w:t>
      </w:r>
      <w:r w:rsidRPr="00CA6077">
        <w:t>movements between occupations</w:t>
      </w:r>
      <w:r>
        <w:t>’</w:t>
      </w:r>
      <w:r w:rsidRPr="00CA6077">
        <w:t xml:space="preserve"> (1.</w:t>
      </w:r>
      <w:r>
        <w:t>9</w:t>
      </w:r>
      <w:r w:rsidRPr="00CA6077">
        <w:t>% per year). This is</w:t>
      </w:r>
      <w:r>
        <w:t xml:space="preserve"> partly</w:t>
      </w:r>
      <w:r w:rsidRPr="00CA6077">
        <w:t xml:space="preserve"> due to upskilling from other ECEC roles, with sizeable inflows also observed from Primary School Teachers </w:t>
      </w:r>
      <w:r>
        <w:t>(</w:t>
      </w:r>
      <w:r w:rsidRPr="00CA6077">
        <w:t xml:space="preserve">and </w:t>
      </w:r>
      <w:r>
        <w:t xml:space="preserve">to a lesser extent </w:t>
      </w:r>
      <w:r w:rsidRPr="00CA6077">
        <w:t>Secondary School Teachers</w:t>
      </w:r>
      <w:r>
        <w:t>)</w:t>
      </w:r>
      <w:r w:rsidRPr="00CA6077">
        <w:t>, who may obtain an ECEC qualification or registration to work in preschool education.</w:t>
      </w:r>
    </w:p>
    <w:p w14:paraId="047C2500" w14:textId="77777777" w:rsidR="006212DA" w:rsidRPr="00CA6077" w:rsidRDefault="006212DA" w:rsidP="006212DA">
      <w:pPr>
        <w:pStyle w:val="Heading3"/>
      </w:pPr>
      <w:r w:rsidRPr="00CA6077">
        <w:t>Supply of</w:t>
      </w:r>
      <w:r w:rsidRPr="00CA6077">
        <w:rPr>
          <w:i/>
          <w:iCs/>
        </w:rPr>
        <w:t xml:space="preserve"> </w:t>
      </w:r>
      <w:r w:rsidRPr="397143C4">
        <w:rPr>
          <w:i/>
          <w:iCs/>
        </w:rPr>
        <w:t>Child Care</w:t>
      </w:r>
      <w:r w:rsidRPr="00CA6077">
        <w:rPr>
          <w:i/>
          <w:iCs/>
        </w:rPr>
        <w:t xml:space="preserve"> Centre Managers</w:t>
      </w:r>
    </w:p>
    <w:p w14:paraId="29A41EDC" w14:textId="77777777" w:rsidR="006212DA" w:rsidRPr="00462EFA" w:rsidRDefault="006212DA" w:rsidP="006212DA">
      <w:r>
        <w:t xml:space="preserve">The supply of </w:t>
      </w:r>
      <w:r w:rsidRPr="397143C4">
        <w:rPr>
          <w:i/>
          <w:iCs/>
        </w:rPr>
        <w:t>Child Care</w:t>
      </w:r>
      <w:r w:rsidRPr="00CA6077">
        <w:rPr>
          <w:i/>
          <w:iCs/>
        </w:rPr>
        <w:t xml:space="preserve"> Centre Managers</w:t>
      </w:r>
      <w:r w:rsidRPr="00CA6077">
        <w:t xml:space="preserve"> is expected to </w:t>
      </w:r>
      <w:r>
        <w:t>increase by around 4,000 additional staff over the forecast period</w:t>
      </w:r>
      <w:r w:rsidRPr="00CA6077">
        <w:t xml:space="preserve">. The </w:t>
      </w:r>
      <w:r w:rsidRPr="00CA6077">
        <w:rPr>
          <w:i/>
          <w:iCs/>
        </w:rPr>
        <w:t>Child Care Centre Manager</w:t>
      </w:r>
      <w:r w:rsidRPr="00CA6077">
        <w:t xml:space="preserve"> occupation is expected to experience the biggest net</w:t>
      </w:r>
      <w:r w:rsidRPr="00462EFA">
        <w:t xml:space="preserve"> inflows (3.</w:t>
      </w:r>
      <w:r>
        <w:t>5%</w:t>
      </w:r>
      <w:r w:rsidRPr="00462EFA">
        <w:t xml:space="preserve"> per year), with almost 90</w:t>
      </w:r>
      <w:r>
        <w:t>%</w:t>
      </w:r>
      <w:r w:rsidRPr="00462EFA">
        <w:t xml:space="preserve"> of inflows into this role likely coming from other ECEC</w:t>
      </w:r>
      <w:r>
        <w:t>-specific</w:t>
      </w:r>
      <w:r w:rsidRPr="00462EFA">
        <w:t xml:space="preserve"> occupations. Retirements for this occupation (</w:t>
      </w:r>
      <w:r>
        <w:t xml:space="preserve">1.7% </w:t>
      </w:r>
      <w:r w:rsidRPr="00462EFA">
        <w:t xml:space="preserve">per year) were also the highest, reflecting a workforce composed of </w:t>
      </w:r>
      <w:r>
        <w:t xml:space="preserve">staff that are </w:t>
      </w:r>
      <w:r w:rsidRPr="00462EFA">
        <w:t xml:space="preserve">older </w:t>
      </w:r>
      <w:r>
        <w:t>on average than the other ECEC occupations</w:t>
      </w:r>
      <w:r w:rsidRPr="00462EFA">
        <w:t xml:space="preserve">. </w:t>
      </w:r>
    </w:p>
    <w:p w14:paraId="184097B2" w14:textId="77777777" w:rsidR="006212DA" w:rsidRPr="002350A0" w:rsidRDefault="006212DA" w:rsidP="006212DA">
      <w:pPr>
        <w:pStyle w:val="Caption"/>
        <w:rPr>
          <w:b w:val="0"/>
          <w:bCs w:val="0"/>
        </w:rPr>
      </w:pPr>
      <w:r w:rsidRPr="002350A0">
        <w:lastRenderedPageBreak/>
        <w:t xml:space="preserve">Table </w:t>
      </w:r>
      <w:r>
        <w:t>4</w:t>
      </w:r>
      <w:r w:rsidRPr="002350A0">
        <w:t>.</w:t>
      </w:r>
      <w:r>
        <w:t>3</w:t>
      </w:r>
      <w:r w:rsidRPr="002350A0">
        <w:t xml:space="preserve"> Core Supply Projections by occupation 202</w:t>
      </w:r>
      <w:r>
        <w:t>4</w:t>
      </w:r>
      <w:r w:rsidRPr="002350A0">
        <w:t>-34</w:t>
      </w:r>
      <w:r w:rsidRPr="001F3AE2">
        <w:rPr>
          <w:rStyle w:val="FootnoteReference"/>
        </w:rPr>
        <w:footnoteReference w:id="65"/>
      </w:r>
    </w:p>
    <w:tbl>
      <w:tblPr>
        <w:tblStyle w:val="JSATable1"/>
        <w:tblW w:w="5000" w:type="pct"/>
        <w:tblLook w:val="04A0" w:firstRow="1" w:lastRow="0" w:firstColumn="1" w:lastColumn="0" w:noHBand="0" w:noVBand="1"/>
      </w:tblPr>
      <w:tblGrid>
        <w:gridCol w:w="2895"/>
        <w:gridCol w:w="1177"/>
        <w:gridCol w:w="2477"/>
        <w:gridCol w:w="2477"/>
      </w:tblGrid>
      <w:tr w:rsidR="006212DA" w:rsidRPr="00E92C4C" w14:paraId="3884A8D6" w14:textId="77777777" w:rsidTr="005F6ADC">
        <w:trPr>
          <w:cnfStyle w:val="100000000000" w:firstRow="1" w:lastRow="0" w:firstColumn="0" w:lastColumn="0" w:oddVBand="0" w:evenVBand="0" w:oddHBand="0" w:evenHBand="0" w:firstRowFirstColumn="0" w:firstRowLastColumn="0" w:lastRowFirstColumn="0" w:lastRowLastColumn="0"/>
          <w:trHeight w:val="938"/>
        </w:trPr>
        <w:tc>
          <w:tcPr>
            <w:tcW w:w="1604" w:type="pct"/>
            <w:noWrap/>
            <w:hideMark/>
          </w:tcPr>
          <w:p w14:paraId="01083CDE" w14:textId="77777777" w:rsidR="006212DA" w:rsidRPr="00892D0F" w:rsidRDefault="006212DA" w:rsidP="005F6ADC">
            <w:pPr>
              <w:rPr>
                <w:rFonts w:eastAsia="Times New Roman" w:cs="Arial"/>
                <w:color w:val="FFFFFF" w:themeColor="background1"/>
                <w:sz w:val="20"/>
                <w:szCs w:val="20"/>
                <w:lang w:eastAsia="en-AU"/>
              </w:rPr>
            </w:pPr>
            <w:r w:rsidRPr="00892D0F">
              <w:rPr>
                <w:rFonts w:eastAsia="Times New Roman" w:cs="Arial"/>
                <w:color w:val="FFFFFF" w:themeColor="background1"/>
                <w:sz w:val="20"/>
                <w:szCs w:val="20"/>
                <w:lang w:eastAsia="en-AU"/>
              </w:rPr>
              <w:t> </w:t>
            </w:r>
            <w:r w:rsidRPr="00892D0F">
              <w:rPr>
                <w:rFonts w:cs="Arial"/>
                <w:b/>
                <w:bCs/>
                <w:color w:val="FFFFFF" w:themeColor="background1"/>
                <w:sz w:val="20"/>
                <w:szCs w:val="20"/>
                <w:lang w:eastAsia="en-AU"/>
              </w:rPr>
              <w:t>ECEC specific occupations</w:t>
            </w:r>
          </w:p>
        </w:tc>
        <w:tc>
          <w:tcPr>
            <w:tcW w:w="0" w:type="pct"/>
            <w:hideMark/>
          </w:tcPr>
          <w:p w14:paraId="3413C2C7" w14:textId="77777777" w:rsidR="006212DA" w:rsidRPr="00892D0F" w:rsidRDefault="006212DA" w:rsidP="005F6ADC">
            <w:pPr>
              <w:jc w:val="center"/>
              <w:rPr>
                <w:rFonts w:eastAsia="Times New Roman" w:cs="Arial"/>
                <w:b/>
                <w:color w:val="FFFFFF" w:themeColor="background1"/>
                <w:sz w:val="20"/>
                <w:szCs w:val="20"/>
                <w:lang w:eastAsia="en-AU"/>
              </w:rPr>
            </w:pPr>
            <w:r w:rsidRPr="00892D0F">
              <w:rPr>
                <w:rFonts w:eastAsia="Times New Roman" w:cs="Arial"/>
                <w:b/>
                <w:color w:val="FFFFFF" w:themeColor="background1"/>
                <w:sz w:val="20"/>
                <w:szCs w:val="20"/>
                <w:lang w:eastAsia="en-AU"/>
              </w:rPr>
              <w:t xml:space="preserve">Total Staff Supplied in 2034 </w:t>
            </w:r>
          </w:p>
        </w:tc>
        <w:tc>
          <w:tcPr>
            <w:tcW w:w="0" w:type="pct"/>
            <w:hideMark/>
          </w:tcPr>
          <w:p w14:paraId="7524139F" w14:textId="77777777" w:rsidR="006212DA" w:rsidRPr="00892D0F" w:rsidRDefault="006212DA" w:rsidP="005F6ADC">
            <w:pPr>
              <w:jc w:val="center"/>
              <w:rPr>
                <w:rFonts w:eastAsia="Times New Roman" w:cs="Arial"/>
                <w:b/>
                <w:color w:val="FFFFFF" w:themeColor="background1"/>
                <w:sz w:val="20"/>
                <w:szCs w:val="20"/>
                <w:lang w:eastAsia="en-AU"/>
              </w:rPr>
            </w:pPr>
            <w:r w:rsidRPr="00892D0F">
              <w:rPr>
                <w:rFonts w:eastAsia="Times New Roman" w:cs="Arial"/>
                <w:b/>
                <w:color w:val="FFFFFF" w:themeColor="background1"/>
                <w:sz w:val="20"/>
                <w:szCs w:val="20"/>
                <w:lang w:eastAsia="en-AU"/>
              </w:rPr>
              <w:t>Additional Staff Supplied between 2024 and 2034</w:t>
            </w:r>
          </w:p>
        </w:tc>
        <w:tc>
          <w:tcPr>
            <w:tcW w:w="0" w:type="pct"/>
            <w:hideMark/>
          </w:tcPr>
          <w:p w14:paraId="0411C379" w14:textId="77777777" w:rsidR="006212DA" w:rsidRPr="00892D0F" w:rsidRDefault="006212DA" w:rsidP="005F6ADC">
            <w:pPr>
              <w:jc w:val="center"/>
              <w:rPr>
                <w:rFonts w:eastAsia="Times New Roman" w:cs="Arial"/>
                <w:b/>
                <w:color w:val="FFFFFF" w:themeColor="background1"/>
                <w:sz w:val="20"/>
                <w:szCs w:val="20"/>
                <w:lang w:eastAsia="en-AU"/>
              </w:rPr>
            </w:pPr>
            <w:r>
              <w:rPr>
                <w:rFonts w:eastAsia="Times New Roman" w:cs="Arial"/>
                <w:b/>
                <w:color w:val="FFFFFF" w:themeColor="background1"/>
                <w:sz w:val="20"/>
                <w:szCs w:val="20"/>
                <w:lang w:eastAsia="en-AU"/>
              </w:rPr>
              <w:t>CAGR</w:t>
            </w:r>
            <w:r>
              <w:rPr>
                <w:rStyle w:val="FootnoteReference"/>
                <w:rFonts w:eastAsia="Times New Roman" w:cs="Arial"/>
                <w:b/>
                <w:color w:val="FFFFFF" w:themeColor="background1"/>
                <w:sz w:val="20"/>
                <w:szCs w:val="20"/>
                <w:lang w:eastAsia="en-AU"/>
              </w:rPr>
              <w:footnoteReference w:id="66"/>
            </w:r>
            <w:r>
              <w:rPr>
                <w:rFonts w:eastAsia="Times New Roman" w:cs="Arial"/>
                <w:b/>
                <w:color w:val="FFFFFF" w:themeColor="background1"/>
                <w:sz w:val="20"/>
                <w:szCs w:val="20"/>
                <w:lang w:eastAsia="en-AU"/>
              </w:rPr>
              <w:t>%</w:t>
            </w:r>
          </w:p>
        </w:tc>
      </w:tr>
      <w:tr w:rsidR="006212DA" w:rsidRPr="00E92C4C" w14:paraId="6E169041" w14:textId="77777777" w:rsidTr="005F6ADC">
        <w:trPr>
          <w:trHeight w:val="300"/>
        </w:trPr>
        <w:tc>
          <w:tcPr>
            <w:tcW w:w="1604" w:type="pct"/>
            <w:hideMark/>
          </w:tcPr>
          <w:p w14:paraId="544DF634" w14:textId="77777777" w:rsidR="006212DA" w:rsidRPr="00892D0F" w:rsidRDefault="006212DA" w:rsidP="005F6ADC">
            <w:pPr>
              <w:rPr>
                <w:rFonts w:eastAsia="Times New Roman" w:cs="Arial"/>
                <w:color w:val="000000"/>
                <w:sz w:val="18"/>
                <w:szCs w:val="18"/>
                <w:lang w:eastAsia="en-AU"/>
              </w:rPr>
            </w:pPr>
            <w:r w:rsidRPr="00892D0F">
              <w:rPr>
                <w:rFonts w:eastAsia="Times New Roman" w:cs="Arial"/>
                <w:color w:val="000000"/>
                <w:sz w:val="18"/>
                <w:szCs w:val="18"/>
                <w:lang w:eastAsia="en-AU"/>
              </w:rPr>
              <w:t>Child Care Centre Manager</w:t>
            </w:r>
          </w:p>
        </w:tc>
        <w:tc>
          <w:tcPr>
            <w:tcW w:w="652" w:type="pct"/>
            <w:noWrap/>
            <w:hideMark/>
          </w:tcPr>
          <w:p w14:paraId="4DEB0846" w14:textId="77777777" w:rsidR="006212DA" w:rsidRPr="00892D0F" w:rsidRDefault="006212DA" w:rsidP="005F6ADC">
            <w:pPr>
              <w:jc w:val="center"/>
              <w:rPr>
                <w:rFonts w:eastAsia="Times New Roman" w:cs="Arial"/>
                <w:color w:val="000000"/>
                <w:sz w:val="18"/>
                <w:szCs w:val="18"/>
                <w:lang w:eastAsia="en-AU"/>
              </w:rPr>
            </w:pPr>
            <w:r w:rsidRPr="00892D0F">
              <w:rPr>
                <w:rFonts w:cs="Arial"/>
                <w:color w:val="000000"/>
                <w:sz w:val="18"/>
                <w:szCs w:val="18"/>
              </w:rPr>
              <w:t>18,000</w:t>
            </w:r>
          </w:p>
        </w:tc>
        <w:tc>
          <w:tcPr>
            <w:tcW w:w="1372" w:type="pct"/>
            <w:noWrap/>
            <w:hideMark/>
          </w:tcPr>
          <w:p w14:paraId="4CA94809" w14:textId="77777777" w:rsidR="006212DA" w:rsidRPr="00892D0F" w:rsidRDefault="006212DA" w:rsidP="005F6ADC">
            <w:pPr>
              <w:jc w:val="center"/>
              <w:rPr>
                <w:rFonts w:eastAsia="Times New Roman" w:cs="Arial"/>
                <w:color w:val="000000"/>
                <w:sz w:val="18"/>
                <w:szCs w:val="18"/>
                <w:lang w:eastAsia="en-AU"/>
              </w:rPr>
            </w:pPr>
            <w:r w:rsidRPr="00892D0F">
              <w:rPr>
                <w:rFonts w:cs="Arial"/>
                <w:color w:val="000000"/>
                <w:sz w:val="18"/>
                <w:szCs w:val="18"/>
              </w:rPr>
              <w:t>4,000</w:t>
            </w:r>
          </w:p>
        </w:tc>
        <w:tc>
          <w:tcPr>
            <w:tcW w:w="1372" w:type="pct"/>
            <w:noWrap/>
            <w:hideMark/>
          </w:tcPr>
          <w:p w14:paraId="153D5C9C" w14:textId="77777777" w:rsidR="006212DA" w:rsidRPr="00892D0F" w:rsidRDefault="006212DA" w:rsidP="005F6ADC">
            <w:pPr>
              <w:jc w:val="center"/>
              <w:rPr>
                <w:rFonts w:eastAsia="Times New Roman" w:cs="Arial"/>
                <w:color w:val="000000"/>
                <w:sz w:val="18"/>
                <w:szCs w:val="18"/>
                <w:lang w:eastAsia="en-AU"/>
              </w:rPr>
            </w:pPr>
            <w:r w:rsidRPr="00892D0F">
              <w:rPr>
                <w:rFonts w:cs="Arial"/>
                <w:color w:val="000000"/>
                <w:sz w:val="18"/>
                <w:szCs w:val="18"/>
              </w:rPr>
              <w:t>2.5</w:t>
            </w:r>
          </w:p>
        </w:tc>
      </w:tr>
      <w:tr w:rsidR="006212DA" w:rsidRPr="00E92C4C" w14:paraId="4D956B29" w14:textId="77777777" w:rsidTr="005F6ADC">
        <w:trPr>
          <w:cnfStyle w:val="000000010000" w:firstRow="0" w:lastRow="0" w:firstColumn="0" w:lastColumn="0" w:oddVBand="0" w:evenVBand="0" w:oddHBand="0" w:evenHBand="1" w:firstRowFirstColumn="0" w:firstRowLastColumn="0" w:lastRowFirstColumn="0" w:lastRowLastColumn="0"/>
          <w:trHeight w:val="300"/>
        </w:trPr>
        <w:tc>
          <w:tcPr>
            <w:tcW w:w="1604" w:type="pct"/>
            <w:hideMark/>
          </w:tcPr>
          <w:p w14:paraId="72A907AB" w14:textId="77777777" w:rsidR="006212DA" w:rsidRPr="00892D0F" w:rsidRDefault="006212DA" w:rsidP="005F6ADC">
            <w:pPr>
              <w:rPr>
                <w:rFonts w:eastAsia="Times New Roman" w:cs="Arial"/>
                <w:color w:val="000000"/>
                <w:sz w:val="18"/>
                <w:szCs w:val="18"/>
                <w:lang w:eastAsia="en-AU"/>
              </w:rPr>
            </w:pPr>
            <w:r w:rsidRPr="00892D0F">
              <w:rPr>
                <w:rFonts w:eastAsia="Times New Roman" w:cs="Arial"/>
                <w:color w:val="000000"/>
                <w:sz w:val="18"/>
                <w:szCs w:val="18"/>
                <w:lang w:eastAsia="en-AU"/>
              </w:rPr>
              <w:t>Early Childhood Teacher</w:t>
            </w:r>
          </w:p>
        </w:tc>
        <w:tc>
          <w:tcPr>
            <w:tcW w:w="652" w:type="pct"/>
            <w:noWrap/>
            <w:hideMark/>
          </w:tcPr>
          <w:p w14:paraId="59982747" w14:textId="77777777" w:rsidR="006212DA" w:rsidRPr="00892D0F" w:rsidRDefault="006212DA" w:rsidP="005F6ADC">
            <w:pPr>
              <w:jc w:val="center"/>
              <w:rPr>
                <w:rFonts w:eastAsia="Times New Roman" w:cs="Arial"/>
                <w:color w:val="000000"/>
                <w:sz w:val="18"/>
                <w:szCs w:val="18"/>
                <w:lang w:eastAsia="en-AU"/>
              </w:rPr>
            </w:pPr>
            <w:r w:rsidRPr="00892D0F">
              <w:rPr>
                <w:rFonts w:cs="Arial"/>
                <w:color w:val="000000"/>
                <w:sz w:val="18"/>
                <w:szCs w:val="18"/>
              </w:rPr>
              <w:t>36,000</w:t>
            </w:r>
          </w:p>
        </w:tc>
        <w:tc>
          <w:tcPr>
            <w:tcW w:w="1372" w:type="pct"/>
            <w:noWrap/>
            <w:hideMark/>
          </w:tcPr>
          <w:p w14:paraId="3D27A7E2" w14:textId="77777777" w:rsidR="006212DA" w:rsidRPr="00892D0F" w:rsidRDefault="006212DA" w:rsidP="005F6ADC">
            <w:pPr>
              <w:jc w:val="center"/>
              <w:rPr>
                <w:rFonts w:eastAsia="Times New Roman" w:cs="Arial"/>
                <w:color w:val="000000"/>
                <w:sz w:val="18"/>
                <w:szCs w:val="18"/>
                <w:lang w:eastAsia="en-AU"/>
              </w:rPr>
            </w:pPr>
            <w:r w:rsidRPr="00892D0F">
              <w:rPr>
                <w:rFonts w:cs="Arial"/>
                <w:color w:val="000000"/>
                <w:sz w:val="18"/>
                <w:szCs w:val="18"/>
              </w:rPr>
              <w:t>6,000</w:t>
            </w:r>
          </w:p>
        </w:tc>
        <w:tc>
          <w:tcPr>
            <w:tcW w:w="1372" w:type="pct"/>
            <w:noWrap/>
            <w:hideMark/>
          </w:tcPr>
          <w:p w14:paraId="356061D1" w14:textId="77777777" w:rsidR="006212DA" w:rsidRPr="00892D0F" w:rsidRDefault="006212DA" w:rsidP="005F6ADC">
            <w:pPr>
              <w:jc w:val="center"/>
              <w:rPr>
                <w:rFonts w:eastAsia="Times New Roman" w:cs="Arial"/>
                <w:color w:val="000000"/>
                <w:sz w:val="18"/>
                <w:szCs w:val="18"/>
                <w:lang w:eastAsia="en-AU"/>
              </w:rPr>
            </w:pPr>
            <w:r w:rsidRPr="00892D0F">
              <w:rPr>
                <w:rFonts w:cs="Arial"/>
                <w:color w:val="000000"/>
                <w:sz w:val="18"/>
                <w:szCs w:val="18"/>
              </w:rPr>
              <w:t>1.9</w:t>
            </w:r>
          </w:p>
        </w:tc>
      </w:tr>
      <w:tr w:rsidR="006212DA" w:rsidRPr="00E92C4C" w14:paraId="5DE4A95A" w14:textId="77777777" w:rsidTr="005F6ADC">
        <w:trPr>
          <w:trHeight w:val="300"/>
        </w:trPr>
        <w:tc>
          <w:tcPr>
            <w:tcW w:w="1604" w:type="pct"/>
            <w:hideMark/>
          </w:tcPr>
          <w:p w14:paraId="783CF4BC" w14:textId="77777777" w:rsidR="006212DA" w:rsidRPr="00892D0F" w:rsidRDefault="006212DA" w:rsidP="005F6ADC">
            <w:pPr>
              <w:rPr>
                <w:rFonts w:eastAsia="Times New Roman" w:cs="Arial"/>
                <w:color w:val="000000"/>
                <w:sz w:val="18"/>
                <w:szCs w:val="18"/>
                <w:lang w:eastAsia="en-AU"/>
              </w:rPr>
            </w:pPr>
            <w:r w:rsidRPr="00892D0F">
              <w:rPr>
                <w:rFonts w:eastAsia="Times New Roman" w:cs="Arial"/>
                <w:color w:val="000000"/>
                <w:sz w:val="18"/>
                <w:szCs w:val="18"/>
                <w:lang w:eastAsia="en-AU"/>
              </w:rPr>
              <w:t xml:space="preserve">Child Carers </w:t>
            </w:r>
          </w:p>
        </w:tc>
        <w:tc>
          <w:tcPr>
            <w:tcW w:w="652" w:type="pct"/>
            <w:noWrap/>
            <w:hideMark/>
          </w:tcPr>
          <w:p w14:paraId="5585BF44" w14:textId="77777777" w:rsidR="006212DA" w:rsidRPr="00892D0F" w:rsidRDefault="006212DA" w:rsidP="005F6ADC">
            <w:pPr>
              <w:jc w:val="center"/>
              <w:rPr>
                <w:rFonts w:eastAsia="Times New Roman" w:cs="Arial"/>
                <w:color w:val="000000"/>
                <w:sz w:val="18"/>
                <w:szCs w:val="18"/>
                <w:lang w:eastAsia="en-AU"/>
              </w:rPr>
            </w:pPr>
            <w:r w:rsidRPr="00892D0F">
              <w:rPr>
                <w:rFonts w:cs="Arial"/>
                <w:color w:val="000000"/>
                <w:sz w:val="18"/>
                <w:szCs w:val="18"/>
              </w:rPr>
              <w:t>189,000</w:t>
            </w:r>
          </w:p>
        </w:tc>
        <w:tc>
          <w:tcPr>
            <w:tcW w:w="1372" w:type="pct"/>
            <w:noWrap/>
            <w:hideMark/>
          </w:tcPr>
          <w:p w14:paraId="07076DFF" w14:textId="77777777" w:rsidR="006212DA" w:rsidRPr="00892D0F" w:rsidRDefault="006212DA" w:rsidP="005F6ADC">
            <w:pPr>
              <w:jc w:val="center"/>
              <w:rPr>
                <w:rFonts w:eastAsia="Times New Roman" w:cs="Arial"/>
                <w:color w:val="000000"/>
                <w:sz w:val="18"/>
                <w:szCs w:val="18"/>
                <w:lang w:eastAsia="en-AU"/>
              </w:rPr>
            </w:pPr>
            <w:r w:rsidRPr="00892D0F">
              <w:rPr>
                <w:rFonts w:cs="Arial"/>
                <w:color w:val="000000"/>
                <w:sz w:val="18"/>
                <w:szCs w:val="18"/>
              </w:rPr>
              <w:t>35,000</w:t>
            </w:r>
          </w:p>
        </w:tc>
        <w:tc>
          <w:tcPr>
            <w:tcW w:w="1372" w:type="pct"/>
            <w:noWrap/>
            <w:hideMark/>
          </w:tcPr>
          <w:p w14:paraId="43137E64" w14:textId="77777777" w:rsidR="006212DA" w:rsidRPr="00892D0F" w:rsidRDefault="006212DA" w:rsidP="005F6ADC">
            <w:pPr>
              <w:jc w:val="center"/>
              <w:rPr>
                <w:rFonts w:eastAsia="Times New Roman" w:cs="Arial"/>
                <w:color w:val="000000"/>
                <w:sz w:val="18"/>
                <w:szCs w:val="18"/>
                <w:lang w:eastAsia="en-AU"/>
              </w:rPr>
            </w:pPr>
            <w:r w:rsidRPr="00892D0F">
              <w:rPr>
                <w:rFonts w:cs="Arial"/>
                <w:color w:val="000000"/>
                <w:sz w:val="18"/>
                <w:szCs w:val="18"/>
              </w:rPr>
              <w:t>2.0</w:t>
            </w:r>
          </w:p>
        </w:tc>
      </w:tr>
      <w:tr w:rsidR="006212DA" w:rsidRPr="00E92C4C" w14:paraId="033827D1" w14:textId="77777777" w:rsidTr="005F6ADC">
        <w:trPr>
          <w:cnfStyle w:val="000000010000" w:firstRow="0" w:lastRow="0" w:firstColumn="0" w:lastColumn="0" w:oddVBand="0" w:evenVBand="0" w:oddHBand="0" w:evenHBand="1" w:firstRowFirstColumn="0" w:firstRowLastColumn="0" w:lastRowFirstColumn="0" w:lastRowLastColumn="0"/>
          <w:trHeight w:val="300"/>
        </w:trPr>
        <w:tc>
          <w:tcPr>
            <w:tcW w:w="1604" w:type="pct"/>
            <w:hideMark/>
          </w:tcPr>
          <w:p w14:paraId="2841D889" w14:textId="77777777" w:rsidR="006212DA" w:rsidRPr="00892D0F" w:rsidRDefault="006212DA" w:rsidP="005F6ADC">
            <w:pPr>
              <w:rPr>
                <w:rFonts w:eastAsia="Times New Roman" w:cs="Arial"/>
                <w:b/>
                <w:bCs/>
                <w:color w:val="000000"/>
                <w:sz w:val="18"/>
                <w:szCs w:val="18"/>
                <w:lang w:eastAsia="en-AU"/>
              </w:rPr>
            </w:pPr>
            <w:r w:rsidRPr="00892D0F">
              <w:rPr>
                <w:rFonts w:eastAsia="Times New Roman" w:cs="Arial"/>
                <w:b/>
                <w:bCs/>
                <w:color w:val="000000"/>
                <w:sz w:val="18"/>
                <w:szCs w:val="18"/>
                <w:lang w:eastAsia="en-AU"/>
              </w:rPr>
              <w:t>Total ECEC Supply Workforce</w:t>
            </w:r>
          </w:p>
        </w:tc>
        <w:tc>
          <w:tcPr>
            <w:tcW w:w="652" w:type="pct"/>
            <w:noWrap/>
            <w:hideMark/>
          </w:tcPr>
          <w:p w14:paraId="011CB665" w14:textId="77777777" w:rsidR="006212DA" w:rsidRPr="00892D0F" w:rsidRDefault="006212DA" w:rsidP="005F6ADC">
            <w:pPr>
              <w:jc w:val="center"/>
              <w:rPr>
                <w:rFonts w:eastAsia="Times New Roman" w:cs="Arial"/>
                <w:b/>
                <w:bCs/>
                <w:color w:val="000000"/>
                <w:sz w:val="18"/>
                <w:szCs w:val="18"/>
                <w:lang w:eastAsia="en-AU"/>
              </w:rPr>
            </w:pPr>
            <w:r w:rsidRPr="00892D0F">
              <w:rPr>
                <w:rFonts w:cs="Arial"/>
                <w:b/>
                <w:bCs/>
                <w:color w:val="000000"/>
                <w:sz w:val="18"/>
                <w:szCs w:val="18"/>
              </w:rPr>
              <w:t>247,000</w:t>
            </w:r>
          </w:p>
        </w:tc>
        <w:tc>
          <w:tcPr>
            <w:tcW w:w="1372" w:type="pct"/>
            <w:noWrap/>
            <w:hideMark/>
          </w:tcPr>
          <w:p w14:paraId="458E0420" w14:textId="77777777" w:rsidR="006212DA" w:rsidRPr="00892D0F" w:rsidRDefault="006212DA" w:rsidP="005F6ADC">
            <w:pPr>
              <w:jc w:val="center"/>
              <w:rPr>
                <w:rFonts w:eastAsia="Times New Roman" w:cs="Arial"/>
                <w:b/>
                <w:bCs/>
                <w:color w:val="000000"/>
                <w:sz w:val="18"/>
                <w:szCs w:val="18"/>
                <w:lang w:eastAsia="en-AU"/>
              </w:rPr>
            </w:pPr>
            <w:r w:rsidRPr="00892D0F">
              <w:rPr>
                <w:rFonts w:cs="Arial"/>
                <w:b/>
                <w:bCs/>
                <w:color w:val="000000"/>
                <w:sz w:val="18"/>
                <w:szCs w:val="18"/>
              </w:rPr>
              <w:t>44,000</w:t>
            </w:r>
          </w:p>
        </w:tc>
        <w:tc>
          <w:tcPr>
            <w:tcW w:w="1372" w:type="pct"/>
            <w:noWrap/>
            <w:hideMark/>
          </w:tcPr>
          <w:p w14:paraId="74412BBF" w14:textId="77777777" w:rsidR="006212DA" w:rsidRPr="00892D0F" w:rsidRDefault="006212DA" w:rsidP="005F6ADC">
            <w:pPr>
              <w:jc w:val="center"/>
              <w:rPr>
                <w:rFonts w:eastAsia="Times New Roman" w:cs="Arial"/>
                <w:b/>
                <w:bCs/>
                <w:color w:val="000000"/>
                <w:sz w:val="18"/>
                <w:szCs w:val="18"/>
                <w:lang w:eastAsia="en-AU"/>
              </w:rPr>
            </w:pPr>
            <w:r w:rsidRPr="00892D0F">
              <w:rPr>
                <w:rFonts w:cs="Arial"/>
                <w:b/>
                <w:bCs/>
                <w:color w:val="000000"/>
                <w:sz w:val="18"/>
                <w:szCs w:val="18"/>
              </w:rPr>
              <w:t>2.0</w:t>
            </w:r>
          </w:p>
        </w:tc>
      </w:tr>
    </w:tbl>
    <w:p w14:paraId="1C5C1FEB" w14:textId="77777777" w:rsidR="006212DA" w:rsidRPr="00E92C4C" w:rsidRDefault="006212DA" w:rsidP="00D22563">
      <w:pPr>
        <w:pStyle w:val="Source"/>
      </w:pPr>
      <w:r w:rsidRPr="00E92C4C">
        <w:t xml:space="preserve">Source: </w:t>
      </w:r>
      <w:r>
        <w:t>Commissioned Deloitte Access Economics modelling for JSA ECEC Capacity Study</w:t>
      </w:r>
    </w:p>
    <w:p w14:paraId="15414D8C" w14:textId="77777777" w:rsidR="006212DA" w:rsidRPr="002350A0" w:rsidRDefault="006212DA" w:rsidP="00D22563">
      <w:pPr>
        <w:pStyle w:val="Caption"/>
        <w:rPr>
          <w:i/>
          <w:iCs/>
        </w:rPr>
      </w:pPr>
      <w:r w:rsidRPr="00377AC8">
        <w:t>Table 4</w:t>
      </w:r>
      <w:r w:rsidRPr="00377AC8">
        <w:rPr>
          <w:i/>
          <w:iCs/>
        </w:rPr>
        <w:t>.</w:t>
      </w:r>
      <w:r>
        <w:t>4</w:t>
      </w:r>
      <w:r w:rsidRPr="00377AC8">
        <w:t xml:space="preserve"> Contributions to National Workforce Supply growth 2024-34</w:t>
      </w:r>
      <w:r>
        <w:rPr>
          <w:rStyle w:val="FootnoteReference"/>
        </w:rPr>
        <w:footnoteReference w:id="67"/>
      </w:r>
    </w:p>
    <w:tbl>
      <w:tblPr>
        <w:tblStyle w:val="JSATable1"/>
        <w:tblW w:w="9139" w:type="dxa"/>
        <w:tblLook w:val="04A0" w:firstRow="1" w:lastRow="0" w:firstColumn="1" w:lastColumn="0" w:noHBand="0" w:noVBand="1"/>
      </w:tblPr>
      <w:tblGrid>
        <w:gridCol w:w="3488"/>
        <w:gridCol w:w="1452"/>
        <w:gridCol w:w="1439"/>
        <w:gridCol w:w="1220"/>
        <w:gridCol w:w="1540"/>
      </w:tblGrid>
      <w:tr w:rsidR="006212DA" w14:paraId="53A92B0B" w14:textId="77777777" w:rsidTr="005F6ADC">
        <w:trPr>
          <w:cnfStyle w:val="100000000000" w:firstRow="1" w:lastRow="0" w:firstColumn="0" w:lastColumn="0" w:oddVBand="0" w:evenVBand="0" w:oddHBand="0" w:evenHBand="0" w:firstRowFirstColumn="0" w:firstRowLastColumn="0" w:lastRowFirstColumn="0" w:lastRowLastColumn="0"/>
          <w:trHeight w:val="600"/>
        </w:trPr>
        <w:tc>
          <w:tcPr>
            <w:tcW w:w="3488" w:type="dxa"/>
            <w:vMerge w:val="restart"/>
            <w:noWrap/>
            <w:hideMark/>
          </w:tcPr>
          <w:p w14:paraId="0548AFCE" w14:textId="77777777" w:rsidR="006212DA" w:rsidRPr="009E2694" w:rsidRDefault="006212DA" w:rsidP="005F6ADC">
            <w:pPr>
              <w:rPr>
                <w:rFonts w:cs="Arial"/>
                <w:b/>
                <w:color w:val="FFFFFF" w:themeColor="background1"/>
                <w:sz w:val="20"/>
                <w:szCs w:val="20"/>
                <w:lang w:eastAsia="en-AU"/>
              </w:rPr>
            </w:pPr>
            <w:r w:rsidRPr="009E2694">
              <w:rPr>
                <w:rFonts w:cs="Arial"/>
                <w:b/>
                <w:color w:val="FFFFFF" w:themeColor="background1"/>
                <w:sz w:val="20"/>
                <w:szCs w:val="20"/>
                <w:lang w:eastAsia="en-AU"/>
              </w:rPr>
              <w:t xml:space="preserve">ECEC specific occupations </w:t>
            </w:r>
          </w:p>
        </w:tc>
        <w:tc>
          <w:tcPr>
            <w:tcW w:w="5651" w:type="dxa"/>
            <w:gridSpan w:val="4"/>
            <w:noWrap/>
            <w:hideMark/>
          </w:tcPr>
          <w:p w14:paraId="508D314D" w14:textId="77777777" w:rsidR="006212DA" w:rsidRPr="009E2694" w:rsidRDefault="006212DA" w:rsidP="005F6ADC">
            <w:pPr>
              <w:jc w:val="center"/>
              <w:rPr>
                <w:rFonts w:cs="Arial"/>
                <w:b/>
                <w:color w:val="FFFFFF" w:themeColor="background1"/>
                <w:sz w:val="20"/>
                <w:szCs w:val="20"/>
                <w:lang w:eastAsia="en-AU"/>
              </w:rPr>
            </w:pPr>
            <w:r w:rsidRPr="009E2694">
              <w:rPr>
                <w:rFonts w:cs="Arial"/>
                <w:b/>
                <w:color w:val="FFFFFF" w:themeColor="background1"/>
                <w:sz w:val="20"/>
                <w:szCs w:val="20"/>
                <w:lang w:eastAsia="en-AU"/>
              </w:rPr>
              <w:t xml:space="preserve">Average annual (%) contributions to growth  </w:t>
            </w:r>
          </w:p>
        </w:tc>
      </w:tr>
      <w:tr w:rsidR="006212DA" w14:paraId="112A5B64" w14:textId="77777777" w:rsidTr="005F6ADC">
        <w:trPr>
          <w:trHeight w:val="900"/>
        </w:trPr>
        <w:tc>
          <w:tcPr>
            <w:tcW w:w="0" w:type="auto"/>
            <w:vMerge/>
            <w:hideMark/>
          </w:tcPr>
          <w:p w14:paraId="1BE51732" w14:textId="77777777" w:rsidR="006212DA" w:rsidRPr="009E2694" w:rsidRDefault="006212DA" w:rsidP="005F6ADC">
            <w:pPr>
              <w:rPr>
                <w:rFonts w:cs="Arial"/>
                <w:b/>
                <w:color w:val="FFFFFF" w:themeColor="background1"/>
                <w:sz w:val="20"/>
                <w:szCs w:val="20"/>
                <w:lang w:eastAsia="en-AU"/>
              </w:rPr>
            </w:pPr>
          </w:p>
        </w:tc>
        <w:tc>
          <w:tcPr>
            <w:tcW w:w="1452" w:type="dxa"/>
            <w:shd w:val="clear" w:color="auto" w:fill="2F005F"/>
            <w:hideMark/>
          </w:tcPr>
          <w:p w14:paraId="3EB7969B" w14:textId="77777777" w:rsidR="006212DA" w:rsidRPr="009E2694" w:rsidRDefault="006212DA" w:rsidP="005F6ADC">
            <w:pPr>
              <w:rPr>
                <w:rFonts w:cs="Arial"/>
                <w:b/>
                <w:color w:val="FFFFFF" w:themeColor="background1"/>
                <w:sz w:val="20"/>
                <w:szCs w:val="20"/>
                <w:lang w:eastAsia="en-AU"/>
              </w:rPr>
            </w:pPr>
            <w:r w:rsidRPr="009E2694">
              <w:rPr>
                <w:rFonts w:cs="Arial"/>
                <w:b/>
                <w:color w:val="FFFFFF" w:themeColor="background1"/>
                <w:sz w:val="20"/>
                <w:szCs w:val="20"/>
                <w:lang w:eastAsia="en-AU"/>
              </w:rPr>
              <w:t>Retirements</w:t>
            </w:r>
          </w:p>
        </w:tc>
        <w:tc>
          <w:tcPr>
            <w:tcW w:w="1439" w:type="dxa"/>
            <w:shd w:val="clear" w:color="auto" w:fill="2F005F"/>
            <w:hideMark/>
          </w:tcPr>
          <w:p w14:paraId="2419900D" w14:textId="77777777" w:rsidR="006212DA" w:rsidRPr="009E2694" w:rsidRDefault="006212DA" w:rsidP="005F6ADC">
            <w:pPr>
              <w:rPr>
                <w:rFonts w:cs="Arial"/>
                <w:b/>
                <w:color w:val="FFFFFF" w:themeColor="background1"/>
                <w:sz w:val="20"/>
                <w:szCs w:val="20"/>
                <w:lang w:eastAsia="en-AU"/>
              </w:rPr>
            </w:pPr>
            <w:r w:rsidRPr="009E2694">
              <w:rPr>
                <w:rFonts w:cs="Arial"/>
                <w:b/>
                <w:color w:val="FFFFFF" w:themeColor="background1"/>
                <w:sz w:val="20"/>
                <w:szCs w:val="20"/>
                <w:lang w:eastAsia="en-AU"/>
              </w:rPr>
              <w:t>New training completions</w:t>
            </w:r>
            <w:r w:rsidRPr="009E2694">
              <w:rPr>
                <w:rFonts w:cs="Arial"/>
                <w:b/>
                <w:color w:val="FFFFFF" w:themeColor="background1"/>
                <w:sz w:val="20"/>
                <w:szCs w:val="20"/>
                <w:lang w:eastAsia="en-AU"/>
              </w:rPr>
              <w:br/>
            </w:r>
            <w:r w:rsidRPr="009E2694">
              <w:rPr>
                <w:rFonts w:cs="Arial"/>
                <w:bCs/>
                <w:color w:val="FFFFFF" w:themeColor="background1"/>
                <w:sz w:val="20"/>
                <w:szCs w:val="20"/>
                <w:lang w:eastAsia="en-AU"/>
              </w:rPr>
              <w:t>(students not working)</w:t>
            </w:r>
          </w:p>
        </w:tc>
        <w:tc>
          <w:tcPr>
            <w:tcW w:w="1220" w:type="dxa"/>
            <w:shd w:val="clear" w:color="auto" w:fill="2F005F"/>
            <w:hideMark/>
          </w:tcPr>
          <w:p w14:paraId="03B8111A" w14:textId="77777777" w:rsidR="006212DA" w:rsidRPr="009E2694" w:rsidRDefault="006212DA" w:rsidP="005F6ADC">
            <w:pPr>
              <w:rPr>
                <w:rFonts w:cs="Arial"/>
                <w:b/>
                <w:color w:val="FFFFFF" w:themeColor="background1"/>
                <w:sz w:val="20"/>
                <w:szCs w:val="20"/>
                <w:lang w:eastAsia="en-AU"/>
              </w:rPr>
            </w:pPr>
            <w:r w:rsidRPr="009E2694">
              <w:rPr>
                <w:rFonts w:cs="Arial"/>
                <w:b/>
                <w:color w:val="FFFFFF" w:themeColor="background1"/>
                <w:sz w:val="20"/>
                <w:szCs w:val="20"/>
                <w:lang w:eastAsia="en-AU"/>
              </w:rPr>
              <w:t>Net overseas migration</w:t>
            </w:r>
          </w:p>
        </w:tc>
        <w:tc>
          <w:tcPr>
            <w:tcW w:w="1540" w:type="dxa"/>
            <w:shd w:val="clear" w:color="auto" w:fill="2F005F"/>
            <w:hideMark/>
          </w:tcPr>
          <w:p w14:paraId="4774C5C5" w14:textId="77777777" w:rsidR="006212DA" w:rsidRPr="009E2694" w:rsidRDefault="006212DA" w:rsidP="005F6ADC">
            <w:pPr>
              <w:rPr>
                <w:rFonts w:cs="Arial"/>
                <w:b/>
                <w:color w:val="FFFFFF" w:themeColor="background1"/>
                <w:sz w:val="20"/>
                <w:szCs w:val="20"/>
                <w:lang w:eastAsia="en-AU"/>
              </w:rPr>
            </w:pPr>
            <w:r w:rsidRPr="009E2694">
              <w:rPr>
                <w:rFonts w:cs="Arial"/>
                <w:b/>
                <w:color w:val="FFFFFF" w:themeColor="background1"/>
                <w:sz w:val="20"/>
                <w:szCs w:val="20"/>
                <w:lang w:eastAsia="en-AU"/>
              </w:rPr>
              <w:t>Movements between occupations</w:t>
            </w:r>
          </w:p>
          <w:p w14:paraId="65D400AA" w14:textId="77777777" w:rsidR="006212DA" w:rsidRPr="009E2694" w:rsidRDefault="006212DA" w:rsidP="005F6ADC">
            <w:pPr>
              <w:rPr>
                <w:rFonts w:cs="Arial"/>
                <w:bCs/>
                <w:color w:val="FFFFFF" w:themeColor="background1"/>
                <w:sz w:val="20"/>
                <w:szCs w:val="20"/>
                <w:lang w:eastAsia="en-AU"/>
              </w:rPr>
            </w:pPr>
            <w:r w:rsidRPr="009E2694">
              <w:rPr>
                <w:rFonts w:cs="Arial"/>
                <w:bCs/>
                <w:color w:val="FFFFFF" w:themeColor="background1"/>
                <w:sz w:val="20"/>
                <w:szCs w:val="20"/>
                <w:lang w:eastAsia="en-AU"/>
              </w:rPr>
              <w:t>(Incl. working students)</w:t>
            </w:r>
          </w:p>
        </w:tc>
      </w:tr>
      <w:tr w:rsidR="006212DA" w14:paraId="17CC9267" w14:textId="77777777" w:rsidTr="005F6ADC">
        <w:trPr>
          <w:cnfStyle w:val="000000010000" w:firstRow="0" w:lastRow="0" w:firstColumn="0" w:lastColumn="0" w:oddVBand="0" w:evenVBand="0" w:oddHBand="0" w:evenHBand="1" w:firstRowFirstColumn="0" w:firstRowLastColumn="0" w:lastRowFirstColumn="0" w:lastRowLastColumn="0"/>
          <w:trHeight w:val="300"/>
        </w:trPr>
        <w:tc>
          <w:tcPr>
            <w:tcW w:w="3488" w:type="dxa"/>
            <w:hideMark/>
          </w:tcPr>
          <w:p w14:paraId="2100D8CE" w14:textId="77777777" w:rsidR="006212DA" w:rsidRPr="00747C8F" w:rsidRDefault="006212DA" w:rsidP="005F6ADC">
            <w:pPr>
              <w:rPr>
                <w:rFonts w:cs="Arial"/>
                <w:sz w:val="18"/>
                <w:szCs w:val="18"/>
                <w:lang w:eastAsia="en-AU"/>
              </w:rPr>
            </w:pPr>
            <w:r w:rsidRPr="00747C8F">
              <w:rPr>
                <w:rFonts w:cs="Arial"/>
                <w:sz w:val="18"/>
                <w:szCs w:val="18"/>
                <w:lang w:eastAsia="en-AU"/>
              </w:rPr>
              <w:t>Child Care Centre Manager</w:t>
            </w:r>
          </w:p>
        </w:tc>
        <w:tc>
          <w:tcPr>
            <w:tcW w:w="1452" w:type="dxa"/>
            <w:noWrap/>
            <w:hideMark/>
          </w:tcPr>
          <w:p w14:paraId="388A29A2" w14:textId="77777777" w:rsidR="006212DA" w:rsidRPr="00747C8F" w:rsidRDefault="006212DA" w:rsidP="005F6ADC">
            <w:pPr>
              <w:jc w:val="center"/>
              <w:rPr>
                <w:rFonts w:cs="Arial"/>
                <w:sz w:val="18"/>
                <w:szCs w:val="18"/>
                <w:lang w:eastAsia="en-AU"/>
              </w:rPr>
            </w:pPr>
            <w:r w:rsidRPr="00747C8F">
              <w:rPr>
                <w:rFonts w:cs="Arial"/>
                <w:sz w:val="18"/>
                <w:szCs w:val="18"/>
                <w:lang w:eastAsia="en-AU"/>
              </w:rPr>
              <w:t>-1.7</w:t>
            </w:r>
          </w:p>
        </w:tc>
        <w:tc>
          <w:tcPr>
            <w:tcW w:w="1439" w:type="dxa"/>
            <w:noWrap/>
            <w:hideMark/>
          </w:tcPr>
          <w:p w14:paraId="276BFAAE" w14:textId="77777777" w:rsidR="006212DA" w:rsidRPr="00747C8F" w:rsidRDefault="006212DA" w:rsidP="005F6ADC">
            <w:pPr>
              <w:jc w:val="center"/>
              <w:rPr>
                <w:rFonts w:cs="Arial"/>
                <w:sz w:val="18"/>
                <w:szCs w:val="18"/>
                <w:lang w:eastAsia="en-AU"/>
              </w:rPr>
            </w:pPr>
            <w:r w:rsidRPr="00747C8F">
              <w:rPr>
                <w:rFonts w:cs="Arial"/>
                <w:sz w:val="18"/>
                <w:szCs w:val="18"/>
                <w:lang w:eastAsia="en-AU"/>
              </w:rPr>
              <w:t>0.4</w:t>
            </w:r>
          </w:p>
        </w:tc>
        <w:tc>
          <w:tcPr>
            <w:tcW w:w="1220" w:type="dxa"/>
            <w:noWrap/>
            <w:hideMark/>
          </w:tcPr>
          <w:p w14:paraId="747C9BFB" w14:textId="77777777" w:rsidR="006212DA" w:rsidRPr="00747C8F" w:rsidRDefault="006212DA" w:rsidP="005F6ADC">
            <w:pPr>
              <w:jc w:val="center"/>
              <w:rPr>
                <w:rFonts w:cs="Arial"/>
                <w:sz w:val="18"/>
                <w:szCs w:val="18"/>
                <w:lang w:eastAsia="en-AU"/>
              </w:rPr>
            </w:pPr>
            <w:r w:rsidRPr="00747C8F">
              <w:rPr>
                <w:rFonts w:cs="Arial"/>
                <w:sz w:val="18"/>
                <w:szCs w:val="18"/>
                <w:lang w:eastAsia="en-AU"/>
              </w:rPr>
              <w:t>0.7</w:t>
            </w:r>
          </w:p>
        </w:tc>
        <w:tc>
          <w:tcPr>
            <w:tcW w:w="1540" w:type="dxa"/>
            <w:noWrap/>
            <w:hideMark/>
          </w:tcPr>
          <w:p w14:paraId="6B78E3EB" w14:textId="77777777" w:rsidR="006212DA" w:rsidRPr="00747C8F" w:rsidRDefault="006212DA" w:rsidP="005F6ADC">
            <w:pPr>
              <w:jc w:val="center"/>
              <w:rPr>
                <w:rFonts w:cs="Arial"/>
                <w:sz w:val="18"/>
                <w:szCs w:val="18"/>
                <w:lang w:eastAsia="en-AU"/>
              </w:rPr>
            </w:pPr>
            <w:r w:rsidRPr="00747C8F">
              <w:rPr>
                <w:rFonts w:cs="Arial"/>
                <w:sz w:val="18"/>
                <w:szCs w:val="18"/>
                <w:lang w:eastAsia="en-AU"/>
              </w:rPr>
              <w:t>3.5</w:t>
            </w:r>
          </w:p>
        </w:tc>
      </w:tr>
      <w:tr w:rsidR="006212DA" w14:paraId="24F28D6F" w14:textId="77777777" w:rsidTr="005F6ADC">
        <w:trPr>
          <w:trHeight w:val="600"/>
        </w:trPr>
        <w:tc>
          <w:tcPr>
            <w:tcW w:w="3488" w:type="dxa"/>
            <w:hideMark/>
          </w:tcPr>
          <w:p w14:paraId="1E193FC7" w14:textId="77777777" w:rsidR="006212DA" w:rsidRPr="00747C8F" w:rsidRDefault="006212DA" w:rsidP="005F6ADC">
            <w:pPr>
              <w:rPr>
                <w:rFonts w:cs="Arial"/>
                <w:sz w:val="18"/>
                <w:szCs w:val="18"/>
                <w:lang w:eastAsia="en-AU"/>
              </w:rPr>
            </w:pPr>
            <w:r w:rsidRPr="00747C8F">
              <w:rPr>
                <w:rFonts w:cs="Arial"/>
                <w:sz w:val="18"/>
                <w:szCs w:val="18"/>
                <w:lang w:eastAsia="en-AU"/>
              </w:rPr>
              <w:t>Early Childhood (Pre-primary School) Teacher</w:t>
            </w:r>
          </w:p>
        </w:tc>
        <w:tc>
          <w:tcPr>
            <w:tcW w:w="1452" w:type="dxa"/>
            <w:noWrap/>
            <w:hideMark/>
          </w:tcPr>
          <w:p w14:paraId="49B07E46" w14:textId="77777777" w:rsidR="006212DA" w:rsidRPr="00747C8F" w:rsidRDefault="006212DA" w:rsidP="005F6ADC">
            <w:pPr>
              <w:jc w:val="center"/>
              <w:rPr>
                <w:rFonts w:cs="Arial"/>
                <w:sz w:val="18"/>
                <w:szCs w:val="18"/>
                <w:lang w:eastAsia="en-AU"/>
              </w:rPr>
            </w:pPr>
            <w:r w:rsidRPr="00747C8F">
              <w:rPr>
                <w:rFonts w:cs="Arial"/>
                <w:sz w:val="18"/>
                <w:szCs w:val="18"/>
                <w:lang w:eastAsia="en-AU"/>
              </w:rPr>
              <w:t>-1.4</w:t>
            </w:r>
          </w:p>
        </w:tc>
        <w:tc>
          <w:tcPr>
            <w:tcW w:w="1439" w:type="dxa"/>
            <w:noWrap/>
            <w:hideMark/>
          </w:tcPr>
          <w:p w14:paraId="12E91A20" w14:textId="77777777" w:rsidR="006212DA" w:rsidRPr="00747C8F" w:rsidRDefault="006212DA" w:rsidP="005F6ADC">
            <w:pPr>
              <w:jc w:val="center"/>
              <w:rPr>
                <w:rFonts w:cs="Arial"/>
                <w:sz w:val="18"/>
                <w:szCs w:val="18"/>
                <w:lang w:eastAsia="en-AU"/>
              </w:rPr>
            </w:pPr>
            <w:r w:rsidRPr="00747C8F">
              <w:rPr>
                <w:rFonts w:cs="Arial"/>
                <w:sz w:val="18"/>
                <w:szCs w:val="18"/>
                <w:lang w:eastAsia="en-AU"/>
              </w:rPr>
              <w:t>0.7</w:t>
            </w:r>
          </w:p>
        </w:tc>
        <w:tc>
          <w:tcPr>
            <w:tcW w:w="1220" w:type="dxa"/>
            <w:noWrap/>
            <w:hideMark/>
          </w:tcPr>
          <w:p w14:paraId="139BF72C" w14:textId="77777777" w:rsidR="006212DA" w:rsidRPr="00747C8F" w:rsidRDefault="006212DA" w:rsidP="005F6ADC">
            <w:pPr>
              <w:jc w:val="center"/>
              <w:rPr>
                <w:rFonts w:cs="Arial"/>
                <w:sz w:val="18"/>
                <w:szCs w:val="18"/>
                <w:lang w:eastAsia="en-AU"/>
              </w:rPr>
            </w:pPr>
            <w:r w:rsidRPr="00747C8F">
              <w:rPr>
                <w:rFonts w:cs="Arial"/>
                <w:sz w:val="18"/>
                <w:szCs w:val="18"/>
                <w:lang w:eastAsia="en-AU"/>
              </w:rPr>
              <w:t>0.7</w:t>
            </w:r>
          </w:p>
        </w:tc>
        <w:tc>
          <w:tcPr>
            <w:tcW w:w="1540" w:type="dxa"/>
            <w:noWrap/>
            <w:hideMark/>
          </w:tcPr>
          <w:p w14:paraId="616619A4" w14:textId="77777777" w:rsidR="006212DA" w:rsidRPr="00747C8F" w:rsidRDefault="006212DA" w:rsidP="005F6ADC">
            <w:pPr>
              <w:jc w:val="center"/>
              <w:rPr>
                <w:rFonts w:cs="Arial"/>
                <w:sz w:val="18"/>
                <w:szCs w:val="18"/>
                <w:lang w:eastAsia="en-AU"/>
              </w:rPr>
            </w:pPr>
            <w:r w:rsidRPr="00747C8F">
              <w:rPr>
                <w:rFonts w:cs="Arial"/>
                <w:sz w:val="18"/>
                <w:szCs w:val="18"/>
                <w:lang w:eastAsia="en-AU"/>
              </w:rPr>
              <w:t>1.9</w:t>
            </w:r>
          </w:p>
        </w:tc>
      </w:tr>
      <w:tr w:rsidR="006212DA" w14:paraId="03FFCB25" w14:textId="77777777" w:rsidTr="005F6ADC">
        <w:trPr>
          <w:cnfStyle w:val="000000010000" w:firstRow="0" w:lastRow="0" w:firstColumn="0" w:lastColumn="0" w:oddVBand="0" w:evenVBand="0" w:oddHBand="0" w:evenHBand="1" w:firstRowFirstColumn="0" w:firstRowLastColumn="0" w:lastRowFirstColumn="0" w:lastRowLastColumn="0"/>
          <w:trHeight w:val="300"/>
        </w:trPr>
        <w:tc>
          <w:tcPr>
            <w:tcW w:w="3488" w:type="dxa"/>
            <w:hideMark/>
          </w:tcPr>
          <w:p w14:paraId="0828A189" w14:textId="77777777" w:rsidR="006212DA" w:rsidRPr="00747C8F" w:rsidRDefault="006212DA" w:rsidP="005F6ADC">
            <w:pPr>
              <w:rPr>
                <w:rFonts w:cs="Arial"/>
                <w:sz w:val="18"/>
                <w:szCs w:val="18"/>
                <w:lang w:eastAsia="en-AU"/>
              </w:rPr>
            </w:pPr>
            <w:r w:rsidRPr="00747C8F">
              <w:rPr>
                <w:rFonts w:cs="Arial"/>
                <w:sz w:val="18"/>
                <w:szCs w:val="18"/>
                <w:lang w:eastAsia="en-AU"/>
              </w:rPr>
              <w:t>Child Carers</w:t>
            </w:r>
          </w:p>
        </w:tc>
        <w:tc>
          <w:tcPr>
            <w:tcW w:w="1452" w:type="dxa"/>
            <w:noWrap/>
            <w:hideMark/>
          </w:tcPr>
          <w:p w14:paraId="19C9BFD1" w14:textId="77777777" w:rsidR="006212DA" w:rsidRPr="00747C8F" w:rsidRDefault="006212DA" w:rsidP="005F6ADC">
            <w:pPr>
              <w:jc w:val="center"/>
              <w:rPr>
                <w:rFonts w:cs="Arial"/>
                <w:sz w:val="18"/>
                <w:szCs w:val="18"/>
                <w:lang w:eastAsia="en-AU"/>
              </w:rPr>
            </w:pPr>
            <w:r w:rsidRPr="00747C8F">
              <w:rPr>
                <w:rFonts w:cs="Arial"/>
                <w:sz w:val="18"/>
                <w:szCs w:val="18"/>
                <w:lang w:eastAsia="en-AU"/>
              </w:rPr>
              <w:t>-1.5</w:t>
            </w:r>
          </w:p>
        </w:tc>
        <w:tc>
          <w:tcPr>
            <w:tcW w:w="1439" w:type="dxa"/>
            <w:noWrap/>
            <w:hideMark/>
          </w:tcPr>
          <w:p w14:paraId="6BD06D7F" w14:textId="77777777" w:rsidR="006212DA" w:rsidRPr="00747C8F" w:rsidRDefault="006212DA" w:rsidP="005F6ADC">
            <w:pPr>
              <w:jc w:val="center"/>
              <w:rPr>
                <w:rFonts w:cs="Arial"/>
                <w:sz w:val="18"/>
                <w:szCs w:val="18"/>
                <w:lang w:eastAsia="en-AU"/>
              </w:rPr>
            </w:pPr>
            <w:r w:rsidRPr="00747C8F">
              <w:rPr>
                <w:rFonts w:cs="Arial"/>
                <w:sz w:val="18"/>
                <w:szCs w:val="18"/>
                <w:lang w:eastAsia="en-AU"/>
              </w:rPr>
              <w:t>1.9</w:t>
            </w:r>
          </w:p>
        </w:tc>
        <w:tc>
          <w:tcPr>
            <w:tcW w:w="1220" w:type="dxa"/>
            <w:noWrap/>
            <w:hideMark/>
          </w:tcPr>
          <w:p w14:paraId="3605804C" w14:textId="77777777" w:rsidR="006212DA" w:rsidRPr="00747C8F" w:rsidRDefault="006212DA" w:rsidP="005F6ADC">
            <w:pPr>
              <w:jc w:val="center"/>
              <w:rPr>
                <w:rFonts w:cs="Arial"/>
                <w:sz w:val="18"/>
                <w:szCs w:val="18"/>
                <w:lang w:eastAsia="en-AU"/>
              </w:rPr>
            </w:pPr>
            <w:r w:rsidRPr="00747C8F">
              <w:rPr>
                <w:rFonts w:cs="Arial"/>
                <w:sz w:val="18"/>
                <w:szCs w:val="18"/>
                <w:lang w:eastAsia="en-AU"/>
              </w:rPr>
              <w:t>0.7</w:t>
            </w:r>
          </w:p>
        </w:tc>
        <w:tc>
          <w:tcPr>
            <w:tcW w:w="1540" w:type="dxa"/>
            <w:noWrap/>
            <w:hideMark/>
          </w:tcPr>
          <w:p w14:paraId="0C17B177" w14:textId="77777777" w:rsidR="006212DA" w:rsidRPr="00747C8F" w:rsidRDefault="006212DA" w:rsidP="005F6ADC">
            <w:pPr>
              <w:jc w:val="center"/>
              <w:rPr>
                <w:rFonts w:cs="Arial"/>
                <w:sz w:val="18"/>
                <w:szCs w:val="18"/>
                <w:lang w:eastAsia="en-AU"/>
              </w:rPr>
            </w:pPr>
            <w:r w:rsidRPr="00747C8F">
              <w:rPr>
                <w:rFonts w:cs="Arial"/>
                <w:sz w:val="18"/>
                <w:szCs w:val="18"/>
                <w:lang w:eastAsia="en-AU"/>
              </w:rPr>
              <w:t>1.3</w:t>
            </w:r>
          </w:p>
        </w:tc>
      </w:tr>
      <w:tr w:rsidR="006212DA" w14:paraId="660D2124" w14:textId="77777777" w:rsidTr="005F6ADC">
        <w:trPr>
          <w:trHeight w:val="300"/>
        </w:trPr>
        <w:tc>
          <w:tcPr>
            <w:tcW w:w="3488" w:type="dxa"/>
            <w:hideMark/>
          </w:tcPr>
          <w:p w14:paraId="072104AA" w14:textId="77777777" w:rsidR="006212DA" w:rsidRPr="00747C8F" w:rsidRDefault="006212DA" w:rsidP="005F6ADC">
            <w:pPr>
              <w:rPr>
                <w:rFonts w:cs="Arial"/>
                <w:b/>
                <w:bCs/>
                <w:sz w:val="18"/>
                <w:szCs w:val="18"/>
                <w:lang w:eastAsia="en-AU"/>
              </w:rPr>
            </w:pPr>
            <w:r w:rsidRPr="00747C8F">
              <w:rPr>
                <w:rFonts w:cs="Arial"/>
                <w:b/>
                <w:bCs/>
                <w:sz w:val="18"/>
                <w:szCs w:val="18"/>
                <w:lang w:eastAsia="en-AU"/>
              </w:rPr>
              <w:t>Total</w:t>
            </w:r>
          </w:p>
        </w:tc>
        <w:tc>
          <w:tcPr>
            <w:tcW w:w="1452" w:type="dxa"/>
            <w:noWrap/>
            <w:hideMark/>
          </w:tcPr>
          <w:p w14:paraId="18BCA668" w14:textId="77777777" w:rsidR="006212DA" w:rsidRPr="00747C8F" w:rsidRDefault="006212DA" w:rsidP="005F6ADC">
            <w:pPr>
              <w:jc w:val="center"/>
              <w:rPr>
                <w:rFonts w:cs="Arial"/>
                <w:b/>
                <w:bCs/>
                <w:sz w:val="18"/>
                <w:szCs w:val="18"/>
                <w:lang w:eastAsia="en-AU"/>
              </w:rPr>
            </w:pPr>
            <w:r w:rsidRPr="00747C8F">
              <w:rPr>
                <w:rFonts w:cs="Arial"/>
                <w:b/>
                <w:bCs/>
                <w:sz w:val="18"/>
                <w:szCs w:val="18"/>
                <w:lang w:eastAsia="en-AU"/>
              </w:rPr>
              <w:t>-1.5</w:t>
            </w:r>
          </w:p>
        </w:tc>
        <w:tc>
          <w:tcPr>
            <w:tcW w:w="1439" w:type="dxa"/>
            <w:noWrap/>
            <w:hideMark/>
          </w:tcPr>
          <w:p w14:paraId="1848A38C" w14:textId="77777777" w:rsidR="006212DA" w:rsidRPr="00747C8F" w:rsidRDefault="006212DA" w:rsidP="005F6ADC">
            <w:pPr>
              <w:jc w:val="center"/>
              <w:rPr>
                <w:rFonts w:cs="Arial"/>
                <w:b/>
                <w:bCs/>
                <w:sz w:val="18"/>
                <w:szCs w:val="18"/>
                <w:lang w:eastAsia="en-AU"/>
              </w:rPr>
            </w:pPr>
            <w:r w:rsidRPr="00747C8F">
              <w:rPr>
                <w:rFonts w:cs="Arial"/>
                <w:b/>
                <w:bCs/>
                <w:sz w:val="18"/>
                <w:szCs w:val="18"/>
                <w:lang w:eastAsia="en-AU"/>
              </w:rPr>
              <w:t>1.6</w:t>
            </w:r>
          </w:p>
        </w:tc>
        <w:tc>
          <w:tcPr>
            <w:tcW w:w="1220" w:type="dxa"/>
            <w:noWrap/>
            <w:hideMark/>
          </w:tcPr>
          <w:p w14:paraId="35B6FB71" w14:textId="77777777" w:rsidR="006212DA" w:rsidRPr="00747C8F" w:rsidRDefault="006212DA" w:rsidP="005F6ADC">
            <w:pPr>
              <w:jc w:val="center"/>
              <w:rPr>
                <w:rFonts w:cs="Arial"/>
                <w:b/>
                <w:bCs/>
                <w:sz w:val="18"/>
                <w:szCs w:val="18"/>
                <w:lang w:eastAsia="en-AU"/>
              </w:rPr>
            </w:pPr>
            <w:r w:rsidRPr="00747C8F">
              <w:rPr>
                <w:rFonts w:cs="Arial"/>
                <w:b/>
                <w:bCs/>
                <w:sz w:val="18"/>
                <w:szCs w:val="18"/>
                <w:lang w:eastAsia="en-AU"/>
              </w:rPr>
              <w:t>0.7</w:t>
            </w:r>
          </w:p>
        </w:tc>
        <w:tc>
          <w:tcPr>
            <w:tcW w:w="1540" w:type="dxa"/>
            <w:noWrap/>
            <w:hideMark/>
          </w:tcPr>
          <w:p w14:paraId="47D8DFC3" w14:textId="77777777" w:rsidR="006212DA" w:rsidRPr="00747C8F" w:rsidRDefault="006212DA" w:rsidP="005F6ADC">
            <w:pPr>
              <w:jc w:val="center"/>
              <w:rPr>
                <w:rFonts w:cs="Arial"/>
                <w:b/>
                <w:bCs/>
                <w:sz w:val="18"/>
                <w:szCs w:val="18"/>
                <w:lang w:eastAsia="en-AU"/>
              </w:rPr>
            </w:pPr>
            <w:r w:rsidRPr="00747C8F">
              <w:rPr>
                <w:rFonts w:cs="Arial"/>
                <w:b/>
                <w:bCs/>
                <w:sz w:val="18"/>
                <w:szCs w:val="18"/>
                <w:lang w:eastAsia="en-AU"/>
              </w:rPr>
              <w:t>1.5</w:t>
            </w:r>
          </w:p>
        </w:tc>
      </w:tr>
    </w:tbl>
    <w:p w14:paraId="20BD5219" w14:textId="77777777" w:rsidR="006212DA" w:rsidRDefault="006212DA" w:rsidP="00D22563">
      <w:pPr>
        <w:pStyle w:val="Source"/>
        <w:rPr>
          <w:rFonts w:cs="Arial"/>
          <w:color w:val="000000"/>
        </w:rPr>
      </w:pPr>
      <w:r>
        <w:t>Source: Commissioned Deloitte Access Economics modelling for JSA ECEC Capacity Study</w:t>
      </w:r>
    </w:p>
    <w:p w14:paraId="1A0351C4" w14:textId="77777777" w:rsidR="006212DA" w:rsidRPr="008544EB" w:rsidRDefault="006212DA" w:rsidP="006212DA">
      <w:pPr>
        <w:pStyle w:val="Heading3"/>
      </w:pPr>
      <w:r>
        <w:t>Existing and Emerging Gaps</w:t>
      </w:r>
    </w:p>
    <w:p w14:paraId="0C648706" w14:textId="74CDE243" w:rsidR="006212DA" w:rsidRPr="00384CFF" w:rsidRDefault="00CB27BA" w:rsidP="006212DA">
      <w:r w:rsidRPr="00CB27BA">
        <w:t>Bringing together the bottom-up analysis of workforce demand and the analysis of ECEC workforce supply suggests that there is a current shortfall of around 21,000 qualified ECEC professionals needed to meet existing demand and support more sustainable working conditions.</w:t>
      </w:r>
    </w:p>
    <w:p w14:paraId="079CBB36" w14:textId="77777777" w:rsidR="006212DA" w:rsidRPr="00384CFF" w:rsidRDefault="006212DA" w:rsidP="006212DA">
      <w:r w:rsidRPr="00384CFF">
        <w:t xml:space="preserve">Breaking this figure down further, </w:t>
      </w:r>
    </w:p>
    <w:p w14:paraId="7AF2A1FB" w14:textId="77777777" w:rsidR="00CB27BA" w:rsidRPr="00CB27BA" w:rsidRDefault="00CB27BA" w:rsidP="00CB27BA">
      <w:pPr>
        <w:pStyle w:val="ListBullet"/>
      </w:pPr>
      <w:r w:rsidRPr="00CB27BA">
        <w:t>There is a shortfall of 3,700 ECEC professionals just to meet the estimated enrolment to employment ratios currently in place (making no allowance for additional above-ratio staffing).</w:t>
      </w:r>
    </w:p>
    <w:p w14:paraId="493D039C" w14:textId="77777777" w:rsidR="00CB27BA" w:rsidRPr="00CB27BA" w:rsidRDefault="00CB27BA" w:rsidP="00CB27BA">
      <w:pPr>
        <w:pStyle w:val="ListBullet"/>
      </w:pPr>
      <w:r w:rsidRPr="00CB27BA">
        <w:t>An additional 700 ECEC professionals (more particularly, early childhood teachers) are needed to resolve currently approved ratio waivers.</w:t>
      </w:r>
    </w:p>
    <w:p w14:paraId="44C04107" w14:textId="77777777" w:rsidR="00CB27BA" w:rsidRPr="00CB27BA" w:rsidRDefault="00CB27BA" w:rsidP="00CB27BA">
      <w:pPr>
        <w:pStyle w:val="ListBullet"/>
      </w:pPr>
      <w:r w:rsidRPr="00CB27BA">
        <w:t>To move the workforce to more sustainable working conditions with better provision for ongoing professional development and reduced reliance on overtime would require an additional 16,400 ECEC professionals.</w:t>
      </w:r>
    </w:p>
    <w:p w14:paraId="51938DEC" w14:textId="77777777" w:rsidR="006212DA" w:rsidRPr="00384CFF" w:rsidRDefault="006212DA" w:rsidP="006212DA">
      <w:r w:rsidRPr="00384CFF">
        <w:lastRenderedPageBreak/>
        <w:t>(As stated elsewhere, these are headcount figures and assume the average ordinary weekly hours remain unchanged.)</w:t>
      </w:r>
    </w:p>
    <w:p w14:paraId="3082CB6E" w14:textId="77777777" w:rsidR="00CB27BA" w:rsidRDefault="00CB27BA" w:rsidP="00CB27BA">
      <w:r>
        <w:t xml:space="preserve">To meet estimated unmet demand for places from children not already in care and additional hours for children currently in services would require a further 17,700 ECEC professionals. It is important to note though that workforce shortfalls are not the only constraint to meeting this unmet demand – additional places would be required through capital investment and planning and regulatory approval to open new services and expand existing services. </w:t>
      </w:r>
    </w:p>
    <w:p w14:paraId="52958B25" w14:textId="24C30957" w:rsidR="006212DA" w:rsidRPr="00384CFF" w:rsidRDefault="00CB27BA" w:rsidP="00CB27BA">
      <w:r>
        <w:t>Finally, to increase the number of places alter the mix of places to fully meet the participation levels intended by the changes to CCS and expanded preschool provision would require an additional 18,400 ECEC professionals (see Figure 4.3).</w:t>
      </w:r>
    </w:p>
    <w:p w14:paraId="4E07D90A" w14:textId="77777777" w:rsidR="006212DA" w:rsidRPr="00384CFF" w:rsidRDefault="006212DA" w:rsidP="006212DA">
      <w:pPr>
        <w:pStyle w:val="Caption"/>
        <w:rPr>
          <w:noProof/>
        </w:rPr>
      </w:pPr>
      <w:r w:rsidRPr="00384CFF">
        <w:t xml:space="preserve">Figure 4.3 Nature of workforce shortfalls by component by workforce demand, 2024 </w:t>
      </w:r>
      <w:r w:rsidRPr="00384CFF">
        <w:rPr>
          <w:noProof/>
        </w:rPr>
        <w:t xml:space="preserve"> </w:t>
      </w:r>
    </w:p>
    <w:p w14:paraId="0A05E5CF" w14:textId="2B4A7B88" w:rsidR="006212DA" w:rsidRPr="00384CFF" w:rsidRDefault="006212DA" w:rsidP="00D22563">
      <w:pPr>
        <w:pStyle w:val="Source"/>
      </w:pPr>
      <w:r w:rsidRPr="00384CFF">
        <w:rPr>
          <w:noProof/>
        </w:rPr>
        <w:drawing>
          <wp:inline distT="0" distB="0" distL="0" distR="0" wp14:anchorId="2AE3605B" wp14:editId="1EFF7104">
            <wp:extent cx="5731510" cy="4408122"/>
            <wp:effectExtent l="0" t="0" r="2540" b="0"/>
            <wp:docPr id="1468897252" name="Picture 1" descr="Figure shows the nature of workforce shortfalls by component of workforce demand in three columns. The first column shows additional workforce need for existing service levels, the next column shows unmet service demand and the third column to meet committed poli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897252" name="Picture 1" descr="Figure shows the nature of workforce shortfalls by component of workforce demand in three columns. The first column shows additional workforce need for existing service levels, the next column shows unmet service demand and the third column to meet committed policies."/>
                    <pic:cNvPicPr/>
                  </pic:nvPicPr>
                  <pic:blipFill>
                    <a:blip r:embed="rId125">
                      <a:extLst>
                        <a:ext uri="{28A0092B-C50C-407E-A947-70E740481C1C}">
                          <a14:useLocalDpi xmlns:a14="http://schemas.microsoft.com/office/drawing/2010/main" val="0"/>
                        </a:ext>
                      </a:extLst>
                    </a:blip>
                    <a:stretch>
                      <a:fillRect/>
                    </a:stretch>
                  </pic:blipFill>
                  <pic:spPr>
                    <a:xfrm>
                      <a:off x="0" y="0"/>
                      <a:ext cx="5731510" cy="4408122"/>
                    </a:xfrm>
                    <a:prstGeom prst="rect">
                      <a:avLst/>
                    </a:prstGeom>
                  </pic:spPr>
                </pic:pic>
              </a:graphicData>
            </a:graphic>
          </wp:inline>
        </w:drawing>
      </w:r>
      <w:r w:rsidRPr="00384CFF">
        <w:t xml:space="preserve">Source: Commissioned Deloitte Access Economics modelling for JSA ECEC Capacity Study </w:t>
      </w:r>
    </w:p>
    <w:p w14:paraId="08E662B7" w14:textId="77777777" w:rsidR="00CB27BA" w:rsidRDefault="00CB27BA" w:rsidP="00CB27BA">
      <w:r>
        <w:t xml:space="preserve">Without any further intervention (such as wage increases), the shortfall of ECEC professionals to meet existing demand and support more sustainable working conditions would decrease to around 12,600 by 2034. This decrease is primarily due to a slight increase in projected workforce supply and changes in the expected population of children accessing services (both driven mainly by population forecasts). </w:t>
      </w:r>
    </w:p>
    <w:p w14:paraId="0C607422" w14:textId="0965BAA2" w:rsidR="006212DA" w:rsidRPr="00384CFF" w:rsidRDefault="00CB27BA" w:rsidP="00CB27BA">
      <w:r>
        <w:t xml:space="preserve">However, the estimated additional workforce shortfall </w:t>
      </w:r>
      <w:proofErr w:type="gramStart"/>
      <w:r>
        <w:t>in order to</w:t>
      </w:r>
      <w:proofErr w:type="gramEnd"/>
      <w:r>
        <w:t xml:space="preserve"> meet unmet service demand would increase from 17,700 in 2024 to 20,100 in 2034. And as more states and territories begin to implement expanded preschool, the additional workforce needed to meet policy changes would increase from 18,400 in 2024 to 34,000 in 2034 (see Figure 4.4).</w:t>
      </w:r>
    </w:p>
    <w:p w14:paraId="60D8CCEB" w14:textId="5A1E070E" w:rsidR="006212DA" w:rsidRDefault="006212DA" w:rsidP="004777E0">
      <w:pPr>
        <w:pStyle w:val="Caption"/>
        <w:rPr>
          <w:noProof/>
        </w:rPr>
      </w:pPr>
      <w:r w:rsidRPr="00384CFF">
        <w:lastRenderedPageBreak/>
        <w:t xml:space="preserve">Figure 4.4 Nature of workforce shortfalls by component by workforce demand, 2034 </w:t>
      </w:r>
      <w:r w:rsidRPr="00384CFF">
        <w:rPr>
          <w:noProof/>
        </w:rPr>
        <w:t xml:space="preserve"> </w:t>
      </w:r>
    </w:p>
    <w:p w14:paraId="290471A2" w14:textId="182BAA59" w:rsidR="004777E0" w:rsidRDefault="004777E0" w:rsidP="006212DA">
      <w:r>
        <w:rPr>
          <w:noProof/>
        </w:rPr>
        <w:drawing>
          <wp:inline distT="0" distB="0" distL="0" distR="0" wp14:anchorId="63689019" wp14:editId="236E9A1A">
            <wp:extent cx="5730875" cy="4036060"/>
            <wp:effectExtent l="0" t="0" r="3175" b="2540"/>
            <wp:docPr id="1726133218" name="Picture 1" descr="Figure shows the nature of workforce shortfalls by component of workforce demand in three columns. The first column shows additional workforce need for existing service levels, the next column shows unmet service demand and the third column to meet committed polic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133218" name="Picture 1" descr="Figure shows the nature of workforce shortfalls by component of workforce demand in three columns. The first column shows additional workforce need for existing service levels, the next column shows unmet service demand and the third column to meet committed policies. "/>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730875" cy="4036060"/>
                    </a:xfrm>
                    <a:prstGeom prst="rect">
                      <a:avLst/>
                    </a:prstGeom>
                    <a:noFill/>
                  </pic:spPr>
                </pic:pic>
              </a:graphicData>
            </a:graphic>
          </wp:inline>
        </w:drawing>
      </w:r>
    </w:p>
    <w:p w14:paraId="3128C199" w14:textId="376CB7F7" w:rsidR="002A5520" w:rsidRDefault="002A5520" w:rsidP="002A5520">
      <w:pPr>
        <w:pStyle w:val="Source"/>
      </w:pPr>
      <w:r w:rsidRPr="002A5520">
        <w:t>Source: Commissioned Deloitte Access Economics modelling for JSA ECEC Capacity Study</w:t>
      </w:r>
    </w:p>
    <w:p w14:paraId="783A4FE6" w14:textId="2A73A25E" w:rsidR="006212DA" w:rsidRDefault="006212DA" w:rsidP="006212DA">
      <w:r>
        <w:t xml:space="preserve">The current supply of active </w:t>
      </w:r>
      <w:r w:rsidRPr="00E62FEE">
        <w:rPr>
          <w:i/>
          <w:iCs/>
        </w:rPr>
        <w:t>Child Carers</w:t>
      </w:r>
      <w:r>
        <w:t xml:space="preserve"> is estimated to be just below the current demand level, without factoring in unmet service demand. The expected net growth in the supply of active </w:t>
      </w:r>
      <w:r w:rsidRPr="00E62FEE">
        <w:rPr>
          <w:i/>
          <w:iCs/>
        </w:rPr>
        <w:t>Child Care Workers</w:t>
      </w:r>
      <w:r>
        <w:t xml:space="preserve"> under current trends and workplace settings is not even sufficient to close the gap on current levels unmet demand, let alone respond to the expansion in service provision from committed policies. This would require settings to convert the potential workforce into active</w:t>
      </w:r>
      <w:r w:rsidRPr="00E62FEE">
        <w:rPr>
          <w:i/>
          <w:iCs/>
        </w:rPr>
        <w:t xml:space="preserve"> Child Carers </w:t>
      </w:r>
      <w:r>
        <w:t xml:space="preserve">on a sustained basis. Implementation of universal access is well beyond even the potential workforce. </w:t>
      </w:r>
    </w:p>
    <w:p w14:paraId="70182669" w14:textId="77777777" w:rsidR="006212DA" w:rsidRDefault="006212DA" w:rsidP="006212DA">
      <w:pPr>
        <w:pStyle w:val="Caption"/>
        <w:rPr>
          <w:b w:val="0"/>
          <w:bCs w:val="0"/>
        </w:rPr>
      </w:pPr>
      <w:r w:rsidRPr="009B386E">
        <w:lastRenderedPageBreak/>
        <w:t xml:space="preserve">Figure </w:t>
      </w:r>
      <w:r>
        <w:t>4.5</w:t>
      </w:r>
      <w:r w:rsidRPr="009B386E">
        <w:t xml:space="preserve"> Supply and Demand projections for </w:t>
      </w:r>
      <w:r w:rsidRPr="004777E0">
        <w:rPr>
          <w:i/>
          <w:iCs/>
        </w:rPr>
        <w:t>Child Carers</w:t>
      </w:r>
    </w:p>
    <w:p w14:paraId="69866DB9" w14:textId="77777777" w:rsidR="006212DA" w:rsidRPr="00592458" w:rsidRDefault="006212DA" w:rsidP="006212DA">
      <w:r w:rsidRPr="009E323B">
        <w:rPr>
          <w:noProof/>
        </w:rPr>
        <w:drawing>
          <wp:inline distT="0" distB="0" distL="0" distR="0" wp14:anchorId="1A8F7109" wp14:editId="480F4D0A">
            <wp:extent cx="5506218" cy="4182059"/>
            <wp:effectExtent l="0" t="0" r="0" b="9525"/>
            <wp:docPr id="1465043081" name="Picture 1" descr="Supply and Demand projections for Child Care Centre Managers. Growth is expected to be most rapid for the Committed Policies scenario and the Universal Access scenario, being well above sup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043081" name="Picture 1" descr="Supply and Demand projections for Child Care Centre Managers. Growth is expected to be most rapid for the Committed Policies scenario and the Universal Access scenario, being well above supply."/>
                    <pic:cNvPicPr/>
                  </pic:nvPicPr>
                  <pic:blipFill>
                    <a:blip r:embed="rId127"/>
                    <a:stretch>
                      <a:fillRect/>
                    </a:stretch>
                  </pic:blipFill>
                  <pic:spPr>
                    <a:xfrm>
                      <a:off x="0" y="0"/>
                      <a:ext cx="5506218" cy="4182059"/>
                    </a:xfrm>
                    <a:prstGeom prst="rect">
                      <a:avLst/>
                    </a:prstGeom>
                  </pic:spPr>
                </pic:pic>
              </a:graphicData>
            </a:graphic>
          </wp:inline>
        </w:drawing>
      </w:r>
    </w:p>
    <w:p w14:paraId="652C3B7B" w14:textId="77777777" w:rsidR="006212DA" w:rsidRDefault="006212DA" w:rsidP="00D22563">
      <w:pPr>
        <w:pStyle w:val="Source"/>
      </w:pPr>
      <w:r w:rsidRPr="008D6447">
        <w:t xml:space="preserve">Source: </w:t>
      </w:r>
      <w:r>
        <w:t xml:space="preserve">Commissioned Deloitte Access Economics modelling for JSA ECEC Capacity Study </w:t>
      </w:r>
    </w:p>
    <w:p w14:paraId="6CF2BF63" w14:textId="77777777" w:rsidR="006212DA" w:rsidRDefault="006212DA" w:rsidP="006212DA">
      <w:pPr>
        <w:rPr>
          <w:b/>
          <w:bCs/>
          <w:color w:val="auto"/>
          <w:sz w:val="18"/>
          <w:szCs w:val="18"/>
        </w:rPr>
      </w:pPr>
      <w:r>
        <w:t xml:space="preserve">As for </w:t>
      </w:r>
      <w:r w:rsidRPr="00E62FEE">
        <w:rPr>
          <w:i/>
          <w:iCs/>
        </w:rPr>
        <w:t>Child Carers</w:t>
      </w:r>
      <w:r>
        <w:t xml:space="preserve">, the net supply of </w:t>
      </w:r>
      <w:r w:rsidRPr="00E62FEE">
        <w:rPr>
          <w:i/>
          <w:iCs/>
        </w:rPr>
        <w:t>Early Childhood Teachers</w:t>
      </w:r>
      <w:r>
        <w:t xml:space="preserve"> is only expected to grow modestly under current settings and is not able to resolve unmet service demand. The forecast gap in supply of </w:t>
      </w:r>
      <w:r w:rsidRPr="00E62FEE">
        <w:rPr>
          <w:i/>
          <w:iCs/>
        </w:rPr>
        <w:t>Early Childhood Teachers</w:t>
      </w:r>
      <w:r>
        <w:t xml:space="preserve"> is expected to accelerate </w:t>
      </w:r>
      <w:proofErr w:type="gramStart"/>
      <w:r>
        <w:t>in particular from</w:t>
      </w:r>
      <w:proofErr w:type="gramEnd"/>
      <w:r>
        <w:t xml:space="preserve"> 2026, when planned policy commitments proceed to implementation.</w:t>
      </w:r>
    </w:p>
    <w:p w14:paraId="37A533C6" w14:textId="77777777" w:rsidR="006212DA" w:rsidRDefault="006212DA" w:rsidP="00D22563">
      <w:pPr>
        <w:pStyle w:val="Caption"/>
        <w:rPr>
          <w:i/>
          <w:iCs/>
        </w:rPr>
      </w:pPr>
      <w:r w:rsidRPr="00C40C96">
        <w:lastRenderedPageBreak/>
        <w:t>Figure 4</w:t>
      </w:r>
      <w:r w:rsidRPr="00C40C96">
        <w:rPr>
          <w:i/>
          <w:iCs/>
        </w:rPr>
        <w:t>.</w:t>
      </w:r>
      <w:r>
        <w:t>6</w:t>
      </w:r>
      <w:r w:rsidRPr="00C40C96">
        <w:t xml:space="preserve"> Supply and Demand projections for </w:t>
      </w:r>
      <w:r w:rsidRPr="00193152">
        <w:rPr>
          <w:i/>
          <w:iCs/>
        </w:rPr>
        <w:t>Early Childhood Teachers</w:t>
      </w:r>
    </w:p>
    <w:p w14:paraId="57C001AE" w14:textId="77777777" w:rsidR="006212DA" w:rsidRDefault="006212DA" w:rsidP="006212DA">
      <w:pPr>
        <w:rPr>
          <w:b/>
          <w:bCs/>
          <w:i/>
          <w:iCs/>
          <w:color w:val="auto"/>
          <w:sz w:val="18"/>
          <w:szCs w:val="18"/>
        </w:rPr>
      </w:pPr>
      <w:r w:rsidRPr="00DB2BFB">
        <w:rPr>
          <w:b/>
          <w:bCs/>
          <w:i/>
          <w:iCs/>
          <w:noProof/>
          <w:color w:val="auto"/>
          <w:sz w:val="18"/>
          <w:szCs w:val="18"/>
        </w:rPr>
        <w:drawing>
          <wp:inline distT="0" distB="0" distL="0" distR="0" wp14:anchorId="166BB6CD" wp14:editId="70037AE4">
            <wp:extent cx="5430008" cy="3820058"/>
            <wp:effectExtent l="0" t="0" r="0" b="9525"/>
            <wp:docPr id="1638966930" name="Picture 1" descr="Supply and Demand projections for Early Childhood Teachers. Growth is expected to be most rapid for the Committed Policies scenario and the Universal Access scenario, being well above sup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66930" name="Picture 1" descr="Supply and Demand projections for Early Childhood Teachers. Growth is expected to be most rapid for the Committed Policies scenario and the Universal Access scenario, being well above supply."/>
                    <pic:cNvPicPr/>
                  </pic:nvPicPr>
                  <pic:blipFill>
                    <a:blip r:embed="rId128"/>
                    <a:stretch>
                      <a:fillRect/>
                    </a:stretch>
                  </pic:blipFill>
                  <pic:spPr>
                    <a:xfrm>
                      <a:off x="0" y="0"/>
                      <a:ext cx="5430008" cy="3820058"/>
                    </a:xfrm>
                    <a:prstGeom prst="rect">
                      <a:avLst/>
                    </a:prstGeom>
                  </pic:spPr>
                </pic:pic>
              </a:graphicData>
            </a:graphic>
          </wp:inline>
        </w:drawing>
      </w:r>
    </w:p>
    <w:p w14:paraId="7C0D4660" w14:textId="77777777" w:rsidR="006212DA" w:rsidRDefault="006212DA" w:rsidP="00D22563">
      <w:pPr>
        <w:pStyle w:val="Source"/>
      </w:pPr>
      <w:r w:rsidRPr="008D6447">
        <w:t xml:space="preserve">Source: </w:t>
      </w:r>
      <w:r>
        <w:t>Commissioned Deloitte Access Economics modelling for JSA ECEC Capacity Study</w:t>
      </w:r>
    </w:p>
    <w:p w14:paraId="2451CCBC" w14:textId="77777777" w:rsidR="006212DA" w:rsidRDefault="006212DA" w:rsidP="006212DA">
      <w:r>
        <w:t xml:space="preserve">As shown in Figure 4.7, the same pattern of growing shortfalls for </w:t>
      </w:r>
      <w:r w:rsidRPr="00E62FEE">
        <w:rPr>
          <w:i/>
          <w:iCs/>
        </w:rPr>
        <w:t>Child Carers</w:t>
      </w:r>
      <w:r>
        <w:t xml:space="preserve"> is expected to impact </w:t>
      </w:r>
      <w:r w:rsidRPr="00E62FEE">
        <w:rPr>
          <w:i/>
          <w:iCs/>
        </w:rPr>
        <w:t>Child Care Centre Managers</w:t>
      </w:r>
      <w:r>
        <w:t xml:space="preserve">. In practice, most </w:t>
      </w:r>
      <w:r w:rsidRPr="00E62FEE">
        <w:rPr>
          <w:i/>
          <w:iCs/>
        </w:rPr>
        <w:t>Child Care Centre Managers</w:t>
      </w:r>
      <w:r>
        <w:t xml:space="preserve"> are recruited from workers already in the sector. </w:t>
      </w:r>
      <w:proofErr w:type="gramStart"/>
      <w:r>
        <w:t>So</w:t>
      </w:r>
      <w:proofErr w:type="gramEnd"/>
      <w:r>
        <w:t xml:space="preserve"> while these projected shortfalls may not result in unfilled roles, they are likely to result in centres taking on candidates with less experience than they consider ideal, and an exacerbation of shortages for </w:t>
      </w:r>
      <w:r w:rsidRPr="00E62FEE">
        <w:rPr>
          <w:i/>
          <w:iCs/>
        </w:rPr>
        <w:t xml:space="preserve">Early Childhood Teachers </w:t>
      </w:r>
      <w:r>
        <w:t xml:space="preserve">and </w:t>
      </w:r>
      <w:r w:rsidRPr="00E62FEE">
        <w:rPr>
          <w:i/>
          <w:iCs/>
        </w:rPr>
        <w:t>Child Carers</w:t>
      </w:r>
      <w:r>
        <w:t xml:space="preserve"> (especially room leaders and other Diploma-qualified staff).</w:t>
      </w:r>
    </w:p>
    <w:p w14:paraId="71280583" w14:textId="77777777" w:rsidR="006212DA" w:rsidRDefault="006212DA" w:rsidP="006212DA">
      <w:pPr>
        <w:pStyle w:val="Caption"/>
        <w:rPr>
          <w:b w:val="0"/>
          <w:bCs w:val="0"/>
        </w:rPr>
      </w:pPr>
      <w:r w:rsidRPr="001D7B32">
        <w:lastRenderedPageBreak/>
        <w:t xml:space="preserve">Figure </w:t>
      </w:r>
      <w:r>
        <w:t>4.7</w:t>
      </w:r>
      <w:r w:rsidRPr="001D7B32">
        <w:t xml:space="preserve"> Supply and Demand projections for </w:t>
      </w:r>
      <w:r w:rsidRPr="004777E0">
        <w:rPr>
          <w:i/>
          <w:iCs/>
        </w:rPr>
        <w:t>Child Care Centre Managers</w:t>
      </w:r>
    </w:p>
    <w:p w14:paraId="27685BCA" w14:textId="77777777" w:rsidR="006212DA" w:rsidRPr="006418F6" w:rsidRDefault="006212DA" w:rsidP="006212DA">
      <w:r w:rsidRPr="00E74754">
        <w:rPr>
          <w:noProof/>
        </w:rPr>
        <w:drawing>
          <wp:inline distT="0" distB="0" distL="0" distR="0" wp14:anchorId="5794EC42" wp14:editId="7781C2AA">
            <wp:extent cx="5658640" cy="4086795"/>
            <wp:effectExtent l="0" t="0" r="0" b="9525"/>
            <wp:docPr id="1877201406" name="Picture 1" descr="Supply and Demand projections for Child Care Centre Managers. Growth is expected to be most rapid for the Committed Policies scenario and the Universal Access scenario, being well above sup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201406" name="Picture 1" descr="Supply and Demand projections for Child Care Centre Managers. Growth is expected to be most rapid for the Committed Policies scenario and the Universal Access scenario, being well above supply."/>
                    <pic:cNvPicPr/>
                  </pic:nvPicPr>
                  <pic:blipFill>
                    <a:blip r:embed="rId129"/>
                    <a:stretch>
                      <a:fillRect/>
                    </a:stretch>
                  </pic:blipFill>
                  <pic:spPr>
                    <a:xfrm>
                      <a:off x="0" y="0"/>
                      <a:ext cx="5658640" cy="4086795"/>
                    </a:xfrm>
                    <a:prstGeom prst="rect">
                      <a:avLst/>
                    </a:prstGeom>
                  </pic:spPr>
                </pic:pic>
              </a:graphicData>
            </a:graphic>
          </wp:inline>
        </w:drawing>
      </w:r>
    </w:p>
    <w:p w14:paraId="69962F1E" w14:textId="77777777" w:rsidR="006212DA" w:rsidRPr="00D25337" w:rsidRDefault="006212DA" w:rsidP="00D22563">
      <w:pPr>
        <w:pStyle w:val="Source"/>
      </w:pPr>
      <w:r w:rsidRPr="008D6447">
        <w:t xml:space="preserve">Source: </w:t>
      </w:r>
      <w:r>
        <w:t xml:space="preserve">Commissioned Deloitte Access Economics modelling for JSA ECEC Capacity Study </w:t>
      </w:r>
    </w:p>
    <w:p w14:paraId="419A90D4" w14:textId="77777777" w:rsidR="006212DA" w:rsidRPr="00D658AB" w:rsidRDefault="006212DA" w:rsidP="00D22563">
      <w:pPr>
        <w:pStyle w:val="Finding"/>
        <w:numPr>
          <w:ilvl w:val="0"/>
          <w:numId w:val="0"/>
        </w:numPr>
      </w:pPr>
      <w:r w:rsidRPr="00D658AB">
        <w:rPr>
          <w:bCs w:val="0"/>
        </w:rPr>
        <w:t xml:space="preserve">Finding </w:t>
      </w:r>
      <w:r w:rsidRPr="00864DDC">
        <w:rPr>
          <w:bCs w:val="0"/>
        </w:rPr>
        <w:t>-</w:t>
      </w:r>
      <w:r w:rsidRPr="00864DDC">
        <w:t xml:space="preserve"> </w:t>
      </w:r>
      <w:r w:rsidRPr="00864DDC">
        <w:rPr>
          <w:b w:val="0"/>
          <w:bCs w:val="0"/>
        </w:rPr>
        <w:t xml:space="preserve">If current pay and conditions are maintained the sector will need to draw in aggregate supply for </w:t>
      </w:r>
      <w:r w:rsidRPr="00864DDC">
        <w:rPr>
          <w:b w:val="0"/>
          <w:bCs w:val="0"/>
          <w:i/>
          <w:iCs/>
        </w:rPr>
        <w:t xml:space="preserve">Child Care Workers </w:t>
      </w:r>
      <w:r w:rsidRPr="00864DDC">
        <w:rPr>
          <w:b w:val="0"/>
          <w:bCs w:val="0"/>
        </w:rPr>
        <w:t xml:space="preserve">from outside the labour force, requiring extra training effort and time and exacerbating existing workforce pressures. In 2034, the </w:t>
      </w:r>
      <w:r w:rsidRPr="00864DDC">
        <w:rPr>
          <w:b w:val="0"/>
          <w:bCs w:val="0"/>
          <w:i/>
          <w:iCs/>
        </w:rPr>
        <w:t>Early Childhood (Pre-primary School) Teacher</w:t>
      </w:r>
      <w:r w:rsidRPr="00864DDC">
        <w:rPr>
          <w:b w:val="0"/>
          <w:bCs w:val="0"/>
        </w:rPr>
        <w:t xml:space="preserve"> occupation is expected to </w:t>
      </w:r>
      <w:r>
        <w:rPr>
          <w:b w:val="0"/>
          <w:bCs w:val="0"/>
        </w:rPr>
        <w:t xml:space="preserve">continue to </w:t>
      </w:r>
      <w:r w:rsidRPr="00864DDC">
        <w:rPr>
          <w:b w:val="0"/>
          <w:bCs w:val="0"/>
        </w:rPr>
        <w:t>record a shortfall in staff.</w:t>
      </w:r>
      <w:r w:rsidRPr="00D658AB">
        <w:t xml:space="preserve"> </w:t>
      </w:r>
    </w:p>
    <w:p w14:paraId="61B2E350" w14:textId="77777777" w:rsidR="006212DA" w:rsidRDefault="006212DA" w:rsidP="006212DA">
      <w:pPr>
        <w:pStyle w:val="Heading3"/>
      </w:pPr>
      <w:r>
        <w:t xml:space="preserve">Regional Dimensions </w:t>
      </w:r>
    </w:p>
    <w:p w14:paraId="26C76D26" w14:textId="77777777" w:rsidR="006212DA" w:rsidRDefault="006212DA" w:rsidP="006212DA">
      <w:r>
        <w:t xml:space="preserve">The Study Terms of Reference had particular focus on demand and supply at the regional workforce and projections were undertaken to support the foundational work of the study and drawing on submissions to the consultation. </w:t>
      </w:r>
    </w:p>
    <w:p w14:paraId="4BB312A9" w14:textId="77777777" w:rsidR="006212DA" w:rsidRPr="00777CB1" w:rsidRDefault="006212DA" w:rsidP="006212DA">
      <w:r w:rsidRPr="00777CB1">
        <w:t xml:space="preserve">Constraints in regional labour mobility are particularly important when considering the extent of workforce shortfalls across the country. That is, workforce shortfalls in one region may not be easily addressed by excess supply of workers in another region. </w:t>
      </w:r>
    </w:p>
    <w:p w14:paraId="35A1DDAB" w14:textId="086E8D1B" w:rsidR="006212DA" w:rsidRPr="00D22563" w:rsidRDefault="006212DA" w:rsidP="00D22563">
      <w:r w:rsidRPr="00777CB1">
        <w:t>Figure 4.</w:t>
      </w:r>
      <w:r>
        <w:t>8</w:t>
      </w:r>
      <w:r w:rsidRPr="00777CB1">
        <w:t xml:space="preserve"> shows the share of SA4 regions that may experience workforce shortfalls, in 2024 and 2034. This assumes that labour mobility is constrained within an SA4, accounting for historic trends in relationships between place of usual residence and place of work (for example, that inner city regions continue to benefit from workers in other regions). However, it assumes these remain fixed, and does not allow labour to move freely between regions.</w:t>
      </w:r>
    </w:p>
    <w:p w14:paraId="1DC1AA29" w14:textId="77777777" w:rsidR="006212DA" w:rsidRDefault="006212DA" w:rsidP="00D22563">
      <w:pPr>
        <w:pStyle w:val="Finding"/>
        <w:numPr>
          <w:ilvl w:val="0"/>
          <w:numId w:val="0"/>
        </w:numPr>
        <w:rPr>
          <w:rFonts w:eastAsia="Arial" w:cs="Arial"/>
        </w:rPr>
      </w:pPr>
      <w:r w:rsidRPr="006169F9">
        <w:rPr>
          <w:bCs w:val="0"/>
        </w:rPr>
        <w:lastRenderedPageBreak/>
        <w:t>Finding -</w:t>
      </w:r>
      <w:r w:rsidRPr="00864DDC">
        <w:rPr>
          <w:b w:val="0"/>
        </w:rPr>
        <w:t xml:space="preserve"> </w:t>
      </w:r>
      <w:r w:rsidRPr="00864DDC">
        <w:rPr>
          <w:b w:val="0"/>
          <w:bCs w:val="0"/>
        </w:rPr>
        <w:t xml:space="preserve">When examined at the regional (SA4) level workforce shortages are apparent in most regions across major cities, regional and remote Australia and are </w:t>
      </w:r>
      <w:r>
        <w:rPr>
          <w:b w:val="0"/>
          <w:bCs w:val="0"/>
        </w:rPr>
        <w:t>projected</w:t>
      </w:r>
      <w:r w:rsidRPr="00864DDC">
        <w:rPr>
          <w:b w:val="0"/>
          <w:bCs w:val="0"/>
        </w:rPr>
        <w:t xml:space="preserve"> to persist over the next ten years.</w:t>
      </w:r>
      <w:r w:rsidRPr="006169F9">
        <w:t xml:space="preserve"> </w:t>
      </w:r>
      <w:r w:rsidRPr="006169F9">
        <w:rPr>
          <w:rFonts w:eastAsia="Arial" w:cs="Arial"/>
        </w:rPr>
        <w:t xml:space="preserve"> </w:t>
      </w:r>
    </w:p>
    <w:p w14:paraId="29A9B3D9" w14:textId="77777777" w:rsidR="006212DA" w:rsidRDefault="006212DA" w:rsidP="006212DA">
      <w:pPr>
        <w:pStyle w:val="Caption"/>
        <w:rPr>
          <w:b w:val="0"/>
          <w:i/>
        </w:rPr>
      </w:pPr>
      <w:r w:rsidRPr="00C3764C">
        <w:t xml:space="preserve">Figure </w:t>
      </w:r>
      <w:r>
        <w:t>4</w:t>
      </w:r>
      <w:r w:rsidRPr="00C3764C">
        <w:t>.</w:t>
      </w:r>
      <w:r>
        <w:t>8</w:t>
      </w:r>
      <w:r w:rsidRPr="00C3764C">
        <w:t xml:space="preserve"> </w:t>
      </w:r>
      <w:r>
        <w:t>Share of regions experiencing localised shortages, assuming labour mobility within an SA4</w:t>
      </w:r>
      <w:r w:rsidRPr="006C198E">
        <w:rPr>
          <w:vertAlign w:val="superscript"/>
        </w:rPr>
        <w:footnoteReference w:id="68"/>
      </w:r>
      <w:r w:rsidRPr="009713E2">
        <w:t xml:space="preserve"> </w:t>
      </w:r>
    </w:p>
    <w:p w14:paraId="6E655436" w14:textId="77777777" w:rsidR="006212DA" w:rsidRPr="00B86709" w:rsidRDefault="006212DA" w:rsidP="006212DA">
      <w:pPr>
        <w:rPr>
          <w:i/>
        </w:rPr>
      </w:pPr>
      <w:r w:rsidRPr="002C5BAC">
        <w:rPr>
          <w:noProof/>
        </w:rPr>
        <w:drawing>
          <wp:inline distT="0" distB="0" distL="0" distR="0" wp14:anchorId="1B80E5CB" wp14:editId="1AAA378B">
            <wp:extent cx="5068007" cy="3258005"/>
            <wp:effectExtent l="0" t="0" r="0" b="0"/>
            <wp:docPr id="968440513" name="Picture 1" descr="Share of regions experiencing localised shortages, assuming labour mobility within an SA4. Regional shortages are likely to persist over the next ten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440513" name="Picture 1" descr="Share of regions experiencing localised shortages, assuming labour mobility within an SA4. Regional shortages are likely to persist over the next ten years."/>
                    <pic:cNvPicPr/>
                  </pic:nvPicPr>
                  <pic:blipFill>
                    <a:blip r:embed="rId130"/>
                    <a:stretch>
                      <a:fillRect/>
                    </a:stretch>
                  </pic:blipFill>
                  <pic:spPr>
                    <a:xfrm>
                      <a:off x="0" y="0"/>
                      <a:ext cx="5068007" cy="3258005"/>
                    </a:xfrm>
                    <a:prstGeom prst="rect">
                      <a:avLst/>
                    </a:prstGeom>
                  </pic:spPr>
                </pic:pic>
              </a:graphicData>
            </a:graphic>
          </wp:inline>
        </w:drawing>
      </w:r>
    </w:p>
    <w:p w14:paraId="405C874A" w14:textId="77777777" w:rsidR="006212DA" w:rsidRDefault="006212DA" w:rsidP="00D22563">
      <w:pPr>
        <w:pStyle w:val="Source"/>
      </w:pPr>
      <w:r w:rsidRPr="005853FA">
        <w:t xml:space="preserve">Source: </w:t>
      </w:r>
      <w:r>
        <w:t>Commissioned Deloitte Access Economics modelling for JSA ECEC Capacity Study</w:t>
      </w:r>
      <w:r w:rsidRPr="005853FA">
        <w:t xml:space="preserve"> </w:t>
      </w:r>
    </w:p>
    <w:p w14:paraId="38BEFC79" w14:textId="77777777" w:rsidR="006212DA" w:rsidRPr="006D44E2" w:rsidRDefault="006212DA" w:rsidP="006212DA">
      <w:pPr>
        <w:pStyle w:val="Heading2"/>
        <w:tabs>
          <w:tab w:val="left" w:pos="7110"/>
        </w:tabs>
      </w:pPr>
      <w:bookmarkStart w:id="160" w:name="_Toc174363717"/>
      <w:r w:rsidRPr="006D44E2">
        <w:t>Summary</w:t>
      </w:r>
      <w:bookmarkEnd w:id="160"/>
      <w:r w:rsidRPr="006D44E2">
        <w:t xml:space="preserve"> </w:t>
      </w:r>
    </w:p>
    <w:p w14:paraId="11E87897" w14:textId="77777777" w:rsidR="006212DA" w:rsidRDefault="006212DA" w:rsidP="006212DA">
      <w:r>
        <w:t xml:space="preserve">This chapter has explored the implications on demand and supply for the ECEC sector. </w:t>
      </w:r>
    </w:p>
    <w:p w14:paraId="1E66E909" w14:textId="77777777" w:rsidR="006212DA" w:rsidRDefault="006212DA" w:rsidP="006212DA">
      <w:r>
        <w:t xml:space="preserve">The modelling illustrates that there are likely to be workforce challenges for the sector particularly under ‘Committed Policies’ and ‘Universal Access’ scenarios. This will lead to a substantial increase in staff demanded across the sector particularly </w:t>
      </w:r>
      <w:r w:rsidRPr="00EF0C71">
        <w:rPr>
          <w:i/>
          <w:iCs/>
        </w:rPr>
        <w:t>Early Childhood Teachers</w:t>
      </w:r>
      <w:r>
        <w:t>.</w:t>
      </w:r>
    </w:p>
    <w:p w14:paraId="6D06D03D" w14:textId="77777777" w:rsidR="006212DA" w:rsidRDefault="006212DA" w:rsidP="006212DA">
      <w:r>
        <w:t xml:space="preserve">The biggest shortfalls for ECEC staff at the SA4 and regional level are likely to be within the major city areas. </w:t>
      </w:r>
    </w:p>
    <w:p w14:paraId="396FA96C" w14:textId="77777777" w:rsidR="006212DA" w:rsidRDefault="006212DA" w:rsidP="006212DA">
      <w:r w:rsidRPr="00060A86">
        <w:t>It should be noted</w:t>
      </w:r>
      <w:r>
        <w:t xml:space="preserve"> that </w:t>
      </w:r>
      <w:r w:rsidRPr="00060A86">
        <w:t>the</w:t>
      </w:r>
      <w:r>
        <w:t xml:space="preserve"> </w:t>
      </w:r>
      <w:r w:rsidRPr="00060A86">
        <w:t xml:space="preserve">modelling </w:t>
      </w:r>
      <w:r>
        <w:t xml:space="preserve">presented in this chapter is indicative of the challenges that the sector may face in the future. However, it should be kept in mind that there are uncertainties that come with any modelling exercise. </w:t>
      </w:r>
    </w:p>
    <w:p w14:paraId="1D74C785" w14:textId="77777777" w:rsidR="00694586" w:rsidRDefault="006212DA" w:rsidP="00C17D9C">
      <w:pPr>
        <w:sectPr w:rsidR="00694586" w:rsidSect="00333012">
          <w:headerReference w:type="default" r:id="rId131"/>
          <w:footerReference w:type="default" r:id="rId132"/>
          <w:pgSz w:w="11906" w:h="16838" w:code="9"/>
          <w:pgMar w:top="1440" w:right="1440" w:bottom="1440" w:left="1440" w:header="0" w:footer="709" w:gutter="0"/>
          <w:cols w:space="708"/>
          <w:docGrid w:linePitch="360"/>
        </w:sectPr>
      </w:pPr>
      <w:r>
        <w:t xml:space="preserve">This chapter has highlighted the regional and occupational shortfalls for the ECEC sector. The final two chapters in this study will outline strategies for consideration to overcome these shortfalls in the sector. </w:t>
      </w:r>
    </w:p>
    <w:p w14:paraId="17F8A17B" w14:textId="77777777" w:rsidR="00694586" w:rsidRPr="007F2C84" w:rsidRDefault="00694586" w:rsidP="00694586">
      <w:pPr>
        <w:pStyle w:val="Heading1"/>
        <w:spacing w:before="8000" w:line="240" w:lineRule="auto"/>
        <w:ind w:left="283" w:right="283"/>
        <w:rPr>
          <w:sz w:val="80"/>
          <w:szCs w:val="80"/>
        </w:rPr>
      </w:pPr>
      <w:bookmarkStart w:id="161" w:name="_Toc146892684"/>
      <w:bookmarkStart w:id="162" w:name="_Toc174363718"/>
      <w:r>
        <w:rPr>
          <w:noProof/>
          <w:sz w:val="80"/>
          <w:szCs w:val="80"/>
        </w:rPr>
        <w:lastRenderedPageBreak/>
        <w:drawing>
          <wp:anchor distT="0" distB="0" distL="114300" distR="114300" simplePos="0" relativeHeight="251685891" behindDoc="0" locked="0" layoutInCell="1" allowOverlap="1" wp14:anchorId="568748D5" wp14:editId="1F01FC22">
            <wp:simplePos x="0" y="0"/>
            <wp:positionH relativeFrom="page">
              <wp:align>left</wp:align>
            </wp:positionH>
            <wp:positionV relativeFrom="page">
              <wp:align>top</wp:align>
            </wp:positionV>
            <wp:extent cx="7560000" cy="10692000"/>
            <wp:effectExtent l="0" t="0" r="3175" b="0"/>
            <wp:wrapNone/>
            <wp:docPr id="109006706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067062" name="Picture 1">
                      <a:extLst>
                        <a:ext uri="{C183D7F6-B498-43B3-948B-1728B52AA6E4}">
                          <adec:decorative xmlns:adec="http://schemas.microsoft.com/office/drawing/2017/decorative" val="1"/>
                        </a:ext>
                      </a:extLst>
                    </pic:cNvPr>
                    <pic:cNvPicPr/>
                  </pic:nvPicPr>
                  <pic:blipFill>
                    <a:blip r:embed="rId133">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r w:rsidRPr="007F2C84">
        <w:rPr>
          <w:sz w:val="80"/>
          <w:szCs w:val="80"/>
        </w:rPr>
        <w:t xml:space="preserve">Chapter </w:t>
      </w:r>
      <w:bookmarkEnd w:id="161"/>
      <w:r w:rsidRPr="007F2C84">
        <w:rPr>
          <w:sz w:val="80"/>
          <w:szCs w:val="80"/>
        </w:rPr>
        <w:t>5:</w:t>
      </w:r>
      <w:r>
        <w:rPr>
          <w:sz w:val="80"/>
          <w:szCs w:val="80"/>
        </w:rPr>
        <w:t xml:space="preserve"> Sustainable and Ongoing Learning and Development</w:t>
      </w:r>
      <w:bookmarkEnd w:id="162"/>
    </w:p>
    <w:p w14:paraId="3857BC02" w14:textId="77777777" w:rsidR="00694586" w:rsidRPr="00BB2E09" w:rsidRDefault="00694586" w:rsidP="00694586">
      <w:pPr>
        <w:pStyle w:val="BodyText"/>
        <w:spacing w:before="360"/>
        <w:ind w:left="283" w:right="737"/>
        <w:rPr>
          <w:lang w:val="en-AU"/>
        </w:rPr>
      </w:pPr>
    </w:p>
    <w:p w14:paraId="18D467C7" w14:textId="77777777" w:rsidR="00694586" w:rsidRPr="00E5087D" w:rsidRDefault="00694586" w:rsidP="00694586">
      <w:pPr>
        <w:sectPr w:rsidR="00694586" w:rsidRPr="00E5087D" w:rsidSect="00A2332E">
          <w:footerReference w:type="default" r:id="rId134"/>
          <w:footnotePr>
            <w:numFmt w:val="lowerRoman"/>
          </w:footnotePr>
          <w:endnotePr>
            <w:numFmt w:val="decimal"/>
          </w:endnotePr>
          <w:pgSz w:w="11906" w:h="16838" w:code="9"/>
          <w:pgMar w:top="1440" w:right="1440" w:bottom="1440" w:left="1440" w:header="0" w:footer="709" w:gutter="0"/>
          <w:cols w:space="708"/>
          <w:docGrid w:linePitch="360"/>
        </w:sectPr>
      </w:pPr>
    </w:p>
    <w:p w14:paraId="279E08F9" w14:textId="77777777" w:rsidR="00694586" w:rsidRPr="000579BD" w:rsidRDefault="00694586" w:rsidP="00694586">
      <w:r w:rsidRPr="7A04AECD">
        <w:rPr>
          <w:rFonts w:cs="Arial"/>
        </w:rPr>
        <w:lastRenderedPageBreak/>
        <w:t xml:space="preserve">Learning is fundamental to the delivery of early childhood education and care. </w:t>
      </w:r>
      <w:r w:rsidRPr="00BB2444">
        <w:t>As a sector immersed in lifelong study for regulatory and quality purposes, learning is the core mission for children in Australia (as enshrined by the objectives and guiding principles of the National Law).</w:t>
      </w:r>
    </w:p>
    <w:p w14:paraId="74CAFD77" w14:textId="77777777" w:rsidR="00694586" w:rsidRPr="00596439" w:rsidRDefault="00694586" w:rsidP="00694586">
      <w:r w:rsidRPr="00596439">
        <w:rPr>
          <w:rFonts w:cs="Arial"/>
        </w:rPr>
        <w:t>This chapter is organised around answering the following core questions: </w:t>
      </w:r>
      <w:r w:rsidRPr="00596439">
        <w:rPr>
          <w:rStyle w:val="eop"/>
          <w:rFonts w:cs="Arial"/>
        </w:rPr>
        <w:t> </w:t>
      </w:r>
    </w:p>
    <w:p w14:paraId="2A6AA33C" w14:textId="77777777" w:rsidR="00694586" w:rsidRPr="00197053" w:rsidRDefault="00694586" w:rsidP="00694586">
      <w:pPr>
        <w:pStyle w:val="ListBullet"/>
      </w:pPr>
      <w:r w:rsidRPr="00197053">
        <w:t>How does the education and training system prepare future ECEC workers?</w:t>
      </w:r>
    </w:p>
    <w:p w14:paraId="580508F1" w14:textId="77777777" w:rsidR="00694586" w:rsidRPr="00197053" w:rsidRDefault="00694586" w:rsidP="00694586">
      <w:pPr>
        <w:pStyle w:val="ListBullet"/>
      </w:pPr>
      <w:r w:rsidRPr="00197053">
        <w:t>What is the attractiveness and suitability of the apprenticeship/traineeship model (for higher level as well as introductory roles)?</w:t>
      </w:r>
      <w:r w:rsidRPr="00197053">
        <w:rPr>
          <w:rStyle w:val="eop"/>
        </w:rPr>
        <w:t> </w:t>
      </w:r>
    </w:p>
    <w:p w14:paraId="5434DEB7" w14:textId="77777777" w:rsidR="00694586" w:rsidRPr="00197053" w:rsidRDefault="00694586" w:rsidP="00694586">
      <w:pPr>
        <w:pStyle w:val="ListBullet"/>
      </w:pPr>
      <w:r w:rsidRPr="00197053">
        <w:t>How can we ensure a balance between training package content, meeting the requirements and intent of the NQF, and ensuring that learners can successfully engage with their course?</w:t>
      </w:r>
    </w:p>
    <w:p w14:paraId="0B50F22B" w14:textId="77777777" w:rsidR="00694586" w:rsidRPr="00197053" w:rsidRDefault="00694586" w:rsidP="00694586">
      <w:pPr>
        <w:pStyle w:val="ListBullet"/>
      </w:pPr>
      <w:r w:rsidRPr="00197053">
        <w:t>How do the arrangements for work placements across VET and higher education courses align with the requirements for services? How does this ensure high-quality ECEC?</w:t>
      </w:r>
      <w:r w:rsidRPr="00197053">
        <w:rPr>
          <w:rStyle w:val="eop"/>
        </w:rPr>
        <w:t> </w:t>
      </w:r>
    </w:p>
    <w:p w14:paraId="3B670D60" w14:textId="77777777" w:rsidR="00694586" w:rsidRPr="00197053" w:rsidRDefault="00694586" w:rsidP="00694586">
      <w:pPr>
        <w:pStyle w:val="ListBullet"/>
      </w:pPr>
      <w:r w:rsidRPr="00197053">
        <w:t>How can well-supported and continuing professional development be facilitated for those within the workforce?</w:t>
      </w:r>
    </w:p>
    <w:p w14:paraId="7B78E6BA" w14:textId="77777777" w:rsidR="00694586" w:rsidRPr="00BB2444" w:rsidRDefault="00694586" w:rsidP="00694586">
      <w:pPr>
        <w:rPr>
          <w:rFonts w:asciiTheme="minorHAnsi" w:eastAsiaTheme="minorEastAsia" w:hAnsiTheme="minorHAnsi"/>
        </w:rPr>
      </w:pPr>
      <w:r w:rsidRPr="7A04AECD">
        <w:rPr>
          <w:rStyle w:val="eop"/>
          <w:rFonts w:cs="Arial"/>
        </w:rPr>
        <w:t xml:space="preserve">The Study engages with a ten-year horizon and seeks to consider how training requirements and educational developments may impact future workforce preparation. Such long-term foundations will be developed by looking at more than just attracting new workers through training pipelines and upskilling existing workers. </w:t>
      </w:r>
      <w:r w:rsidRPr="00BB2444">
        <w:rPr>
          <w:rFonts w:asciiTheme="minorHAnsi" w:eastAsiaTheme="minorEastAsia" w:hAnsiTheme="minorHAnsi"/>
        </w:rPr>
        <w:t>A sustainable pipeline should also recognise and reward the informal learning that takes place to support new skill development, and general day to day practice development and improvement which is underpinned by the NQF.</w:t>
      </w:r>
    </w:p>
    <w:p w14:paraId="68385904" w14:textId="77777777" w:rsidR="00694586" w:rsidRDefault="00694586" w:rsidP="00694586">
      <w:r>
        <w:t>Broadly, the existing qualifications and delivery mechanisms continue to serve the sector well but there are some tensions and gaps relating to:</w:t>
      </w:r>
    </w:p>
    <w:p w14:paraId="54BBDA93" w14:textId="77777777" w:rsidR="00694586" w:rsidRDefault="00694586" w:rsidP="00694586">
      <w:pPr>
        <w:pStyle w:val="ListBullet"/>
        <w:rPr>
          <w:b/>
          <w:bCs/>
        </w:rPr>
      </w:pPr>
      <w:r>
        <w:t xml:space="preserve">The appropriate content for the Certificate III in Early Childhood Education and Care as the bedrock qualification </w:t>
      </w:r>
      <w:r w:rsidRPr="00BB2444">
        <w:rPr>
          <w:rFonts w:eastAsia="Arial" w:cs="Arial"/>
          <w:szCs w:val="22"/>
          <w:lang w:val="en-AU"/>
        </w:rPr>
        <w:t>and related to this, the content for the Diploma in Early Childhood Education and Care.</w:t>
      </w:r>
    </w:p>
    <w:p w14:paraId="45BD175D" w14:textId="77777777" w:rsidR="00694586" w:rsidRDefault="00694586" w:rsidP="00694586">
      <w:pPr>
        <w:pStyle w:val="ListBullet"/>
      </w:pPr>
      <w:r>
        <w:t>Absence of skillsets to enable enhanced support for educators and early years teachers other than to supervise children and help with administration, including safety and compliance documents and learning activity preparation.</w:t>
      </w:r>
    </w:p>
    <w:p w14:paraId="02361C16" w14:textId="77777777" w:rsidR="00694586" w:rsidRDefault="00694586" w:rsidP="00694586">
      <w:pPr>
        <w:pStyle w:val="ListBullet"/>
      </w:pPr>
      <w:r>
        <w:t>Enrolment arrangements for the Diploma of Early Childhood Education and Care that may be too strict.</w:t>
      </w:r>
    </w:p>
    <w:p w14:paraId="70E02E8A" w14:textId="77777777" w:rsidR="00694586" w:rsidRDefault="00694586" w:rsidP="00694586">
      <w:pPr>
        <w:pStyle w:val="ListBullet"/>
      </w:pPr>
      <w:r>
        <w:t>Barriers to timely completion of qualifications for those employed.</w:t>
      </w:r>
    </w:p>
    <w:p w14:paraId="636646F7" w14:textId="77777777" w:rsidR="00694586" w:rsidRDefault="00694586" w:rsidP="00694586">
      <w:pPr>
        <w:pStyle w:val="ListBullet"/>
      </w:pPr>
      <w:r>
        <w:t>The strain for the existing workforce arising from a large increase in Certificate III traineeships to meet workforce demand due to the increased need for mentoring and supervision arrangements.</w:t>
      </w:r>
    </w:p>
    <w:p w14:paraId="65BD529C" w14:textId="77777777" w:rsidR="00694586" w:rsidRDefault="00694586" w:rsidP="00694586">
      <w:pPr>
        <w:pStyle w:val="ListBullet"/>
      </w:pPr>
      <w:r>
        <w:t>Accessibility of work placements, lack of financial support for VET and higher education students while on placements (or being able to count current employment towards placements).</w:t>
      </w:r>
    </w:p>
    <w:p w14:paraId="2B17258E" w14:textId="77777777" w:rsidR="00694586" w:rsidRDefault="00694586" w:rsidP="00694586">
      <w:pPr>
        <w:pStyle w:val="ListBullet"/>
      </w:pPr>
      <w:r>
        <w:t xml:space="preserve">A lack of flexibility during acute workforce shortages to recognise the potential for professionals with alternative qualifications to substitute for </w:t>
      </w:r>
      <w:r w:rsidRPr="5840AC2B">
        <w:rPr>
          <w:i/>
          <w:iCs/>
        </w:rPr>
        <w:t>Early Childhood Teachers</w:t>
      </w:r>
      <w:r>
        <w:t xml:space="preserve"> where there is already at least one ECT employed in the service.</w:t>
      </w:r>
    </w:p>
    <w:p w14:paraId="32088E3B" w14:textId="77777777" w:rsidR="00694586" w:rsidRDefault="00694586" w:rsidP="00694586">
      <w:pPr>
        <w:pStyle w:val="ListBullet"/>
      </w:pPr>
      <w:r>
        <w:lastRenderedPageBreak/>
        <w:t>Lack of access to funded training for international students and concerns about potential exploitation of people while studying.</w:t>
      </w:r>
    </w:p>
    <w:p w14:paraId="0D453884" w14:textId="77777777" w:rsidR="00694586" w:rsidRDefault="00694586" w:rsidP="00694586">
      <w:pPr>
        <w:rPr>
          <w:rStyle w:val="eop"/>
          <w:rFonts w:cs="Arial"/>
        </w:rPr>
      </w:pPr>
      <w:r>
        <w:t>There is also an opportunity to foster a more supportive environment to assist more First Nations Australians to complete qualifications.</w:t>
      </w:r>
    </w:p>
    <w:p w14:paraId="3395D394" w14:textId="77777777" w:rsidR="00694586" w:rsidRPr="00A1557F" w:rsidRDefault="00694586" w:rsidP="00694586">
      <w:pPr>
        <w:pStyle w:val="Heading2"/>
      </w:pPr>
      <w:bookmarkStart w:id="163" w:name="_Toc174363719"/>
      <w:r w:rsidRPr="00A1557F">
        <w:t>ECEC - An Applied Vocation</w:t>
      </w:r>
      <w:bookmarkEnd w:id="163"/>
    </w:p>
    <w:p w14:paraId="15E2B461" w14:textId="77777777" w:rsidR="00694586" w:rsidRDefault="00694586" w:rsidP="00694586">
      <w:pPr>
        <w:rPr>
          <w:lang w:eastAsia="en-AU"/>
        </w:rPr>
      </w:pPr>
      <w:r w:rsidRPr="5840AC2B">
        <w:rPr>
          <w:lang w:eastAsia="en-AU"/>
        </w:rPr>
        <w:t>The Early Childhood Education and Care sector is fundamentally based on a workforce engaging in an education paradigm with a vocation to deliver high quality learning experiences to children while assuring their care. In consultations, stakeholders emphasised the importance of considering aspects of vocational orientation in understanding sector dynamic</w:t>
      </w:r>
      <w:r>
        <w:rPr>
          <w:lang w:eastAsia="en-AU"/>
        </w:rPr>
        <w:t>s</w:t>
      </w:r>
      <w:r w:rsidRPr="5840AC2B">
        <w:rPr>
          <w:lang w:eastAsia="en-AU"/>
        </w:rPr>
        <w:t xml:space="preserve">: The orientation towards quality delivery </w:t>
      </w:r>
      <w:r>
        <w:rPr>
          <w:lang w:eastAsia="en-AU"/>
        </w:rPr>
        <w:t>for</w:t>
      </w:r>
      <w:r w:rsidRPr="5840AC2B">
        <w:rPr>
          <w:lang w:eastAsia="en-AU"/>
        </w:rPr>
        <w:t xml:space="preserve"> children was affirmed by stakeholder submissions as critical to all training within the early childhood sector. </w:t>
      </w:r>
    </w:p>
    <w:p w14:paraId="352E9806" w14:textId="77777777" w:rsidR="00694586" w:rsidRDefault="00694586" w:rsidP="00694586">
      <w:pPr>
        <w:rPr>
          <w:lang w:eastAsia="en-AU"/>
        </w:rPr>
      </w:pPr>
      <w:r w:rsidRPr="5840AC2B">
        <w:rPr>
          <w:lang w:eastAsia="en-AU"/>
        </w:rPr>
        <w:t>Fenech and Watt also emphasised that the intrinsic vocation was what most influences quality in ECEC workforce delivery:</w:t>
      </w:r>
    </w:p>
    <w:p w14:paraId="578AED27" w14:textId="77777777" w:rsidR="00694586" w:rsidRPr="00BB2444" w:rsidRDefault="00694586" w:rsidP="00694586">
      <w:pPr>
        <w:pStyle w:val="IntenseQuote"/>
        <w:rPr>
          <w:lang w:eastAsia="en-AU"/>
        </w:rPr>
      </w:pPr>
      <w:r w:rsidRPr="00BB2444">
        <w:t xml:space="preserve">Intrinsic supports and motivators—passion, commitment to high-quality ECE, and a drive to </w:t>
      </w:r>
      <w:r w:rsidRPr="000579BD">
        <w:t>improve</w:t>
      </w:r>
      <w:r w:rsidRPr="00BB2444">
        <w:t xml:space="preserve"> practice—and not extrinsic regulatory requirements (Fenech &amp; Watt, 2022)</w:t>
      </w:r>
    </w:p>
    <w:p w14:paraId="07B8DC3F" w14:textId="77777777" w:rsidR="00694586" w:rsidRDefault="00694586" w:rsidP="00694586">
      <w:pPr>
        <w:rPr>
          <w:rFonts w:cs="Arial"/>
        </w:rPr>
      </w:pPr>
      <w:r w:rsidRPr="5840AC2B">
        <w:rPr>
          <w:lang w:eastAsia="en-AU"/>
        </w:rPr>
        <w:t xml:space="preserve">Notably, </w:t>
      </w:r>
      <w:r w:rsidRPr="5840AC2B">
        <w:rPr>
          <w:rFonts w:cs="Arial"/>
        </w:rPr>
        <w:t>all ACECQA accredited courses are practice orientated, evidencing the vocational orientation of VET and higher education routes to practice</w:t>
      </w:r>
      <w:r w:rsidRPr="5840AC2B">
        <w:rPr>
          <w:lang w:eastAsia="en-AU"/>
        </w:rPr>
        <w:t xml:space="preserve">. </w:t>
      </w:r>
      <w:r w:rsidRPr="5840AC2B">
        <w:rPr>
          <w:rFonts w:cs="Arial"/>
        </w:rPr>
        <w:t xml:space="preserve">There are strong links between learning and work throughout all services, particularly those </w:t>
      </w:r>
      <w:r>
        <w:rPr>
          <w:rFonts w:cs="Arial"/>
        </w:rPr>
        <w:t>that</w:t>
      </w:r>
      <w:r w:rsidRPr="5840AC2B">
        <w:rPr>
          <w:rFonts w:cs="Arial"/>
        </w:rPr>
        <w:t xml:space="preserve"> </w:t>
      </w:r>
      <w:proofErr w:type="gramStart"/>
      <w:r w:rsidRPr="5840AC2B">
        <w:rPr>
          <w:rFonts w:cs="Arial"/>
        </w:rPr>
        <w:t>are able to</w:t>
      </w:r>
      <w:proofErr w:type="gramEnd"/>
      <w:r w:rsidRPr="5840AC2B">
        <w:rPr>
          <w:rFonts w:cs="Arial"/>
        </w:rPr>
        <w:t xml:space="preserve"> offer traineeships and placements (which excludes FDC and IHC). Informal learning at work, including mentoring on the job during and post qualification</w:t>
      </w:r>
      <w:r>
        <w:rPr>
          <w:rFonts w:cs="Arial"/>
        </w:rPr>
        <w:t>,</w:t>
      </w:r>
      <w:r w:rsidRPr="5840AC2B">
        <w:rPr>
          <w:rFonts w:cs="Arial"/>
        </w:rPr>
        <w:t xml:space="preserve"> is a core feature of the ECEC sector. The ability to learn within the workplace is another essential component of training pathways into all areas of ECEC and barriers to education and training can constrain worker supply. With approximately 130,000 people studying </w:t>
      </w:r>
      <w:r>
        <w:rPr>
          <w:rFonts w:cs="Arial"/>
        </w:rPr>
        <w:t xml:space="preserve">ECEC qualifications </w:t>
      </w:r>
      <w:r w:rsidRPr="5840AC2B">
        <w:rPr>
          <w:rFonts w:cs="Arial"/>
        </w:rPr>
        <w:t>in VET or Higher Education each year (as at 2022) and a workforce of around 2</w:t>
      </w:r>
      <w:r>
        <w:rPr>
          <w:rFonts w:cs="Arial"/>
        </w:rPr>
        <w:t>4</w:t>
      </w:r>
      <w:r w:rsidRPr="5840AC2B">
        <w:rPr>
          <w:rFonts w:cs="Arial"/>
        </w:rPr>
        <w:t xml:space="preserve">0,000 according to the 2021 </w:t>
      </w:r>
      <w:r>
        <w:rPr>
          <w:rFonts w:cs="Arial"/>
        </w:rPr>
        <w:t>NWC</w:t>
      </w:r>
      <w:r w:rsidRPr="5840AC2B">
        <w:rPr>
          <w:rFonts w:cs="Arial"/>
        </w:rPr>
        <w:t xml:space="preserve"> early childhood is fundamentally entwined with formal learning.</w:t>
      </w:r>
    </w:p>
    <w:p w14:paraId="59E5FFA7" w14:textId="77777777" w:rsidR="00694586" w:rsidRPr="0059105B" w:rsidRDefault="00694586" w:rsidP="00694586">
      <w:pPr>
        <w:pStyle w:val="Heading3"/>
      </w:pPr>
      <w:r w:rsidRPr="0059105B">
        <w:t xml:space="preserve">Quality and </w:t>
      </w:r>
      <w:r>
        <w:t>Q</w:t>
      </w:r>
      <w:r w:rsidRPr="0059105B">
        <w:t>ualifications</w:t>
      </w:r>
    </w:p>
    <w:p w14:paraId="678D8E4B" w14:textId="77777777" w:rsidR="00694586" w:rsidRPr="0059105B" w:rsidRDefault="00694586" w:rsidP="00694586">
      <w:r w:rsidRPr="5840AC2B">
        <w:rPr>
          <w:lang w:eastAsia="en-AU"/>
        </w:rPr>
        <w:t xml:space="preserve">Quality of delivery of early years learning is embedded through the regulation of the NQF and </w:t>
      </w:r>
      <w:r>
        <w:rPr>
          <w:lang w:eastAsia="en-AU"/>
        </w:rPr>
        <w:t>approved learning frameworks</w:t>
      </w:r>
      <w:r w:rsidRPr="5840AC2B">
        <w:rPr>
          <w:lang w:eastAsia="en-AU"/>
        </w:rPr>
        <w:t xml:space="preserve"> in </w:t>
      </w:r>
      <w:r>
        <w:rPr>
          <w:lang w:eastAsia="en-AU"/>
        </w:rPr>
        <w:t xml:space="preserve">recognised </w:t>
      </w:r>
      <w:r w:rsidRPr="5840AC2B">
        <w:rPr>
          <w:lang w:eastAsia="en-AU"/>
        </w:rPr>
        <w:t xml:space="preserve">training pathways. </w:t>
      </w:r>
      <w:r w:rsidRPr="5840AC2B">
        <w:rPr>
          <w:rFonts w:cs="Arial"/>
        </w:rPr>
        <w:t xml:space="preserve">The workforce has been shaped by regulations introduced in 2011, updated in 2018, and further changed in 2023. Moreover, </w:t>
      </w:r>
      <w:r>
        <w:rPr>
          <w:rFonts w:cs="Arial"/>
        </w:rPr>
        <w:t xml:space="preserve">outcomes of </w:t>
      </w:r>
      <w:r w:rsidRPr="5840AC2B">
        <w:rPr>
          <w:rFonts w:cs="Arial"/>
        </w:rPr>
        <w:t xml:space="preserve">the 2019 NQF review will only be fully in force </w:t>
      </w:r>
      <w:r>
        <w:rPr>
          <w:rFonts w:cs="Arial"/>
        </w:rPr>
        <w:t>from</w:t>
      </w:r>
      <w:r w:rsidRPr="5840AC2B">
        <w:rPr>
          <w:rFonts w:cs="Arial"/>
        </w:rPr>
        <w:t xml:space="preserve"> July 2024. Regulatory intervention has been significant in changing not just technical aspects of service delivery, but the engagement educators have with their work and the introduction of workforce higher level qualifications such as Diploma and degrees have been shown to have an empirical link </w:t>
      </w:r>
      <w:r w:rsidRPr="00207D5A">
        <w:rPr>
          <w:rFonts w:cs="Arial"/>
        </w:rPr>
        <w:t>(Jackson, 2018).</w:t>
      </w:r>
      <w:r w:rsidRPr="5840AC2B">
        <w:rPr>
          <w:rFonts w:cs="Arial"/>
        </w:rPr>
        <w:t xml:space="preserve"> </w:t>
      </w:r>
    </w:p>
    <w:p w14:paraId="3C98D147" w14:textId="77777777" w:rsidR="00694586" w:rsidRDefault="00694586" w:rsidP="00694586">
      <w:pPr>
        <w:rPr>
          <w:rFonts w:cs="Arial"/>
        </w:rPr>
      </w:pPr>
      <w:r w:rsidRPr="71E78D24">
        <w:rPr>
          <w:rFonts w:cs="Arial"/>
        </w:rPr>
        <w:t xml:space="preserve">While this professionalism is felt within the sector and evidenced through professional activities, the status of early years educators and the sector is not universally recognised. Throughout JSAs’ engagements and research, stakeholders called for greater recognition. </w:t>
      </w:r>
      <w:r w:rsidRPr="71E78D24">
        <w:rPr>
          <w:rFonts w:cs="Arial"/>
        </w:rPr>
        <w:lastRenderedPageBreak/>
        <w:t xml:space="preserve">Workforce development strategies including </w:t>
      </w:r>
      <w:r w:rsidRPr="71E78D24">
        <w:rPr>
          <w:rFonts w:cs="Arial"/>
          <w:i/>
          <w:iCs/>
        </w:rPr>
        <w:t>Shaping Our Future –</w:t>
      </w:r>
      <w:r w:rsidRPr="71E78D24">
        <w:rPr>
          <w:rFonts w:cs="Arial"/>
        </w:rPr>
        <w:t xml:space="preserve"> </w:t>
      </w:r>
      <w:proofErr w:type="gramStart"/>
      <w:r w:rsidRPr="71E78D24">
        <w:rPr>
          <w:rFonts w:cs="Arial"/>
        </w:rPr>
        <w:t xml:space="preserve">the </w:t>
      </w:r>
      <w:r w:rsidRPr="00BB2444">
        <w:rPr>
          <w:rFonts w:asciiTheme="minorHAnsi" w:eastAsiaTheme="minorEastAsia" w:hAnsiTheme="minorHAnsi"/>
          <w:i/>
          <w:iCs/>
        </w:rPr>
        <w:t xml:space="preserve"> National</w:t>
      </w:r>
      <w:proofErr w:type="gramEnd"/>
      <w:r w:rsidRPr="00BB2444">
        <w:rPr>
          <w:rFonts w:asciiTheme="minorHAnsi" w:eastAsiaTheme="minorEastAsia" w:hAnsiTheme="minorHAnsi"/>
          <w:i/>
          <w:iCs/>
        </w:rPr>
        <w:t xml:space="preserve"> Children’s Education and Care Workforce Strategy </w:t>
      </w:r>
      <w:r w:rsidRPr="71E78D24">
        <w:rPr>
          <w:rFonts w:cs="Arial"/>
        </w:rPr>
        <w:t xml:space="preserve">and state and territory based strategies as well as strategies targeted to the First Nations workforce are in place to continue this enhancement work. Raising the status of the ECEC profession and ensuring ‘greater public recognition of the importance and complexity of ECEC work’ (Jackson, 2018, p.28) will likely be achieved in part through greater understanding of the intensive nature of ECEC training pathways. </w:t>
      </w:r>
    </w:p>
    <w:p w14:paraId="4DA15833" w14:textId="77777777" w:rsidR="00694586" w:rsidRDefault="00694586" w:rsidP="00694586">
      <w:pPr>
        <w:rPr>
          <w:i/>
          <w:iCs/>
        </w:rPr>
      </w:pPr>
      <w:r w:rsidRPr="6E730EA7">
        <w:t>The 2023 Interim Draft Productivity Commission report still notes a lack of evidence proving the link between staff qualifications and children’s outcomes (also observed by the PC in its 2014 report) and noted in ACCC (2024) report</w:t>
      </w:r>
      <w:r>
        <w:t>.</w:t>
      </w:r>
      <w:r w:rsidRPr="6E730EA7">
        <w:t xml:space="preserve"> </w:t>
      </w:r>
    </w:p>
    <w:p w14:paraId="41C17A56" w14:textId="77777777" w:rsidR="00694586" w:rsidRDefault="00694586" w:rsidP="00694586">
      <w:r>
        <w:t xml:space="preserve">Qualifications function as a signal in the employment market without extensive quantitative evidence of a link between content/curriculum and quality outcomes nor pedagogic specific markers linking to effectiveness. Although a more highly qualified workforce is universally considered important, there is even less information about the mix of qualifications needed to deliver high quality ECEC. Certain approaches within ECEC settings, including guided learning and play and leisure-based pedagogy, enhance children's exploration of the world. Incorporating these approaches in ECEC settings is therefore important for improving quality outcomes for all children. There are indications that professionalisation of the workforce drawing on capability approaches can contribute to transformative learning experiences (Molla &amp; Nolan, 2019). </w:t>
      </w:r>
    </w:p>
    <w:p w14:paraId="367F1EF8" w14:textId="77777777" w:rsidR="00694586" w:rsidRPr="00D66DC4" w:rsidRDefault="00694586" w:rsidP="00442C59">
      <w:pPr>
        <w:pStyle w:val="Finding"/>
        <w:numPr>
          <w:ilvl w:val="0"/>
          <w:numId w:val="0"/>
        </w:numPr>
      </w:pPr>
      <w:r>
        <w:t xml:space="preserve">Finding </w:t>
      </w:r>
      <w:r w:rsidRPr="005A459D">
        <w:t xml:space="preserve">- </w:t>
      </w:r>
      <w:r w:rsidRPr="00442C59">
        <w:rPr>
          <w:b w:val="0"/>
          <w:bCs w:val="0"/>
        </w:rPr>
        <w:t>Developing the ECEC profession and assuring high quality workforce practice is linked to high quality qualifications delivery and assessment and availability of ongoing professional development, including relating to child safety.</w:t>
      </w:r>
      <w:r w:rsidRPr="00BC1B76">
        <w:t xml:space="preserve">  </w:t>
      </w:r>
    </w:p>
    <w:p w14:paraId="45D3CEE2" w14:textId="77777777" w:rsidR="00694586" w:rsidRPr="006624F6" w:rsidRDefault="00694586" w:rsidP="00694586">
      <w:pPr>
        <w:ind w:left="720"/>
      </w:pPr>
      <w:r>
        <w:rPr>
          <w:b/>
          <w:bCs/>
        </w:rPr>
        <w:t xml:space="preserve">Recommendation - </w:t>
      </w:r>
      <w:r w:rsidRPr="006624F6">
        <w:t xml:space="preserve">Services </w:t>
      </w:r>
      <w:r w:rsidRPr="00D3134E">
        <w:t xml:space="preserve">and ECEC workers delivering high quality ECEC, quality assessments, and improved professional development are identified, and their practices disseminated across the sector. Pathways could potentially include through the proposed </w:t>
      </w:r>
      <w:r w:rsidRPr="007A0961">
        <w:rPr>
          <w:i/>
          <w:iCs/>
        </w:rPr>
        <w:t>Shaping our Future</w:t>
      </w:r>
      <w:r w:rsidRPr="00D3134E">
        <w:t xml:space="preserve"> national professional practice network, or through development of additional recognition and incentive tools by governments.</w:t>
      </w:r>
    </w:p>
    <w:p w14:paraId="69B4962E" w14:textId="77777777" w:rsidR="00694586" w:rsidRPr="00EF40A7" w:rsidRDefault="00694586" w:rsidP="00694586">
      <w:pPr>
        <w:pStyle w:val="Heading4"/>
      </w:pPr>
      <w:r w:rsidRPr="00EF40A7">
        <w:t xml:space="preserve">First Nations </w:t>
      </w:r>
      <w:r>
        <w:t>Q</w:t>
      </w:r>
      <w:r w:rsidRPr="00EF40A7">
        <w:t xml:space="preserve">uality </w:t>
      </w:r>
      <w:r>
        <w:t>D</w:t>
      </w:r>
      <w:r w:rsidRPr="00EF40A7">
        <w:t xml:space="preserve">elivery </w:t>
      </w:r>
      <w:r>
        <w:t>N</w:t>
      </w:r>
      <w:r w:rsidRPr="00EF40A7">
        <w:t>eeds</w:t>
      </w:r>
    </w:p>
    <w:p w14:paraId="4FF259FF" w14:textId="77777777" w:rsidR="00694586" w:rsidRDefault="00694586" w:rsidP="00694586">
      <w:r>
        <w:t xml:space="preserve">A key part of the </w:t>
      </w:r>
      <w:r w:rsidRPr="5840AC2B">
        <w:rPr>
          <w:i/>
          <w:iCs/>
        </w:rPr>
        <w:t>Closing the Gap</w:t>
      </w:r>
      <w:r>
        <w:t xml:space="preserve"> targets 3 and 4 that focus on the early years is to ensure that children engage in high quality, culturally appropriate ECEC. </w:t>
      </w:r>
      <w:r w:rsidRPr="5840AC2B">
        <w:t>The</w:t>
      </w:r>
      <w:r w:rsidRPr="5840AC2B">
        <w:rPr>
          <w:i/>
          <w:iCs/>
        </w:rPr>
        <w:t xml:space="preserve"> Sector Strengthening Plan: Early Childhood Care and Development</w:t>
      </w:r>
      <w:r>
        <w:t xml:space="preserve"> supports the </w:t>
      </w:r>
      <w:r w:rsidRPr="5840AC2B">
        <w:rPr>
          <w:i/>
          <w:iCs/>
        </w:rPr>
        <w:t>Closing the Gap</w:t>
      </w:r>
      <w:r>
        <w:t xml:space="preserve"> target and aims to achieve increased service delivery, coverage, capacity, quality and resources for Aboriginal and Torres Strait Islander community-controlled organisations. Culturally responsive training to facilitate First Nations children’s engagement in ECEC is linked to ensuring First Nations staff are well-represented in the workforce. In the </w:t>
      </w:r>
      <w:r w:rsidRPr="5840AC2B">
        <w:rPr>
          <w:i/>
          <w:iCs/>
        </w:rPr>
        <w:t>Closing the Gap National Agreement</w:t>
      </w:r>
      <w:r>
        <w:t xml:space="preserve"> under Clause 45 a key element of a strong sector is sustained capacity building and a dedicated, appropriately trained and identified Aboriginal and Torres Strait Islander workforce. </w:t>
      </w:r>
    </w:p>
    <w:p w14:paraId="1F736C12" w14:textId="77777777" w:rsidR="00694586" w:rsidRDefault="00694586" w:rsidP="00694586">
      <w:r>
        <w:t xml:space="preserve">Regulatory training pathways and strict higher education qualification requirements for entry into the ECEC workforce have been noted by sector stakeholders as largely insufficient in developing capacity for a well-represented First Nations workforce, particularly for regional and remote Aboriginal communities. </w:t>
      </w:r>
      <w:proofErr w:type="gramStart"/>
      <w:r>
        <w:t>Particular concerns</w:t>
      </w:r>
      <w:proofErr w:type="gramEnd"/>
      <w:r>
        <w:t xml:space="preserve"> were raised about culturally appropriate delivery, coverage of Indigenous knowledges, understanding of First Nations care approaches and lack of flexibility in teaching modes or assessment to accommodate for cultural or family needs. </w:t>
      </w:r>
    </w:p>
    <w:p w14:paraId="2A05BF9D" w14:textId="77777777" w:rsidR="00694586" w:rsidRDefault="00694586" w:rsidP="00694586">
      <w:r>
        <w:lastRenderedPageBreak/>
        <w:t>In the JSA-led topic-based discussion sessions multiple barriers faced by individuals from regional and remote communities were noted when pursuing a career in ECEC. The barriers identified relate largely to successful completion of ECEC formal qualifications, more specifically the Certificate III, and include the following: language barriers for those with multiple First Nations languages, the level of achievement expected of those who complete the Certificate III (the majority of stakeholders, even when referring to urban areas, considered the Certificate III as unduly complex), and a lack of access to and opportunity for 'taster programs’ and flexible learning modes. In the same series of JSA-led discussion sessions, another stakeholder noted that they had witnessed many students from regional and remote communities struggle to complete the ECEC Certificate III despite being committed to working with and educating young children due to some of these barriers as well as the modes of delivery not taking into account the needs of the community.</w:t>
      </w:r>
      <w:r>
        <w:br/>
        <w:t>In their consultation paper submitted to JSA, SNAICC – National Voice for our Children reiterated these concerns:</w:t>
      </w:r>
    </w:p>
    <w:p w14:paraId="3994B20B" w14:textId="77777777" w:rsidR="00694586" w:rsidRDefault="00694586" w:rsidP="00694586">
      <w:pPr>
        <w:pStyle w:val="IntenseQuote"/>
        <w:rPr>
          <w:rFonts w:ascii="arial itali" w:eastAsia="arial itali" w:hAnsi="arial itali" w:cs="arial itali"/>
          <w:i w:val="0"/>
          <w:iCs w:val="0"/>
        </w:rPr>
      </w:pPr>
      <w:r w:rsidRPr="5840AC2B">
        <w:rPr>
          <w:lang w:val="en-US"/>
        </w:rPr>
        <w:t>W</w:t>
      </w:r>
      <w:r w:rsidRPr="5840AC2B">
        <w:rPr>
          <w:rFonts w:ascii="arial itali" w:eastAsia="arial itali" w:hAnsi="arial itali" w:cs="arial itali"/>
          <w:i w:val="0"/>
          <w:iCs w:val="0"/>
          <w:lang w:val="en-US"/>
        </w:rPr>
        <w:t>orkforce</w:t>
      </w:r>
      <w:r w:rsidRPr="5840AC2B">
        <w:rPr>
          <w:rFonts w:ascii="arial itali" w:eastAsia="arial itali" w:hAnsi="arial itali" w:cs="arial itali"/>
          <w:lang w:val="en-US"/>
        </w:rPr>
        <w:t xml:space="preserve"> shortages are compounded in regional, rural and remote areas where there is high Aboriginal and Torres Strait Islander unemployment and an ageing workforce. Recruiting and retaining Aboriginal and Torres Strait Islander staff challenges in some </w:t>
      </w:r>
      <w:proofErr w:type="gramStart"/>
      <w:r w:rsidRPr="5840AC2B">
        <w:rPr>
          <w:rFonts w:ascii="arial itali" w:eastAsia="arial itali" w:hAnsi="arial itali" w:cs="arial itali"/>
          <w:lang w:val="en-US"/>
        </w:rPr>
        <w:t>communities</w:t>
      </w:r>
      <w:proofErr w:type="gramEnd"/>
      <w:r w:rsidRPr="5840AC2B">
        <w:rPr>
          <w:rFonts w:ascii="arial itali" w:eastAsia="arial itali" w:hAnsi="arial itali" w:cs="arial itali"/>
          <w:lang w:val="en-US"/>
        </w:rPr>
        <w:t xml:space="preserve"> stem from difficulties attaining the qualifications needed, the transient nature of some community members (particularly in remote communities), and stressful working conditions exacerbated complex needs of children and families.</w:t>
      </w:r>
      <w:r w:rsidRPr="5840AC2B">
        <w:rPr>
          <w:rFonts w:ascii="arial itali" w:eastAsia="arial itali" w:hAnsi="arial itali" w:cs="arial itali"/>
          <w:i w:val="0"/>
          <w:iCs w:val="0"/>
          <w:lang w:val="en-US"/>
        </w:rPr>
        <w:t xml:space="preserve"> (Submission 8)</w:t>
      </w:r>
    </w:p>
    <w:p w14:paraId="187F18D4" w14:textId="77777777" w:rsidR="00694586" w:rsidRPr="00D8641D" w:rsidRDefault="00694586" w:rsidP="00694586">
      <w:r w:rsidRPr="00EF40A7">
        <w:t>Through submissions, stakeholders contributed understandings about the importance of Aboriginal Community Controlled Registered Training Organisations (RTO) which provide culturally embedded training options with wrap around support for Aboriginal and Torres Strait Islander students. This kind of support has been shown to be critical to strong completion rates and learner success. Stakeholders further noted that ACCOs receive no baseline operational funding and are solely dependent on a dollar per training hours payment.</w:t>
      </w:r>
    </w:p>
    <w:p w14:paraId="5EE845C5" w14:textId="77777777" w:rsidR="00694586" w:rsidRDefault="00694586" w:rsidP="00694586">
      <w:r>
        <w:t xml:space="preserve">A proposed solution to several of these critical issues impeding the development and expansion of the First Nations workforce, which is noted in Chapter 3 as lacking representation particularly at the higher qualified occupations, was suggested by SNAICC – National Voice for our Children as being to: </w:t>
      </w:r>
    </w:p>
    <w:p w14:paraId="0FC97EB8" w14:textId="77777777" w:rsidR="00694586" w:rsidRDefault="00694586" w:rsidP="00694586">
      <w:r>
        <w:br w:type="page"/>
      </w:r>
    </w:p>
    <w:p w14:paraId="400F1EC1" w14:textId="77777777" w:rsidR="00694586" w:rsidRDefault="00694586" w:rsidP="00694586"/>
    <w:p w14:paraId="1F1B97A6" w14:textId="77777777" w:rsidR="00694586" w:rsidRPr="0091712E" w:rsidRDefault="00694586" w:rsidP="00694586">
      <w:pPr>
        <w:pStyle w:val="IntenseQuote"/>
      </w:pPr>
      <w:r>
        <w:t>Acknowledge and explore the critical role of ACCO led registered training organisations (RTOs) in supporting Aboriginal and Torres Strait Islander workers to gain ECEC qualifications and highlight the importance of these organisations being sustainably funded on an ongoing basis. (Submission 8)</w:t>
      </w:r>
    </w:p>
    <w:p w14:paraId="0095845D" w14:textId="77777777" w:rsidR="00694586" w:rsidRPr="00442C59" w:rsidRDefault="00694586" w:rsidP="00694586">
      <w:pPr>
        <w:pStyle w:val="Finding"/>
        <w:numPr>
          <w:ilvl w:val="0"/>
          <w:numId w:val="0"/>
        </w:numPr>
        <w:rPr>
          <w:b w:val="0"/>
          <w:bCs w:val="0"/>
        </w:rPr>
      </w:pPr>
      <w:r>
        <w:t xml:space="preserve">Finding </w:t>
      </w:r>
      <w:r w:rsidRPr="005A459D">
        <w:t xml:space="preserve">- </w:t>
      </w:r>
      <w:r w:rsidRPr="00442C59">
        <w:rPr>
          <w:b w:val="0"/>
          <w:bCs w:val="0"/>
        </w:rPr>
        <w:t>First Nations leadership of education and training providers has been shown to make a significant difference to access and success of First Nations students. However, there are relatively few Aboriginal Community Controlled education and training providers delivering ECEC qualifications for First Nations Australians. For these and other reasons the First Nations community may be poorly served by education and training pathways into ECEC, particularly for higher education routes including relating to curriculum, assessment and delivery arrangements.</w:t>
      </w:r>
    </w:p>
    <w:p w14:paraId="03039B16" w14:textId="77777777" w:rsidR="00694586" w:rsidRPr="00B8537B" w:rsidRDefault="00694586" w:rsidP="00694586">
      <w:pPr>
        <w:ind w:left="720"/>
      </w:pPr>
      <w:r w:rsidRPr="62904549">
        <w:rPr>
          <w:b/>
          <w:bCs/>
        </w:rPr>
        <w:t>Recommendation</w:t>
      </w:r>
      <w:r>
        <w:rPr>
          <w:b/>
          <w:bCs/>
        </w:rPr>
        <w:t xml:space="preserve"> -</w:t>
      </w:r>
      <w:r w:rsidRPr="62904549">
        <w:rPr>
          <w:b/>
          <w:bCs/>
        </w:rPr>
        <w:t xml:space="preserve"> </w:t>
      </w:r>
      <w:r>
        <w:t xml:space="preserve">Governments </w:t>
      </w:r>
      <w:r w:rsidRPr="009F2AA7">
        <w:t>examine the viability of current funding arrangements for ACCO led registered training organisations (RTOs) and higher education providers in supporting Aboriginal and Torres Strait Islanders to gain ECEC qualifications.</w:t>
      </w:r>
    </w:p>
    <w:p w14:paraId="3C61506B" w14:textId="77777777" w:rsidR="00694586" w:rsidRPr="00733835" w:rsidRDefault="00694586" w:rsidP="00694586">
      <w:pPr>
        <w:ind w:left="720"/>
      </w:pPr>
      <w:r w:rsidRPr="00733835">
        <w:rPr>
          <w:b/>
          <w:bCs/>
        </w:rPr>
        <w:t>Recommendation</w:t>
      </w:r>
      <w:r>
        <w:rPr>
          <w:b/>
          <w:bCs/>
        </w:rPr>
        <w:t xml:space="preserve"> -</w:t>
      </w:r>
      <w:r w:rsidRPr="00733835">
        <w:rPr>
          <w:b/>
          <w:bCs/>
        </w:rPr>
        <w:t xml:space="preserve"> </w:t>
      </w:r>
      <w:r w:rsidRPr="003B287E">
        <w:t xml:space="preserve">Ensure </w:t>
      </w:r>
      <w:r w:rsidRPr="00DA3C1A">
        <w:t>that all education providers have strategies e.g. reconciliation action plans, including explicit engagement with culturally safe, appropriate and responsive curriculum, assessment and delivery arrangements.</w:t>
      </w:r>
    </w:p>
    <w:tbl>
      <w:tblPr>
        <w:tblStyle w:val="ListTable1Light"/>
        <w:tblW w:w="0" w:type="auto"/>
        <w:shd w:val="clear" w:color="auto" w:fill="CFE9FA"/>
        <w:tblLook w:val="0620" w:firstRow="1" w:lastRow="0" w:firstColumn="0" w:lastColumn="0" w:noHBand="1" w:noVBand="1"/>
      </w:tblPr>
      <w:tblGrid>
        <w:gridCol w:w="9016"/>
      </w:tblGrid>
      <w:tr w:rsidR="00694586" w14:paraId="3CA1D5E6" w14:textId="77777777" w:rsidTr="005D67F5">
        <w:trPr>
          <w:cnfStyle w:val="100000000000" w:firstRow="1" w:lastRow="0" w:firstColumn="0" w:lastColumn="0" w:oddVBand="0" w:evenVBand="0" w:oddHBand="0" w:evenHBand="0" w:firstRowFirstColumn="0" w:firstRowLastColumn="0" w:lastRowFirstColumn="0" w:lastRowLastColumn="0"/>
          <w:cantSplit/>
        </w:trPr>
        <w:tc>
          <w:tcPr>
            <w:tcW w:w="9016" w:type="dxa"/>
            <w:shd w:val="clear" w:color="auto" w:fill="CFE9FA"/>
            <w:tcMar>
              <w:top w:w="284" w:type="dxa"/>
              <w:left w:w="284" w:type="dxa"/>
              <w:bottom w:w="284" w:type="dxa"/>
              <w:right w:w="284" w:type="dxa"/>
            </w:tcMar>
          </w:tcPr>
          <w:p w14:paraId="7C56EB66" w14:textId="77777777" w:rsidR="00694586" w:rsidRDefault="00694586" w:rsidP="005F6ADC">
            <w:pPr>
              <w:pStyle w:val="Source"/>
              <w:rPr>
                <w:rFonts w:eastAsiaTheme="majorEastAsia" w:cstheme="majorBidi"/>
                <w:b w:val="0"/>
                <w:color w:val="441170" w:themeColor="text2"/>
                <w:sz w:val="32"/>
                <w:szCs w:val="24"/>
              </w:rPr>
            </w:pPr>
            <w:r w:rsidRPr="000579BD">
              <w:rPr>
                <w:rFonts w:eastAsiaTheme="majorEastAsia" w:cstheme="majorBidi"/>
                <w:color w:val="441170" w:themeColor="text2"/>
                <w:sz w:val="32"/>
                <w:szCs w:val="24"/>
              </w:rPr>
              <w:t>CASE STUDY – Developing the local workforce by delivering locally</w:t>
            </w:r>
          </w:p>
          <w:p w14:paraId="2D91A76F" w14:textId="77777777" w:rsidR="00694586" w:rsidRPr="000579BD" w:rsidRDefault="00694586" w:rsidP="005F6ADC">
            <w:pPr>
              <w:pStyle w:val="Source"/>
              <w:rPr>
                <w:color w:val="000000" w:themeColor="text1"/>
                <w:sz w:val="22"/>
                <w:szCs w:val="22"/>
              </w:rPr>
            </w:pPr>
            <w:r w:rsidRPr="000579BD">
              <w:rPr>
                <w:color w:val="000000" w:themeColor="text1"/>
                <w:sz w:val="22"/>
                <w:szCs w:val="22"/>
              </w:rPr>
              <w:t xml:space="preserve">One Tree Community Services (One Tree) is a not-for-profit ECEC service operating across Australia. The One Tree centre in Kununurra within the Kimberley region of Western Australia operates as an ECEC service with multiple trainees studying through One Trees RTO.  This centre develops the local workforce through their RTO status and can internally support training opportunities for staff. One Tree in Kununurra have many local Aboriginal people working in the service at various levels, including those working towards certificate and diploma qualifications. The responsive nature of One Tree means it has been able to operate at full capacity and has built a positive reputation in the region for being an employer of choice.  Additionally, One Tree’s RTO supports other services in the region through free traineeships, supporting local skill development in early education and care more broadly. </w:t>
            </w:r>
          </w:p>
          <w:p w14:paraId="47D11F12" w14:textId="77777777" w:rsidR="00694586" w:rsidRPr="000579BD" w:rsidRDefault="00694586" w:rsidP="005F6ADC">
            <w:pPr>
              <w:rPr>
                <w:i/>
                <w:iCs/>
              </w:rPr>
            </w:pPr>
            <w:r w:rsidRPr="000579BD">
              <w:rPr>
                <w:i/>
                <w:iCs/>
              </w:rPr>
              <w:t>Submission 32 – Regional Development Australia (RDA) Kimberley</w:t>
            </w:r>
          </w:p>
        </w:tc>
      </w:tr>
    </w:tbl>
    <w:p w14:paraId="2797A2A9" w14:textId="77777777" w:rsidR="00694586" w:rsidRDefault="00694586" w:rsidP="00694586"/>
    <w:p w14:paraId="7F47F985" w14:textId="77777777" w:rsidR="00694586" w:rsidRPr="0087264B" w:rsidRDefault="00694586" w:rsidP="00694586">
      <w:pPr>
        <w:pStyle w:val="Heading3"/>
      </w:pPr>
      <w:r w:rsidRPr="0087264B">
        <w:lastRenderedPageBreak/>
        <w:t xml:space="preserve">Qualification </w:t>
      </w:r>
      <w:r>
        <w:t>P</w:t>
      </w:r>
      <w:r w:rsidRPr="0087264B">
        <w:t>athways</w:t>
      </w:r>
    </w:p>
    <w:p w14:paraId="073C5224" w14:textId="77777777" w:rsidR="00694586" w:rsidRPr="0055600E" w:rsidRDefault="00694586" w:rsidP="00694586">
      <w:r>
        <w:t xml:space="preserve">The ECEC Sector draws on both VET and higher education sectors for its formal qualifications, with most ECEC providers requiring a staff mix that draws on strengths from both sectors. </w:t>
      </w:r>
    </w:p>
    <w:p w14:paraId="3027D511" w14:textId="77777777" w:rsidR="00694586" w:rsidRPr="00055FBD" w:rsidRDefault="00694586" w:rsidP="00694586">
      <w:pPr>
        <w:pStyle w:val="IntenseQuote"/>
      </w:pPr>
      <w:r>
        <w:t>Shaping Our Future Stratification typically relates to current occupational need, which obscures the true content and attainment when most if not all of those with a diploma also hold a Certificate III and this is a desired outcome for sector quality. Stakeholders affirmed that it was of great importance that qualifications had a consistent alignment with AQF levels as well as alignment with job roles. (Submission 2 – A peak educational body)</w:t>
      </w:r>
    </w:p>
    <w:p w14:paraId="0325CA8A" w14:textId="77777777" w:rsidR="00694586" w:rsidRDefault="00694586" w:rsidP="00694586">
      <w:pPr>
        <w:rPr>
          <w:sz w:val="18"/>
          <w:szCs w:val="18"/>
        </w:rPr>
      </w:pPr>
      <w:r w:rsidRPr="658C8762">
        <w:rPr>
          <w:rFonts w:cs="Arial"/>
        </w:rPr>
        <w:t>While maintaining well established pathways, it is not clear that the current ECEC training pathway segmentation will provide a sufficient pipeline for the sector on an ongoing basis, even if the uncompetitive wage and workplace conditions issues are addressed (see Chapter 6).</w:t>
      </w:r>
      <w:r w:rsidRPr="658C8762">
        <w:rPr>
          <w:rStyle w:val="eop"/>
          <w:rFonts w:cs="Arial"/>
        </w:rPr>
        <w:t xml:space="preserve"> This segmentation is determined by qualification level: entry level </w:t>
      </w:r>
      <w:r w:rsidRPr="658C8762">
        <w:rPr>
          <w:rFonts w:cs="Arial"/>
        </w:rPr>
        <w:t xml:space="preserve">Certificate III ECEC training, intermediate diploma qualifications and </w:t>
      </w:r>
      <w:r w:rsidRPr="00CC64CC">
        <w:rPr>
          <w:rFonts w:cs="Arial"/>
          <w:i/>
          <w:iCs/>
        </w:rPr>
        <w:t>Early Childhood Teachers</w:t>
      </w:r>
      <w:r w:rsidRPr="658C8762">
        <w:rPr>
          <w:rFonts w:cs="Arial"/>
        </w:rPr>
        <w:t xml:space="preserve"> requiring a four-year degree often embedded alongside primary school teacher training courses.</w:t>
      </w:r>
    </w:p>
    <w:p w14:paraId="5BD7D00C" w14:textId="77777777" w:rsidR="00694586" w:rsidRDefault="00694586" w:rsidP="00694586">
      <w:r>
        <w:rPr>
          <w:rFonts w:cs="Arial"/>
        </w:rPr>
        <w:t xml:space="preserve">The next sections report on stakeholder insights and draw on earlier data presented in Chapter 3 on educational and training enrolment, completion and characteristics. </w:t>
      </w:r>
    </w:p>
    <w:p w14:paraId="015533E2" w14:textId="77777777" w:rsidR="00694586" w:rsidRPr="00055FBD" w:rsidRDefault="00694586" w:rsidP="00694586">
      <w:pPr>
        <w:pStyle w:val="Heading4"/>
      </w:pPr>
      <w:r w:rsidRPr="00055FBD">
        <w:t xml:space="preserve">Certificate III </w:t>
      </w:r>
    </w:p>
    <w:p w14:paraId="3CB40F36" w14:textId="77777777" w:rsidR="00694586" w:rsidRPr="0091712E" w:rsidRDefault="00694586" w:rsidP="00694586">
      <w:pPr>
        <w:rPr>
          <w:highlight w:val="yellow"/>
        </w:rPr>
      </w:pPr>
      <w:r>
        <w:t>The current Certificate III ECEC CHC30121 was released July 2021. There are 23 units approved including 14 core units. Emerging sector feedback indicated an overall concern about the level of complexity of the Certificate III ECEC qualification (submission 2 - a peak educational body) as well as related to breadth and possible delivery modes of the qualification. There were stakeholder calls for the Certificate III ECEC qualification to be confirmed as the core bedrock qualification but perhaps somewhat redeveloped to support success of learners often in their first post-school qualification (submission 5 – Swinburne University).</w:t>
      </w:r>
    </w:p>
    <w:p w14:paraId="62B8679A" w14:textId="77777777" w:rsidR="00694586" w:rsidRDefault="00694586" w:rsidP="00694586">
      <w:r>
        <w:t xml:space="preserve">The course load of the program is noted to be large, in common with many complex training package qualifications with rich and deep practice contexts. There was significant feedback from the sector on the knowledge elements of the qualification and involved nature of many of the units. Consultations reflected on the </w:t>
      </w:r>
      <w:proofErr w:type="gramStart"/>
      <w:r>
        <w:t>competency based</w:t>
      </w:r>
      <w:proofErr w:type="gramEnd"/>
      <w:r>
        <w:t xml:space="preserve"> nature of the VET qualification and the appropriateness of involved knowledge requirements at the Certificate III level. </w:t>
      </w:r>
    </w:p>
    <w:p w14:paraId="576B7435" w14:textId="77777777" w:rsidR="00694586" w:rsidRPr="00D8641D" w:rsidRDefault="00694586" w:rsidP="00694586">
      <w:pPr>
        <w:keepNext/>
      </w:pPr>
      <w:r>
        <w:t xml:space="preserve">Complexity, especially knowledge of theoretical and conceptual understandings, is one suggested factor contributing to ongoing concerns about completion rates, at a low in 2020 during COVID against all other completions but in 2022 interim figures have now aligned with previous rates. There were some concerns raised about whether the influx of entrants in response to fee-free TAFE may have impacted completion rates, but little evidence on completions is available </w:t>
      </w:r>
      <w:proofErr w:type="gramStart"/>
      <w:r>
        <w:t>as yet</w:t>
      </w:r>
      <w:proofErr w:type="gramEnd"/>
      <w:r>
        <w:t xml:space="preserve">. Submissions attest that course attrition and retention are </w:t>
      </w:r>
      <w:r>
        <w:lastRenderedPageBreak/>
        <w:t>being negatively impacted by the current Certificate III ECEC (CHC30121) training package (submission 21</w:t>
      </w:r>
      <w:r w:rsidRPr="00B558E4">
        <w:rPr>
          <w:rFonts w:eastAsia="Arial" w:cs="Arial"/>
        </w:rPr>
        <w:t xml:space="preserve"> - TAFE Directors Australia) a</w:t>
      </w:r>
      <w:r>
        <w:t>nd further contributed that:</w:t>
      </w:r>
    </w:p>
    <w:p w14:paraId="5055F95C" w14:textId="77777777" w:rsidR="00694586" w:rsidRPr="00055FBD" w:rsidRDefault="00694586" w:rsidP="00694586">
      <w:pPr>
        <w:pStyle w:val="IntenseQuote"/>
      </w:pPr>
      <w:r>
        <w:t>Feedback also reported that with recent changes to the Certificate III (becoming the entry requirement for the Diploma of ECEC), the Certificate III is now more challenging than a standard Certificate III…resulting in non-completions of the Certificate III and a drop in enrolment. (Submission 51 - A peak workforce development body)</w:t>
      </w:r>
    </w:p>
    <w:p w14:paraId="0D4C0BAD" w14:textId="77777777" w:rsidR="00694586" w:rsidRDefault="00694586" w:rsidP="00694586">
      <w:pPr>
        <w:rPr>
          <w:highlight w:val="yellow"/>
        </w:rPr>
      </w:pPr>
      <w:r>
        <w:t xml:space="preserve">While published data shows national increases in VET in Schools enrolments, particular issues were raised about the requirements of the Certificate III ECEC in current senior secondary pathway arrangements. It was noted that in some jurisdictions these pathway arrangements are potentially causing delivery challenges in the school sector where students cannot include the Certificate III part of any ATAR calculation and therefore </w:t>
      </w:r>
      <w:proofErr w:type="gramStart"/>
      <w:r>
        <w:t>have to</w:t>
      </w:r>
      <w:proofErr w:type="gramEnd"/>
      <w:r>
        <w:t xml:space="preserve"> undertake a heavy academic load so that they receive an ATAR (individual submission 18).</w:t>
      </w:r>
    </w:p>
    <w:p w14:paraId="3968A9BD" w14:textId="77777777" w:rsidR="00694586" w:rsidRDefault="00694586" w:rsidP="00694586">
      <w:r>
        <w:t xml:space="preserve">There were further concerns related to the breadth of the qualification, which is currently designed to serve a range of service types including IHC, FDC and OSHC and CBDC. Some responding to the ECEC Capacity Study consultation paper saw this as a concern: </w:t>
      </w:r>
    </w:p>
    <w:p w14:paraId="7F4492D8" w14:textId="77777777" w:rsidR="00694586" w:rsidRPr="00055FBD" w:rsidRDefault="00694586" w:rsidP="00694586">
      <w:pPr>
        <w:pStyle w:val="IntenseQuote"/>
      </w:pPr>
      <w:r w:rsidRPr="00055FBD">
        <w:t>The content of the current Certificate III in Early Childhood Education and Care (CH30121) is largely geared towards preparing educators for work in CBDC settings, in particular long day care. Work placements also focus on long day care settings. (Submission 40 – Family Day Care Australia)</w:t>
      </w:r>
    </w:p>
    <w:p w14:paraId="04C26AD9" w14:textId="77777777" w:rsidR="00694586" w:rsidRPr="00055FBD" w:rsidRDefault="00694586" w:rsidP="00694586">
      <w:pPr>
        <w:pStyle w:val="IntenseQuote"/>
      </w:pPr>
      <w:r w:rsidRPr="00055FBD">
        <w:t>A significant gap arose in the access for OSHC Educators to a Certificate III level qualification. (Submission 49 - National Outside of School Hours Services Alliance)</w:t>
      </w:r>
    </w:p>
    <w:p w14:paraId="3189BC68" w14:textId="77777777" w:rsidR="00694586" w:rsidRDefault="00694586" w:rsidP="00694586">
      <w:r>
        <w:t xml:space="preserve">While it is noted that there is a drive towards reducing specialisations in VET qualifications, there are needs in the diverse ECEC sector for different content delivery, opportunities for use of clusters of units for specific service types </w:t>
      </w:r>
      <w:proofErr w:type="gramStart"/>
      <w:r>
        <w:t>and also</w:t>
      </w:r>
      <w:proofErr w:type="gramEnd"/>
      <w:r>
        <w:t xml:space="preserve"> use of skillsets. </w:t>
      </w:r>
    </w:p>
    <w:p w14:paraId="0C0DB6C1" w14:textId="77777777" w:rsidR="00694586" w:rsidRPr="005A4955" w:rsidRDefault="00694586" w:rsidP="00694586">
      <w:r>
        <w:t xml:space="preserve">The assessment in courses were raised as concerns which add to complexity, including rigidity in assessment as explained by this submission: </w:t>
      </w:r>
    </w:p>
    <w:p w14:paraId="0528BCD8" w14:textId="77777777" w:rsidR="00694586" w:rsidRPr="00754DFA" w:rsidRDefault="00694586" w:rsidP="00694586">
      <w:pPr>
        <w:pStyle w:val="IntenseQuote"/>
        <w:rPr>
          <w:highlight w:val="yellow"/>
        </w:rPr>
      </w:pPr>
      <w:r>
        <w:t>Trying to break assessing human interactions into discrete lists of competencies often does not support the nuances of quality human interaction. (Submission 2 – A peak educational body)</w:t>
      </w:r>
    </w:p>
    <w:p w14:paraId="06E15CD3" w14:textId="77777777" w:rsidR="00694586" w:rsidRPr="00626BCC" w:rsidRDefault="00694586" w:rsidP="00694586">
      <w:pPr>
        <w:keepNext/>
        <w:keepLines/>
      </w:pPr>
      <w:r w:rsidRPr="1931F4AF">
        <w:rPr>
          <w:lang w:val="en-GB"/>
        </w:rPr>
        <w:lastRenderedPageBreak/>
        <w:t xml:space="preserve">To this end methods of assessing </w:t>
      </w:r>
      <w:proofErr w:type="gramStart"/>
      <w:r w:rsidRPr="1931F4AF">
        <w:rPr>
          <w:lang w:val="en-GB"/>
        </w:rPr>
        <w:t>workplace based</w:t>
      </w:r>
      <w:proofErr w:type="gramEnd"/>
      <w:r w:rsidRPr="1931F4AF">
        <w:rPr>
          <w:lang w:val="en-GB"/>
        </w:rPr>
        <w:t xml:space="preserve"> learning both in placements and in continuing professional development need investigation. There is opportunity to consider third party assessments, previously mooted by NCVER </w:t>
      </w:r>
      <w:r w:rsidRPr="1931F4AF">
        <w:rPr>
          <w:rFonts w:eastAsia="Arial" w:cs="Arial"/>
          <w:lang w:val="en-GB"/>
        </w:rPr>
        <w:t>(Misko, J. &amp; Halliday-Waynes, S., 2013)</w:t>
      </w:r>
      <w:r w:rsidRPr="1931F4AF">
        <w:rPr>
          <w:lang w:val="en-GB"/>
        </w:rPr>
        <w:t xml:space="preserve"> and this is intensified by some of the extensive assessment requirements noted in this submission: </w:t>
      </w:r>
    </w:p>
    <w:p w14:paraId="0EB2C087" w14:textId="77777777" w:rsidR="00694586" w:rsidRPr="00D8641D" w:rsidRDefault="00694586" w:rsidP="00694586">
      <w:pPr>
        <w:pStyle w:val="IntenseQuote"/>
      </w:pPr>
      <w:r w:rsidRPr="00B558E4">
        <w:t>A core unit CHCECE035 has 37 performance criteria and 46 pieces of knowledge evidence. (</w:t>
      </w:r>
      <w:r>
        <w:t>S</w:t>
      </w:r>
      <w:r w:rsidRPr="00B558E4">
        <w:t>ubmission 33</w:t>
      </w:r>
      <w:r>
        <w:t xml:space="preserve"> - </w:t>
      </w:r>
      <w:r w:rsidRPr="00B558E4">
        <w:t>Individual)</w:t>
      </w:r>
    </w:p>
    <w:p w14:paraId="7A90C585" w14:textId="77777777" w:rsidR="00694586" w:rsidRDefault="00694586" w:rsidP="00694586">
      <w:r w:rsidRPr="5840AC2B">
        <w:rPr>
          <w:lang w:val="en-GB"/>
        </w:rPr>
        <w:t xml:space="preserve">Further noted is the difficulty in assessing the invisible skills critical for success in the ECEC workforce that are used by early childhood educators but are often an implicit part of assessments. Stakeholders suggested that there are existing skills in the workforce that are used every day that can be better recognised, which is largely linked to the lack of recognition to gender biases in the workforce. </w:t>
      </w:r>
    </w:p>
    <w:p w14:paraId="1EF66E4A" w14:textId="77777777" w:rsidR="00694586" w:rsidRPr="00CC64CC" w:rsidRDefault="00694586" w:rsidP="00885B2A">
      <w:pPr>
        <w:pStyle w:val="Finding"/>
        <w:numPr>
          <w:ilvl w:val="0"/>
          <w:numId w:val="0"/>
        </w:numPr>
      </w:pPr>
      <w:r w:rsidRPr="004071F8">
        <w:t xml:space="preserve">Finding - </w:t>
      </w:r>
      <w:r w:rsidRPr="00442C59">
        <w:rPr>
          <w:b w:val="0"/>
          <w:bCs w:val="0"/>
        </w:rPr>
        <w:t>The Certificate III ECEC is the bedrock workforce qualification across service types. However, there is a widespread concern across the ECEC sector that the current content of Certificate III ECEC is too complex and broadly focused. Current delivery methods of the Certificate III ECEC also contribute to making success in ECEC more difficult for some cohorts, including delivery in schools. The block-mode delivery requiring intensive focus away from family or community, and for those with differing levels of literacy.</w:t>
      </w:r>
      <w:r w:rsidRPr="00017BC8">
        <w:t xml:space="preserve"> </w:t>
      </w:r>
    </w:p>
    <w:p w14:paraId="6EF1C0CE" w14:textId="77777777" w:rsidR="00694586" w:rsidRPr="00B56E17" w:rsidRDefault="00694586" w:rsidP="00694586">
      <w:pPr>
        <w:ind w:left="720"/>
      </w:pPr>
      <w:r w:rsidRPr="62904549">
        <w:rPr>
          <w:b/>
          <w:bCs/>
        </w:rPr>
        <w:t>Recommendation</w:t>
      </w:r>
      <w:r>
        <w:t xml:space="preserve"> - HumanAbility </w:t>
      </w:r>
      <w:r w:rsidRPr="00EC2E65">
        <w:t>to review the current content of the Certificate III in Early Childhood Education and Care, in collaboration with States and Territories, to identify opportunities to reduce the complexity of the learning outcomes, without detracting from quality.</w:t>
      </w:r>
    </w:p>
    <w:p w14:paraId="4B7E9A51" w14:textId="77777777" w:rsidR="00694586" w:rsidRDefault="00694586" w:rsidP="00694586">
      <w:pPr>
        <w:ind w:left="720"/>
      </w:pPr>
      <w:r w:rsidRPr="62904549">
        <w:rPr>
          <w:b/>
          <w:bCs/>
        </w:rPr>
        <w:t xml:space="preserve">Recommendation </w:t>
      </w:r>
      <w:r>
        <w:t xml:space="preserve">- HumanAbility </w:t>
      </w:r>
      <w:r w:rsidRPr="00CE7138">
        <w:t>to consider how the national training system can better support more graduated pathways into Early Childhood Educator roles. Education and Training Providers should work with Governments to continue to develop and fund programs that will provide an accessible pathway into Early Childhood Educator roles by:</w:t>
      </w:r>
    </w:p>
    <w:p w14:paraId="52F2FC74" w14:textId="77777777" w:rsidR="00694586" w:rsidRPr="00565D43" w:rsidRDefault="00694586" w:rsidP="00A2332E">
      <w:pPr>
        <w:pStyle w:val="ListParagraph"/>
        <w:numPr>
          <w:ilvl w:val="0"/>
          <w:numId w:val="23"/>
        </w:numPr>
        <w:ind w:left="1440"/>
        <w:rPr>
          <w:i w:val="0"/>
          <w:iCs w:val="0"/>
        </w:rPr>
      </w:pPr>
      <w:r w:rsidRPr="00565D43">
        <w:rPr>
          <w:i w:val="0"/>
          <w:iCs w:val="0"/>
        </w:rPr>
        <w:t>encouraging development of pre-employment programs.</w:t>
      </w:r>
    </w:p>
    <w:p w14:paraId="4ECBBE9D" w14:textId="77777777" w:rsidR="00694586" w:rsidRPr="00565D43" w:rsidRDefault="00694586" w:rsidP="00A2332E">
      <w:pPr>
        <w:pStyle w:val="ListParagraph"/>
        <w:numPr>
          <w:ilvl w:val="0"/>
          <w:numId w:val="23"/>
        </w:numPr>
        <w:ind w:left="1440"/>
        <w:rPr>
          <w:i w:val="0"/>
          <w:iCs w:val="0"/>
        </w:rPr>
      </w:pPr>
      <w:r w:rsidRPr="00565D43">
        <w:rPr>
          <w:i w:val="0"/>
          <w:iCs w:val="0"/>
        </w:rPr>
        <w:t>assessing the appropriateness of SkillSets for different service types where the full qualification is not nationally mandated for workforce (particularly OSHC) including reviewing existing OSHC SkillSets.</w:t>
      </w:r>
    </w:p>
    <w:p w14:paraId="795C6A05" w14:textId="77777777" w:rsidR="00694586" w:rsidRPr="00565D43" w:rsidRDefault="00694586" w:rsidP="00A2332E">
      <w:pPr>
        <w:pStyle w:val="ListParagraph"/>
        <w:numPr>
          <w:ilvl w:val="0"/>
          <w:numId w:val="23"/>
        </w:numPr>
        <w:ind w:left="1440"/>
        <w:rPr>
          <w:i w:val="0"/>
          <w:iCs w:val="0"/>
        </w:rPr>
      </w:pPr>
      <w:r w:rsidRPr="00565D43">
        <w:rPr>
          <w:i w:val="0"/>
          <w:iCs w:val="0"/>
        </w:rPr>
        <w:t>incentivising the development of resources to support high quality simulated training and assessment before on the job placement.</w:t>
      </w:r>
    </w:p>
    <w:p w14:paraId="695C2B9D" w14:textId="3E9315CC" w:rsidR="00694586" w:rsidRPr="00565D43" w:rsidRDefault="00694586" w:rsidP="00694586">
      <w:pPr>
        <w:ind w:left="720"/>
      </w:pPr>
      <w:r w:rsidRPr="00565D43">
        <w:rPr>
          <w:b/>
          <w:bCs/>
        </w:rPr>
        <w:t>Recommendation</w:t>
      </w:r>
      <w:r w:rsidRPr="00B56E17">
        <w:t xml:space="preserve"> - </w:t>
      </w:r>
      <w:r w:rsidRPr="00565D43">
        <w:t xml:space="preserve">Governments </w:t>
      </w:r>
      <w:r w:rsidRPr="00561016">
        <w:t xml:space="preserve">should support completions of ECEC qualifications in school-based apprenticeships and traineeships to ensure sustainability and drive access. As a senior secondary pathway alternative, consider supporting the further development of a taster skillset designed to be delivered in VET in schools and other settings with explicit arrangements with RTOs and ECEC providers that support the student to complete the </w:t>
      </w:r>
      <w:r w:rsidR="005A7D57" w:rsidRPr="005A7D57">
        <w:t>Certificate III in Early Childhood Education and Care</w:t>
      </w:r>
      <w:r w:rsidRPr="00561016">
        <w:t>.</w:t>
      </w:r>
    </w:p>
    <w:p w14:paraId="10021229" w14:textId="77777777" w:rsidR="00694586" w:rsidRPr="00DA4851" w:rsidRDefault="00694586" w:rsidP="00694586">
      <w:pPr>
        <w:pStyle w:val="Heading4"/>
        <w:keepNext/>
      </w:pPr>
      <w:r w:rsidRPr="00DA4851">
        <w:lastRenderedPageBreak/>
        <w:t xml:space="preserve">Traineeship </w:t>
      </w:r>
      <w:r>
        <w:t>R</w:t>
      </w:r>
      <w:r w:rsidRPr="00DA4851">
        <w:t>outes</w:t>
      </w:r>
    </w:p>
    <w:p w14:paraId="3A7F667E" w14:textId="77777777" w:rsidR="00694586" w:rsidRDefault="00694586" w:rsidP="00694586">
      <w:pPr>
        <w:keepLines/>
      </w:pPr>
      <w:r>
        <w:t>As noted in Chapter 3, the number of traineeships in the sector has more than doubled since 2020. Certificate III ECEC traineeship enrolments have increased significantly over the last five years, with an 85% increase between 2018 and 2022. This is a larger increase than all ECEC VET enrolments over the same period (7%</w:t>
      </w:r>
      <w:proofErr w:type="gramStart"/>
      <w:r>
        <w:t>),and</w:t>
      </w:r>
      <w:proofErr w:type="gramEnd"/>
      <w:r>
        <w:t xml:space="preserve"> has impacted on the wider workforce with the increased need for supervision in the workplace which is a critical part of delivery of traineeships. Traineeships are an attractive pipeline for the ECEC workforce and appeal to employers and students as noted by this submission: </w:t>
      </w:r>
    </w:p>
    <w:p w14:paraId="448BC112" w14:textId="77777777" w:rsidR="00694586" w:rsidRPr="000E637B" w:rsidRDefault="00694586" w:rsidP="00694586">
      <w:pPr>
        <w:pStyle w:val="IntenseQuote"/>
        <w:rPr>
          <w:highlight w:val="yellow"/>
        </w:rPr>
      </w:pPr>
      <w:r>
        <w:t>The traineeship’s blended learning approach, where students can earn and learn, is a very effective model. (Submission 15 - Chisholm Institute)</w:t>
      </w:r>
    </w:p>
    <w:p w14:paraId="407AAC73" w14:textId="77777777" w:rsidR="00694586" w:rsidRPr="00D8641D" w:rsidRDefault="00694586" w:rsidP="00694586">
      <w:r w:rsidRPr="5840AC2B">
        <w:t>One-fifth of ECEC VET students undertake study as part of a traineeship. During JSA's consultations and submissions, questions arose as to whether this mode could be expanded or extended to new qualifications. There were barriers noted to the expansion of traineeships, which include lack of flexibility, however the advantages for students were also commented on by stakeholders:</w:t>
      </w:r>
    </w:p>
    <w:p w14:paraId="3D369A9C" w14:textId="77777777" w:rsidR="00694586" w:rsidRDefault="00694586" w:rsidP="00694586">
      <w:pPr>
        <w:pStyle w:val="IntenseQuote"/>
        <w:rPr>
          <w:highlight w:val="yellow"/>
        </w:rPr>
      </w:pPr>
      <w:r>
        <w:t>Most candidates need to earn and learn so traineeships are attractive. They are also attractive to employers, however, the deficit in these programs is in the effective mentoring/coaching and support from team members with consolidated and good practice. Traineeships and other workplace delivery models get workers and students into services and working with children while they study (Submission 21 -TAFE Directors Australia)</w:t>
      </w:r>
    </w:p>
    <w:p w14:paraId="72D61C8C" w14:textId="77777777" w:rsidR="00694586" w:rsidRPr="00055DEB" w:rsidRDefault="00694586" w:rsidP="00694586">
      <w:pPr>
        <w:rPr>
          <w:rFonts w:ascii="Segoe UI" w:hAnsi="Segoe UI" w:cs="Segoe UI"/>
          <w:sz w:val="20"/>
          <w:szCs w:val="20"/>
          <w14:ligatures w14:val="standardContextual"/>
        </w:rPr>
      </w:pPr>
      <w:r w:rsidRPr="00B558E4">
        <w:t xml:space="preserve">Other emerging trends, as discussed in Chapter 3, include growth in some jurisdictions of diploma traineeships. The rise in traineeships includes the provision of traineeships in large ECEC providers who have their own RTOs offering qualifications and upskilling to staff, as also noted by the ACCC (2023a). These affordances are not available across all service types, however, noting IHC and FDC cannot host traineeships, due </w:t>
      </w:r>
      <w:r>
        <w:t xml:space="preserve">in part </w:t>
      </w:r>
      <w:r w:rsidRPr="00B558E4">
        <w:t xml:space="preserve">to their workplace structures.  </w:t>
      </w:r>
    </w:p>
    <w:p w14:paraId="1B122AD0" w14:textId="77777777" w:rsidR="00694586" w:rsidRPr="004D5115" w:rsidRDefault="00694586" w:rsidP="00694586">
      <w:pPr>
        <w:rPr>
          <w:iCs/>
          <w:color w:val="auto"/>
        </w:rPr>
      </w:pPr>
      <w:r>
        <w:rPr>
          <w:b/>
          <w:bCs/>
          <w:color w:val="441170" w:themeColor="text2"/>
        </w:rPr>
        <w:t xml:space="preserve">Finding - </w:t>
      </w:r>
      <w:r w:rsidRPr="004D5115">
        <w:rPr>
          <w:color w:val="441170" w:themeColor="text2"/>
        </w:rPr>
        <w:t xml:space="preserve">Traineeships </w:t>
      </w:r>
      <w:r w:rsidRPr="00895521">
        <w:rPr>
          <w:color w:val="441170" w:themeColor="text2"/>
        </w:rPr>
        <w:t>form a critical part of the workforce pipeline and should offer a well-supported way to earn and learn. In an expanding system, new trainees are very important, but the recent, very large influx of traineeships (doubling since 2020) has produced a bottleneck for senior staffing in terms of meeting regulatory compliance and on-the-job mentorship.</w:t>
      </w:r>
    </w:p>
    <w:p w14:paraId="23011C18" w14:textId="77777777" w:rsidR="00694586" w:rsidRPr="00CC0190" w:rsidRDefault="00694586" w:rsidP="00694586">
      <w:pPr>
        <w:ind w:left="720"/>
        <w:rPr>
          <w:color w:val="auto"/>
        </w:rPr>
      </w:pPr>
      <w:r w:rsidRPr="00CC0190">
        <w:rPr>
          <w:b/>
          <w:bCs/>
          <w:color w:val="auto"/>
        </w:rPr>
        <w:t xml:space="preserve">Recommendation - </w:t>
      </w:r>
      <w:r w:rsidRPr="00CC0190">
        <w:rPr>
          <w:color w:val="auto"/>
        </w:rPr>
        <w:t xml:space="preserve">The </w:t>
      </w:r>
      <w:r w:rsidRPr="00016268">
        <w:rPr>
          <w:color w:val="auto"/>
        </w:rPr>
        <w:t>sector should systematically recognise the role of senior and experienced staff in supporting trainee induction, development, assessment and mentoring. Classification arrangements and role descriptions (including in any relevant Award review) and in allocation of non-contact time is also in scope.</w:t>
      </w:r>
    </w:p>
    <w:p w14:paraId="7C9F96D6" w14:textId="77777777" w:rsidR="00694586" w:rsidRPr="00DA4851" w:rsidRDefault="00694586" w:rsidP="00694586">
      <w:pPr>
        <w:pStyle w:val="Heading4"/>
        <w:keepNext/>
      </w:pPr>
      <w:r w:rsidRPr="00DA4851">
        <w:lastRenderedPageBreak/>
        <w:t>Diploma</w:t>
      </w:r>
    </w:p>
    <w:p w14:paraId="116A92F2" w14:textId="77777777" w:rsidR="00694586" w:rsidRDefault="00694586" w:rsidP="00694586">
      <w:r>
        <w:t xml:space="preserve">The Diploma is a critical qualification for the delivery of ECEC and facilitates the room or group leader role. These roles have been recognised by an interim change to the existing </w:t>
      </w:r>
      <w:r w:rsidRPr="37A4539E">
        <w:rPr>
          <w:i/>
          <w:iCs/>
        </w:rPr>
        <w:t>Child Care Worker</w:t>
      </w:r>
      <w:r>
        <w:t xml:space="preserve"> ANZSCO occupation and may be formalised by the ABS Comprehensive Review of ANZSCO recommendation where the preliminary proposed changes create a separate occupation for those educators qualified with diplomas. The importance of diploma qualified staff is great recognition for the ECEC workforce, and a particular shortage of these experienced and qualified educator staff was noted after COVID-19, as observed by a stakeholder: </w:t>
      </w:r>
    </w:p>
    <w:p w14:paraId="4094037D" w14:textId="77777777" w:rsidR="00694586" w:rsidRPr="00C00597" w:rsidRDefault="00694586" w:rsidP="00694586">
      <w:pPr>
        <w:pStyle w:val="IntenseQuote"/>
      </w:pPr>
      <w:r w:rsidRPr="00C00597">
        <w:t>There is a growing shortage of experienced educators especially at the Diploma level, due to dropping enrolments and changes to eligibility requirements for the qualification. (Submission 38 - Community Child Care Association and Community Early Learning Australia)</w:t>
      </w:r>
    </w:p>
    <w:p w14:paraId="0956A762" w14:textId="77777777" w:rsidR="00694586" w:rsidRPr="00D8641D" w:rsidRDefault="00694586" w:rsidP="00694586">
      <w:pPr>
        <w:rPr>
          <w:rFonts w:ascii="Segoe UI" w:hAnsi="Segoe UI" w:cs="Segoe UI"/>
          <w:sz w:val="20"/>
          <w:szCs w:val="20"/>
          <w14:ligatures w14:val="standardContextual"/>
        </w:rPr>
      </w:pPr>
      <w:r>
        <w:t>Many ECEC educators after a period in the sector have traditionally progressed to a Diploma with high rates of employment during Diploma study. However, a peak workforce development body noted:</w:t>
      </w:r>
    </w:p>
    <w:p w14:paraId="5C600D54" w14:textId="77777777" w:rsidR="00694586" w:rsidRPr="00F63F8F" w:rsidRDefault="00694586" w:rsidP="00694586">
      <w:pPr>
        <w:pStyle w:val="IntenseQuote"/>
        <w:rPr>
          <w:highlight w:val="yellow"/>
        </w:rPr>
      </w:pPr>
      <w:r>
        <w:t>The Diploma is additionally onerous for existing workers in the sector who are expected to undertake this study while maintaining their employment. (Submission 51)</w:t>
      </w:r>
    </w:p>
    <w:p w14:paraId="6BEC283A" w14:textId="77777777" w:rsidR="00694586" w:rsidRDefault="00694586" w:rsidP="00694586">
      <w:r>
        <w:t xml:space="preserve">The current version of the Diploma ECEC was approved in July 2021 and last had a major review leading up to 2021. There are 26 units approved. Stakeholders noted the changes in the recent training package which included stringent </w:t>
      </w:r>
      <w:r w:rsidRPr="00D841A8">
        <w:rPr>
          <w:rFonts w:eastAsia="Arial" w:cs="Arial"/>
        </w:rPr>
        <w:t>entry requirements</w:t>
      </w:r>
      <w:r w:rsidRPr="003A6418">
        <w:rPr>
          <w:rFonts w:eastAsia="Arial" w:cs="Arial"/>
        </w:rPr>
        <w:t xml:space="preserve"> for entrants to hold</w:t>
      </w:r>
      <w:r w:rsidRPr="00D841A8">
        <w:rPr>
          <w:rFonts w:eastAsia="Arial" w:cs="Arial"/>
        </w:rPr>
        <w:t xml:space="preserve"> either the CHC30121 Certificate III in Early Childhood Education and Care or the CHC30113 Certificate III in Early Childhood Education and Care</w:t>
      </w:r>
      <w:r w:rsidRPr="5EA67208">
        <w:rPr>
          <w:rFonts w:eastAsia="Arial" w:cs="Arial"/>
        </w:rPr>
        <w:t xml:space="preserve"> </w:t>
      </w:r>
      <w:r>
        <w:t>which were framed by stakeholders as a qualification progression barrier as experienced educators are not progressing to higher qualifications (individual submission 33 &amp; a peak educational body</w:t>
      </w:r>
      <w:r w:rsidRPr="00B558E4">
        <w:rPr>
          <w:rFonts w:eastAsia="Arial" w:cs="Arial"/>
        </w:rPr>
        <w:t xml:space="preserve"> submission </w:t>
      </w:r>
      <w:r>
        <w:t>2). Submissions noted additional changes such as the lack of crossover or study credits for any earlier Certificate III ECEC completed, unlike in earlier iterations of the training package (submission 51 - a peak workforce development body).</w:t>
      </w:r>
    </w:p>
    <w:p w14:paraId="5DD03BAB" w14:textId="77777777" w:rsidR="00694586" w:rsidRDefault="00694586" w:rsidP="00694586">
      <w:r>
        <w:t xml:space="preserve">The drop in diploma enrolments has been explored in Chapter 3 and as key evidence to this: </w:t>
      </w:r>
    </w:p>
    <w:p w14:paraId="188E000A" w14:textId="77777777" w:rsidR="00694586" w:rsidRPr="00C00597" w:rsidRDefault="00694586" w:rsidP="00694586">
      <w:pPr>
        <w:pStyle w:val="IntenseQuote"/>
      </w:pPr>
      <w:r w:rsidRPr="00C00597">
        <w:t>Rather than bar on re-consider the concept of ‘non-current’ qualifications as not being suitable for course progression. A registration/currency process would be more beneficial. (Submission 21 - TAFE Directors Australia)</w:t>
      </w:r>
    </w:p>
    <w:p w14:paraId="1AA44F36" w14:textId="77777777" w:rsidR="00694586" w:rsidRDefault="00694586" w:rsidP="00694586">
      <w:pPr>
        <w:keepLines/>
        <w:rPr>
          <w:color w:val="441170" w:themeColor="text2"/>
        </w:rPr>
      </w:pPr>
      <w:r>
        <w:rPr>
          <w:b/>
          <w:bCs/>
          <w:color w:val="441170" w:themeColor="text2"/>
        </w:rPr>
        <w:lastRenderedPageBreak/>
        <w:t xml:space="preserve">Finding - </w:t>
      </w:r>
      <w:r w:rsidRPr="002A2A2B">
        <w:rPr>
          <w:color w:val="441170" w:themeColor="text2"/>
        </w:rPr>
        <w:t xml:space="preserve">The role of </w:t>
      </w:r>
      <w:r w:rsidRPr="001B1CD1">
        <w:rPr>
          <w:color w:val="441170" w:themeColor="text2"/>
        </w:rPr>
        <w:t xml:space="preserve">Diploma qualified educators is the fulcrum of the long day care setting and Diploma enrolments have fallen in recent years. A contributing factor is that the Diploma entry requirement of a completed Certificate III for ECEC within the two most recent training packages, and the minimal pay increase associated with the higher qualification, has discouraged Diploma enrolments since 2021.  </w:t>
      </w:r>
    </w:p>
    <w:p w14:paraId="2C7F7A59" w14:textId="43198485" w:rsidR="00694586" w:rsidRPr="001B1CD1" w:rsidRDefault="00694586" w:rsidP="00694586">
      <w:pPr>
        <w:ind w:left="720"/>
        <w:rPr>
          <w:b/>
          <w:bCs/>
        </w:rPr>
      </w:pPr>
      <w:r>
        <w:rPr>
          <w:b/>
          <w:bCs/>
        </w:rPr>
        <w:t xml:space="preserve">Recommendation - </w:t>
      </w:r>
      <w:r w:rsidRPr="001B1CD1">
        <w:t xml:space="preserve">States </w:t>
      </w:r>
      <w:r w:rsidRPr="00DC305C">
        <w:t xml:space="preserve">and Territories should examine ways to support enrolments in ECEC Diploma courses, including by not limiting the time since completing the </w:t>
      </w:r>
      <w:r w:rsidR="005A7D57" w:rsidRPr="005A7D57">
        <w:t xml:space="preserve">Certificate III in Early Childhood Education and Care </w:t>
      </w:r>
      <w:r w:rsidRPr="00DC305C">
        <w:t>which allows for staff currently working in the sector to access funding.</w:t>
      </w:r>
    </w:p>
    <w:p w14:paraId="318576DC" w14:textId="77777777" w:rsidR="00694586" w:rsidRPr="003D358F" w:rsidRDefault="00694586" w:rsidP="00694586">
      <w:pPr>
        <w:ind w:left="720"/>
        <w:rPr>
          <w:i/>
          <w:iCs/>
        </w:rPr>
      </w:pPr>
      <w:r>
        <w:rPr>
          <w:b/>
          <w:bCs/>
        </w:rPr>
        <w:t>Recommendation -</w:t>
      </w:r>
      <w:r w:rsidRPr="001B1CD1">
        <w:t xml:space="preserve"> HumanAbility </w:t>
      </w:r>
      <w:r w:rsidRPr="00FB243F">
        <w:t>should review training package arrangements to ensure they are fit for purpose. Further considerations could include developing a bridging course for the current Diploma ECEC targeted at educators returning to the sector who already hold a recognised ECEC qualification but have not worked in the system for several years, or potentially expanded to those transitioning from adjacent sectors.</w:t>
      </w:r>
    </w:p>
    <w:p w14:paraId="682D972F" w14:textId="77777777" w:rsidR="00694586" w:rsidRPr="00E048BF" w:rsidRDefault="00694586" w:rsidP="00694586">
      <w:pPr>
        <w:pStyle w:val="Heading4"/>
      </w:pPr>
      <w:r w:rsidRPr="00E048BF">
        <w:t xml:space="preserve">Higher </w:t>
      </w:r>
      <w:r>
        <w:t>E</w:t>
      </w:r>
      <w:r w:rsidRPr="00E048BF">
        <w:t xml:space="preserve">ducation </w:t>
      </w:r>
      <w:r>
        <w:t>R</w:t>
      </w:r>
      <w:r w:rsidRPr="00E048BF">
        <w:t>outes</w:t>
      </w:r>
    </w:p>
    <w:p w14:paraId="380DC7EE" w14:textId="77777777" w:rsidR="00694586" w:rsidRDefault="00694586" w:rsidP="00694586">
      <w:r w:rsidRPr="000E6602">
        <w:rPr>
          <w:i/>
          <w:iCs/>
        </w:rPr>
        <w:t xml:space="preserve">Early Childhood Teacher </w:t>
      </w:r>
      <w:r>
        <w:t xml:space="preserve">roles requiring higher education are important to the delivery of education in early years settings and noted in Chapter 3 and 4 as a particular workforce shortage now and in the future. ECT courses are delivered either as covering 0-5, 0-8 or 0-12 years with the latter two covering primary school teaching qualification. Thus, many of those enrolled in degrees which cover early childhood education may be pursuing or may ultimately choose primary school teaching. </w:t>
      </w:r>
    </w:p>
    <w:p w14:paraId="03BBD7D9" w14:textId="77777777" w:rsidR="00694586" w:rsidRPr="006948C8" w:rsidRDefault="00694586" w:rsidP="00694586">
      <w:pPr>
        <w:rPr>
          <w:rFonts w:cs="Arial"/>
        </w:rPr>
      </w:pPr>
      <w:r w:rsidRPr="5840AC2B">
        <w:rPr>
          <w:rFonts w:cs="Arial"/>
        </w:rPr>
        <w:t xml:space="preserve">In recent years, the Bachelor of Education has been a common route for qualifying as an </w:t>
      </w:r>
      <w:r w:rsidRPr="5840AC2B">
        <w:rPr>
          <w:rFonts w:cs="Arial"/>
          <w:i/>
          <w:iCs/>
        </w:rPr>
        <w:t>Early Childhood Teacher</w:t>
      </w:r>
      <w:r w:rsidRPr="5840AC2B">
        <w:rPr>
          <w:rFonts w:cs="Arial"/>
        </w:rPr>
        <w:t xml:space="preserve"> but lately there have been diverse higher education products developed at the AQF 8</w:t>
      </w:r>
      <w:r>
        <w:rPr>
          <w:rFonts w:cs="Arial"/>
        </w:rPr>
        <w:t xml:space="preserve"> level</w:t>
      </w:r>
      <w:r w:rsidRPr="5840AC2B">
        <w:rPr>
          <w:rFonts w:cs="Arial"/>
        </w:rPr>
        <w:t xml:space="preserve">. Shorter, work-based, often online Graduate Diploma options are becoming popular, particularly as they occasionally enable recognition for paid work. However, stakeholders shared concerns about the quality of the accelerated routes, particularly if they did not combine intensive teaching nor require previous study and experience. These courses are often targeted at experienced early childhood educators holding Diplomas. </w:t>
      </w:r>
    </w:p>
    <w:p w14:paraId="58543FE6" w14:textId="77777777" w:rsidR="00694586" w:rsidRDefault="00694586" w:rsidP="00694586">
      <w:pPr>
        <w:rPr>
          <w:rStyle w:val="eop"/>
          <w:rFonts w:cs="Arial"/>
        </w:rPr>
      </w:pPr>
      <w:r w:rsidRPr="5840AC2B">
        <w:rPr>
          <w:rFonts w:cs="Arial"/>
        </w:rPr>
        <w:t xml:space="preserve">Novel training providers from non-university settings are entering the higher education ECEC market with exponential growth in enrolments. This includes the widespread adoption of ECEC </w:t>
      </w:r>
      <w:proofErr w:type="gramStart"/>
      <w:r w:rsidRPr="5840AC2B">
        <w:rPr>
          <w:rFonts w:cs="Arial"/>
        </w:rPr>
        <w:t>bachelor</w:t>
      </w:r>
      <w:proofErr w:type="gramEnd"/>
      <w:r w:rsidRPr="5840AC2B">
        <w:rPr>
          <w:rFonts w:cs="Arial"/>
        </w:rPr>
        <w:t xml:space="preserve"> degrees in TAFE, despite the lack of availability for Commonwealth Supported Places for domestic student higher education at these providers.</w:t>
      </w:r>
    </w:p>
    <w:p w14:paraId="332450DE" w14:textId="77777777" w:rsidR="00694586" w:rsidRDefault="00694586" w:rsidP="00694586">
      <w:r>
        <w:t xml:space="preserve">There are other emerging developments in the higher education space, including the introduction during COVID-19 years of undergraduate certificates which may bridge between Certificate III ECEC and Bachelor of Education programs. Further, noting the increased need for placements due to the rise in higher education enrolments, there have been a range of promising delivery practices shared as part of the consultation for this study. Individual providers and Federal and jurisdictional governments have implemented programs to support </w:t>
      </w:r>
      <w:r w:rsidRPr="0F14EAF3">
        <w:rPr>
          <w:i/>
          <w:iCs/>
        </w:rPr>
        <w:t>Early Childhood Teacher</w:t>
      </w:r>
      <w:r>
        <w:t xml:space="preserve"> training. This includes accelerated and asynchronous approaches delivered in innovative settings and modalities and practicum exchanges. Across the teacher education sector there are discussions on the appropriate development of degree apprenticeships and how they may contribute to workforce development.</w:t>
      </w:r>
    </w:p>
    <w:p w14:paraId="133F2739" w14:textId="77777777" w:rsidR="00694586" w:rsidRDefault="00694586" w:rsidP="00694586">
      <w:pPr>
        <w:keepLines/>
        <w:spacing w:after="100" w:line="264" w:lineRule="auto"/>
        <w:rPr>
          <w:rFonts w:eastAsia="Arial" w:cs="Arial"/>
          <w:b/>
          <w:bCs/>
          <w:color w:val="4B0885"/>
        </w:rPr>
      </w:pPr>
      <w:r w:rsidRPr="62904549">
        <w:rPr>
          <w:rFonts w:eastAsia="Arial" w:cs="Arial"/>
          <w:b/>
          <w:bCs/>
          <w:color w:val="4B0885"/>
        </w:rPr>
        <w:lastRenderedPageBreak/>
        <w:t>Finding -</w:t>
      </w:r>
      <w:r w:rsidRPr="62904549">
        <w:rPr>
          <w:rFonts w:eastAsia="Arial" w:cs="Arial"/>
          <w:color w:val="4B0885"/>
        </w:rPr>
        <w:t xml:space="preserve"> A key </w:t>
      </w:r>
      <w:r w:rsidRPr="00153EEB">
        <w:rPr>
          <w:rFonts w:eastAsia="Arial" w:cs="Arial"/>
          <w:color w:val="4B0885"/>
        </w:rPr>
        <w:t>issue contributing to the shortage of Early Childhood Teachers is leaks in the pipeline from dual accredited degree courses. Education providers frequently offer Early Childhood and Primary School training as a combined course. There are significant sectoral concerns particularly with crowded curriculum in dual accredited accelerated courses and in the 0-12 years accredited routes. The ECEC sector may be less served by shared training, since graduates are more likely to seek work in schools, typically offering better pay and working conditions which makes the sector less competitive.</w:t>
      </w:r>
    </w:p>
    <w:p w14:paraId="78D06FA0" w14:textId="77777777" w:rsidR="00694586" w:rsidRDefault="00694586" w:rsidP="00694586">
      <w:pPr>
        <w:pStyle w:val="ListParagraph"/>
        <w:numPr>
          <w:ilvl w:val="0"/>
          <w:numId w:val="0"/>
        </w:numPr>
        <w:ind w:firstLine="720"/>
        <w:rPr>
          <w:rFonts w:eastAsia="Arial" w:cs="Arial"/>
          <w:i w:val="0"/>
          <w:iCs w:val="0"/>
          <w:color w:val="000000" w:themeColor="text1"/>
        </w:rPr>
      </w:pPr>
      <w:r w:rsidRPr="62904549">
        <w:rPr>
          <w:rFonts w:eastAsia="Arial" w:cs="Arial"/>
          <w:b/>
          <w:bCs/>
          <w:i w:val="0"/>
          <w:iCs w:val="0"/>
          <w:color w:val="000000" w:themeColor="text1"/>
        </w:rPr>
        <w:t>Recommendation</w:t>
      </w:r>
      <w:r>
        <w:rPr>
          <w:rFonts w:eastAsia="Arial" w:cs="Arial"/>
          <w:b/>
          <w:bCs/>
          <w:i w:val="0"/>
          <w:iCs w:val="0"/>
          <w:color w:val="000000" w:themeColor="text1"/>
        </w:rPr>
        <w:t xml:space="preserve"> -</w:t>
      </w:r>
      <w:r w:rsidRPr="62904549">
        <w:rPr>
          <w:rFonts w:eastAsia="Arial" w:cs="Arial"/>
          <w:i w:val="0"/>
          <w:iCs w:val="0"/>
          <w:color w:val="000000" w:themeColor="text1"/>
        </w:rPr>
        <w:t xml:space="preserve"> Governments should seek to improve completions in ECEC by: </w:t>
      </w:r>
    </w:p>
    <w:p w14:paraId="6F57369F" w14:textId="77777777" w:rsidR="00694586" w:rsidRPr="00FB243F" w:rsidRDefault="00694586" w:rsidP="00A2332E">
      <w:pPr>
        <w:pStyle w:val="ListParagraph"/>
        <w:numPr>
          <w:ilvl w:val="0"/>
          <w:numId w:val="24"/>
        </w:numPr>
        <w:rPr>
          <w:i w:val="0"/>
          <w:iCs w:val="0"/>
        </w:rPr>
      </w:pPr>
      <w:r w:rsidRPr="00FB243F">
        <w:rPr>
          <w:i w:val="0"/>
          <w:iCs w:val="0"/>
        </w:rPr>
        <w:t xml:space="preserve">continuing to </w:t>
      </w:r>
      <w:r w:rsidRPr="00543DDF">
        <w:rPr>
          <w:i w:val="0"/>
          <w:iCs w:val="0"/>
        </w:rPr>
        <w:t>support paid placements within ECEC with potential outcome measures relating to time spent work in the sector or in regional or remote settings.</w:t>
      </w:r>
    </w:p>
    <w:p w14:paraId="7FD7685F" w14:textId="77777777" w:rsidR="00694586" w:rsidRPr="001A3E6C" w:rsidRDefault="00694586" w:rsidP="00A2332E">
      <w:pPr>
        <w:pStyle w:val="ListParagraph"/>
        <w:numPr>
          <w:ilvl w:val="0"/>
          <w:numId w:val="24"/>
        </w:numPr>
        <w:rPr>
          <w:i w:val="0"/>
          <w:iCs w:val="0"/>
        </w:rPr>
      </w:pPr>
      <w:r w:rsidRPr="001A3E6C">
        <w:rPr>
          <w:i w:val="0"/>
          <w:iCs w:val="0"/>
        </w:rPr>
        <w:t>scoping</w:t>
      </w:r>
      <w:r w:rsidRPr="001A3E6C">
        <w:t xml:space="preserve"> </w:t>
      </w:r>
      <w:r w:rsidRPr="001A3E6C">
        <w:rPr>
          <w:i w:val="0"/>
          <w:iCs w:val="0"/>
        </w:rPr>
        <w:t xml:space="preserve">career changer accelerated programs for ECTs aimed at those working in related sectors with some educational or development education. </w:t>
      </w:r>
    </w:p>
    <w:p w14:paraId="05CBF309" w14:textId="77777777" w:rsidR="00694586" w:rsidRPr="00FB243F" w:rsidRDefault="00694586" w:rsidP="00A2332E">
      <w:pPr>
        <w:pStyle w:val="ListParagraph"/>
        <w:numPr>
          <w:ilvl w:val="0"/>
          <w:numId w:val="24"/>
        </w:numPr>
        <w:rPr>
          <w:i w:val="0"/>
          <w:iCs w:val="0"/>
        </w:rPr>
      </w:pPr>
      <w:r>
        <w:rPr>
          <w:i w:val="0"/>
          <w:iCs w:val="0"/>
        </w:rPr>
        <w:t>r</w:t>
      </w:r>
      <w:r w:rsidRPr="00FB243F">
        <w:rPr>
          <w:i w:val="0"/>
          <w:iCs w:val="0"/>
        </w:rPr>
        <w:t xml:space="preserve">econsidering </w:t>
      </w:r>
      <w:r w:rsidRPr="00854FAA">
        <w:rPr>
          <w:i w:val="0"/>
          <w:iCs w:val="0"/>
        </w:rPr>
        <w:t>any arrangements within the Higher Education Loan Program that create inequity between universities and other institutes of higher education, incentivising students to enrol in one over the other.</w:t>
      </w:r>
    </w:p>
    <w:p w14:paraId="7C3750BF" w14:textId="77777777" w:rsidR="00694586" w:rsidRPr="00FB243F" w:rsidRDefault="00694586" w:rsidP="00694586">
      <w:pPr>
        <w:spacing w:before="240"/>
        <w:ind w:left="720"/>
        <w:rPr>
          <w:rFonts w:eastAsia="Arial" w:cs="Arial"/>
          <w:b/>
          <w:bCs/>
        </w:rPr>
      </w:pPr>
      <w:r w:rsidRPr="00FB243F">
        <w:rPr>
          <w:rFonts w:eastAsia="Arial" w:cs="Arial"/>
          <w:b/>
          <w:bCs/>
        </w:rPr>
        <w:t xml:space="preserve">Recommendation - </w:t>
      </w:r>
      <w:r w:rsidRPr="00FB243F">
        <w:rPr>
          <w:rFonts w:eastAsia="Arial" w:cs="Arial"/>
        </w:rPr>
        <w:t xml:space="preserve">Accreditation </w:t>
      </w:r>
      <w:r w:rsidRPr="004919F8">
        <w:rPr>
          <w:rFonts w:eastAsia="Arial" w:cs="Arial"/>
        </w:rPr>
        <w:t>authorities and education and training providers to consider</w:t>
      </w:r>
      <w:r>
        <w:rPr>
          <w:rFonts w:eastAsia="Arial" w:cs="Arial"/>
        </w:rPr>
        <w:t>:</w:t>
      </w:r>
    </w:p>
    <w:p w14:paraId="71219D3B" w14:textId="77777777" w:rsidR="00694586" w:rsidRPr="00C601DA" w:rsidRDefault="00694586" w:rsidP="00A2332E">
      <w:pPr>
        <w:pStyle w:val="ListParagraph"/>
        <w:numPr>
          <w:ilvl w:val="0"/>
          <w:numId w:val="25"/>
        </w:numPr>
        <w:rPr>
          <w:i w:val="0"/>
          <w:iCs w:val="0"/>
        </w:rPr>
      </w:pPr>
      <w:r w:rsidRPr="00C601DA">
        <w:rPr>
          <w:i w:val="0"/>
          <w:iCs w:val="0"/>
        </w:rPr>
        <w:t xml:space="preserve">accreditation of </w:t>
      </w:r>
      <w:r w:rsidRPr="00473046">
        <w:rPr>
          <w:i w:val="0"/>
          <w:iCs w:val="0"/>
        </w:rPr>
        <w:t>exit awards, particularly higher education diploma level qualifications after the first year to recognise partial/progress completion of bachelor’s degree at AQF Level 5 as equivalent to a Diploma.</w:t>
      </w:r>
    </w:p>
    <w:p w14:paraId="3199C55D" w14:textId="7BA25CD6" w:rsidR="00694586" w:rsidRPr="006F3C16" w:rsidRDefault="00694586" w:rsidP="00A2332E">
      <w:pPr>
        <w:pStyle w:val="ListParagraph"/>
        <w:numPr>
          <w:ilvl w:val="0"/>
          <w:numId w:val="25"/>
        </w:numPr>
        <w:rPr>
          <w:i w:val="0"/>
          <w:iCs w:val="0"/>
        </w:rPr>
      </w:pPr>
      <w:r w:rsidRPr="006F3C16">
        <w:rPr>
          <w:i w:val="0"/>
          <w:iCs w:val="0"/>
        </w:rPr>
        <w:t xml:space="preserve">investigation of space in higher education programming to enable a </w:t>
      </w:r>
      <w:r w:rsidR="005A7D57" w:rsidRPr="005A7D57">
        <w:rPr>
          <w:i w:val="0"/>
          <w:iCs w:val="0"/>
        </w:rPr>
        <w:t xml:space="preserve">Certificate III in Early Childhood Education and Care </w:t>
      </w:r>
      <w:r w:rsidRPr="006F3C16">
        <w:rPr>
          <w:i w:val="0"/>
          <w:iCs w:val="0"/>
        </w:rPr>
        <w:t xml:space="preserve">to be undertaken alongside Tertiary Primary School Teaching study in a concurrent mode, using RPL or similar. </w:t>
      </w:r>
    </w:p>
    <w:p w14:paraId="73354E09" w14:textId="77777777" w:rsidR="00694586" w:rsidRDefault="00694586" w:rsidP="00694586">
      <w:pPr>
        <w:tabs>
          <w:tab w:val="left" w:pos="357"/>
        </w:tabs>
        <w:spacing w:after="100" w:line="264" w:lineRule="auto"/>
        <w:ind w:left="720"/>
        <w:rPr>
          <w:rFonts w:eastAsia="Arial" w:cs="Arial"/>
        </w:rPr>
      </w:pPr>
      <w:r w:rsidRPr="62904549">
        <w:rPr>
          <w:rFonts w:eastAsia="Arial" w:cs="Arial"/>
          <w:b/>
          <w:bCs/>
        </w:rPr>
        <w:t>Recommendation</w:t>
      </w:r>
      <w:r>
        <w:rPr>
          <w:rFonts w:eastAsia="Arial" w:cs="Arial"/>
          <w:b/>
          <w:bCs/>
        </w:rPr>
        <w:t xml:space="preserve"> -</w:t>
      </w:r>
      <w:r w:rsidRPr="62904549">
        <w:rPr>
          <w:rFonts w:eastAsia="Arial" w:cs="Arial"/>
          <w:b/>
          <w:bCs/>
        </w:rPr>
        <w:t xml:space="preserve"> </w:t>
      </w:r>
      <w:r w:rsidRPr="62904549">
        <w:rPr>
          <w:rFonts w:eastAsia="Arial" w:cs="Arial"/>
        </w:rPr>
        <w:t xml:space="preserve">Noting </w:t>
      </w:r>
      <w:r w:rsidRPr="00984FC7">
        <w:rPr>
          <w:rFonts w:eastAsia="Arial" w:cs="Arial"/>
        </w:rPr>
        <w:t>the importance of child safety within the context of teacher registration, progress national teacher registration alignment to enable movement between jurisdictions of qualified ECTs and for teachers from other sectors willing to upskill with ECEC qualifications. Continue to support refinements in overseas assessment recognition of ECT courses.</w:t>
      </w:r>
    </w:p>
    <w:p w14:paraId="5EFF9386" w14:textId="77777777" w:rsidR="00694586" w:rsidRDefault="00694586" w:rsidP="00694586">
      <w:pPr>
        <w:tabs>
          <w:tab w:val="left" w:pos="357"/>
        </w:tabs>
        <w:spacing w:after="100" w:line="264" w:lineRule="auto"/>
        <w:ind w:left="720"/>
        <w:rPr>
          <w:rFonts w:eastAsia="Arial" w:cs="Arial"/>
        </w:rPr>
      </w:pPr>
      <w:r w:rsidRPr="62904549">
        <w:rPr>
          <w:rFonts w:eastAsia="Arial" w:cs="Arial"/>
          <w:b/>
          <w:bCs/>
          <w:color w:val="auto"/>
        </w:rPr>
        <w:t>Recommendation</w:t>
      </w:r>
      <w:r>
        <w:rPr>
          <w:rFonts w:eastAsia="Arial" w:cs="Arial"/>
          <w:b/>
          <w:bCs/>
          <w:color w:val="auto"/>
        </w:rPr>
        <w:t xml:space="preserve"> -</w:t>
      </w:r>
      <w:r w:rsidRPr="62904549">
        <w:rPr>
          <w:rFonts w:eastAsia="Arial" w:cs="Arial"/>
          <w:color w:val="auto"/>
        </w:rPr>
        <w:t xml:space="preserve"> In </w:t>
      </w:r>
      <w:r w:rsidRPr="0013264A">
        <w:rPr>
          <w:rFonts w:eastAsia="Arial" w:cs="Arial"/>
          <w:color w:val="auto"/>
        </w:rPr>
        <w:t>meeting and filling persistent and ongoing workforce shortages for ECTs, ACECQA and jurisdictions could consider reviewing the definition of a ‘suitably qualified person’ including the potential, possible temporary, inclusion of other non-teaching degrees which provide a sound foundation for Early Childhood Teacher capabilities.</w:t>
      </w:r>
    </w:p>
    <w:p w14:paraId="0DCB5705" w14:textId="77777777" w:rsidR="00694586" w:rsidRPr="00981524" w:rsidRDefault="00694586" w:rsidP="00694586">
      <w:pPr>
        <w:rPr>
          <w:b/>
          <w:bCs/>
        </w:rPr>
      </w:pPr>
      <w:r w:rsidRPr="5A7C4240">
        <w:t>As noted in Chapter 3 there have been significant increases in international students, particularly in higher education and an emergence of post-graduate</w:t>
      </w:r>
      <w:r w:rsidRPr="5A7C4240">
        <w:rPr>
          <w:i/>
          <w:iCs/>
        </w:rPr>
        <w:t xml:space="preserve"> Early Childhood Teacher</w:t>
      </w:r>
      <w:r w:rsidRPr="5A7C4240">
        <w:t xml:space="preserve"> courses at non-university higher education courses. During consultations there was testimony of concern for international students’ welfare which align with national issues about knowledge of work rights and understanding of entitlements. Further there was also interest in supporting newly arrived international students’ understandings of Australian soci</w:t>
      </w:r>
      <w:r>
        <w:t xml:space="preserve">ety </w:t>
      </w:r>
      <w:r w:rsidRPr="5A7C4240">
        <w:t xml:space="preserve">to smooth their transition into workplaces on placement. Some early integration issues were also seen by stakeholders to be linked to education providers use of academic </w:t>
      </w:r>
      <w:r w:rsidRPr="5A7C4240">
        <w:lastRenderedPageBreak/>
        <w:t>IELTS</w:t>
      </w:r>
      <w:r>
        <w:rPr>
          <w:rStyle w:val="FootnoteReference"/>
        </w:rPr>
        <w:footnoteReference w:id="69"/>
      </w:r>
      <w:r w:rsidRPr="5A7C4240">
        <w:t xml:space="preserve"> which is less orientated to a </w:t>
      </w:r>
      <w:proofErr w:type="gramStart"/>
      <w:r w:rsidRPr="5A7C4240">
        <w:t>practice based</w:t>
      </w:r>
      <w:proofErr w:type="gramEnd"/>
      <w:r w:rsidRPr="5A7C4240">
        <w:t xml:space="preserve"> vocation such as early childhood where students will need to be interacting early in their course in workplaces.</w:t>
      </w:r>
    </w:p>
    <w:p w14:paraId="4CD61E67" w14:textId="77777777" w:rsidR="00694586" w:rsidRPr="00CC64CC" w:rsidRDefault="00694586" w:rsidP="00885B2A">
      <w:pPr>
        <w:pStyle w:val="Finding"/>
        <w:numPr>
          <w:ilvl w:val="0"/>
          <w:numId w:val="0"/>
        </w:numPr>
      </w:pPr>
      <w:r>
        <w:t xml:space="preserve">Finding - </w:t>
      </w:r>
      <w:r w:rsidRPr="00442C59">
        <w:rPr>
          <w:b w:val="0"/>
          <w:bCs w:val="0"/>
        </w:rPr>
        <w:t>International students have been a recently increasing cohort, particularly in early childhood teaching courses, it is important to ensure that supports are in place to support them and their workplaces.</w:t>
      </w:r>
    </w:p>
    <w:p w14:paraId="4D59291D" w14:textId="77777777" w:rsidR="00694586" w:rsidRPr="000178C9" w:rsidRDefault="00694586" w:rsidP="00694586">
      <w:pPr>
        <w:pStyle w:val="ListParagraph"/>
        <w:numPr>
          <w:ilvl w:val="0"/>
          <w:numId w:val="0"/>
        </w:numPr>
        <w:ind w:left="720"/>
      </w:pPr>
      <w:r w:rsidRPr="62904549">
        <w:rPr>
          <w:b/>
          <w:bCs/>
          <w:i w:val="0"/>
          <w:iCs w:val="0"/>
        </w:rPr>
        <w:t>Recommendation</w:t>
      </w:r>
      <w:r>
        <w:rPr>
          <w:b/>
          <w:bCs/>
          <w:i w:val="0"/>
          <w:iCs w:val="0"/>
        </w:rPr>
        <w:t xml:space="preserve"> -</w:t>
      </w:r>
      <w:r w:rsidRPr="62904549">
        <w:rPr>
          <w:i w:val="0"/>
          <w:iCs w:val="0"/>
        </w:rPr>
        <w:t xml:space="preserve"> TEQSA and </w:t>
      </w:r>
      <w:r w:rsidRPr="006746B1">
        <w:rPr>
          <w:i w:val="0"/>
          <w:iCs w:val="0"/>
        </w:rPr>
        <w:t>ASQA should ensure education and training providers have plans for the protection of international students in settings to prevent misunderstandings of employment arrangements including hours of work and duties.</w:t>
      </w:r>
    </w:p>
    <w:p w14:paraId="708B1340" w14:textId="77777777" w:rsidR="00694586" w:rsidRPr="00CC64EF" w:rsidRDefault="00694586" w:rsidP="00694586">
      <w:pPr>
        <w:ind w:left="720"/>
      </w:pPr>
      <w:r w:rsidRPr="00CC64EF">
        <w:rPr>
          <w:b/>
          <w:bCs/>
        </w:rPr>
        <w:t>Recommendation</w:t>
      </w:r>
      <w:r>
        <w:rPr>
          <w:b/>
          <w:bCs/>
        </w:rPr>
        <w:t xml:space="preserve"> -</w:t>
      </w:r>
      <w:r w:rsidRPr="00CC64EF">
        <w:rPr>
          <w:b/>
          <w:bCs/>
        </w:rPr>
        <w:t xml:space="preserve"> </w:t>
      </w:r>
      <w:r w:rsidRPr="00B318E7">
        <w:t xml:space="preserve">Higher education institutions may consider whether the </w:t>
      </w:r>
      <w:r w:rsidRPr="00CC64EF">
        <w:t xml:space="preserve">Professional IELTS </w:t>
      </w:r>
      <w:r w:rsidRPr="0086279E">
        <w:t>is more appropriate than the Academic IELTS for Early Childhood Education courses.</w:t>
      </w:r>
    </w:p>
    <w:p w14:paraId="226E76A9" w14:textId="77777777" w:rsidR="00694586" w:rsidRPr="00EC28FD" w:rsidRDefault="00694586" w:rsidP="00694586">
      <w:pPr>
        <w:ind w:left="720"/>
      </w:pPr>
      <w:r w:rsidRPr="62904549">
        <w:rPr>
          <w:b/>
          <w:bCs/>
        </w:rPr>
        <w:t>Recommendation</w:t>
      </w:r>
      <w:r>
        <w:rPr>
          <w:b/>
          <w:bCs/>
        </w:rPr>
        <w:t xml:space="preserve"> -</w:t>
      </w:r>
      <w:r w:rsidRPr="62904549">
        <w:rPr>
          <w:b/>
          <w:bCs/>
        </w:rPr>
        <w:t xml:space="preserve"> </w:t>
      </w:r>
      <w:r w:rsidRPr="62904549">
        <w:t xml:space="preserve">Higher </w:t>
      </w:r>
      <w:r w:rsidRPr="00E03509">
        <w:t xml:space="preserve">education institutions should ensure that progress assessment protocols within accredited courses particularly for newly arrived international students are robust to enable students to have time to settle into their new national contexts and professional identities before placements. ACECQA should continue to offer eLearning induction materials provided as part of </w:t>
      </w:r>
      <w:r w:rsidRPr="00540C4E">
        <w:rPr>
          <w:i/>
          <w:iCs/>
        </w:rPr>
        <w:t>Shaping our Future</w:t>
      </w:r>
      <w:r w:rsidRPr="00E03509">
        <w:t xml:space="preserve">.  </w:t>
      </w:r>
      <w:r w:rsidRPr="62904549">
        <w:t xml:space="preserve"> </w:t>
      </w:r>
    </w:p>
    <w:p w14:paraId="02CB0757" w14:textId="77777777" w:rsidR="00694586" w:rsidRPr="00C81865" w:rsidRDefault="00694586" w:rsidP="00694586">
      <w:pPr>
        <w:pStyle w:val="Heading3"/>
      </w:pPr>
      <w:r w:rsidRPr="00C81865">
        <w:t>Delivery of Qualifications</w:t>
      </w:r>
    </w:p>
    <w:p w14:paraId="41E55532" w14:textId="77777777" w:rsidR="00694586" w:rsidRPr="0091712E" w:rsidRDefault="00694586" w:rsidP="00694586">
      <w:pPr>
        <w:rPr>
          <w:rFonts w:cs="Arial"/>
          <w14:ligatures w14:val="standardContextual"/>
        </w:rPr>
      </w:pPr>
      <w:r>
        <w:t>A key interest throughout the Study was supporting educational innovation in course providers, including shorter or embedded courses and noting growing popularity of accelerated courses without compromising quality. Further, t</w:t>
      </w:r>
      <w:r w:rsidRPr="00B558E4">
        <w:rPr>
          <w:rFonts w:cs="Arial"/>
        </w:rPr>
        <w:t xml:space="preserve">here is rising discussion within the sector about the delivery of short form or microcredential elements to qualification delivery, including with a </w:t>
      </w:r>
      <w:r w:rsidRPr="00B558E4">
        <w:rPr>
          <w:rFonts w:cs="Arial"/>
          <w:i/>
          <w:iCs/>
        </w:rPr>
        <w:t>Shaping Our Future</w:t>
      </w:r>
      <w:r w:rsidRPr="00B558E4">
        <w:rPr>
          <w:rFonts w:cs="Arial"/>
        </w:rPr>
        <w:t xml:space="preserve"> focus area. However, stakeholders in submissions and consultations cautioned on the use of microcredentials and noted that they ‘must not be used to displace the minimum current sector certification requirements’ (submission 46 – a peak body). </w:t>
      </w:r>
    </w:p>
    <w:p w14:paraId="160228AD" w14:textId="77777777" w:rsidR="00694586" w:rsidRDefault="00694586" w:rsidP="00694586">
      <w:pPr>
        <w:rPr>
          <w:rFonts w:ascii="Segoe UI" w:hAnsi="Segoe UI" w:cs="Segoe UI"/>
          <w:sz w:val="20"/>
          <w:szCs w:val="20"/>
          <w14:ligatures w14:val="standardContextual"/>
        </w:rPr>
      </w:pPr>
      <w:r>
        <w:t>There was overall feedback from stakeholders that training package content needs a better balance between meeting the requirements and intent of the NQF and ensuring that learners can successfully engage with their course. Some of this concern was also aligned with the need to offer multiple formats for study while still managing risks of attrition, which is anecdotally more common with online provision. There are significant advantages to online and flexible delivery options as described by this stakeholder:</w:t>
      </w:r>
      <w:r w:rsidRPr="5840AC2B">
        <w:rPr>
          <w:rFonts w:ascii="Segoe UI" w:hAnsi="Segoe UI" w:cs="Segoe UI"/>
          <w:sz w:val="20"/>
          <w:szCs w:val="20"/>
        </w:rPr>
        <w:t xml:space="preserve"> </w:t>
      </w:r>
    </w:p>
    <w:p w14:paraId="6BDF203B" w14:textId="77777777" w:rsidR="00694586" w:rsidRPr="00C81865" w:rsidRDefault="00694586" w:rsidP="00694586">
      <w:pPr>
        <w:pStyle w:val="IntenseQuote"/>
        <w:rPr>
          <w:highlight w:val="yellow"/>
        </w:rPr>
      </w:pPr>
      <w:r w:rsidRPr="00C81865">
        <w:t>Technology also provides opportunities to remove barriers caused by location and provide access to quality ECEC for children who may be unable to access it otherwise. Exploring flexible solutions, such as the online delivery of early childhood education combined with in-person care, could allow Early Childhood Teachers to support more families than they would if they had to physically attend each location. (Submission 19 - The Hon Fiona Nash – Regional Education Commissioner)</w:t>
      </w:r>
    </w:p>
    <w:p w14:paraId="69E457CA" w14:textId="77777777" w:rsidR="00694586" w:rsidRDefault="00694586" w:rsidP="00694586">
      <w:r>
        <w:lastRenderedPageBreak/>
        <w:t xml:space="preserve">There might be opportunity to expand the traineeship model to include aspects of career progression, including diploma traineeships and potential degree apprenticeships. This includes foreseen opportunities to link traineeships to higher education degrees, including postgraduate study and cadetships. </w:t>
      </w:r>
    </w:p>
    <w:p w14:paraId="7808D0FF" w14:textId="77777777" w:rsidR="00694586" w:rsidRPr="00D8641D" w:rsidRDefault="00694586" w:rsidP="00694586">
      <w:r>
        <w:t>As well as formats of study, the availability of training was raised as an issue. The importance of ensuring that there are adequate numbers of quality RTOs to deliver training, particularly in regional areas (submission 29 – Local Government NSW) was raised in multiple submissions. This was important both for access and equity but also has benefits for early years delivery connected to local communities and without the financial burden of moving away (submission 46 – a peak body).</w:t>
      </w:r>
    </w:p>
    <w:p w14:paraId="0546C711" w14:textId="77777777" w:rsidR="00694586" w:rsidRDefault="00694586" w:rsidP="00694586">
      <w:pPr>
        <w:rPr>
          <w:rFonts w:cs="Arial"/>
        </w:rPr>
      </w:pPr>
      <w:r>
        <w:rPr>
          <w:rFonts w:cs="Arial"/>
        </w:rPr>
        <w:t xml:space="preserve">Quality of training delivery was of consistent interest throughout consultations and submissions with feedback </w:t>
      </w:r>
      <w:r w:rsidRPr="00EB04CE">
        <w:rPr>
          <w:rFonts w:cs="Arial"/>
        </w:rPr>
        <w:t xml:space="preserve">from many sources indicating that while great improvements have been made, vigilance about quality of delivery must be maintained. Comments included: </w:t>
      </w:r>
    </w:p>
    <w:p w14:paraId="074F978B" w14:textId="77777777" w:rsidR="00694586" w:rsidRPr="00B167F2" w:rsidRDefault="00694586" w:rsidP="00694586">
      <w:pPr>
        <w:pStyle w:val="IntenseQuote"/>
      </w:pPr>
      <w:r w:rsidRPr="00B167F2">
        <w:t xml:space="preserve">[...] significant feedback about the poor quality of many Certificate III courses available online, </w:t>
      </w:r>
      <w:proofErr w:type="gramStart"/>
      <w:r w:rsidRPr="00B167F2">
        <w:t>in particular from</w:t>
      </w:r>
      <w:proofErr w:type="gramEnd"/>
      <w:r w:rsidRPr="00B167F2">
        <w:t xml:space="preserve"> some private providers. This suggests there needs to be better oversight / quality control of providers and their course material to ensure a reliable pipeline of family day care educators to meet the future needs of families. (Submission 40 – Family Day Care Australia)</w:t>
      </w:r>
    </w:p>
    <w:p w14:paraId="13756419" w14:textId="77777777" w:rsidR="00694586" w:rsidRPr="00B167F2" w:rsidRDefault="00694586" w:rsidP="00694586">
      <w:pPr>
        <w:pStyle w:val="IntenseQuote"/>
      </w:pPr>
      <w:r w:rsidRPr="00B167F2">
        <w:t>Unfortunately, deficits exist in these programs within ongoing coaching and mentoring required both from training provider and employer. (Submission 5 – Swinburne University)</w:t>
      </w:r>
    </w:p>
    <w:p w14:paraId="198DDA31" w14:textId="77777777" w:rsidR="00694586" w:rsidRPr="00B167F2" w:rsidRDefault="00694586" w:rsidP="00694586">
      <w:pPr>
        <w:pStyle w:val="IntenseQuote"/>
      </w:pPr>
      <w:r w:rsidRPr="00B167F2">
        <w:t xml:space="preserve">Investigate consistency within higher education and vocational education content and quality standards, meeting current and future-focused needs of team entering and engaging with the sector. (Submission 35 – An ECEC provider) </w:t>
      </w:r>
    </w:p>
    <w:p w14:paraId="71F84BBC" w14:textId="77777777" w:rsidR="00694586" w:rsidRDefault="00694586" w:rsidP="00694586">
      <w:pPr>
        <w:pStyle w:val="IntenseQuote"/>
        <w:rPr>
          <w:rFonts w:cs="Arial"/>
          <w:color w:val="005D5D" w:themeColor="accent2"/>
          <w:sz w:val="28"/>
          <w:lang w:eastAsia="en-AU"/>
        </w:rPr>
      </w:pPr>
      <w:r w:rsidRPr="00B167F2">
        <w:t>Reflecting on novel skills and capability requirements, we note that there have been impacts on skill development in some VET courses as RTOs moved to reduce centre visits. A decline in the basic knowledge of child development and the planning and assessment cycle has also been noticeable in graduates of both VET and Higher Education ECEC courses. (Submission 12 – Goodstart Early Learning)</w:t>
      </w:r>
    </w:p>
    <w:p w14:paraId="5D7E6581" w14:textId="77777777" w:rsidR="00694586" w:rsidRDefault="00694586" w:rsidP="00694586">
      <w:pPr>
        <w:pStyle w:val="Heading4"/>
        <w:rPr>
          <w:lang w:eastAsia="en-AU"/>
        </w:rPr>
      </w:pPr>
      <w:r w:rsidRPr="5840AC2B">
        <w:rPr>
          <w:lang w:eastAsia="en-AU"/>
        </w:rPr>
        <w:t>Placements</w:t>
      </w:r>
    </w:p>
    <w:p w14:paraId="5508E998" w14:textId="77777777" w:rsidR="00694586" w:rsidRDefault="00694586" w:rsidP="00694586">
      <w:r>
        <w:t>There are structural barriers to on-the-job assessment within VET and higher education due to barriers to recognising on-the-job hours as work integrated learning, requiring unpaid placements for ECTs. Placements as a formal part of qualifications and placement poverty across educational sectors are key issues.</w:t>
      </w:r>
    </w:p>
    <w:p w14:paraId="51F63CFE" w14:textId="77777777" w:rsidR="00694586" w:rsidRPr="009920C2" w:rsidRDefault="00694586" w:rsidP="00694586">
      <w:pPr>
        <w:pStyle w:val="IntenseQuote"/>
      </w:pPr>
      <w:r>
        <w:lastRenderedPageBreak/>
        <w:t>The Certificate III in Early Education and Care includes a compulsory 160 hours of work. Unpaid work placements required for the achievement of the qualification can be a barrier to students completing or enrolling. Registered Training Organisations have also reported that there are often challenges in accessing employers willing the provide the hours of work. (Submission 10 – A peak educational body)</w:t>
      </w:r>
    </w:p>
    <w:p w14:paraId="6E8EAEC4" w14:textId="77777777" w:rsidR="00694586" w:rsidRDefault="00694586" w:rsidP="00694586">
      <w:pPr>
        <w:rPr>
          <w:lang w:val="en-GB"/>
        </w:rPr>
      </w:pPr>
      <w:r w:rsidRPr="5840AC2B">
        <w:rPr>
          <w:lang w:val="en-GB"/>
        </w:rPr>
        <w:t>There are opportunities to develop high quality protocols to recognise other ECEC work as</w:t>
      </w:r>
      <w:r>
        <w:rPr>
          <w:lang w:val="en-GB"/>
        </w:rPr>
        <w:t xml:space="preserve"> contributing to</w:t>
      </w:r>
      <w:r w:rsidRPr="5840AC2B">
        <w:rPr>
          <w:lang w:val="en-GB"/>
        </w:rPr>
        <w:t xml:space="preserve"> placement</w:t>
      </w:r>
      <w:r>
        <w:rPr>
          <w:lang w:val="en-GB"/>
        </w:rPr>
        <w:t xml:space="preserve"> requirements</w:t>
      </w:r>
      <w:r w:rsidRPr="5840AC2B">
        <w:rPr>
          <w:lang w:val="en-GB"/>
        </w:rPr>
        <w:t xml:space="preserve">. Stakeholders also suggested the ability to recognise placement in related fields such as primary teaching could be considered. The limiting of placements to initial training </w:t>
      </w:r>
      <w:r>
        <w:rPr>
          <w:lang w:val="en-GB"/>
        </w:rPr>
        <w:t>i</w:t>
      </w:r>
      <w:r w:rsidRPr="5840AC2B">
        <w:rPr>
          <w:lang w:val="en-GB"/>
        </w:rPr>
        <w:t xml:space="preserve">n formal qualifications was also raised as a concern, as well as the ability to include placement in workplaces other than one’s own as part of continuing professional development. Potentiality for specialised roles </w:t>
      </w:r>
      <w:r>
        <w:rPr>
          <w:lang w:val="en-GB"/>
        </w:rPr>
        <w:t>such as</w:t>
      </w:r>
      <w:r w:rsidRPr="5840AC2B">
        <w:rPr>
          <w:lang w:val="en-GB"/>
        </w:rPr>
        <w:t xml:space="preserve"> inclusion support and other innovative work-based learning opportunities were foreseen by this stakeholder: </w:t>
      </w:r>
    </w:p>
    <w:p w14:paraId="72D394E1" w14:textId="77777777" w:rsidR="00694586" w:rsidRPr="00405AF0" w:rsidRDefault="00694586" w:rsidP="00694586">
      <w:pPr>
        <w:pStyle w:val="IntenseQuote"/>
      </w:pPr>
      <w:r w:rsidRPr="00405AF0">
        <w:t>Immersion courses that allow prospective students to complete some units and a placement before starting a traineeship is also valuable. (Submission 24 - KU Children's Services)</w:t>
      </w:r>
    </w:p>
    <w:p w14:paraId="3A03695C" w14:textId="1EBCA742" w:rsidR="00694586" w:rsidRPr="00D8641D" w:rsidRDefault="00694586" w:rsidP="00694586">
      <w:pPr>
        <w:rPr>
          <w:lang w:val="en-GB"/>
        </w:rPr>
      </w:pPr>
      <w:r w:rsidRPr="00B558E4">
        <w:rPr>
          <w:lang w:val="en-GB"/>
        </w:rPr>
        <w:t xml:space="preserve">It is noted that there is considerable attention on this </w:t>
      </w:r>
      <w:r>
        <w:rPr>
          <w:lang w:val="en-GB"/>
        </w:rPr>
        <w:t>issue</w:t>
      </w:r>
      <w:r w:rsidRPr="00B558E4">
        <w:rPr>
          <w:lang w:val="en-GB"/>
        </w:rPr>
        <w:t xml:space="preserve"> </w:t>
      </w:r>
      <w:proofErr w:type="gramStart"/>
      <w:r w:rsidRPr="00B558E4">
        <w:rPr>
          <w:lang w:val="en-GB"/>
        </w:rPr>
        <w:t>at the moment</w:t>
      </w:r>
      <w:proofErr w:type="gramEnd"/>
      <w:r w:rsidRPr="00B558E4">
        <w:rPr>
          <w:lang w:val="en-GB"/>
        </w:rPr>
        <w:t xml:space="preserve"> including </w:t>
      </w:r>
      <w:r>
        <w:rPr>
          <w:lang w:val="en-GB"/>
        </w:rPr>
        <w:t>financial support for students while on</w:t>
      </w:r>
      <w:r w:rsidRPr="00B558E4">
        <w:rPr>
          <w:lang w:val="en-GB"/>
        </w:rPr>
        <w:t xml:space="preserve"> placements</w:t>
      </w:r>
      <w:r>
        <w:rPr>
          <w:lang w:val="en-GB"/>
        </w:rPr>
        <w:t>, n</w:t>
      </w:r>
      <w:r w:rsidRPr="00B558E4">
        <w:rPr>
          <w:lang w:val="en-GB"/>
        </w:rPr>
        <w:t>oting the 2024 Federal Budget announcement for higher education placement support</w:t>
      </w:r>
      <w:r>
        <w:rPr>
          <w:lang w:val="en-GB"/>
        </w:rPr>
        <w:t>.</w:t>
      </w:r>
      <w:r w:rsidR="007A0961">
        <w:rPr>
          <w:lang w:val="en-GB"/>
        </w:rPr>
        <w:t xml:space="preserve"> </w:t>
      </w:r>
      <w:r w:rsidRPr="00B558E4">
        <w:rPr>
          <w:lang w:val="en-GB"/>
        </w:rPr>
        <w:t xml:space="preserve">Researchers are particularly interested in how these institutions are navigating potential opportunities for students to undertake professional placements in their own workplace. </w:t>
      </w:r>
    </w:p>
    <w:p w14:paraId="2FEDBE5F" w14:textId="77777777" w:rsidR="00694586" w:rsidRDefault="00694586" w:rsidP="00694586">
      <w:pPr>
        <w:rPr>
          <w:lang w:eastAsia="en-AU"/>
        </w:rPr>
      </w:pPr>
      <w:r w:rsidRPr="5840AC2B">
        <w:rPr>
          <w:lang w:eastAsia="en-AU"/>
        </w:rPr>
        <w:t xml:space="preserve">There are opportunities that grow </w:t>
      </w:r>
      <w:r w:rsidRPr="0E30A0EA">
        <w:rPr>
          <w:lang w:eastAsia="en-AU"/>
        </w:rPr>
        <w:t>from facilitating</w:t>
      </w:r>
      <w:r w:rsidRPr="5840AC2B">
        <w:rPr>
          <w:lang w:eastAsia="en-AU"/>
        </w:rPr>
        <w:t xml:space="preserve"> educator growth and development in the workplace. Currently, many studying towards an ECEC qualification already work in the sector, but this paid experience is not recognised as contributing to their training and it is noted it is important to have experience outside one workplace. </w:t>
      </w:r>
    </w:p>
    <w:p w14:paraId="4EAD1515" w14:textId="77777777" w:rsidR="00694586" w:rsidRPr="00405AF0" w:rsidRDefault="00694586" w:rsidP="00694586">
      <w:pPr>
        <w:pStyle w:val="IntenseQuote"/>
        <w:rPr>
          <w:rStyle w:val="IntenseEmphasis"/>
          <w:i/>
          <w:iCs/>
          <w:highlight w:val="yellow"/>
        </w:rPr>
      </w:pPr>
      <w:r w:rsidRPr="00405AF0">
        <w:rPr>
          <w:rStyle w:val="IntenseEmphasis"/>
        </w:rPr>
        <w:t>Australian Children's Education &amp; Care Quality Authority (ACEQCA) requirements have made it increasingly difficult for higher education settings to recognise work experience via subject or placement credits. For example, placements undertaken in Diploma studies cannot be credited toward Degree programs. (Submission 23 – La Trobe University)</w:t>
      </w:r>
    </w:p>
    <w:p w14:paraId="610EA6E9" w14:textId="77777777" w:rsidR="00694586" w:rsidRDefault="00694586" w:rsidP="00694586">
      <w:pPr>
        <w:rPr>
          <w:lang w:eastAsia="en-AU"/>
        </w:rPr>
      </w:pPr>
      <w:r w:rsidRPr="62904549">
        <w:rPr>
          <w:lang w:eastAsia="en-AU"/>
        </w:rPr>
        <w:t>Similarly, as people gain more experience after their first qualification, this learning and development could be better acknowledged in formal and informal recognition of career progression.</w:t>
      </w:r>
    </w:p>
    <w:p w14:paraId="0A262226" w14:textId="77777777" w:rsidR="00694586" w:rsidRDefault="00694586" w:rsidP="00694586">
      <w:pPr>
        <w:keepLines/>
        <w:rPr>
          <w:rFonts w:eastAsia="Arial" w:cs="Arial"/>
          <w:color w:val="441170" w:themeColor="text2"/>
        </w:rPr>
      </w:pPr>
      <w:r w:rsidRPr="62904549">
        <w:rPr>
          <w:rFonts w:eastAsia="Arial" w:cs="Arial"/>
          <w:b/>
          <w:bCs/>
          <w:color w:val="441170" w:themeColor="text2"/>
        </w:rPr>
        <w:lastRenderedPageBreak/>
        <w:t xml:space="preserve">Finding - </w:t>
      </w:r>
      <w:r w:rsidRPr="62904549">
        <w:rPr>
          <w:rFonts w:eastAsia="Arial" w:cs="Arial"/>
          <w:color w:val="441170" w:themeColor="text2"/>
        </w:rPr>
        <w:t xml:space="preserve">Many </w:t>
      </w:r>
      <w:r w:rsidRPr="00B03AE9">
        <w:rPr>
          <w:rFonts w:eastAsia="Arial" w:cs="Arial"/>
          <w:color w:val="441170" w:themeColor="text2"/>
        </w:rPr>
        <w:t>students enrolled in ECEC courses also work in the sector. However, outside formal traineeships employment experience only in specific situations counts towards their qualification, raising concerns about placement poverty. This places pressure on the system of placements, where there are significant hours required in both VET and higher education ECEC qualifications. This may also place significant financial strain on students, noting current plans to introduce paid placements for higher education students</w:t>
      </w:r>
      <w:r>
        <w:rPr>
          <w:rFonts w:eastAsia="Arial" w:cs="Arial"/>
          <w:color w:val="441170" w:themeColor="text2"/>
        </w:rPr>
        <w:t>.</w:t>
      </w:r>
    </w:p>
    <w:p w14:paraId="73F8B5B0" w14:textId="77777777" w:rsidR="00694586" w:rsidRPr="00E84697" w:rsidRDefault="00694586" w:rsidP="00694586">
      <w:pPr>
        <w:ind w:left="720"/>
      </w:pPr>
      <w:r w:rsidRPr="62904549">
        <w:rPr>
          <w:rFonts w:eastAsia="Arial" w:cs="Arial"/>
          <w:b/>
          <w:bCs/>
        </w:rPr>
        <w:t>Recommendation</w:t>
      </w:r>
      <w:r>
        <w:rPr>
          <w:rFonts w:eastAsia="Arial" w:cs="Arial"/>
          <w:b/>
          <w:bCs/>
        </w:rPr>
        <w:t xml:space="preserve"> -</w:t>
      </w:r>
      <w:r w:rsidRPr="62904549">
        <w:rPr>
          <w:rFonts w:eastAsia="Arial" w:cs="Arial"/>
          <w:b/>
          <w:bCs/>
        </w:rPr>
        <w:t xml:space="preserve"> </w:t>
      </w:r>
      <w:r w:rsidRPr="62904549">
        <w:rPr>
          <w:rFonts w:eastAsia="Arial" w:cs="Arial"/>
        </w:rPr>
        <w:t xml:space="preserve">To </w:t>
      </w:r>
      <w:r w:rsidRPr="00311B7F">
        <w:rPr>
          <w:rFonts w:eastAsia="Arial" w:cs="Arial"/>
        </w:rPr>
        <w:t>support an ongoing pipeline of well qualified workers completing qualifications in a timely fashion, there should be consideration of financial investment in ‘wrap-around support’ for existing educators to attain higher qualifications e.g. paid study leave and the negotiation of study calendars and assessment that fit in with workplace needs.</w:t>
      </w:r>
    </w:p>
    <w:p w14:paraId="275F0F62" w14:textId="77777777" w:rsidR="00694586" w:rsidRDefault="00694586" w:rsidP="00694586">
      <w:pPr>
        <w:ind w:left="720"/>
        <w:rPr>
          <w:rFonts w:eastAsia="Arial" w:cs="Arial"/>
        </w:rPr>
      </w:pPr>
      <w:r w:rsidRPr="00E84697">
        <w:rPr>
          <w:b/>
          <w:bCs/>
        </w:rPr>
        <w:t>Recommendation</w:t>
      </w:r>
      <w:r>
        <w:rPr>
          <w:b/>
          <w:bCs/>
        </w:rPr>
        <w:t xml:space="preserve"> -</w:t>
      </w:r>
      <w:r w:rsidRPr="62904549">
        <w:rPr>
          <w:rFonts w:eastAsia="Arial" w:cs="Arial"/>
        </w:rPr>
        <w:t xml:space="preserve"> In order to </w:t>
      </w:r>
      <w:r w:rsidRPr="00DA3750">
        <w:rPr>
          <w:rFonts w:eastAsia="Arial" w:cs="Arial"/>
        </w:rPr>
        <w:t xml:space="preserve">support the career progression of people with primary carer responsibilities, training providers in VET and higher education </w:t>
      </w:r>
      <w:proofErr w:type="gramStart"/>
      <w:r w:rsidRPr="00DA3750">
        <w:rPr>
          <w:rFonts w:eastAsia="Arial" w:cs="Arial"/>
        </w:rPr>
        <w:t>should  have</w:t>
      </w:r>
      <w:proofErr w:type="gramEnd"/>
      <w:r w:rsidRPr="00DA3750">
        <w:rPr>
          <w:rFonts w:eastAsia="Arial" w:cs="Arial"/>
        </w:rPr>
        <w:t xml:space="preserve"> explicit strategies for the inclusion of parents in key ECEC courses. This includes ensuring there are processes in place to identify the cultural and family needs of the learner cohort and </w:t>
      </w:r>
      <w:r>
        <w:rPr>
          <w:rFonts w:eastAsia="Arial" w:cs="Arial"/>
        </w:rPr>
        <w:t>e</w:t>
      </w:r>
      <w:r w:rsidRPr="00DA3750">
        <w:rPr>
          <w:rFonts w:eastAsia="Arial" w:cs="Arial"/>
        </w:rPr>
        <w:t>nsuring reasonable access to support services including for the education and care of children and other supports for parents such as scheduling for training, placements and assessment with consideration to cultural and family needs.</w:t>
      </w:r>
    </w:p>
    <w:p w14:paraId="04DDF28E" w14:textId="77777777" w:rsidR="00694586" w:rsidRDefault="00694586" w:rsidP="00694586">
      <w:pPr>
        <w:ind w:left="720"/>
        <w:rPr>
          <w:rFonts w:eastAsia="Arial" w:cs="Arial"/>
          <w:i/>
          <w:iCs/>
        </w:rPr>
      </w:pPr>
    </w:p>
    <w:p w14:paraId="51AEDDCB" w14:textId="77777777" w:rsidR="00694586" w:rsidRPr="00136B0B" w:rsidRDefault="00694586" w:rsidP="00694586">
      <w:pPr>
        <w:pStyle w:val="Heading4"/>
      </w:pPr>
      <w:r w:rsidRPr="00136B0B">
        <w:t xml:space="preserve">Curriculum and </w:t>
      </w:r>
      <w:r>
        <w:t>C</w:t>
      </w:r>
      <w:r w:rsidRPr="00136B0B">
        <w:t>ontent</w:t>
      </w:r>
    </w:p>
    <w:p w14:paraId="3C7F9508" w14:textId="77777777" w:rsidR="00694586" w:rsidRDefault="00694586" w:rsidP="00694586">
      <w:r>
        <w:t xml:space="preserve">The content of courses that lead to an ECEC outcome is linked to the approved learning frameworks and all courses are accredited by ACECQA. However, there was much feedback from stakeholders on inclusion of key items in curriculum. Many of those suggested are already present in programs but they are contributed here to ensure that novel curriculum developments are noted. A list of all curriculum areas noted from stakeholder feedback as critical for development are as below: </w:t>
      </w:r>
    </w:p>
    <w:p w14:paraId="7C7D5E68" w14:textId="62BB5DDA" w:rsidR="00885B2A" w:rsidRDefault="00885B2A" w:rsidP="00885B2A">
      <w:pPr>
        <w:pStyle w:val="Caption"/>
      </w:pPr>
      <w:r w:rsidRPr="00885B2A">
        <w:t>Figure 5.1 Curriculum areas noted from stakeholder feedback</w:t>
      </w:r>
    </w:p>
    <w:p w14:paraId="0585170C" w14:textId="6A1AB357" w:rsidR="00694586" w:rsidRPr="0030563B" w:rsidRDefault="00694586" w:rsidP="00694586">
      <w:pPr>
        <w:pStyle w:val="Caption"/>
        <w:rPr>
          <w:b w:val="0"/>
          <w:bCs w:val="0"/>
          <w:i/>
          <w:iCs/>
        </w:rPr>
      </w:pPr>
      <w:r>
        <w:rPr>
          <w:noProof/>
        </w:rPr>
        <w:drawing>
          <wp:inline distT="0" distB="0" distL="0" distR="0" wp14:anchorId="2A325548" wp14:editId="65545ABA">
            <wp:extent cx="5731200" cy="2415600"/>
            <wp:effectExtent l="0" t="0" r="3175" b="3810"/>
            <wp:docPr id="1041787567" name="Picture 1" descr="Cultural and linguistic​&#10;&#10;CALD specialisms including in-language delivery​&#10;&#10;Cultural and linguistically diversity training​&#10;&#10;​&#10;&#10;First Nations​&#10;&#10;Cultural awareness for workforce beyond Cert III mandatory unit​&#10;&#10;Aboriginal and Torres Strait Islander ECEC focused routes​&#10;&#10;Understandings of First Nations conceptions of care and kinship​&#10;&#10;Indigenous knowledges​&#10;&#10;​&#10;&#10;Inclusion needs​&#10;&#10;Trauma informed approaches​&#10;&#10;Family liaison training, including identification of need​&#10;&#10;Integration Allied health settings integrated in early years​&#10;&#10;Training for inclusive settings / children with disabilities (in receipt of NDIS)​&#10;&#10;Inclusion / behavioural related (including those children not in receipt of NDIS)​&#10;&#10;​&#10;&#10;Workforce supports​&#10;&#10;Delivering in remote and regional areas​&#10;&#10;Driving requirements​&#10;&#10;Training to safely provide all hours care​&#10;&#10;Leadership​&#10;&#10;Pedagogical leadership​&#10;&#10;​&#10;&#10;Digital​&#10;&#10;Digital delivery / supervision issues (particularly training)​&#10;&#10;Digital safety​&#10;&#10;Augmented reality​&#10;&#10;​&#10;&#10;Enhancements​&#10;&#10;Cooking specialisms​&#10;&#10;Environmental education for bush kindergartens​&#10;&#10;Augmented re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787567" name="Picture 1" descr="Cultural and linguistic​&#10;&#10;CALD specialisms including in-language delivery​&#10;&#10;Cultural and linguistically diversity training​&#10;&#10;​&#10;&#10;First Nations​&#10;&#10;Cultural awareness for workforce beyond Cert III mandatory unit​&#10;&#10;Aboriginal and Torres Strait Islander ECEC focused routes​&#10;&#10;Understandings of First Nations conceptions of care and kinship​&#10;&#10;Indigenous knowledges​&#10;&#10;​&#10;&#10;Inclusion needs​&#10;&#10;Trauma informed approaches​&#10;&#10;Family liaison training, including identification of need​&#10;&#10;Integration Allied health settings integrated in early years​&#10;&#10;Training for inclusive settings / children with disabilities (in receipt of NDIS)​&#10;&#10;Inclusion / behavioural related (including those children not in receipt of NDIS)​&#10;&#10;​&#10;&#10;Workforce supports​&#10;&#10;Delivering in remote and regional areas​&#10;&#10;Driving requirements​&#10;&#10;Training to safely provide all hours care​&#10;&#10;Leadership​&#10;&#10;Pedagogical leadership​&#10;&#10;​&#10;&#10;Digital​&#10;&#10;Digital delivery / supervision issues (particularly training)​&#10;&#10;Digital safety​&#10;&#10;Augmented reality​&#10;&#10;​&#10;&#10;Enhancements​&#10;&#10;Cooking specialisms​&#10;&#10;Environmental education for bush kindergartens​&#10;&#10;Augmented reality​"/>
                    <pic:cNvPicPr/>
                  </pic:nvPicPr>
                  <pic:blipFill rotWithShape="1">
                    <a:blip r:embed="rId135" cstate="screen">
                      <a:extLst>
                        <a:ext uri="{28A0092B-C50C-407E-A947-70E740481C1C}">
                          <a14:useLocalDpi xmlns:a14="http://schemas.microsoft.com/office/drawing/2010/main" val="0"/>
                        </a:ext>
                      </a:extLst>
                    </a:blip>
                    <a:srcRect/>
                    <a:stretch/>
                  </pic:blipFill>
                  <pic:spPr bwMode="auto">
                    <a:xfrm>
                      <a:off x="0" y="0"/>
                      <a:ext cx="5731200" cy="2415600"/>
                    </a:xfrm>
                    <a:prstGeom prst="rect">
                      <a:avLst/>
                    </a:prstGeom>
                    <a:ln>
                      <a:noFill/>
                    </a:ln>
                    <a:extLst>
                      <a:ext uri="{53640926-AAD7-44D8-BBD7-CCE9431645EC}">
                        <a14:shadowObscured xmlns:a14="http://schemas.microsoft.com/office/drawing/2010/main"/>
                      </a:ext>
                    </a:extLst>
                  </pic:spPr>
                </pic:pic>
              </a:graphicData>
            </a:graphic>
          </wp:inline>
        </w:drawing>
      </w:r>
    </w:p>
    <w:p w14:paraId="5DD1D13E" w14:textId="77777777" w:rsidR="00694586" w:rsidRPr="000E6602" w:rsidRDefault="00694586" w:rsidP="00885B2A">
      <w:pPr>
        <w:pStyle w:val="Source"/>
      </w:pPr>
      <w:r w:rsidRPr="000E6602">
        <w:t xml:space="preserve">Source: JSA, ECEC Capacity Study stakeholder submissions and consultations </w:t>
      </w:r>
    </w:p>
    <w:p w14:paraId="555525F7" w14:textId="77777777" w:rsidR="00694586" w:rsidRDefault="00694586" w:rsidP="00694586">
      <w:pPr>
        <w:keepLines/>
      </w:pPr>
      <w:r>
        <w:lastRenderedPageBreak/>
        <w:t xml:space="preserve">There are also structural constraints within the VET system, both within the training package design and expediency of delivering such a dense course to a large cohort of students. There were queries raised about the programming of VET courses which were said to be delivered with little scope for electives which was a particular issue for some service types such as IHC and OSHC. There were also specific concerns about content inclusions: </w:t>
      </w:r>
    </w:p>
    <w:p w14:paraId="3E9E6AE5" w14:textId="77777777" w:rsidR="00694586" w:rsidRPr="008938B8" w:rsidRDefault="00694586" w:rsidP="00694586">
      <w:pPr>
        <w:pStyle w:val="IntenseQuote"/>
        <w:rPr>
          <w:highlight w:val="yellow"/>
        </w:rPr>
      </w:pPr>
      <w:r w:rsidRPr="008938B8">
        <w:t>The main barrier to completing the entry-level Certificate III qualification can be found in the course content. Since the focus of this course is on regulatory requirements, it lacks units that provide students with the skills to work with children. Although understanding regulatory requirements is vital, it needs to be balanced out with students learning fundamental skills. (Submission 47 - Aspire Learning and One World for Children)</w:t>
      </w:r>
    </w:p>
    <w:p w14:paraId="5E7797D3" w14:textId="77777777" w:rsidR="00694586" w:rsidRPr="008938B8" w:rsidRDefault="00694586" w:rsidP="00694586">
      <w:pPr>
        <w:pStyle w:val="IntenseQuote"/>
      </w:pPr>
      <w:r w:rsidRPr="008938B8">
        <w:t>Current training package design means that the current ECEC qualifications lack content around play-based pedagogies in areas of language and literature, STEM, creative arts (such as drama, music, dance, visual arts, etc.) as well as content on child development and how to support development. This is counterintuitive to the reasons those wishing to enter the sector do so – i.e., to learn how to apply play-based pedagogies and advance children’s development. Feedback received from both students and industry is that the lack of training package focus on these important areas of skill development leads to a lack of engagement which results in lower retention and greater withdrawal rates from ECEC qualifications. (Submission 2 – A peak educational body)</w:t>
      </w:r>
    </w:p>
    <w:p w14:paraId="2D08622E" w14:textId="77777777" w:rsidR="00694586" w:rsidRPr="00A23E05" w:rsidRDefault="00694586" w:rsidP="00694586">
      <w:r>
        <w:t xml:space="preserve">Another key issue raised by stakeholders is the current underrepresentation of First Nations practices and traditions in the Certificate III. The current unit in the Certificate III ECEC 'CHCECE054 Encourage understanding of Aboriginal and/or Torres Strait Islander peoples' cultures’ while thought of as robust, does not engage in sufficient depth for extended understanding. It is therefore essential that we reconsider the specific needs of First Nations people, including remote and regional Aboriginal communities, and include greater cultural content in the Certificate III </w:t>
      </w:r>
      <w:proofErr w:type="gramStart"/>
      <w:r>
        <w:t>in order to</w:t>
      </w:r>
      <w:proofErr w:type="gramEnd"/>
      <w:r>
        <w:t xml:space="preserve"> encourage and increase First Nations participation in the ECEC workforce. </w:t>
      </w:r>
    </w:p>
    <w:p w14:paraId="35AB4119" w14:textId="77777777" w:rsidR="00694586" w:rsidRPr="00CC64CC" w:rsidRDefault="00694586" w:rsidP="00885B2A">
      <w:pPr>
        <w:pStyle w:val="Finding"/>
        <w:numPr>
          <w:ilvl w:val="0"/>
          <w:numId w:val="0"/>
        </w:numPr>
      </w:pPr>
      <w:r>
        <w:t xml:space="preserve">Finding - </w:t>
      </w:r>
      <w:r w:rsidRPr="00442C59">
        <w:rPr>
          <w:b w:val="0"/>
          <w:bCs w:val="0"/>
        </w:rPr>
        <w:t>There is not sufficient First Nations curriculum coverage in either Certificate III or Diploma ECEC and higher education qualifications, including relating to cultural safety. The current unit (CHCECE054) offered within the ECEC Training Package is not sufficient for Aboriginal and Torres Strait Islander learners to engage with culture within an early learning education context.</w:t>
      </w:r>
    </w:p>
    <w:p w14:paraId="05ED3361" w14:textId="77777777" w:rsidR="00694586" w:rsidRPr="0027749C" w:rsidRDefault="00694586" w:rsidP="00694586">
      <w:pPr>
        <w:ind w:left="720"/>
      </w:pPr>
      <w:r w:rsidRPr="00311746">
        <w:rPr>
          <w:b/>
          <w:bCs/>
        </w:rPr>
        <w:t>Recommendation</w:t>
      </w:r>
      <w:r>
        <w:rPr>
          <w:b/>
          <w:bCs/>
        </w:rPr>
        <w:t xml:space="preserve"> -</w:t>
      </w:r>
      <w:r w:rsidRPr="00FD5547">
        <w:t xml:space="preserve"> HumanAbility </w:t>
      </w:r>
      <w:r w:rsidRPr="007702EC">
        <w:t>should encourage the development of units in the ECEC training package that extend cultural knowledge and Indigenous knowledges. Higher education providers should establish teacher education programs that recognise, enable and celebrate First Nations ways of learning and being.</w:t>
      </w:r>
    </w:p>
    <w:p w14:paraId="77D8B4CD" w14:textId="77777777" w:rsidR="00694586" w:rsidRPr="0027749C" w:rsidRDefault="00694586" w:rsidP="00694586">
      <w:pPr>
        <w:ind w:left="720"/>
      </w:pPr>
      <w:r w:rsidRPr="00311746">
        <w:rPr>
          <w:b/>
          <w:bCs/>
        </w:rPr>
        <w:t>Recommendation</w:t>
      </w:r>
      <w:r>
        <w:rPr>
          <w:b/>
          <w:bCs/>
        </w:rPr>
        <w:t xml:space="preserve"> -</w:t>
      </w:r>
      <w:r w:rsidRPr="00FD5547">
        <w:t xml:space="preserve"> Recognise </w:t>
      </w:r>
      <w:r w:rsidRPr="003E2008">
        <w:t>and explore the importance of cultural knowledge in the ECEC workforce through prioritised inclusion in enterprise agreements.</w:t>
      </w:r>
    </w:p>
    <w:p w14:paraId="4F9D0EE3" w14:textId="77777777" w:rsidR="00694586" w:rsidRPr="00302DF6" w:rsidRDefault="00694586" w:rsidP="00694586">
      <w:pPr>
        <w:pStyle w:val="Heading4"/>
        <w:keepNext/>
      </w:pPr>
      <w:r w:rsidRPr="00302DF6">
        <w:lastRenderedPageBreak/>
        <w:t xml:space="preserve">Prior and </w:t>
      </w:r>
      <w:r>
        <w:t>E</w:t>
      </w:r>
      <w:r w:rsidRPr="00302DF6">
        <w:t xml:space="preserve">xperiential </w:t>
      </w:r>
      <w:r>
        <w:t>L</w:t>
      </w:r>
      <w:r w:rsidRPr="00302DF6">
        <w:t xml:space="preserve">earning </w:t>
      </w:r>
    </w:p>
    <w:p w14:paraId="57510264" w14:textId="77777777" w:rsidR="00694586" w:rsidRPr="000E725B" w:rsidRDefault="00694586" w:rsidP="00694586">
      <w:r>
        <w:t xml:space="preserve">ECEC educators experience considerable difficulties in pursuing RPL, producing formal and informal barriers to further study, specialisation, and career progression. Within ACECQA’s published requirements there are </w:t>
      </w:r>
      <w:proofErr w:type="gramStart"/>
      <w:r>
        <w:t>particular stipulations</w:t>
      </w:r>
      <w:proofErr w:type="gramEnd"/>
      <w:r>
        <w:t xml:space="preserve"> which note that required supervised professional experience days would not expect to be credited from lower level AQF qualifications to recognise the different levels of engagement. In the National Workforce Strategy FA5-2 ‘Review requirements for early childhood teaching programs under the NQF’ credit and RPL is being considered. </w:t>
      </w:r>
    </w:p>
    <w:p w14:paraId="59D58DB1" w14:textId="77777777" w:rsidR="00694586" w:rsidRPr="00AC5B96" w:rsidRDefault="00694586" w:rsidP="00694586">
      <w:r>
        <w:t>Whilst RPL can be seen as a viable alternative in meeting the demand for ECEC services, it is reported that implementation barriers are faced during the recognition process. RPL might provide educators currently in possession of a Certificate III in ECEC to upgrade to a Diploma as they transition towards leadership roles within a particular service, but anecdotal evidence raised by stakeholders suggests that the RPL process can be time-consuming and onerous. This discourages educators (especially those unable to access standard delivery options) from pursuing the Diploma. This can result in increased pressure on regional and remote educators who hold Diplomas, further exacerbating skill shortages in regional Australia. As noted by a peak workforce development body in their submission to JSA:</w:t>
      </w:r>
    </w:p>
    <w:p w14:paraId="70A9B78F" w14:textId="77777777" w:rsidR="00694586" w:rsidRPr="00AC5B96" w:rsidRDefault="00694586" w:rsidP="00694586">
      <w:pPr>
        <w:pStyle w:val="IntenseQuote"/>
        <w:rPr>
          <w:rFonts w:eastAsia="Calibri" w:cs="Arial"/>
        </w:rPr>
      </w:pPr>
      <w:r w:rsidRPr="00B558E4">
        <w:t>The assessment process of Recognition of Prior Learning in the case of ECEC can be difficult to access and complete. For students it can be complex, time consuming and costly, to the point it would be beneficial to repeat the training as per a new entrant. In some cases, there is a lack of interest by registered training organisations (RTOs), meaning key skills and knowledge are not necessarily evaluated, which puts the employer, care workers and children at risk. This becomes of greater risk of occurring as courses become more complex and RPL processes longer – as seen with the 2021 changes to the childcare training package. This may encourage RTOs in guiding students to enrolling and completing the full qualifications to meet their regulatory requirements rather than use the RPL option if appropriate. (Submission 51 – A peak workforce development body)</w:t>
      </w:r>
    </w:p>
    <w:p w14:paraId="39F3D73F" w14:textId="77777777" w:rsidR="00694586" w:rsidRDefault="00694586" w:rsidP="00694586">
      <w:pPr>
        <w:rPr>
          <w:lang w:eastAsia="en-AU"/>
        </w:rPr>
      </w:pPr>
      <w:r>
        <w:rPr>
          <w:lang w:eastAsia="en-AU"/>
        </w:rPr>
        <w:t xml:space="preserve">Stakeholders suggested that </w:t>
      </w:r>
      <w:r w:rsidRPr="55DD1A39">
        <w:rPr>
          <w:lang w:eastAsia="en-AU"/>
        </w:rPr>
        <w:t>there should be no expectation that those undertaking a Diploma should</w:t>
      </w:r>
      <w:r>
        <w:rPr>
          <w:lang w:eastAsia="en-AU"/>
        </w:rPr>
        <w:t xml:space="preserve"> necessarily </w:t>
      </w:r>
      <w:r w:rsidRPr="55DD1A39">
        <w:rPr>
          <w:lang w:eastAsia="en-AU"/>
        </w:rPr>
        <w:t xml:space="preserve">complete </w:t>
      </w:r>
      <w:r>
        <w:rPr>
          <w:lang w:eastAsia="en-AU"/>
        </w:rPr>
        <w:t>recent competencies that have already been relevantly and reliably evidenced</w:t>
      </w:r>
      <w:r w:rsidRPr="55DD1A39">
        <w:rPr>
          <w:lang w:eastAsia="en-AU"/>
        </w:rPr>
        <w:t>. However, formal recognition of RPL has been implemented in a piecemeal manner</w:t>
      </w:r>
      <w:r w:rsidRPr="43C8BC51">
        <w:rPr>
          <w:lang w:eastAsia="en-AU"/>
        </w:rPr>
        <w:t>. W</w:t>
      </w:r>
      <w:r>
        <w:rPr>
          <w:lang w:eastAsia="en-AU"/>
        </w:rPr>
        <w:t>hile this is important to assess the quality and claims of all applicants, the stakeholder view was that the requirements were difficult and arduous to understand</w:t>
      </w:r>
      <w:r w:rsidRPr="55DD1A39">
        <w:rPr>
          <w:lang w:eastAsia="en-AU"/>
        </w:rPr>
        <w:t>. As mentioned above, stakeholder representation to JSA has suggested that the RPL is a lengthy process and is difficult to navigate.</w:t>
      </w:r>
      <w:r w:rsidRPr="43C8BC51" w:rsidDel="008A7522">
        <w:rPr>
          <w:lang w:eastAsia="en-AU"/>
        </w:rPr>
        <w:t xml:space="preserve"> This </w:t>
      </w:r>
      <w:r w:rsidRPr="55DD1A39">
        <w:rPr>
          <w:lang w:eastAsia="en-AU"/>
        </w:rPr>
        <w:t>not only inhibits candidates for the Diploma from seeking RPL, but it also discourages those holding a Certificate III from pursuing further study.</w:t>
      </w:r>
      <w:r w:rsidRPr="5840AC2B">
        <w:rPr>
          <w:lang w:eastAsia="en-AU"/>
        </w:rPr>
        <w:t xml:space="preserve"> </w:t>
      </w:r>
    </w:p>
    <w:p w14:paraId="5A954DBF" w14:textId="77777777" w:rsidR="00694586" w:rsidRDefault="00694586" w:rsidP="00694586">
      <w:r w:rsidRPr="5840AC2B">
        <w:rPr>
          <w:lang w:eastAsia="en-AU"/>
        </w:rPr>
        <w:t>The complexity of RPL is an inhibitor at Certificate III level too, where only 1.4% of credit was found to be RPL. Better recognition of prior study and experiential learning was felt by stakeholders as being able to improve the flow of workers into ECEC, though it requires a delicate balance,</w:t>
      </w:r>
      <w:r>
        <w:t xml:space="preserve"> given the regulation of the qualified workforce, and the need for appropriate guardrails. While recognition of prior experiential learning would be appropriate, </w:t>
      </w:r>
      <w:r>
        <w:lastRenderedPageBreak/>
        <w:t xml:space="preserve">it is also important to recognise the professional nature of the educational skills and knowledge that ECEC educators develop through their training. It is particularly important to recognise skills relating to quality and learning frameworks rather than, as several researchers have found, imagining training to merely extend ‘natural’ caring skills </w:t>
      </w:r>
      <w:r w:rsidRPr="00A01E77">
        <w:t>(McDonald, Thorpe &amp; Irvine, 2018).</w:t>
      </w:r>
    </w:p>
    <w:p w14:paraId="2CD48BA1" w14:textId="77777777" w:rsidR="00694586" w:rsidRDefault="00694586" w:rsidP="00694586">
      <w:r>
        <w:t>ECEC therefore faces the complex issue of needing to expand and better recognise RPL while also maintaining controls that ensure appropriate skills are brought to bear on the care and education of children. Ensuring RPL protocols are industry informed, consistently applied and administratively straightforward with a rigorous regard for upholding quality is a crucial priority of stakeholders:</w:t>
      </w:r>
    </w:p>
    <w:p w14:paraId="70FD60E6" w14:textId="77777777" w:rsidR="00694586" w:rsidRPr="00302DF6" w:rsidRDefault="00694586" w:rsidP="00694586">
      <w:pPr>
        <w:pStyle w:val="IntenseQuote"/>
        <w:rPr>
          <w:rStyle w:val="IntenseEmphasis"/>
          <w:i/>
          <w:iCs/>
        </w:rPr>
      </w:pPr>
      <w:r w:rsidRPr="00302DF6">
        <w:t>Recognised prior learning (RPL) by tertiary institutions should be industry-informed and rigorously determined to ensure we are creating a pipeline of quality Early Childhood Teachers who are suitably resourced, experienced and job-ready. (Submission 45 – Early Learning and Care Council of Australia)</w:t>
      </w:r>
    </w:p>
    <w:p w14:paraId="437B4759" w14:textId="77777777" w:rsidR="00694586" w:rsidRDefault="00694586" w:rsidP="00694586">
      <w:pPr>
        <w:rPr>
          <w:lang w:eastAsia="en-AU"/>
        </w:rPr>
      </w:pPr>
      <w:r>
        <w:rPr>
          <w:lang w:eastAsia="en-AU"/>
        </w:rPr>
        <w:t xml:space="preserve">Developing a more robust, and yet more straightforward, RPL process would apply to placements and experiential learning too. Placements that have been completed in one program (such as a diploma) should also be recognised in another (such as the </w:t>
      </w:r>
      <w:proofErr w:type="gramStart"/>
      <w:r>
        <w:rPr>
          <w:lang w:eastAsia="en-AU"/>
        </w:rPr>
        <w:t>bachelor</w:t>
      </w:r>
      <w:proofErr w:type="gramEnd"/>
      <w:r>
        <w:rPr>
          <w:lang w:eastAsia="en-AU"/>
        </w:rPr>
        <w:t xml:space="preserve"> degree).</w:t>
      </w:r>
    </w:p>
    <w:p w14:paraId="6B6CFB78" w14:textId="77777777" w:rsidR="00694586" w:rsidRPr="00CC64CC" w:rsidRDefault="00694586" w:rsidP="00442C59">
      <w:pPr>
        <w:pStyle w:val="Finding"/>
        <w:numPr>
          <w:ilvl w:val="0"/>
          <w:numId w:val="0"/>
        </w:numPr>
      </w:pPr>
      <w:r>
        <w:t xml:space="preserve">Finding - </w:t>
      </w:r>
      <w:r w:rsidRPr="00442C59">
        <w:rPr>
          <w:b w:val="0"/>
          <w:bCs w:val="0"/>
        </w:rPr>
        <w:t>Across ECEC training pathways there is in practice little recognition of prior learning (RPL) and experience. This intersects with problems with credit transfer, RPL and advanced standing in educational settings. It also fails to acknowledge learning that has taken place in workplaces and other settings impeding ECEC qualification uptake and completion.</w:t>
      </w:r>
    </w:p>
    <w:p w14:paraId="4EF81823" w14:textId="77777777" w:rsidR="00694586" w:rsidRPr="00C33605" w:rsidRDefault="00694586" w:rsidP="00694586">
      <w:pPr>
        <w:pStyle w:val="ListParagraph"/>
        <w:numPr>
          <w:ilvl w:val="0"/>
          <w:numId w:val="0"/>
        </w:numPr>
        <w:spacing w:after="120"/>
        <w:ind w:left="720"/>
        <w:rPr>
          <w:i w:val="0"/>
          <w:iCs w:val="0"/>
        </w:rPr>
      </w:pPr>
      <w:r w:rsidRPr="00C33605">
        <w:rPr>
          <w:b/>
          <w:bCs/>
          <w:i w:val="0"/>
          <w:iCs w:val="0"/>
        </w:rPr>
        <w:t>Recommendation</w:t>
      </w:r>
      <w:r>
        <w:rPr>
          <w:b/>
          <w:bCs/>
          <w:i w:val="0"/>
          <w:iCs w:val="0"/>
        </w:rPr>
        <w:t xml:space="preserve"> -</w:t>
      </w:r>
      <w:r w:rsidRPr="00C33605">
        <w:rPr>
          <w:b/>
          <w:bCs/>
          <w:i w:val="0"/>
          <w:iCs w:val="0"/>
        </w:rPr>
        <w:t xml:space="preserve"> </w:t>
      </w:r>
      <w:r w:rsidRPr="00C33605">
        <w:rPr>
          <w:i w:val="0"/>
          <w:iCs w:val="0"/>
        </w:rPr>
        <w:t xml:space="preserve">Regulators </w:t>
      </w:r>
      <w:r w:rsidRPr="000F6D64">
        <w:rPr>
          <w:i w:val="0"/>
          <w:iCs w:val="0"/>
        </w:rPr>
        <w:t>and HumanAbility should consider qualification protocol changes to incentivise quality RPL and investigate system wide protocols for evidencing experiential learning and facilitating advanced standing for higher education and credit transfer for VET.</w:t>
      </w:r>
    </w:p>
    <w:p w14:paraId="1EC2E623" w14:textId="77777777" w:rsidR="00694586" w:rsidRPr="002127F8" w:rsidRDefault="00694586" w:rsidP="00A2332E">
      <w:pPr>
        <w:pStyle w:val="ListParagraph"/>
        <w:numPr>
          <w:ilvl w:val="0"/>
          <w:numId w:val="26"/>
        </w:numPr>
        <w:rPr>
          <w:i w:val="0"/>
          <w:iCs w:val="0"/>
        </w:rPr>
      </w:pPr>
      <w:r w:rsidRPr="002127F8">
        <w:rPr>
          <w:i w:val="0"/>
          <w:iCs w:val="0"/>
        </w:rPr>
        <w:t>Clarifying RPL protocols for the existing ECEC workforce and for those wishing to re-engage with the ECEC sector to make RPL more accessible to staff.</w:t>
      </w:r>
    </w:p>
    <w:p w14:paraId="36038403" w14:textId="77777777" w:rsidR="00694586" w:rsidRPr="002127F8" w:rsidRDefault="00694586" w:rsidP="00A2332E">
      <w:pPr>
        <w:pStyle w:val="ListParagraph"/>
        <w:numPr>
          <w:ilvl w:val="0"/>
          <w:numId w:val="26"/>
        </w:numPr>
        <w:rPr>
          <w:i w:val="0"/>
          <w:iCs w:val="0"/>
        </w:rPr>
      </w:pPr>
      <w:r w:rsidRPr="002127F8">
        <w:rPr>
          <w:i w:val="0"/>
          <w:iCs w:val="0"/>
        </w:rPr>
        <w:t xml:space="preserve">Investing in ECEC training package specific toolkits which support the processing of RPL within RTOs combined with assurance of compliance with RTO Standards for RTOs offering RPL and credit transfer.  </w:t>
      </w:r>
    </w:p>
    <w:tbl>
      <w:tblPr>
        <w:tblStyle w:val="Style1"/>
        <w:tblW w:w="0" w:type="auto"/>
        <w:tblLook w:val="0620" w:firstRow="1" w:lastRow="0" w:firstColumn="0" w:lastColumn="0" w:noHBand="1" w:noVBand="1"/>
      </w:tblPr>
      <w:tblGrid>
        <w:gridCol w:w="9016"/>
      </w:tblGrid>
      <w:tr w:rsidR="00694586" w14:paraId="2A6E9586" w14:textId="77777777" w:rsidTr="005D67F5">
        <w:tc>
          <w:tcPr>
            <w:tcW w:w="9016" w:type="dxa"/>
          </w:tcPr>
          <w:p w14:paraId="3FEC42E1" w14:textId="77777777" w:rsidR="00694586" w:rsidRDefault="00694586" w:rsidP="005F6ADC">
            <w:pPr>
              <w:pStyle w:val="Source"/>
              <w:rPr>
                <w:rFonts w:eastAsiaTheme="majorEastAsia" w:cstheme="majorBidi"/>
                <w:b/>
                <w:color w:val="441170" w:themeColor="text2"/>
                <w:sz w:val="32"/>
                <w:szCs w:val="24"/>
              </w:rPr>
            </w:pPr>
            <w:r w:rsidRPr="000579BD">
              <w:rPr>
                <w:rFonts w:eastAsiaTheme="majorEastAsia" w:cstheme="majorBidi"/>
                <w:b/>
                <w:color w:val="441170" w:themeColor="text2"/>
                <w:sz w:val="32"/>
                <w:szCs w:val="24"/>
              </w:rPr>
              <w:lastRenderedPageBreak/>
              <w:t>CASE STUDY – Evidence based leadership program incorporating peer support</w:t>
            </w:r>
          </w:p>
          <w:p w14:paraId="65CE78C5" w14:textId="77777777" w:rsidR="00694586" w:rsidRPr="000579BD" w:rsidRDefault="00694586" w:rsidP="005F6ADC">
            <w:pPr>
              <w:pStyle w:val="Source"/>
              <w:rPr>
                <w:color w:val="000000" w:themeColor="text1"/>
                <w:sz w:val="22"/>
                <w:szCs w:val="22"/>
              </w:rPr>
            </w:pPr>
            <w:r w:rsidRPr="000579BD">
              <w:rPr>
                <w:color w:val="000000" w:themeColor="text1"/>
                <w:sz w:val="22"/>
                <w:szCs w:val="22"/>
              </w:rPr>
              <w:t>Introduced in 2021, From the Ground Up is an innovative six-month leadership program for educators in ELACCA member organisations which won the 2023 Australian Council of Deans of Education Excellence and Impact award. Co-designed by Queensland University of Technology (QUT) and ELACCA, the program builds and strengthens leadership skills for early-career educators and emerging and experienced leaders. There have been over 200 educators graduating across all jurisdictions in Australia, including strong representation from regional and remote areas. Facilitated by QUT academics in collaboration with ELACCA, participants work in pairs to build skills and knowledge that can be put into practice straight away. Along with leadership skills, the program builds confidence and creates connections and support networks for educators.</w:t>
            </w:r>
          </w:p>
          <w:p w14:paraId="3CFBFEE6" w14:textId="77777777" w:rsidR="00694586" w:rsidRPr="000579BD" w:rsidRDefault="00694586" w:rsidP="005F6ADC">
            <w:pPr>
              <w:rPr>
                <w:i/>
                <w:iCs/>
              </w:rPr>
            </w:pPr>
            <w:r w:rsidRPr="000579BD">
              <w:rPr>
                <w:i/>
                <w:iCs/>
              </w:rPr>
              <w:t>Additional consultation: Early Learning and Care Council of Australia (ELACCA)</w:t>
            </w:r>
          </w:p>
        </w:tc>
      </w:tr>
    </w:tbl>
    <w:p w14:paraId="6F6AF298" w14:textId="77777777" w:rsidR="00694586" w:rsidRDefault="00694586" w:rsidP="00694586">
      <w:pPr>
        <w:rPr>
          <w:lang w:eastAsia="en-AU"/>
        </w:rPr>
      </w:pPr>
    </w:p>
    <w:p w14:paraId="74E9A4E8" w14:textId="77777777" w:rsidR="00694586" w:rsidRDefault="00694586" w:rsidP="00694586">
      <w:pPr>
        <w:pStyle w:val="Heading2"/>
        <w:rPr>
          <w:lang w:eastAsia="en-AU"/>
        </w:rPr>
      </w:pPr>
      <w:bookmarkStart w:id="164" w:name="_Toc174363720"/>
      <w:r>
        <w:rPr>
          <w:lang w:eastAsia="en-AU"/>
        </w:rPr>
        <w:t>Growth in the Workplace</w:t>
      </w:r>
      <w:bookmarkEnd w:id="164"/>
    </w:p>
    <w:p w14:paraId="42684381" w14:textId="77777777" w:rsidR="00694586" w:rsidRDefault="00694586" w:rsidP="00694586">
      <w:pPr>
        <w:rPr>
          <w:rFonts w:cs="Arial"/>
        </w:rPr>
      </w:pPr>
      <w:r>
        <w:rPr>
          <w:rFonts w:cs="Arial"/>
        </w:rPr>
        <w:t xml:space="preserve">Employers have a role to play supporting their staff to undertake training, whether to achieve career advancement or for </w:t>
      </w:r>
      <w:r w:rsidRPr="0E30A0EA">
        <w:rPr>
          <w:rFonts w:cs="Arial"/>
        </w:rPr>
        <w:t xml:space="preserve">continuing </w:t>
      </w:r>
      <w:r>
        <w:rPr>
          <w:rFonts w:cs="Arial"/>
        </w:rPr>
        <w:t>professional development</w:t>
      </w:r>
      <w:r w:rsidRPr="0E30A0EA">
        <w:rPr>
          <w:rFonts w:cs="Arial"/>
        </w:rPr>
        <w:t>.</w:t>
      </w:r>
      <w:r>
        <w:rPr>
          <w:rFonts w:cs="Arial"/>
        </w:rPr>
        <w:t xml:space="preserve"> This is an important responsibility that underpins many aspects of career progression as well as for developing and improving the quality and availability of ECEC services. </w:t>
      </w:r>
    </w:p>
    <w:p w14:paraId="34F28302" w14:textId="77777777" w:rsidR="00694586" w:rsidRDefault="00694586" w:rsidP="00694586">
      <w:pPr>
        <w:rPr>
          <w:rFonts w:cs="Arial"/>
        </w:rPr>
      </w:pPr>
      <w:r>
        <w:rPr>
          <w:rFonts w:cs="Arial"/>
        </w:rPr>
        <w:t xml:space="preserve">This is an issue held in common across the education sector. </w:t>
      </w:r>
      <w:r w:rsidRPr="00DC15A8">
        <w:rPr>
          <w:rFonts w:cs="Arial"/>
        </w:rPr>
        <w:t>Various states and territories require teacher registration for ECT</w:t>
      </w:r>
      <w:r>
        <w:rPr>
          <w:rFonts w:cs="Arial"/>
        </w:rPr>
        <w:t>s,</w:t>
      </w:r>
      <w:r w:rsidRPr="00DC15A8">
        <w:rPr>
          <w:rFonts w:cs="Arial"/>
        </w:rPr>
        <w:t xml:space="preserve"> which means mandated hours of training. School teachers </w:t>
      </w:r>
      <w:r>
        <w:rPr>
          <w:rFonts w:cs="Arial"/>
        </w:rPr>
        <w:t>receive</w:t>
      </w:r>
      <w:r w:rsidRPr="00DC15A8">
        <w:rPr>
          <w:rFonts w:cs="Arial"/>
        </w:rPr>
        <w:t xml:space="preserve"> employer funded professional development </w:t>
      </w:r>
      <w:r>
        <w:rPr>
          <w:rFonts w:cs="Arial"/>
        </w:rPr>
        <w:t>to which</w:t>
      </w:r>
      <w:r w:rsidRPr="00DC15A8">
        <w:rPr>
          <w:rFonts w:cs="Arial"/>
        </w:rPr>
        <w:t xml:space="preserve"> most ECTs do not routinely </w:t>
      </w:r>
      <w:r>
        <w:rPr>
          <w:rFonts w:cs="Arial"/>
        </w:rPr>
        <w:t>have access</w:t>
      </w:r>
      <w:r w:rsidRPr="00DC15A8">
        <w:rPr>
          <w:rFonts w:cs="Arial"/>
        </w:rPr>
        <w:t>.</w:t>
      </w:r>
      <w:r>
        <w:rPr>
          <w:rFonts w:cs="Arial"/>
        </w:rPr>
        <w:t xml:space="preserve"> </w:t>
      </w:r>
    </w:p>
    <w:p w14:paraId="5698A0B8" w14:textId="77777777" w:rsidR="00694586" w:rsidRDefault="00694586" w:rsidP="00694586">
      <w:pPr>
        <w:rPr>
          <w:rFonts w:cs="Arial"/>
        </w:rPr>
      </w:pPr>
      <w:r w:rsidRPr="71E78D24">
        <w:rPr>
          <w:rFonts w:cs="Arial"/>
        </w:rPr>
        <w:t xml:space="preserve">Although ECTs are not benefiting from some of the resources available to teachers, there are indications that ECEC providers contribute to staff training, particularly for NQF relevant qualifications and this is a key focus of </w:t>
      </w:r>
      <w:r w:rsidRPr="71E78D24">
        <w:rPr>
          <w:rFonts w:cs="Arial"/>
          <w:i/>
          <w:iCs/>
        </w:rPr>
        <w:t>Shaping Our Future</w:t>
      </w:r>
      <w:r w:rsidRPr="71E78D24">
        <w:rPr>
          <w:rFonts w:cs="Arial"/>
        </w:rPr>
        <w:t xml:space="preserve"> – </w:t>
      </w:r>
      <w:r w:rsidRPr="71E78D24">
        <w:rPr>
          <w:rFonts w:cs="Arial"/>
          <w:i/>
          <w:iCs/>
        </w:rPr>
        <w:t xml:space="preserve">the </w:t>
      </w:r>
      <w:r w:rsidRPr="00FF78EC">
        <w:rPr>
          <w:rFonts w:asciiTheme="minorHAnsi" w:eastAsiaTheme="minorEastAsia" w:hAnsiTheme="minorHAnsi"/>
          <w:i/>
          <w:iCs/>
        </w:rPr>
        <w:t>National Children’s Education and Care Workforce Strategy.</w:t>
      </w:r>
      <w:r w:rsidRPr="71E78D24">
        <w:rPr>
          <w:rFonts w:cs="Arial"/>
        </w:rPr>
        <w:t> Australian Government initiatives to provide support for these organisations recognises the limited capacity service providers otherwise would have to provide this support under current funding models. </w:t>
      </w:r>
    </w:p>
    <w:p w14:paraId="385A8724" w14:textId="77777777" w:rsidR="00694586" w:rsidRDefault="00694586" w:rsidP="00694586">
      <w:pPr>
        <w:rPr>
          <w:rFonts w:cs="Arial"/>
        </w:rPr>
      </w:pPr>
      <w:r>
        <w:rPr>
          <w:rFonts w:cs="Arial"/>
        </w:rPr>
        <w:t>Feedback collected by JSA reinforces what we know about the workplace foundation to all forms of skilling and upskilling. This suggests that it is important not to rely too heavily on externally delivered training that is not well-integrated with workplace-based experience.</w:t>
      </w:r>
    </w:p>
    <w:p w14:paraId="03FF30D2" w14:textId="77777777" w:rsidR="00694586" w:rsidRPr="00331446" w:rsidRDefault="00694586" w:rsidP="00694586">
      <w:pPr>
        <w:pStyle w:val="IntenseQuote"/>
        <w:keepLines/>
        <w:ind w:left="862" w:right="862"/>
      </w:pPr>
      <w:r w:rsidRPr="00331446">
        <w:t xml:space="preserve">There's a real risk that the quality is starting to drop when those courses and the grads coming through just haven't had enough time to kind of sit learning in the industry before they’re thrown out amongst it all, and in some cases </w:t>
      </w:r>
      <w:proofErr w:type="gramStart"/>
      <w:r w:rsidRPr="00331446">
        <w:t>actually running</w:t>
      </w:r>
      <w:proofErr w:type="gramEnd"/>
      <w:r w:rsidRPr="00331446">
        <w:t xml:space="preserve"> centres due to the shortage of staff. (Consultation 3)</w:t>
      </w:r>
    </w:p>
    <w:p w14:paraId="7000995D" w14:textId="77777777" w:rsidR="00694586" w:rsidRPr="00331446" w:rsidRDefault="00694586" w:rsidP="00694586">
      <w:pPr>
        <w:pStyle w:val="IntenseQuote"/>
      </w:pPr>
      <w:r w:rsidRPr="00331446">
        <w:lastRenderedPageBreak/>
        <w:t xml:space="preserve">A more supportive workplace through increased mentoring and coaching to trainees (given staff shortages and mandated qualifications trainees are put on the floor immediately which means this increased support is essential) (Consultation 3) </w:t>
      </w:r>
    </w:p>
    <w:p w14:paraId="62088403" w14:textId="77777777" w:rsidR="00694586" w:rsidRDefault="00694586" w:rsidP="00694586">
      <w:r w:rsidRPr="00FE72C3">
        <w:t xml:space="preserve">In addition, other ECEC students also work in the sector, but not in formal traineeship programs. </w:t>
      </w:r>
      <w:r>
        <w:t xml:space="preserve">Accommodating the workplace mentoring as well as the administration and overheads for these placements places additional burdens on services. Even for trainees, the supervisory arrangements create additional workload and administration for the experienced staff within the service. </w:t>
      </w:r>
    </w:p>
    <w:p w14:paraId="7BBD5169" w14:textId="77777777" w:rsidR="00694586" w:rsidRPr="00FE72C3" w:rsidRDefault="00694586" w:rsidP="00694586">
      <w:pPr>
        <w:pStyle w:val="IntenseQuote"/>
        <w:rPr>
          <w:highlight w:val="yellow"/>
        </w:rPr>
      </w:pPr>
      <w:r w:rsidRPr="00FE72C3">
        <w:t xml:space="preserve">Traineeships are a great way to encourage new entrants to the sector, but the program needs improvement. To ensure traineeships are incentivised for the trainee, wages need to be </w:t>
      </w:r>
      <w:proofErr w:type="gramStart"/>
      <w:r w:rsidRPr="00FE72C3">
        <w:t>higher</w:t>
      </w:r>
      <w:proofErr w:type="gramEnd"/>
      <w:r w:rsidRPr="00FE72C3">
        <w:t xml:space="preserve"> and completion of qualifications incentivised. For the employer, funding and support is required to ensure centre based staff can adequately supervise the trainee. Counting the trainee as in-ratio staff should only occur if supervision is guaranteed and the trainee is paid as entry level to the relevant role. (Submission 43 – Creche and Kindergarten Association)</w:t>
      </w:r>
    </w:p>
    <w:p w14:paraId="28E91FAF" w14:textId="77777777" w:rsidR="00694586" w:rsidRDefault="00694586" w:rsidP="00694586">
      <w:pPr>
        <w:rPr>
          <w:rStyle w:val="eop"/>
          <w:rFonts w:cs="Arial"/>
        </w:rPr>
      </w:pPr>
      <w:r w:rsidRPr="00B558E4">
        <w:rPr>
          <w:rStyle w:val="eop"/>
          <w:rFonts w:cs="Arial"/>
        </w:rPr>
        <w:t>However, this presents a challenge to ECEC workplaces. The recent influx of trainees is important, but since experienced staff were lost during COVID-19 lockdowns, this has also placed increased strain on senior staff who are needed to act as mentors. Mentors provide a crucial service, ‘</w:t>
      </w:r>
      <w:r w:rsidRPr="00B558E4">
        <w:t xml:space="preserve">voluntary, nonjudgmental, and collaborative partnership’ (Hanft &amp; Rush et al., 2004, p. 1) </w:t>
      </w:r>
      <w:r w:rsidRPr="00B558E4">
        <w:rPr>
          <w:rStyle w:val="eop"/>
          <w:rFonts w:cs="Arial"/>
        </w:rPr>
        <w:t>since so much of ECEC learning and development happens on the job, but they need more support to perform this role.</w:t>
      </w:r>
    </w:p>
    <w:p w14:paraId="12713DD7" w14:textId="77777777" w:rsidR="00694586" w:rsidRDefault="00694586" w:rsidP="00694586">
      <w:pPr>
        <w:pStyle w:val="IntenseQuote"/>
      </w:pPr>
      <w:r w:rsidRPr="00FE72C3">
        <w:t>Mentoring ‘on the job’ helps with this, but due to current climate of staffing shortages and lack of time for experienced staff off the floor to actively mentor less experience staff, this is exceptionally challenging to achieve. (Submission 45 – Early Learning and Care Council of Australia)</w:t>
      </w:r>
    </w:p>
    <w:p w14:paraId="1D5E1C9A" w14:textId="77777777" w:rsidR="00694586" w:rsidRPr="00705B3F" w:rsidRDefault="00694586" w:rsidP="00694586">
      <w:pPr>
        <w:rPr>
          <w:highlight w:val="yellow"/>
        </w:rPr>
      </w:pPr>
      <w:r>
        <w:t xml:space="preserve">When considering efforts to grow the workforce in balance with ensuring the safety of children and suitability of workers </w:t>
      </w:r>
      <w:proofErr w:type="gramStart"/>
      <w:r>
        <w:t>in light of</w:t>
      </w:r>
      <w:proofErr w:type="gramEnd"/>
      <w:r>
        <w:t xml:space="preserve"> the review of Child Safety Arrangements under the NQF and outcomes of the 2023 Ministerial Forum on Child Safety. The National Strategy to Prevent and Respond to Child Sexual Abuse 2021-2030 highlights the key role of organisations in providing services to children and young people in a child safe way, which includes implementing the National Principles for Child Safe Organisations and enhancing national arrangements for information sharing and awareness raising.</w:t>
      </w:r>
    </w:p>
    <w:p w14:paraId="3E7BFBF7" w14:textId="77777777" w:rsidR="00694586" w:rsidRPr="00CC64CC" w:rsidRDefault="00694586" w:rsidP="00885B2A">
      <w:pPr>
        <w:pStyle w:val="Finding"/>
        <w:keepNext/>
        <w:keepLines/>
        <w:numPr>
          <w:ilvl w:val="0"/>
          <w:numId w:val="0"/>
        </w:numPr>
      </w:pPr>
      <w:r>
        <w:lastRenderedPageBreak/>
        <w:t xml:space="preserve">Finding - </w:t>
      </w:r>
      <w:r w:rsidRPr="00442C59">
        <w:rPr>
          <w:b w:val="0"/>
          <w:bCs w:val="0"/>
        </w:rPr>
        <w:t>Many new ECEC educators are working towards qualifications. It helps the sector to count these workers in compliance with regulatory requirements. However, this may place some in senior positions without sufficient preparation.</w:t>
      </w:r>
    </w:p>
    <w:p w14:paraId="357DF92A" w14:textId="77777777" w:rsidR="00694586" w:rsidRPr="00482592" w:rsidRDefault="00694586" w:rsidP="00694586">
      <w:pPr>
        <w:ind w:left="720"/>
      </w:pPr>
      <w:r w:rsidRPr="00482592">
        <w:rPr>
          <w:b/>
          <w:bCs/>
        </w:rPr>
        <w:t>Recommendation</w:t>
      </w:r>
      <w:r>
        <w:rPr>
          <w:b/>
          <w:bCs/>
        </w:rPr>
        <w:t xml:space="preserve"> -</w:t>
      </w:r>
      <w:r w:rsidRPr="00E32B48">
        <w:t xml:space="preserve"> Provide</w:t>
      </w:r>
      <w:r w:rsidRPr="009A7519">
        <w:t xml:space="preserve"> advice – and establish a link to support the provision of – guidance to education and training providers around satisfactory progress to support ECEC service-based assessment of staff meeting working towards requirements.</w:t>
      </w:r>
    </w:p>
    <w:p w14:paraId="3CCC9035" w14:textId="77777777" w:rsidR="00694586" w:rsidRDefault="00694586" w:rsidP="00694586">
      <w:pPr>
        <w:ind w:left="720"/>
      </w:pPr>
      <w:r w:rsidRPr="00482592">
        <w:rPr>
          <w:b/>
          <w:bCs/>
        </w:rPr>
        <w:t>Recommendation</w:t>
      </w:r>
      <w:r>
        <w:rPr>
          <w:b/>
          <w:bCs/>
        </w:rPr>
        <w:t xml:space="preserve"> -</w:t>
      </w:r>
      <w:r w:rsidRPr="00482592">
        <w:t xml:space="preserve"> </w:t>
      </w:r>
      <w:r w:rsidRPr="00E32B48">
        <w:t xml:space="preserve">Employers </w:t>
      </w:r>
      <w:r w:rsidRPr="005D1068">
        <w:t xml:space="preserve">to allow for ongoing professional development for all staff through investigating the impact of closure days or paid backfill. This includes for meeting compliance requirements including medical training such as First Aid, CPR, Anaphylaxis and support to facilitate child safety. Also consider the funding of professional support coordinators with remit to </w:t>
      </w:r>
      <w:proofErr w:type="gramStart"/>
      <w:r w:rsidRPr="005D1068">
        <w:t>take into account</w:t>
      </w:r>
      <w:proofErr w:type="gramEnd"/>
      <w:r w:rsidRPr="005D1068">
        <w:t xml:space="preserve"> specific community and regional needs.</w:t>
      </w:r>
    </w:p>
    <w:tbl>
      <w:tblPr>
        <w:tblStyle w:val="Style1"/>
        <w:tblW w:w="0" w:type="auto"/>
        <w:tblLook w:val="0620" w:firstRow="1" w:lastRow="0" w:firstColumn="0" w:lastColumn="0" w:noHBand="1" w:noVBand="1"/>
      </w:tblPr>
      <w:tblGrid>
        <w:gridCol w:w="9016"/>
      </w:tblGrid>
      <w:tr w:rsidR="00694586" w14:paraId="520F1F66" w14:textId="77777777" w:rsidTr="005D67F5">
        <w:tc>
          <w:tcPr>
            <w:tcW w:w="9016" w:type="dxa"/>
          </w:tcPr>
          <w:p w14:paraId="0EC513D4" w14:textId="77777777" w:rsidR="00694586" w:rsidRDefault="00694586" w:rsidP="005F6ADC">
            <w:pPr>
              <w:pStyle w:val="Source"/>
              <w:rPr>
                <w:rFonts w:eastAsiaTheme="majorEastAsia" w:cstheme="majorBidi"/>
                <w:b/>
                <w:color w:val="441170" w:themeColor="text2"/>
                <w:sz w:val="32"/>
                <w:szCs w:val="24"/>
              </w:rPr>
            </w:pPr>
            <w:r w:rsidRPr="000579BD">
              <w:rPr>
                <w:rFonts w:eastAsiaTheme="majorEastAsia" w:cstheme="majorBidi"/>
                <w:b/>
                <w:color w:val="441170" w:themeColor="text2"/>
                <w:sz w:val="32"/>
                <w:szCs w:val="24"/>
              </w:rPr>
              <w:t>CASE STUDY – Professional Development support for In Home Care Educators</w:t>
            </w:r>
          </w:p>
          <w:p w14:paraId="399665F0" w14:textId="77777777" w:rsidR="00694586" w:rsidRPr="000579BD" w:rsidRDefault="00694586" w:rsidP="005F6ADC">
            <w:pPr>
              <w:pStyle w:val="Source"/>
              <w:rPr>
                <w:color w:val="000000" w:themeColor="text1"/>
                <w:sz w:val="22"/>
                <w:szCs w:val="22"/>
              </w:rPr>
            </w:pPr>
            <w:r w:rsidRPr="000579BD">
              <w:rPr>
                <w:color w:val="000000" w:themeColor="text1"/>
                <w:sz w:val="22"/>
                <w:szCs w:val="22"/>
              </w:rPr>
              <w:t>The Professional Development Subsidy, established by the Federal Department of Education in 2023, was made accessible to In Home Care Providers for all early childhood educators. This enabled IHC Educators to receive payment for their time taken to complete professional development and mandatory certification such as first aid, asthma and allergies management, child protection and mandatory reporting requirements, food handling and hygiene. The subsidy has been successful in supporting a cohort of specialised educators providing care to children with complex and challenging needs, providing them with the recognition of their important work and the ongoing development of their skills and education.</w:t>
            </w:r>
          </w:p>
          <w:p w14:paraId="59D16B52" w14:textId="77777777" w:rsidR="00694586" w:rsidRPr="000579BD" w:rsidRDefault="00694586" w:rsidP="005F6ADC">
            <w:pPr>
              <w:rPr>
                <w:i/>
                <w:iCs/>
              </w:rPr>
            </w:pPr>
            <w:r w:rsidRPr="000579BD">
              <w:rPr>
                <w:i/>
                <w:iCs/>
              </w:rPr>
              <w:t>Additional Consultation - Australian Home Childcare Association</w:t>
            </w:r>
          </w:p>
        </w:tc>
      </w:tr>
    </w:tbl>
    <w:p w14:paraId="29347A80" w14:textId="77777777" w:rsidR="00694586" w:rsidRPr="00FE72C3" w:rsidRDefault="00694586" w:rsidP="00694586"/>
    <w:p w14:paraId="5D4C504C" w14:textId="77777777" w:rsidR="00694586" w:rsidRDefault="00694586" w:rsidP="00694586">
      <w:pPr>
        <w:pStyle w:val="Heading2"/>
        <w:rPr>
          <w:lang w:eastAsia="en-AU"/>
        </w:rPr>
      </w:pPr>
      <w:bookmarkStart w:id="165" w:name="_Toc174363721"/>
      <w:r w:rsidRPr="000E6602">
        <w:t>Summary</w:t>
      </w:r>
      <w:bookmarkEnd w:id="165"/>
    </w:p>
    <w:p w14:paraId="53B15E9B" w14:textId="77777777" w:rsidR="00694586" w:rsidRPr="00A154CC" w:rsidRDefault="00694586" w:rsidP="00694586">
      <w:r>
        <w:t>This chapter draws on the material presented in previous chapters to consider and present this study's finding and recommendations on the learning and development needs of the ECEC sector. As an applied vocation, ECEC has an interest in developing tools and mechanisms for sharing quality practices and ensuring the Certificate III and Diploma programs</w:t>
      </w:r>
      <w:proofErr w:type="gramStart"/>
      <w:r>
        <w:t>, in particular, are</w:t>
      </w:r>
      <w:proofErr w:type="gramEnd"/>
      <w:r>
        <w:t xml:space="preserve"> fit for purpose. Support for learning for international students, for all students during placements and that makes formal spaces for continuing professional development are important. Similarly, many educators entering ECEC have substantial valuable prior learning experiences that are not currently being recognised in their training pathways. First Nations content needs to be better incorporated into all curricula and cultural safety in all forms of learning and development continually fostered.</w:t>
      </w:r>
    </w:p>
    <w:p w14:paraId="6F5B9E9A" w14:textId="77777777" w:rsidR="00442C59" w:rsidRDefault="00442C59" w:rsidP="00C17D9C">
      <w:pPr>
        <w:sectPr w:rsidR="00442C59" w:rsidSect="00BC4F9A">
          <w:headerReference w:type="default" r:id="rId136"/>
          <w:endnotePr>
            <w:numFmt w:val="decimal"/>
          </w:endnotePr>
          <w:pgSz w:w="11906" w:h="16838" w:code="9"/>
          <w:pgMar w:top="1440" w:right="1440" w:bottom="1440" w:left="1440" w:header="0" w:footer="709" w:gutter="0"/>
          <w:cols w:space="708"/>
          <w:docGrid w:linePitch="360"/>
        </w:sectPr>
      </w:pPr>
    </w:p>
    <w:p w14:paraId="0230DEB8" w14:textId="77777777" w:rsidR="00442C59" w:rsidRPr="007A28F6" w:rsidRDefault="00442C59" w:rsidP="00442C59">
      <w:pPr>
        <w:pStyle w:val="Heading1"/>
      </w:pPr>
      <w:bookmarkStart w:id="166" w:name="_Toc174363722"/>
      <w:r>
        <w:rPr>
          <w:noProof/>
        </w:rPr>
        <w:lastRenderedPageBreak/>
        <w:drawing>
          <wp:anchor distT="0" distB="0" distL="114300" distR="114300" simplePos="0" relativeHeight="251687939" behindDoc="0" locked="0" layoutInCell="1" allowOverlap="1" wp14:anchorId="0F835005" wp14:editId="3BA19640">
            <wp:simplePos x="0" y="0"/>
            <wp:positionH relativeFrom="page">
              <wp:align>left</wp:align>
            </wp:positionH>
            <wp:positionV relativeFrom="page">
              <wp:align>top</wp:align>
            </wp:positionV>
            <wp:extent cx="7560000" cy="10692000"/>
            <wp:effectExtent l="0" t="0" r="3175" b="0"/>
            <wp:wrapNone/>
            <wp:docPr id="105118069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180696" name="Picture 1">
                      <a:extLst>
                        <a:ext uri="{C183D7F6-B498-43B3-948B-1728B52AA6E4}">
                          <adec:decorative xmlns:adec="http://schemas.microsoft.com/office/drawing/2017/decorative" val="1"/>
                        </a:ext>
                      </a:extLst>
                    </pic:cNvPr>
                    <pic:cNvPicPr/>
                  </pic:nvPicPr>
                  <pic:blipFill>
                    <a:blip r:embed="rId137">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r w:rsidRPr="007A28F6">
        <w:rPr>
          <w:noProof/>
        </w:rPr>
        <w:t>Chapter 6: Strong Foundations for Rewarding ECEC Careers</w:t>
      </w:r>
      <w:bookmarkEnd w:id="166"/>
    </w:p>
    <w:p w14:paraId="27DCDE76" w14:textId="77777777" w:rsidR="00442C59" w:rsidRPr="007A1E26" w:rsidRDefault="00442C59" w:rsidP="00442C59">
      <w:pPr>
        <w:spacing w:before="240" w:after="0" w:line="240" w:lineRule="auto"/>
        <w:ind w:left="283"/>
        <w:rPr>
          <w:rFonts w:cs="Arial"/>
          <w:color w:val="FFFFFF" w:themeColor="background1"/>
          <w:sz w:val="32"/>
          <w:szCs w:val="32"/>
        </w:rPr>
      </w:pPr>
    </w:p>
    <w:p w14:paraId="5F4F0F63" w14:textId="77777777" w:rsidR="00442C59" w:rsidRDefault="00442C59" w:rsidP="00442C59">
      <w:pPr>
        <w:rPr>
          <w:rFonts w:cs="Arial"/>
        </w:rPr>
      </w:pPr>
      <w:r w:rsidRPr="00E5087D">
        <w:rPr>
          <w:color w:val="auto"/>
          <w:kern w:val="2"/>
          <w14:ligatures w14:val="standardContextual"/>
        </w:rPr>
        <w:br w:type="page"/>
      </w:r>
      <w:r w:rsidRPr="00DC0737">
        <w:rPr>
          <w:rFonts w:cs="Arial"/>
        </w:rPr>
        <w:lastRenderedPageBreak/>
        <w:t xml:space="preserve">At the core of attracting and retaining a quality ECEC workforce are the fundamentals of every job – fair pay, safe and rewarding employment conditions, a positive working environment, and the prospect of career advancement. Building a robust and adaptive ECEC sector demands attention to </w:t>
      </w:r>
      <w:proofErr w:type="gramStart"/>
      <w:r w:rsidRPr="00DC0737">
        <w:rPr>
          <w:rFonts w:cs="Arial"/>
        </w:rPr>
        <w:t>all of</w:t>
      </w:r>
      <w:proofErr w:type="gramEnd"/>
      <w:r w:rsidRPr="00DC0737">
        <w:rPr>
          <w:rFonts w:cs="Arial"/>
        </w:rPr>
        <w:t xml:space="preserve"> those factors</w:t>
      </w:r>
      <w:r>
        <w:rPr>
          <w:rFonts w:cs="Arial"/>
        </w:rPr>
        <w:t>.</w:t>
      </w:r>
      <w:r w:rsidRPr="00DC0737">
        <w:rPr>
          <w:rFonts w:cs="Arial"/>
        </w:rPr>
        <w:t xml:space="preserve"> </w:t>
      </w:r>
      <w:r>
        <w:rPr>
          <w:rFonts w:cs="Arial"/>
        </w:rPr>
        <w:t>C</w:t>
      </w:r>
      <w:r w:rsidRPr="00DC0737">
        <w:rPr>
          <w:rFonts w:cs="Arial"/>
        </w:rPr>
        <w:t xml:space="preserve">reating increased opportunity for career progression in quality work environments, including growing specialist roles </w:t>
      </w:r>
      <w:r>
        <w:rPr>
          <w:rFonts w:cs="Arial"/>
        </w:rPr>
        <w:t>to align with community needs, is also important</w:t>
      </w:r>
      <w:r w:rsidRPr="00DC0737">
        <w:rPr>
          <w:rFonts w:cs="Arial"/>
        </w:rPr>
        <w:t>. It also requires that the system be adaptive to the needs of the communities ECEC serves</w:t>
      </w:r>
      <w:r>
        <w:rPr>
          <w:rFonts w:cs="Arial"/>
        </w:rPr>
        <w:t xml:space="preserve"> and to accommodate the unique learning and development needs each child </w:t>
      </w:r>
      <w:proofErr w:type="gramStart"/>
      <w:r>
        <w:rPr>
          <w:rFonts w:cs="Arial"/>
        </w:rPr>
        <w:t>has to</w:t>
      </w:r>
      <w:proofErr w:type="gramEnd"/>
      <w:r>
        <w:rPr>
          <w:rFonts w:cs="Arial"/>
        </w:rPr>
        <w:t xml:space="preserve"> thrive within ECEC.</w:t>
      </w:r>
      <w:r w:rsidRPr="00DC0737">
        <w:rPr>
          <w:rFonts w:cs="Arial"/>
        </w:rPr>
        <w:t xml:space="preserve"> Ensuring careers are developed in ways that are flexible, </w:t>
      </w:r>
      <w:r>
        <w:rPr>
          <w:rFonts w:cs="Arial"/>
        </w:rPr>
        <w:t>while at the same time</w:t>
      </w:r>
      <w:r w:rsidRPr="00DC0737">
        <w:rPr>
          <w:rFonts w:cs="Arial"/>
        </w:rPr>
        <w:t xml:space="preserve"> offering structures that help scaffold career goals and opportunities, is a key challenge for the sector.  </w:t>
      </w:r>
    </w:p>
    <w:p w14:paraId="770E347C" w14:textId="77777777" w:rsidR="00442C59" w:rsidRPr="00F40C08" w:rsidRDefault="00442C59" w:rsidP="00442C59">
      <w:pPr>
        <w:rPr>
          <w:rFonts w:eastAsia="Arial" w:cs="Arial"/>
        </w:rPr>
      </w:pPr>
      <w:r w:rsidRPr="1DF164F6">
        <w:rPr>
          <w:rFonts w:eastAsia="Arial" w:cs="Arial"/>
        </w:rPr>
        <w:t xml:space="preserve">As in many other occupations, ECEC educators hold intrinsic motivations </w:t>
      </w:r>
      <w:r>
        <w:rPr>
          <w:rFonts w:eastAsia="Arial" w:cs="Arial"/>
        </w:rPr>
        <w:t xml:space="preserve">which may draw them to work in the sector, </w:t>
      </w:r>
      <w:r w:rsidRPr="1DF164F6">
        <w:rPr>
          <w:rFonts w:eastAsia="Arial" w:cs="Arial"/>
        </w:rPr>
        <w:t xml:space="preserve">such as a passion for children’s learning and development. It is important that these are valued and nurtured in workplaces. However, decades of research on work motivation and performance show that such important intrinsic values do not override the significance of factors such as pay and working conditions. Attracting and retaining ECEC staff at all levels and across the sector, particularly </w:t>
      </w:r>
      <w:r>
        <w:rPr>
          <w:rFonts w:eastAsia="Arial" w:cs="Arial"/>
        </w:rPr>
        <w:t>as</w:t>
      </w:r>
      <w:r w:rsidRPr="1DF164F6">
        <w:rPr>
          <w:rFonts w:eastAsia="Arial" w:cs="Arial"/>
        </w:rPr>
        <w:t xml:space="preserve"> it competes with other sectors for labour</w:t>
      </w:r>
      <w:r>
        <w:rPr>
          <w:rFonts w:eastAsia="Arial" w:cs="Arial"/>
        </w:rPr>
        <w:t xml:space="preserve"> within a tight labour market</w:t>
      </w:r>
      <w:r w:rsidRPr="1DF164F6">
        <w:rPr>
          <w:rFonts w:eastAsia="Arial" w:cs="Arial"/>
        </w:rPr>
        <w:t>, requires a framework that will fulfil both kinds of motivations</w:t>
      </w:r>
      <w:r>
        <w:rPr>
          <w:rFonts w:eastAsia="Arial" w:cs="Arial"/>
        </w:rPr>
        <w:t>. The framework should also</w:t>
      </w:r>
      <w:r w:rsidRPr="1DF164F6">
        <w:rPr>
          <w:rFonts w:eastAsia="Arial" w:cs="Arial"/>
        </w:rPr>
        <w:t xml:space="preserve"> recognis</w:t>
      </w:r>
      <w:r>
        <w:rPr>
          <w:rFonts w:eastAsia="Arial" w:cs="Arial"/>
        </w:rPr>
        <w:t>e</w:t>
      </w:r>
      <w:r w:rsidRPr="1DF164F6">
        <w:rPr>
          <w:rFonts w:eastAsia="Arial" w:cs="Arial"/>
        </w:rPr>
        <w:t xml:space="preserve"> that the extent of either type of motivation will vary from person to </w:t>
      </w:r>
      <w:proofErr w:type="gramStart"/>
      <w:r w:rsidRPr="1DF164F6">
        <w:rPr>
          <w:rFonts w:eastAsia="Arial" w:cs="Arial"/>
        </w:rPr>
        <w:t>person, and</w:t>
      </w:r>
      <w:proofErr w:type="gramEnd"/>
      <w:r w:rsidRPr="1DF164F6">
        <w:rPr>
          <w:rFonts w:eastAsia="Arial" w:cs="Arial"/>
        </w:rPr>
        <w:t xml:space="preserve"> </w:t>
      </w:r>
      <w:r>
        <w:rPr>
          <w:rFonts w:eastAsia="Arial" w:cs="Arial"/>
        </w:rPr>
        <w:t xml:space="preserve">may also vary over time as individual </w:t>
      </w:r>
      <w:r w:rsidRPr="1DF164F6">
        <w:rPr>
          <w:rFonts w:eastAsia="Arial" w:cs="Arial"/>
        </w:rPr>
        <w:t>circumstances change</w:t>
      </w:r>
      <w:r>
        <w:rPr>
          <w:rFonts w:eastAsia="Arial" w:cs="Arial"/>
        </w:rPr>
        <w:t>.</w:t>
      </w:r>
      <w:r w:rsidRPr="1DF164F6">
        <w:rPr>
          <w:rFonts w:eastAsia="Arial" w:cs="Arial"/>
        </w:rPr>
        <w:t xml:space="preserve"> </w:t>
      </w:r>
    </w:p>
    <w:p w14:paraId="77006BFC" w14:textId="77777777" w:rsidR="00442C59" w:rsidRPr="00F428AA" w:rsidRDefault="00442C59" w:rsidP="00442C59">
      <w:pPr>
        <w:pStyle w:val="IntenseQuote"/>
      </w:pPr>
      <w:r w:rsidRPr="00F428AA">
        <w:t>Educators do not work in isolation, their working life is an intricate set of interactions within complex organisations and cultures (McKinlay et al., 2022).</w:t>
      </w:r>
    </w:p>
    <w:p w14:paraId="663B94F6" w14:textId="77777777" w:rsidR="00442C59" w:rsidRPr="00DC0737" w:rsidRDefault="00442C59" w:rsidP="00442C59">
      <w:pPr>
        <w:rPr>
          <w:rFonts w:cs="Arial"/>
        </w:rPr>
      </w:pPr>
      <w:bookmarkStart w:id="167" w:name="_Toc162960683"/>
      <w:r w:rsidRPr="193B3D6C">
        <w:rPr>
          <w:rFonts w:cs="Arial"/>
        </w:rPr>
        <w:t>This chapter examines</w:t>
      </w:r>
      <w:r>
        <w:rPr>
          <w:rFonts w:cs="Arial"/>
        </w:rPr>
        <w:t>:</w:t>
      </w:r>
      <w:r w:rsidRPr="193B3D6C">
        <w:rPr>
          <w:rFonts w:cs="Arial"/>
        </w:rPr>
        <w:t xml:space="preserve"> </w:t>
      </w:r>
    </w:p>
    <w:p w14:paraId="16CE894C" w14:textId="77777777" w:rsidR="00442C59" w:rsidRPr="00DC0737" w:rsidRDefault="00442C59" w:rsidP="00442C59">
      <w:pPr>
        <w:pStyle w:val="ListBullet"/>
        <w:rPr>
          <w:rFonts w:cs="Arial"/>
          <w:szCs w:val="22"/>
        </w:rPr>
      </w:pPr>
      <w:r w:rsidRPr="193B3D6C">
        <w:rPr>
          <w:rFonts w:cs="Arial"/>
          <w:szCs w:val="22"/>
        </w:rPr>
        <w:t xml:space="preserve">aspects of extrinsic foundations for pursuing </w:t>
      </w:r>
      <w:r>
        <w:rPr>
          <w:rFonts w:cs="Arial"/>
          <w:szCs w:val="22"/>
        </w:rPr>
        <w:t xml:space="preserve">a career in </w:t>
      </w:r>
      <w:r w:rsidRPr="193B3D6C">
        <w:rPr>
          <w:rFonts w:cs="Arial"/>
          <w:szCs w:val="22"/>
        </w:rPr>
        <w:t xml:space="preserve">ECEC, including wages, working hours, travel to work time, job security and flexibility, and the rewards attached to levels of education. </w:t>
      </w:r>
    </w:p>
    <w:p w14:paraId="0C75D99E" w14:textId="77777777" w:rsidR="00442C59" w:rsidRPr="00DC0737" w:rsidRDefault="00442C59" w:rsidP="00442C59">
      <w:pPr>
        <w:pStyle w:val="ListBullet"/>
        <w:rPr>
          <w:rFonts w:eastAsia="Arial" w:cs="Arial"/>
          <w:lang w:eastAsia="en-AU"/>
        </w:rPr>
      </w:pPr>
      <w:proofErr w:type="gramStart"/>
      <w:r w:rsidRPr="193B3D6C">
        <w:rPr>
          <w:rFonts w:cs="Arial"/>
          <w:szCs w:val="22"/>
        </w:rPr>
        <w:t>particular scopes</w:t>
      </w:r>
      <w:proofErr w:type="gramEnd"/>
      <w:r w:rsidRPr="193B3D6C">
        <w:rPr>
          <w:rFonts w:cs="Arial"/>
          <w:szCs w:val="22"/>
        </w:rPr>
        <w:t xml:space="preserve"> of practice, drawing together observations from Chapter 5 on the educational settings for ECEC with factors influencing ECEC careers.</w:t>
      </w:r>
    </w:p>
    <w:p w14:paraId="202A2DEF" w14:textId="77777777" w:rsidR="00442C59" w:rsidRPr="00DC0737" w:rsidRDefault="00442C59" w:rsidP="00442C59">
      <w:pPr>
        <w:pStyle w:val="ListBullet"/>
        <w:rPr>
          <w:rFonts w:cs="Arial"/>
        </w:rPr>
      </w:pPr>
      <w:r w:rsidRPr="193B3D6C">
        <w:rPr>
          <w:rFonts w:cs="Arial"/>
          <w:szCs w:val="22"/>
        </w:rPr>
        <w:t>intrinsic motivations</w:t>
      </w:r>
      <w:r>
        <w:rPr>
          <w:rFonts w:cs="Arial"/>
          <w:szCs w:val="22"/>
        </w:rPr>
        <w:t>, including</w:t>
      </w:r>
      <w:r w:rsidRPr="193B3D6C">
        <w:rPr>
          <w:rFonts w:cs="Arial"/>
          <w:szCs w:val="22"/>
        </w:rPr>
        <w:t xml:space="preserve"> connections between career structure rewards and the values educators bring to their work, barriers to job satisfaction</w:t>
      </w:r>
      <w:r>
        <w:rPr>
          <w:rFonts w:cs="Arial"/>
          <w:szCs w:val="22"/>
        </w:rPr>
        <w:t xml:space="preserve"> (</w:t>
      </w:r>
      <w:r w:rsidRPr="193B3D6C">
        <w:rPr>
          <w:rFonts w:cs="Arial"/>
          <w:szCs w:val="22"/>
        </w:rPr>
        <w:t>particularly burnout</w:t>
      </w:r>
      <w:r>
        <w:rPr>
          <w:rFonts w:cs="Arial"/>
          <w:szCs w:val="22"/>
        </w:rPr>
        <w:t>)</w:t>
      </w:r>
      <w:r w:rsidRPr="193B3D6C">
        <w:rPr>
          <w:rFonts w:cs="Arial"/>
          <w:szCs w:val="22"/>
        </w:rPr>
        <w:t>, inadequate staffing and overload from administrative burden.</w:t>
      </w:r>
    </w:p>
    <w:p w14:paraId="0D30F1C2" w14:textId="77777777" w:rsidR="00442C59" w:rsidRPr="00DC0737" w:rsidRDefault="00442C59" w:rsidP="00442C59">
      <w:pPr>
        <w:rPr>
          <w:rFonts w:cs="Arial"/>
        </w:rPr>
      </w:pPr>
      <w:r w:rsidRPr="193B3D6C">
        <w:rPr>
          <w:rFonts w:cs="Arial"/>
        </w:rPr>
        <w:t xml:space="preserve">Central to these issues is emotion work and emotional labour, which contribute on one hand to job satisfaction and to burnout on the other hand. Intrinsic motivations are also entangled with community values and expectations about the ‘correct’ way to care for and educate children, specific community and child needs and cultural safety. These values include ECEC’s status in the community, which influences recruitment and retention in the sector. </w:t>
      </w:r>
    </w:p>
    <w:p w14:paraId="29B76157" w14:textId="77777777" w:rsidR="00442C59" w:rsidRPr="00EC0F5C" w:rsidRDefault="00442C59" w:rsidP="00442C59">
      <w:pPr>
        <w:pStyle w:val="Heading2"/>
        <w:rPr>
          <w:rFonts w:eastAsia="Arial" w:cs="Arial"/>
          <w:sz w:val="32"/>
        </w:rPr>
      </w:pPr>
      <w:bookmarkStart w:id="168" w:name="_Toc174363723"/>
      <w:bookmarkEnd w:id="167"/>
      <w:r w:rsidRPr="193B3D6C">
        <w:rPr>
          <w:rFonts w:eastAsia="Arial" w:cs="Arial"/>
        </w:rPr>
        <w:lastRenderedPageBreak/>
        <w:t>Pay, Security and Time</w:t>
      </w:r>
      <w:bookmarkEnd w:id="168"/>
      <w:r w:rsidRPr="193B3D6C">
        <w:rPr>
          <w:rFonts w:eastAsia="Arial" w:cs="Arial"/>
        </w:rPr>
        <w:t xml:space="preserve"> </w:t>
      </w:r>
    </w:p>
    <w:p w14:paraId="7B1E137B" w14:textId="77777777" w:rsidR="00442C59" w:rsidRPr="001C3847" w:rsidRDefault="00442C59" w:rsidP="00442C59">
      <w:pPr>
        <w:pStyle w:val="Heading3"/>
        <w:rPr>
          <w:rStyle w:val="eop"/>
          <w:rFonts w:eastAsia="Arial" w:cs="Arial"/>
        </w:rPr>
      </w:pPr>
      <w:bookmarkStart w:id="169" w:name="_Toc162960684"/>
      <w:r w:rsidRPr="4709D2E0">
        <w:rPr>
          <w:rFonts w:eastAsia="Arial" w:cs="Arial"/>
        </w:rPr>
        <w:t xml:space="preserve">Employment </w:t>
      </w:r>
      <w:bookmarkEnd w:id="169"/>
      <w:r>
        <w:rPr>
          <w:rFonts w:eastAsia="Arial" w:cs="Arial"/>
        </w:rPr>
        <w:t>C</w:t>
      </w:r>
      <w:r w:rsidRPr="4709D2E0">
        <w:rPr>
          <w:rFonts w:eastAsia="Arial" w:cs="Arial"/>
        </w:rPr>
        <w:t>onditions</w:t>
      </w:r>
      <w:r w:rsidRPr="4709D2E0">
        <w:rPr>
          <w:rStyle w:val="eop"/>
          <w:rFonts w:eastAsia="Arial" w:cs="Arial"/>
        </w:rPr>
        <w:t> </w:t>
      </w:r>
    </w:p>
    <w:p w14:paraId="4BDE3D75" w14:textId="77777777" w:rsidR="00442C59" w:rsidRDefault="00442C59" w:rsidP="00442C59">
      <w:pPr>
        <w:rPr>
          <w:rFonts w:eastAsia="Arial" w:cs="Arial"/>
        </w:rPr>
      </w:pPr>
      <w:r w:rsidRPr="4709D2E0">
        <w:rPr>
          <w:rFonts w:eastAsia="Arial" w:cs="Arial"/>
        </w:rPr>
        <w:t xml:space="preserve">The previous chapters of this report have shown that ECEC staff are sensitive to employment conditions. The flow of labour from ECEC to related fields with higher pay, </w:t>
      </w:r>
      <w:r>
        <w:rPr>
          <w:rFonts w:eastAsia="Arial" w:cs="Arial"/>
        </w:rPr>
        <w:t xml:space="preserve">less strain in the workplace </w:t>
      </w:r>
      <w:r w:rsidRPr="4709D2E0">
        <w:rPr>
          <w:rFonts w:eastAsia="Arial" w:cs="Arial"/>
        </w:rPr>
        <w:t>or less travel time to get to work exposes the centrality of employment conditions to recruitment and retention in ECEC.</w:t>
      </w:r>
      <w:r>
        <w:rPr>
          <w:rFonts w:eastAsia="Arial" w:cs="Arial"/>
        </w:rPr>
        <w:t xml:space="preserve"> </w:t>
      </w:r>
    </w:p>
    <w:p w14:paraId="27E8A160" w14:textId="77777777" w:rsidR="00442C59" w:rsidRPr="0027009F" w:rsidRDefault="00442C59" w:rsidP="00442C59">
      <w:pPr>
        <w:pStyle w:val="Heading4"/>
        <w:rPr>
          <w:rFonts w:eastAsia="Arial"/>
        </w:rPr>
      </w:pPr>
      <w:r w:rsidRPr="4709D2E0">
        <w:rPr>
          <w:rFonts w:eastAsia="Arial"/>
        </w:rPr>
        <w:t>Wages</w:t>
      </w:r>
    </w:p>
    <w:p w14:paraId="22839A9F" w14:textId="77777777" w:rsidR="00442C59" w:rsidRDefault="00442C59" w:rsidP="00442C59">
      <w:pPr>
        <w:rPr>
          <w:rFonts w:eastAsia="Arial" w:cs="Arial"/>
        </w:rPr>
      </w:pPr>
      <w:r w:rsidRPr="1F1BCDDF">
        <w:rPr>
          <w:rFonts w:eastAsia="Arial" w:cs="Arial"/>
        </w:rPr>
        <w:t xml:space="preserve">ECEC wages are low relative to other sectors: average weekly ordinary time earnings are more than $622 lower than the average for the workforce, </w:t>
      </w:r>
      <w:r>
        <w:rPr>
          <w:rFonts w:eastAsia="Arial" w:cs="Arial"/>
        </w:rPr>
        <w:t xml:space="preserve">and </w:t>
      </w:r>
      <w:r w:rsidRPr="1F1BCDDF">
        <w:rPr>
          <w:rFonts w:eastAsia="Arial" w:cs="Arial"/>
        </w:rPr>
        <w:t xml:space="preserve">more than $680 lower for the majority of ECEC staff working in </w:t>
      </w:r>
      <w:r>
        <w:rPr>
          <w:rFonts w:eastAsia="Arial" w:cs="Arial"/>
        </w:rPr>
        <w:t xml:space="preserve">the </w:t>
      </w:r>
      <w:r w:rsidRPr="1F1BCDDF">
        <w:rPr>
          <w:rFonts w:eastAsia="Arial" w:cs="Arial"/>
          <w:i/>
          <w:iCs/>
        </w:rPr>
        <w:t xml:space="preserve">Child Carer </w:t>
      </w:r>
      <w:r>
        <w:rPr>
          <w:rFonts w:eastAsia="Arial" w:cs="Arial"/>
        </w:rPr>
        <w:t>occupation classification</w:t>
      </w:r>
      <w:r w:rsidRPr="1F1BCDDF">
        <w:rPr>
          <w:rFonts w:eastAsia="Arial" w:cs="Arial"/>
        </w:rPr>
        <w:t xml:space="preserve">. Given the education requirements for ECEC roles, these low wages act as a disincentive to entry and are a cause of attrition. </w:t>
      </w:r>
    </w:p>
    <w:p w14:paraId="2DCF88D3" w14:textId="77777777" w:rsidR="00442C59" w:rsidRPr="00C06F2E" w:rsidRDefault="00442C59" w:rsidP="00442C59">
      <w:pPr>
        <w:pStyle w:val="IntenseQuote"/>
        <w:rPr>
          <w:rFonts w:eastAsia="Arial" w:cs="Arial"/>
        </w:rPr>
      </w:pPr>
      <w:r w:rsidRPr="193B3D6C">
        <w:rPr>
          <w:rFonts w:eastAsia="Arial" w:cs="Arial"/>
        </w:rPr>
        <w:t xml:space="preserve">It is important to note that pay and conditions for Certificate III and Diploma graduates are poor. This is accentuated given it is a highly gender biased workforce. </w:t>
      </w:r>
      <w:proofErr w:type="gramStart"/>
      <w:r w:rsidRPr="193B3D6C">
        <w:rPr>
          <w:rFonts w:eastAsia="Arial" w:cs="Arial"/>
        </w:rPr>
        <w:t>Thus</w:t>
      </w:r>
      <w:proofErr w:type="gramEnd"/>
      <w:r w:rsidRPr="193B3D6C">
        <w:rPr>
          <w:rFonts w:eastAsia="Arial" w:cs="Arial"/>
        </w:rPr>
        <w:t xml:space="preserve"> attraction and retention become problems when competing industries such as primary education are far better remunerated with better opportunities for career progression. (Submission 51 – A peak workforce development body)</w:t>
      </w:r>
    </w:p>
    <w:p w14:paraId="0DC0CFF0" w14:textId="77777777" w:rsidR="00442C59" w:rsidRDefault="00442C59" w:rsidP="00442C59">
      <w:pPr>
        <w:rPr>
          <w:rFonts w:eastAsia="Arial" w:cs="Arial"/>
        </w:rPr>
      </w:pPr>
      <w:r w:rsidRPr="008425C0">
        <w:rPr>
          <w:rFonts w:eastAsia="Arial" w:cs="Arial"/>
        </w:rPr>
        <w:t xml:space="preserve">Incomes for ECEC roles at different levels are also relatively flat, meaning that pay increases are not commensurate with the effort required to complete further study, take </w:t>
      </w:r>
      <w:r>
        <w:rPr>
          <w:rFonts w:eastAsia="Arial" w:cs="Arial"/>
        </w:rPr>
        <w:t xml:space="preserve">on </w:t>
      </w:r>
      <w:r w:rsidRPr="008425C0">
        <w:rPr>
          <w:rFonts w:eastAsia="Arial" w:cs="Arial"/>
        </w:rPr>
        <w:t>additional responsibilities, or seek specialised roles</w:t>
      </w:r>
      <w:r>
        <w:rPr>
          <w:rFonts w:eastAsia="Arial" w:cs="Arial"/>
        </w:rPr>
        <w:t xml:space="preserve"> (s</w:t>
      </w:r>
      <w:r w:rsidRPr="008425C0">
        <w:rPr>
          <w:rFonts w:eastAsia="Arial" w:cs="Arial"/>
        </w:rPr>
        <w:t xml:space="preserve">ee </w:t>
      </w:r>
      <w:r>
        <w:rPr>
          <w:rFonts w:eastAsia="Arial" w:cs="Arial"/>
        </w:rPr>
        <w:t xml:space="preserve">Table 2.5 within </w:t>
      </w:r>
      <w:r w:rsidRPr="008425C0">
        <w:rPr>
          <w:rFonts w:eastAsia="Arial" w:cs="Arial"/>
        </w:rPr>
        <w:t>Chapter 2</w:t>
      </w:r>
      <w:r>
        <w:rPr>
          <w:rFonts w:eastAsia="Arial" w:cs="Arial"/>
        </w:rPr>
        <w:t xml:space="preserve">). </w:t>
      </w:r>
    </w:p>
    <w:p w14:paraId="38F5D007" w14:textId="77777777" w:rsidR="00442C59" w:rsidRDefault="00442C59" w:rsidP="00442C59">
      <w:pPr>
        <w:rPr>
          <w:rFonts w:eastAsia="Arial" w:cs="Arial"/>
        </w:rPr>
      </w:pPr>
      <w:r w:rsidRPr="1882A426">
        <w:rPr>
          <w:rFonts w:eastAsia="Arial" w:cs="Arial"/>
        </w:rPr>
        <w:t>Frequent changes in legislation, the levels of award coverage and limited union representation compared to other education sectors may also point to difficulties in recognising and accessing entitlements. This may be related to the gendered nature of ECEC: the Workplace Gender Equality Agency (2018) has shown that although women have become more outspoken in seeking employment benefits, they nevertheless tend not to benefit as extensively as m</w:t>
      </w:r>
      <w:r>
        <w:rPr>
          <w:rFonts w:eastAsia="Arial" w:cs="Arial"/>
        </w:rPr>
        <w:t>en</w:t>
      </w:r>
      <w:r w:rsidRPr="1882A426">
        <w:rPr>
          <w:rFonts w:eastAsia="Arial" w:cs="Arial"/>
        </w:rPr>
        <w:t xml:space="preserve">. Ensuring ECEC educators </w:t>
      </w:r>
      <w:proofErr w:type="gramStart"/>
      <w:r w:rsidRPr="1882A426">
        <w:rPr>
          <w:rFonts w:eastAsia="Arial" w:cs="Arial"/>
        </w:rPr>
        <w:t>are able to</w:t>
      </w:r>
      <w:proofErr w:type="gramEnd"/>
      <w:r w:rsidRPr="1882A426">
        <w:rPr>
          <w:rFonts w:eastAsia="Arial" w:cs="Arial"/>
        </w:rPr>
        <w:t xml:space="preserve"> negotiate and access employee entitlements will bolster the extrinsic drivers of work in the sector.</w:t>
      </w:r>
    </w:p>
    <w:p w14:paraId="493A6BF7" w14:textId="77777777" w:rsidR="00442C59" w:rsidRDefault="00442C59" w:rsidP="00442C59">
      <w:pPr>
        <w:pStyle w:val="IntenseQuote"/>
        <w:rPr>
          <w:rFonts w:eastAsia="Arial" w:cs="Arial"/>
          <w:b/>
          <w:bCs/>
        </w:rPr>
      </w:pPr>
      <w:r w:rsidRPr="193B3D6C">
        <w:rPr>
          <w:rFonts w:eastAsia="Arial" w:cs="Arial"/>
        </w:rPr>
        <w:t>The ECEC workforce is relatively low paid which adds to recruitment and retention issues. ECEC centres are unable to compete with the higher wages offered in other industry sectors, particularly the mining sector. (Submission 51 – A peak workforce development body)</w:t>
      </w:r>
    </w:p>
    <w:p w14:paraId="614CD13F" w14:textId="77777777" w:rsidR="00442C59" w:rsidRPr="008F3BF4" w:rsidRDefault="00442C59" w:rsidP="00442C59">
      <w:r w:rsidRPr="008F3BF4">
        <w:rPr>
          <w:rStyle w:val="eop"/>
          <w:rFonts w:eastAsia="Arial" w:cs="Arial"/>
          <w:color w:val="auto"/>
        </w:rPr>
        <w:t xml:space="preserve">Stakeholder feedback </w:t>
      </w:r>
      <w:r>
        <w:rPr>
          <w:rStyle w:val="eop"/>
          <w:rFonts w:eastAsia="Arial" w:cs="Arial"/>
          <w:color w:val="auto"/>
        </w:rPr>
        <w:t xml:space="preserve">provided </w:t>
      </w:r>
      <w:r w:rsidRPr="008F3BF4">
        <w:rPr>
          <w:rStyle w:val="eop"/>
          <w:rFonts w:eastAsia="Arial" w:cs="Arial"/>
          <w:color w:val="auto"/>
        </w:rPr>
        <w:t xml:space="preserve">to JSA </w:t>
      </w:r>
      <w:r>
        <w:rPr>
          <w:rStyle w:val="eop"/>
          <w:rFonts w:eastAsia="Arial" w:cs="Arial"/>
          <w:color w:val="auto"/>
        </w:rPr>
        <w:t xml:space="preserve">through this Study </w:t>
      </w:r>
      <w:r w:rsidRPr="008F3BF4">
        <w:rPr>
          <w:rStyle w:val="eop"/>
          <w:rFonts w:eastAsia="Arial" w:cs="Arial"/>
          <w:color w:val="auto"/>
        </w:rPr>
        <w:t>indicates that while remuneration is a key extrinsic motivator, it also interacts with intrinsic motivations. Th</w:t>
      </w:r>
      <w:r>
        <w:rPr>
          <w:rStyle w:val="eop"/>
          <w:rFonts w:eastAsia="Arial" w:cs="Arial"/>
          <w:color w:val="auto"/>
        </w:rPr>
        <w:t>e feedback</w:t>
      </w:r>
      <w:r w:rsidRPr="008F3BF4">
        <w:rPr>
          <w:rStyle w:val="eop"/>
          <w:rFonts w:eastAsia="Arial" w:cs="Arial"/>
          <w:b/>
          <w:color w:val="auto"/>
        </w:rPr>
        <w:t xml:space="preserve"> </w:t>
      </w:r>
      <w:r w:rsidRPr="00431F62">
        <w:t xml:space="preserve">pointed to the perceived low status of ECEC work compared to other occupations that require a similar level of skill and training. </w:t>
      </w:r>
      <w:r w:rsidRPr="008F3BF4">
        <w:rPr>
          <w:rStyle w:val="eop"/>
          <w:color w:val="auto"/>
        </w:rPr>
        <w:t xml:space="preserve">Low wages imply that the work has low social value, </w:t>
      </w:r>
      <w:r w:rsidRPr="008F3BF4">
        <w:rPr>
          <w:rStyle w:val="eop"/>
          <w:color w:val="auto"/>
        </w:rPr>
        <w:lastRenderedPageBreak/>
        <w:t>contributing not only to a personal sense that one’s specific efforts are under-appreciated, but also a generic belief across the sector that the work is of low status. Recognising that employment conditions</w:t>
      </w:r>
      <w:r>
        <w:rPr>
          <w:rStyle w:val="eop"/>
          <w:color w:val="auto"/>
        </w:rPr>
        <w:t>,</w:t>
      </w:r>
      <w:r w:rsidRPr="008F3BF4">
        <w:rPr>
          <w:rStyle w:val="eop"/>
          <w:color w:val="auto"/>
        </w:rPr>
        <w:t xml:space="preserve"> including remuneration</w:t>
      </w:r>
      <w:r>
        <w:rPr>
          <w:rStyle w:val="eop"/>
          <w:color w:val="auto"/>
        </w:rPr>
        <w:t>,</w:t>
      </w:r>
      <w:r w:rsidRPr="008F3BF4">
        <w:rPr>
          <w:rStyle w:val="eop"/>
          <w:color w:val="auto"/>
        </w:rPr>
        <w:t xml:space="preserve"> are important for both extrinsic and intrinsic reasons will be crucial in building a new framework for rewarding ECEC careers</w:t>
      </w:r>
      <w:r w:rsidRPr="008F3BF4">
        <w:t xml:space="preserve">. </w:t>
      </w:r>
    </w:p>
    <w:p w14:paraId="5B045B04" w14:textId="77777777" w:rsidR="00442C59" w:rsidRPr="003B1BE3" w:rsidRDefault="00442C59" w:rsidP="00442C59">
      <w:pPr>
        <w:pStyle w:val="Finding"/>
        <w:numPr>
          <w:ilvl w:val="0"/>
          <w:numId w:val="0"/>
        </w:numPr>
        <w:rPr>
          <w:b w:val="0"/>
          <w:bCs w:val="0"/>
        </w:rPr>
      </w:pPr>
      <w:r w:rsidRPr="008F3BF4">
        <w:t xml:space="preserve">Finding - </w:t>
      </w:r>
      <w:r w:rsidRPr="003B1BE3">
        <w:rPr>
          <w:b w:val="0"/>
          <w:bCs w:val="0"/>
        </w:rPr>
        <w:t>ECEC remuneration is low compared to other competing occupations, which presents a significant disincentive to entry and accelerates attrition.</w:t>
      </w:r>
    </w:p>
    <w:p w14:paraId="51248F54" w14:textId="77777777" w:rsidR="00442C59" w:rsidRDefault="00442C59" w:rsidP="00442C59">
      <w:pPr>
        <w:ind w:left="720"/>
      </w:pPr>
      <w:r>
        <w:rPr>
          <w:b/>
          <w:bCs/>
        </w:rPr>
        <w:t xml:space="preserve">Recommendation - </w:t>
      </w:r>
      <w:r>
        <w:t>Wage</w:t>
      </w:r>
      <w:r w:rsidRPr="00051F21">
        <w:t xml:space="preserve"> </w:t>
      </w:r>
      <w:r w:rsidRPr="007B13D6">
        <w:t>rates in awards and enterprise agreements should be as competitive as possible, particularly for ECTs with respect to primary school teachers and Early Childhood Educators with respect to other VET-trained occupations in the care and administrative sectors</w:t>
      </w:r>
    </w:p>
    <w:p w14:paraId="029B726B" w14:textId="77777777" w:rsidR="00442C59" w:rsidRPr="00BB25AC" w:rsidRDefault="00442C59" w:rsidP="00442C59">
      <w:pPr>
        <w:ind w:left="720"/>
      </w:pPr>
      <w:r>
        <w:rPr>
          <w:b/>
          <w:bCs/>
        </w:rPr>
        <w:t xml:space="preserve">Recommendation - </w:t>
      </w:r>
      <w:r w:rsidRPr="00644B77">
        <w:t>should contribute funding to drive long-term wage growth for ECEC workers.</w:t>
      </w:r>
    </w:p>
    <w:p w14:paraId="208131BD" w14:textId="77777777" w:rsidR="00442C59" w:rsidRPr="00FE3C87" w:rsidRDefault="00442C59" w:rsidP="00442C59">
      <w:pPr>
        <w:ind w:left="720"/>
      </w:pPr>
      <w:r>
        <w:rPr>
          <w:b/>
          <w:bCs/>
        </w:rPr>
        <w:t xml:space="preserve">Recommendation - </w:t>
      </w:r>
      <w:r w:rsidRPr="00BB25AC">
        <w:t xml:space="preserve">Consider </w:t>
      </w:r>
      <w:r w:rsidRPr="00803FA2">
        <w:t xml:space="preserve">a campaign to ensure new and existing staff are aware of their pay and condition entitlements. </w:t>
      </w:r>
    </w:p>
    <w:p w14:paraId="175DE25A" w14:textId="77777777" w:rsidR="00442C59" w:rsidRPr="003A1D8C" w:rsidRDefault="00442C59" w:rsidP="00442C59">
      <w:pPr>
        <w:pStyle w:val="Heading4"/>
      </w:pPr>
      <w:r w:rsidRPr="003A1D8C">
        <w:t>Job Security and Flexibility</w:t>
      </w:r>
    </w:p>
    <w:p w14:paraId="07C15424" w14:textId="77777777" w:rsidR="00442C59" w:rsidRPr="003A1D8C" w:rsidRDefault="00442C59" w:rsidP="00442C59">
      <w:r w:rsidRPr="003A1D8C">
        <w:t>There is high</w:t>
      </w:r>
      <w:r>
        <w:t xml:space="preserve"> employer</w:t>
      </w:r>
      <w:r w:rsidRPr="003A1D8C">
        <w:t xml:space="preserve"> demand for </w:t>
      </w:r>
      <w:r>
        <w:t>ECEC roles</w:t>
      </w:r>
      <w:r w:rsidRPr="003A1D8C">
        <w:t xml:space="preserve">, which can make this field of work seem like an attractive, dependable source of income. However, strong demand for services in this sector does not necessarily </w:t>
      </w:r>
      <w:r>
        <w:t>translate to greater</w:t>
      </w:r>
      <w:r w:rsidRPr="003A1D8C">
        <w:t xml:space="preserve"> job security. The Federal Senate Select Committee on Work and Care Final Report that concluded in 2023 expressed concern about job security in care sectors, including early childhood (</w:t>
      </w:r>
      <w:r w:rsidRPr="003A1D8C">
        <w:rPr>
          <w:i/>
          <w:iCs/>
        </w:rPr>
        <w:t>Select Committee</w:t>
      </w:r>
      <w:r w:rsidRPr="003A1D8C">
        <w:t>, 2023, 8.82). The Select Committee was also concerned about the increased casualisation of the sector. They found that the ‘loading’ that was intended to compensate for casual workers’ inability to access sick and vacation leave was often not paid, and when it was it ‘[did] not fully compensate for the many conditions lost, including basic job insecurity’ (</w:t>
      </w:r>
      <w:r w:rsidRPr="003A1D8C">
        <w:rPr>
          <w:i/>
          <w:iCs/>
        </w:rPr>
        <w:t>Select Committee</w:t>
      </w:r>
      <w:r w:rsidRPr="003A1D8C">
        <w:t xml:space="preserve">, 2023).  </w:t>
      </w:r>
    </w:p>
    <w:p w14:paraId="1EC59A75" w14:textId="77777777" w:rsidR="00442C59" w:rsidRPr="003A1D8C" w:rsidRDefault="00442C59" w:rsidP="00442C59">
      <w:r w:rsidRPr="003A1D8C">
        <w:t>At the same time, many roles are insufficiently flexible to meet the needs of ECEC workers, including those with children. Long hours, including unpaid time in high stress environments, encourage even those staff committed to staying in the sector to seek improved conditions elsewhere.</w:t>
      </w:r>
    </w:p>
    <w:p w14:paraId="1DC348E2" w14:textId="77777777" w:rsidR="00442C59" w:rsidRPr="00DC0737" w:rsidRDefault="00442C59" w:rsidP="00442C59">
      <w:r w:rsidRPr="003A1D8C">
        <w:t xml:space="preserve">This disrupts both ECEC careers and services, as staff move frequently from service to service seeking to improve pay, hours, flexibility and </w:t>
      </w:r>
      <w:r>
        <w:t xml:space="preserve">reduce </w:t>
      </w:r>
      <w:r w:rsidRPr="003A1D8C">
        <w:t>the time it takes to travel to work. As pointed out by the Creche and Kindergarten Association to JSA:</w:t>
      </w:r>
    </w:p>
    <w:p w14:paraId="67CFB96D" w14:textId="77777777" w:rsidR="00442C59" w:rsidRPr="00DC0737" w:rsidDel="00B83FE1" w:rsidRDefault="00442C59" w:rsidP="00442C59">
      <w:pPr>
        <w:pStyle w:val="IntenseQuote"/>
        <w:pBdr>
          <w:top w:val="single" w:sz="4" w:space="0" w:color="6929C4" w:themeColor="accent1"/>
        </w:pBdr>
        <w:rPr>
          <w:rStyle w:val="eop"/>
          <w:rFonts w:eastAsia="Arial" w:cs="Arial"/>
        </w:rPr>
      </w:pPr>
      <w:r w:rsidRPr="2F94BD57">
        <w:rPr>
          <w:rFonts w:eastAsia="Arial" w:cs="Arial"/>
        </w:rPr>
        <w:t>In a labour scarcity environment where demand is high, and candidate supply is low, it is very easy for an individual unsatisfied with their current role to ‘shop around’ and secure another role with minimal difficulty. We are experiencing a trend of permanent staff opting to work in our casual workforce to overcome issues like administrative burden, flexibility and fatigue. (Submission 43</w:t>
      </w:r>
      <w:r>
        <w:rPr>
          <w:rFonts w:eastAsia="Arial" w:cs="Arial"/>
        </w:rPr>
        <w:t>)</w:t>
      </w:r>
    </w:p>
    <w:p w14:paraId="270974B3" w14:textId="77777777" w:rsidR="00442C59" w:rsidRDefault="00442C59" w:rsidP="00442C59">
      <w:pPr>
        <w:rPr>
          <w:rFonts w:cs="Arial"/>
        </w:rPr>
      </w:pPr>
      <w:r w:rsidRPr="00DC0737">
        <w:t xml:space="preserve">Despite employers feeling the need to attract and retain staff in high-churn environments, </w:t>
      </w:r>
      <w:r>
        <w:t>constrained funding typically limits opportunities.</w:t>
      </w:r>
      <w:r w:rsidRPr="00DC0737">
        <w:t xml:space="preserve"> </w:t>
      </w:r>
      <w:r>
        <w:t>J</w:t>
      </w:r>
      <w:r w:rsidRPr="00DC0737">
        <w:t>ob security and flexibility in ECEC, alongside</w:t>
      </w:r>
      <w:r w:rsidRPr="00DC0737">
        <w:rPr>
          <w:rFonts w:cs="Arial"/>
        </w:rPr>
        <w:t xml:space="preserve"> other conditions including wages and workload provisions, have not markedly improved.</w:t>
      </w:r>
    </w:p>
    <w:p w14:paraId="30CEB24C" w14:textId="77777777" w:rsidR="00442C59" w:rsidRPr="003A1D8C" w:rsidRDefault="00442C59" w:rsidP="00442C59">
      <w:pPr>
        <w:pStyle w:val="Heading4"/>
      </w:pPr>
      <w:r w:rsidRPr="003A1D8C">
        <w:lastRenderedPageBreak/>
        <w:t xml:space="preserve">Recognition of </w:t>
      </w:r>
      <w:r>
        <w:t>S</w:t>
      </w:r>
      <w:r w:rsidRPr="003A1D8C">
        <w:t xml:space="preserve">kills and </w:t>
      </w:r>
      <w:r>
        <w:t>Q</w:t>
      </w:r>
      <w:r w:rsidRPr="003A1D8C">
        <w:t>ualifications</w:t>
      </w:r>
    </w:p>
    <w:p w14:paraId="049ADB17" w14:textId="77777777" w:rsidR="00442C59" w:rsidRPr="00DC0737" w:rsidRDefault="00442C59" w:rsidP="00442C59">
      <w:r>
        <w:t xml:space="preserve">Early childhood educators have a significant responsibility for both care and education at a crucial stage of children’s learning and development. This necessary combination of research-informed care and pedagogy demands a set of skills and behaviours that has led the sector to impose minimum educational qualifications, as detailed in Chapter 2. </w:t>
      </w:r>
    </w:p>
    <w:p w14:paraId="43D3ADCA" w14:textId="77777777" w:rsidR="00442C59" w:rsidRPr="00DC0737" w:rsidRDefault="00442C59" w:rsidP="00442C59">
      <w:r w:rsidRPr="00DC0737">
        <w:t xml:space="preserve">Entry to </w:t>
      </w:r>
      <w:r>
        <w:t xml:space="preserve">the </w:t>
      </w:r>
      <w:r w:rsidRPr="00DC0737">
        <w:t>ECEC</w:t>
      </w:r>
      <w:r>
        <w:t xml:space="preserve"> workforce</w:t>
      </w:r>
      <w:r w:rsidRPr="00DC0737">
        <w:t xml:space="preserve"> is </w:t>
      </w:r>
      <w:r>
        <w:t xml:space="preserve">usually </w:t>
      </w:r>
      <w:r w:rsidRPr="00DC0737">
        <w:t>based on a Certificate III qualification with opportunity to progress to higher qualifications</w:t>
      </w:r>
      <w:r>
        <w:t>, apart from Early Childhood Teacher roles</w:t>
      </w:r>
      <w:r w:rsidRPr="00DC0737">
        <w:t xml:space="preserve">. However, there are unnecessary impediments to accessing Diploma level and above qualifications, including the need to have graduated from the most current (or previous) version of the Certificate III first, meaning a candidate cannot enrol in the higher qualification directly. The rewards for further study, especially pay rates but also career progression, are insufficient for many ECEC staff to find motivating. </w:t>
      </w:r>
    </w:p>
    <w:p w14:paraId="2ABEED36" w14:textId="77777777" w:rsidR="00442C59" w:rsidRPr="00637DDF" w:rsidRDefault="00442C59" w:rsidP="00442C59">
      <w:pPr>
        <w:pStyle w:val="IntenseQuote"/>
        <w:rPr>
          <w:b/>
          <w:bCs/>
        </w:rPr>
      </w:pPr>
      <w:r w:rsidRPr="00637DDF">
        <w:t xml:space="preserve">We found that younger educators transitioned from school to the workforce, qualified and ready to </w:t>
      </w:r>
      <w:r w:rsidRPr="00684A6E">
        <w:t>continue</w:t>
      </w:r>
      <w:r w:rsidRPr="00637DDF">
        <w:t xml:space="preserve"> studying. This finding highlights the ECEC sector’s opportunity to work with the school sector to enhance the professional image of working in ECEC and increasing student knowledge of career pathways (McKinlay et al, 2023).</w:t>
      </w:r>
    </w:p>
    <w:p w14:paraId="799EE763" w14:textId="77777777" w:rsidR="00442C59" w:rsidRPr="00DC0737" w:rsidRDefault="00442C59" w:rsidP="00442C59">
      <w:r w:rsidRPr="00DC0737">
        <w:t xml:space="preserve">As the previous chapter demonstrated, ECEC education </w:t>
      </w:r>
      <w:r>
        <w:t>requires</w:t>
      </w:r>
      <w:r w:rsidRPr="00DC0737">
        <w:t xml:space="preserve"> on the job training</w:t>
      </w:r>
      <w:r>
        <w:t xml:space="preserve"> usually through formal placements or traineeships</w:t>
      </w:r>
      <w:r w:rsidRPr="00DC0737">
        <w:t xml:space="preserve">. This means that as a large influx of new staff enter the field, </w:t>
      </w:r>
      <w:r>
        <w:t xml:space="preserve">effective workplace supervision and </w:t>
      </w:r>
      <w:r w:rsidRPr="00DC0737">
        <w:t xml:space="preserve">mentorship presents a bottleneck. In an expanding system that has faced high staff attrition, experienced ECEC staff are frequently already overworked. While they need new staff to help deliver education and care, mentoring produces additional stress and can lead to burnout. In some cases, there are not enough experienced staff to provide </w:t>
      </w:r>
      <w:proofErr w:type="gramStart"/>
      <w:r w:rsidRPr="00DC0737">
        <w:t>mentorship</w:t>
      </w:r>
      <w:proofErr w:type="gramEnd"/>
      <w:r w:rsidRPr="00DC0737">
        <w:t xml:space="preserve"> for all new trainees. </w:t>
      </w:r>
    </w:p>
    <w:p w14:paraId="601FB8B3" w14:textId="77777777" w:rsidR="00442C59" w:rsidRPr="0084618B" w:rsidRDefault="00442C59" w:rsidP="00442C59">
      <w:r w:rsidRPr="0084618B">
        <w:t xml:space="preserve">While qualifications are a key determinant of career path and pay structures, ECEC staff find it important that the skills that they have gained in other ways are recognised too. ECEC staff gain many skills and knowledge via workplace experience. There is now opportunity to recognise these, alongside other sources of prior learning in early childhood settings. Similarly, skills gained in other care professions could be transferred into ECEC, and a closer relationship forged between ECEC and Primary School Teaching. </w:t>
      </w:r>
    </w:p>
    <w:p w14:paraId="0965F8BC" w14:textId="77777777" w:rsidR="00442C59" w:rsidRPr="003B1BE3" w:rsidRDefault="00442C59" w:rsidP="00442C59">
      <w:pPr>
        <w:pStyle w:val="Finding"/>
        <w:numPr>
          <w:ilvl w:val="0"/>
          <w:numId w:val="0"/>
        </w:numPr>
        <w:rPr>
          <w:b w:val="0"/>
          <w:bCs w:val="0"/>
        </w:rPr>
      </w:pPr>
      <w:r w:rsidRPr="00BF0C6C">
        <w:t xml:space="preserve">Finding - </w:t>
      </w:r>
      <w:r w:rsidRPr="003B1BE3">
        <w:rPr>
          <w:b w:val="0"/>
          <w:bCs w:val="0"/>
        </w:rPr>
        <w:t>The rewards for further study, especially wages at Award Rates between Certificate III and Diploma ECEC are insufficient for many ECEC staff to find motivating. One key consequence is that this impedes pathways into middle leadership in the sector.</w:t>
      </w:r>
    </w:p>
    <w:p w14:paraId="2804064F" w14:textId="77777777" w:rsidR="00442C59" w:rsidRPr="00DB4662" w:rsidRDefault="00442C59" w:rsidP="00442C59">
      <w:pPr>
        <w:ind w:left="720"/>
      </w:pPr>
      <w:r w:rsidRPr="008D5598">
        <w:rPr>
          <w:b/>
          <w:bCs/>
        </w:rPr>
        <w:t>Recommendation -</w:t>
      </w:r>
      <w:r>
        <w:t xml:space="preserve"> </w:t>
      </w:r>
      <w:r w:rsidRPr="002E5B4F">
        <w:t xml:space="preserve">As </w:t>
      </w:r>
      <w:r w:rsidRPr="00500801">
        <w:t>part of any award review, consider the levels of remuneration provided to Diploma-qualified educators working in room leader positions, Educational Leaders, middle leaders, workplace assessors, mentors and other specialised roles as a matter of temporary or permanent career progression.</w:t>
      </w:r>
    </w:p>
    <w:p w14:paraId="3D72DF83" w14:textId="77777777" w:rsidR="00442C59" w:rsidRDefault="00442C59" w:rsidP="00442C59">
      <w:pPr>
        <w:rPr>
          <w:rFonts w:eastAsia="Arial" w:cs="Arial"/>
          <w:b/>
          <w:bCs/>
          <w:color w:val="005D5D" w:themeColor="accent2"/>
          <w:sz w:val="28"/>
        </w:rPr>
      </w:pPr>
      <w:r>
        <w:rPr>
          <w:rFonts w:eastAsia="Arial"/>
        </w:rPr>
        <w:br w:type="page"/>
      </w:r>
    </w:p>
    <w:p w14:paraId="7AF5841F" w14:textId="77777777" w:rsidR="00442C59" w:rsidRDefault="00442C59" w:rsidP="00442C59">
      <w:pPr>
        <w:pStyle w:val="Heading4"/>
        <w:rPr>
          <w:rFonts w:eastAsia="Arial"/>
        </w:rPr>
      </w:pPr>
      <w:r w:rsidRPr="2F94BD57">
        <w:rPr>
          <w:rFonts w:eastAsia="Arial"/>
        </w:rPr>
        <w:lastRenderedPageBreak/>
        <w:t>Working Hours</w:t>
      </w:r>
    </w:p>
    <w:p w14:paraId="37DA89CE" w14:textId="77777777" w:rsidR="00442C59" w:rsidRPr="00DC0737" w:rsidRDefault="00442C59" w:rsidP="00442C59">
      <w:pPr>
        <w:rPr>
          <w:rFonts w:eastAsia="Arial" w:cs="Arial"/>
        </w:rPr>
      </w:pPr>
      <w:r w:rsidRPr="2F94BD57">
        <w:rPr>
          <w:rFonts w:eastAsia="Arial" w:cs="Arial"/>
        </w:rPr>
        <w:t xml:space="preserve">There are considerable complexities shaping ECEC educator experiences of working hours, many related to work tasks that are required for the job, but which are not allocated within everyday staff workload. Staff report being asked to spend time outside of paid hours, or </w:t>
      </w:r>
      <w:proofErr w:type="gramStart"/>
      <w:r w:rsidRPr="2F94BD57">
        <w:rPr>
          <w:rFonts w:eastAsia="Arial" w:cs="Arial"/>
        </w:rPr>
        <w:t>in excess of</w:t>
      </w:r>
      <w:proofErr w:type="gramEnd"/>
      <w:r w:rsidRPr="2F94BD57">
        <w:rPr>
          <w:rFonts w:eastAsia="Arial" w:cs="Arial"/>
        </w:rPr>
        <w:t xml:space="preserve"> normal hours, fulfilling administrative responsibilities, communicating with families, </w:t>
      </w:r>
      <w:r>
        <w:rPr>
          <w:rFonts w:eastAsia="Arial" w:cs="Arial"/>
        </w:rPr>
        <w:t xml:space="preserve">dealing with covering staff absence due to exposure to illnesses </w:t>
      </w:r>
      <w:r w:rsidRPr="2F94BD57">
        <w:rPr>
          <w:rFonts w:eastAsia="Arial" w:cs="Arial"/>
        </w:rPr>
        <w:t xml:space="preserve">and participating in meetings. </w:t>
      </w:r>
      <w:r>
        <w:rPr>
          <w:rFonts w:eastAsia="Arial" w:cs="Arial"/>
        </w:rPr>
        <w:t xml:space="preserve">This is consistent with the evidence of additional hours worked by full-time employees presented in Chapter 4. </w:t>
      </w:r>
      <w:r w:rsidRPr="2F94BD57">
        <w:rPr>
          <w:rFonts w:eastAsia="Arial" w:cs="Arial"/>
        </w:rPr>
        <w:t>As noted by Charles Sturt University in their submission to JSA’s ECEC Capacity Study consultation paper:</w:t>
      </w:r>
    </w:p>
    <w:p w14:paraId="55E57715" w14:textId="77777777" w:rsidR="00442C59" w:rsidRPr="008778C8" w:rsidRDefault="00442C59" w:rsidP="00442C59">
      <w:pPr>
        <w:pStyle w:val="IntenseQuote"/>
        <w:rPr>
          <w:rFonts w:eastAsia="Arial" w:cs="Arial"/>
        </w:rPr>
      </w:pPr>
      <w:r w:rsidRPr="2F94BD57">
        <w:rPr>
          <w:rFonts w:eastAsia="Arial" w:cs="Arial"/>
        </w:rPr>
        <w:t>Excessive workloads, unpaid work and ‘under-the-roof ratios’ are huge problem (where ratios are calculated across a service rather than within a room) with over two-thirds of educators reporting an increase in their workload over the last few years, and one-quarter of educators reporting at least 5-10 hours unpaid work each month. (Submission 36)</w:t>
      </w:r>
    </w:p>
    <w:p w14:paraId="5F1632E6" w14:textId="77777777" w:rsidR="00442C59" w:rsidRPr="00DC0737" w:rsidRDefault="00442C59" w:rsidP="00442C59">
      <w:pPr>
        <w:rPr>
          <w:rFonts w:eastAsia="Arial" w:cs="Arial"/>
        </w:rPr>
      </w:pPr>
      <w:r w:rsidRPr="2F94BD57">
        <w:rPr>
          <w:rFonts w:eastAsia="Arial" w:cs="Arial"/>
        </w:rPr>
        <w:t xml:space="preserve">Workload management practices mean ECEC staff can experience significant difficulty finding time for planning educational activities for children, including for play-based learning but also more structured activities. As a result, educators are often preparing activities while also teaching and caring for children, which is stressful and not optimal for educational outcomes. Moreover, very close management of times for tasks, as it necessarily occurs in ECEC workplaces, not only increases workplace stress, but it also decreases perceptions of autonomy and job satisfaction. As expressed by a </w:t>
      </w:r>
      <w:proofErr w:type="gramStart"/>
      <w:r w:rsidRPr="2F94BD57">
        <w:rPr>
          <w:rFonts w:eastAsia="Arial" w:cs="Arial"/>
        </w:rPr>
        <w:t>stakeholders</w:t>
      </w:r>
      <w:proofErr w:type="gramEnd"/>
      <w:r w:rsidRPr="2F94BD57">
        <w:rPr>
          <w:rFonts w:eastAsia="Arial" w:cs="Arial"/>
        </w:rPr>
        <w:t xml:space="preserve"> in their submissions to JSA:</w:t>
      </w:r>
    </w:p>
    <w:p w14:paraId="71AB8C53" w14:textId="77777777" w:rsidR="00442C59" w:rsidRDefault="00442C59" w:rsidP="00442C59">
      <w:pPr>
        <w:pStyle w:val="IntenseQuote"/>
        <w:spacing w:after="0"/>
        <w:ind w:left="862" w:right="862"/>
        <w:rPr>
          <w:rStyle w:val="ui-provider"/>
          <w:rFonts w:eastAsia="Arial" w:cs="Arial"/>
        </w:rPr>
      </w:pPr>
      <w:r w:rsidRPr="193B3D6C">
        <w:rPr>
          <w:rStyle w:val="ui-provider"/>
          <w:rFonts w:eastAsia="Arial" w:cs="Arial"/>
        </w:rPr>
        <w:t>ECEC educators reporting feeling micromanaged in a time pressured environment to complete daily tasks. (Submission 23 – La Trobe University)</w:t>
      </w:r>
    </w:p>
    <w:p w14:paraId="5D334622" w14:textId="77777777" w:rsidR="00442C59" w:rsidRPr="00FD421D" w:rsidRDefault="00442C59" w:rsidP="00442C59">
      <w:pPr>
        <w:rPr>
          <w:sz w:val="2"/>
          <w:szCs w:val="2"/>
        </w:rPr>
      </w:pPr>
    </w:p>
    <w:p w14:paraId="13167B78" w14:textId="77777777" w:rsidR="00442C59" w:rsidRDefault="00442C59" w:rsidP="00442C59">
      <w:pPr>
        <w:pStyle w:val="IntenseQuote"/>
        <w:spacing w:before="0" w:after="0"/>
        <w:ind w:left="862" w:right="862"/>
        <w:rPr>
          <w:rFonts w:eastAsia="Arial" w:cs="Arial"/>
        </w:rPr>
      </w:pPr>
      <w:r w:rsidRPr="193B3D6C">
        <w:rPr>
          <w:rFonts w:eastAsia="Arial" w:cs="Arial"/>
        </w:rPr>
        <w:t xml:space="preserve">The top three reasons educators were choosing to leave the sector were: </w:t>
      </w:r>
    </w:p>
    <w:p w14:paraId="608B5A65" w14:textId="77777777" w:rsidR="00442C59" w:rsidRDefault="00442C59" w:rsidP="00442C59">
      <w:pPr>
        <w:pStyle w:val="IntenseQuote"/>
        <w:spacing w:before="0" w:after="0"/>
        <w:ind w:left="862" w:right="862"/>
        <w:rPr>
          <w:rFonts w:eastAsia="Arial" w:cs="Arial"/>
        </w:rPr>
      </w:pPr>
      <w:r w:rsidRPr="193B3D6C">
        <w:rPr>
          <w:rFonts w:eastAsia="Arial" w:cs="Arial"/>
        </w:rPr>
        <w:t xml:space="preserve">• Low pay – I can’t afford to stay. </w:t>
      </w:r>
    </w:p>
    <w:p w14:paraId="5D17D08C" w14:textId="77777777" w:rsidR="00442C59" w:rsidRDefault="00442C59" w:rsidP="00442C59">
      <w:pPr>
        <w:pStyle w:val="IntenseQuote"/>
        <w:spacing w:before="0" w:after="0"/>
        <w:ind w:left="862" w:right="862"/>
        <w:rPr>
          <w:rFonts w:eastAsia="Arial" w:cs="Arial"/>
        </w:rPr>
      </w:pPr>
      <w:r w:rsidRPr="193B3D6C">
        <w:rPr>
          <w:rFonts w:eastAsia="Arial" w:cs="Arial"/>
        </w:rPr>
        <w:t xml:space="preserve">• Excessive workload and insufficient time to provide quality ECEC; and </w:t>
      </w:r>
    </w:p>
    <w:p w14:paraId="75A86E5C" w14:textId="77777777" w:rsidR="00442C59" w:rsidRDefault="00442C59" w:rsidP="00442C59">
      <w:pPr>
        <w:pStyle w:val="IntenseQuote"/>
        <w:spacing w:before="0" w:after="0"/>
        <w:ind w:left="862" w:right="862"/>
        <w:rPr>
          <w:rFonts w:eastAsia="Arial" w:cs="Arial"/>
        </w:rPr>
      </w:pPr>
      <w:r w:rsidRPr="193B3D6C">
        <w:rPr>
          <w:rFonts w:eastAsia="Arial" w:cs="Arial"/>
        </w:rPr>
        <w:t>• Feeling undervalued (Submission 37 – United Workers Union)</w:t>
      </w:r>
    </w:p>
    <w:p w14:paraId="599EC804" w14:textId="77777777" w:rsidR="00442C59" w:rsidRDefault="00442C59" w:rsidP="00442C59">
      <w:pPr>
        <w:pStyle w:val="Heading4"/>
        <w:spacing w:before="240"/>
        <w:rPr>
          <w:rFonts w:eastAsia="Arial"/>
        </w:rPr>
      </w:pPr>
      <w:r w:rsidRPr="2F94BD57">
        <w:rPr>
          <w:rFonts w:eastAsia="Arial"/>
        </w:rPr>
        <w:t>Travel to Work</w:t>
      </w:r>
    </w:p>
    <w:p w14:paraId="3B6C2063" w14:textId="77777777" w:rsidR="00442C59" w:rsidRPr="00DC0737" w:rsidRDefault="00442C59" w:rsidP="00442C59">
      <w:pPr>
        <w:rPr>
          <w:rFonts w:eastAsia="Arial" w:cs="Arial"/>
        </w:rPr>
      </w:pPr>
      <w:r w:rsidRPr="24FA0C66">
        <w:rPr>
          <w:rFonts w:eastAsia="Arial" w:cs="Arial"/>
        </w:rPr>
        <w:t xml:space="preserve">ECEC staff, like other teachers, are often unable to afford to live in the areas in which they work. Although travel to work issues have lessened for occupations </w:t>
      </w:r>
      <w:r>
        <w:rPr>
          <w:rFonts w:eastAsia="Arial" w:cs="Arial"/>
        </w:rPr>
        <w:t xml:space="preserve">that </w:t>
      </w:r>
      <w:proofErr w:type="gramStart"/>
      <w:r>
        <w:rPr>
          <w:rFonts w:eastAsia="Arial" w:cs="Arial"/>
        </w:rPr>
        <w:t xml:space="preserve">have the </w:t>
      </w:r>
      <w:r w:rsidRPr="24FA0C66">
        <w:rPr>
          <w:rFonts w:eastAsia="Arial" w:cs="Arial"/>
        </w:rPr>
        <w:t>ab</w:t>
      </w:r>
      <w:r>
        <w:rPr>
          <w:rFonts w:eastAsia="Arial" w:cs="Arial"/>
        </w:rPr>
        <w:t>ility</w:t>
      </w:r>
      <w:r w:rsidRPr="24FA0C66">
        <w:rPr>
          <w:rFonts w:eastAsia="Arial" w:cs="Arial"/>
        </w:rPr>
        <w:t xml:space="preserve"> to</w:t>
      </w:r>
      <w:proofErr w:type="gramEnd"/>
      <w:r w:rsidRPr="24FA0C66">
        <w:rPr>
          <w:rFonts w:eastAsia="Arial" w:cs="Arial"/>
        </w:rPr>
        <w:t xml:space="preserve"> </w:t>
      </w:r>
      <w:r>
        <w:rPr>
          <w:rFonts w:eastAsia="Arial" w:cs="Arial"/>
        </w:rPr>
        <w:t>undertaken</w:t>
      </w:r>
      <w:r w:rsidRPr="24FA0C66">
        <w:rPr>
          <w:rFonts w:eastAsia="Arial" w:cs="Arial"/>
        </w:rPr>
        <w:t xml:space="preserve"> remotely, teaching in schools and early childhood </w:t>
      </w:r>
      <w:r>
        <w:rPr>
          <w:rFonts w:eastAsia="Arial" w:cs="Arial"/>
        </w:rPr>
        <w:t xml:space="preserve">settings </w:t>
      </w:r>
      <w:r w:rsidRPr="24FA0C66">
        <w:rPr>
          <w:rFonts w:eastAsia="Arial" w:cs="Arial"/>
        </w:rPr>
        <w:t xml:space="preserve">still requires that teachers be physically present to perform the combination of care and education their roles require. Educational researcher Eacott (2024) has shown that more than 90% of teaching roles </w:t>
      </w:r>
      <w:proofErr w:type="gramStart"/>
      <w:r w:rsidRPr="24FA0C66">
        <w:rPr>
          <w:rFonts w:eastAsia="Arial" w:cs="Arial"/>
        </w:rPr>
        <w:t>are located in</w:t>
      </w:r>
      <w:proofErr w:type="gramEnd"/>
      <w:r w:rsidRPr="24FA0C66">
        <w:rPr>
          <w:rFonts w:eastAsia="Arial" w:cs="Arial"/>
        </w:rPr>
        <w:t xml:space="preserve"> areas that are unaffordable, even on teacher salaries at the top end of the scale. </w:t>
      </w:r>
    </w:p>
    <w:p w14:paraId="3E235520" w14:textId="77777777" w:rsidR="00442C59" w:rsidRDefault="00442C59" w:rsidP="00442C59">
      <w:pPr>
        <w:keepLines/>
        <w:rPr>
          <w:rFonts w:eastAsia="Arial" w:cs="Arial"/>
        </w:rPr>
      </w:pPr>
      <w:r w:rsidRPr="2F94BD57">
        <w:rPr>
          <w:rFonts w:eastAsia="Arial" w:cs="Arial"/>
        </w:rPr>
        <w:lastRenderedPageBreak/>
        <w:t xml:space="preserve">Analysis of rental housing affordability for ECEC educators paints a similar picture. For educators looking to rent a one-bedroom dwelling near their service on the commencing award band, housing would be unaffordable for 64% of educators on the Certificate III </w:t>
      </w:r>
      <w:r>
        <w:rPr>
          <w:rFonts w:eastAsia="Arial" w:cs="Arial"/>
        </w:rPr>
        <w:t xml:space="preserve">level of the </w:t>
      </w:r>
      <w:r w:rsidRPr="2F94BD57">
        <w:rPr>
          <w:rFonts w:eastAsia="Arial" w:cs="Arial"/>
        </w:rPr>
        <w:t>award, and 32% on the Diploma award</w:t>
      </w:r>
      <w:r>
        <w:rPr>
          <w:rFonts w:eastAsia="Arial" w:cs="Arial"/>
        </w:rPr>
        <w:t xml:space="preserve"> according to analysis of Census 2021 with the Children’s Services Award (2021)</w:t>
      </w:r>
      <w:r w:rsidRPr="2F94BD57">
        <w:rPr>
          <w:rFonts w:eastAsia="Arial" w:cs="Arial"/>
        </w:rPr>
        <w:t>.</w:t>
      </w:r>
    </w:p>
    <w:p w14:paraId="6C857A53" w14:textId="77777777" w:rsidR="00442C59" w:rsidRDefault="00442C59" w:rsidP="00442C59">
      <w:pPr>
        <w:rPr>
          <w:rFonts w:eastAsia="Arial" w:cs="Arial"/>
        </w:rPr>
      </w:pPr>
      <w:r w:rsidRPr="2F94BD57">
        <w:rPr>
          <w:rFonts w:eastAsia="Arial" w:cs="Arial"/>
        </w:rPr>
        <w:t xml:space="preserve">As illustrated in </w:t>
      </w:r>
      <w:r>
        <w:rPr>
          <w:rFonts w:eastAsia="Arial" w:cs="Arial"/>
        </w:rPr>
        <w:fldChar w:fldCharType="begin" w:fldLock="1"/>
      </w:r>
      <w:r>
        <w:rPr>
          <w:rFonts w:eastAsia="Arial" w:cs="Arial"/>
        </w:rPr>
        <w:instrText xml:space="preserve"> REF _Ref167979691 \h </w:instrText>
      </w:r>
      <w:r>
        <w:rPr>
          <w:rFonts w:eastAsia="Arial" w:cs="Arial"/>
        </w:rPr>
      </w:r>
      <w:r>
        <w:rPr>
          <w:rFonts w:eastAsia="Arial" w:cs="Arial"/>
        </w:rPr>
        <w:fldChar w:fldCharType="separate"/>
      </w:r>
      <w:r>
        <w:t>Figure 6.</w:t>
      </w:r>
      <w:r>
        <w:rPr>
          <w:rFonts w:eastAsia="Arial" w:cs="Arial"/>
        </w:rPr>
        <w:fldChar w:fldCharType="end"/>
      </w:r>
      <w:r>
        <w:rPr>
          <w:rFonts w:eastAsia="Arial" w:cs="Arial"/>
        </w:rPr>
        <w:t xml:space="preserve">1 </w:t>
      </w:r>
      <w:r w:rsidRPr="2F94BD57">
        <w:rPr>
          <w:rFonts w:eastAsia="Arial" w:cs="Arial"/>
        </w:rPr>
        <w:t xml:space="preserve">below, the </w:t>
      </w:r>
      <w:r>
        <w:rPr>
          <w:rFonts w:eastAsia="Arial" w:cs="Arial"/>
        </w:rPr>
        <w:t xml:space="preserve">starting qualified </w:t>
      </w:r>
      <w:r w:rsidRPr="2F94BD57">
        <w:rPr>
          <w:rFonts w:eastAsia="Arial" w:cs="Arial"/>
        </w:rPr>
        <w:t>award wage</w:t>
      </w:r>
      <w:r>
        <w:rPr>
          <w:rFonts w:eastAsia="Arial" w:cs="Arial"/>
        </w:rPr>
        <w:t xml:space="preserve"> in the Children Services Award (2021)</w:t>
      </w:r>
      <w:r w:rsidRPr="2F94BD57">
        <w:rPr>
          <w:rFonts w:eastAsia="Arial" w:cs="Arial"/>
        </w:rPr>
        <w:t xml:space="preserve"> is generally insufficient to meet rental costs in</w:t>
      </w:r>
      <w:r>
        <w:rPr>
          <w:rFonts w:eastAsia="Arial" w:cs="Arial"/>
        </w:rPr>
        <w:t xml:space="preserve"> regions surrounding Brisbane, Sydney, Canberra, and Melbourne</w:t>
      </w:r>
      <w:r w:rsidRPr="2F94BD57">
        <w:rPr>
          <w:rFonts w:eastAsia="Arial" w:cs="Arial"/>
        </w:rPr>
        <w:t>.</w:t>
      </w:r>
      <w:r>
        <w:rPr>
          <w:rStyle w:val="FootnoteReference"/>
          <w:rFonts w:eastAsia="Arial" w:cs="Arial"/>
        </w:rPr>
        <w:footnoteReference w:id="70"/>
      </w:r>
    </w:p>
    <w:p w14:paraId="57B2A9DA" w14:textId="77777777" w:rsidR="00442C59" w:rsidRDefault="00442C59" w:rsidP="00442C59">
      <w:pPr>
        <w:pStyle w:val="Caption"/>
      </w:pPr>
      <w:bookmarkStart w:id="170" w:name="_Ref167979691"/>
      <w:r>
        <w:t>Figure 6.</w:t>
      </w:r>
      <w:bookmarkEnd w:id="170"/>
      <w:r>
        <w:t xml:space="preserve">1 </w:t>
      </w:r>
      <w:r w:rsidRPr="009E63BC">
        <w:t>Rental housing affordability for ECEC educators, SA4 level</w:t>
      </w:r>
    </w:p>
    <w:p w14:paraId="7C2AF904" w14:textId="77777777" w:rsidR="00442C59" w:rsidRPr="002E41FE" w:rsidRDefault="00442C59" w:rsidP="00442C59">
      <w:r>
        <w:rPr>
          <w:noProof/>
        </w:rPr>
        <w:drawing>
          <wp:inline distT="0" distB="0" distL="0" distR="0" wp14:anchorId="410DE533" wp14:editId="79EB77A5">
            <wp:extent cx="5731200" cy="5014800"/>
            <wp:effectExtent l="0" t="0" r="3175" b="0"/>
            <wp:docPr id="913205975" name="Picture 1" descr="Two maps of Australia broken down by Statistical Area 4 level, one for Certificate III educators and one for Diploma educators. The Certificate III map shows rental housing is very unaffordable in the North Western Australia, Brisbane, Gold Coast, Sydney, Canberra, and Melbourne regions with the surrounding regions to these areas becoming moderately unaffordable. Darwin, Perth, Western Victoria, mid-north coast of New South Wales and mid-to-north east Queensland are areas with affordable rental housing. The Diploma map shows the very unaffordable areas for Certificate III becoming moderately unaffordable, except in Sydney and Canberra where it remains very unaffordable. Similarly the areas that were moderately unaffordable for Certifcate III educators became affordable for Diploma edu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205975" name="Picture 1" descr="Two maps of Australia broken down by Statistical Area 4 level, one for Certificate III educators and one for Diploma educators. The Certificate III map shows rental housing is very unaffordable in the North Western Australia, Brisbane, Gold Coast, Sydney, Canberra, and Melbourne regions with the surrounding regions to these areas becoming moderately unaffordable. Darwin, Perth, Western Victoria, mid-north coast of New South Wales and mid-to-north east Queensland are areas with affordable rental housing. The Diploma map shows the very unaffordable areas for Certificate III becoming moderately unaffordable, except in Sydney and Canberra where it remains very unaffordable. Similarly the areas that were moderately unaffordable for Certifcate III educators became affordable for Diploma educators."/>
                    <pic:cNvPicPr>
                      <a:picLocks noChangeAspect="1" noChangeArrowheads="1"/>
                    </pic:cNvPicPr>
                  </pic:nvPicPr>
                  <pic:blipFill>
                    <a:blip r:embed="rId138" cstate="screen">
                      <a:extLst>
                        <a:ext uri="{28A0092B-C50C-407E-A947-70E740481C1C}">
                          <a14:useLocalDpi xmlns:a14="http://schemas.microsoft.com/office/drawing/2010/main" val="0"/>
                        </a:ext>
                      </a:extLst>
                    </a:blip>
                    <a:srcRect/>
                    <a:stretch>
                      <a:fillRect/>
                    </a:stretch>
                  </pic:blipFill>
                  <pic:spPr bwMode="auto">
                    <a:xfrm>
                      <a:off x="0" y="0"/>
                      <a:ext cx="5731200" cy="5014800"/>
                    </a:xfrm>
                    <a:prstGeom prst="rect">
                      <a:avLst/>
                    </a:prstGeom>
                    <a:noFill/>
                  </pic:spPr>
                </pic:pic>
              </a:graphicData>
            </a:graphic>
          </wp:inline>
        </w:drawing>
      </w:r>
    </w:p>
    <w:p w14:paraId="17A01314" w14:textId="77777777" w:rsidR="00442C59" w:rsidRPr="00E86635" w:rsidRDefault="00442C59" w:rsidP="00442C59">
      <w:pPr>
        <w:pStyle w:val="Source"/>
        <w:rPr>
          <w:rFonts w:eastAsia="Arial" w:cs="Arial"/>
        </w:rPr>
      </w:pPr>
      <w:r w:rsidRPr="00E86635">
        <w:rPr>
          <w:rFonts w:eastAsia="Arial" w:cs="Arial"/>
        </w:rPr>
        <w:t>Source: JSA analysis of Census</w:t>
      </w:r>
      <w:r>
        <w:rPr>
          <w:rFonts w:eastAsia="Arial" w:cs="Arial"/>
        </w:rPr>
        <w:t xml:space="preserve"> of Population and Housing</w:t>
      </w:r>
      <w:r w:rsidRPr="00E86635">
        <w:rPr>
          <w:rFonts w:eastAsia="Arial" w:cs="Arial"/>
        </w:rPr>
        <w:t xml:space="preserve"> (2021) and the Children’s Services Award (2021)</w:t>
      </w:r>
      <w:r>
        <w:rPr>
          <w:rFonts w:eastAsia="Arial" w:cs="Arial"/>
        </w:rPr>
        <w:br/>
      </w:r>
    </w:p>
    <w:p w14:paraId="7308AD38" w14:textId="77777777" w:rsidR="00442C59" w:rsidRDefault="00442C59" w:rsidP="00442C59">
      <w:pPr>
        <w:keepLines/>
        <w:rPr>
          <w:rFonts w:eastAsia="Arial" w:cs="Arial"/>
        </w:rPr>
      </w:pPr>
      <w:r>
        <w:rPr>
          <w:rFonts w:eastAsia="Arial" w:cs="Arial"/>
        </w:rPr>
        <w:lastRenderedPageBreak/>
        <w:t>Unlike schools</w:t>
      </w:r>
      <w:r w:rsidRPr="24FA0C66">
        <w:rPr>
          <w:rFonts w:eastAsia="Arial" w:cs="Arial"/>
        </w:rPr>
        <w:t xml:space="preserve">, which are </w:t>
      </w:r>
      <w:r>
        <w:rPr>
          <w:rFonts w:eastAsia="Arial" w:cs="Arial"/>
        </w:rPr>
        <w:t>broadly distributed across Australia to enable accessibility for all students</w:t>
      </w:r>
      <w:r w:rsidRPr="24FA0C66">
        <w:rPr>
          <w:rFonts w:eastAsia="Arial" w:cs="Arial"/>
        </w:rPr>
        <w:t xml:space="preserve">, ECEC services are </w:t>
      </w:r>
      <w:r>
        <w:rPr>
          <w:rFonts w:eastAsia="Arial" w:cs="Arial"/>
        </w:rPr>
        <w:t>typically concentrated</w:t>
      </w:r>
      <w:r w:rsidRPr="24FA0C66">
        <w:rPr>
          <w:rFonts w:eastAsia="Arial" w:cs="Arial"/>
        </w:rPr>
        <w:t xml:space="preserve"> in the </w:t>
      </w:r>
      <w:r>
        <w:rPr>
          <w:rFonts w:eastAsia="Arial" w:cs="Arial"/>
        </w:rPr>
        <w:t>most socioeconomically advantaged</w:t>
      </w:r>
      <w:r w:rsidRPr="24FA0C66">
        <w:rPr>
          <w:rFonts w:eastAsia="Arial" w:cs="Arial"/>
        </w:rPr>
        <w:t xml:space="preserve"> parts of Australia where housing is least affordable. Th</w:t>
      </w:r>
      <w:r>
        <w:rPr>
          <w:rFonts w:eastAsia="Arial" w:cs="Arial"/>
        </w:rPr>
        <w:t xml:space="preserve">e location of ECEC services in these areas, coupled with the relatively low wages paid to those working in the sector, </w:t>
      </w:r>
      <w:r w:rsidRPr="24FA0C66">
        <w:rPr>
          <w:rFonts w:eastAsia="Arial" w:cs="Arial"/>
        </w:rPr>
        <w:t>increases travel to work time</w:t>
      </w:r>
      <w:r>
        <w:rPr>
          <w:rFonts w:eastAsia="Arial" w:cs="Arial"/>
        </w:rPr>
        <w:t xml:space="preserve"> </w:t>
      </w:r>
      <w:proofErr w:type="gramStart"/>
      <w:r>
        <w:rPr>
          <w:rFonts w:eastAsia="Arial" w:cs="Arial"/>
        </w:rPr>
        <w:t xml:space="preserve">and </w:t>
      </w:r>
      <w:r w:rsidRPr="24FA0C66">
        <w:rPr>
          <w:rFonts w:eastAsia="Arial" w:cs="Arial"/>
        </w:rPr>
        <w:t xml:space="preserve"> is</w:t>
      </w:r>
      <w:proofErr w:type="gramEnd"/>
      <w:r w:rsidRPr="24FA0C66">
        <w:rPr>
          <w:rFonts w:eastAsia="Arial" w:cs="Arial"/>
        </w:rPr>
        <w:t xml:space="preserve"> a significant factor affecting both stress levels and staff retention.</w:t>
      </w:r>
    </w:p>
    <w:p w14:paraId="2EEA3E12" w14:textId="77777777" w:rsidR="00442C59" w:rsidRPr="007F206B" w:rsidRDefault="00442C59" w:rsidP="00442C59">
      <w:pPr>
        <w:pStyle w:val="Finding"/>
        <w:numPr>
          <w:ilvl w:val="0"/>
          <w:numId w:val="0"/>
        </w:numPr>
      </w:pPr>
      <w:r w:rsidRPr="00A94A23">
        <w:t xml:space="preserve">Finding </w:t>
      </w:r>
      <w:r w:rsidRPr="007F206B">
        <w:t xml:space="preserve">- </w:t>
      </w:r>
      <w:r w:rsidRPr="003B1BE3">
        <w:rPr>
          <w:b w:val="0"/>
          <w:bCs w:val="0"/>
        </w:rPr>
        <w:t>A key barrier to workforce entry and retention is that ECEC workplaces may be located at a considerable distance from workers’ homes, including in metropolitan settings where there is lack of affordable housing where there is the highest density of service provision.</w:t>
      </w:r>
    </w:p>
    <w:p w14:paraId="6B5C14C6" w14:textId="77777777" w:rsidR="00442C59" w:rsidRPr="00940F3F" w:rsidRDefault="00442C59" w:rsidP="00442C59">
      <w:pPr>
        <w:ind w:left="720"/>
      </w:pPr>
      <w:r w:rsidRPr="00514345">
        <w:rPr>
          <w:b/>
          <w:bCs/>
        </w:rPr>
        <w:t>Recommendation -</w:t>
      </w:r>
      <w:r w:rsidRPr="00514345">
        <w:t xml:space="preserve"> Improve </w:t>
      </w:r>
      <w:r w:rsidRPr="00B81F8C">
        <w:t xml:space="preserve">the attractiveness of ECEC work by considering the provision of employee incentives. This could further enable employers to offer benefits to employees who have barriers to return – in particular for transport for </w:t>
      </w:r>
      <w:proofErr w:type="gramStart"/>
      <w:r w:rsidRPr="00B81F8C">
        <w:t>hard to reach</w:t>
      </w:r>
      <w:proofErr w:type="gramEnd"/>
      <w:r w:rsidRPr="00B81F8C">
        <w:t xml:space="preserve"> services in regional or high-cost areas and subsidy of ECEC for their own children.</w:t>
      </w:r>
    </w:p>
    <w:p w14:paraId="4695E0C6" w14:textId="77777777" w:rsidR="00442C59" w:rsidRPr="00514345" w:rsidRDefault="00442C59" w:rsidP="00442C59">
      <w:pPr>
        <w:ind w:left="720"/>
        <w:rPr>
          <w:i/>
          <w:iCs/>
        </w:rPr>
      </w:pPr>
      <w:r w:rsidRPr="00940F3F">
        <w:rPr>
          <w:b/>
          <w:bCs/>
        </w:rPr>
        <w:t>Recommendation -</w:t>
      </w:r>
      <w:r w:rsidRPr="00940F3F">
        <w:t xml:space="preserve"> </w:t>
      </w:r>
      <w:r w:rsidRPr="00514345">
        <w:t xml:space="preserve">Incentivise </w:t>
      </w:r>
      <w:r w:rsidRPr="00BF4354">
        <w:t>and promote rostering and staffing arrangements that provide flexibility, with options considered including four-day work week or a nine-day fortnight to enable ECEC staff to better manage work-life balance, stress and workload.</w:t>
      </w:r>
    </w:p>
    <w:p w14:paraId="7EDCD4AE" w14:textId="77777777" w:rsidR="00442C59" w:rsidRPr="00E86635" w:rsidRDefault="00442C59" w:rsidP="00442C59">
      <w:pPr>
        <w:pStyle w:val="Heading2"/>
        <w:rPr>
          <w:rStyle w:val="eop"/>
        </w:rPr>
      </w:pPr>
      <w:bookmarkStart w:id="171" w:name="_Toc174363724"/>
      <w:r w:rsidRPr="00E86635">
        <w:t>Rewarding Passion</w:t>
      </w:r>
      <w:bookmarkEnd w:id="171"/>
    </w:p>
    <w:p w14:paraId="78D825B9" w14:textId="77777777" w:rsidR="00442C59" w:rsidRPr="00DC0737" w:rsidRDefault="00442C59" w:rsidP="00442C59">
      <w:pPr>
        <w:rPr>
          <w:rFonts w:eastAsia="Arial" w:cs="Arial"/>
        </w:rPr>
      </w:pPr>
      <w:r w:rsidRPr="2F94BD57">
        <w:rPr>
          <w:rFonts w:eastAsia="Arial" w:cs="Arial"/>
        </w:rPr>
        <w:t>Like other teaching</w:t>
      </w:r>
      <w:r>
        <w:rPr>
          <w:rFonts w:eastAsia="Arial" w:cs="Arial"/>
        </w:rPr>
        <w:t xml:space="preserve"> occupations,</w:t>
      </w:r>
      <w:r w:rsidRPr="2F94BD57">
        <w:rPr>
          <w:rFonts w:eastAsia="Arial" w:cs="Arial"/>
        </w:rPr>
        <w:t xml:space="preserve"> ECEC work is often linked to values that are considered intrinsic, </w:t>
      </w:r>
      <w:r>
        <w:rPr>
          <w:rFonts w:eastAsia="Arial" w:cs="Arial"/>
        </w:rPr>
        <w:t>such as</w:t>
      </w:r>
      <w:r w:rsidRPr="2F94BD57">
        <w:rPr>
          <w:rFonts w:eastAsia="Arial" w:cs="Arial"/>
        </w:rPr>
        <w:t xml:space="preserve"> care for children and a passion for supporting their learning and development. In the 1970s, psychologists erroneously believed that offering extrinsic rewards would undermine such intrinsic motivations (Sansone &amp; Harackiewicz</w:t>
      </w:r>
      <w:r>
        <w:rPr>
          <w:rFonts w:eastAsia="Arial" w:cs="Arial"/>
        </w:rPr>
        <w:t>,</w:t>
      </w:r>
      <w:r w:rsidRPr="2F94BD57">
        <w:rPr>
          <w:rFonts w:eastAsia="Arial" w:cs="Arial"/>
        </w:rPr>
        <w:t xml:space="preserve"> 2000). Such beliefs may have contributed to </w:t>
      </w:r>
      <w:r>
        <w:rPr>
          <w:rFonts w:eastAsia="Arial" w:cs="Arial"/>
        </w:rPr>
        <w:t>ongoing</w:t>
      </w:r>
      <w:r w:rsidRPr="2F94BD57">
        <w:rPr>
          <w:rFonts w:eastAsia="Arial" w:cs="Arial"/>
        </w:rPr>
        <w:t xml:space="preserve"> underpayment of ECEC workers</w:t>
      </w:r>
      <w:r>
        <w:rPr>
          <w:rFonts w:eastAsia="Arial" w:cs="Arial"/>
        </w:rPr>
        <w:t xml:space="preserve"> based on the</w:t>
      </w:r>
      <w:r w:rsidRPr="2F94BD57">
        <w:rPr>
          <w:rFonts w:eastAsia="Arial" w:cs="Arial"/>
        </w:rPr>
        <w:t xml:space="preserve"> false intuition that offering financial rewards might weaken the values that make the ECEC system function. As this chapter has discussed, the reverse is true: people enter ECEC, often via intrinsic motivators, but extrinsic qualities of the work can push them to find an alternative. When the flow of labour into senior ECEC roles such as </w:t>
      </w:r>
      <w:r w:rsidRPr="2F94BD57">
        <w:rPr>
          <w:rFonts w:eastAsia="Arial" w:cs="Arial"/>
          <w:i/>
          <w:iCs/>
        </w:rPr>
        <w:t xml:space="preserve">Child Care Centre Manager </w:t>
      </w:r>
      <w:r w:rsidRPr="2F94BD57">
        <w:rPr>
          <w:rFonts w:eastAsia="Arial" w:cs="Arial"/>
        </w:rPr>
        <w:t xml:space="preserve">or </w:t>
      </w:r>
      <w:r w:rsidRPr="2F94BD57">
        <w:rPr>
          <w:rFonts w:eastAsia="Arial" w:cs="Arial"/>
          <w:i/>
          <w:iCs/>
        </w:rPr>
        <w:t>Early Childhood (Pre-primary School) Teacher</w:t>
      </w:r>
      <w:r w:rsidRPr="2F94BD57">
        <w:rPr>
          <w:rFonts w:eastAsia="Arial" w:cs="Arial"/>
        </w:rPr>
        <w:t xml:space="preserve"> are mostly from within the ECEC sector, any failure to address the relationship between intrinsic and extrinsic values presents a risk to the ECEC workforce and its capacity for leadership (</w:t>
      </w:r>
      <w:r>
        <w:rPr>
          <w:rFonts w:eastAsia="Arial" w:cs="Arial"/>
        </w:rPr>
        <w:t>s</w:t>
      </w:r>
      <w:r w:rsidRPr="2F94BD57">
        <w:rPr>
          <w:rFonts w:eastAsia="Arial" w:cs="Arial"/>
        </w:rPr>
        <w:t xml:space="preserve">ee Chapter </w:t>
      </w:r>
      <w:r>
        <w:rPr>
          <w:rFonts w:eastAsia="Arial" w:cs="Arial"/>
        </w:rPr>
        <w:t>5</w:t>
      </w:r>
      <w:r w:rsidRPr="2F94BD57">
        <w:rPr>
          <w:rFonts w:eastAsia="Arial" w:cs="Arial"/>
        </w:rPr>
        <w:t>).</w:t>
      </w:r>
    </w:p>
    <w:p w14:paraId="172C16A2" w14:textId="77777777" w:rsidR="00442C59" w:rsidRDefault="00442C59" w:rsidP="00442C59">
      <w:r w:rsidRPr="2F94BD57">
        <w:rPr>
          <w:rFonts w:eastAsia="Arial" w:cs="Arial"/>
        </w:rPr>
        <w:t>Nevertheless, intrinsic motivations are central to job satisfaction and therefore retention. In their</w:t>
      </w:r>
      <w:r>
        <w:rPr>
          <w:rFonts w:eastAsia="Arial" w:cs="Arial"/>
        </w:rPr>
        <w:t xml:space="preserve"> recent</w:t>
      </w:r>
      <w:r w:rsidRPr="2F94BD57">
        <w:rPr>
          <w:rFonts w:eastAsia="Arial" w:cs="Arial"/>
        </w:rPr>
        <w:t xml:space="preserve"> study o</w:t>
      </w:r>
      <w:r>
        <w:rPr>
          <w:rFonts w:eastAsia="Arial" w:cs="Arial"/>
        </w:rPr>
        <w:t>n</w:t>
      </w:r>
      <w:r w:rsidRPr="2F94BD57">
        <w:rPr>
          <w:rFonts w:eastAsia="Arial" w:cs="Arial"/>
        </w:rPr>
        <w:t xml:space="preserve"> ECEC retention, McDonald, Thorpe and Irvine (2018) found that intrinsic motivators were key.  At the same time, however, these intrinsic motivations can also be the reason to leave ECEC. Pouring passion into work – some of which is dirty, complex or invisible </w:t>
      </w:r>
      <w:r>
        <w:rPr>
          <w:rFonts w:ascii="Calibri" w:hAnsi="Calibri" w:cs="Calibri"/>
        </w:rPr>
        <w:softHyphen/>
      </w:r>
      <w:r w:rsidRPr="2F94BD57">
        <w:rPr>
          <w:rFonts w:eastAsia="Arial" w:cs="Arial"/>
        </w:rPr>
        <w:t>– that is not valued or appreciated by parents, institutions or society can contribute to burnout</w:t>
      </w:r>
      <w:r>
        <w:rPr>
          <w:rFonts w:eastAsia="Arial" w:cs="Arial"/>
        </w:rPr>
        <w:t>;</w:t>
      </w:r>
      <w:r w:rsidRPr="2F94BD57">
        <w:rPr>
          <w:rFonts w:eastAsia="Arial" w:cs="Arial"/>
        </w:rPr>
        <w:t xml:space="preserve"> encouraging even the most talented and passionate ECEC educators to seek work elsewhere. </w:t>
      </w:r>
      <w:r>
        <w:rPr>
          <w:rFonts w:eastAsia="Arial" w:cs="Arial"/>
        </w:rPr>
        <w:t>Some ECEC educator</w:t>
      </w:r>
      <w:r w:rsidRPr="2F94BD57">
        <w:rPr>
          <w:rFonts w:eastAsia="Arial" w:cs="Arial"/>
        </w:rPr>
        <w:t>s</w:t>
      </w:r>
      <w:r>
        <w:rPr>
          <w:rFonts w:eastAsia="Arial" w:cs="Arial"/>
        </w:rPr>
        <w:t xml:space="preserve"> </w:t>
      </w:r>
      <w:r w:rsidRPr="2F94BD57">
        <w:rPr>
          <w:rFonts w:eastAsia="Arial" w:cs="Arial"/>
        </w:rPr>
        <w:t>reported</w:t>
      </w:r>
      <w:r>
        <w:rPr>
          <w:rFonts w:eastAsia="Arial" w:cs="Arial"/>
        </w:rPr>
        <w:t xml:space="preserve"> to the researchers</w:t>
      </w:r>
      <w:r w:rsidRPr="2F94BD57">
        <w:rPr>
          <w:rFonts w:eastAsia="Arial" w:cs="Arial"/>
        </w:rPr>
        <w:t xml:space="preserve"> </w:t>
      </w:r>
      <w:r>
        <w:rPr>
          <w:rFonts w:eastAsia="Arial" w:cs="Arial"/>
        </w:rPr>
        <w:t>that they needed</w:t>
      </w:r>
      <w:r w:rsidRPr="2F94BD57">
        <w:rPr>
          <w:rFonts w:eastAsia="Arial" w:cs="Arial"/>
        </w:rPr>
        <w:t xml:space="preserve"> to top up their low incomes </w:t>
      </w:r>
      <w:r>
        <w:rPr>
          <w:rFonts w:eastAsia="Arial" w:cs="Arial"/>
        </w:rPr>
        <w:t>with</w:t>
      </w:r>
      <w:r w:rsidRPr="2F94BD57">
        <w:rPr>
          <w:rFonts w:eastAsia="Arial" w:cs="Arial"/>
        </w:rPr>
        <w:t xml:space="preserve"> </w:t>
      </w:r>
      <w:r>
        <w:rPr>
          <w:rFonts w:eastAsia="Arial" w:cs="Arial"/>
        </w:rPr>
        <w:t xml:space="preserve">contributions </w:t>
      </w:r>
      <w:r w:rsidRPr="2F94BD57">
        <w:rPr>
          <w:rFonts w:eastAsia="Arial" w:cs="Arial"/>
        </w:rPr>
        <w:t xml:space="preserve">from </w:t>
      </w:r>
      <w:r>
        <w:rPr>
          <w:rFonts w:eastAsia="Arial" w:cs="Arial"/>
        </w:rPr>
        <w:t>their own families</w:t>
      </w:r>
      <w:r w:rsidRPr="193B3D6C">
        <w:rPr>
          <w:rFonts w:eastAsia="Arial" w:cs="Arial"/>
        </w:rPr>
        <w:t>. As noted by a</w:t>
      </w:r>
      <w:r w:rsidRPr="00EC0F5C">
        <w:t>n early childhood advocacy organisation:</w:t>
      </w:r>
    </w:p>
    <w:p w14:paraId="116CF209" w14:textId="77777777" w:rsidR="00442C59" w:rsidRDefault="00442C59" w:rsidP="00442C59">
      <w:pPr>
        <w:pStyle w:val="IntenseQuote"/>
        <w:keepLines/>
        <w:ind w:left="862" w:right="862"/>
        <w:rPr>
          <w:rFonts w:eastAsia="Arial" w:cs="Arial"/>
        </w:rPr>
      </w:pPr>
      <w:r w:rsidRPr="2F94BD57">
        <w:rPr>
          <w:rFonts w:eastAsia="Arial" w:cs="Arial"/>
        </w:rPr>
        <w:lastRenderedPageBreak/>
        <w:t>The top four reasons why educators left the sector as poor rate of pay (41%), work stress (34%), developing new skills (26%), and high workload (25%). The supporting qualitative research further indicated that ‘poor rate of pay’ is the cumulative effect of many unpaid hours of work, constant demands and insufficient staff to deliver a good service. Educators described that feeling physically and emotionally burnt out from working in the sector, coupled with no ability to control their own working environment, left them feeling that leaving the sector was the only option. Supporting and sustaining our current workforce is a key strategy that must be capitalised upon. (Submission 9)</w:t>
      </w:r>
    </w:p>
    <w:p w14:paraId="1B8E0B0E" w14:textId="77777777" w:rsidR="00442C59" w:rsidRPr="00DC0737" w:rsidRDefault="00442C59" w:rsidP="00442C59">
      <w:pPr>
        <w:rPr>
          <w:rFonts w:eastAsia="Arial" w:cs="Arial"/>
        </w:rPr>
      </w:pPr>
      <w:r w:rsidRPr="2F94BD57">
        <w:rPr>
          <w:rFonts w:eastAsia="Arial" w:cs="Arial"/>
        </w:rPr>
        <w:t xml:space="preserve">It is therefore essential to structure ECEC careers and job descriptions in ways that reward passion, including allocating </w:t>
      </w:r>
      <w:r>
        <w:rPr>
          <w:rFonts w:eastAsia="Arial" w:cs="Arial"/>
        </w:rPr>
        <w:t xml:space="preserve">sufficient </w:t>
      </w:r>
      <w:r w:rsidRPr="2F94BD57">
        <w:rPr>
          <w:rFonts w:eastAsia="Arial" w:cs="Arial"/>
        </w:rPr>
        <w:t xml:space="preserve">paid non-contact time to prepare learning activities, offering opportunities to apply new learning obtained via qualifications, continuing professional development or on the job training, and </w:t>
      </w:r>
      <w:r>
        <w:rPr>
          <w:rFonts w:eastAsia="Arial" w:cs="Arial"/>
        </w:rPr>
        <w:t xml:space="preserve">monetary </w:t>
      </w:r>
      <w:r w:rsidRPr="2F94BD57">
        <w:rPr>
          <w:rFonts w:eastAsia="Arial" w:cs="Arial"/>
        </w:rPr>
        <w:t xml:space="preserve">reward for increased responsibility. It is </w:t>
      </w:r>
      <w:r>
        <w:rPr>
          <w:rFonts w:eastAsia="Arial" w:cs="Arial"/>
        </w:rPr>
        <w:t xml:space="preserve">also </w:t>
      </w:r>
      <w:r w:rsidRPr="2F94BD57">
        <w:rPr>
          <w:rFonts w:eastAsia="Arial" w:cs="Arial"/>
        </w:rPr>
        <w:t>important to address barriers to job satisfaction, including administrative load (</w:t>
      </w:r>
      <w:r>
        <w:rPr>
          <w:rFonts w:eastAsia="Arial" w:cs="Arial"/>
        </w:rPr>
        <w:t xml:space="preserve">particularly any load </w:t>
      </w:r>
      <w:r w:rsidRPr="2F94BD57">
        <w:rPr>
          <w:rFonts w:eastAsia="Arial" w:cs="Arial"/>
        </w:rPr>
        <w:t>that falls into unpaid hours) and the costs of what is known as ‘emotional labour’.</w:t>
      </w:r>
    </w:p>
    <w:p w14:paraId="334ACC03" w14:textId="77777777" w:rsidR="00442C59" w:rsidRDefault="00442C59" w:rsidP="00442C59">
      <w:pPr>
        <w:pStyle w:val="IntenseQuote"/>
        <w:rPr>
          <w:rFonts w:eastAsia="Arial" w:cs="Arial"/>
        </w:rPr>
      </w:pPr>
      <w:r>
        <w:t>Teachers’ professional identities, or the professional images teachers have of themselves, play an essential role in teachers’ pedagogical knowledge and their propensity to stay in the profession … the social images of EC teachers, professional learning in universities, and requirements in kindergartens were perceived as the main obstacles to achieving a high identity, which refers to a strong, emotional recognition of ECE, satisfaction with the teacher education programme, and positive career prospects. (Submission 3</w:t>
      </w:r>
      <w:r w:rsidRPr="00EC0F5C">
        <w:rPr>
          <w:rFonts w:eastAsia="Arial" w:cs="Arial"/>
        </w:rPr>
        <w:t>6</w:t>
      </w:r>
      <w:r w:rsidRPr="00EC0F5C">
        <w:rPr>
          <w:rFonts w:eastAsia="Arial" w:cs="Arial"/>
          <w:i w:val="0"/>
          <w:iCs w:val="0"/>
        </w:rPr>
        <w:t xml:space="preserve"> </w:t>
      </w:r>
      <w:r w:rsidRPr="00EC0F5C">
        <w:rPr>
          <w:rFonts w:eastAsia="Arial" w:cs="Arial"/>
        </w:rPr>
        <w:t xml:space="preserve">- </w:t>
      </w:r>
      <w:r w:rsidRPr="003C2E5D">
        <w:t>Charles Sturt University)</w:t>
      </w:r>
    </w:p>
    <w:p w14:paraId="57816435" w14:textId="77777777" w:rsidR="00442C59" w:rsidRPr="002C00FB" w:rsidRDefault="00442C59" w:rsidP="00442C59">
      <w:pPr>
        <w:pStyle w:val="Heading3"/>
      </w:pPr>
      <w:bookmarkStart w:id="172" w:name="_Toc162960686"/>
      <w:r w:rsidRPr="002C00FB">
        <w:t>Career Progression Settings</w:t>
      </w:r>
      <w:bookmarkEnd w:id="172"/>
    </w:p>
    <w:p w14:paraId="19EE2C48" w14:textId="77777777" w:rsidR="00442C59" w:rsidRPr="00DC0737" w:rsidRDefault="00442C59" w:rsidP="00442C59">
      <w:r w:rsidRPr="00DC0737">
        <w:t>Career paths for prospective and current ECEC educators are influenced by social assumptions about vocational choice and innate traits. Traditions encourage young women into ECEC, for example,</w:t>
      </w:r>
      <w:r>
        <w:t xml:space="preserve"> </w:t>
      </w:r>
      <w:r w:rsidRPr="00DC0737">
        <w:t xml:space="preserve">implicitly draws on 1950s ‘Holland Codes’ that </w:t>
      </w:r>
      <w:proofErr w:type="gramStart"/>
      <w:r w:rsidRPr="00DC0737">
        <w:t>often connected</w:t>
      </w:r>
      <w:proofErr w:type="gramEnd"/>
      <w:r>
        <w:t xml:space="preserve"> individual interests </w:t>
      </w:r>
      <w:r w:rsidRPr="00DC0737">
        <w:t>to job satisfaction</w:t>
      </w:r>
      <w:r>
        <w:t>.</w:t>
      </w:r>
      <w:r w:rsidRPr="00DC0737">
        <w:t xml:space="preserve"> </w:t>
      </w:r>
      <w:r>
        <w:t xml:space="preserve">These notions of traditional interests </w:t>
      </w:r>
      <w:r w:rsidRPr="00DC0737">
        <w:t>ha</w:t>
      </w:r>
      <w:r>
        <w:t>ve</w:t>
      </w:r>
      <w:r w:rsidRPr="00DC0737">
        <w:t xml:space="preserve"> contributed to the stereotypes that both ECEC and women as occupational ‘helpers’ which have been historically undervalued in the labour force</w:t>
      </w:r>
      <w:r w:rsidRPr="00F75F46">
        <w:t xml:space="preserve"> </w:t>
      </w:r>
      <w:r w:rsidRPr="00DC0737">
        <w:t>(Australian Government, 2022).</w:t>
      </w:r>
    </w:p>
    <w:p w14:paraId="612596A1" w14:textId="77777777" w:rsidR="00442C59" w:rsidRPr="00DC0737" w:rsidRDefault="00442C59" w:rsidP="00442C59">
      <w:pPr>
        <w:rPr>
          <w:rFonts w:cs="Arial"/>
        </w:rPr>
      </w:pPr>
      <w:r w:rsidRPr="00DC0737">
        <w:rPr>
          <w:rFonts w:cs="Arial"/>
        </w:rPr>
        <w:t xml:space="preserve">More </w:t>
      </w:r>
      <w:r>
        <w:rPr>
          <w:rFonts w:cs="Arial"/>
        </w:rPr>
        <w:t>holistically</w:t>
      </w:r>
      <w:r w:rsidRPr="00DC0737">
        <w:rPr>
          <w:rFonts w:cs="Arial"/>
        </w:rPr>
        <w:t xml:space="preserve"> (</w:t>
      </w:r>
      <w:r>
        <w:rPr>
          <w:rFonts w:cs="Arial"/>
        </w:rPr>
        <w:t>for example</w:t>
      </w:r>
      <w:r w:rsidRPr="00DC0737">
        <w:rPr>
          <w:rFonts w:cs="Arial"/>
        </w:rPr>
        <w:t xml:space="preserve"> McMahon &amp; Patton</w:t>
      </w:r>
      <w:r>
        <w:rPr>
          <w:rFonts w:cs="Arial"/>
        </w:rPr>
        <w:t>,</w:t>
      </w:r>
      <w:r w:rsidRPr="00DC0737">
        <w:rPr>
          <w:rFonts w:cs="Arial"/>
        </w:rPr>
        <w:t xml:space="preserve"> 1995), </w:t>
      </w:r>
      <w:r>
        <w:rPr>
          <w:rFonts w:cs="Arial"/>
        </w:rPr>
        <w:t>theories of</w:t>
      </w:r>
      <w:r w:rsidRPr="00DC0737">
        <w:rPr>
          <w:rFonts w:cs="Arial"/>
        </w:rPr>
        <w:t xml:space="preserve"> career development have prioritised </w:t>
      </w:r>
      <w:r>
        <w:rPr>
          <w:rFonts w:cs="Arial"/>
        </w:rPr>
        <w:t xml:space="preserve">a </w:t>
      </w:r>
      <w:r w:rsidRPr="00DC0737">
        <w:rPr>
          <w:rFonts w:cs="Arial"/>
        </w:rPr>
        <w:t>system</w:t>
      </w:r>
      <w:r>
        <w:rPr>
          <w:rFonts w:cs="Arial"/>
        </w:rPr>
        <w:t xml:space="preserve">ic view of career decision making. These understandings seek to go beyond career interests and </w:t>
      </w:r>
      <w:r w:rsidRPr="00DC0737">
        <w:rPr>
          <w:rFonts w:cs="Arial"/>
        </w:rPr>
        <w:t>includ</w:t>
      </w:r>
      <w:r>
        <w:rPr>
          <w:rFonts w:cs="Arial"/>
        </w:rPr>
        <w:t>e</w:t>
      </w:r>
      <w:r w:rsidRPr="00DC0737">
        <w:rPr>
          <w:rFonts w:cs="Arial"/>
        </w:rPr>
        <w:t xml:space="preserve"> gender, </w:t>
      </w:r>
      <w:r>
        <w:rPr>
          <w:rFonts w:cs="Arial"/>
        </w:rPr>
        <w:t>the wider social context, environment, public and media ideas about roles, capacity</w:t>
      </w:r>
      <w:r w:rsidRPr="00DC0737">
        <w:rPr>
          <w:rFonts w:cs="Arial"/>
        </w:rPr>
        <w:t xml:space="preserve"> and health, as qualities that may </w:t>
      </w:r>
      <w:r>
        <w:rPr>
          <w:rFonts w:cs="Arial"/>
        </w:rPr>
        <w:t>impact decision making.</w:t>
      </w:r>
      <w:r w:rsidRPr="00DC0737">
        <w:rPr>
          <w:rFonts w:cs="Arial"/>
        </w:rPr>
        <w:t xml:space="preserve"> In reviewing ECEC career settings, it is important to </w:t>
      </w:r>
      <w:proofErr w:type="gramStart"/>
      <w:r w:rsidRPr="00DC0737">
        <w:rPr>
          <w:rFonts w:cs="Arial"/>
        </w:rPr>
        <w:t>take into account</w:t>
      </w:r>
      <w:proofErr w:type="gramEnd"/>
      <w:r w:rsidRPr="00DC0737">
        <w:rPr>
          <w:rFonts w:cs="Arial"/>
        </w:rPr>
        <w:t xml:space="preserve"> educators’ aptitudes and preferences, while acknowledging that these may change over time and be influenced by a range of shifting ideas and institutional settings. Building a more flexible career path that allows ECEC educators to grow into a role that suits both their (changing) personality traits and their circumstances will make for a more resilient sector.</w:t>
      </w:r>
    </w:p>
    <w:p w14:paraId="7A107B79" w14:textId="77777777" w:rsidR="00442C59" w:rsidRPr="008D4186" w:rsidRDefault="00442C59" w:rsidP="00442C59">
      <w:pPr>
        <w:pStyle w:val="Heading3"/>
      </w:pPr>
      <w:r w:rsidRPr="008D4186">
        <w:lastRenderedPageBreak/>
        <w:t>Roles and Practice Orientation</w:t>
      </w:r>
    </w:p>
    <w:tbl>
      <w:tblPr>
        <w:tblStyle w:val="Style2"/>
        <w:tblW w:w="0" w:type="auto"/>
        <w:tblLook w:val="0620" w:firstRow="1" w:lastRow="0" w:firstColumn="0" w:lastColumn="0" w:noHBand="1" w:noVBand="1"/>
      </w:tblPr>
      <w:tblGrid>
        <w:gridCol w:w="9016"/>
      </w:tblGrid>
      <w:tr w:rsidR="00442C59" w14:paraId="1E3E8EF0" w14:textId="77777777" w:rsidTr="005D67F5">
        <w:tc>
          <w:tcPr>
            <w:tcW w:w="9016" w:type="dxa"/>
          </w:tcPr>
          <w:p w14:paraId="655DBAC1" w14:textId="77777777" w:rsidR="00442C59" w:rsidRDefault="00442C59" w:rsidP="005F6ADC">
            <w:pPr>
              <w:pStyle w:val="Source"/>
              <w:rPr>
                <w:rFonts w:eastAsiaTheme="majorEastAsia" w:cstheme="majorBidi"/>
                <w:b/>
                <w:color w:val="441170" w:themeColor="text2"/>
                <w:sz w:val="32"/>
                <w:szCs w:val="24"/>
              </w:rPr>
            </w:pPr>
            <w:bookmarkStart w:id="173" w:name="_Hlk174353093"/>
            <w:r w:rsidRPr="00684A6E">
              <w:rPr>
                <w:rFonts w:eastAsiaTheme="majorEastAsia" w:cstheme="majorBidi"/>
                <w:b/>
                <w:color w:val="441170" w:themeColor="text2"/>
                <w:sz w:val="32"/>
                <w:szCs w:val="24"/>
              </w:rPr>
              <w:t>CASE STUDY – England’s Early Years Pathway Map: Mapping pathways in ECEC to showcase career trajectories</w:t>
            </w:r>
          </w:p>
          <w:p w14:paraId="57D26A3C" w14:textId="77777777" w:rsidR="00442C59" w:rsidRPr="00017889" w:rsidRDefault="00442C59" w:rsidP="005F6ADC">
            <w:pPr>
              <w:spacing w:after="160" w:line="259" w:lineRule="auto"/>
            </w:pPr>
            <w:r w:rsidRPr="00017889">
              <w:t xml:space="preserve">Following research on how to enhance the stability of the early </w:t>
            </w:r>
            <w:proofErr w:type="gramStart"/>
            <w:r w:rsidRPr="00017889">
              <w:t>years</w:t>
            </w:r>
            <w:proofErr w:type="gramEnd"/>
            <w:r w:rsidRPr="00017889">
              <w:t xml:space="preserve"> workforce, several projects were undertaken to showcase the rich range of careers for early childhood professionals. The Childcare and Early Years </w:t>
            </w:r>
            <w:hyperlink r:id="rId139" w:history="1">
              <w:r w:rsidRPr="00FE708D">
                <w:rPr>
                  <w:rStyle w:val="Hyperlink"/>
                  <w:color w:val="000000" w:themeColor="text1"/>
                </w:rPr>
                <w:t>careers progression map</w:t>
              </w:r>
            </w:hyperlink>
            <w:r w:rsidRPr="00017889">
              <w:t xml:space="preserve"> was designed by Early Years experts and stakeholders, supported by the Department for Education (DfE). The map provides detailed information about different early years job roles, entry points and progression routes. The map is aimed at:</w:t>
            </w:r>
          </w:p>
          <w:p w14:paraId="3E425DC2" w14:textId="77777777" w:rsidR="00442C59" w:rsidRPr="00FE708D" w:rsidRDefault="00442C59" w:rsidP="00A2332E">
            <w:pPr>
              <w:pStyle w:val="ListParagraph"/>
              <w:numPr>
                <w:ilvl w:val="0"/>
                <w:numId w:val="32"/>
              </w:numPr>
              <w:rPr>
                <w:i w:val="0"/>
                <w:iCs w:val="0"/>
                <w:color w:val="000000" w:themeColor="text1"/>
              </w:rPr>
            </w:pPr>
            <w:r w:rsidRPr="00FE708D">
              <w:rPr>
                <w:i w:val="0"/>
                <w:iCs w:val="0"/>
                <w:color w:val="000000" w:themeColor="text1"/>
              </w:rPr>
              <w:t>anyone considering a career in the sector</w:t>
            </w:r>
          </w:p>
          <w:p w14:paraId="1313ACC7" w14:textId="77777777" w:rsidR="00442C59" w:rsidRPr="00FE708D" w:rsidRDefault="00442C59" w:rsidP="00A2332E">
            <w:pPr>
              <w:pStyle w:val="ListParagraph"/>
              <w:numPr>
                <w:ilvl w:val="0"/>
                <w:numId w:val="32"/>
              </w:numPr>
              <w:rPr>
                <w:i w:val="0"/>
                <w:iCs w:val="0"/>
                <w:color w:val="000000" w:themeColor="text1"/>
              </w:rPr>
            </w:pPr>
            <w:r w:rsidRPr="00FE708D">
              <w:rPr>
                <w:i w:val="0"/>
                <w:iCs w:val="0"/>
                <w:color w:val="000000" w:themeColor="text1"/>
              </w:rPr>
              <w:t>careers practitioners, employment services workers and primarily early years practitioners who wish to progress their careers employers.</w:t>
            </w:r>
          </w:p>
          <w:p w14:paraId="74D804D6" w14:textId="77777777" w:rsidR="00442C59" w:rsidRPr="00684A6E" w:rsidRDefault="00442C59" w:rsidP="005F6ADC">
            <w:pPr>
              <w:pStyle w:val="Source"/>
            </w:pPr>
            <w:r>
              <w:t xml:space="preserve">Source: United Kingdom Department for Education, (2022), </w:t>
            </w:r>
            <w:r w:rsidRPr="004832EB">
              <w:rPr>
                <w:i/>
                <w:iCs/>
              </w:rPr>
              <w:t xml:space="preserve">Pathway into early years </w:t>
            </w:r>
            <w:r>
              <w:rPr>
                <w:i/>
                <w:iCs/>
              </w:rPr>
              <w:t>education</w:t>
            </w:r>
            <w:r>
              <w:t xml:space="preserve">, UK Government, </w:t>
            </w:r>
            <w:hyperlink r:id="rId140" w:history="1">
              <w:r w:rsidRPr="003060B1">
                <w:rPr>
                  <w:rStyle w:val="Hyperlink"/>
                </w:rPr>
                <w:t>https://www.gov.uk/government/publications/pathway-into-early-years-education/pathway-into-early-years-education</w:t>
              </w:r>
            </w:hyperlink>
            <w:r>
              <w:t xml:space="preserve">. </w:t>
            </w:r>
          </w:p>
        </w:tc>
      </w:tr>
      <w:bookmarkEnd w:id="173"/>
    </w:tbl>
    <w:p w14:paraId="60FE5724" w14:textId="77777777" w:rsidR="00442C59" w:rsidRDefault="00442C59" w:rsidP="00442C59"/>
    <w:p w14:paraId="1861E4A2" w14:textId="77777777" w:rsidR="00442C59" w:rsidRDefault="00442C59" w:rsidP="00442C59">
      <w:pPr>
        <w:rPr>
          <w:rStyle w:val="eop"/>
          <w:rFonts w:eastAsia="Arial" w:cs="Arial"/>
        </w:rPr>
      </w:pPr>
      <w:r w:rsidRPr="24FA0C66">
        <w:t xml:space="preserve">The intersection of the NQF, award classifications, intensive service delivery requirements and limited </w:t>
      </w:r>
      <w:r>
        <w:t>professional development</w:t>
      </w:r>
      <w:r w:rsidRPr="24FA0C66">
        <w:t xml:space="preserve"> funding restrict opportunities for workers to pursue career advancement and specialisations. For example, there are specialisations for those interested in more training that </w:t>
      </w:r>
      <w:proofErr w:type="gramStart"/>
      <w:r w:rsidRPr="24FA0C66">
        <w:t>lead</w:t>
      </w:r>
      <w:proofErr w:type="gramEnd"/>
      <w:r w:rsidRPr="24FA0C66">
        <w:t xml:space="preserve"> to allied workforce options and departure from core workforce (e.g. occupational therapist, speech pathology for young children not in workforce)</w:t>
      </w:r>
      <w:r>
        <w:t xml:space="preserve">. </w:t>
      </w:r>
      <w:proofErr w:type="gramStart"/>
      <w:r>
        <w:t>However</w:t>
      </w:r>
      <w:proofErr w:type="gramEnd"/>
      <w:r w:rsidRPr="24FA0C66">
        <w:t xml:space="preserve"> </w:t>
      </w:r>
      <w:r>
        <w:t xml:space="preserve">there is </w:t>
      </w:r>
      <w:r w:rsidRPr="24FA0C66">
        <w:t xml:space="preserve">not necessarily the funding for ECEC providers, outside the public sector and the largest private operators, to </w:t>
      </w:r>
      <w:r>
        <w:t>engage</w:t>
      </w:r>
      <w:r w:rsidRPr="24FA0C66">
        <w:t xml:space="preserve"> them. There are</w:t>
      </w:r>
      <w:r>
        <w:t xml:space="preserve"> very few</w:t>
      </w:r>
      <w:r w:rsidRPr="24FA0C66">
        <w:t xml:space="preserve"> ‘leading teacher’ roles like those in the school sector, where </w:t>
      </w:r>
      <w:r w:rsidRPr="000A3A0B">
        <w:rPr>
          <w:i/>
          <w:iCs/>
        </w:rPr>
        <w:t>Early Childhood Teachers</w:t>
      </w:r>
      <w:r w:rsidRPr="24FA0C66">
        <w:t xml:space="preserve"> can progress outside management roles. Moreover, the small size of most childcare providers means post qualification training opportunities are limited, with the career ladder topping out early (that is, there are few senior roles and higher qualifications).</w:t>
      </w:r>
    </w:p>
    <w:p w14:paraId="7E8CEB8C" w14:textId="77777777" w:rsidR="00442C59" w:rsidRPr="007B4CCF" w:rsidRDefault="00442C59" w:rsidP="00442C59">
      <w:pPr>
        <w:pStyle w:val="Heading3"/>
      </w:pPr>
      <w:r w:rsidRPr="007B4CCF">
        <w:t>Career Progression Options</w:t>
      </w:r>
    </w:p>
    <w:p w14:paraId="7F354BBF" w14:textId="77777777" w:rsidR="00442C59" w:rsidRDefault="00442C59" w:rsidP="00442C59">
      <w:pPr>
        <w:rPr>
          <w:rFonts w:eastAsia="Arial" w:cs="Arial"/>
        </w:rPr>
      </w:pPr>
      <w:r w:rsidRPr="5F9D6D39">
        <w:rPr>
          <w:rFonts w:eastAsia="Arial" w:cs="Arial"/>
        </w:rPr>
        <w:t xml:space="preserve">Chapter </w:t>
      </w:r>
      <w:r>
        <w:rPr>
          <w:rFonts w:eastAsia="Arial" w:cs="Arial"/>
        </w:rPr>
        <w:t>5</w:t>
      </w:r>
      <w:r w:rsidRPr="5F9D6D39">
        <w:rPr>
          <w:rFonts w:eastAsia="Arial" w:cs="Arial"/>
        </w:rPr>
        <w:t xml:space="preserve"> shows that </w:t>
      </w:r>
      <w:r>
        <w:rPr>
          <w:rFonts w:eastAsia="Arial" w:cs="Arial"/>
        </w:rPr>
        <w:t xml:space="preserve">improvements to </w:t>
      </w:r>
      <w:r w:rsidRPr="5F9D6D39">
        <w:rPr>
          <w:rFonts w:eastAsia="Arial" w:cs="Arial"/>
        </w:rPr>
        <w:t xml:space="preserve">the qualification map will help structure ECEC in ways that create better opportunities for those working in the sector. Currently, staff typically enter ECEC as </w:t>
      </w:r>
      <w:r w:rsidRPr="0074307F">
        <w:rPr>
          <w:rFonts w:eastAsia="Arial" w:cs="Arial"/>
          <w:i/>
          <w:iCs/>
        </w:rPr>
        <w:t>Child Care Workers</w:t>
      </w:r>
      <w:r w:rsidRPr="5F9D6D39">
        <w:rPr>
          <w:rFonts w:eastAsia="Arial" w:cs="Arial"/>
        </w:rPr>
        <w:t xml:space="preserve"> and stay in that role. The opportunities usually available for career progression are to become an </w:t>
      </w:r>
      <w:r w:rsidRPr="0679728B">
        <w:rPr>
          <w:rFonts w:eastAsia="Arial" w:cs="Arial"/>
          <w:i/>
        </w:rPr>
        <w:t xml:space="preserve">Early Childhood Teacher </w:t>
      </w:r>
      <w:r w:rsidRPr="5F9D6D39">
        <w:rPr>
          <w:rFonts w:eastAsia="Arial" w:cs="Arial"/>
        </w:rPr>
        <w:t xml:space="preserve">and/or a </w:t>
      </w:r>
      <w:r w:rsidRPr="0679728B">
        <w:rPr>
          <w:rFonts w:eastAsia="Arial" w:cs="Arial"/>
          <w:i/>
          <w:iCs/>
        </w:rPr>
        <w:t xml:space="preserve">Child Care </w:t>
      </w:r>
      <w:r w:rsidRPr="0679728B">
        <w:rPr>
          <w:rFonts w:eastAsia="Arial" w:cs="Arial"/>
          <w:i/>
        </w:rPr>
        <w:t>Centre Manager</w:t>
      </w:r>
      <w:r w:rsidRPr="5F9D6D39">
        <w:rPr>
          <w:rFonts w:eastAsia="Arial" w:cs="Arial"/>
        </w:rPr>
        <w:t xml:space="preserve">. Management and teaching do not reflect the full breadth of </w:t>
      </w:r>
      <w:r>
        <w:rPr>
          <w:rFonts w:eastAsia="Arial" w:cs="Arial"/>
        </w:rPr>
        <w:t xml:space="preserve">either </w:t>
      </w:r>
      <w:r w:rsidRPr="5F9D6D39">
        <w:rPr>
          <w:rFonts w:eastAsia="Arial" w:cs="Arial"/>
        </w:rPr>
        <w:t>the talents and skills of ECEC staff, nor the skills and abilities that the sector requires.</w:t>
      </w:r>
    </w:p>
    <w:p w14:paraId="3AA7E230" w14:textId="77777777" w:rsidR="00442C59" w:rsidRDefault="00442C59" w:rsidP="00442C59">
      <w:pPr>
        <w:rPr>
          <w:rFonts w:eastAsia="Arial" w:cs="Arial"/>
        </w:rPr>
      </w:pPr>
      <w:r w:rsidRPr="24FA0C66">
        <w:rPr>
          <w:rFonts w:eastAsia="Arial" w:cs="Arial"/>
        </w:rPr>
        <w:t>As Chapter 5 discussed, there are few entry points to ECEC work without extensive qualifications</w:t>
      </w:r>
      <w:r>
        <w:rPr>
          <w:rFonts w:eastAsia="Arial" w:cs="Arial"/>
        </w:rPr>
        <w:t>,</w:t>
      </w:r>
      <w:r w:rsidRPr="24FA0C66">
        <w:rPr>
          <w:rFonts w:eastAsia="Arial" w:cs="Arial"/>
        </w:rPr>
        <w:t xml:space="preserve"> </w:t>
      </w:r>
      <w:r>
        <w:rPr>
          <w:rFonts w:eastAsia="Arial" w:cs="Arial"/>
        </w:rPr>
        <w:t>limiting</w:t>
      </w:r>
      <w:r w:rsidRPr="24FA0C66">
        <w:rPr>
          <w:rFonts w:eastAsia="Arial" w:cs="Arial"/>
        </w:rPr>
        <w:t xml:space="preserve"> the ability for work experience opportunities. </w:t>
      </w:r>
      <w:r>
        <w:rPr>
          <w:rFonts w:eastAsia="Arial" w:cs="Arial"/>
        </w:rPr>
        <w:t>Some</w:t>
      </w:r>
      <w:r w:rsidRPr="24FA0C66">
        <w:rPr>
          <w:rFonts w:eastAsia="Arial" w:cs="Arial"/>
        </w:rPr>
        <w:t xml:space="preserve"> opportunities may be available via administrative support in large services</w:t>
      </w:r>
      <w:r>
        <w:rPr>
          <w:rFonts w:eastAsia="Arial" w:cs="Arial"/>
        </w:rPr>
        <w:t xml:space="preserve"> or auxiliary support</w:t>
      </w:r>
      <w:r w:rsidRPr="24FA0C66">
        <w:rPr>
          <w:rFonts w:eastAsia="Arial" w:cs="Arial"/>
        </w:rPr>
        <w:t xml:space="preserve"> work to enable ECEC educators</w:t>
      </w:r>
      <w:r>
        <w:rPr>
          <w:rFonts w:eastAsia="Arial" w:cs="Arial"/>
        </w:rPr>
        <w:t>.</w:t>
      </w:r>
      <w:r w:rsidRPr="24FA0C66">
        <w:rPr>
          <w:rFonts w:eastAsia="Arial" w:cs="Arial"/>
        </w:rPr>
        <w:t xml:space="preserve"> </w:t>
      </w:r>
    </w:p>
    <w:p w14:paraId="559D1265" w14:textId="77777777" w:rsidR="00442C59" w:rsidRDefault="00442C59" w:rsidP="00442C59">
      <w:pPr>
        <w:rPr>
          <w:rFonts w:eastAsia="Arial" w:cs="Arial"/>
        </w:rPr>
      </w:pPr>
      <w:r w:rsidRPr="7787B549">
        <w:rPr>
          <w:rFonts w:eastAsia="Arial" w:cs="Arial"/>
        </w:rPr>
        <w:lastRenderedPageBreak/>
        <w:t>A more rewarding career structure will also provide further opportunities to progress in a career not only via management but based on workplace learning and performance</w:t>
      </w:r>
      <w:r>
        <w:rPr>
          <w:rFonts w:eastAsia="Arial" w:cs="Arial"/>
        </w:rPr>
        <w:t xml:space="preserve"> in specialist or distinct roles. This may require</w:t>
      </w:r>
      <w:r w:rsidRPr="7787B549">
        <w:rPr>
          <w:rFonts w:eastAsia="Arial" w:cs="Arial"/>
        </w:rPr>
        <w:t xml:space="preserve"> </w:t>
      </w:r>
      <w:r w:rsidRPr="5FEAB24D">
        <w:rPr>
          <w:rFonts w:eastAsia="Arial" w:cs="Arial"/>
        </w:rPr>
        <w:t>continuing professional development</w:t>
      </w:r>
      <w:r w:rsidRPr="7787B549">
        <w:rPr>
          <w:rFonts w:eastAsia="Arial" w:cs="Arial"/>
        </w:rPr>
        <w:t xml:space="preserve">, individual interests, and specialised roles </w:t>
      </w:r>
      <w:r>
        <w:rPr>
          <w:rFonts w:eastAsia="Arial" w:cs="Arial"/>
        </w:rPr>
        <w:t xml:space="preserve">including taking up </w:t>
      </w:r>
      <w:r w:rsidRPr="7787B549">
        <w:rPr>
          <w:rFonts w:eastAsia="Arial" w:cs="Arial"/>
        </w:rPr>
        <w:t xml:space="preserve">higher </w:t>
      </w:r>
      <w:proofErr w:type="gramStart"/>
      <w:r w:rsidRPr="7787B549">
        <w:rPr>
          <w:rFonts w:eastAsia="Arial" w:cs="Arial"/>
        </w:rPr>
        <w:t>education</w:t>
      </w:r>
      <w:r>
        <w:rPr>
          <w:rFonts w:eastAsia="Arial" w:cs="Arial"/>
        </w:rPr>
        <w:t xml:space="preserve">  further</w:t>
      </w:r>
      <w:proofErr w:type="gramEnd"/>
      <w:r>
        <w:rPr>
          <w:rFonts w:eastAsia="Arial" w:cs="Arial"/>
        </w:rPr>
        <w:t xml:space="preserve"> study</w:t>
      </w:r>
      <w:r w:rsidRPr="7787B549">
        <w:rPr>
          <w:rFonts w:eastAsia="Arial" w:cs="Arial"/>
        </w:rPr>
        <w:t>. Such a</w:t>
      </w:r>
      <w:r>
        <w:rPr>
          <w:rFonts w:eastAsia="Arial" w:cs="Arial"/>
        </w:rPr>
        <w:t>n</w:t>
      </w:r>
      <w:r w:rsidRPr="7787B549">
        <w:rPr>
          <w:rFonts w:eastAsia="Arial" w:cs="Arial"/>
        </w:rPr>
        <w:t xml:space="preserve"> </w:t>
      </w:r>
      <w:r>
        <w:rPr>
          <w:rFonts w:eastAsia="Arial" w:cs="Arial"/>
        </w:rPr>
        <w:t xml:space="preserve">approach </w:t>
      </w:r>
      <w:r w:rsidRPr="7787B549">
        <w:rPr>
          <w:rFonts w:eastAsia="Arial" w:cs="Arial"/>
        </w:rPr>
        <w:t xml:space="preserve">would enable ECEC educators to pursue a career with rewards that increase beyond those currently available. </w:t>
      </w:r>
    </w:p>
    <w:p w14:paraId="05D7870F" w14:textId="77777777" w:rsidR="00442C59" w:rsidRPr="007B4CCF" w:rsidRDefault="00442C59" w:rsidP="00442C59">
      <w:pPr>
        <w:pStyle w:val="Heading3"/>
      </w:pPr>
      <w:r w:rsidRPr="007B4CCF">
        <w:rPr>
          <w:rStyle w:val="Heading3Char"/>
          <w:b/>
        </w:rPr>
        <w:t>Specialised Roles</w:t>
      </w:r>
    </w:p>
    <w:p w14:paraId="3865002C" w14:textId="77777777" w:rsidR="00442C59" w:rsidRDefault="00442C59" w:rsidP="00442C59">
      <w:pPr>
        <w:rPr>
          <w:rFonts w:eastAsia="Arial" w:cs="Arial"/>
        </w:rPr>
      </w:pPr>
      <w:r w:rsidRPr="4709D2E0">
        <w:rPr>
          <w:rFonts w:eastAsia="Arial" w:cs="Arial"/>
        </w:rPr>
        <w:t xml:space="preserve">Unlike in fields </w:t>
      </w:r>
      <w:r>
        <w:rPr>
          <w:rFonts w:eastAsia="Arial" w:cs="Arial"/>
        </w:rPr>
        <w:t>such as</w:t>
      </w:r>
      <w:r w:rsidRPr="4709D2E0">
        <w:rPr>
          <w:rFonts w:eastAsia="Arial" w:cs="Arial"/>
        </w:rPr>
        <w:t xml:space="preserve"> nursing where specialisations such as Geriatric Nursing enable nurses to focus and develop their interests and skills for the benefit of the community, ECEC career structures do not currently offer opportunities for formal specialisation. Studies </w:t>
      </w:r>
      <w:r>
        <w:t xml:space="preserve">(for example Mills, J et al., 2016) </w:t>
      </w:r>
      <w:r w:rsidRPr="4709D2E0">
        <w:rPr>
          <w:rFonts w:eastAsia="Arial" w:cs="Arial"/>
        </w:rPr>
        <w:t>have found that when early career nurses perceive that they are supported to pursue choices of specialised work, retention is improved. By enabling nurses to pursue specialisations that interest them</w:t>
      </w:r>
      <w:r>
        <w:rPr>
          <w:rFonts w:eastAsia="Arial" w:cs="Arial"/>
        </w:rPr>
        <w:t>,</w:t>
      </w:r>
      <w:r w:rsidRPr="4709D2E0">
        <w:rPr>
          <w:rFonts w:eastAsia="Arial" w:cs="Arial"/>
        </w:rPr>
        <w:t xml:space="preserve"> they are not only more engaged in their work, but are also able to improve their performance. </w:t>
      </w:r>
      <w:r>
        <w:rPr>
          <w:rFonts w:eastAsia="Arial" w:cs="Arial"/>
        </w:rPr>
        <w:t>The possibilities for varied career progression</w:t>
      </w:r>
      <w:r w:rsidRPr="4709D2E0">
        <w:rPr>
          <w:rFonts w:eastAsia="Arial" w:cs="Arial"/>
        </w:rPr>
        <w:t xml:space="preserve"> relate</w:t>
      </w:r>
      <w:r>
        <w:rPr>
          <w:rFonts w:eastAsia="Arial" w:cs="Arial"/>
        </w:rPr>
        <w:t>s</w:t>
      </w:r>
      <w:r w:rsidRPr="4709D2E0">
        <w:rPr>
          <w:rFonts w:eastAsia="Arial" w:cs="Arial"/>
        </w:rPr>
        <w:t xml:space="preserve"> to job satisfaction and performance </w:t>
      </w:r>
      <w:r>
        <w:t xml:space="preserve">(Ward &amp; Shields, 2001). </w:t>
      </w:r>
    </w:p>
    <w:p w14:paraId="15C47AE5" w14:textId="77777777" w:rsidR="00442C59" w:rsidRDefault="00442C59" w:rsidP="00442C59">
      <w:pPr>
        <w:rPr>
          <w:rStyle w:val="eop"/>
          <w:rFonts w:eastAsia="Arial" w:cs="Arial"/>
        </w:rPr>
      </w:pPr>
      <w:r w:rsidRPr="24FA0C66">
        <w:rPr>
          <w:rStyle w:val="eop"/>
          <w:rFonts w:eastAsia="Arial" w:cs="Arial"/>
        </w:rPr>
        <w:t xml:space="preserve">JSA analysis of </w:t>
      </w:r>
      <w:r>
        <w:rPr>
          <w:rStyle w:val="eop"/>
          <w:rFonts w:eastAsia="Arial" w:cs="Arial"/>
        </w:rPr>
        <w:t>h</w:t>
      </w:r>
      <w:r w:rsidRPr="24FA0C66">
        <w:rPr>
          <w:rStyle w:val="eop"/>
          <w:rFonts w:eastAsia="Arial" w:cs="Arial"/>
        </w:rPr>
        <w:t xml:space="preserve">iring </w:t>
      </w:r>
      <w:r>
        <w:rPr>
          <w:rStyle w:val="eop"/>
          <w:rFonts w:eastAsia="Arial" w:cs="Arial"/>
        </w:rPr>
        <w:t>t</w:t>
      </w:r>
      <w:r w:rsidRPr="24FA0C66">
        <w:rPr>
          <w:rStyle w:val="eop"/>
          <w:rFonts w:eastAsia="Arial" w:cs="Arial"/>
        </w:rPr>
        <w:t xml:space="preserve">rends (see Chapter 2) shows that a very wide range of skills are expected from ECEC workers, including </w:t>
      </w:r>
      <w:r>
        <w:rPr>
          <w:rStyle w:val="eop"/>
          <w:rFonts w:eastAsia="Arial" w:cs="Arial"/>
        </w:rPr>
        <w:t>core</w:t>
      </w:r>
      <w:r w:rsidRPr="24FA0C66">
        <w:rPr>
          <w:rStyle w:val="eop"/>
          <w:rFonts w:eastAsia="Arial" w:cs="Arial"/>
        </w:rPr>
        <w:t xml:space="preserve"> skills like caregiving and creating a nurturing environment as well as a wide range of extrinsic skills, like cooking, immunisations, program planning, music, mental health and yoga.</w:t>
      </w:r>
    </w:p>
    <w:p w14:paraId="2DAB4DAD" w14:textId="77777777" w:rsidR="00442C59" w:rsidRDefault="00442C59" w:rsidP="00442C59">
      <w:pPr>
        <w:rPr>
          <w:rStyle w:val="eop"/>
          <w:rFonts w:eastAsia="Arial" w:cs="Arial"/>
        </w:rPr>
      </w:pPr>
      <w:r w:rsidRPr="153358B7">
        <w:rPr>
          <w:rStyle w:val="eop"/>
          <w:rFonts w:eastAsia="Arial" w:cs="Arial"/>
        </w:rPr>
        <w:t>Emerging</w:t>
      </w:r>
      <w:r w:rsidRPr="4709D2E0">
        <w:rPr>
          <w:rStyle w:val="eop"/>
          <w:rFonts w:eastAsia="Arial" w:cs="Arial"/>
        </w:rPr>
        <w:t xml:space="preserve"> skill areas, such as First Nations </w:t>
      </w:r>
      <w:r>
        <w:rPr>
          <w:rStyle w:val="eop"/>
          <w:rFonts w:eastAsia="Arial" w:cs="Arial"/>
        </w:rPr>
        <w:t>c</w:t>
      </w:r>
      <w:r w:rsidRPr="4709D2E0">
        <w:rPr>
          <w:rStyle w:val="eop"/>
          <w:rFonts w:eastAsia="Arial" w:cs="Arial"/>
        </w:rPr>
        <w:t xml:space="preserve">ultural </w:t>
      </w:r>
      <w:r>
        <w:rPr>
          <w:rStyle w:val="eop"/>
          <w:rFonts w:eastAsia="Arial" w:cs="Arial"/>
        </w:rPr>
        <w:t>s</w:t>
      </w:r>
      <w:r w:rsidRPr="4709D2E0">
        <w:rPr>
          <w:rStyle w:val="eop"/>
          <w:rFonts w:eastAsia="Arial" w:cs="Arial"/>
        </w:rPr>
        <w:t xml:space="preserve">afety, </w:t>
      </w:r>
      <w:r>
        <w:rPr>
          <w:rStyle w:val="eop"/>
          <w:rFonts w:eastAsia="Arial" w:cs="Arial"/>
        </w:rPr>
        <w:t>c</w:t>
      </w:r>
      <w:r w:rsidRPr="4709D2E0">
        <w:rPr>
          <w:rStyle w:val="eop"/>
          <w:rFonts w:eastAsia="Arial" w:cs="Arial"/>
        </w:rPr>
        <w:t xml:space="preserve">ultural and </w:t>
      </w:r>
      <w:r>
        <w:rPr>
          <w:rStyle w:val="eop"/>
          <w:rFonts w:eastAsia="Arial" w:cs="Arial"/>
        </w:rPr>
        <w:t>l</w:t>
      </w:r>
      <w:r w:rsidRPr="4709D2E0">
        <w:rPr>
          <w:rStyle w:val="eop"/>
          <w:rFonts w:eastAsia="Arial" w:cs="Arial"/>
        </w:rPr>
        <w:t xml:space="preserve">inguistic </w:t>
      </w:r>
      <w:r>
        <w:rPr>
          <w:rStyle w:val="eop"/>
          <w:rFonts w:eastAsia="Arial" w:cs="Arial"/>
        </w:rPr>
        <w:t>d</w:t>
      </w:r>
      <w:r w:rsidRPr="4709D2E0">
        <w:rPr>
          <w:rStyle w:val="eop"/>
          <w:rFonts w:eastAsia="Arial" w:cs="Arial"/>
        </w:rPr>
        <w:t>iversity (including bilingual teaching to include languages other than English), and Disability</w:t>
      </w:r>
      <w:r>
        <w:rPr>
          <w:rStyle w:val="eop"/>
          <w:rFonts w:eastAsia="Arial" w:cs="Arial"/>
        </w:rPr>
        <w:t xml:space="preserve"> support also signal the need for increased specialisation in ECEC</w:t>
      </w:r>
      <w:r w:rsidRPr="4709D2E0">
        <w:rPr>
          <w:rStyle w:val="eop"/>
          <w:rFonts w:eastAsia="Arial" w:cs="Arial"/>
        </w:rPr>
        <w:t xml:space="preserve">. The growing need for ECEC educators to work alongside allied health professionals such as Speech Pathologists further demonstrates that there are likely benefits for children and the community when educators seek career opportunities via specialisation or other forms of professional development. Creating opportunities for staff to pursue professional development is a matter of resourcing so that services are not under further pressure while staff are </w:t>
      </w:r>
      <w:r>
        <w:rPr>
          <w:rStyle w:val="eop"/>
          <w:rFonts w:eastAsia="Arial" w:cs="Arial"/>
        </w:rPr>
        <w:t>undertaking their training</w:t>
      </w:r>
      <w:r w:rsidRPr="4709D2E0">
        <w:rPr>
          <w:rStyle w:val="eop"/>
          <w:rFonts w:eastAsia="Arial" w:cs="Arial"/>
        </w:rPr>
        <w:t>.</w:t>
      </w:r>
    </w:p>
    <w:p w14:paraId="1FCFBF50" w14:textId="77777777" w:rsidR="00442C59" w:rsidRDefault="00442C59" w:rsidP="00442C59">
      <w:pPr>
        <w:rPr>
          <w:rStyle w:val="eop"/>
          <w:rFonts w:eastAsia="Arial" w:cs="Arial"/>
          <w:shd w:val="clear" w:color="auto" w:fill="D3D3D3"/>
        </w:rPr>
      </w:pPr>
      <w:r w:rsidRPr="193B3D6C">
        <w:rPr>
          <w:rStyle w:val="eop"/>
          <w:rFonts w:eastAsia="Arial" w:cs="Arial"/>
        </w:rPr>
        <w:t xml:space="preserve">There is considerable scope for specialisation in ECEC work, like that available for staff in healthcare. Some of these </w:t>
      </w:r>
      <w:r>
        <w:rPr>
          <w:rStyle w:val="eop"/>
          <w:rFonts w:eastAsia="Arial" w:cs="Arial"/>
        </w:rPr>
        <w:t xml:space="preserve">specialisations </w:t>
      </w:r>
      <w:r w:rsidRPr="193B3D6C">
        <w:rPr>
          <w:rStyle w:val="eop"/>
          <w:rFonts w:eastAsia="Arial" w:cs="Arial"/>
        </w:rPr>
        <w:t xml:space="preserve">could allow ECEC workers to develop curriculum specialisms without </w:t>
      </w:r>
      <w:r>
        <w:rPr>
          <w:rStyle w:val="eop"/>
          <w:rFonts w:eastAsia="Arial" w:cs="Arial"/>
        </w:rPr>
        <w:t xml:space="preserve">significant </w:t>
      </w:r>
      <w:r w:rsidRPr="193B3D6C">
        <w:rPr>
          <w:rStyle w:val="eop"/>
          <w:rFonts w:eastAsia="Arial" w:cs="Arial"/>
        </w:rPr>
        <w:t xml:space="preserve">further training, such as sport and fitness, environmental care and permaculture, or creative arts and music. Others might require formal study, such as bilingual education, disability support and speech development. </w:t>
      </w:r>
    </w:p>
    <w:p w14:paraId="7FEB3541" w14:textId="77777777" w:rsidR="00442C59" w:rsidRDefault="00442C59" w:rsidP="00442C59">
      <w:pPr>
        <w:pStyle w:val="IntenseQuote"/>
        <w:rPr>
          <w:rFonts w:eastAsia="Arial" w:cs="Arial"/>
        </w:rPr>
      </w:pPr>
      <w:proofErr w:type="gramStart"/>
      <w:r w:rsidRPr="193B3D6C">
        <w:rPr>
          <w:rFonts w:eastAsia="Arial" w:cs="Arial"/>
        </w:rPr>
        <w:t>Unfortunately</w:t>
      </w:r>
      <w:proofErr w:type="gramEnd"/>
      <w:r w:rsidRPr="193B3D6C">
        <w:rPr>
          <w:rFonts w:eastAsia="Arial" w:cs="Arial"/>
        </w:rPr>
        <w:t xml:space="preserve"> in the current climate, it is challenging to backfill educators to attend professional development. This may result in educators attending out of hours, leading to further burnout, rather than have the intended effect of inspiration and retention. (Submission</w:t>
      </w:r>
      <w:r w:rsidRPr="00EC0F5C">
        <w:rPr>
          <w:rFonts w:eastAsia="Arial" w:cs="Arial"/>
        </w:rPr>
        <w:t xml:space="preserve"> 45 – Early Learning and Care Council of Australia)</w:t>
      </w:r>
    </w:p>
    <w:p w14:paraId="7D66EC9B" w14:textId="77777777" w:rsidR="00442C59" w:rsidRDefault="00442C59" w:rsidP="00442C59">
      <w:pPr>
        <w:rPr>
          <w:rStyle w:val="eop"/>
          <w:rFonts w:eastAsia="Arial" w:cs="Arial"/>
        </w:rPr>
      </w:pPr>
      <w:bookmarkStart w:id="174" w:name="_Toc162960687"/>
      <w:r w:rsidRPr="1882A426">
        <w:rPr>
          <w:rStyle w:val="eop"/>
          <w:rFonts w:eastAsia="Arial" w:cs="Arial"/>
        </w:rPr>
        <w:t xml:space="preserve">As the sector evolves, these specialised roles should also grow. It will be important for a new career structure in ECEC not only to allow for these specialisations but also to be adequately flexible as new areas of focus develop. </w:t>
      </w:r>
    </w:p>
    <w:p w14:paraId="708FE905" w14:textId="77777777" w:rsidR="00442C59" w:rsidRPr="002D633F" w:rsidRDefault="00442C59" w:rsidP="00442C59">
      <w:pPr>
        <w:pStyle w:val="Finding"/>
        <w:keepLines/>
        <w:numPr>
          <w:ilvl w:val="0"/>
          <w:numId w:val="0"/>
        </w:numPr>
      </w:pPr>
      <w:r w:rsidRPr="0055481B">
        <w:lastRenderedPageBreak/>
        <w:t>Finding -</w:t>
      </w:r>
      <w:r>
        <w:t xml:space="preserve"> </w:t>
      </w:r>
      <w:r w:rsidRPr="00442C59">
        <w:rPr>
          <w:b w:val="0"/>
          <w:bCs w:val="0"/>
        </w:rPr>
        <w:t>ECEC requires staff who are skilled in a wide range of specialisations. However, the ways that ECEC careers are currently structured offer relatively few opportunities for specialised roles. The inability to specialise causes gaps in provision and career progression opportunities for ECEC staff and can be contrasted against other sectors.</w:t>
      </w:r>
    </w:p>
    <w:p w14:paraId="5BEB689D" w14:textId="77777777" w:rsidR="00442C59" w:rsidRPr="002D633F" w:rsidRDefault="00442C59" w:rsidP="00442C59">
      <w:pPr>
        <w:pStyle w:val="ListParagraph"/>
        <w:numPr>
          <w:ilvl w:val="0"/>
          <w:numId w:val="0"/>
        </w:numPr>
        <w:ind w:left="722"/>
        <w:rPr>
          <w:i w:val="0"/>
          <w:iCs w:val="0"/>
        </w:rPr>
      </w:pPr>
      <w:r w:rsidRPr="002D633F">
        <w:rPr>
          <w:b/>
          <w:bCs/>
          <w:i w:val="0"/>
          <w:iCs w:val="0"/>
        </w:rPr>
        <w:t xml:space="preserve">Recommendation - </w:t>
      </w:r>
      <w:r w:rsidRPr="002D633F">
        <w:rPr>
          <w:i w:val="0"/>
          <w:iCs w:val="0"/>
        </w:rPr>
        <w:t xml:space="preserve">Governments should consider how funding might be made available to support educators to meet identified needs, including: </w:t>
      </w:r>
    </w:p>
    <w:p w14:paraId="71193C5A" w14:textId="77777777" w:rsidR="00442C59" w:rsidRPr="002D633F" w:rsidRDefault="00442C59" w:rsidP="00A2332E">
      <w:pPr>
        <w:pStyle w:val="ListParagraph"/>
        <w:numPr>
          <w:ilvl w:val="0"/>
          <w:numId w:val="30"/>
        </w:numPr>
        <w:ind w:left="1440" w:firstLine="0"/>
        <w:contextualSpacing w:val="0"/>
        <w:rPr>
          <w:i w:val="0"/>
          <w:iCs w:val="0"/>
        </w:rPr>
      </w:pPr>
      <w:r w:rsidRPr="002D633F">
        <w:rPr>
          <w:i w:val="0"/>
          <w:iCs w:val="0"/>
        </w:rPr>
        <w:t xml:space="preserve">appropriate funding for subsidised supervision sessions for senior staff in regional and remote locations with a Child Behaviour Specialist or Psychologist to debrief and discuss children’s educational concerns. </w:t>
      </w:r>
    </w:p>
    <w:p w14:paraId="702D496B" w14:textId="77777777" w:rsidR="00442C59" w:rsidRPr="002D633F" w:rsidRDefault="00442C59" w:rsidP="00A2332E">
      <w:pPr>
        <w:pStyle w:val="ListParagraph"/>
        <w:numPr>
          <w:ilvl w:val="0"/>
          <w:numId w:val="30"/>
        </w:numPr>
        <w:ind w:left="1440" w:firstLine="0"/>
        <w:contextualSpacing w:val="0"/>
        <w:rPr>
          <w:i w:val="0"/>
          <w:iCs w:val="0"/>
        </w:rPr>
      </w:pPr>
      <w:r w:rsidRPr="002D633F">
        <w:rPr>
          <w:i w:val="0"/>
          <w:iCs w:val="0"/>
        </w:rPr>
        <w:t xml:space="preserve">investment in evidence-informed trauma resources and trauma informed training for educators, to support children with additional needs. </w:t>
      </w:r>
    </w:p>
    <w:p w14:paraId="14669079" w14:textId="77777777" w:rsidR="00442C59" w:rsidRDefault="00442C59" w:rsidP="00A2332E">
      <w:pPr>
        <w:pStyle w:val="ListParagraph"/>
        <w:numPr>
          <w:ilvl w:val="0"/>
          <w:numId w:val="30"/>
        </w:numPr>
        <w:ind w:left="1440" w:firstLine="0"/>
        <w:contextualSpacing w:val="0"/>
        <w:rPr>
          <w:i w:val="0"/>
          <w:iCs w:val="0"/>
        </w:rPr>
      </w:pPr>
      <w:r w:rsidRPr="002D633F">
        <w:rPr>
          <w:i w:val="0"/>
          <w:iCs w:val="0"/>
        </w:rPr>
        <w:t>resources and training to support early years educators in implementation of the NDIS recommendations in relation to identification of children’s developmental needs and establishing inclusive educational and care settings.</w:t>
      </w:r>
    </w:p>
    <w:p w14:paraId="3DC13C83" w14:textId="77777777" w:rsidR="00442C59" w:rsidRPr="002D633F" w:rsidRDefault="00442C59" w:rsidP="00442C59">
      <w:pPr>
        <w:pStyle w:val="ListParagraph"/>
        <w:numPr>
          <w:ilvl w:val="0"/>
          <w:numId w:val="0"/>
        </w:numPr>
        <w:ind w:left="722"/>
        <w:rPr>
          <w:i w:val="0"/>
          <w:iCs w:val="0"/>
        </w:rPr>
      </w:pPr>
      <w:r w:rsidRPr="002D633F">
        <w:rPr>
          <w:b/>
          <w:bCs/>
          <w:i w:val="0"/>
          <w:iCs w:val="0"/>
        </w:rPr>
        <w:t xml:space="preserve">Recommendation </w:t>
      </w:r>
      <w:r>
        <w:rPr>
          <w:b/>
          <w:bCs/>
          <w:i w:val="0"/>
          <w:iCs w:val="0"/>
        </w:rPr>
        <w:t>–</w:t>
      </w:r>
      <w:r w:rsidRPr="002D633F">
        <w:rPr>
          <w:b/>
          <w:bCs/>
          <w:i w:val="0"/>
          <w:iCs w:val="0"/>
        </w:rPr>
        <w:t xml:space="preserve"> </w:t>
      </w:r>
      <w:r w:rsidRPr="002D633F">
        <w:rPr>
          <w:i w:val="0"/>
          <w:iCs w:val="0"/>
        </w:rPr>
        <w:t>HumanAbility</w:t>
      </w:r>
      <w:r>
        <w:rPr>
          <w:i w:val="0"/>
          <w:iCs w:val="0"/>
        </w:rPr>
        <w:t xml:space="preserve"> </w:t>
      </w:r>
      <w:r w:rsidRPr="00486ABB">
        <w:rPr>
          <w:i w:val="0"/>
          <w:iCs w:val="0"/>
        </w:rPr>
        <w:t>to consider specialisation pathways within the Certificate III ECEC and Diploma ECEC to serve different service types particularly IHC, OSHC and FDC delivery. This could include identifying alternative existing units that could support inclusive education for different identified needs and particularly for First Nations children</w:t>
      </w:r>
      <w:r>
        <w:rPr>
          <w:i w:val="0"/>
          <w:iCs w:val="0"/>
        </w:rPr>
        <w:t>.</w:t>
      </w:r>
    </w:p>
    <w:p w14:paraId="393B3D2A" w14:textId="77777777" w:rsidR="00442C59" w:rsidRPr="00CA6F0D" w:rsidRDefault="00442C59" w:rsidP="00442C59">
      <w:pPr>
        <w:pStyle w:val="Heading2"/>
      </w:pPr>
      <w:bookmarkStart w:id="175" w:name="_Toc174363725"/>
      <w:r w:rsidRPr="00CA6F0D">
        <w:t>ECEC Scopes of Practice</w:t>
      </w:r>
      <w:bookmarkEnd w:id="175"/>
    </w:p>
    <w:p w14:paraId="30A64A5A" w14:textId="77777777" w:rsidR="00442C59" w:rsidRDefault="00442C59" w:rsidP="00442C59">
      <w:pPr>
        <w:rPr>
          <w:lang w:eastAsia="en-AU"/>
        </w:rPr>
      </w:pPr>
      <w:r w:rsidRPr="24FA0C66">
        <w:rPr>
          <w:lang w:eastAsia="en-AU"/>
        </w:rPr>
        <w:t>The ECEC workforce is currently structured via qualification pathways so that a mix of certificate, diploma and higher educated ECEC educators work together with implicitly distinct scopes of practice, as Chapter 5 demonstrated. Since these qualification pathways are linked to award rates, there is a tendency to define ECEC work via qualification rather than by the work that is needed and how this might change over time. In this context, services find it more difficult to tailor roles that serve specific needs, and individual careers are frequently constrained by the qualification with which they entered ECEC.</w:t>
      </w:r>
    </w:p>
    <w:p w14:paraId="767F2D38" w14:textId="77777777" w:rsidR="00442C59" w:rsidRDefault="00442C59" w:rsidP="00442C59">
      <w:pPr>
        <w:rPr>
          <w:lang w:eastAsia="en-AU"/>
        </w:rPr>
      </w:pPr>
      <w:r w:rsidRPr="1882A426">
        <w:rPr>
          <w:lang w:eastAsia="en-AU"/>
        </w:rPr>
        <w:t xml:space="preserve">It is important to ensure that education pathways provide quality training in the work that </w:t>
      </w:r>
      <w:r>
        <w:rPr>
          <w:lang w:eastAsia="en-AU"/>
        </w:rPr>
        <w:t xml:space="preserve">is done in </w:t>
      </w:r>
      <w:r w:rsidRPr="1882A426">
        <w:rPr>
          <w:lang w:eastAsia="en-AU"/>
        </w:rPr>
        <w:t xml:space="preserve">ECEC. ECEC qualifications do this quite successfully, but explicit scopes of practice for ECEC roles would help the sector define what is needed in a way that could be more flexibly applies and, if required, revise educational programs to match. </w:t>
      </w:r>
      <w:proofErr w:type="gramStart"/>
      <w:r w:rsidRPr="1882A426">
        <w:rPr>
          <w:lang w:eastAsia="en-AU"/>
        </w:rPr>
        <w:t>In particular, more</w:t>
      </w:r>
      <w:proofErr w:type="gramEnd"/>
      <w:r w:rsidRPr="1882A426">
        <w:rPr>
          <w:lang w:eastAsia="en-AU"/>
        </w:rPr>
        <w:t xml:space="preserve"> explicit scopes of practice would address key concerns about the distinctions between </w:t>
      </w:r>
      <w:r>
        <w:rPr>
          <w:lang w:eastAsia="en-AU"/>
        </w:rPr>
        <w:t>c</w:t>
      </w:r>
      <w:r w:rsidRPr="1882A426">
        <w:rPr>
          <w:lang w:eastAsia="en-AU"/>
        </w:rPr>
        <w:t xml:space="preserve">ertificate, diploma, bachelor and </w:t>
      </w:r>
      <w:r>
        <w:rPr>
          <w:lang w:eastAsia="en-AU"/>
        </w:rPr>
        <w:t>postgraduate</w:t>
      </w:r>
      <w:r w:rsidRPr="1882A426">
        <w:rPr>
          <w:lang w:eastAsia="en-AU"/>
        </w:rPr>
        <w:t>-qualified ECEC practitioners, enable a more efficient allocation of resources and help facilitate specialisation within levels.</w:t>
      </w:r>
    </w:p>
    <w:p w14:paraId="07F6A4F9" w14:textId="77777777" w:rsidR="00442C59" w:rsidRDefault="00442C59" w:rsidP="00442C59">
      <w:pPr>
        <w:keepNext/>
        <w:keepLines/>
        <w:rPr>
          <w:lang w:eastAsia="en-AU"/>
        </w:rPr>
      </w:pPr>
      <w:r w:rsidRPr="1882A426">
        <w:rPr>
          <w:lang w:eastAsia="en-AU"/>
        </w:rPr>
        <w:lastRenderedPageBreak/>
        <w:t>Other professions, including several in healthcare (nursing is the most relevant), have developed explicit scopes of practice for different roles. These scopes of practice include qualifications, placement requirements and educational outcomes that are mapped to a broad description of the specific role. It is possible, as has been done for midwives, to add extended scopes of practice for more experienced practitioners, and for</w:t>
      </w:r>
      <w:r>
        <w:rPr>
          <w:lang w:eastAsia="en-AU"/>
        </w:rPr>
        <w:t xml:space="preserve"> the creation of</w:t>
      </w:r>
      <w:r w:rsidRPr="1882A426">
        <w:rPr>
          <w:lang w:eastAsia="en-AU"/>
        </w:rPr>
        <w:t xml:space="preserve"> specialised roles.</w:t>
      </w:r>
    </w:p>
    <w:p w14:paraId="1C23A007" w14:textId="77777777" w:rsidR="00442C59" w:rsidRPr="00851AAE" w:rsidRDefault="00442C59" w:rsidP="00442C59">
      <w:pPr>
        <w:pStyle w:val="IntenseQuote"/>
      </w:pPr>
      <w:r>
        <w:t xml:space="preserve">I think there needs to be a significant piece of work that </w:t>
      </w:r>
      <w:proofErr w:type="gramStart"/>
      <w:r>
        <w:t>actually looks</w:t>
      </w:r>
      <w:proofErr w:type="gramEnd"/>
      <w:r>
        <w:t xml:space="preserve"> at what would you want to see from somebody just coming into your job role. What would you like to see somebody working at Certificate III level but being around for a little bit longer? What would you then like to see the difference between that and somebody working at the diploma level? What would you like to see as somebody has a diploma and has been more experienced over a few years?</w:t>
      </w:r>
      <w:r>
        <w:br/>
        <w:t>And what's the difference between that and the teacher?</w:t>
      </w:r>
      <w:r>
        <w:br/>
        <w:t xml:space="preserve">And even then, a teacher who's been around for a few years, so we've </w:t>
      </w:r>
      <w:proofErr w:type="gramStart"/>
      <w:r>
        <w:t>actually got</w:t>
      </w:r>
      <w:proofErr w:type="gramEnd"/>
      <w:r>
        <w:t xml:space="preserve"> a sort of a stage career life, life within early childhood. And yes, I know I'm putting pay things like that on the back shelf because I think we </w:t>
      </w:r>
      <w:proofErr w:type="gramStart"/>
      <w:r>
        <w:t>actually just</w:t>
      </w:r>
      <w:proofErr w:type="gramEnd"/>
      <w:r>
        <w:t xml:space="preserve"> have to focus on what we're actually looking at while we're working in the sector. (</w:t>
      </w:r>
      <w:r w:rsidRPr="004C31A4">
        <w:t>Consultation 3</w:t>
      </w:r>
      <w:r>
        <w:t>)</w:t>
      </w:r>
    </w:p>
    <w:p w14:paraId="1DBEEF88" w14:textId="77777777" w:rsidR="00442C59" w:rsidRDefault="00442C59" w:rsidP="00442C59">
      <w:pPr>
        <w:rPr>
          <w:lang w:eastAsia="en-AU"/>
        </w:rPr>
      </w:pPr>
      <w:r w:rsidRPr="1882A426">
        <w:rPr>
          <w:lang w:eastAsia="en-AU"/>
        </w:rPr>
        <w:t xml:space="preserve">Defined scopes of practice can be revised as needed by ECEC, and new ones added. Scopes of practice for </w:t>
      </w:r>
      <w:r w:rsidRPr="1882A426">
        <w:rPr>
          <w:i/>
          <w:iCs/>
          <w:lang w:eastAsia="en-AU"/>
        </w:rPr>
        <w:t xml:space="preserve">Midwives, Enrolled Nurses, Registered Nurses </w:t>
      </w:r>
      <w:r w:rsidRPr="1882A426">
        <w:rPr>
          <w:lang w:eastAsia="en-AU"/>
        </w:rPr>
        <w:t>and</w:t>
      </w:r>
      <w:r w:rsidRPr="1882A426">
        <w:rPr>
          <w:i/>
          <w:iCs/>
          <w:lang w:eastAsia="en-AU"/>
        </w:rPr>
        <w:t xml:space="preserve"> Nurse Practitioners</w:t>
      </w:r>
      <w:r w:rsidRPr="1882A426">
        <w:rPr>
          <w:lang w:eastAsia="en-AU"/>
        </w:rPr>
        <w:t xml:space="preserve"> legally limit certain work tasks to those registered to perform them, but it is not only about placing hard borders between roles. Importantly, it also acknowledges that ‘the scope of practice of individual practitioners is influenced by the settings in which they practice…[including] the health needs of people, the level of competence and confidence of the nurse and the policy requirements of the service provider. As the nurse gains new skills and knowledge, their individual scope of practice changes’ (Nursing </w:t>
      </w:r>
      <w:r>
        <w:rPr>
          <w:lang w:eastAsia="en-AU"/>
        </w:rPr>
        <w:t xml:space="preserve">and </w:t>
      </w:r>
      <w:r w:rsidRPr="1882A426">
        <w:rPr>
          <w:lang w:eastAsia="en-AU"/>
        </w:rPr>
        <w:t>Midwifery Board</w:t>
      </w:r>
      <w:r>
        <w:rPr>
          <w:lang w:eastAsia="en-AU"/>
        </w:rPr>
        <w:t>,</w:t>
      </w:r>
      <w:r w:rsidRPr="1882A426">
        <w:rPr>
          <w:lang w:eastAsia="en-AU"/>
        </w:rPr>
        <w:t xml:space="preserve"> 2023).</w:t>
      </w:r>
    </w:p>
    <w:p w14:paraId="40F7F6B8" w14:textId="77777777" w:rsidR="00442C59" w:rsidRDefault="00442C59" w:rsidP="00442C59">
      <w:pPr>
        <w:rPr>
          <w:lang w:eastAsia="en-AU"/>
        </w:rPr>
      </w:pPr>
      <w:r w:rsidRPr="1882A426">
        <w:rPr>
          <w:lang w:eastAsia="en-AU"/>
        </w:rPr>
        <w:t xml:space="preserve">Anne Gardner and Glenn Gardner (2005) describe a process of developing the scope of practice for </w:t>
      </w:r>
      <w:r w:rsidRPr="1882A426">
        <w:rPr>
          <w:i/>
          <w:iCs/>
          <w:lang w:eastAsia="en-AU"/>
        </w:rPr>
        <w:t>Nurse Practitioners. Nurse Practitioners</w:t>
      </w:r>
      <w:r w:rsidRPr="1882A426">
        <w:rPr>
          <w:lang w:eastAsia="en-AU"/>
        </w:rPr>
        <w:t xml:space="preserve"> have been introduced to address inequitable provision of healthcare and ease the burden on GPs. In a trial, each </w:t>
      </w:r>
      <w:r w:rsidRPr="1882A426">
        <w:rPr>
          <w:i/>
          <w:iCs/>
          <w:lang w:eastAsia="en-AU"/>
        </w:rPr>
        <w:t>Nurse Practitioner</w:t>
      </w:r>
      <w:r w:rsidRPr="1882A426">
        <w:rPr>
          <w:lang w:eastAsia="en-AU"/>
        </w:rPr>
        <w:t xml:space="preserve"> worked in a team, ‘working into’ their role. This meant that they could develop the scope of practice for the </w:t>
      </w:r>
      <w:r w:rsidRPr="1882A426">
        <w:rPr>
          <w:i/>
          <w:iCs/>
          <w:lang w:eastAsia="en-AU"/>
        </w:rPr>
        <w:t>Nurse Practitioner</w:t>
      </w:r>
      <w:r w:rsidRPr="1882A426">
        <w:rPr>
          <w:lang w:eastAsia="en-AU"/>
        </w:rPr>
        <w:t xml:space="preserve"> role based on what people did in response to real clinical needs rather than impose the role description from an abstract starting point. The advantage of a similar approach in ECEC is that it would enable scopes of practice for ECEC roles to align to the needs of children, communities and services. It would also allow for the career structure to recognise and reward the ways that, within boundaries, ECEC educators also make their own roles that align with their own strengths and abilities.</w:t>
      </w:r>
    </w:p>
    <w:p w14:paraId="03C0C12C" w14:textId="77777777" w:rsidR="00442C59" w:rsidRDefault="00442C59" w:rsidP="00442C59">
      <w:pPr>
        <w:pStyle w:val="IntenseQuote"/>
        <w:rPr>
          <w:lang w:eastAsia="en-AU"/>
        </w:rPr>
      </w:pPr>
      <w:r>
        <w:t xml:space="preserve">We're looking at trying to capture and build to create pathways for people, but also to build the capacity to playgroup environments. It </w:t>
      </w:r>
      <w:proofErr w:type="gramStart"/>
      <w:r>
        <w:t>really just</w:t>
      </w:r>
      <w:proofErr w:type="gramEnd"/>
      <w:r>
        <w:t xml:space="preserve"> highlights that there are different roles that aren't being picked up. It was put in the training package update initially as Cert II, but then it was dropped out. But there is potential. (Consultation 1)</w:t>
      </w:r>
    </w:p>
    <w:p w14:paraId="14BF5DAC" w14:textId="77777777" w:rsidR="00442C59" w:rsidRDefault="00442C59" w:rsidP="00442C59">
      <w:pPr>
        <w:rPr>
          <w:lang w:eastAsia="en-AU"/>
        </w:rPr>
      </w:pPr>
      <w:r w:rsidRPr="1882A426">
        <w:rPr>
          <w:lang w:eastAsia="en-AU"/>
        </w:rPr>
        <w:lastRenderedPageBreak/>
        <w:t>Building coherent, but flexible, scope</w:t>
      </w:r>
      <w:r>
        <w:rPr>
          <w:lang w:eastAsia="en-AU"/>
        </w:rPr>
        <w:t>s</w:t>
      </w:r>
      <w:r w:rsidRPr="1882A426">
        <w:rPr>
          <w:lang w:eastAsia="en-AU"/>
        </w:rPr>
        <w:t xml:space="preserve"> of practice for ECEC roles would in turn help to strengthen the educational infrastructure required to support a robust, growing ECEC sector. Currently, pathways into ECEC diverge between VET and higher education courses, which each have different reporting requirements and protocols so that data on ECEC qualifications is reported separately. Identification of and support for training pathways was a key area of focus in the recent PC report:</w:t>
      </w:r>
    </w:p>
    <w:p w14:paraId="0C795B2A" w14:textId="77777777" w:rsidR="00442C59" w:rsidRPr="00A4760B" w:rsidRDefault="00442C59" w:rsidP="00442C59">
      <w:pPr>
        <w:pStyle w:val="IntenseQuote"/>
      </w:pPr>
      <w:r w:rsidRPr="00A4760B">
        <w:t>ensuring career and qualification pathways needs are addressed must be a priority before other changes in the sector can be realised. (PC, 2023, p.5)</w:t>
      </w:r>
    </w:p>
    <w:p w14:paraId="26AB1F45" w14:textId="77777777" w:rsidR="00442C59" w:rsidRPr="009E1A60" w:rsidRDefault="00442C59" w:rsidP="00442C59">
      <w:pPr>
        <w:rPr>
          <w:rStyle w:val="Emphasis"/>
          <w:i w:val="0"/>
          <w:iCs w:val="0"/>
        </w:rPr>
      </w:pPr>
      <w:r>
        <w:t xml:space="preserve">The current relationship between the Certificate III and Diploma ECEC was intended, as </w:t>
      </w:r>
      <w:r w:rsidRPr="007D02D9">
        <w:t>Korbel (2018)</w:t>
      </w:r>
      <w:r>
        <w:t xml:space="preserve"> outlined in NCVER’s analysis of the training package, to perform some of the roles that scopes of practice would achieve:</w:t>
      </w:r>
    </w:p>
    <w:p w14:paraId="0DDB58B6" w14:textId="77777777" w:rsidR="00442C59" w:rsidRPr="00A4760B" w:rsidRDefault="00442C59" w:rsidP="00442C59">
      <w:pPr>
        <w:pStyle w:val="IntenseQuote"/>
      </w:pPr>
      <w:r w:rsidRPr="00A4760B">
        <w:t xml:space="preserve">The findings suggest that the Certificate III in Early Childhood Education and Care is generally used as a pathway into the early childhood education and care sector, while the Diploma of Early Childhood Education and Care is used to improve employment </w:t>
      </w:r>
      <w:r w:rsidRPr="00684A6E">
        <w:t>prospects</w:t>
      </w:r>
      <w:r w:rsidRPr="00A4760B">
        <w:t xml:space="preserve"> once a person is already working in the sector. Most graduates are employed after training in a relevant occupation, although more certificate III graduates </w:t>
      </w:r>
      <w:proofErr w:type="gramStart"/>
      <w:r w:rsidRPr="00A4760B">
        <w:t>continue on</w:t>
      </w:r>
      <w:proofErr w:type="gramEnd"/>
      <w:r w:rsidRPr="00A4760B">
        <w:t xml:space="preserve"> with further study. The strong occupational connection and the requirements of the National Quality Framework seem to underpin the positive employment outcomes of the qualifications. (Korbel, 2018, p.10)</w:t>
      </w:r>
    </w:p>
    <w:p w14:paraId="32E6EBE6" w14:textId="77777777" w:rsidR="00442C59" w:rsidRDefault="00442C59" w:rsidP="00442C59">
      <w:r w:rsidRPr="00DC0737">
        <w:t>However, the need to hold the most recent version of the Certificate III</w:t>
      </w:r>
      <w:r>
        <w:t xml:space="preserve"> ECEC qualification</w:t>
      </w:r>
      <w:r w:rsidRPr="00DC0737">
        <w:t xml:space="preserve"> is presenting barriers to those wishing to progress, as the reality that the increase in pay is </w:t>
      </w:r>
      <w:r w:rsidRPr="2F94BD57">
        <w:t xml:space="preserve">relatively slight and </w:t>
      </w:r>
      <w:r>
        <w:t xml:space="preserve">increase in </w:t>
      </w:r>
      <w:r w:rsidRPr="2F94BD57">
        <w:t>responsibilities</w:t>
      </w:r>
      <w:r>
        <w:t xml:space="preserve"> is</w:t>
      </w:r>
      <w:r w:rsidRPr="2F94BD57">
        <w:t xml:space="preserve"> significant. There are high numbers of enrolments in the two main VET programs as </w:t>
      </w:r>
      <w:r w:rsidRPr="007D02D9">
        <w:t xml:space="preserve">shown in </w:t>
      </w:r>
      <w:r w:rsidRPr="00DC0737">
        <w:t xml:space="preserve">Chapter </w:t>
      </w:r>
      <w:r w:rsidRPr="007D02D9">
        <w:t>3.</w:t>
      </w:r>
    </w:p>
    <w:p w14:paraId="5FF4AFB8" w14:textId="77777777" w:rsidR="00442C59" w:rsidRDefault="00442C59" w:rsidP="00442C59">
      <w:pPr>
        <w:rPr>
          <w:lang w:eastAsia="en-AU"/>
        </w:rPr>
      </w:pPr>
      <w:r w:rsidRPr="1882A426">
        <w:rPr>
          <w:lang w:eastAsia="en-AU"/>
        </w:rPr>
        <w:t>Scopes of practice provide a framework that describes and supports all ECEC work, but this also needs to be understood in the context of factors at macro- (structural, legal, external conditions), meso- (local and community) and micro- (individual work environment) levels. This is important, preventing scopes of practice from imposing bureaucratic procedures inappropriately.</w:t>
      </w:r>
    </w:p>
    <w:p w14:paraId="49060587" w14:textId="77777777" w:rsidR="00442C59" w:rsidRDefault="00442C59" w:rsidP="00442C59">
      <w:pPr>
        <w:rPr>
          <w:b/>
          <w:bCs/>
          <w:color w:val="auto"/>
          <w:sz w:val="18"/>
          <w:szCs w:val="18"/>
        </w:rPr>
      </w:pPr>
      <w:r>
        <w:br w:type="page"/>
      </w:r>
    </w:p>
    <w:p w14:paraId="070EE42A" w14:textId="5B84B9E1" w:rsidR="00442C59" w:rsidRDefault="00442C59" w:rsidP="00442C59">
      <w:pPr>
        <w:pStyle w:val="Caption"/>
      </w:pPr>
      <w:r>
        <w:lastRenderedPageBreak/>
        <w:t>Table 6.</w:t>
      </w:r>
      <w:r>
        <w:fldChar w:fldCharType="begin"/>
      </w:r>
      <w:r>
        <w:instrText xml:space="preserve"> SEQ Table \* ARABIC \s 1 </w:instrText>
      </w:r>
      <w:r>
        <w:fldChar w:fldCharType="separate"/>
      </w:r>
      <w:r w:rsidR="005F18C1">
        <w:rPr>
          <w:noProof/>
        </w:rPr>
        <w:t>1</w:t>
      </w:r>
      <w:r>
        <w:fldChar w:fldCharType="end"/>
      </w:r>
      <w:r>
        <w:t xml:space="preserve"> </w:t>
      </w:r>
      <w:r w:rsidRPr="005B03BB">
        <w:t>Barriers and enablers to scope of practice in ECEC</w:t>
      </w:r>
    </w:p>
    <w:tbl>
      <w:tblPr>
        <w:tblStyle w:val="JSATable1"/>
        <w:tblW w:w="0" w:type="auto"/>
        <w:tblLook w:val="04A0" w:firstRow="1" w:lastRow="0" w:firstColumn="1" w:lastColumn="0" w:noHBand="0" w:noVBand="1"/>
      </w:tblPr>
      <w:tblGrid>
        <w:gridCol w:w="4508"/>
        <w:gridCol w:w="4508"/>
      </w:tblGrid>
      <w:tr w:rsidR="00442C59" w:rsidRPr="007D1525" w14:paraId="627B1459" w14:textId="77777777" w:rsidTr="005F6ADC">
        <w:trPr>
          <w:cnfStyle w:val="100000000000" w:firstRow="1" w:lastRow="0" w:firstColumn="0" w:lastColumn="0" w:oddVBand="0" w:evenVBand="0" w:oddHBand="0" w:evenHBand="0" w:firstRowFirstColumn="0" w:firstRowLastColumn="0" w:lastRowFirstColumn="0" w:lastRowLastColumn="0"/>
          <w:trHeight w:val="300"/>
        </w:trPr>
        <w:tc>
          <w:tcPr>
            <w:tcW w:w="4508" w:type="dxa"/>
          </w:tcPr>
          <w:p w14:paraId="6153C3BF" w14:textId="77777777" w:rsidR="00442C59" w:rsidRPr="00790C8B" w:rsidRDefault="00442C59" w:rsidP="005F6ADC">
            <w:pPr>
              <w:rPr>
                <w:rFonts w:eastAsia="Arial" w:cs="Arial"/>
                <w:b/>
                <w:bCs/>
                <w:color w:val="FFFFFF" w:themeColor="background1"/>
                <w:sz w:val="20"/>
                <w:szCs w:val="20"/>
              </w:rPr>
            </w:pPr>
            <w:r w:rsidRPr="00790C8B">
              <w:rPr>
                <w:rFonts w:eastAsia="Arial" w:cs="Arial"/>
                <w:b/>
                <w:bCs/>
                <w:color w:val="FFFFFF" w:themeColor="background1"/>
                <w:sz w:val="20"/>
                <w:szCs w:val="20"/>
              </w:rPr>
              <w:t>Barriers</w:t>
            </w:r>
          </w:p>
        </w:tc>
        <w:tc>
          <w:tcPr>
            <w:tcW w:w="4508" w:type="dxa"/>
          </w:tcPr>
          <w:p w14:paraId="658961D5" w14:textId="77777777" w:rsidR="00442C59" w:rsidRPr="00790C8B" w:rsidRDefault="00442C59" w:rsidP="005F6ADC">
            <w:pPr>
              <w:rPr>
                <w:rFonts w:eastAsia="Arial" w:cs="Arial"/>
                <w:b/>
                <w:bCs/>
                <w:color w:val="FFFFFF" w:themeColor="background1"/>
                <w:sz w:val="20"/>
                <w:szCs w:val="20"/>
              </w:rPr>
            </w:pPr>
            <w:r w:rsidRPr="00790C8B">
              <w:rPr>
                <w:rFonts w:eastAsia="Arial" w:cs="Arial"/>
                <w:b/>
                <w:bCs/>
                <w:color w:val="FFFFFF" w:themeColor="background1"/>
                <w:sz w:val="20"/>
                <w:szCs w:val="20"/>
              </w:rPr>
              <w:t>Enablers</w:t>
            </w:r>
          </w:p>
        </w:tc>
      </w:tr>
      <w:tr w:rsidR="00442C59" w:rsidRPr="007D1525" w14:paraId="7764BC61" w14:textId="77777777" w:rsidTr="005F6ADC">
        <w:trPr>
          <w:trHeight w:val="300"/>
        </w:trPr>
        <w:tc>
          <w:tcPr>
            <w:tcW w:w="9016" w:type="dxa"/>
            <w:gridSpan w:val="2"/>
          </w:tcPr>
          <w:p w14:paraId="26C890B8" w14:textId="77777777" w:rsidR="00442C59" w:rsidRPr="00942AC8" w:rsidRDefault="00442C59" w:rsidP="005F6ADC">
            <w:pPr>
              <w:rPr>
                <w:rFonts w:eastAsia="Arial" w:cs="Arial"/>
                <w:b/>
                <w:bCs/>
                <w:i/>
                <w:iCs/>
                <w:color w:val="323130"/>
                <w:sz w:val="20"/>
                <w:szCs w:val="20"/>
              </w:rPr>
            </w:pPr>
            <w:r w:rsidRPr="00942AC8">
              <w:rPr>
                <w:rFonts w:eastAsia="Arial" w:cs="Arial"/>
                <w:b/>
                <w:bCs/>
                <w:i/>
                <w:iCs/>
                <w:color w:val="323130"/>
                <w:sz w:val="20"/>
                <w:szCs w:val="20"/>
              </w:rPr>
              <w:t>Macro – perceived structural, legal, regulatory and external conditions that are beyond the influence of individual organisations or educators</w:t>
            </w:r>
          </w:p>
        </w:tc>
      </w:tr>
      <w:tr w:rsidR="00442C59" w:rsidRPr="007D1525" w14:paraId="0868A275" w14:textId="77777777" w:rsidTr="005F6ADC">
        <w:trPr>
          <w:cnfStyle w:val="000000010000" w:firstRow="0" w:lastRow="0" w:firstColumn="0" w:lastColumn="0" w:oddVBand="0" w:evenVBand="0" w:oddHBand="0" w:evenHBand="1" w:firstRowFirstColumn="0" w:firstRowLastColumn="0" w:lastRowFirstColumn="0" w:lastRowLastColumn="0"/>
          <w:trHeight w:val="300"/>
        </w:trPr>
        <w:tc>
          <w:tcPr>
            <w:tcW w:w="4508" w:type="dxa"/>
          </w:tcPr>
          <w:p w14:paraId="6E9BD7C3" w14:textId="77777777" w:rsidR="00442C59" w:rsidRPr="00B07A9B" w:rsidRDefault="00442C59" w:rsidP="00A2332E">
            <w:pPr>
              <w:pStyle w:val="ListParagraph"/>
              <w:numPr>
                <w:ilvl w:val="0"/>
                <w:numId w:val="27"/>
              </w:numPr>
              <w:rPr>
                <w:rFonts w:eastAsia="Arial" w:cs="Arial"/>
                <w:i w:val="0"/>
                <w:iCs w:val="0"/>
                <w:color w:val="323130"/>
                <w:sz w:val="20"/>
                <w:szCs w:val="20"/>
              </w:rPr>
            </w:pPr>
            <w:r w:rsidRPr="00B07A9B">
              <w:rPr>
                <w:rFonts w:eastAsia="Arial" w:cs="Arial"/>
                <w:i w:val="0"/>
                <w:iCs w:val="0"/>
                <w:color w:val="323130"/>
                <w:sz w:val="20"/>
                <w:szCs w:val="20"/>
              </w:rPr>
              <w:t>Regulatory mismatches between states and territories</w:t>
            </w:r>
          </w:p>
          <w:p w14:paraId="6BB13DDC" w14:textId="77777777" w:rsidR="00442C59" w:rsidRPr="00B07A9B" w:rsidRDefault="00442C59" w:rsidP="00A2332E">
            <w:pPr>
              <w:pStyle w:val="ListParagraph"/>
              <w:numPr>
                <w:ilvl w:val="0"/>
                <w:numId w:val="27"/>
              </w:numPr>
              <w:rPr>
                <w:rFonts w:eastAsia="Arial" w:cs="Arial"/>
                <w:i w:val="0"/>
                <w:iCs w:val="0"/>
                <w:color w:val="323130"/>
                <w:sz w:val="20"/>
                <w:szCs w:val="20"/>
              </w:rPr>
            </w:pPr>
            <w:r w:rsidRPr="00B07A9B">
              <w:rPr>
                <w:rFonts w:eastAsia="Arial" w:cs="Arial"/>
                <w:i w:val="0"/>
                <w:iCs w:val="0"/>
                <w:color w:val="323130"/>
                <w:sz w:val="20"/>
                <w:szCs w:val="20"/>
              </w:rPr>
              <w:t>Qualification barriers – progression Cert III to Diploma and between VET and Higher Education</w:t>
            </w:r>
          </w:p>
          <w:p w14:paraId="099F2207" w14:textId="77777777" w:rsidR="00442C59" w:rsidRPr="00B07A9B" w:rsidRDefault="00442C59" w:rsidP="00A2332E">
            <w:pPr>
              <w:pStyle w:val="ListParagraph"/>
              <w:numPr>
                <w:ilvl w:val="0"/>
                <w:numId w:val="27"/>
              </w:numPr>
              <w:rPr>
                <w:rFonts w:eastAsia="Arial" w:cs="Arial"/>
                <w:i w:val="0"/>
                <w:iCs w:val="0"/>
                <w:color w:val="323130"/>
                <w:sz w:val="20"/>
                <w:szCs w:val="20"/>
              </w:rPr>
            </w:pPr>
            <w:r w:rsidRPr="00B07A9B">
              <w:rPr>
                <w:rFonts w:eastAsia="Arial" w:cs="Arial"/>
                <w:i w:val="0"/>
                <w:iCs w:val="0"/>
                <w:color w:val="323130"/>
                <w:sz w:val="20"/>
                <w:szCs w:val="20"/>
              </w:rPr>
              <w:t>Low Wages and attrition, especially in providing adequate mentors for trainees</w:t>
            </w:r>
          </w:p>
        </w:tc>
        <w:tc>
          <w:tcPr>
            <w:tcW w:w="4508" w:type="dxa"/>
          </w:tcPr>
          <w:p w14:paraId="38E918D2" w14:textId="77777777" w:rsidR="00442C59" w:rsidRPr="00B07A9B" w:rsidRDefault="00442C59" w:rsidP="00A2332E">
            <w:pPr>
              <w:pStyle w:val="ListParagraph"/>
              <w:numPr>
                <w:ilvl w:val="0"/>
                <w:numId w:val="27"/>
              </w:numPr>
              <w:rPr>
                <w:rFonts w:eastAsia="Arial" w:cs="Arial"/>
                <w:i w:val="0"/>
                <w:iCs w:val="0"/>
                <w:color w:val="323130"/>
                <w:sz w:val="20"/>
                <w:szCs w:val="20"/>
              </w:rPr>
            </w:pPr>
            <w:r w:rsidRPr="00B07A9B">
              <w:rPr>
                <w:rFonts w:eastAsia="Arial" w:cs="Arial"/>
                <w:i w:val="0"/>
                <w:iCs w:val="0"/>
                <w:color w:val="323130"/>
                <w:sz w:val="20"/>
                <w:szCs w:val="20"/>
              </w:rPr>
              <w:t>Implicit scopes of practice embedded in qualifications</w:t>
            </w:r>
          </w:p>
          <w:p w14:paraId="616A058E" w14:textId="77777777" w:rsidR="00442C59" w:rsidRPr="00B07A9B" w:rsidRDefault="00442C59" w:rsidP="00A2332E">
            <w:pPr>
              <w:pStyle w:val="ListParagraph"/>
              <w:numPr>
                <w:ilvl w:val="0"/>
                <w:numId w:val="27"/>
              </w:numPr>
              <w:rPr>
                <w:rFonts w:eastAsia="Arial" w:cs="Arial"/>
                <w:i w:val="0"/>
                <w:iCs w:val="0"/>
                <w:color w:val="323130"/>
                <w:sz w:val="20"/>
                <w:szCs w:val="20"/>
              </w:rPr>
            </w:pPr>
            <w:r w:rsidRPr="00B07A9B">
              <w:rPr>
                <w:rFonts w:eastAsia="Arial" w:cs="Arial"/>
                <w:i w:val="0"/>
                <w:iCs w:val="0"/>
                <w:color w:val="323130"/>
                <w:sz w:val="20"/>
                <w:szCs w:val="20"/>
              </w:rPr>
              <w:t>Strength of educational infrastructure in VET and Higher Ed</w:t>
            </w:r>
          </w:p>
          <w:p w14:paraId="3B640D8D" w14:textId="77777777" w:rsidR="00442C59" w:rsidRPr="00B07A9B" w:rsidRDefault="00442C59" w:rsidP="00A2332E">
            <w:pPr>
              <w:pStyle w:val="ListParagraph"/>
              <w:numPr>
                <w:ilvl w:val="0"/>
                <w:numId w:val="27"/>
              </w:numPr>
              <w:rPr>
                <w:rFonts w:eastAsia="Arial" w:cs="Arial"/>
                <w:i w:val="0"/>
                <w:iCs w:val="0"/>
                <w:color w:val="323130"/>
                <w:sz w:val="20"/>
                <w:szCs w:val="20"/>
              </w:rPr>
            </w:pPr>
            <w:r w:rsidRPr="00B07A9B">
              <w:rPr>
                <w:rFonts w:eastAsia="Arial" w:cs="Arial"/>
                <w:i w:val="0"/>
                <w:iCs w:val="0"/>
                <w:color w:val="323130"/>
                <w:sz w:val="20"/>
                <w:szCs w:val="20"/>
              </w:rPr>
              <w:t>Regulations and ratio requirements</w:t>
            </w:r>
          </w:p>
        </w:tc>
      </w:tr>
      <w:tr w:rsidR="00442C59" w:rsidRPr="007D1525" w14:paraId="2A468922" w14:textId="77777777" w:rsidTr="005F6ADC">
        <w:trPr>
          <w:trHeight w:val="300"/>
        </w:trPr>
        <w:tc>
          <w:tcPr>
            <w:tcW w:w="9016" w:type="dxa"/>
            <w:gridSpan w:val="2"/>
          </w:tcPr>
          <w:p w14:paraId="312D19E1" w14:textId="77777777" w:rsidR="00442C59" w:rsidRPr="00942AC8" w:rsidRDefault="00442C59" w:rsidP="005F6ADC">
            <w:pPr>
              <w:rPr>
                <w:rFonts w:eastAsia="Arial" w:cs="Arial"/>
                <w:b/>
                <w:bCs/>
                <w:i/>
                <w:iCs/>
                <w:color w:val="323130"/>
                <w:sz w:val="20"/>
                <w:szCs w:val="20"/>
              </w:rPr>
            </w:pPr>
            <w:r w:rsidRPr="00942AC8">
              <w:rPr>
                <w:rFonts w:eastAsia="Arial" w:cs="Arial"/>
                <w:b/>
                <w:bCs/>
                <w:i/>
                <w:iCs/>
                <w:color w:val="323130"/>
                <w:sz w:val="20"/>
                <w:szCs w:val="20"/>
              </w:rPr>
              <w:t>Meso – Local Institutional factors and influences, as well as community issues that often characterise or define the parameters of service delivery</w:t>
            </w:r>
          </w:p>
        </w:tc>
      </w:tr>
      <w:tr w:rsidR="00442C59" w:rsidRPr="007D1525" w14:paraId="3C1A8FFF" w14:textId="77777777" w:rsidTr="005F6ADC">
        <w:trPr>
          <w:cnfStyle w:val="000000010000" w:firstRow="0" w:lastRow="0" w:firstColumn="0" w:lastColumn="0" w:oddVBand="0" w:evenVBand="0" w:oddHBand="0" w:evenHBand="1" w:firstRowFirstColumn="0" w:firstRowLastColumn="0" w:lastRowFirstColumn="0" w:lastRowLastColumn="0"/>
          <w:trHeight w:val="300"/>
        </w:trPr>
        <w:tc>
          <w:tcPr>
            <w:tcW w:w="4508" w:type="dxa"/>
          </w:tcPr>
          <w:p w14:paraId="6F07A043" w14:textId="77777777" w:rsidR="00442C59" w:rsidRPr="00B07A9B" w:rsidRDefault="00442C59" w:rsidP="00A2332E">
            <w:pPr>
              <w:pStyle w:val="ListParagraph"/>
              <w:numPr>
                <w:ilvl w:val="0"/>
                <w:numId w:val="28"/>
              </w:numPr>
              <w:rPr>
                <w:rFonts w:eastAsia="Arial" w:cs="Arial"/>
                <w:i w:val="0"/>
                <w:iCs w:val="0"/>
                <w:color w:val="323130"/>
                <w:sz w:val="20"/>
                <w:szCs w:val="20"/>
              </w:rPr>
            </w:pPr>
            <w:r w:rsidRPr="00B07A9B">
              <w:rPr>
                <w:rFonts w:eastAsia="Arial" w:cs="Arial"/>
                <w:i w:val="0"/>
                <w:iCs w:val="0"/>
                <w:color w:val="323130"/>
                <w:sz w:val="20"/>
                <w:szCs w:val="20"/>
              </w:rPr>
              <w:t>Under the roof ratios stretch educators too far.</w:t>
            </w:r>
          </w:p>
          <w:p w14:paraId="129C0C0D" w14:textId="77777777" w:rsidR="00442C59" w:rsidRPr="00B07A9B" w:rsidRDefault="00442C59" w:rsidP="00A2332E">
            <w:pPr>
              <w:pStyle w:val="ListParagraph"/>
              <w:numPr>
                <w:ilvl w:val="0"/>
                <w:numId w:val="28"/>
              </w:numPr>
              <w:rPr>
                <w:rFonts w:eastAsia="Arial" w:cs="Arial"/>
                <w:i w:val="0"/>
                <w:iCs w:val="0"/>
                <w:color w:val="323130"/>
                <w:sz w:val="20"/>
                <w:szCs w:val="20"/>
              </w:rPr>
            </w:pPr>
            <w:r w:rsidRPr="00B07A9B">
              <w:rPr>
                <w:rFonts w:eastAsia="Arial" w:cs="Arial"/>
                <w:i w:val="0"/>
                <w:iCs w:val="0"/>
                <w:color w:val="323130"/>
                <w:sz w:val="20"/>
                <w:szCs w:val="20"/>
              </w:rPr>
              <w:t>Travel time/housing affordability in areas with high demand for ECEC</w:t>
            </w:r>
          </w:p>
          <w:p w14:paraId="0786FCCF" w14:textId="77777777" w:rsidR="00442C59" w:rsidRPr="00B07A9B" w:rsidRDefault="00442C59" w:rsidP="00A2332E">
            <w:pPr>
              <w:pStyle w:val="ListParagraph"/>
              <w:numPr>
                <w:ilvl w:val="0"/>
                <w:numId w:val="28"/>
              </w:numPr>
              <w:rPr>
                <w:rFonts w:eastAsia="Arial" w:cs="Arial"/>
                <w:i w:val="0"/>
                <w:iCs w:val="0"/>
                <w:color w:val="323130"/>
                <w:sz w:val="20"/>
                <w:szCs w:val="20"/>
              </w:rPr>
            </w:pPr>
            <w:r w:rsidRPr="00B07A9B">
              <w:rPr>
                <w:rFonts w:eastAsia="Arial" w:cs="Arial"/>
                <w:i w:val="0"/>
                <w:iCs w:val="0"/>
                <w:color w:val="323130"/>
                <w:sz w:val="20"/>
                <w:szCs w:val="20"/>
              </w:rPr>
              <w:t>Lack of community recognition of the complexity and value of ECEC</w:t>
            </w:r>
          </w:p>
        </w:tc>
        <w:tc>
          <w:tcPr>
            <w:tcW w:w="4508" w:type="dxa"/>
          </w:tcPr>
          <w:p w14:paraId="609D3982" w14:textId="77777777" w:rsidR="00442C59" w:rsidRPr="00B07A9B" w:rsidRDefault="00442C59" w:rsidP="00A2332E">
            <w:pPr>
              <w:pStyle w:val="ListParagraph"/>
              <w:numPr>
                <w:ilvl w:val="0"/>
                <w:numId w:val="28"/>
              </w:numPr>
              <w:rPr>
                <w:rFonts w:eastAsia="Arial" w:cs="Arial"/>
                <w:i w:val="0"/>
                <w:iCs w:val="0"/>
                <w:color w:val="323130"/>
                <w:sz w:val="20"/>
                <w:szCs w:val="20"/>
              </w:rPr>
            </w:pPr>
            <w:r w:rsidRPr="00B07A9B">
              <w:rPr>
                <w:rFonts w:eastAsia="Arial" w:cs="Arial"/>
                <w:i w:val="0"/>
                <w:iCs w:val="0"/>
                <w:color w:val="323130"/>
                <w:sz w:val="20"/>
                <w:szCs w:val="20"/>
              </w:rPr>
              <w:t>Community demand for ECEC services</w:t>
            </w:r>
          </w:p>
          <w:p w14:paraId="0AB425CB" w14:textId="77777777" w:rsidR="00442C59" w:rsidRPr="00B07A9B" w:rsidRDefault="00442C59" w:rsidP="00A2332E">
            <w:pPr>
              <w:pStyle w:val="ListParagraph"/>
              <w:numPr>
                <w:ilvl w:val="0"/>
                <w:numId w:val="28"/>
              </w:numPr>
              <w:rPr>
                <w:rFonts w:eastAsia="Arial" w:cs="Arial"/>
                <w:i w:val="0"/>
                <w:iCs w:val="0"/>
                <w:color w:val="323130"/>
                <w:sz w:val="20"/>
                <w:szCs w:val="20"/>
              </w:rPr>
            </w:pPr>
            <w:r w:rsidRPr="00B07A9B">
              <w:rPr>
                <w:rFonts w:eastAsia="Arial" w:cs="Arial"/>
                <w:i w:val="0"/>
                <w:iCs w:val="0"/>
                <w:color w:val="323130"/>
                <w:sz w:val="20"/>
                <w:szCs w:val="20"/>
              </w:rPr>
              <w:t>Networks of ECEC services with local Primary Schools, allied health providers</w:t>
            </w:r>
          </w:p>
        </w:tc>
      </w:tr>
      <w:tr w:rsidR="00442C59" w:rsidRPr="007D1525" w14:paraId="0FDDA0F6" w14:textId="77777777" w:rsidTr="005F6ADC">
        <w:trPr>
          <w:trHeight w:val="300"/>
        </w:trPr>
        <w:tc>
          <w:tcPr>
            <w:tcW w:w="9016" w:type="dxa"/>
            <w:gridSpan w:val="2"/>
          </w:tcPr>
          <w:p w14:paraId="62130CC4" w14:textId="77777777" w:rsidR="00442C59" w:rsidRPr="00942AC8" w:rsidRDefault="00442C59" w:rsidP="005F6ADC">
            <w:pPr>
              <w:rPr>
                <w:rFonts w:eastAsia="Arial" w:cs="Arial"/>
                <w:b/>
                <w:bCs/>
                <w:i/>
                <w:iCs/>
                <w:color w:val="323130"/>
                <w:sz w:val="20"/>
                <w:szCs w:val="20"/>
              </w:rPr>
            </w:pPr>
            <w:r w:rsidRPr="00942AC8">
              <w:rPr>
                <w:rFonts w:eastAsia="Arial" w:cs="Arial"/>
                <w:b/>
                <w:bCs/>
                <w:i/>
                <w:iCs/>
                <w:color w:val="323130"/>
                <w:sz w:val="20"/>
                <w:szCs w:val="20"/>
              </w:rPr>
              <w:t>Micro – day-to-day practice and attributes or characteristics of individual educators and their work environment that affect how ECEC services are delivered</w:t>
            </w:r>
          </w:p>
        </w:tc>
      </w:tr>
      <w:tr w:rsidR="00442C59" w:rsidRPr="007D1525" w14:paraId="6F583314" w14:textId="77777777" w:rsidTr="005F6ADC">
        <w:trPr>
          <w:cnfStyle w:val="000000010000" w:firstRow="0" w:lastRow="0" w:firstColumn="0" w:lastColumn="0" w:oddVBand="0" w:evenVBand="0" w:oddHBand="0" w:evenHBand="1" w:firstRowFirstColumn="0" w:firstRowLastColumn="0" w:lastRowFirstColumn="0" w:lastRowLastColumn="0"/>
          <w:trHeight w:val="300"/>
        </w:trPr>
        <w:tc>
          <w:tcPr>
            <w:tcW w:w="4508" w:type="dxa"/>
          </w:tcPr>
          <w:p w14:paraId="4474A41B" w14:textId="77777777" w:rsidR="00442C59" w:rsidRPr="00B07A9B" w:rsidRDefault="00442C59" w:rsidP="00A2332E">
            <w:pPr>
              <w:pStyle w:val="ListParagraph"/>
              <w:numPr>
                <w:ilvl w:val="0"/>
                <w:numId w:val="29"/>
              </w:numPr>
              <w:rPr>
                <w:rFonts w:eastAsia="Arial" w:cs="Arial"/>
                <w:i w:val="0"/>
                <w:iCs w:val="0"/>
                <w:color w:val="323130"/>
                <w:sz w:val="20"/>
                <w:szCs w:val="20"/>
              </w:rPr>
            </w:pPr>
            <w:r w:rsidRPr="00B07A9B">
              <w:rPr>
                <w:rFonts w:eastAsia="Arial" w:cs="Arial"/>
                <w:i w:val="0"/>
                <w:iCs w:val="0"/>
                <w:color w:val="323130"/>
                <w:sz w:val="20"/>
                <w:szCs w:val="20"/>
              </w:rPr>
              <w:t>Administrative and other tasks that ECEC educators perceive fall outside scope of practice.</w:t>
            </w:r>
          </w:p>
          <w:p w14:paraId="49C87620" w14:textId="77777777" w:rsidR="00442C59" w:rsidRPr="00B07A9B" w:rsidRDefault="00442C59" w:rsidP="00A2332E">
            <w:pPr>
              <w:pStyle w:val="ListParagraph"/>
              <w:numPr>
                <w:ilvl w:val="0"/>
                <w:numId w:val="29"/>
              </w:numPr>
              <w:rPr>
                <w:rFonts w:eastAsia="Arial" w:cs="Arial"/>
                <w:i w:val="0"/>
                <w:iCs w:val="0"/>
                <w:color w:val="323130"/>
                <w:sz w:val="20"/>
                <w:szCs w:val="20"/>
              </w:rPr>
            </w:pPr>
            <w:r w:rsidRPr="00B07A9B">
              <w:rPr>
                <w:rFonts w:eastAsia="Arial" w:cs="Arial"/>
                <w:i w:val="0"/>
                <w:iCs w:val="0"/>
                <w:color w:val="323130"/>
                <w:sz w:val="20"/>
                <w:szCs w:val="20"/>
              </w:rPr>
              <w:t>Lack of allocated workload time to prepare educational activities.</w:t>
            </w:r>
          </w:p>
          <w:p w14:paraId="2A688D0E" w14:textId="77777777" w:rsidR="00442C59" w:rsidRPr="00B07A9B" w:rsidRDefault="00442C59" w:rsidP="00A2332E">
            <w:pPr>
              <w:pStyle w:val="ListParagraph"/>
              <w:numPr>
                <w:ilvl w:val="0"/>
                <w:numId w:val="29"/>
              </w:numPr>
              <w:rPr>
                <w:rFonts w:eastAsia="Arial" w:cs="Arial"/>
                <w:i w:val="0"/>
                <w:iCs w:val="0"/>
                <w:color w:val="323130"/>
                <w:sz w:val="20"/>
                <w:szCs w:val="20"/>
              </w:rPr>
            </w:pPr>
            <w:r w:rsidRPr="00B07A9B">
              <w:rPr>
                <w:rFonts w:eastAsia="Arial" w:cs="Arial"/>
                <w:i w:val="0"/>
                <w:iCs w:val="0"/>
                <w:color w:val="323130"/>
                <w:sz w:val="20"/>
                <w:szCs w:val="20"/>
              </w:rPr>
              <w:t>Stress and burnout.</w:t>
            </w:r>
          </w:p>
        </w:tc>
        <w:tc>
          <w:tcPr>
            <w:tcW w:w="4508" w:type="dxa"/>
          </w:tcPr>
          <w:p w14:paraId="07F82D5A" w14:textId="77777777" w:rsidR="00442C59" w:rsidRPr="00B07A9B" w:rsidRDefault="00442C59" w:rsidP="00A2332E">
            <w:pPr>
              <w:pStyle w:val="ListParagraph"/>
              <w:numPr>
                <w:ilvl w:val="0"/>
                <w:numId w:val="29"/>
              </w:numPr>
              <w:rPr>
                <w:rFonts w:eastAsia="Arial" w:cs="Arial"/>
                <w:i w:val="0"/>
                <w:iCs w:val="0"/>
                <w:color w:val="323130"/>
                <w:sz w:val="20"/>
                <w:szCs w:val="20"/>
              </w:rPr>
            </w:pPr>
            <w:r w:rsidRPr="00B07A9B">
              <w:rPr>
                <w:rFonts w:eastAsia="Arial" w:cs="Arial"/>
                <w:i w:val="0"/>
                <w:iCs w:val="0"/>
                <w:color w:val="323130"/>
                <w:sz w:val="20"/>
                <w:szCs w:val="20"/>
              </w:rPr>
              <w:t>Role expectations of service provider and educator align.</w:t>
            </w:r>
          </w:p>
          <w:p w14:paraId="56F09250" w14:textId="77777777" w:rsidR="00442C59" w:rsidRPr="00B07A9B" w:rsidRDefault="00442C59" w:rsidP="00A2332E">
            <w:pPr>
              <w:pStyle w:val="ListParagraph"/>
              <w:numPr>
                <w:ilvl w:val="0"/>
                <w:numId w:val="29"/>
              </w:numPr>
              <w:rPr>
                <w:rFonts w:eastAsia="Arial" w:cs="Arial"/>
                <w:i w:val="0"/>
                <w:iCs w:val="0"/>
                <w:color w:val="323130"/>
                <w:sz w:val="20"/>
                <w:szCs w:val="20"/>
              </w:rPr>
            </w:pPr>
            <w:r w:rsidRPr="00B07A9B">
              <w:rPr>
                <w:rFonts w:eastAsia="Arial" w:cs="Arial"/>
                <w:i w:val="0"/>
                <w:iCs w:val="0"/>
                <w:color w:val="323130"/>
                <w:sz w:val="20"/>
                <w:szCs w:val="20"/>
              </w:rPr>
              <w:t>Supportive work environment in which educators feel they belong.</w:t>
            </w:r>
          </w:p>
          <w:p w14:paraId="6629DEE0" w14:textId="77777777" w:rsidR="00442C59" w:rsidRPr="00B07A9B" w:rsidRDefault="00442C59" w:rsidP="00A2332E">
            <w:pPr>
              <w:pStyle w:val="ListParagraph"/>
              <w:numPr>
                <w:ilvl w:val="0"/>
                <w:numId w:val="29"/>
              </w:numPr>
              <w:rPr>
                <w:rFonts w:eastAsia="Arial" w:cs="Arial"/>
                <w:i w:val="0"/>
                <w:iCs w:val="0"/>
                <w:color w:val="323130"/>
                <w:sz w:val="20"/>
                <w:szCs w:val="20"/>
              </w:rPr>
            </w:pPr>
            <w:r w:rsidRPr="00B07A9B">
              <w:rPr>
                <w:rFonts w:eastAsia="Arial" w:cs="Arial"/>
                <w:i w:val="0"/>
                <w:iCs w:val="0"/>
                <w:color w:val="323130"/>
                <w:sz w:val="20"/>
                <w:szCs w:val="20"/>
              </w:rPr>
              <w:t>Organisations that actively support staff wellbeing.</w:t>
            </w:r>
          </w:p>
        </w:tc>
      </w:tr>
    </w:tbl>
    <w:p w14:paraId="25AC8233" w14:textId="77777777" w:rsidR="00442C59" w:rsidRDefault="00442C59" w:rsidP="00442C59">
      <w:pPr>
        <w:pStyle w:val="Source"/>
      </w:pPr>
      <w:r>
        <w:t>Source:</w:t>
      </w:r>
      <w:r w:rsidRPr="00F975D2">
        <w:t xml:space="preserve"> </w:t>
      </w:r>
      <w:r>
        <w:t>A</w:t>
      </w:r>
      <w:r w:rsidRPr="00F975D2">
        <w:t>dapted from Smith, T. et al., 2019.</w:t>
      </w:r>
    </w:p>
    <w:p w14:paraId="660BA2C9" w14:textId="77777777" w:rsidR="00442C59" w:rsidRDefault="00442C59" w:rsidP="00442C59">
      <w:pPr>
        <w:pStyle w:val="IntenseQuote"/>
      </w:pPr>
      <w:r w:rsidRPr="00790C8B">
        <w:t xml:space="preserve">I think that that </w:t>
      </w:r>
      <w:proofErr w:type="gramStart"/>
      <w:r w:rsidRPr="00790C8B">
        <w:t>actually is</w:t>
      </w:r>
      <w:proofErr w:type="gramEnd"/>
      <w:r w:rsidRPr="00790C8B">
        <w:t xml:space="preserve"> something that it requires some deep examination against job roles, descriptions, tasks, incentives from room leader up. (Consultation 3)</w:t>
      </w:r>
    </w:p>
    <w:p w14:paraId="6770E510" w14:textId="77777777" w:rsidR="00442C59" w:rsidRDefault="00442C59" w:rsidP="00442C59">
      <w:pPr>
        <w:rPr>
          <w:rFonts w:eastAsia="Arial" w:cs="Arial"/>
          <w:color w:val="441170" w:themeColor="text2"/>
        </w:rPr>
      </w:pPr>
      <w:r w:rsidRPr="006E140F">
        <w:rPr>
          <w:rFonts w:eastAsia="Arial" w:cs="Arial"/>
          <w:b/>
          <w:bCs/>
          <w:color w:val="441170" w:themeColor="text2"/>
        </w:rPr>
        <w:t>Finding -</w:t>
      </w:r>
      <w:r w:rsidRPr="006E140F">
        <w:rPr>
          <w:rFonts w:eastAsia="Arial" w:cs="Arial"/>
          <w:color w:val="441170" w:themeColor="text2"/>
        </w:rPr>
        <w:t xml:space="preserve"> Scopes of practice are a valuable concept for workforce development. The roles, regulations and hierarchies that govern the ECEC workforce have a significant impact on staffing and their ability to deliver services that serve the needs of families and their communities.</w:t>
      </w:r>
    </w:p>
    <w:p w14:paraId="7110942A" w14:textId="77777777" w:rsidR="00442C59" w:rsidRDefault="00442C59" w:rsidP="00442C59">
      <w:pPr>
        <w:ind w:left="720"/>
        <w:rPr>
          <w:rFonts w:eastAsia="Arial" w:cs="Arial"/>
          <w:color w:val="auto"/>
        </w:rPr>
      </w:pPr>
      <w:r>
        <w:rPr>
          <w:rFonts w:eastAsia="Arial" w:cs="Arial"/>
          <w:b/>
          <w:bCs/>
          <w:color w:val="auto"/>
        </w:rPr>
        <w:t xml:space="preserve">Recommendation - </w:t>
      </w:r>
      <w:r>
        <w:rPr>
          <w:rFonts w:eastAsia="Arial" w:cs="Arial"/>
          <w:color w:val="auto"/>
        </w:rPr>
        <w:t xml:space="preserve">The </w:t>
      </w:r>
      <w:r w:rsidRPr="007F5438">
        <w:rPr>
          <w:rFonts w:eastAsia="Arial" w:cs="Arial"/>
          <w:color w:val="auto"/>
        </w:rPr>
        <w:t>Australian Government should develop a national information resource to promote ECEC career and training pathways and attract new entrants from school leavers and people seeking career changing opportunities. This should include strategies to boost the diversity of the ECEC workforce and align to the Early Childhood Care and Development Sector Strengthening Plan with increased education, training and recruitment of First Nations professionals as a priority.</w:t>
      </w:r>
    </w:p>
    <w:p w14:paraId="24110B0B" w14:textId="77777777" w:rsidR="00442C59" w:rsidRPr="006E140F" w:rsidRDefault="00442C59" w:rsidP="00442C59">
      <w:pPr>
        <w:ind w:left="720"/>
        <w:rPr>
          <w:rFonts w:eastAsia="Arial" w:cs="Arial"/>
          <w:color w:val="auto"/>
        </w:rPr>
      </w:pPr>
      <w:r>
        <w:rPr>
          <w:rFonts w:eastAsia="Arial" w:cs="Arial"/>
          <w:b/>
          <w:bCs/>
          <w:color w:val="auto"/>
        </w:rPr>
        <w:t xml:space="preserve">Recommendation - </w:t>
      </w:r>
      <w:r>
        <w:rPr>
          <w:rFonts w:eastAsia="Arial" w:cs="Arial"/>
          <w:color w:val="auto"/>
        </w:rPr>
        <w:t xml:space="preserve">Multiple </w:t>
      </w:r>
      <w:r w:rsidRPr="00A4517C">
        <w:rPr>
          <w:rFonts w:eastAsia="Arial" w:cs="Arial"/>
          <w:color w:val="auto"/>
        </w:rPr>
        <w:t xml:space="preserve">parties should review the role of supernumerary staff (excluded from ratio and not responsible for supervising children) for administrative support and other roles. Gaps could be identified for any positions which are not recognised and considered through industrial instruments for administrative </w:t>
      </w:r>
      <w:r w:rsidRPr="00A4517C">
        <w:rPr>
          <w:rFonts w:eastAsia="Arial" w:cs="Arial"/>
          <w:color w:val="auto"/>
        </w:rPr>
        <w:lastRenderedPageBreak/>
        <w:t>educational support roles to be created in the ECEC sector. A particular focus may also be to scope resources that services can use to support the creation of specialised administration support roles</w:t>
      </w:r>
      <w:r>
        <w:rPr>
          <w:rFonts w:eastAsia="Arial" w:cs="Arial"/>
          <w:color w:val="auto"/>
        </w:rPr>
        <w:t>.</w:t>
      </w:r>
    </w:p>
    <w:p w14:paraId="3CE15B2B" w14:textId="77777777" w:rsidR="00442C59" w:rsidRPr="00751886" w:rsidRDefault="00442C59" w:rsidP="00442C59">
      <w:pPr>
        <w:pStyle w:val="Heading2"/>
        <w:rPr>
          <w:rStyle w:val="eop"/>
        </w:rPr>
      </w:pPr>
      <w:bookmarkStart w:id="176" w:name="_Toc174363726"/>
      <w:r w:rsidRPr="00751886">
        <w:rPr>
          <w:rStyle w:val="eop"/>
        </w:rPr>
        <w:t>Overcoming Barriers to Job Satisfaction</w:t>
      </w:r>
      <w:bookmarkEnd w:id="174"/>
      <w:bookmarkEnd w:id="176"/>
    </w:p>
    <w:p w14:paraId="2C7366FA" w14:textId="77777777" w:rsidR="00442C59" w:rsidRDefault="00442C59" w:rsidP="00442C59">
      <w:pPr>
        <w:rPr>
          <w:rFonts w:eastAsia="Arial"/>
        </w:rPr>
      </w:pPr>
      <w:r w:rsidRPr="1882A426">
        <w:t xml:space="preserve">Researchers exploring workforce retention have concluded that while ECEC workers may be pushed out of the sector, often reluctantly, by low wages and long hours, job satisfaction is even more important. </w:t>
      </w:r>
      <w:r w:rsidRPr="1882A426">
        <w:rPr>
          <w:rFonts w:eastAsia="Arial"/>
        </w:rPr>
        <w:t xml:space="preserve">Full-time careers are at the centre of the economic imaginary and are not only largely occupied by men, but also contribute to </w:t>
      </w:r>
      <w:r w:rsidRPr="1882A426">
        <w:rPr>
          <w:rFonts w:eastAsia="Arial"/>
          <w:i/>
          <w:iCs/>
        </w:rPr>
        <w:t>masculine capital</w:t>
      </w:r>
      <w:r w:rsidRPr="1882A426">
        <w:rPr>
          <w:rFonts w:eastAsia="Arial"/>
        </w:rPr>
        <w:t>, a relative kind of ‘wealth’ that is brought to the workplace (Huppatz &amp; Goodwin</w:t>
      </w:r>
      <w:r>
        <w:rPr>
          <w:rFonts w:eastAsia="Arial"/>
        </w:rPr>
        <w:t xml:space="preserve">, </w:t>
      </w:r>
      <w:r w:rsidRPr="1882A426">
        <w:rPr>
          <w:rFonts w:eastAsia="Arial"/>
        </w:rPr>
        <w:t>2013). Masculine capital partly explains</w:t>
      </w:r>
      <w:r w:rsidRPr="1882A426" w:rsidDel="002D5BAE">
        <w:rPr>
          <w:rFonts w:eastAsia="Arial"/>
        </w:rPr>
        <w:t xml:space="preserve"> the </w:t>
      </w:r>
      <w:r w:rsidRPr="1882A426">
        <w:rPr>
          <w:rFonts w:eastAsia="Arial"/>
        </w:rPr>
        <w:t>devaluation of ECEC work</w:t>
      </w:r>
      <w:r w:rsidRPr="1882A426" w:rsidDel="002D5BAE">
        <w:rPr>
          <w:rFonts w:eastAsia="Arial"/>
        </w:rPr>
        <w:t xml:space="preserve"> </w:t>
      </w:r>
      <w:r w:rsidRPr="1882A426">
        <w:rPr>
          <w:rFonts w:eastAsia="Arial"/>
        </w:rPr>
        <w:t xml:space="preserve">by building an association between care work as ‘feminine’ and women’s supposedly innate skills and aptitudes, falsely implying that there is little complexity or skill required. Stakeholders have reported to JSA that such devaluation is a key barrier to job satisfaction. </w:t>
      </w:r>
      <w:r>
        <w:rPr>
          <w:rFonts w:eastAsia="Arial"/>
        </w:rPr>
        <w:t xml:space="preserve">In contrast </w:t>
      </w:r>
      <w:r w:rsidRPr="1882A426">
        <w:rPr>
          <w:rFonts w:eastAsia="Arial"/>
        </w:rPr>
        <w:t>Tronto</w:t>
      </w:r>
      <w:r w:rsidDel="00DE546D">
        <w:rPr>
          <w:rFonts w:eastAsia="Arial"/>
        </w:rPr>
        <w:t xml:space="preserve"> </w:t>
      </w:r>
      <w:r>
        <w:rPr>
          <w:rFonts w:eastAsia="Arial"/>
        </w:rPr>
        <w:t>(1987)</w:t>
      </w:r>
      <w:r w:rsidRPr="1882A426">
        <w:rPr>
          <w:rFonts w:eastAsia="Arial"/>
        </w:rPr>
        <w:t xml:space="preserve"> </w:t>
      </w:r>
      <w:r>
        <w:rPr>
          <w:rFonts w:eastAsia="Arial"/>
        </w:rPr>
        <w:t>argues</w:t>
      </w:r>
      <w:r w:rsidRPr="1882A426" w:rsidDel="00DE546D">
        <w:rPr>
          <w:rFonts w:eastAsia="Arial"/>
        </w:rPr>
        <w:t xml:space="preserve"> that </w:t>
      </w:r>
      <w:r w:rsidRPr="1882A426">
        <w:rPr>
          <w:rFonts w:eastAsia="Arial"/>
        </w:rPr>
        <w:t>care work in early childhood requires a set of complex skills that include attentiveness, responsibility, responsiveness, and competent performance. Overcoming old ideas about care work as either menial or a natural expression of women’s inner selfhood would improve the conditions enabling job satisfaction, recognising and rewarding the complexity and importance of the work.</w:t>
      </w:r>
    </w:p>
    <w:p w14:paraId="62423CF1" w14:textId="77777777" w:rsidR="00442C59" w:rsidRDefault="00442C59" w:rsidP="00442C59">
      <w:pPr>
        <w:rPr>
          <w:rFonts w:eastAsia="Arial"/>
        </w:rPr>
      </w:pPr>
      <w:r>
        <w:rPr>
          <w:rFonts w:eastAsia="Arial"/>
        </w:rPr>
        <w:t>T</w:t>
      </w:r>
      <w:r w:rsidRPr="24FA0C66">
        <w:rPr>
          <w:rFonts w:eastAsia="Arial"/>
        </w:rPr>
        <w:t xml:space="preserve">his </w:t>
      </w:r>
      <w:r>
        <w:rPr>
          <w:rFonts w:eastAsia="Arial"/>
        </w:rPr>
        <w:t xml:space="preserve">gendered positioning of ECEC work </w:t>
      </w:r>
      <w:r w:rsidRPr="24FA0C66">
        <w:rPr>
          <w:rFonts w:eastAsia="Arial"/>
        </w:rPr>
        <w:t xml:space="preserve">has also acted to exclude men from the sector. In seeking to retain men in ECEC, job satisfaction is particularly important. Men working in ECEC are more likely to struggle with feeling included and supported. Anyone who does not feel that they belong in their workplace is at risk of leaving the workplace or the sector. Steven Roberts at Monash University (eg Roberts &amp; Prattes, 2023) has used the concept of ‘caring masculinities’ to help bring gender balance into ECEC and related fields – though others think gender diversity, rather than balance, is a more important quality to bring to child-centred education (Warin, 2019). </w:t>
      </w:r>
    </w:p>
    <w:p w14:paraId="2228C544" w14:textId="77777777" w:rsidR="00442C59" w:rsidRDefault="00442C59" w:rsidP="00442C59">
      <w:pPr>
        <w:rPr>
          <w:rFonts w:eastAsia="Arial"/>
        </w:rPr>
      </w:pPr>
      <w:r w:rsidRPr="24FA0C66">
        <w:rPr>
          <w:rFonts w:eastAsia="Arial"/>
        </w:rPr>
        <w:t>One way of overcoming barriers to job satisfaction is to explore the qualities that lead to retention. McCullen et al, (2020) for example, show that several workplace characteristics are strongly associated with staying in ECEC. One is ‘community belonging’, characterised by friendship, respect and being able to contribute ideas. Another is safety and security, including workplace stress. A third, which has already been the subject of this chapter, is professional identity. As noted in a JSA-led topic-based discussion session:</w:t>
      </w:r>
    </w:p>
    <w:p w14:paraId="112481C5" w14:textId="77777777" w:rsidR="00442C59" w:rsidRDefault="00442C59" w:rsidP="00442C59">
      <w:pPr>
        <w:pStyle w:val="IntenseQuote"/>
        <w:rPr>
          <w:rStyle w:val="ui-provider"/>
          <w:rFonts w:eastAsia="Arial" w:cs="Arial"/>
        </w:rPr>
      </w:pPr>
      <w:r w:rsidRPr="24FA0C66">
        <w:rPr>
          <w:rStyle w:val="ui-provider"/>
          <w:rFonts w:eastAsia="Arial" w:cs="Arial"/>
        </w:rPr>
        <w:t>There's very little representation from the coalface and when you talk to the services</w:t>
      </w:r>
      <w:r>
        <w:rPr>
          <w:rStyle w:val="ui-provider"/>
          <w:rFonts w:eastAsia="Arial" w:cs="Arial"/>
        </w:rPr>
        <w:t xml:space="preserve"> </w:t>
      </w:r>
      <w:r w:rsidRPr="24FA0C66">
        <w:rPr>
          <w:rStyle w:val="ui-provider"/>
          <w:rFonts w:eastAsia="Arial" w:cs="Arial"/>
        </w:rPr>
        <w:t xml:space="preserve">[...]They're exhausted, so they don't, you know, they don't know where to go to voice their concerns. They feel powerless. </w:t>
      </w:r>
      <w:r>
        <w:rPr>
          <w:rStyle w:val="ui-provider"/>
          <w:rFonts w:eastAsia="Arial" w:cs="Arial"/>
        </w:rPr>
        <w:t>(Consultation 3)</w:t>
      </w:r>
    </w:p>
    <w:p w14:paraId="409321A8" w14:textId="77777777" w:rsidR="00442C59" w:rsidRPr="00751886" w:rsidRDefault="00442C59" w:rsidP="00442C59">
      <w:pPr>
        <w:pStyle w:val="Heading3"/>
      </w:pPr>
      <w:r w:rsidRPr="00751886">
        <w:lastRenderedPageBreak/>
        <w:t>Avoiding Burnout and Promoting</w:t>
      </w:r>
      <w:r>
        <w:t xml:space="preserve"> </w:t>
      </w:r>
      <w:r w:rsidRPr="00751886">
        <w:t>Well</w:t>
      </w:r>
      <w:r>
        <w:t>b</w:t>
      </w:r>
      <w:r w:rsidRPr="00751886">
        <w:t>eing</w:t>
      </w:r>
    </w:p>
    <w:p w14:paraId="677F019F" w14:textId="77777777" w:rsidR="00442C59" w:rsidRDefault="00442C59" w:rsidP="00442C59">
      <w:pPr>
        <w:keepLines/>
      </w:pPr>
      <w:r>
        <w:t>ECEC workers who are excessively stressed, burned out or thinking about leaving the sector find it more difficult to perform their work ‘attentively, sensitively and appropriately’, leading to poorer outcomes for children (McMullen et al., 2020). While employee wellbeing varies across workplaces, influenced by factors such as management and workplace relationships, policy settings and workforce capacity also shape the environment that enables wellbeing – or not.</w:t>
      </w:r>
    </w:p>
    <w:p w14:paraId="0E6E1791" w14:textId="77777777" w:rsidR="00442C59" w:rsidRDefault="00442C59" w:rsidP="00442C59">
      <w:pPr>
        <w:rPr>
          <w:rFonts w:eastAsia="Arial" w:cs="Arial"/>
        </w:rPr>
      </w:pPr>
      <w:r w:rsidRPr="1F9E49FF">
        <w:rPr>
          <w:rFonts w:eastAsia="Arial" w:cs="Arial"/>
        </w:rPr>
        <w:t xml:space="preserve">Data </w:t>
      </w:r>
      <w:r>
        <w:rPr>
          <w:rFonts w:eastAsia="Arial" w:cs="Arial"/>
        </w:rPr>
        <w:t>suggest</w:t>
      </w:r>
      <w:r w:rsidRPr="1F9E49FF">
        <w:rPr>
          <w:rFonts w:eastAsia="Arial" w:cs="Arial"/>
        </w:rPr>
        <w:t xml:space="preserve"> what stakeholders reported to JSA: ECEC educators have a higher risk of burnout than </w:t>
      </w:r>
      <w:r>
        <w:rPr>
          <w:rFonts w:eastAsia="Arial" w:cs="Arial"/>
        </w:rPr>
        <w:t>all</w:t>
      </w:r>
      <w:r w:rsidRPr="1F9E49FF">
        <w:rPr>
          <w:rFonts w:eastAsia="Arial" w:cs="Arial"/>
        </w:rPr>
        <w:t xml:space="preserve"> occupations. Burnout describes a state of emotional fatigue, which can contribute to poor health and low job satisfaction. Burnout is a key reason for workers to seek an alternative career path. It presents a significant risk to the ECEC sector.</w:t>
      </w:r>
    </w:p>
    <w:p w14:paraId="308AD13F" w14:textId="77777777" w:rsidR="00442C59" w:rsidRDefault="00442C59" w:rsidP="00442C59">
      <w:r w:rsidRPr="00A4760B">
        <w:rPr>
          <w:rFonts w:asciiTheme="minorHAnsi" w:eastAsiaTheme="minorEastAsia" w:hAnsiTheme="minorHAnsi"/>
        </w:rPr>
        <w:t>High job demands, poor support, and inadequate reward and recognition contributing to burnout are considered psychosocial hazards, which a</w:t>
      </w:r>
      <w:r w:rsidRPr="00A4760B">
        <w:rPr>
          <w:rFonts w:asciiTheme="minorHAnsi" w:eastAsiaTheme="minorEastAsia" w:hAnsiTheme="minorHAnsi"/>
          <w:color w:val="242424"/>
        </w:rPr>
        <w:t xml:space="preserve"> person conducting a business or undertaking</w:t>
      </w:r>
      <w:r w:rsidRPr="00A4760B">
        <w:rPr>
          <w:rFonts w:asciiTheme="minorHAnsi" w:eastAsiaTheme="minorEastAsia" w:hAnsiTheme="minorHAnsi"/>
        </w:rPr>
        <w:t xml:space="preserve"> must manage under model Work Health and Safety laws which have been, or are in the process of being, adopted nationally. </w:t>
      </w:r>
      <w:r>
        <w:t xml:space="preserve">Safe Work Australia publishes rates of serious injury claims, including relating to psycho-social hazards. </w:t>
      </w:r>
      <w:r w:rsidRPr="00B24E9E">
        <w:t xml:space="preserve">The rate of </w:t>
      </w:r>
      <w:r w:rsidRPr="00CD32B2">
        <w:t xml:space="preserve">serious </w:t>
      </w:r>
      <w:r w:rsidRPr="00B24E9E">
        <w:t xml:space="preserve">injury claims in the Childcare Services </w:t>
      </w:r>
      <w:r w:rsidRPr="00CD32B2">
        <w:t xml:space="preserve">industry group </w:t>
      </w:r>
      <w:r w:rsidRPr="00B24E9E">
        <w:t xml:space="preserve">(ANZSIC 713) </w:t>
      </w:r>
      <w:r w:rsidRPr="00CD32B2">
        <w:t>in 2021-22</w:t>
      </w:r>
      <w:r>
        <w:t>p</w:t>
      </w:r>
      <w:r>
        <w:rPr>
          <w:rStyle w:val="FootnoteReference"/>
        </w:rPr>
        <w:footnoteReference w:id="71"/>
      </w:r>
      <w:r w:rsidRPr="00B24E9E">
        <w:t xml:space="preserve"> </w:t>
      </w:r>
      <w:r>
        <w:t xml:space="preserve">(Safe Work Australia NDS for Compensation-based Statistics) </w:t>
      </w:r>
      <w:r w:rsidRPr="00B24E9E">
        <w:t>was 14.2 claims per million hours worked compared to 6.5 claims per million hours worked in all industries</w:t>
      </w:r>
      <w:r>
        <w:t xml:space="preserve"> as seen in table below</w:t>
      </w:r>
      <w:r w:rsidRPr="00B24E9E">
        <w:t>.</w:t>
      </w:r>
    </w:p>
    <w:p w14:paraId="588A20DF" w14:textId="77777777" w:rsidR="00442C59" w:rsidRDefault="00442C59" w:rsidP="00442C59">
      <w:pPr>
        <w:pStyle w:val="Caption"/>
      </w:pPr>
      <w:r>
        <w:t>Table 6.2 Frequency rate of serious claims (per million hours worked) for selected industry divisions and groups</w:t>
      </w:r>
      <w:r w:rsidRPr="45E3AAC1">
        <w:rPr>
          <w:rStyle w:val="FootnoteReference"/>
        </w:rPr>
        <w:footnoteReference w:id="72"/>
      </w:r>
    </w:p>
    <w:tbl>
      <w:tblPr>
        <w:tblStyle w:val="JSATable1"/>
        <w:tblW w:w="8592" w:type="dxa"/>
        <w:tblLayout w:type="fixed"/>
        <w:tblLook w:val="04A0" w:firstRow="1" w:lastRow="0" w:firstColumn="1" w:lastColumn="0" w:noHBand="0" w:noVBand="1"/>
      </w:tblPr>
      <w:tblGrid>
        <w:gridCol w:w="1722"/>
        <w:gridCol w:w="859"/>
        <w:gridCol w:w="859"/>
        <w:gridCol w:w="858"/>
        <w:gridCol w:w="859"/>
        <w:gridCol w:w="859"/>
        <w:gridCol w:w="858"/>
        <w:gridCol w:w="859"/>
        <w:gridCol w:w="859"/>
      </w:tblGrid>
      <w:tr w:rsidR="00442C59" w:rsidRPr="004803FB" w14:paraId="388268FF" w14:textId="77777777" w:rsidTr="005F6ADC">
        <w:trPr>
          <w:cnfStyle w:val="100000000000" w:firstRow="1" w:lastRow="0" w:firstColumn="0" w:lastColumn="0" w:oddVBand="0" w:evenVBand="0" w:oddHBand="0" w:evenHBand="0" w:firstRowFirstColumn="0" w:firstRowLastColumn="0" w:lastRowFirstColumn="0" w:lastRowLastColumn="0"/>
        </w:trPr>
        <w:tc>
          <w:tcPr>
            <w:tcW w:w="1722" w:type="dxa"/>
            <w:hideMark/>
          </w:tcPr>
          <w:p w14:paraId="461BF3B0" w14:textId="77777777" w:rsidR="00442C59" w:rsidRPr="008B38D9" w:rsidRDefault="00442C59" w:rsidP="005F6ADC">
            <w:pPr>
              <w:rPr>
                <w:rFonts w:asciiTheme="majorHAnsi" w:hAnsiTheme="majorHAnsi" w:cstheme="majorHAnsi"/>
                <w:b/>
                <w:bCs/>
                <w:color w:val="auto"/>
                <w:sz w:val="20"/>
                <w:szCs w:val="20"/>
              </w:rPr>
            </w:pPr>
            <w:r w:rsidRPr="008B38D9">
              <w:rPr>
                <w:rFonts w:asciiTheme="majorHAnsi" w:hAnsiTheme="majorHAnsi" w:cstheme="majorHAnsi"/>
                <w:b/>
                <w:bCs/>
                <w:color w:val="FFFFFF"/>
                <w:sz w:val="20"/>
                <w:szCs w:val="20"/>
              </w:rPr>
              <w:t>Industry of employer</w:t>
            </w:r>
          </w:p>
        </w:tc>
        <w:tc>
          <w:tcPr>
            <w:tcW w:w="859" w:type="dxa"/>
            <w:hideMark/>
          </w:tcPr>
          <w:p w14:paraId="39607743" w14:textId="77777777" w:rsidR="00442C59" w:rsidRPr="008B38D9" w:rsidRDefault="00442C59" w:rsidP="005F6ADC">
            <w:pPr>
              <w:jc w:val="center"/>
              <w:rPr>
                <w:rFonts w:asciiTheme="majorHAnsi" w:hAnsiTheme="majorHAnsi" w:cstheme="majorHAnsi"/>
                <w:b/>
                <w:bCs/>
                <w:sz w:val="20"/>
                <w:szCs w:val="20"/>
              </w:rPr>
            </w:pPr>
            <w:r w:rsidRPr="008B38D9">
              <w:rPr>
                <w:rFonts w:asciiTheme="majorHAnsi" w:hAnsiTheme="majorHAnsi" w:cstheme="majorHAnsi"/>
                <w:b/>
                <w:bCs/>
                <w:color w:val="FFFFFF"/>
                <w:sz w:val="20"/>
                <w:szCs w:val="20"/>
              </w:rPr>
              <w:t>2014-15</w:t>
            </w:r>
          </w:p>
        </w:tc>
        <w:tc>
          <w:tcPr>
            <w:tcW w:w="859" w:type="dxa"/>
            <w:hideMark/>
          </w:tcPr>
          <w:p w14:paraId="44CC1464" w14:textId="77777777" w:rsidR="00442C59" w:rsidRPr="008B38D9" w:rsidRDefault="00442C59" w:rsidP="005F6ADC">
            <w:pPr>
              <w:jc w:val="center"/>
              <w:rPr>
                <w:rFonts w:asciiTheme="majorHAnsi" w:hAnsiTheme="majorHAnsi" w:cstheme="majorHAnsi"/>
                <w:b/>
                <w:bCs/>
                <w:sz w:val="20"/>
                <w:szCs w:val="20"/>
              </w:rPr>
            </w:pPr>
            <w:r w:rsidRPr="008B38D9">
              <w:rPr>
                <w:rFonts w:asciiTheme="majorHAnsi" w:hAnsiTheme="majorHAnsi" w:cstheme="majorHAnsi"/>
                <w:b/>
                <w:bCs/>
                <w:color w:val="FFFFFF"/>
                <w:sz w:val="20"/>
                <w:szCs w:val="20"/>
              </w:rPr>
              <w:t>2015-16</w:t>
            </w:r>
          </w:p>
        </w:tc>
        <w:tc>
          <w:tcPr>
            <w:tcW w:w="858" w:type="dxa"/>
            <w:hideMark/>
          </w:tcPr>
          <w:p w14:paraId="64370C01" w14:textId="77777777" w:rsidR="00442C59" w:rsidRPr="008B38D9" w:rsidRDefault="00442C59" w:rsidP="005F6ADC">
            <w:pPr>
              <w:jc w:val="center"/>
              <w:rPr>
                <w:rFonts w:asciiTheme="majorHAnsi" w:hAnsiTheme="majorHAnsi" w:cstheme="majorHAnsi"/>
                <w:b/>
                <w:bCs/>
                <w:sz w:val="20"/>
                <w:szCs w:val="20"/>
              </w:rPr>
            </w:pPr>
            <w:r w:rsidRPr="008B38D9">
              <w:rPr>
                <w:rFonts w:asciiTheme="majorHAnsi" w:hAnsiTheme="majorHAnsi" w:cstheme="majorHAnsi"/>
                <w:b/>
                <w:bCs/>
                <w:color w:val="FFFFFF"/>
                <w:sz w:val="20"/>
                <w:szCs w:val="20"/>
              </w:rPr>
              <w:t>2016-17</w:t>
            </w:r>
          </w:p>
        </w:tc>
        <w:tc>
          <w:tcPr>
            <w:tcW w:w="859" w:type="dxa"/>
            <w:hideMark/>
          </w:tcPr>
          <w:p w14:paraId="2ED46DBD" w14:textId="77777777" w:rsidR="00442C59" w:rsidRPr="008B38D9" w:rsidRDefault="00442C59" w:rsidP="005F6ADC">
            <w:pPr>
              <w:jc w:val="center"/>
              <w:rPr>
                <w:rFonts w:asciiTheme="majorHAnsi" w:hAnsiTheme="majorHAnsi" w:cstheme="majorHAnsi"/>
                <w:b/>
                <w:bCs/>
                <w:sz w:val="20"/>
                <w:szCs w:val="20"/>
              </w:rPr>
            </w:pPr>
            <w:r w:rsidRPr="008B38D9">
              <w:rPr>
                <w:rFonts w:asciiTheme="majorHAnsi" w:hAnsiTheme="majorHAnsi" w:cstheme="majorHAnsi"/>
                <w:b/>
                <w:bCs/>
                <w:color w:val="FFFFFF"/>
                <w:sz w:val="20"/>
                <w:szCs w:val="20"/>
              </w:rPr>
              <w:t>2017-18</w:t>
            </w:r>
          </w:p>
        </w:tc>
        <w:tc>
          <w:tcPr>
            <w:tcW w:w="859" w:type="dxa"/>
            <w:hideMark/>
          </w:tcPr>
          <w:p w14:paraId="2682AA4D" w14:textId="77777777" w:rsidR="00442C59" w:rsidRPr="008B38D9" w:rsidRDefault="00442C59" w:rsidP="005F6ADC">
            <w:pPr>
              <w:jc w:val="center"/>
              <w:rPr>
                <w:rFonts w:asciiTheme="majorHAnsi" w:hAnsiTheme="majorHAnsi" w:cstheme="majorHAnsi"/>
                <w:b/>
                <w:bCs/>
                <w:sz w:val="20"/>
                <w:szCs w:val="20"/>
              </w:rPr>
            </w:pPr>
            <w:r w:rsidRPr="008B38D9">
              <w:rPr>
                <w:rFonts w:asciiTheme="majorHAnsi" w:hAnsiTheme="majorHAnsi" w:cstheme="majorHAnsi"/>
                <w:b/>
                <w:bCs/>
                <w:color w:val="FFFFFF"/>
                <w:sz w:val="20"/>
                <w:szCs w:val="20"/>
              </w:rPr>
              <w:t>2018-19</w:t>
            </w:r>
          </w:p>
        </w:tc>
        <w:tc>
          <w:tcPr>
            <w:tcW w:w="858" w:type="dxa"/>
            <w:hideMark/>
          </w:tcPr>
          <w:p w14:paraId="7DCC201D" w14:textId="77777777" w:rsidR="00442C59" w:rsidRPr="008B38D9" w:rsidRDefault="00442C59" w:rsidP="005F6ADC">
            <w:pPr>
              <w:jc w:val="center"/>
              <w:rPr>
                <w:rFonts w:asciiTheme="majorHAnsi" w:hAnsiTheme="majorHAnsi" w:cstheme="majorHAnsi"/>
                <w:b/>
                <w:bCs/>
                <w:sz w:val="20"/>
                <w:szCs w:val="20"/>
              </w:rPr>
            </w:pPr>
            <w:r w:rsidRPr="008B38D9">
              <w:rPr>
                <w:rFonts w:asciiTheme="majorHAnsi" w:hAnsiTheme="majorHAnsi" w:cstheme="majorHAnsi"/>
                <w:b/>
                <w:bCs/>
                <w:color w:val="FFFFFF"/>
                <w:sz w:val="20"/>
                <w:szCs w:val="20"/>
              </w:rPr>
              <w:t>2019-20</w:t>
            </w:r>
          </w:p>
        </w:tc>
        <w:tc>
          <w:tcPr>
            <w:tcW w:w="859" w:type="dxa"/>
            <w:hideMark/>
          </w:tcPr>
          <w:p w14:paraId="1AF8F811" w14:textId="77777777" w:rsidR="00442C59" w:rsidRPr="008B38D9" w:rsidRDefault="00442C59" w:rsidP="005F6ADC">
            <w:pPr>
              <w:jc w:val="center"/>
              <w:rPr>
                <w:rFonts w:asciiTheme="majorHAnsi" w:hAnsiTheme="majorHAnsi" w:cstheme="majorHAnsi"/>
                <w:b/>
                <w:bCs/>
                <w:sz w:val="20"/>
                <w:szCs w:val="20"/>
              </w:rPr>
            </w:pPr>
            <w:r w:rsidRPr="008B38D9">
              <w:rPr>
                <w:rFonts w:asciiTheme="majorHAnsi" w:hAnsiTheme="majorHAnsi" w:cstheme="majorHAnsi"/>
                <w:b/>
                <w:bCs/>
                <w:color w:val="FFFFFF"/>
                <w:sz w:val="20"/>
                <w:szCs w:val="20"/>
              </w:rPr>
              <w:t>2020-21</w:t>
            </w:r>
          </w:p>
        </w:tc>
        <w:tc>
          <w:tcPr>
            <w:tcW w:w="859" w:type="dxa"/>
            <w:hideMark/>
          </w:tcPr>
          <w:p w14:paraId="5C515DA5" w14:textId="77777777" w:rsidR="00442C59" w:rsidRPr="008B38D9" w:rsidRDefault="00442C59" w:rsidP="005F6ADC">
            <w:pPr>
              <w:jc w:val="center"/>
              <w:rPr>
                <w:rFonts w:asciiTheme="majorHAnsi" w:hAnsiTheme="majorHAnsi" w:cstheme="majorHAnsi"/>
                <w:b/>
                <w:bCs/>
                <w:sz w:val="20"/>
                <w:szCs w:val="20"/>
              </w:rPr>
            </w:pPr>
            <w:r w:rsidRPr="008B38D9">
              <w:rPr>
                <w:rFonts w:asciiTheme="majorHAnsi" w:hAnsiTheme="majorHAnsi" w:cstheme="majorHAnsi"/>
                <w:b/>
                <w:bCs/>
                <w:color w:val="FFFFFF"/>
                <w:sz w:val="20"/>
                <w:szCs w:val="20"/>
              </w:rPr>
              <w:t>2021-22p</w:t>
            </w:r>
          </w:p>
        </w:tc>
      </w:tr>
      <w:tr w:rsidR="00442C59" w:rsidRPr="004803FB" w14:paraId="4CA49CAF" w14:textId="77777777" w:rsidTr="005F6ADC">
        <w:tc>
          <w:tcPr>
            <w:tcW w:w="1722" w:type="dxa"/>
            <w:hideMark/>
          </w:tcPr>
          <w:p w14:paraId="7E02C13F" w14:textId="77777777" w:rsidR="00442C59" w:rsidRPr="008B38D9" w:rsidRDefault="00442C59" w:rsidP="005F6ADC">
            <w:pPr>
              <w:rPr>
                <w:rFonts w:asciiTheme="minorHAnsi" w:hAnsiTheme="minorHAnsi" w:cstheme="minorHAnsi"/>
                <w:sz w:val="20"/>
                <w:szCs w:val="20"/>
              </w:rPr>
            </w:pPr>
            <w:r w:rsidRPr="008B38D9">
              <w:rPr>
                <w:rFonts w:asciiTheme="minorHAnsi" w:hAnsiTheme="minorHAnsi" w:cstheme="minorHAnsi"/>
                <w:sz w:val="20"/>
                <w:szCs w:val="20"/>
              </w:rPr>
              <w:t>Education and Training</w:t>
            </w:r>
          </w:p>
        </w:tc>
        <w:tc>
          <w:tcPr>
            <w:tcW w:w="859" w:type="dxa"/>
            <w:hideMark/>
          </w:tcPr>
          <w:p w14:paraId="4ABC7A15" w14:textId="77777777" w:rsidR="00442C59" w:rsidRPr="008B38D9" w:rsidRDefault="00442C59" w:rsidP="005F6ADC">
            <w:pPr>
              <w:jc w:val="center"/>
              <w:rPr>
                <w:rFonts w:asciiTheme="minorHAnsi" w:hAnsiTheme="minorHAnsi" w:cstheme="minorHAnsi"/>
                <w:sz w:val="20"/>
                <w:szCs w:val="20"/>
              </w:rPr>
            </w:pPr>
            <w:r w:rsidRPr="008B38D9">
              <w:rPr>
                <w:rFonts w:asciiTheme="minorHAnsi" w:hAnsiTheme="minorHAnsi" w:cstheme="minorHAnsi"/>
                <w:color w:val="000000"/>
                <w:sz w:val="20"/>
                <w:szCs w:val="20"/>
              </w:rPr>
              <w:t>4.6</w:t>
            </w:r>
          </w:p>
        </w:tc>
        <w:tc>
          <w:tcPr>
            <w:tcW w:w="859" w:type="dxa"/>
            <w:hideMark/>
          </w:tcPr>
          <w:p w14:paraId="3BA45C8F" w14:textId="77777777" w:rsidR="00442C59" w:rsidRPr="008B38D9" w:rsidRDefault="00442C59" w:rsidP="005F6ADC">
            <w:pPr>
              <w:jc w:val="center"/>
              <w:rPr>
                <w:rFonts w:asciiTheme="minorHAnsi" w:hAnsiTheme="minorHAnsi" w:cstheme="minorHAnsi"/>
                <w:sz w:val="20"/>
                <w:szCs w:val="20"/>
              </w:rPr>
            </w:pPr>
            <w:r w:rsidRPr="008B38D9">
              <w:rPr>
                <w:rFonts w:asciiTheme="minorHAnsi" w:hAnsiTheme="minorHAnsi" w:cstheme="minorHAnsi"/>
                <w:color w:val="000000"/>
                <w:sz w:val="20"/>
                <w:szCs w:val="20"/>
              </w:rPr>
              <w:t>4.4</w:t>
            </w:r>
          </w:p>
        </w:tc>
        <w:tc>
          <w:tcPr>
            <w:tcW w:w="858" w:type="dxa"/>
            <w:hideMark/>
          </w:tcPr>
          <w:p w14:paraId="2B7FA720" w14:textId="77777777" w:rsidR="00442C59" w:rsidRPr="008B38D9" w:rsidRDefault="00442C59" w:rsidP="005F6ADC">
            <w:pPr>
              <w:jc w:val="center"/>
              <w:rPr>
                <w:rFonts w:asciiTheme="minorHAnsi" w:hAnsiTheme="minorHAnsi" w:cstheme="minorHAnsi"/>
                <w:sz w:val="20"/>
                <w:szCs w:val="20"/>
              </w:rPr>
            </w:pPr>
            <w:r w:rsidRPr="008B38D9">
              <w:rPr>
                <w:rFonts w:asciiTheme="minorHAnsi" w:hAnsiTheme="minorHAnsi" w:cstheme="minorHAnsi"/>
                <w:color w:val="000000"/>
                <w:sz w:val="20"/>
                <w:szCs w:val="20"/>
              </w:rPr>
              <w:t>4.3</w:t>
            </w:r>
          </w:p>
        </w:tc>
        <w:tc>
          <w:tcPr>
            <w:tcW w:w="859" w:type="dxa"/>
            <w:hideMark/>
          </w:tcPr>
          <w:p w14:paraId="5B3B53E9" w14:textId="77777777" w:rsidR="00442C59" w:rsidRPr="008B38D9" w:rsidRDefault="00442C59" w:rsidP="005F6ADC">
            <w:pPr>
              <w:jc w:val="center"/>
              <w:rPr>
                <w:rFonts w:asciiTheme="minorHAnsi" w:hAnsiTheme="minorHAnsi" w:cstheme="minorHAnsi"/>
                <w:sz w:val="20"/>
                <w:szCs w:val="20"/>
              </w:rPr>
            </w:pPr>
            <w:r w:rsidRPr="008B38D9">
              <w:rPr>
                <w:rFonts w:asciiTheme="minorHAnsi" w:hAnsiTheme="minorHAnsi" w:cstheme="minorHAnsi"/>
                <w:color w:val="000000"/>
                <w:sz w:val="20"/>
                <w:szCs w:val="20"/>
              </w:rPr>
              <w:t>4.3</w:t>
            </w:r>
          </w:p>
        </w:tc>
        <w:tc>
          <w:tcPr>
            <w:tcW w:w="859" w:type="dxa"/>
            <w:hideMark/>
          </w:tcPr>
          <w:p w14:paraId="0E0EF0F5" w14:textId="77777777" w:rsidR="00442C59" w:rsidRPr="008B38D9" w:rsidRDefault="00442C59" w:rsidP="005F6ADC">
            <w:pPr>
              <w:jc w:val="center"/>
              <w:rPr>
                <w:rFonts w:asciiTheme="minorHAnsi" w:hAnsiTheme="minorHAnsi" w:cstheme="minorHAnsi"/>
                <w:sz w:val="20"/>
                <w:szCs w:val="20"/>
              </w:rPr>
            </w:pPr>
            <w:r w:rsidRPr="008B38D9">
              <w:rPr>
                <w:rFonts w:asciiTheme="minorHAnsi" w:hAnsiTheme="minorHAnsi" w:cstheme="minorHAnsi"/>
                <w:color w:val="000000"/>
                <w:sz w:val="20"/>
                <w:szCs w:val="20"/>
              </w:rPr>
              <w:t>4.6</w:t>
            </w:r>
          </w:p>
        </w:tc>
        <w:tc>
          <w:tcPr>
            <w:tcW w:w="858" w:type="dxa"/>
            <w:hideMark/>
          </w:tcPr>
          <w:p w14:paraId="6E3E9C47" w14:textId="77777777" w:rsidR="00442C59" w:rsidRPr="008B38D9" w:rsidRDefault="00442C59" w:rsidP="005F6ADC">
            <w:pPr>
              <w:jc w:val="center"/>
              <w:rPr>
                <w:rFonts w:asciiTheme="minorHAnsi" w:hAnsiTheme="minorHAnsi" w:cstheme="minorHAnsi"/>
                <w:sz w:val="20"/>
                <w:szCs w:val="20"/>
              </w:rPr>
            </w:pPr>
            <w:r w:rsidRPr="008B38D9">
              <w:rPr>
                <w:rFonts w:asciiTheme="minorHAnsi" w:hAnsiTheme="minorHAnsi" w:cstheme="minorHAnsi"/>
                <w:color w:val="000000"/>
                <w:sz w:val="20"/>
                <w:szCs w:val="20"/>
              </w:rPr>
              <w:t>4.3</w:t>
            </w:r>
          </w:p>
        </w:tc>
        <w:tc>
          <w:tcPr>
            <w:tcW w:w="859" w:type="dxa"/>
            <w:hideMark/>
          </w:tcPr>
          <w:p w14:paraId="72FE2F40" w14:textId="77777777" w:rsidR="00442C59" w:rsidRPr="008B38D9" w:rsidRDefault="00442C59" w:rsidP="005F6ADC">
            <w:pPr>
              <w:jc w:val="center"/>
              <w:rPr>
                <w:rFonts w:asciiTheme="minorHAnsi" w:hAnsiTheme="minorHAnsi" w:cstheme="minorHAnsi"/>
                <w:sz w:val="20"/>
                <w:szCs w:val="20"/>
              </w:rPr>
            </w:pPr>
            <w:r w:rsidRPr="008B38D9">
              <w:rPr>
                <w:rFonts w:asciiTheme="minorHAnsi" w:hAnsiTheme="minorHAnsi" w:cstheme="minorHAnsi"/>
                <w:color w:val="000000"/>
                <w:sz w:val="20"/>
                <w:szCs w:val="20"/>
              </w:rPr>
              <w:t>4.8</w:t>
            </w:r>
          </w:p>
        </w:tc>
        <w:tc>
          <w:tcPr>
            <w:tcW w:w="859" w:type="dxa"/>
            <w:hideMark/>
          </w:tcPr>
          <w:p w14:paraId="1C6793FA" w14:textId="77777777" w:rsidR="00442C59" w:rsidRPr="008B38D9" w:rsidRDefault="00442C59" w:rsidP="005F6ADC">
            <w:pPr>
              <w:jc w:val="center"/>
              <w:rPr>
                <w:rFonts w:asciiTheme="minorHAnsi" w:hAnsiTheme="minorHAnsi" w:cstheme="minorHAnsi"/>
                <w:sz w:val="20"/>
                <w:szCs w:val="20"/>
              </w:rPr>
            </w:pPr>
            <w:r w:rsidRPr="008B38D9">
              <w:rPr>
                <w:rFonts w:asciiTheme="minorHAnsi" w:hAnsiTheme="minorHAnsi" w:cstheme="minorHAnsi"/>
                <w:color w:val="000000"/>
                <w:sz w:val="20"/>
                <w:szCs w:val="20"/>
              </w:rPr>
              <w:t>4.9</w:t>
            </w:r>
          </w:p>
        </w:tc>
      </w:tr>
      <w:tr w:rsidR="00442C59" w:rsidRPr="004803FB" w14:paraId="61AADFF1" w14:textId="77777777" w:rsidTr="005F6ADC">
        <w:trPr>
          <w:cnfStyle w:val="000000010000" w:firstRow="0" w:lastRow="0" w:firstColumn="0" w:lastColumn="0" w:oddVBand="0" w:evenVBand="0" w:oddHBand="0" w:evenHBand="1" w:firstRowFirstColumn="0" w:firstRowLastColumn="0" w:lastRowFirstColumn="0" w:lastRowLastColumn="0"/>
        </w:trPr>
        <w:tc>
          <w:tcPr>
            <w:tcW w:w="1722" w:type="dxa"/>
            <w:hideMark/>
          </w:tcPr>
          <w:p w14:paraId="621BCE9F" w14:textId="77777777" w:rsidR="00442C59" w:rsidRPr="008B38D9" w:rsidRDefault="00442C59" w:rsidP="005F6ADC">
            <w:pPr>
              <w:rPr>
                <w:rFonts w:asciiTheme="minorHAnsi" w:hAnsiTheme="minorHAnsi" w:cstheme="minorHAnsi"/>
                <w:i/>
                <w:iCs/>
                <w:sz w:val="20"/>
                <w:szCs w:val="20"/>
              </w:rPr>
            </w:pPr>
            <w:r w:rsidRPr="008B38D9">
              <w:rPr>
                <w:rFonts w:asciiTheme="minorHAnsi" w:hAnsiTheme="minorHAnsi" w:cstheme="minorHAnsi"/>
                <w:i/>
                <w:iCs/>
                <w:sz w:val="20"/>
                <w:szCs w:val="20"/>
              </w:rPr>
              <w:t> Preschool education (801)</w:t>
            </w:r>
          </w:p>
        </w:tc>
        <w:tc>
          <w:tcPr>
            <w:tcW w:w="859" w:type="dxa"/>
            <w:hideMark/>
          </w:tcPr>
          <w:p w14:paraId="5FD29CED" w14:textId="77777777" w:rsidR="00442C59" w:rsidRPr="008B38D9" w:rsidRDefault="00442C59" w:rsidP="005F6ADC">
            <w:pPr>
              <w:jc w:val="center"/>
              <w:rPr>
                <w:rFonts w:asciiTheme="minorHAnsi" w:hAnsiTheme="minorHAnsi" w:cstheme="minorHAnsi"/>
                <w:i/>
                <w:iCs/>
                <w:sz w:val="20"/>
                <w:szCs w:val="20"/>
              </w:rPr>
            </w:pPr>
            <w:r w:rsidRPr="008B38D9">
              <w:rPr>
                <w:rFonts w:asciiTheme="minorHAnsi" w:hAnsiTheme="minorHAnsi" w:cstheme="minorHAnsi"/>
                <w:i/>
                <w:iCs/>
                <w:color w:val="000000"/>
                <w:sz w:val="20"/>
                <w:szCs w:val="20"/>
              </w:rPr>
              <w:t>2.9</w:t>
            </w:r>
          </w:p>
        </w:tc>
        <w:tc>
          <w:tcPr>
            <w:tcW w:w="859" w:type="dxa"/>
            <w:hideMark/>
          </w:tcPr>
          <w:p w14:paraId="2DDB10E8" w14:textId="77777777" w:rsidR="00442C59" w:rsidRPr="008B38D9" w:rsidRDefault="00442C59" w:rsidP="005F6ADC">
            <w:pPr>
              <w:jc w:val="center"/>
              <w:rPr>
                <w:rFonts w:asciiTheme="minorHAnsi" w:hAnsiTheme="minorHAnsi" w:cstheme="minorHAnsi"/>
                <w:i/>
                <w:iCs/>
                <w:sz w:val="20"/>
                <w:szCs w:val="20"/>
              </w:rPr>
            </w:pPr>
            <w:r w:rsidRPr="008B38D9">
              <w:rPr>
                <w:rFonts w:asciiTheme="minorHAnsi" w:hAnsiTheme="minorHAnsi" w:cstheme="minorHAnsi"/>
                <w:i/>
                <w:iCs/>
                <w:color w:val="000000"/>
                <w:sz w:val="20"/>
                <w:szCs w:val="20"/>
              </w:rPr>
              <w:t>2.8</w:t>
            </w:r>
          </w:p>
        </w:tc>
        <w:tc>
          <w:tcPr>
            <w:tcW w:w="858" w:type="dxa"/>
            <w:hideMark/>
          </w:tcPr>
          <w:p w14:paraId="482461D5" w14:textId="77777777" w:rsidR="00442C59" w:rsidRPr="008B38D9" w:rsidRDefault="00442C59" w:rsidP="005F6ADC">
            <w:pPr>
              <w:jc w:val="center"/>
              <w:rPr>
                <w:rFonts w:asciiTheme="minorHAnsi" w:hAnsiTheme="minorHAnsi" w:cstheme="minorHAnsi"/>
                <w:i/>
                <w:iCs/>
                <w:sz w:val="20"/>
                <w:szCs w:val="20"/>
              </w:rPr>
            </w:pPr>
            <w:r w:rsidRPr="008B38D9">
              <w:rPr>
                <w:rFonts w:asciiTheme="minorHAnsi" w:hAnsiTheme="minorHAnsi" w:cstheme="minorHAnsi"/>
                <w:i/>
                <w:iCs/>
                <w:color w:val="000000"/>
                <w:sz w:val="20"/>
                <w:szCs w:val="20"/>
              </w:rPr>
              <w:t>2.4</w:t>
            </w:r>
          </w:p>
        </w:tc>
        <w:tc>
          <w:tcPr>
            <w:tcW w:w="859" w:type="dxa"/>
            <w:hideMark/>
          </w:tcPr>
          <w:p w14:paraId="36CA0225" w14:textId="77777777" w:rsidR="00442C59" w:rsidRPr="008B38D9" w:rsidRDefault="00442C59" w:rsidP="005F6ADC">
            <w:pPr>
              <w:jc w:val="center"/>
              <w:rPr>
                <w:rFonts w:asciiTheme="minorHAnsi" w:hAnsiTheme="minorHAnsi" w:cstheme="minorHAnsi"/>
                <w:i/>
                <w:iCs/>
                <w:sz w:val="20"/>
                <w:szCs w:val="20"/>
              </w:rPr>
            </w:pPr>
            <w:r w:rsidRPr="008B38D9">
              <w:rPr>
                <w:rFonts w:asciiTheme="minorHAnsi" w:hAnsiTheme="minorHAnsi" w:cstheme="minorHAnsi"/>
                <w:i/>
                <w:iCs/>
                <w:color w:val="000000"/>
                <w:sz w:val="20"/>
                <w:szCs w:val="20"/>
              </w:rPr>
              <w:t>2.8</w:t>
            </w:r>
          </w:p>
        </w:tc>
        <w:tc>
          <w:tcPr>
            <w:tcW w:w="859" w:type="dxa"/>
            <w:hideMark/>
          </w:tcPr>
          <w:p w14:paraId="7EC11024" w14:textId="77777777" w:rsidR="00442C59" w:rsidRPr="008B38D9" w:rsidRDefault="00442C59" w:rsidP="005F6ADC">
            <w:pPr>
              <w:jc w:val="center"/>
              <w:rPr>
                <w:rFonts w:asciiTheme="minorHAnsi" w:hAnsiTheme="minorHAnsi" w:cstheme="minorHAnsi"/>
                <w:i/>
                <w:iCs/>
                <w:sz w:val="20"/>
                <w:szCs w:val="20"/>
              </w:rPr>
            </w:pPr>
            <w:r w:rsidRPr="008B38D9">
              <w:rPr>
                <w:rFonts w:asciiTheme="minorHAnsi" w:hAnsiTheme="minorHAnsi" w:cstheme="minorHAnsi"/>
                <w:i/>
                <w:iCs/>
                <w:color w:val="000000"/>
                <w:sz w:val="20"/>
                <w:szCs w:val="20"/>
              </w:rPr>
              <w:t>2.6</w:t>
            </w:r>
          </w:p>
        </w:tc>
        <w:tc>
          <w:tcPr>
            <w:tcW w:w="858" w:type="dxa"/>
            <w:hideMark/>
          </w:tcPr>
          <w:p w14:paraId="4F9538F4" w14:textId="77777777" w:rsidR="00442C59" w:rsidRPr="008B38D9" w:rsidRDefault="00442C59" w:rsidP="005F6ADC">
            <w:pPr>
              <w:jc w:val="center"/>
              <w:rPr>
                <w:rFonts w:asciiTheme="minorHAnsi" w:hAnsiTheme="minorHAnsi" w:cstheme="minorHAnsi"/>
                <w:i/>
                <w:iCs/>
                <w:sz w:val="20"/>
                <w:szCs w:val="20"/>
              </w:rPr>
            </w:pPr>
            <w:r w:rsidRPr="008B38D9">
              <w:rPr>
                <w:rFonts w:asciiTheme="minorHAnsi" w:hAnsiTheme="minorHAnsi" w:cstheme="minorHAnsi"/>
                <w:i/>
                <w:iCs/>
                <w:color w:val="000000"/>
                <w:sz w:val="20"/>
                <w:szCs w:val="20"/>
              </w:rPr>
              <w:t>2.7</w:t>
            </w:r>
          </w:p>
        </w:tc>
        <w:tc>
          <w:tcPr>
            <w:tcW w:w="859" w:type="dxa"/>
            <w:hideMark/>
          </w:tcPr>
          <w:p w14:paraId="2AB6B67E" w14:textId="77777777" w:rsidR="00442C59" w:rsidRPr="008B38D9" w:rsidRDefault="00442C59" w:rsidP="005F6ADC">
            <w:pPr>
              <w:jc w:val="center"/>
              <w:rPr>
                <w:rFonts w:asciiTheme="minorHAnsi" w:hAnsiTheme="minorHAnsi" w:cstheme="minorHAnsi"/>
                <w:i/>
                <w:iCs/>
                <w:sz w:val="20"/>
                <w:szCs w:val="20"/>
              </w:rPr>
            </w:pPr>
            <w:r w:rsidRPr="008B38D9">
              <w:rPr>
                <w:rFonts w:asciiTheme="minorHAnsi" w:hAnsiTheme="minorHAnsi" w:cstheme="minorHAnsi"/>
                <w:i/>
                <w:iCs/>
                <w:color w:val="000000"/>
                <w:sz w:val="20"/>
                <w:szCs w:val="20"/>
              </w:rPr>
              <w:t>2.5</w:t>
            </w:r>
          </w:p>
        </w:tc>
        <w:tc>
          <w:tcPr>
            <w:tcW w:w="859" w:type="dxa"/>
            <w:hideMark/>
          </w:tcPr>
          <w:p w14:paraId="3E83CF0C" w14:textId="77777777" w:rsidR="00442C59" w:rsidRPr="008B38D9" w:rsidRDefault="00442C59" w:rsidP="005F6ADC">
            <w:pPr>
              <w:jc w:val="center"/>
              <w:rPr>
                <w:rFonts w:asciiTheme="minorHAnsi" w:hAnsiTheme="minorHAnsi" w:cstheme="minorHAnsi"/>
                <w:i/>
                <w:iCs/>
                <w:sz w:val="20"/>
                <w:szCs w:val="20"/>
              </w:rPr>
            </w:pPr>
            <w:r w:rsidRPr="008B38D9">
              <w:rPr>
                <w:rFonts w:asciiTheme="minorHAnsi" w:hAnsiTheme="minorHAnsi" w:cstheme="minorHAnsi"/>
                <w:i/>
                <w:iCs/>
                <w:color w:val="000000"/>
                <w:sz w:val="20"/>
                <w:szCs w:val="20"/>
              </w:rPr>
              <w:t>2.5</w:t>
            </w:r>
          </w:p>
        </w:tc>
      </w:tr>
      <w:tr w:rsidR="00442C59" w:rsidRPr="004803FB" w14:paraId="1E9D3020" w14:textId="77777777" w:rsidTr="005F6ADC">
        <w:tc>
          <w:tcPr>
            <w:tcW w:w="1722" w:type="dxa"/>
            <w:hideMark/>
          </w:tcPr>
          <w:p w14:paraId="735DFF8F" w14:textId="77777777" w:rsidR="00442C59" w:rsidRPr="008B38D9" w:rsidRDefault="00442C59" w:rsidP="005F6ADC">
            <w:pPr>
              <w:rPr>
                <w:rFonts w:asciiTheme="minorHAnsi" w:hAnsiTheme="minorHAnsi" w:cstheme="minorHAnsi"/>
                <w:sz w:val="20"/>
                <w:szCs w:val="20"/>
              </w:rPr>
            </w:pPr>
            <w:r w:rsidRPr="008B38D9">
              <w:rPr>
                <w:rFonts w:asciiTheme="minorHAnsi" w:hAnsiTheme="minorHAnsi" w:cstheme="minorHAnsi"/>
                <w:sz w:val="20"/>
                <w:szCs w:val="20"/>
              </w:rPr>
              <w:t>Health Care and Social Assistance</w:t>
            </w:r>
          </w:p>
        </w:tc>
        <w:tc>
          <w:tcPr>
            <w:tcW w:w="859" w:type="dxa"/>
            <w:hideMark/>
          </w:tcPr>
          <w:p w14:paraId="7821F713" w14:textId="77777777" w:rsidR="00442C59" w:rsidRPr="008B38D9" w:rsidRDefault="00442C59" w:rsidP="005F6ADC">
            <w:pPr>
              <w:jc w:val="center"/>
              <w:rPr>
                <w:rFonts w:asciiTheme="minorHAnsi" w:hAnsiTheme="minorHAnsi" w:cstheme="minorHAnsi"/>
                <w:sz w:val="20"/>
                <w:szCs w:val="20"/>
              </w:rPr>
            </w:pPr>
            <w:r w:rsidRPr="008B38D9">
              <w:rPr>
                <w:rFonts w:asciiTheme="minorHAnsi" w:hAnsiTheme="minorHAnsi" w:cstheme="minorHAnsi"/>
                <w:color w:val="000000"/>
                <w:sz w:val="20"/>
                <w:szCs w:val="20"/>
              </w:rPr>
              <w:t>8.5</w:t>
            </w:r>
          </w:p>
        </w:tc>
        <w:tc>
          <w:tcPr>
            <w:tcW w:w="859" w:type="dxa"/>
            <w:hideMark/>
          </w:tcPr>
          <w:p w14:paraId="4A1083EB" w14:textId="77777777" w:rsidR="00442C59" w:rsidRPr="008B38D9" w:rsidRDefault="00442C59" w:rsidP="005F6ADC">
            <w:pPr>
              <w:jc w:val="center"/>
              <w:rPr>
                <w:rFonts w:asciiTheme="minorHAnsi" w:hAnsiTheme="minorHAnsi" w:cstheme="minorHAnsi"/>
                <w:sz w:val="20"/>
                <w:szCs w:val="20"/>
              </w:rPr>
            </w:pPr>
            <w:r w:rsidRPr="008B38D9">
              <w:rPr>
                <w:rFonts w:asciiTheme="minorHAnsi" w:hAnsiTheme="minorHAnsi" w:cstheme="minorHAnsi"/>
                <w:color w:val="000000"/>
                <w:sz w:val="20"/>
                <w:szCs w:val="20"/>
              </w:rPr>
              <w:t>7.4</w:t>
            </w:r>
          </w:p>
        </w:tc>
        <w:tc>
          <w:tcPr>
            <w:tcW w:w="858" w:type="dxa"/>
            <w:hideMark/>
          </w:tcPr>
          <w:p w14:paraId="76A1BD7D" w14:textId="77777777" w:rsidR="00442C59" w:rsidRPr="008B38D9" w:rsidRDefault="00442C59" w:rsidP="005F6ADC">
            <w:pPr>
              <w:jc w:val="center"/>
              <w:rPr>
                <w:rFonts w:asciiTheme="minorHAnsi" w:hAnsiTheme="minorHAnsi" w:cstheme="minorHAnsi"/>
                <w:sz w:val="20"/>
                <w:szCs w:val="20"/>
              </w:rPr>
            </w:pPr>
            <w:r w:rsidRPr="008B38D9">
              <w:rPr>
                <w:rFonts w:asciiTheme="minorHAnsi" w:hAnsiTheme="minorHAnsi" w:cstheme="minorHAnsi"/>
                <w:color w:val="000000"/>
                <w:sz w:val="20"/>
                <w:szCs w:val="20"/>
              </w:rPr>
              <w:t>7.7</w:t>
            </w:r>
          </w:p>
        </w:tc>
        <w:tc>
          <w:tcPr>
            <w:tcW w:w="859" w:type="dxa"/>
            <w:hideMark/>
          </w:tcPr>
          <w:p w14:paraId="35EF4C90" w14:textId="77777777" w:rsidR="00442C59" w:rsidRPr="008B38D9" w:rsidRDefault="00442C59" w:rsidP="005F6ADC">
            <w:pPr>
              <w:jc w:val="center"/>
              <w:rPr>
                <w:rFonts w:asciiTheme="minorHAnsi" w:hAnsiTheme="minorHAnsi" w:cstheme="minorHAnsi"/>
                <w:sz w:val="20"/>
                <w:szCs w:val="20"/>
              </w:rPr>
            </w:pPr>
            <w:r w:rsidRPr="008B38D9">
              <w:rPr>
                <w:rFonts w:asciiTheme="minorHAnsi" w:hAnsiTheme="minorHAnsi" w:cstheme="minorHAnsi"/>
                <w:color w:val="000000"/>
                <w:sz w:val="20"/>
                <w:szCs w:val="20"/>
              </w:rPr>
              <w:t>7.4</w:t>
            </w:r>
          </w:p>
        </w:tc>
        <w:tc>
          <w:tcPr>
            <w:tcW w:w="859" w:type="dxa"/>
            <w:hideMark/>
          </w:tcPr>
          <w:p w14:paraId="3858F65F" w14:textId="77777777" w:rsidR="00442C59" w:rsidRPr="008B38D9" w:rsidRDefault="00442C59" w:rsidP="005F6ADC">
            <w:pPr>
              <w:jc w:val="center"/>
              <w:rPr>
                <w:rFonts w:asciiTheme="minorHAnsi" w:hAnsiTheme="minorHAnsi" w:cstheme="minorHAnsi"/>
                <w:sz w:val="20"/>
                <w:szCs w:val="20"/>
              </w:rPr>
            </w:pPr>
            <w:r w:rsidRPr="008B38D9">
              <w:rPr>
                <w:rFonts w:asciiTheme="minorHAnsi" w:hAnsiTheme="minorHAnsi" w:cstheme="minorHAnsi"/>
                <w:color w:val="000000"/>
                <w:sz w:val="20"/>
                <w:szCs w:val="20"/>
              </w:rPr>
              <w:t>8.2</w:t>
            </w:r>
          </w:p>
        </w:tc>
        <w:tc>
          <w:tcPr>
            <w:tcW w:w="858" w:type="dxa"/>
            <w:hideMark/>
          </w:tcPr>
          <w:p w14:paraId="47F06DFB" w14:textId="77777777" w:rsidR="00442C59" w:rsidRPr="008B38D9" w:rsidRDefault="00442C59" w:rsidP="005F6ADC">
            <w:pPr>
              <w:jc w:val="center"/>
              <w:rPr>
                <w:rFonts w:asciiTheme="minorHAnsi" w:hAnsiTheme="minorHAnsi" w:cstheme="minorHAnsi"/>
                <w:sz w:val="20"/>
                <w:szCs w:val="20"/>
              </w:rPr>
            </w:pPr>
            <w:r w:rsidRPr="008B38D9">
              <w:rPr>
                <w:rFonts w:asciiTheme="minorHAnsi" w:hAnsiTheme="minorHAnsi" w:cstheme="minorHAnsi"/>
                <w:color w:val="000000"/>
                <w:sz w:val="20"/>
                <w:szCs w:val="20"/>
              </w:rPr>
              <w:t>8.5</w:t>
            </w:r>
          </w:p>
        </w:tc>
        <w:tc>
          <w:tcPr>
            <w:tcW w:w="859" w:type="dxa"/>
            <w:hideMark/>
          </w:tcPr>
          <w:p w14:paraId="6DB81D5B" w14:textId="77777777" w:rsidR="00442C59" w:rsidRPr="008B38D9" w:rsidRDefault="00442C59" w:rsidP="005F6ADC">
            <w:pPr>
              <w:jc w:val="center"/>
              <w:rPr>
                <w:rFonts w:asciiTheme="minorHAnsi" w:hAnsiTheme="minorHAnsi" w:cstheme="minorHAnsi"/>
                <w:sz w:val="20"/>
                <w:szCs w:val="20"/>
              </w:rPr>
            </w:pPr>
            <w:r w:rsidRPr="008B38D9">
              <w:rPr>
                <w:rFonts w:asciiTheme="minorHAnsi" w:hAnsiTheme="minorHAnsi" w:cstheme="minorHAnsi"/>
                <w:color w:val="000000"/>
                <w:sz w:val="20"/>
                <w:szCs w:val="20"/>
              </w:rPr>
              <w:t>10.0</w:t>
            </w:r>
          </w:p>
        </w:tc>
        <w:tc>
          <w:tcPr>
            <w:tcW w:w="859" w:type="dxa"/>
            <w:hideMark/>
          </w:tcPr>
          <w:p w14:paraId="4B4B30D5" w14:textId="77777777" w:rsidR="00442C59" w:rsidRPr="008B38D9" w:rsidRDefault="00442C59" w:rsidP="005F6ADC">
            <w:pPr>
              <w:jc w:val="center"/>
              <w:rPr>
                <w:rFonts w:asciiTheme="minorHAnsi" w:hAnsiTheme="minorHAnsi" w:cstheme="minorHAnsi"/>
                <w:sz w:val="20"/>
                <w:szCs w:val="20"/>
              </w:rPr>
            </w:pPr>
            <w:r w:rsidRPr="008B38D9">
              <w:rPr>
                <w:rFonts w:asciiTheme="minorHAnsi" w:hAnsiTheme="minorHAnsi" w:cstheme="minorHAnsi"/>
                <w:color w:val="000000"/>
                <w:sz w:val="20"/>
                <w:szCs w:val="20"/>
              </w:rPr>
              <w:t>8.8</w:t>
            </w:r>
          </w:p>
        </w:tc>
      </w:tr>
      <w:tr w:rsidR="00442C59" w:rsidRPr="004803FB" w14:paraId="5C3EA263" w14:textId="77777777" w:rsidTr="005F6ADC">
        <w:trPr>
          <w:cnfStyle w:val="000000010000" w:firstRow="0" w:lastRow="0" w:firstColumn="0" w:lastColumn="0" w:oddVBand="0" w:evenVBand="0" w:oddHBand="0" w:evenHBand="1" w:firstRowFirstColumn="0" w:firstRowLastColumn="0" w:lastRowFirstColumn="0" w:lastRowLastColumn="0"/>
          <w:trHeight w:val="80"/>
        </w:trPr>
        <w:tc>
          <w:tcPr>
            <w:tcW w:w="1722" w:type="dxa"/>
            <w:hideMark/>
          </w:tcPr>
          <w:p w14:paraId="0F4BFFD0" w14:textId="77777777" w:rsidR="00442C59" w:rsidRPr="008B38D9" w:rsidRDefault="00442C59" w:rsidP="005F6ADC">
            <w:pPr>
              <w:rPr>
                <w:rFonts w:asciiTheme="minorHAnsi" w:hAnsiTheme="minorHAnsi" w:cstheme="minorHAnsi"/>
                <w:i/>
                <w:iCs/>
                <w:sz w:val="20"/>
                <w:szCs w:val="20"/>
              </w:rPr>
            </w:pPr>
            <w:proofErr w:type="gramStart"/>
            <w:r w:rsidRPr="008B38D9">
              <w:rPr>
                <w:rFonts w:asciiTheme="minorHAnsi" w:hAnsiTheme="minorHAnsi" w:cstheme="minorHAnsi"/>
                <w:i/>
                <w:iCs/>
                <w:sz w:val="20"/>
                <w:szCs w:val="20"/>
              </w:rPr>
              <w:t>Child care</w:t>
            </w:r>
            <w:proofErr w:type="gramEnd"/>
            <w:r w:rsidRPr="008B38D9">
              <w:rPr>
                <w:rFonts w:asciiTheme="minorHAnsi" w:hAnsiTheme="minorHAnsi" w:cstheme="minorHAnsi"/>
                <w:i/>
                <w:iCs/>
                <w:sz w:val="20"/>
                <w:szCs w:val="20"/>
              </w:rPr>
              <w:t xml:space="preserve"> services (871)</w:t>
            </w:r>
          </w:p>
        </w:tc>
        <w:tc>
          <w:tcPr>
            <w:tcW w:w="859" w:type="dxa"/>
            <w:hideMark/>
          </w:tcPr>
          <w:p w14:paraId="71A18D46" w14:textId="77777777" w:rsidR="00442C59" w:rsidRPr="008B38D9" w:rsidRDefault="00442C59" w:rsidP="005F6ADC">
            <w:pPr>
              <w:jc w:val="center"/>
              <w:rPr>
                <w:rFonts w:asciiTheme="minorHAnsi" w:hAnsiTheme="minorHAnsi" w:cstheme="minorHAnsi"/>
                <w:i/>
                <w:iCs/>
                <w:sz w:val="20"/>
                <w:szCs w:val="20"/>
              </w:rPr>
            </w:pPr>
            <w:r w:rsidRPr="008B38D9">
              <w:rPr>
                <w:rFonts w:asciiTheme="minorHAnsi" w:hAnsiTheme="minorHAnsi" w:cstheme="minorHAnsi"/>
                <w:i/>
                <w:iCs/>
                <w:color w:val="000000"/>
                <w:sz w:val="20"/>
                <w:szCs w:val="20"/>
              </w:rPr>
              <w:t>7.4</w:t>
            </w:r>
          </w:p>
        </w:tc>
        <w:tc>
          <w:tcPr>
            <w:tcW w:w="859" w:type="dxa"/>
            <w:hideMark/>
          </w:tcPr>
          <w:p w14:paraId="5DB5B7E7" w14:textId="77777777" w:rsidR="00442C59" w:rsidRPr="008B38D9" w:rsidRDefault="00442C59" w:rsidP="005F6ADC">
            <w:pPr>
              <w:jc w:val="center"/>
              <w:rPr>
                <w:rFonts w:asciiTheme="minorHAnsi" w:hAnsiTheme="minorHAnsi" w:cstheme="minorHAnsi"/>
                <w:i/>
                <w:iCs/>
                <w:sz w:val="20"/>
                <w:szCs w:val="20"/>
              </w:rPr>
            </w:pPr>
            <w:r w:rsidRPr="008B38D9">
              <w:rPr>
                <w:rFonts w:asciiTheme="minorHAnsi" w:hAnsiTheme="minorHAnsi" w:cstheme="minorHAnsi"/>
                <w:i/>
                <w:iCs/>
                <w:color w:val="000000"/>
                <w:sz w:val="20"/>
                <w:szCs w:val="20"/>
              </w:rPr>
              <w:t>7.4</w:t>
            </w:r>
          </w:p>
        </w:tc>
        <w:tc>
          <w:tcPr>
            <w:tcW w:w="858" w:type="dxa"/>
            <w:hideMark/>
          </w:tcPr>
          <w:p w14:paraId="1F5D1454" w14:textId="77777777" w:rsidR="00442C59" w:rsidRPr="008B38D9" w:rsidRDefault="00442C59" w:rsidP="005F6ADC">
            <w:pPr>
              <w:jc w:val="center"/>
              <w:rPr>
                <w:rFonts w:asciiTheme="minorHAnsi" w:hAnsiTheme="minorHAnsi" w:cstheme="minorHAnsi"/>
                <w:i/>
                <w:iCs/>
                <w:sz w:val="20"/>
                <w:szCs w:val="20"/>
              </w:rPr>
            </w:pPr>
            <w:r w:rsidRPr="008B38D9">
              <w:rPr>
                <w:rFonts w:asciiTheme="minorHAnsi" w:hAnsiTheme="minorHAnsi" w:cstheme="minorHAnsi"/>
                <w:i/>
                <w:iCs/>
                <w:color w:val="000000"/>
                <w:sz w:val="20"/>
                <w:szCs w:val="20"/>
              </w:rPr>
              <w:t>8.0</w:t>
            </w:r>
          </w:p>
        </w:tc>
        <w:tc>
          <w:tcPr>
            <w:tcW w:w="859" w:type="dxa"/>
            <w:hideMark/>
          </w:tcPr>
          <w:p w14:paraId="50E19436" w14:textId="77777777" w:rsidR="00442C59" w:rsidRPr="008B38D9" w:rsidRDefault="00442C59" w:rsidP="005F6ADC">
            <w:pPr>
              <w:jc w:val="center"/>
              <w:rPr>
                <w:rFonts w:asciiTheme="minorHAnsi" w:hAnsiTheme="minorHAnsi" w:cstheme="minorHAnsi"/>
                <w:i/>
                <w:iCs/>
                <w:sz w:val="20"/>
                <w:szCs w:val="20"/>
              </w:rPr>
            </w:pPr>
            <w:r w:rsidRPr="008B38D9">
              <w:rPr>
                <w:rFonts w:asciiTheme="minorHAnsi" w:hAnsiTheme="minorHAnsi" w:cstheme="minorHAnsi"/>
                <w:i/>
                <w:iCs/>
                <w:color w:val="000000"/>
                <w:sz w:val="20"/>
                <w:szCs w:val="20"/>
              </w:rPr>
              <w:t>7.1</w:t>
            </w:r>
          </w:p>
        </w:tc>
        <w:tc>
          <w:tcPr>
            <w:tcW w:w="859" w:type="dxa"/>
            <w:hideMark/>
          </w:tcPr>
          <w:p w14:paraId="78FFB035" w14:textId="77777777" w:rsidR="00442C59" w:rsidRPr="008B38D9" w:rsidRDefault="00442C59" w:rsidP="005F6ADC">
            <w:pPr>
              <w:jc w:val="center"/>
              <w:rPr>
                <w:rFonts w:asciiTheme="minorHAnsi" w:hAnsiTheme="minorHAnsi" w:cstheme="minorHAnsi"/>
                <w:i/>
                <w:iCs/>
                <w:sz w:val="20"/>
                <w:szCs w:val="20"/>
              </w:rPr>
            </w:pPr>
            <w:r w:rsidRPr="008B38D9">
              <w:rPr>
                <w:rFonts w:asciiTheme="minorHAnsi" w:hAnsiTheme="minorHAnsi" w:cstheme="minorHAnsi"/>
                <w:i/>
                <w:iCs/>
                <w:color w:val="000000"/>
                <w:sz w:val="20"/>
                <w:szCs w:val="20"/>
              </w:rPr>
              <w:t>9.6</w:t>
            </w:r>
          </w:p>
        </w:tc>
        <w:tc>
          <w:tcPr>
            <w:tcW w:w="858" w:type="dxa"/>
            <w:hideMark/>
          </w:tcPr>
          <w:p w14:paraId="0417E43C" w14:textId="77777777" w:rsidR="00442C59" w:rsidRPr="008B38D9" w:rsidRDefault="00442C59" w:rsidP="005F6ADC">
            <w:pPr>
              <w:jc w:val="center"/>
              <w:rPr>
                <w:rFonts w:asciiTheme="minorHAnsi" w:hAnsiTheme="minorHAnsi" w:cstheme="minorHAnsi"/>
                <w:i/>
                <w:iCs/>
                <w:sz w:val="20"/>
                <w:szCs w:val="20"/>
              </w:rPr>
            </w:pPr>
            <w:r w:rsidRPr="008B38D9">
              <w:rPr>
                <w:rFonts w:asciiTheme="minorHAnsi" w:hAnsiTheme="minorHAnsi" w:cstheme="minorHAnsi"/>
                <w:i/>
                <w:iCs/>
                <w:color w:val="000000"/>
                <w:sz w:val="20"/>
                <w:szCs w:val="20"/>
              </w:rPr>
              <w:t>10.3</w:t>
            </w:r>
          </w:p>
        </w:tc>
        <w:tc>
          <w:tcPr>
            <w:tcW w:w="859" w:type="dxa"/>
            <w:hideMark/>
          </w:tcPr>
          <w:p w14:paraId="239B7265" w14:textId="77777777" w:rsidR="00442C59" w:rsidRPr="008B38D9" w:rsidRDefault="00442C59" w:rsidP="005F6ADC">
            <w:pPr>
              <w:jc w:val="center"/>
              <w:rPr>
                <w:rFonts w:asciiTheme="minorHAnsi" w:hAnsiTheme="minorHAnsi" w:cstheme="minorHAnsi"/>
                <w:i/>
                <w:iCs/>
                <w:sz w:val="20"/>
                <w:szCs w:val="20"/>
              </w:rPr>
            </w:pPr>
            <w:r w:rsidRPr="008B38D9">
              <w:rPr>
                <w:rFonts w:asciiTheme="minorHAnsi" w:hAnsiTheme="minorHAnsi" w:cstheme="minorHAnsi"/>
                <w:i/>
                <w:iCs/>
                <w:color w:val="000000"/>
                <w:sz w:val="20"/>
                <w:szCs w:val="20"/>
              </w:rPr>
              <w:t>12.9</w:t>
            </w:r>
          </w:p>
        </w:tc>
        <w:tc>
          <w:tcPr>
            <w:tcW w:w="859" w:type="dxa"/>
            <w:hideMark/>
          </w:tcPr>
          <w:p w14:paraId="1D8040B2" w14:textId="77777777" w:rsidR="00442C59" w:rsidRPr="008B38D9" w:rsidRDefault="00442C59" w:rsidP="005F6ADC">
            <w:pPr>
              <w:jc w:val="center"/>
              <w:rPr>
                <w:rFonts w:asciiTheme="minorHAnsi" w:hAnsiTheme="minorHAnsi" w:cstheme="minorHAnsi"/>
                <w:i/>
                <w:iCs/>
                <w:sz w:val="20"/>
                <w:szCs w:val="20"/>
              </w:rPr>
            </w:pPr>
            <w:r w:rsidRPr="008B38D9">
              <w:rPr>
                <w:rFonts w:asciiTheme="minorHAnsi" w:hAnsiTheme="minorHAnsi" w:cstheme="minorHAnsi"/>
                <w:i/>
                <w:iCs/>
                <w:color w:val="000000"/>
                <w:sz w:val="20"/>
                <w:szCs w:val="20"/>
              </w:rPr>
              <w:t>14.2</w:t>
            </w:r>
          </w:p>
        </w:tc>
      </w:tr>
      <w:tr w:rsidR="00442C59" w:rsidRPr="004803FB" w14:paraId="0DB993CA" w14:textId="77777777" w:rsidTr="005F6ADC">
        <w:tc>
          <w:tcPr>
            <w:tcW w:w="1722" w:type="dxa"/>
            <w:hideMark/>
          </w:tcPr>
          <w:p w14:paraId="69E892DE" w14:textId="77777777" w:rsidR="00442C59" w:rsidRPr="008B38D9" w:rsidRDefault="00442C59" w:rsidP="005F6ADC">
            <w:pPr>
              <w:rPr>
                <w:rFonts w:asciiTheme="minorHAnsi" w:hAnsiTheme="minorHAnsi" w:cstheme="minorHAnsi"/>
                <w:b/>
                <w:bCs/>
                <w:i/>
                <w:iCs/>
                <w:sz w:val="20"/>
                <w:szCs w:val="20"/>
              </w:rPr>
            </w:pPr>
            <w:r w:rsidRPr="008B38D9">
              <w:rPr>
                <w:rFonts w:asciiTheme="minorHAnsi" w:hAnsiTheme="minorHAnsi" w:cstheme="minorHAnsi"/>
                <w:b/>
                <w:bCs/>
                <w:i/>
                <w:iCs/>
                <w:sz w:val="20"/>
                <w:szCs w:val="20"/>
              </w:rPr>
              <w:t>All industries*</w:t>
            </w:r>
          </w:p>
        </w:tc>
        <w:tc>
          <w:tcPr>
            <w:tcW w:w="859" w:type="dxa"/>
            <w:hideMark/>
          </w:tcPr>
          <w:p w14:paraId="1A5745DD" w14:textId="77777777" w:rsidR="00442C59" w:rsidRPr="008B38D9" w:rsidRDefault="00442C59" w:rsidP="005F6ADC">
            <w:pPr>
              <w:jc w:val="center"/>
              <w:rPr>
                <w:rFonts w:asciiTheme="minorHAnsi" w:hAnsiTheme="minorHAnsi" w:cstheme="minorHAnsi"/>
                <w:i/>
                <w:iCs/>
                <w:sz w:val="20"/>
                <w:szCs w:val="20"/>
              </w:rPr>
            </w:pPr>
            <w:r w:rsidRPr="008B38D9">
              <w:rPr>
                <w:rFonts w:asciiTheme="minorHAnsi" w:hAnsiTheme="minorHAnsi" w:cstheme="minorHAnsi"/>
                <w:b/>
                <w:bCs/>
                <w:i/>
                <w:iCs/>
                <w:color w:val="000000"/>
                <w:sz w:val="20"/>
                <w:szCs w:val="20"/>
              </w:rPr>
              <w:t>5.9</w:t>
            </w:r>
          </w:p>
        </w:tc>
        <w:tc>
          <w:tcPr>
            <w:tcW w:w="859" w:type="dxa"/>
            <w:hideMark/>
          </w:tcPr>
          <w:p w14:paraId="211FE263" w14:textId="77777777" w:rsidR="00442C59" w:rsidRPr="008B38D9" w:rsidRDefault="00442C59" w:rsidP="005F6ADC">
            <w:pPr>
              <w:jc w:val="center"/>
              <w:rPr>
                <w:rFonts w:asciiTheme="minorHAnsi" w:hAnsiTheme="minorHAnsi" w:cstheme="minorHAnsi"/>
                <w:i/>
                <w:iCs/>
                <w:sz w:val="20"/>
                <w:szCs w:val="20"/>
              </w:rPr>
            </w:pPr>
            <w:r w:rsidRPr="008B38D9">
              <w:rPr>
                <w:rFonts w:asciiTheme="minorHAnsi" w:hAnsiTheme="minorHAnsi" w:cstheme="minorHAnsi"/>
                <w:b/>
                <w:bCs/>
                <w:i/>
                <w:iCs/>
                <w:color w:val="000000"/>
                <w:sz w:val="20"/>
                <w:szCs w:val="20"/>
              </w:rPr>
              <w:t>5.6</w:t>
            </w:r>
          </w:p>
        </w:tc>
        <w:tc>
          <w:tcPr>
            <w:tcW w:w="858" w:type="dxa"/>
            <w:hideMark/>
          </w:tcPr>
          <w:p w14:paraId="5F3CC528" w14:textId="77777777" w:rsidR="00442C59" w:rsidRPr="008B38D9" w:rsidRDefault="00442C59" w:rsidP="005F6ADC">
            <w:pPr>
              <w:jc w:val="center"/>
              <w:rPr>
                <w:rFonts w:asciiTheme="minorHAnsi" w:hAnsiTheme="minorHAnsi" w:cstheme="minorHAnsi"/>
                <w:i/>
                <w:iCs/>
                <w:sz w:val="20"/>
                <w:szCs w:val="20"/>
              </w:rPr>
            </w:pPr>
            <w:r w:rsidRPr="008B38D9">
              <w:rPr>
                <w:rFonts w:asciiTheme="minorHAnsi" w:hAnsiTheme="minorHAnsi" w:cstheme="minorHAnsi"/>
                <w:b/>
                <w:bCs/>
                <w:i/>
                <w:iCs/>
                <w:color w:val="000000"/>
                <w:sz w:val="20"/>
                <w:szCs w:val="20"/>
              </w:rPr>
              <w:t>5.6</w:t>
            </w:r>
          </w:p>
        </w:tc>
        <w:tc>
          <w:tcPr>
            <w:tcW w:w="859" w:type="dxa"/>
            <w:hideMark/>
          </w:tcPr>
          <w:p w14:paraId="39647D87" w14:textId="77777777" w:rsidR="00442C59" w:rsidRPr="008B38D9" w:rsidRDefault="00442C59" w:rsidP="005F6ADC">
            <w:pPr>
              <w:jc w:val="center"/>
              <w:rPr>
                <w:rFonts w:asciiTheme="minorHAnsi" w:hAnsiTheme="minorHAnsi" w:cstheme="minorHAnsi"/>
                <w:i/>
                <w:iCs/>
                <w:sz w:val="20"/>
                <w:szCs w:val="20"/>
              </w:rPr>
            </w:pPr>
            <w:r w:rsidRPr="008B38D9">
              <w:rPr>
                <w:rFonts w:asciiTheme="minorHAnsi" w:hAnsiTheme="minorHAnsi" w:cstheme="minorHAnsi"/>
                <w:b/>
                <w:bCs/>
                <w:i/>
                <w:iCs/>
                <w:color w:val="000000"/>
                <w:sz w:val="20"/>
                <w:szCs w:val="20"/>
              </w:rPr>
              <w:t>5.5</w:t>
            </w:r>
          </w:p>
        </w:tc>
        <w:tc>
          <w:tcPr>
            <w:tcW w:w="859" w:type="dxa"/>
            <w:hideMark/>
          </w:tcPr>
          <w:p w14:paraId="5F307065" w14:textId="77777777" w:rsidR="00442C59" w:rsidRPr="008B38D9" w:rsidRDefault="00442C59" w:rsidP="005F6ADC">
            <w:pPr>
              <w:jc w:val="center"/>
              <w:rPr>
                <w:rFonts w:asciiTheme="minorHAnsi" w:hAnsiTheme="minorHAnsi" w:cstheme="minorHAnsi"/>
                <w:i/>
                <w:iCs/>
                <w:sz w:val="20"/>
                <w:szCs w:val="20"/>
              </w:rPr>
            </w:pPr>
            <w:r w:rsidRPr="008B38D9">
              <w:rPr>
                <w:rFonts w:asciiTheme="minorHAnsi" w:hAnsiTheme="minorHAnsi" w:cstheme="minorHAnsi"/>
                <w:b/>
                <w:bCs/>
                <w:i/>
                <w:iCs/>
                <w:color w:val="000000"/>
                <w:sz w:val="20"/>
                <w:szCs w:val="20"/>
              </w:rPr>
              <w:t>5.8</w:t>
            </w:r>
          </w:p>
        </w:tc>
        <w:tc>
          <w:tcPr>
            <w:tcW w:w="858" w:type="dxa"/>
            <w:hideMark/>
          </w:tcPr>
          <w:p w14:paraId="6054B00D" w14:textId="77777777" w:rsidR="00442C59" w:rsidRPr="008B38D9" w:rsidRDefault="00442C59" w:rsidP="005F6ADC">
            <w:pPr>
              <w:jc w:val="center"/>
              <w:rPr>
                <w:rFonts w:asciiTheme="minorHAnsi" w:hAnsiTheme="minorHAnsi" w:cstheme="minorHAnsi"/>
                <w:i/>
                <w:iCs/>
                <w:sz w:val="20"/>
                <w:szCs w:val="20"/>
              </w:rPr>
            </w:pPr>
            <w:r w:rsidRPr="008B38D9">
              <w:rPr>
                <w:rFonts w:asciiTheme="minorHAnsi" w:hAnsiTheme="minorHAnsi" w:cstheme="minorHAnsi"/>
                <w:b/>
                <w:bCs/>
                <w:i/>
                <w:iCs/>
                <w:color w:val="000000"/>
                <w:sz w:val="20"/>
                <w:szCs w:val="20"/>
              </w:rPr>
              <w:t>6.1</w:t>
            </w:r>
          </w:p>
        </w:tc>
        <w:tc>
          <w:tcPr>
            <w:tcW w:w="859" w:type="dxa"/>
            <w:hideMark/>
          </w:tcPr>
          <w:p w14:paraId="2BF2C900" w14:textId="77777777" w:rsidR="00442C59" w:rsidRPr="008B38D9" w:rsidRDefault="00442C59" w:rsidP="005F6ADC">
            <w:pPr>
              <w:jc w:val="center"/>
              <w:rPr>
                <w:rFonts w:asciiTheme="minorHAnsi" w:hAnsiTheme="minorHAnsi" w:cstheme="minorHAnsi"/>
                <w:i/>
                <w:iCs/>
                <w:sz w:val="20"/>
                <w:szCs w:val="20"/>
              </w:rPr>
            </w:pPr>
            <w:r w:rsidRPr="008B38D9">
              <w:rPr>
                <w:rFonts w:asciiTheme="minorHAnsi" w:hAnsiTheme="minorHAnsi" w:cstheme="minorHAnsi"/>
                <w:b/>
                <w:bCs/>
                <w:i/>
                <w:iCs/>
                <w:color w:val="000000"/>
                <w:sz w:val="20"/>
                <w:szCs w:val="20"/>
              </w:rPr>
              <w:t>6.5</w:t>
            </w:r>
          </w:p>
        </w:tc>
        <w:tc>
          <w:tcPr>
            <w:tcW w:w="859" w:type="dxa"/>
            <w:hideMark/>
          </w:tcPr>
          <w:p w14:paraId="1C15DC85" w14:textId="77777777" w:rsidR="00442C59" w:rsidRPr="008B38D9" w:rsidRDefault="00442C59" w:rsidP="005F6ADC">
            <w:pPr>
              <w:jc w:val="center"/>
              <w:rPr>
                <w:rFonts w:asciiTheme="minorHAnsi" w:hAnsiTheme="minorHAnsi" w:cstheme="minorHAnsi"/>
                <w:i/>
                <w:iCs/>
                <w:sz w:val="20"/>
                <w:szCs w:val="20"/>
              </w:rPr>
            </w:pPr>
            <w:r w:rsidRPr="008B38D9">
              <w:rPr>
                <w:rFonts w:asciiTheme="minorHAnsi" w:hAnsiTheme="minorHAnsi" w:cstheme="minorHAnsi"/>
                <w:b/>
                <w:bCs/>
                <w:i/>
                <w:iCs/>
                <w:color w:val="000000"/>
                <w:sz w:val="20"/>
                <w:szCs w:val="20"/>
              </w:rPr>
              <w:t>6.5</w:t>
            </w:r>
          </w:p>
        </w:tc>
      </w:tr>
    </w:tbl>
    <w:p w14:paraId="23676C13" w14:textId="77777777" w:rsidR="00442C59" w:rsidRDefault="00442C59" w:rsidP="00442C59">
      <w:pPr>
        <w:rPr>
          <w:rFonts w:eastAsia="Arial" w:cs="Arial"/>
        </w:rPr>
      </w:pPr>
      <w:r>
        <w:rPr>
          <w:rFonts w:ascii="Calibri" w:hAnsi="Calibri" w:cs="Calibri"/>
          <w:sz w:val="16"/>
          <w:szCs w:val="16"/>
        </w:rPr>
        <w:t xml:space="preserve">*All industries </w:t>
      </w:r>
      <w:proofErr w:type="gramStart"/>
      <w:r>
        <w:rPr>
          <w:rFonts w:ascii="Calibri" w:hAnsi="Calibri" w:cs="Calibri"/>
          <w:sz w:val="16"/>
          <w:szCs w:val="16"/>
        </w:rPr>
        <w:t>includes</w:t>
      </w:r>
      <w:proofErr w:type="gramEnd"/>
      <w:r>
        <w:rPr>
          <w:rFonts w:ascii="Calibri" w:hAnsi="Calibri" w:cs="Calibri"/>
          <w:sz w:val="16"/>
          <w:szCs w:val="16"/>
        </w:rPr>
        <w:t xml:space="preserve"> all ANZSIC industry divisions, including those not listed separately in the table.</w:t>
      </w:r>
    </w:p>
    <w:p w14:paraId="51A9D783" w14:textId="77777777" w:rsidR="00442C59" w:rsidRPr="00DF37A2" w:rsidRDefault="00442C59" w:rsidP="00442C59">
      <w:pPr>
        <w:rPr>
          <w:rFonts w:eastAsia="Arial" w:cs="Arial"/>
          <w:sz w:val="18"/>
          <w:szCs w:val="18"/>
        </w:rPr>
      </w:pPr>
      <w:r w:rsidRPr="00DF37A2">
        <w:rPr>
          <w:rFonts w:eastAsia="Arial" w:cs="Arial"/>
          <w:sz w:val="18"/>
          <w:szCs w:val="18"/>
        </w:rPr>
        <w:t xml:space="preserve">Source: </w:t>
      </w:r>
      <w:r w:rsidRPr="00710F0A">
        <w:rPr>
          <w:rFonts w:eastAsia="Arial" w:cs="Arial"/>
          <w:sz w:val="18"/>
          <w:szCs w:val="18"/>
        </w:rPr>
        <w:t>Safe Work Australia, National dataset for compensation-based statistics.</w:t>
      </w:r>
    </w:p>
    <w:p w14:paraId="7BBDA8C8" w14:textId="77777777" w:rsidR="00442C59" w:rsidRDefault="00442C59" w:rsidP="00442C59">
      <w:r>
        <w:t>Rates of serious injury claims, including psycho-social by occupation are also concerning with ECTs, Educators (</w:t>
      </w:r>
      <w:r>
        <w:rPr>
          <w:i/>
          <w:iCs/>
        </w:rPr>
        <w:t xml:space="preserve">Child Carers) </w:t>
      </w:r>
      <w:r>
        <w:t>and Education aides particularly, having much higher rates of serious claims when compared with all occupations (table 6.3).</w:t>
      </w:r>
    </w:p>
    <w:p w14:paraId="36010BF3" w14:textId="77777777" w:rsidR="00442C59" w:rsidRDefault="00442C59" w:rsidP="00442C59">
      <w:pPr>
        <w:pStyle w:val="Caption"/>
      </w:pPr>
      <w:r>
        <w:lastRenderedPageBreak/>
        <w:t xml:space="preserve">Table 6.3 </w:t>
      </w:r>
      <w:r w:rsidRPr="000E2794">
        <w:t>Frequency rate</w:t>
      </w:r>
      <w:r>
        <w:t xml:space="preserve"> of</w:t>
      </w:r>
      <w:r w:rsidRPr="000E2794">
        <w:t xml:space="preserve"> serious claims </w:t>
      </w:r>
      <w:r>
        <w:t>(</w:t>
      </w:r>
      <w:r w:rsidRPr="000E2794">
        <w:t xml:space="preserve">per million hours worked) for selected </w:t>
      </w:r>
      <w:r>
        <w:t>occupations</w:t>
      </w:r>
      <w:r>
        <w:rPr>
          <w:rStyle w:val="FootnoteReference"/>
        </w:rPr>
        <w:footnoteReference w:id="73"/>
      </w:r>
    </w:p>
    <w:tbl>
      <w:tblPr>
        <w:tblStyle w:val="JSATable1"/>
        <w:tblW w:w="0" w:type="auto"/>
        <w:tblLook w:val="04A0" w:firstRow="1" w:lastRow="0" w:firstColumn="1" w:lastColumn="0" w:noHBand="0" w:noVBand="1"/>
      </w:tblPr>
      <w:tblGrid>
        <w:gridCol w:w="1825"/>
        <w:gridCol w:w="900"/>
        <w:gridCol w:w="900"/>
        <w:gridCol w:w="900"/>
        <w:gridCol w:w="900"/>
        <w:gridCol w:w="900"/>
        <w:gridCol w:w="900"/>
        <w:gridCol w:w="900"/>
        <w:gridCol w:w="901"/>
      </w:tblGrid>
      <w:tr w:rsidR="00442C59" w:rsidRPr="004803FB" w14:paraId="7FE7C4BF" w14:textId="77777777" w:rsidTr="005F6ADC">
        <w:trPr>
          <w:cnfStyle w:val="100000000000" w:firstRow="1" w:lastRow="0" w:firstColumn="0" w:lastColumn="0" w:oddVBand="0" w:evenVBand="0" w:oddHBand="0" w:evenHBand="0" w:firstRowFirstColumn="0" w:firstRowLastColumn="0" w:lastRowFirstColumn="0" w:lastRowLastColumn="0"/>
        </w:trPr>
        <w:tc>
          <w:tcPr>
            <w:tcW w:w="1825" w:type="dxa"/>
            <w:hideMark/>
          </w:tcPr>
          <w:p w14:paraId="61343687" w14:textId="77777777" w:rsidR="00442C59" w:rsidRPr="008B38D9" w:rsidRDefault="00442C59" w:rsidP="005F6ADC">
            <w:pPr>
              <w:rPr>
                <w:rFonts w:ascii="Aptos" w:hAnsi="Aptos"/>
                <w:b/>
                <w:bCs/>
                <w:color w:val="auto"/>
                <w:sz w:val="20"/>
                <w:szCs w:val="20"/>
              </w:rPr>
            </w:pPr>
            <w:r w:rsidRPr="008B38D9">
              <w:rPr>
                <w:b/>
                <w:bCs/>
                <w:color w:val="FFFFFF"/>
                <w:sz w:val="20"/>
                <w:szCs w:val="20"/>
              </w:rPr>
              <w:t>Occupation</w:t>
            </w:r>
          </w:p>
        </w:tc>
        <w:tc>
          <w:tcPr>
            <w:tcW w:w="900" w:type="dxa"/>
            <w:hideMark/>
          </w:tcPr>
          <w:p w14:paraId="2B1CBD4C" w14:textId="77777777" w:rsidR="00442C59" w:rsidRPr="008B38D9" w:rsidRDefault="00442C59" w:rsidP="005F6ADC">
            <w:pPr>
              <w:jc w:val="center"/>
              <w:rPr>
                <w:b/>
                <w:bCs/>
                <w:sz w:val="20"/>
                <w:szCs w:val="20"/>
              </w:rPr>
            </w:pPr>
            <w:r w:rsidRPr="008B38D9">
              <w:rPr>
                <w:b/>
                <w:bCs/>
                <w:color w:val="FFFFFF"/>
                <w:sz w:val="20"/>
                <w:szCs w:val="20"/>
              </w:rPr>
              <w:t>2014-15</w:t>
            </w:r>
          </w:p>
        </w:tc>
        <w:tc>
          <w:tcPr>
            <w:tcW w:w="900" w:type="dxa"/>
            <w:hideMark/>
          </w:tcPr>
          <w:p w14:paraId="0896E7CD" w14:textId="77777777" w:rsidR="00442C59" w:rsidRPr="008B38D9" w:rsidRDefault="00442C59" w:rsidP="005F6ADC">
            <w:pPr>
              <w:jc w:val="center"/>
              <w:rPr>
                <w:b/>
                <w:bCs/>
                <w:sz w:val="20"/>
                <w:szCs w:val="20"/>
              </w:rPr>
            </w:pPr>
            <w:r w:rsidRPr="008B38D9">
              <w:rPr>
                <w:b/>
                <w:bCs/>
                <w:color w:val="FFFFFF"/>
                <w:sz w:val="20"/>
                <w:szCs w:val="20"/>
              </w:rPr>
              <w:t>2015-16</w:t>
            </w:r>
          </w:p>
        </w:tc>
        <w:tc>
          <w:tcPr>
            <w:tcW w:w="900" w:type="dxa"/>
            <w:hideMark/>
          </w:tcPr>
          <w:p w14:paraId="20475920" w14:textId="77777777" w:rsidR="00442C59" w:rsidRPr="008B38D9" w:rsidRDefault="00442C59" w:rsidP="005F6ADC">
            <w:pPr>
              <w:jc w:val="center"/>
              <w:rPr>
                <w:b/>
                <w:bCs/>
                <w:sz w:val="20"/>
                <w:szCs w:val="20"/>
              </w:rPr>
            </w:pPr>
            <w:r w:rsidRPr="008B38D9">
              <w:rPr>
                <w:b/>
                <w:bCs/>
                <w:color w:val="FFFFFF"/>
                <w:sz w:val="20"/>
                <w:szCs w:val="20"/>
              </w:rPr>
              <w:t>2016-17</w:t>
            </w:r>
          </w:p>
        </w:tc>
        <w:tc>
          <w:tcPr>
            <w:tcW w:w="900" w:type="dxa"/>
            <w:hideMark/>
          </w:tcPr>
          <w:p w14:paraId="6C32D632" w14:textId="77777777" w:rsidR="00442C59" w:rsidRPr="008B38D9" w:rsidRDefault="00442C59" w:rsidP="005F6ADC">
            <w:pPr>
              <w:jc w:val="center"/>
              <w:rPr>
                <w:b/>
                <w:bCs/>
                <w:sz w:val="20"/>
                <w:szCs w:val="20"/>
              </w:rPr>
            </w:pPr>
            <w:r w:rsidRPr="008B38D9">
              <w:rPr>
                <w:b/>
                <w:bCs/>
                <w:color w:val="FFFFFF"/>
                <w:sz w:val="20"/>
                <w:szCs w:val="20"/>
              </w:rPr>
              <w:t>2017-18</w:t>
            </w:r>
          </w:p>
        </w:tc>
        <w:tc>
          <w:tcPr>
            <w:tcW w:w="900" w:type="dxa"/>
            <w:hideMark/>
          </w:tcPr>
          <w:p w14:paraId="7550377E" w14:textId="77777777" w:rsidR="00442C59" w:rsidRPr="008B38D9" w:rsidRDefault="00442C59" w:rsidP="005F6ADC">
            <w:pPr>
              <w:jc w:val="center"/>
              <w:rPr>
                <w:b/>
                <w:bCs/>
                <w:sz w:val="20"/>
                <w:szCs w:val="20"/>
              </w:rPr>
            </w:pPr>
            <w:r w:rsidRPr="008B38D9">
              <w:rPr>
                <w:b/>
                <w:bCs/>
                <w:color w:val="FFFFFF"/>
                <w:sz w:val="20"/>
                <w:szCs w:val="20"/>
              </w:rPr>
              <w:t>2018-19</w:t>
            </w:r>
          </w:p>
        </w:tc>
        <w:tc>
          <w:tcPr>
            <w:tcW w:w="900" w:type="dxa"/>
            <w:hideMark/>
          </w:tcPr>
          <w:p w14:paraId="216DDC61" w14:textId="77777777" w:rsidR="00442C59" w:rsidRPr="008B38D9" w:rsidRDefault="00442C59" w:rsidP="005F6ADC">
            <w:pPr>
              <w:jc w:val="center"/>
              <w:rPr>
                <w:b/>
                <w:bCs/>
                <w:sz w:val="20"/>
                <w:szCs w:val="20"/>
              </w:rPr>
            </w:pPr>
            <w:r w:rsidRPr="008B38D9">
              <w:rPr>
                <w:b/>
                <w:bCs/>
                <w:color w:val="FFFFFF"/>
                <w:sz w:val="20"/>
                <w:szCs w:val="20"/>
              </w:rPr>
              <w:t>2019-20</w:t>
            </w:r>
          </w:p>
        </w:tc>
        <w:tc>
          <w:tcPr>
            <w:tcW w:w="900" w:type="dxa"/>
            <w:hideMark/>
          </w:tcPr>
          <w:p w14:paraId="0EAC359B" w14:textId="77777777" w:rsidR="00442C59" w:rsidRPr="008B38D9" w:rsidRDefault="00442C59" w:rsidP="005F6ADC">
            <w:pPr>
              <w:jc w:val="center"/>
              <w:rPr>
                <w:b/>
                <w:bCs/>
                <w:sz w:val="20"/>
                <w:szCs w:val="20"/>
              </w:rPr>
            </w:pPr>
            <w:r w:rsidRPr="008B38D9">
              <w:rPr>
                <w:b/>
                <w:bCs/>
                <w:color w:val="FFFFFF"/>
                <w:sz w:val="20"/>
                <w:szCs w:val="20"/>
              </w:rPr>
              <w:t>2020-21</w:t>
            </w:r>
          </w:p>
        </w:tc>
        <w:tc>
          <w:tcPr>
            <w:tcW w:w="901" w:type="dxa"/>
            <w:hideMark/>
          </w:tcPr>
          <w:p w14:paraId="7F912FE8" w14:textId="77777777" w:rsidR="00442C59" w:rsidRPr="008B38D9" w:rsidRDefault="00442C59" w:rsidP="005F6ADC">
            <w:pPr>
              <w:jc w:val="center"/>
              <w:rPr>
                <w:b/>
                <w:bCs/>
                <w:sz w:val="20"/>
                <w:szCs w:val="20"/>
              </w:rPr>
            </w:pPr>
            <w:r w:rsidRPr="008B38D9">
              <w:rPr>
                <w:b/>
                <w:bCs/>
                <w:color w:val="FFFFFF"/>
                <w:sz w:val="20"/>
                <w:szCs w:val="20"/>
              </w:rPr>
              <w:t>2021-22p</w:t>
            </w:r>
          </w:p>
        </w:tc>
      </w:tr>
      <w:tr w:rsidR="00442C59" w:rsidRPr="004803FB" w14:paraId="34207462" w14:textId="77777777" w:rsidTr="005F6ADC">
        <w:tc>
          <w:tcPr>
            <w:tcW w:w="1825" w:type="dxa"/>
            <w:vAlign w:val="center"/>
            <w:hideMark/>
          </w:tcPr>
          <w:p w14:paraId="7973E21F" w14:textId="77777777" w:rsidR="00442C59" w:rsidRPr="008B38D9" w:rsidRDefault="00442C59" w:rsidP="005F6ADC">
            <w:pPr>
              <w:rPr>
                <w:rFonts w:asciiTheme="majorHAnsi" w:hAnsiTheme="majorHAnsi" w:cstheme="majorBidi"/>
                <w:sz w:val="20"/>
                <w:szCs w:val="20"/>
              </w:rPr>
            </w:pPr>
            <w:r w:rsidRPr="1C715974">
              <w:rPr>
                <w:rFonts w:asciiTheme="majorHAnsi" w:hAnsiTheme="majorHAnsi" w:cstheme="majorBidi"/>
                <w:sz w:val="20"/>
                <w:szCs w:val="20"/>
              </w:rPr>
              <w:t>Child Care Centre Managers (1341)</w:t>
            </w:r>
          </w:p>
        </w:tc>
        <w:tc>
          <w:tcPr>
            <w:tcW w:w="900" w:type="dxa"/>
            <w:hideMark/>
          </w:tcPr>
          <w:p w14:paraId="6DB6C083" w14:textId="77777777" w:rsidR="00442C59" w:rsidRPr="008B38D9" w:rsidRDefault="00442C59" w:rsidP="005F6ADC">
            <w:pPr>
              <w:jc w:val="center"/>
              <w:rPr>
                <w:rFonts w:asciiTheme="majorHAnsi" w:hAnsiTheme="majorHAnsi" w:cstheme="majorHAnsi"/>
                <w:sz w:val="20"/>
                <w:szCs w:val="20"/>
              </w:rPr>
            </w:pPr>
            <w:r w:rsidRPr="008B38D9">
              <w:rPr>
                <w:rFonts w:asciiTheme="majorHAnsi" w:hAnsiTheme="majorHAnsi" w:cstheme="majorHAnsi"/>
                <w:color w:val="000000"/>
                <w:sz w:val="20"/>
                <w:szCs w:val="20"/>
              </w:rPr>
              <w:t>3.3</w:t>
            </w:r>
          </w:p>
        </w:tc>
        <w:tc>
          <w:tcPr>
            <w:tcW w:w="900" w:type="dxa"/>
            <w:hideMark/>
          </w:tcPr>
          <w:p w14:paraId="1704482B" w14:textId="77777777" w:rsidR="00442C59" w:rsidRPr="008B38D9" w:rsidRDefault="00442C59" w:rsidP="005F6ADC">
            <w:pPr>
              <w:jc w:val="center"/>
              <w:rPr>
                <w:rFonts w:asciiTheme="majorHAnsi" w:hAnsiTheme="majorHAnsi" w:cstheme="majorHAnsi"/>
                <w:sz w:val="20"/>
                <w:szCs w:val="20"/>
              </w:rPr>
            </w:pPr>
            <w:r w:rsidRPr="008B38D9">
              <w:rPr>
                <w:rFonts w:asciiTheme="majorHAnsi" w:hAnsiTheme="majorHAnsi" w:cstheme="majorHAnsi"/>
                <w:color w:val="000000"/>
                <w:sz w:val="20"/>
                <w:szCs w:val="20"/>
              </w:rPr>
              <w:t>3.4</w:t>
            </w:r>
          </w:p>
        </w:tc>
        <w:tc>
          <w:tcPr>
            <w:tcW w:w="900" w:type="dxa"/>
            <w:hideMark/>
          </w:tcPr>
          <w:p w14:paraId="1A5166BA" w14:textId="77777777" w:rsidR="00442C59" w:rsidRPr="008B38D9" w:rsidRDefault="00442C59" w:rsidP="005F6ADC">
            <w:pPr>
              <w:jc w:val="center"/>
              <w:rPr>
                <w:rFonts w:asciiTheme="majorHAnsi" w:hAnsiTheme="majorHAnsi" w:cstheme="majorHAnsi"/>
                <w:sz w:val="20"/>
                <w:szCs w:val="20"/>
              </w:rPr>
            </w:pPr>
            <w:r w:rsidRPr="008B38D9">
              <w:rPr>
                <w:rFonts w:asciiTheme="majorHAnsi" w:hAnsiTheme="majorHAnsi" w:cstheme="majorHAnsi"/>
                <w:color w:val="000000"/>
                <w:sz w:val="20"/>
                <w:szCs w:val="20"/>
              </w:rPr>
              <w:t>2.3</w:t>
            </w:r>
          </w:p>
        </w:tc>
        <w:tc>
          <w:tcPr>
            <w:tcW w:w="900" w:type="dxa"/>
            <w:hideMark/>
          </w:tcPr>
          <w:p w14:paraId="3FDE9D86" w14:textId="77777777" w:rsidR="00442C59" w:rsidRPr="008B38D9" w:rsidRDefault="00442C59" w:rsidP="005F6ADC">
            <w:pPr>
              <w:jc w:val="center"/>
              <w:rPr>
                <w:rFonts w:asciiTheme="majorHAnsi" w:hAnsiTheme="majorHAnsi" w:cstheme="majorHAnsi"/>
                <w:sz w:val="20"/>
                <w:szCs w:val="20"/>
              </w:rPr>
            </w:pPr>
            <w:r w:rsidRPr="008B38D9">
              <w:rPr>
                <w:rFonts w:asciiTheme="majorHAnsi" w:hAnsiTheme="majorHAnsi" w:cstheme="majorHAnsi"/>
                <w:color w:val="000000"/>
                <w:sz w:val="20"/>
                <w:szCs w:val="20"/>
              </w:rPr>
              <w:t>2.5</w:t>
            </w:r>
          </w:p>
        </w:tc>
        <w:tc>
          <w:tcPr>
            <w:tcW w:w="900" w:type="dxa"/>
            <w:hideMark/>
          </w:tcPr>
          <w:p w14:paraId="5A4E011C" w14:textId="77777777" w:rsidR="00442C59" w:rsidRPr="008B38D9" w:rsidRDefault="00442C59" w:rsidP="005F6ADC">
            <w:pPr>
              <w:jc w:val="center"/>
              <w:rPr>
                <w:rFonts w:asciiTheme="majorHAnsi" w:hAnsiTheme="majorHAnsi" w:cstheme="majorHAnsi"/>
                <w:sz w:val="20"/>
                <w:szCs w:val="20"/>
              </w:rPr>
            </w:pPr>
            <w:r w:rsidRPr="008B38D9">
              <w:rPr>
                <w:rFonts w:asciiTheme="majorHAnsi" w:hAnsiTheme="majorHAnsi" w:cstheme="majorHAnsi"/>
                <w:color w:val="000000"/>
                <w:sz w:val="20"/>
                <w:szCs w:val="20"/>
              </w:rPr>
              <w:t>2.9</w:t>
            </w:r>
          </w:p>
        </w:tc>
        <w:tc>
          <w:tcPr>
            <w:tcW w:w="900" w:type="dxa"/>
            <w:hideMark/>
          </w:tcPr>
          <w:p w14:paraId="7D8D6A6E" w14:textId="77777777" w:rsidR="00442C59" w:rsidRPr="008B38D9" w:rsidRDefault="00442C59" w:rsidP="005F6ADC">
            <w:pPr>
              <w:jc w:val="center"/>
              <w:rPr>
                <w:rFonts w:asciiTheme="majorHAnsi" w:hAnsiTheme="majorHAnsi" w:cstheme="majorHAnsi"/>
                <w:sz w:val="20"/>
                <w:szCs w:val="20"/>
              </w:rPr>
            </w:pPr>
            <w:r w:rsidRPr="008B38D9">
              <w:rPr>
                <w:rFonts w:asciiTheme="majorHAnsi" w:hAnsiTheme="majorHAnsi" w:cstheme="majorHAnsi"/>
                <w:color w:val="000000"/>
                <w:sz w:val="20"/>
                <w:szCs w:val="20"/>
              </w:rPr>
              <w:t>2.3</w:t>
            </w:r>
          </w:p>
        </w:tc>
        <w:tc>
          <w:tcPr>
            <w:tcW w:w="900" w:type="dxa"/>
            <w:hideMark/>
          </w:tcPr>
          <w:p w14:paraId="3539074E" w14:textId="77777777" w:rsidR="00442C59" w:rsidRPr="008B38D9" w:rsidRDefault="00442C59" w:rsidP="005F6ADC">
            <w:pPr>
              <w:jc w:val="center"/>
              <w:rPr>
                <w:rFonts w:asciiTheme="majorHAnsi" w:hAnsiTheme="majorHAnsi" w:cstheme="majorHAnsi"/>
                <w:sz w:val="20"/>
                <w:szCs w:val="20"/>
              </w:rPr>
            </w:pPr>
            <w:r w:rsidRPr="008B38D9">
              <w:rPr>
                <w:rFonts w:asciiTheme="majorHAnsi" w:hAnsiTheme="majorHAnsi" w:cstheme="majorHAnsi"/>
                <w:color w:val="000000"/>
                <w:sz w:val="20"/>
                <w:szCs w:val="20"/>
              </w:rPr>
              <w:t>3.1</w:t>
            </w:r>
          </w:p>
        </w:tc>
        <w:tc>
          <w:tcPr>
            <w:tcW w:w="901" w:type="dxa"/>
            <w:hideMark/>
          </w:tcPr>
          <w:p w14:paraId="67DA133A" w14:textId="77777777" w:rsidR="00442C59" w:rsidRPr="008B38D9" w:rsidRDefault="00442C59" w:rsidP="005F6ADC">
            <w:pPr>
              <w:jc w:val="center"/>
              <w:rPr>
                <w:rFonts w:asciiTheme="majorHAnsi" w:hAnsiTheme="majorHAnsi" w:cstheme="majorHAnsi"/>
                <w:sz w:val="20"/>
                <w:szCs w:val="20"/>
              </w:rPr>
            </w:pPr>
            <w:r w:rsidRPr="008B38D9">
              <w:rPr>
                <w:rFonts w:asciiTheme="majorHAnsi" w:hAnsiTheme="majorHAnsi" w:cstheme="majorHAnsi"/>
                <w:color w:val="000000"/>
                <w:sz w:val="20"/>
                <w:szCs w:val="20"/>
              </w:rPr>
              <w:t>1.9</w:t>
            </w:r>
          </w:p>
        </w:tc>
      </w:tr>
      <w:tr w:rsidR="00442C59" w:rsidRPr="004803FB" w14:paraId="0C83AAAC" w14:textId="77777777" w:rsidTr="005F6ADC">
        <w:trPr>
          <w:cnfStyle w:val="000000010000" w:firstRow="0" w:lastRow="0" w:firstColumn="0" w:lastColumn="0" w:oddVBand="0" w:evenVBand="0" w:oddHBand="0" w:evenHBand="1" w:firstRowFirstColumn="0" w:firstRowLastColumn="0" w:lastRowFirstColumn="0" w:lastRowLastColumn="0"/>
        </w:trPr>
        <w:tc>
          <w:tcPr>
            <w:tcW w:w="1825" w:type="dxa"/>
            <w:hideMark/>
          </w:tcPr>
          <w:p w14:paraId="5C1DA50C" w14:textId="77777777" w:rsidR="00442C59" w:rsidRPr="008B38D9" w:rsidRDefault="00442C59" w:rsidP="005F6ADC">
            <w:pPr>
              <w:rPr>
                <w:rFonts w:asciiTheme="majorHAnsi" w:hAnsiTheme="majorHAnsi" w:cstheme="majorHAnsi"/>
                <w:i/>
                <w:iCs/>
                <w:sz w:val="20"/>
                <w:szCs w:val="20"/>
              </w:rPr>
            </w:pPr>
            <w:r w:rsidRPr="008B38D9">
              <w:rPr>
                <w:rFonts w:asciiTheme="majorHAnsi" w:hAnsiTheme="majorHAnsi" w:cstheme="majorHAnsi"/>
                <w:sz w:val="20"/>
                <w:szCs w:val="20"/>
              </w:rPr>
              <w:t>ECTs (2411)</w:t>
            </w:r>
          </w:p>
        </w:tc>
        <w:tc>
          <w:tcPr>
            <w:tcW w:w="900" w:type="dxa"/>
            <w:hideMark/>
          </w:tcPr>
          <w:p w14:paraId="7851A834" w14:textId="77777777" w:rsidR="00442C59" w:rsidRPr="008B38D9" w:rsidRDefault="00442C59" w:rsidP="005F6ADC">
            <w:pPr>
              <w:jc w:val="center"/>
              <w:rPr>
                <w:rFonts w:asciiTheme="majorHAnsi" w:hAnsiTheme="majorHAnsi" w:cstheme="majorHAnsi"/>
                <w:i/>
                <w:iCs/>
                <w:sz w:val="20"/>
                <w:szCs w:val="20"/>
              </w:rPr>
            </w:pPr>
            <w:r w:rsidRPr="008B38D9">
              <w:rPr>
                <w:rFonts w:asciiTheme="majorHAnsi" w:hAnsiTheme="majorHAnsi" w:cstheme="majorHAnsi"/>
                <w:color w:val="000000"/>
                <w:sz w:val="20"/>
                <w:szCs w:val="20"/>
              </w:rPr>
              <w:t>4.1</w:t>
            </w:r>
          </w:p>
        </w:tc>
        <w:tc>
          <w:tcPr>
            <w:tcW w:w="900" w:type="dxa"/>
            <w:hideMark/>
          </w:tcPr>
          <w:p w14:paraId="6FAED3D7" w14:textId="77777777" w:rsidR="00442C59" w:rsidRPr="008B38D9" w:rsidRDefault="00442C59" w:rsidP="005F6ADC">
            <w:pPr>
              <w:jc w:val="center"/>
              <w:rPr>
                <w:rFonts w:asciiTheme="majorHAnsi" w:hAnsiTheme="majorHAnsi" w:cstheme="majorHAnsi"/>
                <w:i/>
                <w:iCs/>
                <w:sz w:val="20"/>
                <w:szCs w:val="20"/>
              </w:rPr>
            </w:pPr>
            <w:r w:rsidRPr="008B38D9">
              <w:rPr>
                <w:rFonts w:asciiTheme="majorHAnsi" w:hAnsiTheme="majorHAnsi" w:cstheme="majorHAnsi"/>
                <w:color w:val="000000"/>
                <w:sz w:val="20"/>
                <w:szCs w:val="20"/>
              </w:rPr>
              <w:t>4.1</w:t>
            </w:r>
          </w:p>
        </w:tc>
        <w:tc>
          <w:tcPr>
            <w:tcW w:w="900" w:type="dxa"/>
            <w:hideMark/>
          </w:tcPr>
          <w:p w14:paraId="2101D02D" w14:textId="77777777" w:rsidR="00442C59" w:rsidRPr="008B38D9" w:rsidRDefault="00442C59" w:rsidP="005F6ADC">
            <w:pPr>
              <w:jc w:val="center"/>
              <w:rPr>
                <w:rFonts w:asciiTheme="majorHAnsi" w:hAnsiTheme="majorHAnsi" w:cstheme="majorHAnsi"/>
                <w:i/>
                <w:iCs/>
                <w:sz w:val="20"/>
                <w:szCs w:val="20"/>
              </w:rPr>
            </w:pPr>
            <w:r w:rsidRPr="008B38D9">
              <w:rPr>
                <w:rFonts w:asciiTheme="majorHAnsi" w:hAnsiTheme="majorHAnsi" w:cstheme="majorHAnsi"/>
                <w:color w:val="000000"/>
                <w:sz w:val="20"/>
                <w:szCs w:val="20"/>
              </w:rPr>
              <w:t>4.1</w:t>
            </w:r>
          </w:p>
        </w:tc>
        <w:tc>
          <w:tcPr>
            <w:tcW w:w="900" w:type="dxa"/>
            <w:hideMark/>
          </w:tcPr>
          <w:p w14:paraId="5D9C0591" w14:textId="77777777" w:rsidR="00442C59" w:rsidRPr="008B38D9" w:rsidRDefault="00442C59" w:rsidP="005F6ADC">
            <w:pPr>
              <w:jc w:val="center"/>
              <w:rPr>
                <w:rFonts w:asciiTheme="majorHAnsi" w:hAnsiTheme="majorHAnsi" w:cstheme="majorHAnsi"/>
                <w:i/>
                <w:iCs/>
                <w:sz w:val="20"/>
                <w:szCs w:val="20"/>
              </w:rPr>
            </w:pPr>
            <w:r w:rsidRPr="008B38D9">
              <w:rPr>
                <w:rFonts w:asciiTheme="majorHAnsi" w:hAnsiTheme="majorHAnsi" w:cstheme="majorHAnsi"/>
                <w:color w:val="000000"/>
                <w:sz w:val="20"/>
                <w:szCs w:val="20"/>
              </w:rPr>
              <w:t>4.2</w:t>
            </w:r>
          </w:p>
        </w:tc>
        <w:tc>
          <w:tcPr>
            <w:tcW w:w="900" w:type="dxa"/>
            <w:hideMark/>
          </w:tcPr>
          <w:p w14:paraId="458E86DC" w14:textId="77777777" w:rsidR="00442C59" w:rsidRPr="008B38D9" w:rsidRDefault="00442C59" w:rsidP="005F6ADC">
            <w:pPr>
              <w:jc w:val="center"/>
              <w:rPr>
                <w:rFonts w:asciiTheme="majorHAnsi" w:hAnsiTheme="majorHAnsi" w:cstheme="majorHAnsi"/>
                <w:i/>
                <w:iCs/>
                <w:sz w:val="20"/>
                <w:szCs w:val="20"/>
              </w:rPr>
            </w:pPr>
            <w:r w:rsidRPr="008B38D9">
              <w:rPr>
                <w:rFonts w:asciiTheme="majorHAnsi" w:hAnsiTheme="majorHAnsi" w:cstheme="majorHAnsi"/>
                <w:color w:val="000000"/>
                <w:sz w:val="20"/>
                <w:szCs w:val="20"/>
              </w:rPr>
              <w:t>5.3</w:t>
            </w:r>
          </w:p>
        </w:tc>
        <w:tc>
          <w:tcPr>
            <w:tcW w:w="900" w:type="dxa"/>
            <w:hideMark/>
          </w:tcPr>
          <w:p w14:paraId="07D87114" w14:textId="77777777" w:rsidR="00442C59" w:rsidRPr="008B38D9" w:rsidRDefault="00442C59" w:rsidP="005F6ADC">
            <w:pPr>
              <w:jc w:val="center"/>
              <w:rPr>
                <w:rFonts w:asciiTheme="majorHAnsi" w:hAnsiTheme="majorHAnsi" w:cstheme="majorHAnsi"/>
                <w:i/>
                <w:iCs/>
                <w:sz w:val="20"/>
                <w:szCs w:val="20"/>
              </w:rPr>
            </w:pPr>
            <w:r w:rsidRPr="008B38D9">
              <w:rPr>
                <w:rFonts w:asciiTheme="majorHAnsi" w:hAnsiTheme="majorHAnsi" w:cstheme="majorHAnsi"/>
                <w:color w:val="000000"/>
                <w:sz w:val="20"/>
                <w:szCs w:val="20"/>
              </w:rPr>
              <w:t>6.1</w:t>
            </w:r>
          </w:p>
        </w:tc>
        <w:tc>
          <w:tcPr>
            <w:tcW w:w="900" w:type="dxa"/>
            <w:hideMark/>
          </w:tcPr>
          <w:p w14:paraId="1576C6DD" w14:textId="77777777" w:rsidR="00442C59" w:rsidRPr="008B38D9" w:rsidRDefault="00442C59" w:rsidP="005F6ADC">
            <w:pPr>
              <w:jc w:val="center"/>
              <w:rPr>
                <w:rFonts w:asciiTheme="majorHAnsi" w:hAnsiTheme="majorHAnsi" w:cstheme="majorHAnsi"/>
                <w:i/>
                <w:iCs/>
                <w:sz w:val="20"/>
                <w:szCs w:val="20"/>
              </w:rPr>
            </w:pPr>
            <w:r w:rsidRPr="008B38D9">
              <w:rPr>
                <w:rFonts w:asciiTheme="majorHAnsi" w:hAnsiTheme="majorHAnsi" w:cstheme="majorHAnsi"/>
                <w:color w:val="000000"/>
                <w:sz w:val="20"/>
                <w:szCs w:val="20"/>
              </w:rPr>
              <w:t>7.4</w:t>
            </w:r>
          </w:p>
        </w:tc>
        <w:tc>
          <w:tcPr>
            <w:tcW w:w="901" w:type="dxa"/>
            <w:hideMark/>
          </w:tcPr>
          <w:p w14:paraId="08B7C16A" w14:textId="77777777" w:rsidR="00442C59" w:rsidRPr="008B38D9" w:rsidRDefault="00442C59" w:rsidP="005F6ADC">
            <w:pPr>
              <w:jc w:val="center"/>
              <w:rPr>
                <w:rFonts w:asciiTheme="majorHAnsi" w:hAnsiTheme="majorHAnsi" w:cstheme="majorHAnsi"/>
                <w:i/>
                <w:iCs/>
                <w:sz w:val="20"/>
                <w:szCs w:val="20"/>
              </w:rPr>
            </w:pPr>
            <w:r w:rsidRPr="008B38D9">
              <w:rPr>
                <w:rFonts w:asciiTheme="majorHAnsi" w:hAnsiTheme="majorHAnsi" w:cstheme="majorHAnsi"/>
                <w:color w:val="000000"/>
                <w:sz w:val="20"/>
                <w:szCs w:val="20"/>
              </w:rPr>
              <w:t>9.6</w:t>
            </w:r>
          </w:p>
        </w:tc>
      </w:tr>
      <w:tr w:rsidR="00442C59" w:rsidRPr="004803FB" w14:paraId="728A27E1" w14:textId="77777777" w:rsidTr="005F6ADC">
        <w:tc>
          <w:tcPr>
            <w:tcW w:w="1825" w:type="dxa"/>
            <w:hideMark/>
          </w:tcPr>
          <w:p w14:paraId="32372D93" w14:textId="77777777" w:rsidR="00442C59" w:rsidRPr="008B38D9" w:rsidRDefault="00442C59" w:rsidP="005F6ADC">
            <w:pPr>
              <w:rPr>
                <w:rFonts w:asciiTheme="majorHAnsi" w:hAnsiTheme="majorHAnsi" w:cstheme="majorBidi"/>
                <w:sz w:val="20"/>
                <w:szCs w:val="20"/>
              </w:rPr>
            </w:pPr>
            <w:r w:rsidRPr="1C715974">
              <w:rPr>
                <w:rFonts w:asciiTheme="majorHAnsi" w:hAnsiTheme="majorHAnsi" w:cstheme="majorBidi"/>
                <w:sz w:val="20"/>
                <w:szCs w:val="20"/>
              </w:rPr>
              <w:t>Child Carers (4211)</w:t>
            </w:r>
          </w:p>
        </w:tc>
        <w:tc>
          <w:tcPr>
            <w:tcW w:w="900" w:type="dxa"/>
            <w:hideMark/>
          </w:tcPr>
          <w:p w14:paraId="09DC36E0" w14:textId="77777777" w:rsidR="00442C59" w:rsidRPr="008B38D9" w:rsidRDefault="00442C59" w:rsidP="005F6ADC">
            <w:pPr>
              <w:jc w:val="center"/>
              <w:rPr>
                <w:rFonts w:asciiTheme="majorHAnsi" w:hAnsiTheme="majorHAnsi" w:cstheme="majorHAnsi"/>
                <w:sz w:val="20"/>
                <w:szCs w:val="20"/>
              </w:rPr>
            </w:pPr>
            <w:r w:rsidRPr="008B38D9">
              <w:rPr>
                <w:rFonts w:asciiTheme="majorHAnsi" w:hAnsiTheme="majorHAnsi" w:cstheme="majorHAnsi"/>
                <w:color w:val="000000"/>
                <w:sz w:val="20"/>
                <w:szCs w:val="20"/>
              </w:rPr>
              <w:t>7.0</w:t>
            </w:r>
          </w:p>
        </w:tc>
        <w:tc>
          <w:tcPr>
            <w:tcW w:w="900" w:type="dxa"/>
            <w:hideMark/>
          </w:tcPr>
          <w:p w14:paraId="6031D403" w14:textId="77777777" w:rsidR="00442C59" w:rsidRPr="008B38D9" w:rsidRDefault="00442C59" w:rsidP="005F6ADC">
            <w:pPr>
              <w:jc w:val="center"/>
              <w:rPr>
                <w:rFonts w:asciiTheme="majorHAnsi" w:hAnsiTheme="majorHAnsi" w:cstheme="majorHAnsi"/>
                <w:sz w:val="20"/>
                <w:szCs w:val="20"/>
              </w:rPr>
            </w:pPr>
            <w:r w:rsidRPr="008B38D9">
              <w:rPr>
                <w:rFonts w:asciiTheme="majorHAnsi" w:hAnsiTheme="majorHAnsi" w:cstheme="majorHAnsi"/>
                <w:color w:val="000000"/>
                <w:sz w:val="20"/>
                <w:szCs w:val="20"/>
              </w:rPr>
              <w:t>6.4</w:t>
            </w:r>
          </w:p>
        </w:tc>
        <w:tc>
          <w:tcPr>
            <w:tcW w:w="900" w:type="dxa"/>
            <w:hideMark/>
          </w:tcPr>
          <w:p w14:paraId="729F7079" w14:textId="77777777" w:rsidR="00442C59" w:rsidRPr="008B38D9" w:rsidRDefault="00442C59" w:rsidP="005F6ADC">
            <w:pPr>
              <w:jc w:val="center"/>
              <w:rPr>
                <w:rFonts w:asciiTheme="majorHAnsi" w:hAnsiTheme="majorHAnsi" w:cstheme="majorHAnsi"/>
                <w:sz w:val="20"/>
                <w:szCs w:val="20"/>
              </w:rPr>
            </w:pPr>
            <w:r w:rsidRPr="008B38D9">
              <w:rPr>
                <w:rFonts w:asciiTheme="majorHAnsi" w:hAnsiTheme="majorHAnsi" w:cstheme="majorHAnsi"/>
                <w:color w:val="000000"/>
                <w:sz w:val="20"/>
                <w:szCs w:val="20"/>
              </w:rPr>
              <w:t>7.5</w:t>
            </w:r>
          </w:p>
        </w:tc>
        <w:tc>
          <w:tcPr>
            <w:tcW w:w="900" w:type="dxa"/>
            <w:hideMark/>
          </w:tcPr>
          <w:p w14:paraId="69AAB5AF" w14:textId="77777777" w:rsidR="00442C59" w:rsidRPr="008B38D9" w:rsidRDefault="00442C59" w:rsidP="005F6ADC">
            <w:pPr>
              <w:jc w:val="center"/>
              <w:rPr>
                <w:rFonts w:asciiTheme="majorHAnsi" w:hAnsiTheme="majorHAnsi" w:cstheme="majorHAnsi"/>
                <w:sz w:val="20"/>
                <w:szCs w:val="20"/>
              </w:rPr>
            </w:pPr>
            <w:r w:rsidRPr="008B38D9">
              <w:rPr>
                <w:rFonts w:asciiTheme="majorHAnsi" w:hAnsiTheme="majorHAnsi" w:cstheme="majorHAnsi"/>
                <w:color w:val="000000"/>
                <w:sz w:val="20"/>
                <w:szCs w:val="20"/>
              </w:rPr>
              <w:t>6.2</w:t>
            </w:r>
          </w:p>
        </w:tc>
        <w:tc>
          <w:tcPr>
            <w:tcW w:w="900" w:type="dxa"/>
            <w:hideMark/>
          </w:tcPr>
          <w:p w14:paraId="5508F1C9" w14:textId="77777777" w:rsidR="00442C59" w:rsidRPr="008B38D9" w:rsidRDefault="00442C59" w:rsidP="005F6ADC">
            <w:pPr>
              <w:jc w:val="center"/>
              <w:rPr>
                <w:rFonts w:asciiTheme="majorHAnsi" w:hAnsiTheme="majorHAnsi" w:cstheme="majorHAnsi"/>
                <w:sz w:val="20"/>
                <w:szCs w:val="20"/>
              </w:rPr>
            </w:pPr>
            <w:r w:rsidRPr="008B38D9">
              <w:rPr>
                <w:rFonts w:asciiTheme="majorHAnsi" w:hAnsiTheme="majorHAnsi" w:cstheme="majorHAnsi"/>
                <w:color w:val="000000"/>
                <w:sz w:val="20"/>
                <w:szCs w:val="20"/>
              </w:rPr>
              <w:t>7.4</w:t>
            </w:r>
          </w:p>
        </w:tc>
        <w:tc>
          <w:tcPr>
            <w:tcW w:w="900" w:type="dxa"/>
            <w:hideMark/>
          </w:tcPr>
          <w:p w14:paraId="5330857C" w14:textId="77777777" w:rsidR="00442C59" w:rsidRPr="008B38D9" w:rsidRDefault="00442C59" w:rsidP="005F6ADC">
            <w:pPr>
              <w:jc w:val="center"/>
              <w:rPr>
                <w:rFonts w:asciiTheme="majorHAnsi" w:hAnsiTheme="majorHAnsi" w:cstheme="majorHAnsi"/>
                <w:sz w:val="20"/>
                <w:szCs w:val="20"/>
              </w:rPr>
            </w:pPr>
            <w:r w:rsidRPr="008B38D9">
              <w:rPr>
                <w:rFonts w:asciiTheme="majorHAnsi" w:hAnsiTheme="majorHAnsi" w:cstheme="majorHAnsi"/>
                <w:color w:val="000000"/>
                <w:sz w:val="20"/>
                <w:szCs w:val="20"/>
              </w:rPr>
              <w:t>9.2</w:t>
            </w:r>
          </w:p>
        </w:tc>
        <w:tc>
          <w:tcPr>
            <w:tcW w:w="900" w:type="dxa"/>
            <w:hideMark/>
          </w:tcPr>
          <w:p w14:paraId="077DBB3E" w14:textId="77777777" w:rsidR="00442C59" w:rsidRPr="008B38D9" w:rsidRDefault="00442C59" w:rsidP="005F6ADC">
            <w:pPr>
              <w:jc w:val="center"/>
              <w:rPr>
                <w:rFonts w:asciiTheme="majorHAnsi" w:hAnsiTheme="majorHAnsi" w:cstheme="majorHAnsi"/>
                <w:sz w:val="20"/>
                <w:szCs w:val="20"/>
              </w:rPr>
            </w:pPr>
            <w:r w:rsidRPr="008B38D9">
              <w:rPr>
                <w:rFonts w:asciiTheme="majorHAnsi" w:hAnsiTheme="majorHAnsi" w:cstheme="majorHAnsi"/>
                <w:color w:val="000000"/>
                <w:sz w:val="20"/>
                <w:szCs w:val="20"/>
              </w:rPr>
              <w:t>10.6</w:t>
            </w:r>
          </w:p>
        </w:tc>
        <w:tc>
          <w:tcPr>
            <w:tcW w:w="901" w:type="dxa"/>
            <w:hideMark/>
          </w:tcPr>
          <w:p w14:paraId="7D850127" w14:textId="77777777" w:rsidR="00442C59" w:rsidRPr="008B38D9" w:rsidRDefault="00442C59" w:rsidP="005F6ADC">
            <w:pPr>
              <w:jc w:val="center"/>
              <w:rPr>
                <w:rFonts w:asciiTheme="majorHAnsi" w:hAnsiTheme="majorHAnsi" w:cstheme="majorHAnsi"/>
                <w:sz w:val="20"/>
                <w:szCs w:val="20"/>
              </w:rPr>
            </w:pPr>
            <w:r w:rsidRPr="008B38D9">
              <w:rPr>
                <w:rFonts w:asciiTheme="majorHAnsi" w:hAnsiTheme="majorHAnsi" w:cstheme="majorHAnsi"/>
                <w:color w:val="000000"/>
                <w:sz w:val="20"/>
                <w:szCs w:val="20"/>
              </w:rPr>
              <w:t>9.2</w:t>
            </w:r>
          </w:p>
        </w:tc>
      </w:tr>
      <w:tr w:rsidR="00442C59" w:rsidRPr="004803FB" w14:paraId="46F8497B" w14:textId="77777777" w:rsidTr="005F6ADC">
        <w:trPr>
          <w:cnfStyle w:val="000000010000" w:firstRow="0" w:lastRow="0" w:firstColumn="0" w:lastColumn="0" w:oddVBand="0" w:evenVBand="0" w:oddHBand="0" w:evenHBand="1" w:firstRowFirstColumn="0" w:firstRowLastColumn="0" w:lastRowFirstColumn="0" w:lastRowLastColumn="0"/>
        </w:trPr>
        <w:tc>
          <w:tcPr>
            <w:tcW w:w="1825" w:type="dxa"/>
            <w:hideMark/>
          </w:tcPr>
          <w:p w14:paraId="3928E68A" w14:textId="77777777" w:rsidR="00442C59" w:rsidRPr="008B38D9" w:rsidRDefault="00442C59" w:rsidP="005F6ADC">
            <w:pPr>
              <w:rPr>
                <w:rFonts w:asciiTheme="majorHAnsi" w:hAnsiTheme="majorHAnsi" w:cstheme="majorBidi"/>
                <w:i/>
                <w:iCs/>
                <w:sz w:val="20"/>
                <w:szCs w:val="20"/>
              </w:rPr>
            </w:pPr>
            <w:r w:rsidRPr="1C715974">
              <w:rPr>
                <w:rFonts w:asciiTheme="majorHAnsi" w:hAnsiTheme="majorHAnsi" w:cstheme="majorBidi"/>
                <w:sz w:val="20"/>
                <w:szCs w:val="20"/>
              </w:rPr>
              <w:t>Education Aides (4221)</w:t>
            </w:r>
          </w:p>
        </w:tc>
        <w:tc>
          <w:tcPr>
            <w:tcW w:w="900" w:type="dxa"/>
            <w:hideMark/>
          </w:tcPr>
          <w:p w14:paraId="71210316" w14:textId="77777777" w:rsidR="00442C59" w:rsidRPr="008B38D9" w:rsidRDefault="00442C59" w:rsidP="005F6ADC">
            <w:pPr>
              <w:jc w:val="center"/>
              <w:rPr>
                <w:rFonts w:asciiTheme="majorHAnsi" w:hAnsiTheme="majorHAnsi" w:cstheme="majorHAnsi"/>
                <w:i/>
                <w:iCs/>
                <w:sz w:val="20"/>
                <w:szCs w:val="20"/>
              </w:rPr>
            </w:pPr>
            <w:r w:rsidRPr="008B38D9">
              <w:rPr>
                <w:rFonts w:asciiTheme="majorHAnsi" w:hAnsiTheme="majorHAnsi" w:cstheme="majorHAnsi"/>
                <w:color w:val="000000"/>
                <w:sz w:val="20"/>
                <w:szCs w:val="20"/>
              </w:rPr>
              <w:t>10.1</w:t>
            </w:r>
          </w:p>
        </w:tc>
        <w:tc>
          <w:tcPr>
            <w:tcW w:w="900" w:type="dxa"/>
            <w:hideMark/>
          </w:tcPr>
          <w:p w14:paraId="1A8063B9" w14:textId="77777777" w:rsidR="00442C59" w:rsidRPr="008B38D9" w:rsidRDefault="00442C59" w:rsidP="005F6ADC">
            <w:pPr>
              <w:jc w:val="center"/>
              <w:rPr>
                <w:rFonts w:asciiTheme="majorHAnsi" w:hAnsiTheme="majorHAnsi" w:cstheme="majorHAnsi"/>
                <w:i/>
                <w:iCs/>
                <w:sz w:val="20"/>
                <w:szCs w:val="20"/>
              </w:rPr>
            </w:pPr>
            <w:r w:rsidRPr="008B38D9">
              <w:rPr>
                <w:rFonts w:asciiTheme="majorHAnsi" w:hAnsiTheme="majorHAnsi" w:cstheme="majorHAnsi"/>
                <w:color w:val="000000"/>
                <w:sz w:val="20"/>
                <w:szCs w:val="20"/>
              </w:rPr>
              <w:t>8.3</w:t>
            </w:r>
          </w:p>
        </w:tc>
        <w:tc>
          <w:tcPr>
            <w:tcW w:w="900" w:type="dxa"/>
            <w:hideMark/>
          </w:tcPr>
          <w:p w14:paraId="4A7E6615" w14:textId="77777777" w:rsidR="00442C59" w:rsidRPr="008B38D9" w:rsidRDefault="00442C59" w:rsidP="005F6ADC">
            <w:pPr>
              <w:jc w:val="center"/>
              <w:rPr>
                <w:rFonts w:asciiTheme="majorHAnsi" w:hAnsiTheme="majorHAnsi" w:cstheme="majorHAnsi"/>
                <w:i/>
                <w:iCs/>
                <w:sz w:val="20"/>
                <w:szCs w:val="20"/>
              </w:rPr>
            </w:pPr>
            <w:r w:rsidRPr="008B38D9">
              <w:rPr>
                <w:rFonts w:asciiTheme="majorHAnsi" w:hAnsiTheme="majorHAnsi" w:cstheme="majorHAnsi"/>
                <w:color w:val="000000"/>
                <w:sz w:val="20"/>
                <w:szCs w:val="20"/>
              </w:rPr>
              <w:t>8.1</w:t>
            </w:r>
          </w:p>
        </w:tc>
        <w:tc>
          <w:tcPr>
            <w:tcW w:w="900" w:type="dxa"/>
            <w:hideMark/>
          </w:tcPr>
          <w:p w14:paraId="6E1EFE1B" w14:textId="77777777" w:rsidR="00442C59" w:rsidRPr="008B38D9" w:rsidRDefault="00442C59" w:rsidP="005F6ADC">
            <w:pPr>
              <w:jc w:val="center"/>
              <w:rPr>
                <w:rFonts w:asciiTheme="majorHAnsi" w:hAnsiTheme="majorHAnsi" w:cstheme="majorHAnsi"/>
                <w:i/>
                <w:iCs/>
                <w:sz w:val="20"/>
                <w:szCs w:val="20"/>
              </w:rPr>
            </w:pPr>
            <w:r w:rsidRPr="008B38D9">
              <w:rPr>
                <w:rFonts w:asciiTheme="majorHAnsi" w:hAnsiTheme="majorHAnsi" w:cstheme="majorHAnsi"/>
                <w:color w:val="000000"/>
                <w:sz w:val="20"/>
                <w:szCs w:val="20"/>
              </w:rPr>
              <w:t>9.6</w:t>
            </w:r>
          </w:p>
        </w:tc>
        <w:tc>
          <w:tcPr>
            <w:tcW w:w="900" w:type="dxa"/>
            <w:hideMark/>
          </w:tcPr>
          <w:p w14:paraId="360740C7" w14:textId="77777777" w:rsidR="00442C59" w:rsidRPr="008B38D9" w:rsidRDefault="00442C59" w:rsidP="005F6ADC">
            <w:pPr>
              <w:jc w:val="center"/>
              <w:rPr>
                <w:rFonts w:asciiTheme="majorHAnsi" w:hAnsiTheme="majorHAnsi" w:cstheme="majorHAnsi"/>
                <w:i/>
                <w:iCs/>
                <w:sz w:val="20"/>
                <w:szCs w:val="20"/>
              </w:rPr>
            </w:pPr>
            <w:r w:rsidRPr="008B38D9">
              <w:rPr>
                <w:rFonts w:asciiTheme="majorHAnsi" w:hAnsiTheme="majorHAnsi" w:cstheme="majorHAnsi"/>
                <w:color w:val="000000"/>
                <w:sz w:val="20"/>
                <w:szCs w:val="20"/>
              </w:rPr>
              <w:t>9.5</w:t>
            </w:r>
          </w:p>
        </w:tc>
        <w:tc>
          <w:tcPr>
            <w:tcW w:w="900" w:type="dxa"/>
            <w:hideMark/>
          </w:tcPr>
          <w:p w14:paraId="4F4CEC95" w14:textId="77777777" w:rsidR="00442C59" w:rsidRPr="008B38D9" w:rsidRDefault="00442C59" w:rsidP="005F6ADC">
            <w:pPr>
              <w:jc w:val="center"/>
              <w:rPr>
                <w:rFonts w:asciiTheme="majorHAnsi" w:hAnsiTheme="majorHAnsi" w:cstheme="majorHAnsi"/>
                <w:i/>
                <w:iCs/>
                <w:sz w:val="20"/>
                <w:szCs w:val="20"/>
              </w:rPr>
            </w:pPr>
            <w:r w:rsidRPr="008B38D9">
              <w:rPr>
                <w:rFonts w:asciiTheme="majorHAnsi" w:hAnsiTheme="majorHAnsi" w:cstheme="majorHAnsi"/>
                <w:color w:val="000000"/>
                <w:sz w:val="20"/>
                <w:szCs w:val="20"/>
              </w:rPr>
              <w:t>9.5</w:t>
            </w:r>
          </w:p>
        </w:tc>
        <w:tc>
          <w:tcPr>
            <w:tcW w:w="900" w:type="dxa"/>
            <w:hideMark/>
          </w:tcPr>
          <w:p w14:paraId="551CE53F" w14:textId="77777777" w:rsidR="00442C59" w:rsidRPr="008B38D9" w:rsidRDefault="00442C59" w:rsidP="005F6ADC">
            <w:pPr>
              <w:jc w:val="center"/>
              <w:rPr>
                <w:rFonts w:asciiTheme="majorHAnsi" w:hAnsiTheme="majorHAnsi" w:cstheme="majorHAnsi"/>
                <w:i/>
                <w:iCs/>
                <w:sz w:val="20"/>
                <w:szCs w:val="20"/>
              </w:rPr>
            </w:pPr>
            <w:r w:rsidRPr="008B38D9">
              <w:rPr>
                <w:rFonts w:asciiTheme="majorHAnsi" w:hAnsiTheme="majorHAnsi" w:cstheme="majorHAnsi"/>
                <w:color w:val="000000"/>
                <w:sz w:val="20"/>
                <w:szCs w:val="20"/>
              </w:rPr>
              <w:t>11.5</w:t>
            </w:r>
          </w:p>
        </w:tc>
        <w:tc>
          <w:tcPr>
            <w:tcW w:w="901" w:type="dxa"/>
            <w:hideMark/>
          </w:tcPr>
          <w:p w14:paraId="509388EA" w14:textId="77777777" w:rsidR="00442C59" w:rsidRPr="008B38D9" w:rsidRDefault="00442C59" w:rsidP="005F6ADC">
            <w:pPr>
              <w:jc w:val="center"/>
              <w:rPr>
                <w:rFonts w:asciiTheme="majorHAnsi" w:hAnsiTheme="majorHAnsi" w:cstheme="majorHAnsi"/>
                <w:i/>
                <w:iCs/>
                <w:sz w:val="20"/>
                <w:szCs w:val="20"/>
              </w:rPr>
            </w:pPr>
            <w:r w:rsidRPr="008B38D9">
              <w:rPr>
                <w:rFonts w:asciiTheme="majorHAnsi" w:hAnsiTheme="majorHAnsi" w:cstheme="majorHAnsi"/>
                <w:color w:val="000000"/>
                <w:sz w:val="20"/>
                <w:szCs w:val="20"/>
              </w:rPr>
              <w:t>11.1</w:t>
            </w:r>
          </w:p>
        </w:tc>
      </w:tr>
      <w:tr w:rsidR="00442C59" w:rsidRPr="004803FB" w14:paraId="5AE6CB12" w14:textId="77777777" w:rsidTr="005F6ADC">
        <w:tc>
          <w:tcPr>
            <w:tcW w:w="1825" w:type="dxa"/>
            <w:hideMark/>
          </w:tcPr>
          <w:p w14:paraId="3E27D0AC" w14:textId="77777777" w:rsidR="00442C59" w:rsidRPr="008B38D9" w:rsidRDefault="00442C59" w:rsidP="005F6ADC">
            <w:pPr>
              <w:rPr>
                <w:rFonts w:asciiTheme="majorHAnsi" w:hAnsiTheme="majorHAnsi" w:cstheme="majorHAnsi"/>
                <w:b/>
                <w:bCs/>
                <w:i/>
                <w:iCs/>
                <w:sz w:val="20"/>
                <w:szCs w:val="20"/>
              </w:rPr>
            </w:pPr>
            <w:r w:rsidRPr="008B38D9">
              <w:rPr>
                <w:rFonts w:asciiTheme="majorHAnsi" w:hAnsiTheme="majorHAnsi" w:cstheme="majorHAnsi"/>
                <w:b/>
                <w:bCs/>
                <w:i/>
                <w:iCs/>
                <w:sz w:val="20"/>
                <w:szCs w:val="20"/>
              </w:rPr>
              <w:t>All occupations*</w:t>
            </w:r>
          </w:p>
        </w:tc>
        <w:tc>
          <w:tcPr>
            <w:tcW w:w="900" w:type="dxa"/>
            <w:hideMark/>
          </w:tcPr>
          <w:p w14:paraId="187D19EC" w14:textId="77777777" w:rsidR="00442C59" w:rsidRPr="008B38D9" w:rsidRDefault="00442C59" w:rsidP="005F6ADC">
            <w:pPr>
              <w:jc w:val="center"/>
              <w:rPr>
                <w:rFonts w:asciiTheme="majorHAnsi" w:hAnsiTheme="majorHAnsi" w:cstheme="majorHAnsi"/>
                <w:i/>
                <w:iCs/>
                <w:sz w:val="20"/>
                <w:szCs w:val="20"/>
              </w:rPr>
            </w:pPr>
            <w:r w:rsidRPr="008B38D9">
              <w:rPr>
                <w:rFonts w:asciiTheme="majorHAnsi" w:hAnsiTheme="majorHAnsi" w:cstheme="majorHAnsi"/>
                <w:b/>
                <w:bCs/>
                <w:i/>
                <w:iCs/>
                <w:color w:val="000000"/>
                <w:sz w:val="20"/>
                <w:szCs w:val="20"/>
              </w:rPr>
              <w:t>5.9</w:t>
            </w:r>
          </w:p>
        </w:tc>
        <w:tc>
          <w:tcPr>
            <w:tcW w:w="900" w:type="dxa"/>
            <w:hideMark/>
          </w:tcPr>
          <w:p w14:paraId="1258387F" w14:textId="77777777" w:rsidR="00442C59" w:rsidRPr="008B38D9" w:rsidRDefault="00442C59" w:rsidP="005F6ADC">
            <w:pPr>
              <w:jc w:val="center"/>
              <w:rPr>
                <w:rFonts w:asciiTheme="majorHAnsi" w:hAnsiTheme="majorHAnsi" w:cstheme="majorHAnsi"/>
                <w:i/>
                <w:iCs/>
                <w:sz w:val="20"/>
                <w:szCs w:val="20"/>
              </w:rPr>
            </w:pPr>
            <w:r w:rsidRPr="008B38D9">
              <w:rPr>
                <w:rFonts w:asciiTheme="majorHAnsi" w:hAnsiTheme="majorHAnsi" w:cstheme="majorHAnsi"/>
                <w:b/>
                <w:bCs/>
                <w:i/>
                <w:iCs/>
                <w:color w:val="000000"/>
                <w:sz w:val="20"/>
                <w:szCs w:val="20"/>
              </w:rPr>
              <w:t>5.6</w:t>
            </w:r>
          </w:p>
        </w:tc>
        <w:tc>
          <w:tcPr>
            <w:tcW w:w="900" w:type="dxa"/>
            <w:hideMark/>
          </w:tcPr>
          <w:p w14:paraId="5D7C17BB" w14:textId="77777777" w:rsidR="00442C59" w:rsidRPr="008B38D9" w:rsidRDefault="00442C59" w:rsidP="005F6ADC">
            <w:pPr>
              <w:jc w:val="center"/>
              <w:rPr>
                <w:rFonts w:asciiTheme="majorHAnsi" w:hAnsiTheme="majorHAnsi" w:cstheme="majorHAnsi"/>
                <w:i/>
                <w:iCs/>
                <w:sz w:val="20"/>
                <w:szCs w:val="20"/>
              </w:rPr>
            </w:pPr>
            <w:r w:rsidRPr="008B38D9">
              <w:rPr>
                <w:rFonts w:asciiTheme="majorHAnsi" w:hAnsiTheme="majorHAnsi" w:cstheme="majorHAnsi"/>
                <w:b/>
                <w:bCs/>
                <w:i/>
                <w:iCs/>
                <w:color w:val="000000"/>
                <w:sz w:val="20"/>
                <w:szCs w:val="20"/>
              </w:rPr>
              <w:t>5.6</w:t>
            </w:r>
          </w:p>
        </w:tc>
        <w:tc>
          <w:tcPr>
            <w:tcW w:w="900" w:type="dxa"/>
            <w:hideMark/>
          </w:tcPr>
          <w:p w14:paraId="7CA75897" w14:textId="77777777" w:rsidR="00442C59" w:rsidRPr="008B38D9" w:rsidRDefault="00442C59" w:rsidP="005F6ADC">
            <w:pPr>
              <w:jc w:val="center"/>
              <w:rPr>
                <w:rFonts w:asciiTheme="majorHAnsi" w:hAnsiTheme="majorHAnsi" w:cstheme="majorHAnsi"/>
                <w:i/>
                <w:iCs/>
                <w:sz w:val="20"/>
                <w:szCs w:val="20"/>
              </w:rPr>
            </w:pPr>
            <w:r w:rsidRPr="008B38D9">
              <w:rPr>
                <w:rFonts w:asciiTheme="majorHAnsi" w:hAnsiTheme="majorHAnsi" w:cstheme="majorHAnsi"/>
                <w:b/>
                <w:bCs/>
                <w:i/>
                <w:iCs/>
                <w:color w:val="000000"/>
                <w:sz w:val="20"/>
                <w:szCs w:val="20"/>
              </w:rPr>
              <w:t>5.5</w:t>
            </w:r>
          </w:p>
        </w:tc>
        <w:tc>
          <w:tcPr>
            <w:tcW w:w="900" w:type="dxa"/>
            <w:hideMark/>
          </w:tcPr>
          <w:p w14:paraId="3AFE9C21" w14:textId="77777777" w:rsidR="00442C59" w:rsidRPr="008B38D9" w:rsidRDefault="00442C59" w:rsidP="005F6ADC">
            <w:pPr>
              <w:jc w:val="center"/>
              <w:rPr>
                <w:rFonts w:asciiTheme="majorHAnsi" w:hAnsiTheme="majorHAnsi" w:cstheme="majorHAnsi"/>
                <w:i/>
                <w:iCs/>
                <w:sz w:val="20"/>
                <w:szCs w:val="20"/>
              </w:rPr>
            </w:pPr>
            <w:r w:rsidRPr="008B38D9">
              <w:rPr>
                <w:rFonts w:asciiTheme="majorHAnsi" w:hAnsiTheme="majorHAnsi" w:cstheme="majorHAnsi"/>
                <w:b/>
                <w:bCs/>
                <w:i/>
                <w:iCs/>
                <w:color w:val="000000"/>
                <w:sz w:val="20"/>
                <w:szCs w:val="20"/>
              </w:rPr>
              <w:t>5.8</w:t>
            </w:r>
          </w:p>
        </w:tc>
        <w:tc>
          <w:tcPr>
            <w:tcW w:w="900" w:type="dxa"/>
            <w:hideMark/>
          </w:tcPr>
          <w:p w14:paraId="54B880D1" w14:textId="77777777" w:rsidR="00442C59" w:rsidRPr="008B38D9" w:rsidRDefault="00442C59" w:rsidP="005F6ADC">
            <w:pPr>
              <w:jc w:val="center"/>
              <w:rPr>
                <w:rFonts w:asciiTheme="majorHAnsi" w:hAnsiTheme="majorHAnsi" w:cstheme="majorHAnsi"/>
                <w:i/>
                <w:iCs/>
                <w:sz w:val="20"/>
                <w:szCs w:val="20"/>
              </w:rPr>
            </w:pPr>
            <w:r w:rsidRPr="008B38D9">
              <w:rPr>
                <w:rFonts w:asciiTheme="majorHAnsi" w:hAnsiTheme="majorHAnsi" w:cstheme="majorHAnsi"/>
                <w:b/>
                <w:bCs/>
                <w:i/>
                <w:iCs/>
                <w:color w:val="000000"/>
                <w:sz w:val="20"/>
                <w:szCs w:val="20"/>
              </w:rPr>
              <w:t>6.1</w:t>
            </w:r>
          </w:p>
        </w:tc>
        <w:tc>
          <w:tcPr>
            <w:tcW w:w="900" w:type="dxa"/>
            <w:hideMark/>
          </w:tcPr>
          <w:p w14:paraId="4532C22B" w14:textId="77777777" w:rsidR="00442C59" w:rsidRPr="008B38D9" w:rsidRDefault="00442C59" w:rsidP="005F6ADC">
            <w:pPr>
              <w:jc w:val="center"/>
              <w:rPr>
                <w:rFonts w:asciiTheme="majorHAnsi" w:hAnsiTheme="majorHAnsi" w:cstheme="majorHAnsi"/>
                <w:i/>
                <w:iCs/>
                <w:sz w:val="20"/>
                <w:szCs w:val="20"/>
              </w:rPr>
            </w:pPr>
            <w:r w:rsidRPr="008B38D9">
              <w:rPr>
                <w:rFonts w:asciiTheme="majorHAnsi" w:hAnsiTheme="majorHAnsi" w:cstheme="majorHAnsi"/>
                <w:b/>
                <w:bCs/>
                <w:i/>
                <w:iCs/>
                <w:color w:val="000000"/>
                <w:sz w:val="20"/>
                <w:szCs w:val="20"/>
              </w:rPr>
              <w:t>6.5</w:t>
            </w:r>
          </w:p>
        </w:tc>
        <w:tc>
          <w:tcPr>
            <w:tcW w:w="901" w:type="dxa"/>
            <w:hideMark/>
          </w:tcPr>
          <w:p w14:paraId="474FC935" w14:textId="77777777" w:rsidR="00442C59" w:rsidRPr="008B38D9" w:rsidRDefault="00442C59" w:rsidP="005F6ADC">
            <w:pPr>
              <w:jc w:val="center"/>
              <w:rPr>
                <w:rFonts w:asciiTheme="majorHAnsi" w:hAnsiTheme="majorHAnsi" w:cstheme="majorHAnsi"/>
                <w:i/>
                <w:iCs/>
                <w:sz w:val="20"/>
                <w:szCs w:val="20"/>
              </w:rPr>
            </w:pPr>
            <w:r w:rsidRPr="008B38D9">
              <w:rPr>
                <w:rFonts w:asciiTheme="majorHAnsi" w:hAnsiTheme="majorHAnsi" w:cstheme="majorHAnsi"/>
                <w:b/>
                <w:bCs/>
                <w:i/>
                <w:iCs/>
                <w:color w:val="000000"/>
                <w:sz w:val="20"/>
                <w:szCs w:val="20"/>
              </w:rPr>
              <w:t>6.5</w:t>
            </w:r>
          </w:p>
        </w:tc>
      </w:tr>
    </w:tbl>
    <w:p w14:paraId="6309630E" w14:textId="77777777" w:rsidR="00442C59" w:rsidRDefault="00442C59" w:rsidP="00442C59">
      <w:pPr>
        <w:rPr>
          <w:rFonts w:eastAsia="Arial" w:cs="Arial"/>
        </w:rPr>
      </w:pPr>
      <w:r>
        <w:rPr>
          <w:rFonts w:ascii="Calibri" w:hAnsi="Calibri" w:cs="Calibri"/>
          <w:sz w:val="16"/>
          <w:szCs w:val="16"/>
        </w:rPr>
        <w:t>*</w:t>
      </w:r>
      <w:r w:rsidRPr="00F45BDA">
        <w:rPr>
          <w:rFonts w:ascii="Calibri" w:hAnsi="Calibri" w:cs="Calibri"/>
          <w:sz w:val="16"/>
          <w:szCs w:val="16"/>
        </w:rPr>
        <w:t xml:space="preserve"> </w:t>
      </w:r>
      <w:r>
        <w:rPr>
          <w:rFonts w:ascii="Calibri" w:hAnsi="Calibri" w:cs="Calibri"/>
          <w:sz w:val="16"/>
          <w:szCs w:val="16"/>
        </w:rPr>
        <w:t xml:space="preserve">All occupations includes all ANZSCO occupation groups, including those not listed separately in the </w:t>
      </w:r>
      <w:proofErr w:type="gramStart"/>
      <w:r>
        <w:rPr>
          <w:rFonts w:ascii="Calibri" w:hAnsi="Calibri" w:cs="Calibri"/>
          <w:sz w:val="16"/>
          <w:szCs w:val="16"/>
        </w:rPr>
        <w:t>table..</w:t>
      </w:r>
      <w:proofErr w:type="gramEnd"/>
    </w:p>
    <w:p w14:paraId="7A29F10A" w14:textId="77777777" w:rsidR="00442C59" w:rsidRDefault="00442C59" w:rsidP="00442C59">
      <w:pPr>
        <w:rPr>
          <w:rFonts w:eastAsia="Arial" w:cs="Arial"/>
          <w:sz w:val="18"/>
          <w:szCs w:val="18"/>
        </w:rPr>
      </w:pPr>
      <w:r w:rsidRPr="00DF37A2">
        <w:rPr>
          <w:rFonts w:eastAsia="Arial" w:cs="Arial"/>
          <w:sz w:val="18"/>
          <w:szCs w:val="18"/>
        </w:rPr>
        <w:t xml:space="preserve">Source: </w:t>
      </w:r>
      <w:r w:rsidRPr="00710F0A">
        <w:rPr>
          <w:rFonts w:eastAsia="Arial" w:cs="Arial"/>
          <w:sz w:val="18"/>
          <w:szCs w:val="18"/>
        </w:rPr>
        <w:t>Safe Work Australia, National dataset for compensation-based statistics.</w:t>
      </w:r>
    </w:p>
    <w:p w14:paraId="36110E7C" w14:textId="77777777" w:rsidR="00442C59" w:rsidRDefault="00442C59" w:rsidP="00442C59">
      <w:pPr>
        <w:rPr>
          <w:rFonts w:eastAsia="Arial" w:cs="Arial"/>
          <w:shd w:val="clear" w:color="auto" w:fill="D3D3D3"/>
        </w:rPr>
      </w:pPr>
      <w:r w:rsidRPr="0275D512">
        <w:rPr>
          <w:rFonts w:eastAsia="Arial" w:cs="Arial"/>
        </w:rPr>
        <w:t xml:space="preserve">A meta-analysis </w:t>
      </w:r>
      <w:r>
        <w:t>(Ng et al., 2023)</w:t>
      </w:r>
      <w:r w:rsidRPr="0275D512" w:rsidDel="00844DB0">
        <w:rPr>
          <w:rFonts w:eastAsia="Arial" w:cs="Arial"/>
        </w:rPr>
        <w:t xml:space="preserve"> </w:t>
      </w:r>
      <w:r w:rsidRPr="0275D512">
        <w:rPr>
          <w:rFonts w:eastAsia="Arial" w:cs="Arial"/>
        </w:rPr>
        <w:t>of burnout risk factors in ECEC showed that several personal factors increased the risk of burnout, especially poor health or limited family and social support. Feedback provided to JSA suggests that this can be particularly difficult for those beginning their ECEC career.</w:t>
      </w:r>
    </w:p>
    <w:p w14:paraId="47657CA5" w14:textId="77777777" w:rsidR="00442C59" w:rsidRDefault="00442C59" w:rsidP="00442C59">
      <w:pPr>
        <w:pStyle w:val="IntenseQuote"/>
        <w:rPr>
          <w:rFonts w:eastAsia="Arial" w:cs="Arial"/>
        </w:rPr>
      </w:pPr>
      <w:r w:rsidRPr="193B3D6C">
        <w:rPr>
          <w:rFonts w:eastAsia="Arial" w:cs="Arial"/>
        </w:rPr>
        <w:t xml:space="preserve">Many </w:t>
      </w:r>
      <w:proofErr w:type="gramStart"/>
      <w:r w:rsidRPr="193B3D6C">
        <w:rPr>
          <w:rFonts w:eastAsia="Arial" w:cs="Arial"/>
        </w:rPr>
        <w:t>start</w:t>
      </w:r>
      <w:proofErr w:type="gramEnd"/>
      <w:r w:rsidRPr="193B3D6C">
        <w:rPr>
          <w:rFonts w:eastAsia="Arial" w:cs="Arial"/>
        </w:rPr>
        <w:t xml:space="preserve"> in the profession and have to negotiate initiation into working life at the same time as taking on study for the appropriate qualifications. Many cannot handle this early transition </w:t>
      </w:r>
      <w:proofErr w:type="gramStart"/>
      <w:r w:rsidRPr="193B3D6C">
        <w:rPr>
          <w:rFonts w:eastAsia="Arial" w:cs="Arial"/>
        </w:rPr>
        <w:t>process</w:t>
      </w:r>
      <w:proofErr w:type="gramEnd"/>
      <w:r w:rsidRPr="193B3D6C">
        <w:rPr>
          <w:rFonts w:eastAsia="Arial" w:cs="Arial"/>
        </w:rPr>
        <w:t xml:space="preserve"> and this provides for inconsistency in staffing at services. (</w:t>
      </w:r>
      <w:r>
        <w:rPr>
          <w:rFonts w:eastAsia="Arial" w:cs="Arial"/>
        </w:rPr>
        <w:t>S</w:t>
      </w:r>
      <w:r w:rsidRPr="193B3D6C">
        <w:rPr>
          <w:rFonts w:eastAsia="Arial" w:cs="Arial"/>
        </w:rPr>
        <w:t>ubmission 22</w:t>
      </w:r>
      <w:r>
        <w:rPr>
          <w:rFonts w:eastAsia="Arial" w:cs="Arial"/>
        </w:rPr>
        <w:t xml:space="preserve"> - Individual</w:t>
      </w:r>
      <w:r w:rsidRPr="193B3D6C">
        <w:rPr>
          <w:rFonts w:eastAsia="Arial" w:cs="Arial"/>
        </w:rPr>
        <w:t>)</w:t>
      </w:r>
    </w:p>
    <w:p w14:paraId="1B6B985D" w14:textId="77777777" w:rsidR="00442C59" w:rsidRDefault="00442C59" w:rsidP="00442C59">
      <w:r w:rsidRPr="0275D512">
        <w:t xml:space="preserve">However, structural factors are also necessary to explain the elevated risk of burnout across the sector. Low wages make life more stressful in general, cause ECEC educators to feel under-valued and reduce workplace motivation. Other factors include a lack of resources to perform the work, a lack of clarity about work expectations or expectations that do not match the role and high job demands. Additionally, challenging relationships with colleagues, managers and parents </w:t>
      </w:r>
      <w:r>
        <w:t>are</w:t>
      </w:r>
      <w:r w:rsidRPr="0275D512">
        <w:t xml:space="preserve"> a key source of burnout, as is a lack of focus on staff wellbeing, few opportunities for professional development and progression and a perception that the occupation is held in low esteem. High levels of staff turnover itself acts as an indicator for burnout, intensifying the problem </w:t>
      </w:r>
      <w:r>
        <w:t xml:space="preserve">(Ng et al., 2023). </w:t>
      </w:r>
      <w:r w:rsidRPr="0275D512">
        <w:t xml:space="preserve">This suggests that improving the extrinsic conditions described above, including wages, working hours and travel to work, would help </w:t>
      </w:r>
      <w:r>
        <w:t>reduce</w:t>
      </w:r>
      <w:r w:rsidRPr="0275D512">
        <w:t xml:space="preserve"> burnout. Ensuring that ECEC staff have s</w:t>
      </w:r>
      <w:r>
        <w:t>ufficient</w:t>
      </w:r>
      <w:r w:rsidRPr="0275D512">
        <w:t xml:space="preserve"> non-contact time to prepare play-based learning activities would also help provide some relief from the relationship-based sources of burnout.</w:t>
      </w:r>
    </w:p>
    <w:p w14:paraId="09C0FA23" w14:textId="77777777" w:rsidR="00442C59" w:rsidRDefault="00442C59" w:rsidP="00442C59">
      <w:pPr>
        <w:pStyle w:val="IntenseQuote"/>
        <w:keepLines/>
        <w:ind w:left="862" w:right="862"/>
        <w:rPr>
          <w:rFonts w:eastAsia="Arial" w:cs="Arial"/>
        </w:rPr>
      </w:pPr>
      <w:r w:rsidRPr="193B3D6C">
        <w:rPr>
          <w:rFonts w:eastAsia="Arial" w:cs="Arial"/>
        </w:rPr>
        <w:lastRenderedPageBreak/>
        <w:t xml:space="preserve">To progress beyond provisional registration, new ECT’s need someone to mentor and support them, coach and sign off their provisional ECT status to reach proficiency. However, with the pressure on the existing workforce, there are too few experienced educators that have capacity to do this. (Submission 9 </w:t>
      </w:r>
      <w:r w:rsidRPr="003A36EF">
        <w:t>- An early childhood advocacy organisation)</w:t>
      </w:r>
    </w:p>
    <w:p w14:paraId="4B48B5BB" w14:textId="77777777" w:rsidR="00442C59" w:rsidRDefault="00442C59" w:rsidP="00442C59">
      <w:r w:rsidRPr="1882A426">
        <w:t xml:space="preserve">Recent growth in </w:t>
      </w:r>
      <w:r>
        <w:t xml:space="preserve">the number of </w:t>
      </w:r>
      <w:r w:rsidRPr="1882A426">
        <w:t>trainees in</w:t>
      </w:r>
      <w:r>
        <w:t xml:space="preserve"> ECEC in</w:t>
      </w:r>
      <w:r w:rsidRPr="1882A426">
        <w:t xml:space="preserve"> Australia has intensified the workload for experienced ECEC educators, contributing to burnout. With few</w:t>
      </w:r>
      <w:r>
        <w:t>er</w:t>
      </w:r>
      <w:r w:rsidRPr="1882A426">
        <w:t xml:space="preserve"> senior staff relative to the expanding number of trainees, administrative work is often pushed into contact time with children, or in unpaid overtime. This further increases the probability of burnout and attrition.</w:t>
      </w:r>
      <w:r w:rsidRPr="64C36C5F">
        <w:t xml:space="preserve"> </w:t>
      </w:r>
      <w:r w:rsidRPr="1882A426">
        <w:t xml:space="preserve">Stakeholder data collected by JSA repeatedly described the enormous satisfaction many ECEC educators experience by the </w:t>
      </w:r>
      <w:r w:rsidRPr="1882A426">
        <w:rPr>
          <w:i/>
          <w:iCs/>
        </w:rPr>
        <w:t xml:space="preserve">emotion work </w:t>
      </w:r>
      <w:r w:rsidRPr="1882A426">
        <w:t xml:space="preserve">that they do, which contributes to the children and families they encounter and is central to their own wellbeing at work. </w:t>
      </w:r>
    </w:p>
    <w:p w14:paraId="3F70966F" w14:textId="77777777" w:rsidR="00442C59" w:rsidRDefault="00442C59" w:rsidP="00442C59">
      <w:r w:rsidRPr="1882A426">
        <w:t xml:space="preserve">By contrast, emotional labour, which demands ECEC educators perform emotions, including managing facial expressions and body language to create the right environment for others, demands unfelt enthusiasm for children’s activities, professional calm for parents and warmth for colleagues. Far from the wellbeing of authentic emotion work, such labour produces emotional dissonance, contributing significantly to burnout in ECEC. In so doing, they </w:t>
      </w:r>
      <w:r>
        <w:t xml:space="preserve">may </w:t>
      </w:r>
      <w:r w:rsidRPr="1882A426">
        <w:t>become more cynical about their work, which not only reduces their performance but also negatively affects job satisfaction for themselves and their colleagues.</w:t>
      </w:r>
    </w:p>
    <w:p w14:paraId="5D47EF72" w14:textId="0D41AF37" w:rsidR="00442C59" w:rsidRDefault="00442C59" w:rsidP="00442C59">
      <w:pPr>
        <w:pStyle w:val="Caption"/>
      </w:pPr>
      <w:r>
        <w:t>Figure 6.</w:t>
      </w:r>
      <w:r w:rsidR="00BC4F9A">
        <w:fldChar w:fldCharType="begin"/>
      </w:r>
      <w:r w:rsidR="00BC4F9A">
        <w:instrText xml:space="preserve"> SEQ Figure \* ARABIC \r 2 </w:instrText>
      </w:r>
      <w:r w:rsidR="00BC4F9A">
        <w:fldChar w:fldCharType="separate"/>
      </w:r>
      <w:r w:rsidR="005F18C1">
        <w:rPr>
          <w:noProof/>
        </w:rPr>
        <w:t>2</w:t>
      </w:r>
      <w:r w:rsidR="00BC4F9A">
        <w:fldChar w:fldCharType="end"/>
      </w:r>
      <w:r>
        <w:t xml:space="preserve"> </w:t>
      </w:r>
      <w:r w:rsidRPr="008A1E94">
        <w:t xml:space="preserve">ACECQA Progressing a national approach to the children’s education and care workforce. </w:t>
      </w:r>
    </w:p>
    <w:p w14:paraId="2BB9E16D" w14:textId="77777777" w:rsidR="00442C59" w:rsidRDefault="00442C59" w:rsidP="00442C59">
      <w:pPr>
        <w:spacing w:after="0" w:line="240" w:lineRule="auto"/>
        <w:rPr>
          <w:rFonts w:ascii="Times New Roman" w:eastAsia="Times New Roman" w:hAnsi="Times New Roman" w:cs="Times New Roman"/>
          <w:sz w:val="24"/>
          <w:szCs w:val="24"/>
          <w:lang w:eastAsia="en-AU"/>
        </w:rPr>
      </w:pPr>
      <w:r w:rsidRPr="00113A41">
        <w:rPr>
          <w:rFonts w:ascii="Times New Roman" w:eastAsia="Times New Roman" w:hAnsi="Times New Roman" w:cs="Times New Roman"/>
          <w:noProof/>
          <w:sz w:val="24"/>
          <w:szCs w:val="24"/>
          <w:lang w:eastAsia="en-AU"/>
        </w:rPr>
        <w:drawing>
          <wp:inline distT="0" distB="0" distL="0" distR="0" wp14:anchorId="2C23A75E" wp14:editId="511E2FED">
            <wp:extent cx="5278755" cy="3054985"/>
            <wp:effectExtent l="19050" t="19050" r="17145" b="12065"/>
            <wp:docPr id="1522946408" name="Picture 2" descr="Image is a wordcloud produced by ACECQA which shows respondents’ answers about why they wished to leave the early childhood education profes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946408" name="Picture 2" descr="Image is a wordcloud produced by ACECQA which shows respondents’ answers about why they wished to leave the early childhood education profession. "/>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278755" cy="3054985"/>
                    </a:xfrm>
                    <a:prstGeom prst="rect">
                      <a:avLst/>
                    </a:prstGeom>
                    <a:noFill/>
                    <a:ln>
                      <a:solidFill>
                        <a:schemeClr val="tx1"/>
                      </a:solidFill>
                    </a:ln>
                  </pic:spPr>
                </pic:pic>
              </a:graphicData>
            </a:graphic>
          </wp:inline>
        </w:drawing>
      </w:r>
    </w:p>
    <w:p w14:paraId="1509D37D" w14:textId="77777777" w:rsidR="00442C59" w:rsidRDefault="00442C59" w:rsidP="00442C59">
      <w:pPr>
        <w:pStyle w:val="Source"/>
        <w:rPr>
          <w:lang w:eastAsia="en-AU"/>
        </w:rPr>
      </w:pPr>
      <w:r>
        <w:rPr>
          <w:lang w:eastAsia="en-AU"/>
        </w:rPr>
        <w:t xml:space="preserve">Source: ACECQA </w:t>
      </w:r>
      <w:r w:rsidRPr="00C13FE9">
        <w:rPr>
          <w:lang w:eastAsia="en-AU"/>
        </w:rPr>
        <w:t>Workforce Report, November 2019</w:t>
      </w:r>
      <w:r>
        <w:rPr>
          <w:lang w:eastAsia="en-AU"/>
        </w:rPr>
        <w:t>, p.41</w:t>
      </w:r>
      <w:r w:rsidRPr="00C13FE9">
        <w:rPr>
          <w:lang w:eastAsia="en-AU"/>
        </w:rPr>
        <w:t xml:space="preserve">    </w:t>
      </w:r>
    </w:p>
    <w:p w14:paraId="3503216D" w14:textId="77777777" w:rsidR="00442C59" w:rsidRDefault="00442C59" w:rsidP="00442C59">
      <w:pPr>
        <w:pStyle w:val="IntenseQuote"/>
        <w:keepLines/>
        <w:ind w:left="862" w:right="862"/>
        <w:rPr>
          <w:rFonts w:eastAsia="Arial" w:cs="Arial"/>
        </w:rPr>
      </w:pPr>
      <w:r w:rsidRPr="193B3D6C">
        <w:rPr>
          <w:rFonts w:eastAsia="Arial" w:cs="Arial"/>
        </w:rPr>
        <w:lastRenderedPageBreak/>
        <w:t>Recruiting and retaining qualified ECEC educators and teachers: This is usually due to systemic issues such as: educator burnout; poor wellbeing and morale of educators; low profession status, low wages and poor working conditions; increasing burden of quality assurance processes; emotional cost of early childhood work; and the increasingly complex needs of children, families, and communities. (Submission 23 – La Trobe University)</w:t>
      </w:r>
    </w:p>
    <w:p w14:paraId="54262338" w14:textId="77777777" w:rsidR="00442C59" w:rsidRDefault="00442C59" w:rsidP="00442C59">
      <w:r>
        <w:t>S</w:t>
      </w:r>
      <w:r w:rsidRPr="0275D512">
        <w:t>ome</w:t>
      </w:r>
      <w:r>
        <w:t xml:space="preserve"> aspects of ECEC work are routinely overlooked, contributing to unpaid overtime. Often, these are the ‘soft’ tasks, such as maintaining relationships, but also includes processes such as moving between work areas or dealing with unexpected tasks. Invisible work can be stressful, not only because it might demand accelerated work that may overflow into unpaid hours, but also because it requires modifying work processes to align with expectations that have not been made explicit (Junor &amp; Hampson, 2005). One response to invisible work is often to manage work processes even more closely, which can be counterproductive. Giving ECEC staff more space and autonomy to make decisions as the need arises is a better way to improve job satisfaction. </w:t>
      </w:r>
    </w:p>
    <w:p w14:paraId="56220644" w14:textId="77777777" w:rsidR="00442C59" w:rsidRDefault="00442C59" w:rsidP="00442C59">
      <w:r w:rsidRPr="24FA0C66">
        <w:t>As well as reconsidering structural aspects of ECEC influencing burnout, such as wages, research shows that improvements to factors influencing wellbeing are also important. Meta-analysis of studies of wellbeing in ECEC show that the following factors improve job satisfaction and reduce burnout for ECEC educators (Cumming, Wong &amp; Logan, 2021):</w:t>
      </w:r>
    </w:p>
    <w:p w14:paraId="72574042" w14:textId="77777777" w:rsidR="00442C59" w:rsidRDefault="00442C59" w:rsidP="00442C59">
      <w:pPr>
        <w:pStyle w:val="ListBullet"/>
      </w:pPr>
      <w:r w:rsidRPr="00EA27C5">
        <w:rPr>
          <w:b/>
          <w:bCs/>
        </w:rPr>
        <w:t>Quality</w:t>
      </w:r>
      <w:r w:rsidRPr="4709D2E0">
        <w:rPr>
          <w:b/>
          <w:bCs/>
        </w:rPr>
        <w:t xml:space="preserve"> work environments:</w:t>
      </w:r>
      <w:r w:rsidRPr="4709D2E0">
        <w:t xml:space="preserve"> good employment conditions, fairness, colleagues who share one’s commitment to the work.</w:t>
      </w:r>
    </w:p>
    <w:p w14:paraId="184910DA" w14:textId="77777777" w:rsidR="00442C59" w:rsidRDefault="00442C59" w:rsidP="00442C59">
      <w:pPr>
        <w:pStyle w:val="ListBullet"/>
      </w:pPr>
      <w:r w:rsidRPr="4709D2E0">
        <w:rPr>
          <w:b/>
          <w:bCs/>
        </w:rPr>
        <w:t>Job autonomy:</w:t>
      </w:r>
      <w:r w:rsidRPr="4709D2E0">
        <w:t xml:space="preserve"> performance expectations are linked to aspects of the work that are supported in the workplace and over which educators can make decisions.</w:t>
      </w:r>
    </w:p>
    <w:p w14:paraId="46182BD3" w14:textId="77777777" w:rsidR="00442C59" w:rsidRDefault="00442C59" w:rsidP="00442C59">
      <w:pPr>
        <w:pStyle w:val="ListBullet"/>
      </w:pPr>
      <w:r w:rsidRPr="4709D2E0">
        <w:rPr>
          <w:b/>
          <w:bCs/>
        </w:rPr>
        <w:t xml:space="preserve">Aligned discourses: </w:t>
      </w:r>
      <w:r w:rsidRPr="4709D2E0">
        <w:t xml:space="preserve">ways of thinking about childcare and education among colleagues, parents and the community that align to the practices in the workplace. </w:t>
      </w:r>
    </w:p>
    <w:p w14:paraId="28561313" w14:textId="77777777" w:rsidR="00442C59" w:rsidRDefault="00442C59" w:rsidP="00442C59">
      <w:pPr>
        <w:pStyle w:val="ListBullet"/>
      </w:pPr>
      <w:r w:rsidRPr="4709D2E0">
        <w:rPr>
          <w:b/>
          <w:bCs/>
        </w:rPr>
        <w:t>Positive collegial relationships:</w:t>
      </w:r>
      <w:r w:rsidRPr="4709D2E0">
        <w:t xml:space="preserve"> harmonious and constructive relationships with colleagues that enable a sense of belonging at work is a key predictor of retention in ECEC.</w:t>
      </w:r>
    </w:p>
    <w:p w14:paraId="09267614" w14:textId="77777777" w:rsidR="00442C59" w:rsidRDefault="00442C59" w:rsidP="00442C59">
      <w:pPr>
        <w:pStyle w:val="ListBullet"/>
      </w:pPr>
      <w:r w:rsidRPr="4709D2E0">
        <w:rPr>
          <w:b/>
          <w:bCs/>
        </w:rPr>
        <w:t xml:space="preserve">Inclusion and diversity: </w:t>
      </w:r>
      <w:r w:rsidRPr="4709D2E0">
        <w:t>staff profiles that embrace diversity and work environments that promote inclusion are more supportive.</w:t>
      </w:r>
    </w:p>
    <w:p w14:paraId="238C9D42" w14:textId="77777777" w:rsidR="00442C59" w:rsidRDefault="00442C59" w:rsidP="00442C59">
      <w:r>
        <w:t>All these factors rely on quality leadership in the sector and in specific services. Ensuring an adequate pipeline, training and support of ECEC leadership is needed to assure the viability of ECEC staff wellbeing.</w:t>
      </w:r>
    </w:p>
    <w:p w14:paraId="6479A519" w14:textId="77777777" w:rsidR="00442C59" w:rsidRPr="0075772B" w:rsidRDefault="00442C59" w:rsidP="00442C59">
      <w:pPr>
        <w:pStyle w:val="Finding"/>
        <w:numPr>
          <w:ilvl w:val="0"/>
          <w:numId w:val="0"/>
        </w:numPr>
      </w:pPr>
      <w:r w:rsidRPr="002F7739">
        <w:t>Finding -</w:t>
      </w:r>
      <w:r>
        <w:t xml:space="preserve"> </w:t>
      </w:r>
      <w:r w:rsidRPr="00442C59">
        <w:rPr>
          <w:b w:val="0"/>
          <w:bCs w:val="0"/>
        </w:rPr>
        <w:t>ECEC staff report a lack of leadership structure and capacity with the sector which often results in administrative overload — including complying with regulation and managing parent expectations — which is a psychosocial hazard that detracts from job satisfaction and drives attrition</w:t>
      </w:r>
    </w:p>
    <w:p w14:paraId="29BF8BCC" w14:textId="77777777" w:rsidR="00442C59" w:rsidRPr="00B322F0" w:rsidRDefault="00442C59" w:rsidP="00442C59">
      <w:pPr>
        <w:ind w:left="720"/>
        <w:rPr>
          <w:color w:val="auto"/>
        </w:rPr>
      </w:pPr>
      <w:r w:rsidRPr="00B322F0">
        <w:rPr>
          <w:b/>
          <w:color w:val="auto"/>
        </w:rPr>
        <w:t xml:space="preserve">Recommendation </w:t>
      </w:r>
      <w:r>
        <w:rPr>
          <w:b/>
          <w:color w:val="auto"/>
        </w:rPr>
        <w:t>–</w:t>
      </w:r>
      <w:r w:rsidRPr="00B322F0">
        <w:rPr>
          <w:color w:val="auto"/>
        </w:rPr>
        <w:t xml:space="preserve"> HumanAbility</w:t>
      </w:r>
      <w:r>
        <w:rPr>
          <w:color w:val="auto"/>
        </w:rPr>
        <w:t xml:space="preserve"> </w:t>
      </w:r>
      <w:r w:rsidRPr="00185A09">
        <w:rPr>
          <w:color w:val="auto"/>
        </w:rPr>
        <w:t>to consider sectoral need for ECEC use of leadership skillsets, micro credentials or similar, including reviewing previous usage of advanced diploma leadership qualifications that were specific to children’s education and care, or the development of elective units in current leadership and management qualifications.</w:t>
      </w:r>
      <w:r w:rsidRPr="00B322F0">
        <w:rPr>
          <w:color w:val="auto"/>
        </w:rPr>
        <w:t xml:space="preserve"> </w:t>
      </w:r>
    </w:p>
    <w:p w14:paraId="3462D12D" w14:textId="77777777" w:rsidR="00442C59" w:rsidRPr="00FC1F90" w:rsidRDefault="00442C59" w:rsidP="00442C59">
      <w:pPr>
        <w:pStyle w:val="ListParagraph"/>
        <w:numPr>
          <w:ilvl w:val="0"/>
          <w:numId w:val="0"/>
        </w:numPr>
        <w:ind w:left="737"/>
        <w:rPr>
          <w:i w:val="0"/>
          <w:iCs w:val="0"/>
        </w:rPr>
      </w:pPr>
      <w:r w:rsidRPr="003B2554">
        <w:rPr>
          <w:b/>
          <w:bCs/>
          <w:i w:val="0"/>
          <w:iCs w:val="0"/>
        </w:rPr>
        <w:lastRenderedPageBreak/>
        <w:t>Recommendation</w:t>
      </w:r>
      <w:r w:rsidRPr="003B2554">
        <w:rPr>
          <w:b/>
          <w:bCs/>
        </w:rPr>
        <w:t xml:space="preserve"> - </w:t>
      </w:r>
      <w:r w:rsidRPr="003B2554">
        <w:rPr>
          <w:i w:val="0"/>
          <w:iCs w:val="0"/>
        </w:rPr>
        <w:t xml:space="preserve">Ensure </w:t>
      </w:r>
      <w:r w:rsidRPr="00836CCF">
        <w:rPr>
          <w:i w:val="0"/>
          <w:iCs w:val="0"/>
        </w:rPr>
        <w:t xml:space="preserve">that employer guidance and education is improved on WHS duties and obligations to eliminate or minimise psychosocial hazards (and any other hazard) so far as is reasonably practicable, and all ECEC staff are provided access to a </w:t>
      </w:r>
      <w:proofErr w:type="gramStart"/>
      <w:r w:rsidRPr="00836CCF">
        <w:rPr>
          <w:i w:val="0"/>
          <w:iCs w:val="0"/>
        </w:rPr>
        <w:t>high quality</w:t>
      </w:r>
      <w:proofErr w:type="gramEnd"/>
      <w:r w:rsidRPr="00836CCF">
        <w:rPr>
          <w:i w:val="0"/>
          <w:iCs w:val="0"/>
        </w:rPr>
        <w:t xml:space="preserve"> Employee Assistance Program to support their wellbeing.</w:t>
      </w:r>
    </w:p>
    <w:tbl>
      <w:tblPr>
        <w:tblStyle w:val="Style2"/>
        <w:tblW w:w="0" w:type="auto"/>
        <w:tblLook w:val="0620" w:firstRow="1" w:lastRow="0" w:firstColumn="0" w:lastColumn="0" w:noHBand="1" w:noVBand="1"/>
      </w:tblPr>
      <w:tblGrid>
        <w:gridCol w:w="9016"/>
      </w:tblGrid>
      <w:tr w:rsidR="00442C59" w14:paraId="695C7D26" w14:textId="77777777" w:rsidTr="005D67F5">
        <w:tc>
          <w:tcPr>
            <w:tcW w:w="9016" w:type="dxa"/>
          </w:tcPr>
          <w:p w14:paraId="4DFF6A70" w14:textId="77777777" w:rsidR="00442C59" w:rsidRDefault="00442C59" w:rsidP="005F6ADC">
            <w:pPr>
              <w:pStyle w:val="Source"/>
              <w:rPr>
                <w:rFonts w:eastAsiaTheme="majorEastAsia" w:cstheme="majorBidi"/>
                <w:b/>
                <w:color w:val="441170" w:themeColor="text2"/>
                <w:sz w:val="32"/>
                <w:szCs w:val="24"/>
              </w:rPr>
            </w:pPr>
            <w:r w:rsidRPr="00684A6E">
              <w:rPr>
                <w:rFonts w:eastAsiaTheme="majorEastAsia" w:cstheme="majorBidi"/>
                <w:b/>
                <w:color w:val="441170" w:themeColor="text2"/>
                <w:sz w:val="32"/>
                <w:szCs w:val="24"/>
              </w:rPr>
              <w:t>CASE STUDY – Identifying the right candidates for ECEC careers</w:t>
            </w:r>
          </w:p>
          <w:p w14:paraId="5AA32247" w14:textId="77777777" w:rsidR="00442C59" w:rsidRDefault="00442C59" w:rsidP="005F6ADC">
            <w:pPr>
              <w:spacing w:after="160" w:line="259" w:lineRule="auto"/>
            </w:pPr>
            <w:r>
              <w:t>To improve the mismatches between potential educators and available work, Early Childhood Australia (ECA) Tasmania contracted ECA National to develop a ‘good fit’ tool (funded through the Australian Government Department of Employment and Workplace Relations, Local Jobs program). The online Education and Care Good Fit Tool was created to assess potential educators with the ECEC sector. The tool supports local areas to create pathways for training and identifies characteristics and attributes of candidates to be matched to roles in ECEC. The tool benefits both educators looking for roles in ECEC and services looking for educators.</w:t>
            </w:r>
          </w:p>
          <w:p w14:paraId="3F66E498" w14:textId="77777777" w:rsidR="00442C59" w:rsidRPr="00684A6E" w:rsidRDefault="00442C59" w:rsidP="005F6ADC">
            <w:pPr>
              <w:spacing w:after="160" w:line="259" w:lineRule="auto"/>
              <w:rPr>
                <w:i/>
                <w:iCs/>
              </w:rPr>
            </w:pPr>
            <w:r w:rsidRPr="00684A6E">
              <w:rPr>
                <w:i/>
                <w:iCs/>
              </w:rPr>
              <w:t xml:space="preserve">Submission 39 – Early Childhood Australia Tasmania </w:t>
            </w:r>
          </w:p>
        </w:tc>
      </w:tr>
    </w:tbl>
    <w:p w14:paraId="1C3A0428" w14:textId="77777777" w:rsidR="00442C59" w:rsidRDefault="00442C59" w:rsidP="00442C59"/>
    <w:p w14:paraId="78BE34D7" w14:textId="77777777" w:rsidR="00442C59" w:rsidRPr="00195E15" w:rsidRDefault="00442C59" w:rsidP="00442C59">
      <w:pPr>
        <w:pStyle w:val="Heading2"/>
      </w:pPr>
      <w:bookmarkStart w:id="177" w:name="_Toc174363727"/>
      <w:r w:rsidRPr="00195E15">
        <w:t>Community Values and Expectations</w:t>
      </w:r>
      <w:bookmarkEnd w:id="177"/>
    </w:p>
    <w:p w14:paraId="33FE12CB" w14:textId="77777777" w:rsidR="00442C59" w:rsidRDefault="00442C59" w:rsidP="00442C59">
      <w:r w:rsidRPr="4709D2E0">
        <w:t xml:space="preserve">ECEC educators are under pressure to comply with a wide range of values and expectations from parents, their local community, the wider community, the sector and quality regulators. </w:t>
      </w:r>
    </w:p>
    <w:p w14:paraId="3523C4CC" w14:textId="77777777" w:rsidR="00442C59" w:rsidRDefault="00442C59" w:rsidP="00442C59">
      <w:r w:rsidRPr="0275D512">
        <w:t xml:space="preserve">As discussed in the previous section, discourses about appropriate and quality childcare and education have a significant impact on job satisfaction. These include </w:t>
      </w:r>
    </w:p>
    <w:p w14:paraId="384191CA" w14:textId="77777777" w:rsidR="00442C59" w:rsidRPr="0080677F" w:rsidRDefault="00442C59" w:rsidP="00442C59">
      <w:pPr>
        <w:pStyle w:val="ListBullet"/>
      </w:pPr>
      <w:r>
        <w:t>The</w:t>
      </w:r>
      <w:r w:rsidRPr="0275D512">
        <w:t xml:space="preserve"> social status of ECEC professions</w:t>
      </w:r>
    </w:p>
    <w:p w14:paraId="4682B764" w14:textId="77777777" w:rsidR="00442C59" w:rsidRPr="0080677F" w:rsidRDefault="00442C59" w:rsidP="00442C59">
      <w:pPr>
        <w:pStyle w:val="ListBullet"/>
        <w:rPr>
          <w:shd w:val="clear" w:color="auto" w:fill="D3D3D3"/>
        </w:rPr>
      </w:pPr>
      <w:r w:rsidRPr="0275D512">
        <w:t>Ideas about quality and processes of quality management</w:t>
      </w:r>
    </w:p>
    <w:p w14:paraId="1FC25C55" w14:textId="77777777" w:rsidR="00442C59" w:rsidRPr="0080677F" w:rsidRDefault="00442C59" w:rsidP="00442C59">
      <w:pPr>
        <w:pStyle w:val="ListBullet"/>
        <w:rPr>
          <w:shd w:val="clear" w:color="auto" w:fill="D3D3D3"/>
        </w:rPr>
      </w:pPr>
      <w:r w:rsidRPr="0275D512">
        <w:t>The needs of specific communities</w:t>
      </w:r>
    </w:p>
    <w:p w14:paraId="7E5CFD05" w14:textId="77777777" w:rsidR="00442C59" w:rsidRDefault="00442C59" w:rsidP="00442C59">
      <w:pPr>
        <w:pStyle w:val="ListBullet"/>
        <w:rPr>
          <w:shd w:val="clear" w:color="auto" w:fill="D3D3D3"/>
        </w:rPr>
      </w:pPr>
      <w:r w:rsidRPr="1882A426">
        <w:t xml:space="preserve">Ensuring cultural safety for First Nations children and communities. </w:t>
      </w:r>
    </w:p>
    <w:p w14:paraId="5063A858" w14:textId="77777777" w:rsidR="00442C59" w:rsidRPr="00195E15" w:rsidRDefault="00442C59" w:rsidP="00442C59">
      <w:pPr>
        <w:pStyle w:val="IntenseQuote"/>
      </w:pPr>
      <w:r w:rsidRPr="00195E15">
        <w:t xml:space="preserve">Working with young children to help them thrive and learn is no easy undertaking. However, historically it has been seen as the easier alternative to school teaching. Perhaps a little more fun, less rigorous or busy and certainly something to consider if someone ‘failed’ to be accepted into an Education (Primary or Secondary) degree. This messaging is counterproductive to our push for quality and the drive towards attracting, preparing and retaining the very best people to work in ECEC. (Submission 9 - An early childhood advocacy organisation) </w:t>
      </w:r>
    </w:p>
    <w:p w14:paraId="1A3E17CE" w14:textId="77777777" w:rsidR="00442C59" w:rsidRPr="00195E15" w:rsidRDefault="00442C59" w:rsidP="001819CE">
      <w:pPr>
        <w:pStyle w:val="Heading3"/>
      </w:pPr>
      <w:r w:rsidRPr="00195E15">
        <w:lastRenderedPageBreak/>
        <w:t>Regulation, Quality Management and Administrative Load</w:t>
      </w:r>
    </w:p>
    <w:p w14:paraId="5B23F986" w14:textId="77777777" w:rsidR="00442C59" w:rsidRDefault="00442C59" w:rsidP="00442C59">
      <w:pPr>
        <w:rPr>
          <w:shd w:val="clear" w:color="auto" w:fill="D3D3D3"/>
        </w:rPr>
      </w:pPr>
      <w:r w:rsidRPr="0275D512">
        <w:t xml:space="preserve">While assuring quality ECEC is important, according to Elise Hunkin at RMIT, systems of measurement </w:t>
      </w:r>
      <w:r>
        <w:t xml:space="preserve">tend to emphasise narrow economic concepts centred on human capital development </w:t>
      </w:r>
      <w:r w:rsidRPr="0275D512">
        <w:t>rather than the wider set of purposes sought by the community (Hunkin</w:t>
      </w:r>
      <w:r>
        <w:t>,</w:t>
      </w:r>
      <w:r w:rsidRPr="0275D512">
        <w:t xml:space="preserve"> 2018), marginalising the expectations and values brought by parents and ECEC workers in the regulatory system. </w:t>
      </w:r>
      <w:r>
        <w:t xml:space="preserve">Excessive measurement </w:t>
      </w:r>
      <w:r w:rsidRPr="0275D512">
        <w:t xml:space="preserve">can also impinge on job autonomy, which as this </w:t>
      </w:r>
      <w:r>
        <w:t>report</w:t>
      </w:r>
      <w:r w:rsidRPr="0275D512">
        <w:t xml:space="preserve"> has shown, is strongly correlated to job satisfaction.</w:t>
      </w:r>
    </w:p>
    <w:p w14:paraId="0E2872A8" w14:textId="77777777" w:rsidR="00442C59" w:rsidRDefault="00442C59" w:rsidP="00442C59">
      <w:pPr>
        <w:pStyle w:val="IntenseQuote"/>
        <w:spacing w:before="0" w:after="0"/>
        <w:ind w:left="862" w:right="862"/>
        <w:jc w:val="left"/>
        <w:rPr>
          <w:rFonts w:eastAsia="Arial" w:cs="Arial"/>
        </w:rPr>
      </w:pPr>
      <w:r w:rsidRPr="193B3D6C">
        <w:rPr>
          <w:rFonts w:eastAsia="Arial" w:cs="Arial"/>
        </w:rPr>
        <w:t>The ACCC identified the increasing responsibilities and burdens on educators as a key factor contributing to ECEC workforce shortages, particularly in smaller workplaces. What is not currently understood is how this burden arises – to what extent can it be separated into:</w:t>
      </w:r>
    </w:p>
    <w:p w14:paraId="40C35CDD" w14:textId="77777777" w:rsidR="00442C59" w:rsidRDefault="00442C59" w:rsidP="00442C59">
      <w:pPr>
        <w:pStyle w:val="IntenseQuote"/>
        <w:spacing w:before="0" w:after="0"/>
        <w:ind w:left="862" w:right="862"/>
        <w:jc w:val="left"/>
        <w:rPr>
          <w:rFonts w:eastAsia="Arial" w:cs="Arial"/>
        </w:rPr>
      </w:pPr>
      <w:r w:rsidRPr="193B3D6C">
        <w:rPr>
          <w:rFonts w:eastAsia="Arial" w:cs="Arial"/>
        </w:rPr>
        <w:t xml:space="preserve">• Direct regulatory </w:t>
      </w:r>
      <w:proofErr w:type="gramStart"/>
      <w:r w:rsidRPr="193B3D6C">
        <w:rPr>
          <w:rFonts w:eastAsia="Arial" w:cs="Arial"/>
        </w:rPr>
        <w:t>requirements;</w:t>
      </w:r>
      <w:proofErr w:type="gramEnd"/>
      <w:r w:rsidRPr="193B3D6C">
        <w:rPr>
          <w:rFonts w:eastAsia="Arial" w:cs="Arial"/>
        </w:rPr>
        <w:t xml:space="preserve"> </w:t>
      </w:r>
    </w:p>
    <w:p w14:paraId="21CE6F37" w14:textId="77777777" w:rsidR="00442C59" w:rsidRDefault="00442C59" w:rsidP="00442C59">
      <w:pPr>
        <w:pStyle w:val="IntenseQuote"/>
        <w:spacing w:before="0" w:after="0"/>
        <w:ind w:left="862" w:right="862"/>
        <w:jc w:val="left"/>
        <w:rPr>
          <w:rFonts w:eastAsia="Arial" w:cs="Arial"/>
        </w:rPr>
      </w:pPr>
      <w:r w:rsidRPr="193B3D6C">
        <w:rPr>
          <w:rFonts w:eastAsia="Arial" w:cs="Arial"/>
        </w:rPr>
        <w:t xml:space="preserve">• Approved Provider (employer-driven) </w:t>
      </w:r>
      <w:proofErr w:type="gramStart"/>
      <w:r w:rsidRPr="193B3D6C">
        <w:rPr>
          <w:rFonts w:eastAsia="Arial" w:cs="Arial"/>
        </w:rPr>
        <w:t>requirements;</w:t>
      </w:r>
      <w:proofErr w:type="gramEnd"/>
      <w:r w:rsidRPr="193B3D6C">
        <w:rPr>
          <w:rFonts w:eastAsia="Arial" w:cs="Arial"/>
        </w:rPr>
        <w:t xml:space="preserve"> </w:t>
      </w:r>
    </w:p>
    <w:p w14:paraId="078D5E29" w14:textId="77777777" w:rsidR="00442C59" w:rsidRDefault="00442C59" w:rsidP="00442C59">
      <w:pPr>
        <w:pStyle w:val="IntenseQuote"/>
        <w:spacing w:before="0" w:after="0"/>
        <w:ind w:left="862" w:right="862"/>
        <w:jc w:val="left"/>
        <w:rPr>
          <w:rFonts w:eastAsia="Arial" w:cs="Arial"/>
        </w:rPr>
      </w:pPr>
      <w:r w:rsidRPr="193B3D6C">
        <w:rPr>
          <w:rFonts w:eastAsia="Arial" w:cs="Arial"/>
        </w:rPr>
        <w:t>• Regulatory operational systems (like the National Quality Agenda IT System, a nationally accessible online tool for ECEC services to communicate directly with regulatory authorities and intended to reduce paperwork and duplication</w:t>
      </w:r>
      <w:proofErr w:type="gramStart"/>
      <w:r w:rsidRPr="193B3D6C">
        <w:rPr>
          <w:rFonts w:eastAsia="Arial" w:cs="Arial"/>
        </w:rPr>
        <w:t>);</w:t>
      </w:r>
      <w:proofErr w:type="gramEnd"/>
      <w:r w:rsidRPr="193B3D6C">
        <w:rPr>
          <w:rFonts w:eastAsia="Arial" w:cs="Arial"/>
        </w:rPr>
        <w:t xml:space="preserve"> </w:t>
      </w:r>
    </w:p>
    <w:p w14:paraId="556201D1" w14:textId="77777777" w:rsidR="00442C59" w:rsidRDefault="00442C59" w:rsidP="00442C59">
      <w:pPr>
        <w:pStyle w:val="IntenseQuote"/>
        <w:spacing w:before="0" w:after="0"/>
        <w:ind w:left="862" w:right="862"/>
        <w:jc w:val="left"/>
        <w:rPr>
          <w:rFonts w:eastAsia="Arial" w:cs="Arial"/>
        </w:rPr>
      </w:pPr>
      <w:r w:rsidRPr="193B3D6C">
        <w:rPr>
          <w:rFonts w:eastAsia="Arial" w:cs="Arial"/>
        </w:rPr>
        <w:t xml:space="preserve">• Provider operational systems, including the Commonwealth’s CCS requirements; and </w:t>
      </w:r>
    </w:p>
    <w:p w14:paraId="2BEC8E3C" w14:textId="77777777" w:rsidR="00442C59" w:rsidRDefault="00442C59" w:rsidP="00442C59">
      <w:pPr>
        <w:pStyle w:val="IntenseQuote"/>
        <w:spacing w:before="0" w:after="0"/>
        <w:ind w:left="862" w:right="862"/>
        <w:jc w:val="left"/>
        <w:rPr>
          <w:rFonts w:eastAsia="Arial" w:cs="Arial"/>
        </w:rPr>
      </w:pPr>
      <w:r w:rsidRPr="193B3D6C">
        <w:rPr>
          <w:rFonts w:eastAsia="Arial" w:cs="Arial"/>
        </w:rPr>
        <w:t xml:space="preserve">• Staff competency issues (which may be due to poor training or a pre-existing lack of an individual’s skills and abilities) </w:t>
      </w:r>
    </w:p>
    <w:p w14:paraId="2D196F70" w14:textId="77777777" w:rsidR="00442C59" w:rsidRDefault="00442C59" w:rsidP="00442C59">
      <w:pPr>
        <w:pStyle w:val="IntenseQuote"/>
        <w:spacing w:before="0" w:after="0"/>
        <w:ind w:left="862" w:right="862"/>
        <w:jc w:val="left"/>
        <w:rPr>
          <w:rFonts w:eastAsia="Arial" w:cs="Arial"/>
        </w:rPr>
      </w:pPr>
      <w:r w:rsidRPr="193B3D6C">
        <w:rPr>
          <w:rFonts w:eastAsia="Arial" w:cs="Arial"/>
        </w:rPr>
        <w:t xml:space="preserve">(Submission 51 - </w:t>
      </w:r>
      <w:r w:rsidRPr="001024BC">
        <w:t>A peak workforce development body)</w:t>
      </w:r>
    </w:p>
    <w:p w14:paraId="43D4D4C8" w14:textId="77777777" w:rsidR="00442C59" w:rsidRDefault="00442C59" w:rsidP="00442C59"/>
    <w:p w14:paraId="56F3E63B" w14:textId="77777777" w:rsidR="00442C59" w:rsidRDefault="00442C59" w:rsidP="00442C59">
      <w:r w:rsidRPr="7787B549">
        <w:t>In Australia’s federal system, quality measures and other regulations vary between jurisdictions. This increases the cost of regulating the system and adds administrative burden to organisations with enterprises across state lines. In a system where experienced educators are under pressure, the administrative costs of regulation are often spread through enterprises, increasing the stress on staff with complex caring and teaching roles. Rather than increased regulatory administration, the sector would benefit from support structures that would enable ECEC educators – and, potentially, primary school teachers – to share approaches, pedagogies and tools that support quality education and care.</w:t>
      </w:r>
    </w:p>
    <w:p w14:paraId="65D43CA6" w14:textId="77777777" w:rsidR="00442C59" w:rsidRPr="00195E15" w:rsidRDefault="00442C59" w:rsidP="001819CE">
      <w:pPr>
        <w:pStyle w:val="Heading3"/>
      </w:pPr>
      <w:r w:rsidRPr="00195E15">
        <w:t>Serving a Specific Community</w:t>
      </w:r>
    </w:p>
    <w:p w14:paraId="1A2796A1" w14:textId="77777777" w:rsidR="00442C59" w:rsidRDefault="00442C59" w:rsidP="00442C59">
      <w:r w:rsidRPr="4709D2E0">
        <w:t xml:space="preserve">Early childhood education services are deeply </w:t>
      </w:r>
      <w:r>
        <w:t>entrenched</w:t>
      </w:r>
      <w:r w:rsidRPr="4709D2E0">
        <w:t xml:space="preserve"> with their local community, often serving specific needs. For communities that include recent migrants and refugees, for example, parents may seek bilingual education and centres that are sympathetic to specific cultural and religious values.</w:t>
      </w:r>
    </w:p>
    <w:p w14:paraId="7BCA6EA9" w14:textId="77777777" w:rsidR="00442C59" w:rsidRDefault="00442C59" w:rsidP="00442C59">
      <w:pPr>
        <w:rPr>
          <w:shd w:val="clear" w:color="auto" w:fill="D3D3D3"/>
        </w:rPr>
      </w:pPr>
      <w:r w:rsidRPr="0275D512">
        <w:t xml:space="preserve">As well as </w:t>
      </w:r>
      <w:proofErr w:type="gramStart"/>
      <w:r>
        <w:t xml:space="preserve">facilitating </w:t>
      </w:r>
      <w:r w:rsidRPr="0275D512">
        <w:t xml:space="preserve"> professional</w:t>
      </w:r>
      <w:proofErr w:type="gramEnd"/>
      <w:r w:rsidRPr="0275D512">
        <w:t xml:space="preserve"> development and career pathways that acknowledge the kinds of specialised skills that communities require, ECEC needs to be attentive to also ensuring diversity and inclusion in the ECEC workforce.</w:t>
      </w:r>
      <w:r>
        <w:t xml:space="preserve"> Stakeholder feedback emphasised the importance of diversity and inclusion to feelings of belonging, for children as well as for staff.</w:t>
      </w:r>
    </w:p>
    <w:p w14:paraId="200430DF" w14:textId="77777777" w:rsidR="00442C59" w:rsidRDefault="00442C59" w:rsidP="00442C59">
      <w:pPr>
        <w:pStyle w:val="IntenseQuote"/>
        <w:keepLines/>
        <w:ind w:left="862" w:right="862"/>
        <w:rPr>
          <w:rFonts w:eastAsia="Arial" w:cs="Arial"/>
        </w:rPr>
      </w:pPr>
      <w:r w:rsidRPr="193B3D6C">
        <w:rPr>
          <w:rFonts w:eastAsia="Arial" w:cs="Arial"/>
        </w:rPr>
        <w:lastRenderedPageBreak/>
        <w:t>Conversely, better pay and conditions, stable employment, and a working environment that supports psychological and emotional wellbeing contribute to higher levels of staff retention, as does a more diverse and inclusive workforce. (Submission 36 – Charles Sturt University)</w:t>
      </w:r>
    </w:p>
    <w:p w14:paraId="5BD3AF01" w14:textId="77777777" w:rsidR="00442C59" w:rsidRDefault="00442C59" w:rsidP="00442C59">
      <w:r w:rsidRPr="4709D2E0">
        <w:t>In some regions and suburbs, it will also be</w:t>
      </w:r>
      <w:r>
        <w:t xml:space="preserve"> particularly</w:t>
      </w:r>
      <w:r w:rsidRPr="4709D2E0">
        <w:t xml:space="preserve"> important for ECEC services to maintain consultative and respectful relationships with communities to ensure that ECEC is meeting their needs. This leadership work also needs to be acknowledged and valued.</w:t>
      </w:r>
    </w:p>
    <w:p w14:paraId="62EDAAF4" w14:textId="77777777" w:rsidR="00442C59" w:rsidRDefault="00442C59" w:rsidP="00442C59">
      <w:r w:rsidRPr="4709D2E0">
        <w:t>For migrant communities in particular, recruitment and retention from within the community not only assist</w:t>
      </w:r>
      <w:r>
        <w:t>s</w:t>
      </w:r>
      <w:r w:rsidRPr="4709D2E0">
        <w:t xml:space="preserve"> with embedding services and individuals</w:t>
      </w:r>
      <w:r>
        <w:t>,</w:t>
      </w:r>
      <w:r w:rsidRPr="4709D2E0">
        <w:t xml:space="preserve"> but also provide</w:t>
      </w:r>
      <w:r>
        <w:t>s</w:t>
      </w:r>
      <w:r w:rsidRPr="4709D2E0">
        <w:t xml:space="preserve"> support and role models for children.</w:t>
      </w:r>
    </w:p>
    <w:p w14:paraId="52C43A91" w14:textId="77777777" w:rsidR="00442C59" w:rsidRPr="00484BF6" w:rsidRDefault="00442C59" w:rsidP="00442C59">
      <w:pPr>
        <w:pStyle w:val="Finding"/>
        <w:numPr>
          <w:ilvl w:val="0"/>
          <w:numId w:val="0"/>
        </w:numPr>
        <w:rPr>
          <w:rStyle w:val="eop"/>
          <w:b w:val="0"/>
          <w:color w:val="000000" w:themeColor="text1"/>
          <w:shd w:val="clear" w:color="auto" w:fill="FFFFFF"/>
        </w:rPr>
      </w:pPr>
      <w:r w:rsidRPr="00842999">
        <w:t>Finding -</w:t>
      </w:r>
      <w:r w:rsidRPr="00484BF6">
        <w:t xml:space="preserve"> </w:t>
      </w:r>
      <w:r w:rsidRPr="00442C59">
        <w:rPr>
          <w:b w:val="0"/>
          <w:bCs w:val="0"/>
          <w:shd w:val="clear" w:color="auto" w:fill="FFFFFF"/>
        </w:rPr>
        <w:t xml:space="preserve">There are straightforward routes for new migrants to complete entry level qualifications. However, migrant ECEC staff often face </w:t>
      </w:r>
      <w:proofErr w:type="gramStart"/>
      <w:r w:rsidRPr="00442C59">
        <w:rPr>
          <w:b w:val="0"/>
          <w:bCs w:val="0"/>
          <w:shd w:val="clear" w:color="auto" w:fill="FFFFFF"/>
        </w:rPr>
        <w:t>particular barriers</w:t>
      </w:r>
      <w:proofErr w:type="gramEnd"/>
      <w:r w:rsidRPr="00442C59">
        <w:rPr>
          <w:b w:val="0"/>
          <w:bCs w:val="0"/>
          <w:shd w:val="clear" w:color="auto" w:fill="FFFFFF"/>
        </w:rPr>
        <w:t>, including funding, to their career development in Australia.</w:t>
      </w:r>
    </w:p>
    <w:p w14:paraId="4D07A40B" w14:textId="77777777" w:rsidR="00442C59" w:rsidRPr="00AF01C9" w:rsidRDefault="00442C59" w:rsidP="00442C59">
      <w:pPr>
        <w:pStyle w:val="ListParagraph"/>
        <w:numPr>
          <w:ilvl w:val="0"/>
          <w:numId w:val="0"/>
        </w:numPr>
        <w:ind w:left="720"/>
        <w:contextualSpacing w:val="0"/>
        <w:rPr>
          <w:rStyle w:val="eop"/>
          <w:rFonts w:cs="Arial"/>
          <w:i w:val="0"/>
          <w:iCs w:val="0"/>
          <w:shd w:val="clear" w:color="auto" w:fill="FFFFFF"/>
        </w:rPr>
      </w:pPr>
      <w:r w:rsidRPr="003B2554">
        <w:rPr>
          <w:b/>
          <w:bCs/>
          <w:i w:val="0"/>
          <w:iCs w:val="0"/>
        </w:rPr>
        <w:t xml:space="preserve">Recommendation </w:t>
      </w:r>
      <w:r w:rsidRPr="00AF01C9">
        <w:rPr>
          <w:b/>
          <w:bCs/>
          <w:i w:val="0"/>
          <w:iCs w:val="0"/>
        </w:rPr>
        <w:t xml:space="preserve">- </w:t>
      </w:r>
      <w:r w:rsidRPr="00C64827">
        <w:rPr>
          <w:rFonts w:cs="Arial"/>
          <w:i w:val="0"/>
          <w:iCs w:val="0"/>
          <w:shd w:val="clear" w:color="auto" w:fill="FFFFFF"/>
        </w:rPr>
        <w:t>States and Territories should review arrangements for course fee rates for international students working within services while studying.</w:t>
      </w:r>
    </w:p>
    <w:p w14:paraId="392D0BE5" w14:textId="77777777" w:rsidR="00442C59" w:rsidRPr="001A7870" w:rsidRDefault="00442C59" w:rsidP="00442C59">
      <w:pPr>
        <w:pStyle w:val="ListParagraph"/>
        <w:numPr>
          <w:ilvl w:val="0"/>
          <w:numId w:val="0"/>
        </w:numPr>
        <w:ind w:left="720"/>
        <w:contextualSpacing w:val="0"/>
        <w:rPr>
          <w:i w:val="0"/>
          <w:iCs w:val="0"/>
        </w:rPr>
      </w:pPr>
      <w:r w:rsidRPr="002559D8">
        <w:rPr>
          <w:b/>
          <w:i w:val="0"/>
        </w:rPr>
        <w:t xml:space="preserve">Recommendation - </w:t>
      </w:r>
      <w:r w:rsidRPr="00C6389B">
        <w:rPr>
          <w:i w:val="0"/>
        </w:rPr>
        <w:t>As part of the Migration Strategy implementation, relevant parties should consider Early Childhood Educator (421111) &amp; Teacher (241111) roles for eligibility in employer sponsored skilled visa programs, with broad consultation across the ECEC sector</w:t>
      </w:r>
      <w:r>
        <w:rPr>
          <w:i w:val="0"/>
        </w:rPr>
        <w:t>.</w:t>
      </w:r>
    </w:p>
    <w:p w14:paraId="102E1820" w14:textId="77777777" w:rsidR="00442C59" w:rsidRDefault="00442C59" w:rsidP="00442C59">
      <w:pPr>
        <w:rPr>
          <w:rStyle w:val="eop"/>
          <w:rFonts w:cs="Arial"/>
          <w:b/>
          <w:bCs/>
          <w:color w:val="4B0885"/>
          <w:shd w:val="clear" w:color="auto" w:fill="FFFFFF"/>
        </w:rPr>
      </w:pPr>
      <w:r>
        <w:rPr>
          <w:rFonts w:cs="Arial"/>
          <w:b/>
          <w:bCs/>
          <w:color w:val="4B0885"/>
          <w:shd w:val="clear" w:color="auto" w:fill="FFFFFF"/>
        </w:rPr>
        <w:t xml:space="preserve">Finding - </w:t>
      </w:r>
      <w:r w:rsidRPr="00422805">
        <w:rPr>
          <w:rFonts w:cs="Arial"/>
          <w:color w:val="4B0885"/>
          <w:shd w:val="clear" w:color="auto" w:fill="FFFFFF"/>
        </w:rPr>
        <w:t>There is increased demand for early childhood education that appropriately serves diverse families and their communities including CALD communities,</w:t>
      </w:r>
      <w:r>
        <w:rPr>
          <w:rFonts w:cs="Arial"/>
          <w:color w:val="4B0885"/>
          <w:shd w:val="clear" w:color="auto" w:fill="FFFFFF"/>
        </w:rPr>
        <w:t xml:space="preserve"> </w:t>
      </w:r>
      <w:r w:rsidRPr="00422805">
        <w:rPr>
          <w:rFonts w:cs="Arial"/>
          <w:color w:val="4B0885"/>
          <w:shd w:val="clear" w:color="auto" w:fill="FFFFFF"/>
        </w:rPr>
        <w:t>regional and remote areas, for neurodiverse children and those with disabilities.</w:t>
      </w:r>
      <w:r w:rsidRPr="00422805">
        <w:rPr>
          <w:rFonts w:cs="Arial"/>
          <w:b/>
          <w:bCs/>
          <w:color w:val="4B0885"/>
          <w:shd w:val="clear" w:color="auto" w:fill="FFFFFF"/>
        </w:rPr>
        <w:t>  </w:t>
      </w:r>
      <w:r w:rsidRPr="00422805">
        <w:rPr>
          <w:rStyle w:val="eop"/>
          <w:rFonts w:cs="Arial"/>
          <w:b/>
          <w:bCs/>
          <w:color w:val="4B0885"/>
          <w:shd w:val="clear" w:color="auto" w:fill="FFFFFF"/>
        </w:rPr>
        <w:t> </w:t>
      </w:r>
    </w:p>
    <w:p w14:paraId="5360457C" w14:textId="77777777" w:rsidR="00442C59" w:rsidRPr="00422805" w:rsidRDefault="00442C59" w:rsidP="00442C59">
      <w:pPr>
        <w:ind w:left="720"/>
      </w:pPr>
      <w:r w:rsidRPr="00422805">
        <w:rPr>
          <w:b/>
          <w:bCs/>
        </w:rPr>
        <w:t xml:space="preserve">Recommendation - </w:t>
      </w:r>
      <w:r w:rsidRPr="00422805">
        <w:t xml:space="preserve">All governments to </w:t>
      </w:r>
      <w:r>
        <w:t>explore</w:t>
      </w:r>
      <w:r w:rsidRPr="00422805">
        <w:t xml:space="preserve"> in shared guidance and resources</w:t>
      </w:r>
      <w:r>
        <w:t>,</w:t>
      </w:r>
      <w:r w:rsidRPr="00422805">
        <w:t xml:space="preserve"> including to support early years educators in identification of children’s developmental needs and establishing inclusive care settings.</w:t>
      </w:r>
    </w:p>
    <w:p w14:paraId="2F56994A" w14:textId="77777777" w:rsidR="00442C59" w:rsidRDefault="00442C59" w:rsidP="00442C59">
      <w:pPr>
        <w:pStyle w:val="ListParagraph"/>
        <w:numPr>
          <w:ilvl w:val="0"/>
          <w:numId w:val="0"/>
        </w:numPr>
        <w:ind w:left="720"/>
        <w:rPr>
          <w:i w:val="0"/>
          <w:iCs w:val="0"/>
        </w:rPr>
      </w:pPr>
      <w:r w:rsidRPr="003B2554">
        <w:rPr>
          <w:b/>
          <w:bCs/>
          <w:i w:val="0"/>
          <w:iCs w:val="0"/>
        </w:rPr>
        <w:t xml:space="preserve">Recommendation - </w:t>
      </w:r>
      <w:r w:rsidRPr="003B2554">
        <w:rPr>
          <w:i w:val="0"/>
          <w:iCs w:val="0"/>
        </w:rPr>
        <w:t>The Department of Education and state and territory departments support the development and implementation of innovative solutions or incentives to staffing issues of identified need, including programs that provide financial and mentoring support to members of communities with specific needs to enter the ECEC workforce.</w:t>
      </w:r>
    </w:p>
    <w:tbl>
      <w:tblPr>
        <w:tblStyle w:val="Style2"/>
        <w:tblW w:w="0" w:type="auto"/>
        <w:tblLook w:val="0620" w:firstRow="1" w:lastRow="0" w:firstColumn="0" w:lastColumn="0" w:noHBand="1" w:noVBand="1"/>
      </w:tblPr>
      <w:tblGrid>
        <w:gridCol w:w="9016"/>
      </w:tblGrid>
      <w:tr w:rsidR="00442C59" w14:paraId="1FC1B4F6" w14:textId="77777777" w:rsidTr="005D67F5">
        <w:tc>
          <w:tcPr>
            <w:tcW w:w="9016" w:type="dxa"/>
          </w:tcPr>
          <w:p w14:paraId="28436D4C" w14:textId="77777777" w:rsidR="00442C59" w:rsidRDefault="00442C59" w:rsidP="005F6ADC">
            <w:pPr>
              <w:pStyle w:val="Source"/>
              <w:rPr>
                <w:rFonts w:eastAsiaTheme="majorEastAsia" w:cstheme="majorBidi"/>
                <w:b/>
                <w:color w:val="441170" w:themeColor="text2"/>
                <w:sz w:val="32"/>
                <w:szCs w:val="24"/>
              </w:rPr>
            </w:pPr>
            <w:r w:rsidRPr="00684A6E">
              <w:rPr>
                <w:rFonts w:eastAsiaTheme="majorEastAsia" w:cstheme="majorBidi"/>
                <w:b/>
                <w:color w:val="441170" w:themeColor="text2"/>
                <w:sz w:val="32"/>
                <w:szCs w:val="24"/>
              </w:rPr>
              <w:lastRenderedPageBreak/>
              <w:t>CASE STUDY – Embedding inclusive practices in outside of school hours care</w:t>
            </w:r>
          </w:p>
          <w:p w14:paraId="3DC4C60A" w14:textId="77777777" w:rsidR="00442C59" w:rsidRPr="00B66562" w:rsidRDefault="00442C59" w:rsidP="005F6ADC">
            <w:pPr>
              <w:spacing w:after="160" w:line="259" w:lineRule="auto"/>
            </w:pPr>
            <w:r w:rsidRPr="00B66562">
              <w:t>In 2023, the National Outside of School Hours Services Alliance (NOSHSA) developed a range of resources to build the skills of OSHC educators and embed inclusive practices in the OSHC sector. This includes mentoring and coaching tools to support educators of all levels in their day-to-day inclusive practice with children. The focus of these resources is to manage complex issues and challenging behaviours in children. The areas of focus are:</w:t>
            </w:r>
          </w:p>
          <w:p w14:paraId="40EE47C6" w14:textId="77777777" w:rsidR="00442C59" w:rsidRPr="00F541A4" w:rsidRDefault="00442C59" w:rsidP="00A2332E">
            <w:pPr>
              <w:pStyle w:val="ListParagraph"/>
              <w:numPr>
                <w:ilvl w:val="0"/>
                <w:numId w:val="31"/>
              </w:numPr>
              <w:tabs>
                <w:tab w:val="clear" w:pos="357"/>
              </w:tabs>
              <w:spacing w:after="160" w:line="259" w:lineRule="auto"/>
              <w:rPr>
                <w:i w:val="0"/>
                <w:iCs w:val="0"/>
                <w:color w:val="000000" w:themeColor="text1"/>
              </w:rPr>
            </w:pPr>
            <w:r w:rsidRPr="00F541A4">
              <w:rPr>
                <w:i w:val="0"/>
                <w:iCs w:val="0"/>
                <w:color w:val="000000" w:themeColor="text1"/>
              </w:rPr>
              <w:t>Complex behaviour support.</w:t>
            </w:r>
          </w:p>
          <w:p w14:paraId="10443E1D" w14:textId="77777777" w:rsidR="00442C59" w:rsidRPr="00F541A4" w:rsidRDefault="00442C59" w:rsidP="00A2332E">
            <w:pPr>
              <w:pStyle w:val="ListParagraph"/>
              <w:numPr>
                <w:ilvl w:val="0"/>
                <w:numId w:val="31"/>
              </w:numPr>
              <w:tabs>
                <w:tab w:val="clear" w:pos="357"/>
              </w:tabs>
              <w:spacing w:after="160" w:line="259" w:lineRule="auto"/>
              <w:rPr>
                <w:i w:val="0"/>
                <w:iCs w:val="0"/>
                <w:color w:val="000000" w:themeColor="text1"/>
              </w:rPr>
            </w:pPr>
            <w:r w:rsidRPr="00F541A4">
              <w:rPr>
                <w:i w:val="0"/>
                <w:iCs w:val="0"/>
                <w:color w:val="000000" w:themeColor="text1"/>
              </w:rPr>
              <w:t xml:space="preserve">Neurodiversity affirming practice. </w:t>
            </w:r>
          </w:p>
          <w:p w14:paraId="250FA771" w14:textId="77777777" w:rsidR="00442C59" w:rsidRPr="00F541A4" w:rsidRDefault="00442C59" w:rsidP="00A2332E">
            <w:pPr>
              <w:pStyle w:val="ListParagraph"/>
              <w:numPr>
                <w:ilvl w:val="0"/>
                <w:numId w:val="31"/>
              </w:numPr>
              <w:tabs>
                <w:tab w:val="clear" w:pos="357"/>
              </w:tabs>
              <w:spacing w:after="160" w:line="259" w:lineRule="auto"/>
              <w:rPr>
                <w:i w:val="0"/>
                <w:iCs w:val="0"/>
                <w:color w:val="000000" w:themeColor="text1"/>
              </w:rPr>
            </w:pPr>
            <w:r w:rsidRPr="00F541A4">
              <w:rPr>
                <w:i w:val="0"/>
                <w:iCs w:val="0"/>
                <w:color w:val="000000" w:themeColor="text1"/>
              </w:rPr>
              <w:t xml:space="preserve">Trauma informed practice. </w:t>
            </w:r>
          </w:p>
          <w:p w14:paraId="649769C6" w14:textId="77777777" w:rsidR="00442C59" w:rsidRPr="00684A6E" w:rsidRDefault="00442C59" w:rsidP="005F6ADC">
            <w:pPr>
              <w:pStyle w:val="Source"/>
            </w:pPr>
            <w:r>
              <w:t xml:space="preserve">Source:  National Outside of School Hours Services Alliance, (2023), </w:t>
            </w:r>
            <w:r>
              <w:rPr>
                <w:i/>
                <w:iCs/>
              </w:rPr>
              <w:t xml:space="preserve">Inclusion Project, </w:t>
            </w:r>
            <w:r>
              <w:t xml:space="preserve">NOSHSA, </w:t>
            </w:r>
            <w:hyperlink r:id="rId142" w:history="1">
              <w:r w:rsidRPr="003060B1">
                <w:rPr>
                  <w:rStyle w:val="Hyperlink"/>
                </w:rPr>
                <w:t>https://www.noshsa.org.au/inclusionproject</w:t>
              </w:r>
            </w:hyperlink>
            <w:r>
              <w:t xml:space="preserve">. </w:t>
            </w:r>
          </w:p>
        </w:tc>
      </w:tr>
    </w:tbl>
    <w:p w14:paraId="654807A6" w14:textId="77777777" w:rsidR="00442C59" w:rsidRPr="00A965DD" w:rsidRDefault="00442C59" w:rsidP="00442C59">
      <w:pPr>
        <w:ind w:left="360" w:hanging="360"/>
      </w:pPr>
    </w:p>
    <w:p w14:paraId="175A53AF" w14:textId="77777777" w:rsidR="00442C59" w:rsidRDefault="00442C59" w:rsidP="00442C59">
      <w:pPr>
        <w:pStyle w:val="Heading4"/>
        <w:rPr>
          <w:rFonts w:eastAsia="Arial"/>
        </w:rPr>
      </w:pPr>
      <w:r w:rsidRPr="1F9E49FF">
        <w:rPr>
          <w:rFonts w:eastAsia="Arial"/>
        </w:rPr>
        <w:t>Ensuring Cultural Safety for First Nations Staff and Children</w:t>
      </w:r>
    </w:p>
    <w:p w14:paraId="7F491505" w14:textId="77777777" w:rsidR="00442C59" w:rsidRDefault="00442C59" w:rsidP="00442C59">
      <w:pPr>
        <w:rPr>
          <w:rFonts w:asciiTheme="minorHAnsi" w:eastAsiaTheme="minorEastAsia" w:hAnsiTheme="minorHAnsi"/>
        </w:rPr>
      </w:pPr>
      <w:r w:rsidRPr="00F541A4">
        <w:rPr>
          <w:rFonts w:asciiTheme="minorHAnsi" w:eastAsiaTheme="minorEastAsia" w:hAnsiTheme="minorHAnsi"/>
        </w:rPr>
        <w:t>A guiding principle of the NQF is that Australia’s Aboriginal and Torres Strait Islander cultures are valued. Children’s education and care services have a shared responsibility to contribute to building a better society and sustainable environment and to support children, families, colleagues and the local community to understand</w:t>
      </w:r>
      <w:r>
        <w:rPr>
          <w:rFonts w:asciiTheme="minorHAnsi" w:eastAsiaTheme="minorEastAsia" w:hAnsiTheme="minorHAnsi"/>
        </w:rPr>
        <w:t>,</w:t>
      </w:r>
      <w:r w:rsidRPr="00F541A4">
        <w:rPr>
          <w:rFonts w:asciiTheme="minorHAnsi" w:eastAsiaTheme="minorEastAsia" w:hAnsiTheme="minorHAnsi"/>
        </w:rPr>
        <w:t xml:space="preserve"> respect and value diversity. Educators and teachers take every opportunity to extend children’s understanding of their local context and of their wider world. Through their practice, educators and teachers </w:t>
      </w:r>
      <w:proofErr w:type="gramStart"/>
      <w:r>
        <w:rPr>
          <w:rFonts w:asciiTheme="minorHAnsi" w:eastAsiaTheme="minorEastAsia" w:hAnsiTheme="minorHAnsi"/>
        </w:rPr>
        <w:t>are able to</w:t>
      </w:r>
      <w:proofErr w:type="gramEnd"/>
      <w:r>
        <w:rPr>
          <w:rFonts w:asciiTheme="minorHAnsi" w:eastAsiaTheme="minorEastAsia" w:hAnsiTheme="minorHAnsi"/>
        </w:rPr>
        <w:t xml:space="preserve"> </w:t>
      </w:r>
      <w:r w:rsidRPr="00F541A4">
        <w:rPr>
          <w:rFonts w:asciiTheme="minorHAnsi" w:eastAsiaTheme="minorEastAsia" w:hAnsiTheme="minorHAnsi"/>
        </w:rPr>
        <w:t xml:space="preserve">continue to challenge stereotyping and bias.  </w:t>
      </w:r>
    </w:p>
    <w:p w14:paraId="31B866B7" w14:textId="77777777" w:rsidR="00442C59" w:rsidRDefault="00442C59" w:rsidP="00442C59">
      <w:r w:rsidRPr="7787B549">
        <w:t>Cultural safety for First Nations people is key priority, enabling the benefits of early childhood education to accrue to First Nations communities. Some educators see this as a ‘reconceptualising’ task, considering education from a child-centred perspective. Such reframing of traditional educational settings to better focus on individual needs, skills and talents may well benefit all children, as well as those from First Nations groups, but requires professional development for ECEC educators</w:t>
      </w:r>
      <w:r>
        <w:t xml:space="preserve"> (Miller, 2016). </w:t>
      </w:r>
    </w:p>
    <w:p w14:paraId="0A4944BD" w14:textId="1C9EE272" w:rsidR="00442C59" w:rsidRDefault="00442C59" w:rsidP="00442C59">
      <w:r>
        <w:t>Roundtable feedback to JSA suggested that</w:t>
      </w:r>
      <w:r w:rsidRPr="0275D512">
        <w:t xml:space="preserve"> </w:t>
      </w:r>
      <w:r w:rsidRPr="1AD092A3">
        <w:t>cultural</w:t>
      </w:r>
      <w:r w:rsidRPr="0275D512">
        <w:t xml:space="preserve"> safety</w:t>
      </w:r>
      <w:r>
        <w:t xml:space="preserve"> </w:t>
      </w:r>
      <w:r w:rsidRPr="0275D512">
        <w:t>extends beyond decolonising education to an understanding of traditional and contemporary First Nations cultures, norms and taboos</w:t>
      </w:r>
      <w:r>
        <w:t xml:space="preserve">. </w:t>
      </w:r>
      <w:r w:rsidRPr="0275D512">
        <w:t xml:space="preserve">This is also important for First Nations ECEC staff who have a right to a culturally safe work environment. Cultural safety demands professional development training, arguably for all ECEC educators, but certainly for those working in services with high First Nations enrolments. This cultural safety does not only refer to a wider understanding of First Nations culture to ensure staff operate sensitively and inclusively in ECEC; it also includes a critical understanding of power differences in the workplace. Acknowledging power differences </w:t>
      </w:r>
      <w:r>
        <w:t>enables</w:t>
      </w:r>
      <w:r w:rsidRPr="0275D512">
        <w:t xml:space="preserve"> those with structurally or discursively less power to participate in workplace decision making, a process that supports self-determination </w:t>
      </w:r>
      <w:r>
        <w:t>(Miller, 2016)</w:t>
      </w:r>
      <w:r w:rsidR="00756398">
        <w:t>.</w:t>
      </w:r>
    </w:p>
    <w:p w14:paraId="37DEBA5D" w14:textId="77777777" w:rsidR="00442C59" w:rsidRDefault="00442C59" w:rsidP="00442C59">
      <w:pPr>
        <w:keepLines/>
      </w:pPr>
      <w:r>
        <w:lastRenderedPageBreak/>
        <w:t>Stakeholder feedback to JSA indicated that f</w:t>
      </w:r>
      <w:r w:rsidRPr="7787B549">
        <w:t xml:space="preserve">or many First Nations educators, cultural knowledge adds a workload burden. </w:t>
      </w:r>
      <w:r>
        <w:t>Cultural knowledge</w:t>
      </w:r>
      <w:r w:rsidRPr="7787B549">
        <w:t xml:space="preserve"> adds value to ECEC settings by offering informal education, pastoral care for colleagues and children, and for supporting the task of decolonising the curriculum. As well as an </w:t>
      </w:r>
      <w:proofErr w:type="gramStart"/>
      <w:r w:rsidRPr="7787B549">
        <w:t>often implicit</w:t>
      </w:r>
      <w:proofErr w:type="gramEnd"/>
      <w:r w:rsidRPr="7787B549">
        <w:t xml:space="preserve"> expectation that First Nations ECEC staff will assume this burden, this work demands considerable emotional work – and sometimes emotional labour. Many First Nations educators argue that this work needs to be explicitly acknowledged to ensure appropriate inclusion and prevent burnout. </w:t>
      </w:r>
      <w:r>
        <w:t>Including cultural knowledge in workload allocations will help avoid burnout in the First Nations segment of the ECEC workforce.</w:t>
      </w:r>
    </w:p>
    <w:p w14:paraId="76A041FF" w14:textId="77777777" w:rsidR="00442C59" w:rsidRPr="00FC47F2" w:rsidRDefault="00442C59" w:rsidP="00442C59">
      <w:pPr>
        <w:pStyle w:val="Finding"/>
        <w:numPr>
          <w:ilvl w:val="0"/>
          <w:numId w:val="0"/>
        </w:numPr>
      </w:pPr>
      <w:r w:rsidRPr="00842999">
        <w:t>Finding -</w:t>
      </w:r>
      <w:r>
        <w:t xml:space="preserve"> </w:t>
      </w:r>
      <w:r w:rsidRPr="00442C59">
        <w:rPr>
          <w:b w:val="0"/>
          <w:bCs w:val="0"/>
        </w:rPr>
        <w:t xml:space="preserve">The presence of First Nations staff within early childhood settings is critical for promoting participation, growth and development of First Nations children. While there are a number of Aboriginal Community Controlled Organisations involved in the delivery of ECEC, well-supported, culturally safe opportunities for First Nations ECEC staff in non ACCO settings are less embedded in the ECEC </w:t>
      </w:r>
      <w:proofErr w:type="gramStart"/>
      <w:r w:rsidRPr="00442C59">
        <w:rPr>
          <w:b w:val="0"/>
          <w:bCs w:val="0"/>
        </w:rPr>
        <w:t>sector</w:t>
      </w:r>
      <w:proofErr w:type="gramEnd"/>
      <w:r w:rsidRPr="00442C59">
        <w:rPr>
          <w:b w:val="0"/>
          <w:bCs w:val="0"/>
        </w:rPr>
        <w:t xml:space="preserve"> and these opportunities should be assured. Appropriate and culturally safe service provision requires more specialised roles, especially for First Nations children.</w:t>
      </w:r>
    </w:p>
    <w:p w14:paraId="7D10C706" w14:textId="77777777" w:rsidR="00442C59" w:rsidRPr="003B2554" w:rsidRDefault="00442C59" w:rsidP="00442C59">
      <w:pPr>
        <w:pStyle w:val="ListParagraph"/>
        <w:numPr>
          <w:ilvl w:val="0"/>
          <w:numId w:val="0"/>
        </w:numPr>
        <w:ind w:left="720"/>
        <w:contextualSpacing w:val="0"/>
        <w:rPr>
          <w:i w:val="0"/>
          <w:iCs w:val="0"/>
        </w:rPr>
      </w:pPr>
      <w:r w:rsidRPr="003B2554">
        <w:rPr>
          <w:b/>
          <w:bCs/>
          <w:i w:val="0"/>
          <w:iCs w:val="0"/>
        </w:rPr>
        <w:t xml:space="preserve">Recommendation - </w:t>
      </w:r>
      <w:r w:rsidRPr="003B2554">
        <w:rPr>
          <w:i w:val="0"/>
          <w:iCs w:val="0"/>
        </w:rPr>
        <w:t>Education Ministers should incentivise and include an explicit focus on Aboriginal and Torres Strait Islander Workforce both within ACCOs and across mainstream services and investigate sustainable funding for ACCOs.</w:t>
      </w:r>
    </w:p>
    <w:p w14:paraId="07B026E5" w14:textId="77777777" w:rsidR="00442C59" w:rsidRPr="003B2554" w:rsidRDefault="00442C59" w:rsidP="00442C59">
      <w:pPr>
        <w:pStyle w:val="ListParagraph"/>
        <w:numPr>
          <w:ilvl w:val="0"/>
          <w:numId w:val="0"/>
        </w:numPr>
        <w:ind w:left="720"/>
        <w:contextualSpacing w:val="0"/>
        <w:rPr>
          <w:i w:val="0"/>
          <w:iCs w:val="0"/>
        </w:rPr>
      </w:pPr>
      <w:r w:rsidRPr="003B2554">
        <w:rPr>
          <w:b/>
          <w:bCs/>
          <w:i w:val="0"/>
          <w:iCs w:val="0"/>
        </w:rPr>
        <w:t xml:space="preserve">Recommendation - </w:t>
      </w:r>
      <w:r w:rsidRPr="003B2554">
        <w:rPr>
          <w:i w:val="0"/>
          <w:iCs w:val="0"/>
        </w:rPr>
        <w:t xml:space="preserve">Governments should formalise a process for ensuring ECEC sector is given adequate guidance from First Nations peak bodies and representatives on strategies to promote the employment, cultural safety and support of First Nations peoples working in the sector. </w:t>
      </w:r>
    </w:p>
    <w:p w14:paraId="0BD0E075" w14:textId="77777777" w:rsidR="00442C59" w:rsidRPr="00204840" w:rsidRDefault="00442C59" w:rsidP="00442C59">
      <w:pPr>
        <w:pStyle w:val="Heading2"/>
      </w:pPr>
      <w:bookmarkStart w:id="178" w:name="_Toc174363728"/>
      <w:r w:rsidRPr="1882A426">
        <w:t>Summary</w:t>
      </w:r>
      <w:bookmarkEnd w:id="178"/>
    </w:p>
    <w:p w14:paraId="673FA3FF" w14:textId="77777777" w:rsidR="00442C59" w:rsidRPr="00EC0F5C" w:rsidRDefault="00442C59" w:rsidP="00442C59">
      <w:pPr>
        <w:rPr>
          <w:rFonts w:cs="Times New Roman"/>
          <w:color w:val="auto"/>
        </w:rPr>
      </w:pPr>
      <w:r w:rsidRPr="00DC0737">
        <w:t>This chapter draws on data presented in previous chapters and in stakeholder consultation to establish the foundation of this report’s findings and recommendations that will provide a foundation for rewarding ECEC careers. This is important, since a rewarding career, from both extrinsic and intrinsic perspectives, is crucial to attracting and retaining ECEC educators. We show that ensuring a robust ECEC sector that will serve children, the economy and the community needs to provide flexible pathways to increasingly specialised roles in early childhood education. Developing scopes of practice, good employment conditions, including higher remuneration, and supporting career progression, will ensure that Australia’s current and future workforce is supported by quality ECEC.</w:t>
      </w:r>
    </w:p>
    <w:p w14:paraId="1FBC9F2C" w14:textId="77777777" w:rsidR="00A2332E" w:rsidRDefault="00A2332E" w:rsidP="00C17D9C">
      <w:pPr>
        <w:sectPr w:rsidR="00A2332E" w:rsidSect="00BC4F9A">
          <w:headerReference w:type="default" r:id="rId143"/>
          <w:footerReference w:type="default" r:id="rId144"/>
          <w:endnotePr>
            <w:numFmt w:val="decimal"/>
          </w:endnotePr>
          <w:pgSz w:w="11906" w:h="16838" w:code="9"/>
          <w:pgMar w:top="1440" w:right="1440" w:bottom="1440" w:left="1440" w:header="0" w:footer="709" w:gutter="0"/>
          <w:cols w:space="708"/>
          <w:docGrid w:linePitch="360"/>
        </w:sectPr>
      </w:pPr>
    </w:p>
    <w:p w14:paraId="5743C43D" w14:textId="77777777" w:rsidR="00A2332E" w:rsidRPr="0075112D" w:rsidRDefault="00A2332E" w:rsidP="00A2332E">
      <w:pPr>
        <w:pStyle w:val="Heading1"/>
        <w:spacing w:before="8160"/>
        <w:ind w:left="283"/>
        <w:rPr>
          <w:color w:val="FFFFFF" w:themeColor="background1"/>
        </w:rPr>
      </w:pPr>
      <w:bookmarkStart w:id="179" w:name="_Toc168583101"/>
      <w:bookmarkStart w:id="180" w:name="_Toc168583849"/>
      <w:bookmarkStart w:id="181" w:name="_Toc170464031"/>
      <w:bookmarkStart w:id="182" w:name="_Toc174363729"/>
      <w:bookmarkStart w:id="183" w:name="_Toc146892705"/>
      <w:r>
        <w:rPr>
          <w:noProof/>
          <w:color w:val="FFFFFF" w:themeColor="background1"/>
          <w:sz w:val="92"/>
          <w:szCs w:val="92"/>
        </w:rPr>
        <w:lastRenderedPageBreak/>
        <w:drawing>
          <wp:anchor distT="0" distB="0" distL="114300" distR="114300" simplePos="0" relativeHeight="251689987" behindDoc="0" locked="0" layoutInCell="1" allowOverlap="1" wp14:anchorId="4E8CD0BB" wp14:editId="0B306A62">
            <wp:simplePos x="0" y="0"/>
            <wp:positionH relativeFrom="page">
              <wp:align>left</wp:align>
            </wp:positionH>
            <wp:positionV relativeFrom="page">
              <wp:align>top</wp:align>
            </wp:positionV>
            <wp:extent cx="7560000" cy="10692000"/>
            <wp:effectExtent l="0" t="0" r="3175" b="0"/>
            <wp:wrapNone/>
            <wp:docPr id="64385361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853617" name="Picture 1">
                      <a:extLst>
                        <a:ext uri="{C183D7F6-B498-43B3-948B-1728B52AA6E4}">
                          <adec:decorative xmlns:adec="http://schemas.microsoft.com/office/drawing/2017/decorative" val="1"/>
                        </a:ext>
                      </a:extLst>
                    </pic:cNvPr>
                    <pic:cNvPicPr/>
                  </pic:nvPicPr>
                  <pic:blipFill>
                    <a:blip r:embed="rId145">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r w:rsidRPr="0075112D">
        <w:rPr>
          <w:color w:val="FFFFFF" w:themeColor="background1"/>
          <w:sz w:val="92"/>
          <w:szCs w:val="92"/>
        </w:rPr>
        <w:t>Appendi</w:t>
      </w:r>
      <w:bookmarkEnd w:id="179"/>
      <w:r>
        <w:rPr>
          <w:color w:val="FFFFFF" w:themeColor="background1"/>
          <w:sz w:val="92"/>
          <w:szCs w:val="92"/>
        </w:rPr>
        <w:t>ces</w:t>
      </w:r>
      <w:bookmarkEnd w:id="180"/>
      <w:bookmarkEnd w:id="181"/>
      <w:bookmarkEnd w:id="182"/>
    </w:p>
    <w:p w14:paraId="5DCC2B8E" w14:textId="77777777" w:rsidR="00A2332E" w:rsidRPr="007A1E26" w:rsidRDefault="00A2332E" w:rsidP="00A2332E">
      <w:pPr>
        <w:spacing w:before="240" w:after="0" w:line="240" w:lineRule="auto"/>
        <w:ind w:left="283"/>
        <w:rPr>
          <w:rFonts w:cs="Arial"/>
          <w:color w:val="FFFFFF" w:themeColor="background1"/>
          <w:sz w:val="32"/>
          <w:szCs w:val="32"/>
        </w:rPr>
      </w:pPr>
    </w:p>
    <w:p w14:paraId="7CAFC6CA" w14:textId="77777777" w:rsidR="00A2332E" w:rsidRPr="00E5087D" w:rsidRDefault="00A2332E" w:rsidP="00A2332E">
      <w:pPr>
        <w:rPr>
          <w:rFonts w:cs="Arial"/>
          <w:color w:val="auto"/>
          <w:kern w:val="2"/>
          <w14:ligatures w14:val="standardContextual"/>
        </w:rPr>
      </w:pPr>
      <w:r w:rsidRPr="00E5087D">
        <w:rPr>
          <w:rFonts w:cs="Arial"/>
          <w:color w:val="auto"/>
          <w:kern w:val="2"/>
          <w14:ligatures w14:val="standardContextual"/>
        </w:rPr>
        <w:br w:type="page"/>
      </w:r>
    </w:p>
    <w:p w14:paraId="7E6A3C46" w14:textId="77777777" w:rsidR="00A2332E" w:rsidRDefault="00A2332E" w:rsidP="00A2332E">
      <w:pPr>
        <w:pStyle w:val="TOCHeading"/>
        <w:sectPr w:rsidR="00A2332E" w:rsidSect="00A2332E">
          <w:headerReference w:type="default" r:id="rId146"/>
          <w:footerReference w:type="default" r:id="rId147"/>
          <w:endnotePr>
            <w:numFmt w:val="decimal"/>
          </w:endnotePr>
          <w:pgSz w:w="11906" w:h="16838" w:code="9"/>
          <w:pgMar w:top="1440" w:right="1440" w:bottom="1440" w:left="1440" w:header="0" w:footer="709" w:gutter="0"/>
          <w:cols w:space="708"/>
          <w:docGrid w:linePitch="360"/>
        </w:sectPr>
      </w:pPr>
    </w:p>
    <w:p w14:paraId="4C97443D" w14:textId="77777777" w:rsidR="00A2332E" w:rsidRPr="00BC79FC" w:rsidRDefault="00A2332E" w:rsidP="00A2332E">
      <w:pPr>
        <w:pStyle w:val="Heading2"/>
      </w:pPr>
      <w:bookmarkStart w:id="184" w:name="_Toc170464032"/>
      <w:bookmarkStart w:id="185" w:name="_Toc174363730"/>
      <w:r>
        <w:lastRenderedPageBreak/>
        <w:t xml:space="preserve">Appendix 1 - </w:t>
      </w:r>
      <w:r w:rsidRPr="00A4245D">
        <w:t>Term</w:t>
      </w:r>
      <w:r w:rsidRPr="00BC79FC">
        <w:t>s of Reference</w:t>
      </w:r>
      <w:bookmarkEnd w:id="184"/>
      <w:bookmarkEnd w:id="185"/>
    </w:p>
    <w:p w14:paraId="6221A6E8" w14:textId="77777777" w:rsidR="00A2332E" w:rsidRDefault="00A2332E" w:rsidP="00A2332E">
      <w:pPr>
        <w:pStyle w:val="Heading3"/>
      </w:pPr>
      <w:bookmarkStart w:id="186" w:name="_Toc170464033"/>
      <w:r>
        <w:t>Overview</w:t>
      </w:r>
      <w:bookmarkEnd w:id="186"/>
    </w:p>
    <w:p w14:paraId="400D0ED0" w14:textId="77777777" w:rsidR="00A2332E" w:rsidRDefault="00A2332E" w:rsidP="00A2332E">
      <w:pPr>
        <w:rPr>
          <w:rFonts w:eastAsia="Arial"/>
        </w:rPr>
      </w:pPr>
      <w:r w:rsidRPr="640FAE0E">
        <w:t>The Government has commissioned Jobs and Skills Australia</w:t>
      </w:r>
      <w:r>
        <w:t xml:space="preserve"> (JSA) </w:t>
      </w:r>
      <w:r w:rsidRPr="640FAE0E">
        <w:t xml:space="preserve">to undertake a capacity study on the workforce needs for Australia’s </w:t>
      </w:r>
      <w:r w:rsidRPr="640FAE0E">
        <w:rPr>
          <w:rFonts w:eastAsia="Times New Roman"/>
        </w:rPr>
        <w:t>Early Childhood Education and Care (ECEC) sector</w:t>
      </w:r>
      <w:r w:rsidRPr="640FAE0E">
        <w:t>. The Capacity Study will</w:t>
      </w:r>
      <w:r>
        <w:t xml:space="preserve"> be undertaken in partnership with HumanAbility, the Jobs and Skills Council with responsibility for the early childhood education and care sector. The study will </w:t>
      </w:r>
      <w:r w:rsidRPr="640FAE0E">
        <w:t>provide critical evidence</w:t>
      </w:r>
      <w:r>
        <w:t xml:space="preserve">, </w:t>
      </w:r>
      <w:r w:rsidRPr="640FAE0E">
        <w:t>insights</w:t>
      </w:r>
      <w:r>
        <w:t xml:space="preserve"> and recommendations as appropriate</w:t>
      </w:r>
      <w:r w:rsidRPr="640FAE0E">
        <w:t xml:space="preserve"> to support current and future workforce planning, </w:t>
      </w:r>
      <w:r w:rsidRPr="640FAE0E">
        <w:rPr>
          <w:rFonts w:eastAsia="Arial"/>
        </w:rPr>
        <w:t xml:space="preserve">including a detailed understanding of the current state and future needs of the workforce to support the development of Government strategy and vision on early years education and care of Australia’s children.  </w:t>
      </w:r>
    </w:p>
    <w:p w14:paraId="4FFE170E" w14:textId="77777777" w:rsidR="00A2332E" w:rsidRPr="00111EB5" w:rsidRDefault="00A2332E" w:rsidP="00A2332E">
      <w:r w:rsidRPr="640FAE0E">
        <w:rPr>
          <w:rFonts w:eastAsia="Arial"/>
          <w:lang w:val="en-GB"/>
        </w:rPr>
        <w:t xml:space="preserve">The ECEC Capacity Study will be conducted with consideration </w:t>
      </w:r>
      <w:r>
        <w:rPr>
          <w:rFonts w:eastAsia="Arial"/>
          <w:lang w:val="en-GB"/>
        </w:rPr>
        <w:t xml:space="preserve">of </w:t>
      </w:r>
      <w:r>
        <w:rPr>
          <w:rFonts w:eastAsia="Arial"/>
        </w:rPr>
        <w:t>HumanAbility’s workforce planning mandate and industry engagement</w:t>
      </w:r>
      <w:r>
        <w:rPr>
          <w:rFonts w:eastAsia="Arial"/>
          <w:lang w:val="en-GB"/>
        </w:rPr>
        <w:t xml:space="preserve">, </w:t>
      </w:r>
      <w:r w:rsidRPr="640FAE0E">
        <w:rPr>
          <w:rFonts w:eastAsia="Arial"/>
          <w:lang w:val="en-GB"/>
        </w:rPr>
        <w:t xml:space="preserve">the </w:t>
      </w:r>
      <w:hyperlink r:id="rId148" w:anchor="draft" w:history="1">
        <w:r w:rsidRPr="640FAE0E">
          <w:rPr>
            <w:rStyle w:val="Hyperlink"/>
            <w:rFonts w:eastAsia="Arial"/>
            <w:lang w:val="en-GB"/>
          </w:rPr>
          <w:t>Productivity Commission</w:t>
        </w:r>
      </w:hyperlink>
      <w:r w:rsidRPr="640FAE0E">
        <w:rPr>
          <w:rFonts w:eastAsia="Arial"/>
          <w:lang w:val="en-GB"/>
        </w:rPr>
        <w:t xml:space="preserve">’s and </w:t>
      </w:r>
      <w:hyperlink r:id="rId149" w:history="1">
        <w:r w:rsidRPr="640FAE0E">
          <w:rPr>
            <w:rStyle w:val="Hyperlink"/>
            <w:rFonts w:eastAsia="Arial"/>
            <w:lang w:val="en-GB"/>
          </w:rPr>
          <w:t>Australian Competition and Consumer Commission (ACCC)</w:t>
        </w:r>
      </w:hyperlink>
      <w:r w:rsidRPr="640FAE0E">
        <w:rPr>
          <w:rFonts w:eastAsia="Arial"/>
          <w:lang w:val="en-GB"/>
        </w:rPr>
        <w:t xml:space="preserve">’s </w:t>
      </w:r>
      <w:r w:rsidRPr="640FAE0E">
        <w:rPr>
          <w:rFonts w:eastAsia="Arial"/>
        </w:rPr>
        <w:t>inquiries into the ECEC sector in Australia</w:t>
      </w:r>
      <w:r>
        <w:rPr>
          <w:rFonts w:eastAsia="Arial"/>
        </w:rPr>
        <w:t xml:space="preserve">, </w:t>
      </w:r>
      <w:r w:rsidRPr="640FAE0E">
        <w:rPr>
          <w:rFonts w:eastAsia="Arial"/>
        </w:rPr>
        <w:t>and other policy developments.</w:t>
      </w:r>
      <w:r>
        <w:t xml:space="preserve"> The ECEC Capacity Study will focus on ECEC workforce and skills issues, particularly attraction and retention, including incentives, to complement both inquiries broader scope of examining ECEC and the impacts on Australia’s economic growth and outcomes for children and families.  </w:t>
      </w:r>
    </w:p>
    <w:p w14:paraId="61C75797" w14:textId="77777777" w:rsidR="00A2332E" w:rsidRDefault="00A2332E" w:rsidP="00A2332E">
      <w:pPr>
        <w:pStyle w:val="Heading3"/>
      </w:pPr>
      <w:bookmarkStart w:id="187" w:name="_Toc170464034"/>
      <w:r w:rsidRPr="00CC76AE">
        <w:t>Scope</w:t>
      </w:r>
      <w:bookmarkEnd w:id="187"/>
    </w:p>
    <w:p w14:paraId="37781E16" w14:textId="77777777" w:rsidR="00A2332E" w:rsidRDefault="00A2332E" w:rsidP="00A2332E">
      <w:r w:rsidRPr="001E7D1A">
        <w:t xml:space="preserve">The </w:t>
      </w:r>
      <w:r>
        <w:t xml:space="preserve">ECEC </w:t>
      </w:r>
      <w:r w:rsidRPr="001E7D1A">
        <w:t xml:space="preserve">Capacity Study </w:t>
      </w:r>
      <w:r>
        <w:t xml:space="preserve">will </w:t>
      </w:r>
      <w:r w:rsidRPr="00215B3E">
        <w:t>identify and analyse occupations for each of the different parts of the sector (pre-schools</w:t>
      </w:r>
      <w:r>
        <w:t xml:space="preserve"> and kindergartens</w:t>
      </w:r>
      <w:r w:rsidRPr="00215B3E">
        <w:t>, centre-based day care, family day care, home-based care, outside school hours care</w:t>
      </w:r>
      <w:r>
        <w:t xml:space="preserve">, including services delivered through </w:t>
      </w:r>
      <w:r w:rsidRPr="00312326">
        <w:t>Aboriginal Child and Family Centres (ACFCs)</w:t>
      </w:r>
      <w:r>
        <w:t xml:space="preserve"> and Aboriginal Community Controlled Organisations (ACCOs))</w:t>
      </w:r>
      <w:r w:rsidRPr="00215B3E">
        <w:t>, their respective supply and demand factors and geographical</w:t>
      </w:r>
      <w:r>
        <w:t xml:space="preserve"> and cohort</w:t>
      </w:r>
      <w:r w:rsidRPr="00215B3E">
        <w:t xml:space="preserve"> considerations to understand factors that impact training, attracting, and retaining</w:t>
      </w:r>
      <w:r>
        <w:t xml:space="preserve"> the</w:t>
      </w:r>
      <w:r w:rsidRPr="00215B3E">
        <w:t xml:space="preserve"> ECEC </w:t>
      </w:r>
      <w:r>
        <w:t xml:space="preserve"> workforce</w:t>
      </w:r>
      <w:r w:rsidRPr="00215B3E">
        <w:t xml:space="preserve">. </w:t>
      </w:r>
    </w:p>
    <w:p w14:paraId="162710DB" w14:textId="77777777" w:rsidR="00A2332E" w:rsidRPr="00215B3E" w:rsidRDefault="00A2332E" w:rsidP="00A2332E">
      <w:r w:rsidRPr="00215B3E">
        <w:t>It will:</w:t>
      </w:r>
    </w:p>
    <w:p w14:paraId="73BE5362" w14:textId="77777777" w:rsidR="00A2332E" w:rsidRDefault="00A2332E" w:rsidP="00A2332E">
      <w:pPr>
        <w:pStyle w:val="ListParagraph"/>
        <w:numPr>
          <w:ilvl w:val="0"/>
          <w:numId w:val="33"/>
        </w:numPr>
        <w:tabs>
          <w:tab w:val="clear" w:pos="357"/>
        </w:tabs>
        <w:spacing w:after="160" w:line="259" w:lineRule="auto"/>
      </w:pPr>
      <w:r>
        <w:t xml:space="preserve">Report on </w:t>
      </w:r>
      <w:r w:rsidRPr="00F36F53">
        <w:t>the current state of the ECEC sector workforce – including but not limited to demographic and geographic composition, occupation, skill level, job mobility, numbers of employers, job vacancies, sector pay and working conditions, traineeship numbers, and labour costs</w:t>
      </w:r>
      <w:r w:rsidRPr="00D21B0E">
        <w:t xml:space="preserve"> – in a manner consistent with HumanAbility</w:t>
      </w:r>
      <w:r>
        <w:t>’</w:t>
      </w:r>
      <w:r w:rsidRPr="00D21B0E">
        <w:t>s Workforce Plan</w:t>
      </w:r>
    </w:p>
    <w:p w14:paraId="6791CEC9" w14:textId="77777777" w:rsidR="00A2332E" w:rsidRDefault="00A2332E" w:rsidP="00A2332E">
      <w:pPr>
        <w:pStyle w:val="ListParagraph"/>
        <w:numPr>
          <w:ilvl w:val="0"/>
          <w:numId w:val="33"/>
        </w:numPr>
        <w:tabs>
          <w:tab w:val="clear" w:pos="357"/>
        </w:tabs>
        <w:spacing w:after="160" w:line="259" w:lineRule="auto"/>
      </w:pPr>
      <w:r w:rsidRPr="00F36F53">
        <w:t>Analyse future demand (at the national, state, and regional level) for ECEC roles over 10 years based on different systemic and population scenarios, alongside the impact on demand for employment in intersecting sectors that</w:t>
      </w:r>
      <w:r>
        <w:t xml:space="preserve"> the</w:t>
      </w:r>
      <w:r w:rsidRPr="00F36F53">
        <w:t xml:space="preserve"> ECEC </w:t>
      </w:r>
      <w:r>
        <w:t>workforce</w:t>
      </w:r>
      <w:r w:rsidRPr="00F36F53">
        <w:t xml:space="preserve"> may come from, or leave to work in</w:t>
      </w:r>
    </w:p>
    <w:p w14:paraId="5FB6DC58" w14:textId="77777777" w:rsidR="00A2332E" w:rsidRDefault="00A2332E" w:rsidP="00A2332E">
      <w:pPr>
        <w:pStyle w:val="ListParagraph"/>
        <w:numPr>
          <w:ilvl w:val="0"/>
          <w:numId w:val="33"/>
        </w:numPr>
        <w:tabs>
          <w:tab w:val="clear" w:pos="357"/>
        </w:tabs>
        <w:spacing w:after="160" w:line="259" w:lineRule="auto"/>
      </w:pPr>
      <w:r w:rsidRPr="00F36F53">
        <w:t xml:space="preserve">Analyse the potential supply (at the national, state, and regional level) of </w:t>
      </w:r>
      <w:r>
        <w:t xml:space="preserve">the </w:t>
      </w:r>
      <w:r w:rsidRPr="00F36F53">
        <w:t xml:space="preserve">ECEC </w:t>
      </w:r>
      <w:r>
        <w:t>workforce</w:t>
      </w:r>
      <w:r w:rsidRPr="00F36F53">
        <w:t xml:space="preserve"> over the next 10 years by:</w:t>
      </w:r>
    </w:p>
    <w:p w14:paraId="05300852" w14:textId="77777777" w:rsidR="00A2332E" w:rsidRDefault="00A2332E" w:rsidP="00A2332E">
      <w:pPr>
        <w:pStyle w:val="ListParagraph"/>
        <w:numPr>
          <w:ilvl w:val="1"/>
          <w:numId w:val="33"/>
        </w:numPr>
        <w:tabs>
          <w:tab w:val="clear" w:pos="357"/>
        </w:tabs>
        <w:spacing w:after="160" w:line="259" w:lineRule="auto"/>
      </w:pPr>
      <w:r w:rsidRPr="00F36F53">
        <w:t xml:space="preserve">examining the education, training and professional development pathways that will support </w:t>
      </w:r>
      <w:r>
        <w:t xml:space="preserve">workforce </w:t>
      </w:r>
      <w:r w:rsidRPr="00F36F53">
        <w:t>entering the ECEC sector.</w:t>
      </w:r>
    </w:p>
    <w:p w14:paraId="1EBBD7EE" w14:textId="77777777" w:rsidR="00A2332E" w:rsidRDefault="00A2332E" w:rsidP="00A2332E">
      <w:pPr>
        <w:pStyle w:val="ListParagraph"/>
        <w:numPr>
          <w:ilvl w:val="1"/>
          <w:numId w:val="33"/>
        </w:numPr>
        <w:tabs>
          <w:tab w:val="clear" w:pos="357"/>
        </w:tabs>
        <w:spacing w:after="160" w:line="259" w:lineRule="auto"/>
      </w:pPr>
      <w:r w:rsidRPr="00F36F53">
        <w:t xml:space="preserve">identifying the underlying drivers of attrition, retention, and career progression in the ECEC sector, including analysing the role of wages, hours of work and location </w:t>
      </w:r>
    </w:p>
    <w:p w14:paraId="27578A66" w14:textId="77777777" w:rsidR="00A2332E" w:rsidRDefault="00A2332E" w:rsidP="00A2332E">
      <w:pPr>
        <w:pStyle w:val="ListParagraph"/>
        <w:numPr>
          <w:ilvl w:val="1"/>
          <w:numId w:val="33"/>
        </w:numPr>
        <w:tabs>
          <w:tab w:val="clear" w:pos="357"/>
        </w:tabs>
        <w:spacing w:after="160" w:line="259" w:lineRule="auto"/>
      </w:pPr>
      <w:r w:rsidRPr="00F36F53">
        <w:lastRenderedPageBreak/>
        <w:t>understanding the dynamics of staff performing multiple roles or working across multiple employers</w:t>
      </w:r>
    </w:p>
    <w:p w14:paraId="646522B9" w14:textId="77777777" w:rsidR="00A2332E" w:rsidRDefault="00A2332E" w:rsidP="00A2332E">
      <w:pPr>
        <w:pStyle w:val="ListParagraph"/>
        <w:numPr>
          <w:ilvl w:val="1"/>
          <w:numId w:val="33"/>
        </w:numPr>
        <w:tabs>
          <w:tab w:val="clear" w:pos="357"/>
        </w:tabs>
        <w:spacing w:after="160" w:line="259" w:lineRule="auto"/>
      </w:pPr>
      <w:r w:rsidRPr="00F36F53">
        <w:t>understanding the</w:t>
      </w:r>
      <w:r>
        <w:t xml:space="preserve"> needs for and</w:t>
      </w:r>
      <w:r w:rsidRPr="00F36F53">
        <w:t xml:space="preserve"> </w:t>
      </w:r>
      <w:r>
        <w:t>impact</w:t>
      </w:r>
      <w:r w:rsidRPr="00F36F53">
        <w:t xml:space="preserve"> of performing </w:t>
      </w:r>
      <w:r>
        <w:t>complex and diverse</w:t>
      </w:r>
      <w:r w:rsidRPr="00F36F53">
        <w:t xml:space="preserve"> roles</w:t>
      </w:r>
      <w:r>
        <w:t xml:space="preserve"> within the ECEC sector, such as supporting priority cohorts</w:t>
      </w:r>
    </w:p>
    <w:p w14:paraId="16F211D7" w14:textId="77777777" w:rsidR="00A2332E" w:rsidRDefault="00A2332E" w:rsidP="00A2332E">
      <w:pPr>
        <w:pStyle w:val="ListParagraph"/>
        <w:numPr>
          <w:ilvl w:val="1"/>
          <w:numId w:val="33"/>
        </w:numPr>
        <w:tabs>
          <w:tab w:val="clear" w:pos="357"/>
        </w:tabs>
        <w:spacing w:after="160" w:line="259" w:lineRule="auto"/>
      </w:pPr>
      <w:r w:rsidRPr="00F36F53">
        <w:t xml:space="preserve">exploring job mobility and skills transferability between different roles, </w:t>
      </w:r>
      <w:r>
        <w:t>settings</w:t>
      </w:r>
      <w:r w:rsidRPr="00F36F53">
        <w:t>, and regions within ECEC and between ECEC and other sectors </w:t>
      </w:r>
    </w:p>
    <w:p w14:paraId="5FA31788" w14:textId="77777777" w:rsidR="00A2332E" w:rsidRDefault="00A2332E" w:rsidP="00A2332E">
      <w:pPr>
        <w:pStyle w:val="ListParagraph"/>
        <w:numPr>
          <w:ilvl w:val="1"/>
          <w:numId w:val="33"/>
        </w:numPr>
        <w:tabs>
          <w:tab w:val="clear" w:pos="357"/>
        </w:tabs>
        <w:spacing w:after="160" w:line="259" w:lineRule="auto"/>
      </w:pPr>
      <w:r w:rsidRPr="00F36F53">
        <w:t>exploring the career transitions of those workers who have left the ECEC sector and factors that could induce them to return to the sector</w:t>
      </w:r>
      <w:r>
        <w:t>,</w:t>
      </w:r>
    </w:p>
    <w:p w14:paraId="0ECA9F9D" w14:textId="77777777" w:rsidR="00A2332E" w:rsidRDefault="00A2332E" w:rsidP="00A2332E">
      <w:pPr>
        <w:pStyle w:val="ListParagraph"/>
        <w:numPr>
          <w:ilvl w:val="1"/>
          <w:numId w:val="33"/>
        </w:numPr>
        <w:tabs>
          <w:tab w:val="clear" w:pos="357"/>
        </w:tabs>
        <w:spacing w:after="160" w:line="259" w:lineRule="auto"/>
      </w:pPr>
      <w:r w:rsidRPr="00F36F53">
        <w:t xml:space="preserve">considering international labour supply factors, such as the recognition of overseas qualifications in the sector and the impact of targeted migration programs </w:t>
      </w:r>
    </w:p>
    <w:p w14:paraId="0E5A1065" w14:textId="77777777" w:rsidR="00A2332E" w:rsidRDefault="00A2332E" w:rsidP="00A2332E">
      <w:pPr>
        <w:pStyle w:val="ListParagraph"/>
        <w:numPr>
          <w:ilvl w:val="0"/>
          <w:numId w:val="33"/>
        </w:numPr>
        <w:tabs>
          <w:tab w:val="clear" w:pos="357"/>
        </w:tabs>
        <w:spacing w:after="160" w:line="259" w:lineRule="auto"/>
      </w:pPr>
      <w:r w:rsidRPr="00F36F53" w:rsidDel="00F36F53">
        <w:t xml:space="preserve">Identify the enablers and barriers faced by universities, TAFEs and other education and training providers to attracting and supporting students in ECEC, including differences between States and Territories </w:t>
      </w:r>
    </w:p>
    <w:p w14:paraId="3033BBAC" w14:textId="77777777" w:rsidR="00A2332E" w:rsidRPr="00B966EC" w:rsidRDefault="00A2332E" w:rsidP="00A2332E">
      <w:pPr>
        <w:pStyle w:val="ListParagraph"/>
        <w:numPr>
          <w:ilvl w:val="0"/>
          <w:numId w:val="33"/>
        </w:numPr>
        <w:tabs>
          <w:tab w:val="clear" w:pos="357"/>
        </w:tabs>
        <w:spacing w:after="160" w:line="259" w:lineRule="auto"/>
      </w:pPr>
      <w:r w:rsidRPr="00B966EC" w:rsidDel="00F36F53">
        <w:rPr>
          <w:rFonts w:cs="Arial"/>
        </w:rPr>
        <w:t>Explore opportunities for, and barriers to, full participation in the ECEC workforce for priority cohorts, including but not limited to First Nations Australians, people in rural and regional areas, people with disability and culturally and linguistically diverse Australians</w:t>
      </w:r>
      <w:r>
        <w:rPr>
          <w:rFonts w:cs="Arial"/>
        </w:rPr>
        <w:t>.</w:t>
      </w:r>
    </w:p>
    <w:p w14:paraId="4BB38C2D" w14:textId="77777777" w:rsidR="00A2332E" w:rsidRPr="00B966EC" w:rsidRDefault="00A2332E" w:rsidP="00A2332E">
      <w:pPr>
        <w:pStyle w:val="ListParagraph"/>
        <w:numPr>
          <w:ilvl w:val="0"/>
          <w:numId w:val="33"/>
        </w:numPr>
        <w:tabs>
          <w:tab w:val="clear" w:pos="357"/>
        </w:tabs>
        <w:spacing w:after="160" w:line="259" w:lineRule="auto"/>
      </w:pPr>
      <w:r w:rsidRPr="00B966EC" w:rsidDel="00F36F53">
        <w:rPr>
          <w:rFonts w:cs="Arial"/>
        </w:rPr>
        <w:t>Explore current and potential governance and regulatory settings that apply to the ECEC workforce</w:t>
      </w:r>
      <w:r>
        <w:rPr>
          <w:rFonts w:cs="Arial"/>
        </w:rPr>
        <w:t>.</w:t>
      </w:r>
    </w:p>
    <w:p w14:paraId="42157A42" w14:textId="77777777" w:rsidR="00A2332E" w:rsidRPr="00B966EC" w:rsidRDefault="00A2332E" w:rsidP="00A2332E">
      <w:pPr>
        <w:pStyle w:val="ListParagraph"/>
        <w:numPr>
          <w:ilvl w:val="0"/>
          <w:numId w:val="33"/>
        </w:numPr>
        <w:tabs>
          <w:tab w:val="clear" w:pos="357"/>
        </w:tabs>
        <w:spacing w:after="160" w:line="259" w:lineRule="auto"/>
      </w:pPr>
      <w:r w:rsidRPr="00B966EC">
        <w:rPr>
          <w:rFonts w:cs="Arial"/>
        </w:rPr>
        <w:t>Consider the policy interactions between wages and workforce participation</w:t>
      </w:r>
      <w:r>
        <w:rPr>
          <w:rFonts w:cs="Arial"/>
        </w:rPr>
        <w:t>.</w:t>
      </w:r>
    </w:p>
    <w:p w14:paraId="4CFFFCA2" w14:textId="77777777" w:rsidR="00A2332E" w:rsidRPr="00F36F53" w:rsidRDefault="00A2332E" w:rsidP="00A2332E">
      <w:pPr>
        <w:pStyle w:val="ListParagraph"/>
        <w:numPr>
          <w:ilvl w:val="0"/>
          <w:numId w:val="33"/>
        </w:numPr>
        <w:tabs>
          <w:tab w:val="clear" w:pos="357"/>
        </w:tabs>
        <w:spacing w:after="160" w:line="259" w:lineRule="auto"/>
      </w:pPr>
      <w:r w:rsidRPr="00B966EC">
        <w:rPr>
          <w:rFonts w:cs="Arial"/>
        </w:rPr>
        <w:t>Consider the experiences of the ECEC sector in other countries, especially those that have comparable economies and patterns of workforce participation to Australia.</w:t>
      </w:r>
    </w:p>
    <w:p w14:paraId="138BB7B5" w14:textId="77777777" w:rsidR="00A2332E" w:rsidRDefault="00A2332E" w:rsidP="00A2332E">
      <w:pPr>
        <w:pStyle w:val="Heading3"/>
      </w:pPr>
      <w:bookmarkStart w:id="188" w:name="_Toc170464035"/>
      <w:r>
        <w:t>Governance and Consultation</w:t>
      </w:r>
      <w:bookmarkEnd w:id="188"/>
    </w:p>
    <w:p w14:paraId="721360F6" w14:textId="77777777" w:rsidR="00A2332E" w:rsidRDefault="00A2332E" w:rsidP="00A2332E">
      <w:r w:rsidRPr="002A1F5B">
        <w:rPr>
          <w:lang w:val="en-GB"/>
        </w:rPr>
        <w:t>The</w:t>
      </w:r>
      <w:r>
        <w:rPr>
          <w:lang w:val="en-GB"/>
        </w:rPr>
        <w:t xml:space="preserve"> ECEC</w:t>
      </w:r>
      <w:r w:rsidRPr="002A1F5B">
        <w:rPr>
          <w:lang w:val="en-GB"/>
        </w:rPr>
        <w:t xml:space="preserve"> Capacity Study will be underpinned by </w:t>
      </w:r>
      <w:r>
        <w:rPr>
          <w:lang w:val="en-GB"/>
        </w:rPr>
        <w:t xml:space="preserve">close </w:t>
      </w:r>
      <w:r w:rsidRPr="002A1F5B">
        <w:rPr>
          <w:lang w:val="en-GB"/>
        </w:rPr>
        <w:t>consultation and collaboration with</w:t>
      </w:r>
      <w:r>
        <w:rPr>
          <w:lang w:val="en-GB"/>
        </w:rPr>
        <w:t xml:space="preserve"> stakeholders. Consultation and stakeholder engagement for the capacity study will be co-designed by HumanAbility and JSA, ensuring HumanAbility’s unique role in leading industry representation and engagement frames the approach. </w:t>
      </w:r>
      <w:r>
        <w:t>This will also include carefully planning stakeholder engagement to leverage existing processes where possible to minimise stakeholder burden.</w:t>
      </w:r>
      <w:r w:rsidRPr="002A1F5B">
        <w:t> </w:t>
      </w:r>
    </w:p>
    <w:p w14:paraId="6C7B9EC6" w14:textId="77777777" w:rsidR="00A2332E" w:rsidRDefault="00A2332E" w:rsidP="00A2332E">
      <w:r>
        <w:t>The study will be overseen by</w:t>
      </w:r>
      <w:r w:rsidRPr="002A1F5B">
        <w:t xml:space="preserve"> a </w:t>
      </w:r>
      <w:r>
        <w:t xml:space="preserve">representative </w:t>
      </w:r>
      <w:r w:rsidRPr="002A1F5B">
        <w:t xml:space="preserve">Project Steering Group, </w:t>
      </w:r>
      <w:r>
        <w:t>co-chaired by JSA and HumanAbility under the JSA’s tripartite arrangement. M</w:t>
      </w:r>
      <w:r w:rsidRPr="002A1F5B">
        <w:t xml:space="preserve">embership </w:t>
      </w:r>
      <w:r>
        <w:t>will include</w:t>
      </w:r>
      <w:r w:rsidRPr="002A1F5B">
        <w:t xml:space="preserve"> representatives from other key Australian Government agencies,</w:t>
      </w:r>
      <w:r>
        <w:t xml:space="preserve"> S</w:t>
      </w:r>
      <w:r w:rsidRPr="002A1F5B">
        <w:t xml:space="preserve">tate and </w:t>
      </w:r>
      <w:r>
        <w:t>T</w:t>
      </w:r>
      <w:r w:rsidRPr="002A1F5B">
        <w:t>erritory governments, industry peak bodies</w:t>
      </w:r>
      <w:r>
        <w:t>,</w:t>
      </w:r>
      <w:r w:rsidRPr="002A1F5B">
        <w:t xml:space="preserve"> employers, unions, universities, </w:t>
      </w:r>
      <w:r>
        <w:t xml:space="preserve">TAFEs </w:t>
      </w:r>
      <w:r w:rsidRPr="002A1F5B">
        <w:t xml:space="preserve">and </w:t>
      </w:r>
      <w:r>
        <w:t xml:space="preserve">other </w:t>
      </w:r>
      <w:r w:rsidRPr="002A1F5B">
        <w:t>training providers</w:t>
      </w:r>
      <w:r>
        <w:t>, and advocacy groups</w:t>
      </w:r>
      <w:r w:rsidRPr="002A1F5B">
        <w:t xml:space="preserve">. </w:t>
      </w:r>
    </w:p>
    <w:p w14:paraId="5D86F0DD" w14:textId="77777777" w:rsidR="00A2332E" w:rsidRPr="001A4DBD" w:rsidRDefault="00A2332E" w:rsidP="00A2332E">
      <w:r w:rsidRPr="002A1F5B">
        <w:t xml:space="preserve">Jobs and Skills Australia will regularly brief </w:t>
      </w:r>
      <w:r>
        <w:t xml:space="preserve">and inform </w:t>
      </w:r>
      <w:r w:rsidRPr="002A1F5B">
        <w:t>the Australian Minister</w:t>
      </w:r>
      <w:r>
        <w:t xml:space="preserve"> for</w:t>
      </w:r>
      <w:r w:rsidRPr="002A1F5B">
        <w:t xml:space="preserve"> </w:t>
      </w:r>
      <w:r>
        <w:t xml:space="preserve">Skills and Training, Minister </w:t>
      </w:r>
      <w:r w:rsidRPr="002A1F5B">
        <w:t xml:space="preserve">for </w:t>
      </w:r>
      <w:r>
        <w:t xml:space="preserve">Education, Minister for Employment and Workplace Relations and the Minister for Early Childhood Education </w:t>
      </w:r>
      <w:r w:rsidRPr="002A1F5B">
        <w:t>on the study’s progress and interim findings</w:t>
      </w:r>
      <w:r>
        <w:t>.</w:t>
      </w:r>
    </w:p>
    <w:p w14:paraId="1CD32D86" w14:textId="77777777" w:rsidR="00A2332E" w:rsidRDefault="00A2332E" w:rsidP="00A2332E">
      <w:pPr>
        <w:pStyle w:val="Heading3"/>
      </w:pPr>
      <w:bookmarkStart w:id="189" w:name="_Toc170464036"/>
      <w:r>
        <w:t>Process</w:t>
      </w:r>
      <w:bookmarkEnd w:id="189"/>
    </w:p>
    <w:p w14:paraId="6C861BFC" w14:textId="77777777" w:rsidR="00A2332E" w:rsidRPr="00111EB5" w:rsidRDefault="00A2332E" w:rsidP="00A2332E">
      <w:r w:rsidRPr="002A1F5B">
        <w:t xml:space="preserve">Jobs and Skills Australia will </w:t>
      </w:r>
      <w:r>
        <w:t>report on interim progress</w:t>
      </w:r>
      <w:r w:rsidRPr="002A1F5B">
        <w:t xml:space="preserve"> by </w:t>
      </w:r>
      <w:r>
        <w:t>February 2024</w:t>
      </w:r>
      <w:r w:rsidRPr="002A1F5B">
        <w:t xml:space="preserve"> and </w:t>
      </w:r>
      <w:r>
        <w:t xml:space="preserve">provide </w:t>
      </w:r>
      <w:r w:rsidRPr="002A1F5B">
        <w:t>a final report by</w:t>
      </w:r>
      <w:r>
        <w:t xml:space="preserve"> May 2024. The timing of the final report will ensure relevant evidence from industry</w:t>
      </w:r>
      <w:r w:rsidDel="009F67F4">
        <w:t xml:space="preserve"> </w:t>
      </w:r>
      <w:r>
        <w:t>for HumanAbility’s 2024 Workforce Plan can inform it.</w:t>
      </w:r>
    </w:p>
    <w:p w14:paraId="6FEC7620" w14:textId="77777777" w:rsidR="00A2332E" w:rsidRPr="00BC79FC" w:rsidRDefault="00A2332E" w:rsidP="00A2332E">
      <w:pPr>
        <w:pStyle w:val="Heading2"/>
      </w:pPr>
      <w:bookmarkStart w:id="190" w:name="_Toc170464037"/>
      <w:bookmarkStart w:id="191" w:name="_Toc174363731"/>
      <w:r>
        <w:lastRenderedPageBreak/>
        <w:t xml:space="preserve">Appendix 2 - </w:t>
      </w:r>
      <w:r w:rsidRPr="00BC79FC">
        <w:t>Stakeholder Engagement</w:t>
      </w:r>
      <w:bookmarkEnd w:id="190"/>
      <w:bookmarkEnd w:id="191"/>
    </w:p>
    <w:p w14:paraId="5D7C92E6" w14:textId="77777777" w:rsidR="00A2332E" w:rsidRPr="007B77E1" w:rsidRDefault="00A2332E" w:rsidP="00A2332E">
      <w:pPr>
        <w:pStyle w:val="Heading3"/>
      </w:pPr>
      <w:bookmarkStart w:id="192" w:name="_Toc170464038"/>
      <w:r w:rsidRPr="007B77E1">
        <w:t>Study Steering Group</w:t>
      </w:r>
      <w:bookmarkEnd w:id="192"/>
    </w:p>
    <w:p w14:paraId="0F1C6357" w14:textId="77777777" w:rsidR="00A2332E" w:rsidRDefault="00A2332E" w:rsidP="00A2332E">
      <w:r w:rsidRPr="00FB4F5C">
        <w:t xml:space="preserve">The </w:t>
      </w:r>
      <w:r>
        <w:t xml:space="preserve">Early Childhood Education and Care Capacity </w:t>
      </w:r>
      <w:r w:rsidRPr="00FB4F5C">
        <w:t xml:space="preserve">Study </w:t>
      </w:r>
      <w:r>
        <w:t>wa</w:t>
      </w:r>
      <w:r w:rsidRPr="00FB4F5C">
        <w:t>s sponsored by the Department of Education. JSA undert</w:t>
      </w:r>
      <w:r>
        <w:t>ook</w:t>
      </w:r>
      <w:r w:rsidRPr="00FB4F5C">
        <w:t xml:space="preserve"> this study in partnership with HumanAbility (HA), the Jobs and Skills Council (JSC) with responsibility for the Children’s Education and Care, Aged and Disability, Health, Human Services and Sport and Recreation industries.</w:t>
      </w:r>
    </w:p>
    <w:p w14:paraId="4F1BB5A7" w14:textId="77777777" w:rsidR="00A2332E" w:rsidRDefault="00A2332E" w:rsidP="00A2332E">
      <w:pPr>
        <w:rPr>
          <w:lang w:val="en-GB"/>
        </w:rPr>
      </w:pPr>
      <w:r w:rsidRPr="00FB4F5C">
        <w:rPr>
          <w:lang w:val="en-GB"/>
        </w:rPr>
        <w:t xml:space="preserve">A Steering Group </w:t>
      </w:r>
      <w:r>
        <w:rPr>
          <w:lang w:val="en-GB"/>
        </w:rPr>
        <w:t>was</w:t>
      </w:r>
      <w:r w:rsidRPr="00FB4F5C">
        <w:rPr>
          <w:lang w:val="en-GB"/>
        </w:rPr>
        <w:t xml:space="preserve"> established to provide expert advice about the sector to inform and support the Study.  Membership </w:t>
      </w:r>
      <w:r>
        <w:rPr>
          <w:lang w:val="en-GB"/>
        </w:rPr>
        <w:t>wa</w:t>
      </w:r>
      <w:r w:rsidRPr="00FB4F5C">
        <w:rPr>
          <w:lang w:val="en-GB"/>
        </w:rPr>
        <w:t xml:space="preserve">s broad to ensure it is representative of key stakeholders needed to inform the Study, and to ensure representativeness of expertise and potential views. </w:t>
      </w:r>
    </w:p>
    <w:p w14:paraId="7514B895" w14:textId="44507787" w:rsidR="00A2332E" w:rsidRDefault="00A2332E" w:rsidP="00A2332E">
      <w:pPr>
        <w:pStyle w:val="Caption"/>
      </w:pPr>
      <w:r>
        <w:t xml:space="preserve">Table </w:t>
      </w:r>
      <w:r>
        <w:fldChar w:fldCharType="begin"/>
      </w:r>
      <w:r>
        <w:instrText xml:space="preserve"> SEQ Table \* ARABIC </w:instrText>
      </w:r>
      <w:r>
        <w:fldChar w:fldCharType="separate"/>
      </w:r>
      <w:r w:rsidR="005F18C1">
        <w:rPr>
          <w:noProof/>
        </w:rPr>
        <w:t>2</w:t>
      </w:r>
      <w:r>
        <w:fldChar w:fldCharType="end"/>
      </w:r>
      <w:r>
        <w:t xml:space="preserve"> Steering Group membership</w:t>
      </w:r>
    </w:p>
    <w:tbl>
      <w:tblPr>
        <w:tblStyle w:val="JSATable1"/>
        <w:tblW w:w="9067" w:type="dxa"/>
        <w:tblLayout w:type="fixed"/>
        <w:tblLook w:val="0020" w:firstRow="1" w:lastRow="0" w:firstColumn="0" w:lastColumn="0" w:noHBand="0" w:noVBand="0"/>
      </w:tblPr>
      <w:tblGrid>
        <w:gridCol w:w="1813"/>
        <w:gridCol w:w="1813"/>
        <w:gridCol w:w="1814"/>
        <w:gridCol w:w="1813"/>
        <w:gridCol w:w="1814"/>
      </w:tblGrid>
      <w:tr w:rsidR="00A2332E" w:rsidRPr="00B26C3D" w14:paraId="61AAF07F" w14:textId="77777777" w:rsidTr="005F6ADC">
        <w:trPr>
          <w:cnfStyle w:val="100000000000" w:firstRow="1" w:lastRow="0" w:firstColumn="0" w:lastColumn="0" w:oddVBand="0" w:evenVBand="0" w:oddHBand="0" w:evenHBand="0" w:firstRowFirstColumn="0" w:firstRowLastColumn="0" w:lastRowFirstColumn="0" w:lastRowLastColumn="0"/>
        </w:trPr>
        <w:tc>
          <w:tcPr>
            <w:tcW w:w="1813" w:type="dxa"/>
          </w:tcPr>
          <w:p w14:paraId="36FA2211" w14:textId="77777777" w:rsidR="00A2332E" w:rsidRPr="00C666D6" w:rsidRDefault="00A2332E" w:rsidP="005F6ADC">
            <w:pPr>
              <w:rPr>
                <w:color w:val="FFFFFF" w:themeColor="background1"/>
              </w:rPr>
            </w:pPr>
            <w:r>
              <w:rPr>
                <w:rStyle w:val="normaltextrun"/>
                <w:rFonts w:ascii="Arial Nova" w:hAnsi="Arial Nova" w:cs="Segoe UI"/>
                <w:b/>
                <w:bCs/>
                <w:color w:val="FFFFFF"/>
                <w:sz w:val="20"/>
                <w:szCs w:val="20"/>
              </w:rPr>
              <w:t>Sector associations</w:t>
            </w:r>
            <w:r>
              <w:rPr>
                <w:rStyle w:val="eop"/>
                <w:rFonts w:cs="Arial"/>
                <w:b/>
                <w:bCs/>
                <w:color w:val="FFFFFF"/>
                <w:sz w:val="20"/>
                <w:szCs w:val="20"/>
                <w:lang w:val="en-US"/>
              </w:rPr>
              <w:t>​</w:t>
            </w:r>
          </w:p>
        </w:tc>
        <w:tc>
          <w:tcPr>
            <w:tcW w:w="1813" w:type="dxa"/>
          </w:tcPr>
          <w:p w14:paraId="34F9BC6B" w14:textId="77777777" w:rsidR="00A2332E" w:rsidRPr="00C666D6" w:rsidRDefault="00A2332E" w:rsidP="005F6ADC">
            <w:pPr>
              <w:rPr>
                <w:color w:val="FFFFFF" w:themeColor="background1"/>
              </w:rPr>
            </w:pPr>
            <w:r>
              <w:rPr>
                <w:rStyle w:val="normaltextrun"/>
                <w:rFonts w:ascii="Arial Nova" w:hAnsi="Arial Nova" w:cs="Segoe UI"/>
                <w:b/>
                <w:bCs/>
                <w:color w:val="FFFFFF"/>
                <w:sz w:val="20"/>
                <w:szCs w:val="20"/>
              </w:rPr>
              <w:t>Unions</w:t>
            </w:r>
            <w:r>
              <w:rPr>
                <w:rStyle w:val="eop"/>
                <w:rFonts w:cs="Arial"/>
                <w:b/>
                <w:bCs/>
                <w:color w:val="FFFFFF"/>
                <w:sz w:val="20"/>
                <w:szCs w:val="20"/>
                <w:lang w:val="en-US"/>
              </w:rPr>
              <w:t>​</w:t>
            </w:r>
          </w:p>
        </w:tc>
        <w:tc>
          <w:tcPr>
            <w:tcW w:w="1814" w:type="dxa"/>
          </w:tcPr>
          <w:p w14:paraId="6BBE3155" w14:textId="77777777" w:rsidR="00A2332E" w:rsidRDefault="00A2332E" w:rsidP="005F6ADC">
            <w:pPr>
              <w:rPr>
                <w:rStyle w:val="normaltextrun"/>
                <w:rFonts w:ascii="Arial Nova" w:hAnsi="Arial Nova" w:cs="Segoe UI"/>
                <w:color w:val="FFFFFF"/>
                <w:sz w:val="20"/>
                <w:szCs w:val="20"/>
              </w:rPr>
            </w:pPr>
            <w:r>
              <w:rPr>
                <w:rStyle w:val="normaltextrun"/>
                <w:rFonts w:ascii="Arial Nova" w:hAnsi="Arial Nova" w:cs="Segoe UI"/>
                <w:b/>
                <w:bCs/>
                <w:color w:val="FFFFFF"/>
                <w:sz w:val="20"/>
                <w:szCs w:val="20"/>
              </w:rPr>
              <w:t>Education &amp; Training </w:t>
            </w:r>
          </w:p>
          <w:p w14:paraId="7A776942" w14:textId="77777777" w:rsidR="00A2332E" w:rsidRPr="00C666D6" w:rsidRDefault="00A2332E" w:rsidP="005F6ADC">
            <w:pPr>
              <w:rPr>
                <w:color w:val="FFFFFF" w:themeColor="background1"/>
              </w:rPr>
            </w:pPr>
            <w:r>
              <w:rPr>
                <w:rStyle w:val="normaltextrun"/>
                <w:rFonts w:ascii="Arial Nova" w:hAnsi="Arial Nova" w:cs="Segoe UI"/>
                <w:b/>
                <w:bCs/>
                <w:color w:val="FFFFFF"/>
                <w:sz w:val="20"/>
                <w:szCs w:val="20"/>
              </w:rPr>
              <w:t>bodies</w:t>
            </w:r>
            <w:r>
              <w:rPr>
                <w:rStyle w:val="eop"/>
                <w:rFonts w:cs="Arial"/>
                <w:b/>
                <w:bCs/>
                <w:color w:val="FFFFFF"/>
                <w:sz w:val="20"/>
                <w:szCs w:val="20"/>
                <w:lang w:val="en-US"/>
              </w:rPr>
              <w:t>​</w:t>
            </w:r>
          </w:p>
        </w:tc>
        <w:tc>
          <w:tcPr>
            <w:tcW w:w="1813" w:type="dxa"/>
          </w:tcPr>
          <w:p w14:paraId="520E1205" w14:textId="77777777" w:rsidR="00A2332E" w:rsidRDefault="00A2332E" w:rsidP="005F6ADC">
            <w:pPr>
              <w:rPr>
                <w:rStyle w:val="normaltextrun"/>
                <w:rFonts w:ascii="Arial Nova" w:hAnsi="Arial Nova" w:cs="Segoe UI"/>
                <w:color w:val="FFFFFF"/>
                <w:sz w:val="20"/>
                <w:szCs w:val="20"/>
              </w:rPr>
            </w:pPr>
            <w:r>
              <w:rPr>
                <w:rStyle w:val="normaltextrun"/>
                <w:rFonts w:ascii="Arial Nova" w:hAnsi="Arial Nova" w:cs="Segoe UI"/>
                <w:b/>
                <w:bCs/>
                <w:color w:val="FFFFFF"/>
                <w:sz w:val="20"/>
                <w:szCs w:val="20"/>
              </w:rPr>
              <w:t>Parent/ Community </w:t>
            </w:r>
          </w:p>
          <w:p w14:paraId="00D62C34" w14:textId="77777777" w:rsidR="00A2332E" w:rsidRPr="00C666D6" w:rsidRDefault="00A2332E" w:rsidP="005F6ADC">
            <w:pPr>
              <w:rPr>
                <w:color w:val="FFFFFF" w:themeColor="background1"/>
              </w:rPr>
            </w:pPr>
            <w:r>
              <w:rPr>
                <w:rStyle w:val="normaltextrun"/>
                <w:rFonts w:ascii="Arial Nova" w:hAnsi="Arial Nova" w:cs="Segoe UI"/>
                <w:b/>
                <w:bCs/>
                <w:color w:val="FFFFFF"/>
                <w:sz w:val="20"/>
                <w:szCs w:val="20"/>
              </w:rPr>
              <w:t>groups</w:t>
            </w:r>
            <w:r>
              <w:rPr>
                <w:rStyle w:val="eop"/>
                <w:rFonts w:cs="Arial"/>
                <w:b/>
                <w:bCs/>
                <w:color w:val="FFFFFF"/>
                <w:sz w:val="20"/>
                <w:szCs w:val="20"/>
                <w:lang w:val="en-US"/>
              </w:rPr>
              <w:t>​</w:t>
            </w:r>
          </w:p>
        </w:tc>
        <w:tc>
          <w:tcPr>
            <w:tcW w:w="1814" w:type="dxa"/>
          </w:tcPr>
          <w:p w14:paraId="336A66F6" w14:textId="77777777" w:rsidR="00A2332E" w:rsidRDefault="00A2332E" w:rsidP="005F6ADC">
            <w:pPr>
              <w:rPr>
                <w:rStyle w:val="normaltextrun"/>
                <w:rFonts w:ascii="Arial Nova" w:hAnsi="Arial Nova" w:cs="Segoe UI"/>
                <w:color w:val="FFFFFF"/>
                <w:sz w:val="20"/>
                <w:szCs w:val="20"/>
              </w:rPr>
            </w:pPr>
            <w:r>
              <w:rPr>
                <w:rStyle w:val="normaltextrun"/>
                <w:rFonts w:ascii="Arial Nova" w:hAnsi="Arial Nova" w:cs="Segoe UI"/>
                <w:b/>
                <w:bCs/>
                <w:color w:val="FFFFFF"/>
                <w:sz w:val="20"/>
                <w:szCs w:val="20"/>
              </w:rPr>
              <w:t>Government </w:t>
            </w:r>
          </w:p>
          <w:p w14:paraId="13FCBB52" w14:textId="77777777" w:rsidR="00A2332E" w:rsidRPr="00C666D6" w:rsidRDefault="00A2332E" w:rsidP="005F6ADC">
            <w:pPr>
              <w:rPr>
                <w:color w:val="FFFFFF" w:themeColor="background1"/>
              </w:rPr>
            </w:pPr>
            <w:r>
              <w:rPr>
                <w:rStyle w:val="normaltextrun"/>
                <w:rFonts w:ascii="Arial Nova" w:hAnsi="Arial Nova" w:cs="Segoe UI"/>
                <w:b/>
                <w:bCs/>
                <w:color w:val="FFFFFF"/>
                <w:sz w:val="20"/>
                <w:szCs w:val="20"/>
              </w:rPr>
              <w:t>organisations</w:t>
            </w:r>
            <w:r>
              <w:rPr>
                <w:rStyle w:val="eop"/>
                <w:rFonts w:cs="Arial"/>
                <w:b/>
                <w:bCs/>
                <w:color w:val="FFFFFF"/>
                <w:sz w:val="20"/>
                <w:szCs w:val="20"/>
                <w:lang w:val="en-US"/>
              </w:rPr>
              <w:t>​</w:t>
            </w:r>
          </w:p>
        </w:tc>
      </w:tr>
      <w:tr w:rsidR="00A2332E" w:rsidRPr="00B26C3D" w14:paraId="38CCCFB4" w14:textId="77777777" w:rsidTr="005F6ADC">
        <w:tc>
          <w:tcPr>
            <w:tcW w:w="1813" w:type="dxa"/>
          </w:tcPr>
          <w:p w14:paraId="75D92711" w14:textId="77777777" w:rsidR="00A2332E" w:rsidRPr="001B012C" w:rsidRDefault="00A2332E" w:rsidP="005F6ADC">
            <w:pPr>
              <w:rPr>
                <w:sz w:val="18"/>
                <w:szCs w:val="18"/>
              </w:rPr>
            </w:pPr>
            <w:r w:rsidRPr="001B012C">
              <w:rPr>
                <w:rStyle w:val="normaltextrun"/>
                <w:rFonts w:ascii="Arial Nova" w:hAnsi="Arial Nova" w:cs="Arial"/>
                <w:color w:val="000000"/>
                <w:sz w:val="18"/>
                <w:szCs w:val="18"/>
              </w:rPr>
              <w:t>Australian Childcare Alliance</w:t>
            </w:r>
            <w:r w:rsidRPr="001B012C">
              <w:rPr>
                <w:rStyle w:val="eop"/>
                <w:rFonts w:cs="Arial"/>
                <w:color w:val="000000"/>
                <w:sz w:val="18"/>
                <w:szCs w:val="18"/>
                <w:lang w:val="en-US"/>
              </w:rPr>
              <w:t>​</w:t>
            </w:r>
          </w:p>
        </w:tc>
        <w:tc>
          <w:tcPr>
            <w:tcW w:w="1813" w:type="dxa"/>
          </w:tcPr>
          <w:p w14:paraId="26BCA120" w14:textId="77777777" w:rsidR="00A2332E" w:rsidRPr="001B012C" w:rsidRDefault="00A2332E" w:rsidP="005F6ADC">
            <w:pPr>
              <w:rPr>
                <w:sz w:val="18"/>
                <w:szCs w:val="18"/>
              </w:rPr>
            </w:pPr>
            <w:r w:rsidRPr="001B012C">
              <w:rPr>
                <w:rStyle w:val="normaltextrun"/>
                <w:rFonts w:ascii="Arial Nova" w:hAnsi="Arial Nova" w:cs="Arial"/>
                <w:color w:val="000000"/>
                <w:sz w:val="18"/>
                <w:szCs w:val="18"/>
              </w:rPr>
              <w:t>Australian Education Union</w:t>
            </w:r>
            <w:r w:rsidRPr="001B012C">
              <w:rPr>
                <w:rStyle w:val="eop"/>
                <w:rFonts w:cs="Arial"/>
                <w:color w:val="000000"/>
                <w:sz w:val="18"/>
                <w:szCs w:val="18"/>
                <w:lang w:val="en-US"/>
              </w:rPr>
              <w:t>​</w:t>
            </w:r>
          </w:p>
        </w:tc>
        <w:tc>
          <w:tcPr>
            <w:tcW w:w="1814" w:type="dxa"/>
          </w:tcPr>
          <w:p w14:paraId="2D7E1C79" w14:textId="77777777" w:rsidR="00A2332E" w:rsidRPr="001B012C" w:rsidRDefault="00A2332E" w:rsidP="005F6ADC">
            <w:pPr>
              <w:rPr>
                <w:sz w:val="18"/>
                <w:szCs w:val="18"/>
              </w:rPr>
            </w:pPr>
            <w:r w:rsidRPr="001B012C">
              <w:rPr>
                <w:rStyle w:val="normaltextrun"/>
                <w:rFonts w:ascii="Arial Nova" w:hAnsi="Arial Nova" w:cs="Arial"/>
                <w:color w:val="000000"/>
                <w:sz w:val="18"/>
                <w:szCs w:val="18"/>
              </w:rPr>
              <w:t>TAFE Directors Australia </w:t>
            </w:r>
            <w:r w:rsidRPr="001B012C">
              <w:rPr>
                <w:rStyle w:val="eop"/>
                <w:rFonts w:cs="Arial"/>
                <w:color w:val="000000"/>
                <w:sz w:val="18"/>
                <w:szCs w:val="18"/>
                <w:lang w:val="en-US"/>
              </w:rPr>
              <w:t>​</w:t>
            </w:r>
          </w:p>
        </w:tc>
        <w:tc>
          <w:tcPr>
            <w:tcW w:w="1813" w:type="dxa"/>
          </w:tcPr>
          <w:p w14:paraId="5A170B3F" w14:textId="77777777" w:rsidR="00A2332E" w:rsidRPr="001B012C" w:rsidRDefault="00A2332E" w:rsidP="005F6ADC">
            <w:pPr>
              <w:rPr>
                <w:sz w:val="18"/>
                <w:szCs w:val="18"/>
              </w:rPr>
            </w:pPr>
            <w:r w:rsidRPr="001B012C">
              <w:rPr>
                <w:rStyle w:val="normaltextrun"/>
                <w:rFonts w:ascii="Arial Nova" w:hAnsi="Arial Nova" w:cs="Arial"/>
                <w:color w:val="000000"/>
                <w:sz w:val="18"/>
                <w:szCs w:val="18"/>
              </w:rPr>
              <w:t>Minderoo Foundation</w:t>
            </w:r>
            <w:r w:rsidRPr="001B012C">
              <w:rPr>
                <w:rStyle w:val="eop"/>
                <w:rFonts w:cs="Arial"/>
                <w:color w:val="000000"/>
                <w:sz w:val="18"/>
                <w:szCs w:val="18"/>
                <w:lang w:val="en-US"/>
              </w:rPr>
              <w:t>​</w:t>
            </w:r>
          </w:p>
        </w:tc>
        <w:tc>
          <w:tcPr>
            <w:tcW w:w="1814" w:type="dxa"/>
          </w:tcPr>
          <w:p w14:paraId="4117600E" w14:textId="77777777" w:rsidR="00A2332E" w:rsidRPr="001B012C" w:rsidRDefault="00A2332E" w:rsidP="005F6ADC">
            <w:pPr>
              <w:rPr>
                <w:sz w:val="18"/>
                <w:szCs w:val="18"/>
              </w:rPr>
            </w:pPr>
            <w:r w:rsidRPr="001B012C">
              <w:rPr>
                <w:rStyle w:val="normaltextrun"/>
                <w:rFonts w:ascii="Arial Nova" w:hAnsi="Arial Nova" w:cs="Arial"/>
                <w:color w:val="000000"/>
                <w:sz w:val="18"/>
                <w:szCs w:val="18"/>
              </w:rPr>
              <w:t>Department of Education</w:t>
            </w:r>
            <w:r w:rsidRPr="001B012C">
              <w:rPr>
                <w:rStyle w:val="eop"/>
                <w:rFonts w:cs="Arial"/>
                <w:color w:val="000000"/>
                <w:sz w:val="18"/>
                <w:szCs w:val="18"/>
                <w:lang w:val="en-US"/>
              </w:rPr>
              <w:t>​</w:t>
            </w:r>
          </w:p>
        </w:tc>
      </w:tr>
      <w:tr w:rsidR="00A2332E" w:rsidRPr="00B26C3D" w14:paraId="0861B1F6" w14:textId="77777777" w:rsidTr="005F6ADC">
        <w:trPr>
          <w:cnfStyle w:val="000000010000" w:firstRow="0" w:lastRow="0" w:firstColumn="0" w:lastColumn="0" w:oddVBand="0" w:evenVBand="0" w:oddHBand="0" w:evenHBand="1" w:firstRowFirstColumn="0" w:firstRowLastColumn="0" w:lastRowFirstColumn="0" w:lastRowLastColumn="0"/>
        </w:trPr>
        <w:tc>
          <w:tcPr>
            <w:tcW w:w="1813" w:type="dxa"/>
          </w:tcPr>
          <w:p w14:paraId="24490555" w14:textId="77777777" w:rsidR="00A2332E" w:rsidRPr="001B012C" w:rsidRDefault="00A2332E" w:rsidP="005F6ADC">
            <w:pPr>
              <w:rPr>
                <w:sz w:val="18"/>
                <w:szCs w:val="18"/>
              </w:rPr>
            </w:pPr>
            <w:r w:rsidRPr="001B012C">
              <w:rPr>
                <w:rStyle w:val="normaltextrun"/>
                <w:rFonts w:ascii="Arial Nova" w:hAnsi="Arial Nova" w:cs="Arial"/>
                <w:color w:val="000000"/>
                <w:sz w:val="18"/>
                <w:szCs w:val="18"/>
              </w:rPr>
              <w:t>Community Early Learning Australia</w:t>
            </w:r>
            <w:r w:rsidRPr="001B012C">
              <w:rPr>
                <w:rStyle w:val="eop"/>
                <w:rFonts w:cs="Arial"/>
                <w:color w:val="000000"/>
                <w:sz w:val="18"/>
                <w:szCs w:val="18"/>
                <w:lang w:val="en-US"/>
              </w:rPr>
              <w:t>​</w:t>
            </w:r>
          </w:p>
        </w:tc>
        <w:tc>
          <w:tcPr>
            <w:tcW w:w="1813" w:type="dxa"/>
          </w:tcPr>
          <w:p w14:paraId="205E58A9" w14:textId="77777777" w:rsidR="00A2332E" w:rsidRPr="001B012C" w:rsidRDefault="00A2332E" w:rsidP="005F6ADC">
            <w:pPr>
              <w:rPr>
                <w:sz w:val="18"/>
                <w:szCs w:val="18"/>
              </w:rPr>
            </w:pPr>
            <w:r w:rsidRPr="001B012C">
              <w:rPr>
                <w:rStyle w:val="normaltextrun"/>
                <w:rFonts w:ascii="Arial Nova" w:hAnsi="Arial Nova" w:cs="Arial"/>
                <w:color w:val="000000"/>
                <w:sz w:val="18"/>
                <w:szCs w:val="18"/>
              </w:rPr>
              <w:t>United Workers Union </w:t>
            </w:r>
            <w:r w:rsidRPr="001B012C">
              <w:rPr>
                <w:rStyle w:val="eop"/>
                <w:rFonts w:cs="Arial"/>
                <w:color w:val="000000"/>
                <w:sz w:val="18"/>
                <w:szCs w:val="18"/>
                <w:lang w:val="en-US"/>
              </w:rPr>
              <w:t>​</w:t>
            </w:r>
          </w:p>
        </w:tc>
        <w:tc>
          <w:tcPr>
            <w:tcW w:w="1814" w:type="dxa"/>
          </w:tcPr>
          <w:p w14:paraId="5E7C0982" w14:textId="77777777" w:rsidR="00A2332E" w:rsidRDefault="00A2332E" w:rsidP="005F6ADC">
            <w:pPr>
              <w:rPr>
                <w:rStyle w:val="normaltextrun"/>
                <w:rFonts w:ascii="Arial Nova" w:hAnsi="Arial Nova" w:cs="Arial"/>
                <w:color w:val="000000"/>
                <w:sz w:val="18"/>
                <w:szCs w:val="18"/>
              </w:rPr>
            </w:pPr>
            <w:r w:rsidRPr="001B012C">
              <w:rPr>
                <w:rStyle w:val="normaltextrun"/>
                <w:rFonts w:ascii="Arial Nova" w:hAnsi="Arial Nova" w:cs="Arial"/>
                <w:color w:val="000000"/>
                <w:sz w:val="18"/>
                <w:szCs w:val="18"/>
              </w:rPr>
              <w:t>Independent </w:t>
            </w:r>
          </w:p>
          <w:p w14:paraId="5785B051" w14:textId="77777777" w:rsidR="00A2332E" w:rsidRPr="001B012C" w:rsidRDefault="00A2332E" w:rsidP="005F6ADC">
            <w:pPr>
              <w:rPr>
                <w:sz w:val="18"/>
                <w:szCs w:val="18"/>
              </w:rPr>
            </w:pPr>
            <w:r w:rsidRPr="001B012C">
              <w:rPr>
                <w:rStyle w:val="normaltextrun"/>
                <w:rFonts w:ascii="Arial Nova" w:hAnsi="Arial Nova" w:cs="Arial"/>
                <w:color w:val="000000"/>
                <w:sz w:val="18"/>
                <w:szCs w:val="18"/>
              </w:rPr>
              <w:t>Tertiary Education Council Australia</w:t>
            </w:r>
            <w:r w:rsidRPr="001B012C">
              <w:rPr>
                <w:rStyle w:val="eop"/>
                <w:rFonts w:cs="Arial"/>
                <w:color w:val="000000"/>
                <w:sz w:val="18"/>
                <w:szCs w:val="18"/>
                <w:lang w:val="en-US"/>
              </w:rPr>
              <w:t>​</w:t>
            </w:r>
          </w:p>
        </w:tc>
        <w:tc>
          <w:tcPr>
            <w:tcW w:w="1813" w:type="dxa"/>
          </w:tcPr>
          <w:p w14:paraId="3ECA0970" w14:textId="77777777" w:rsidR="00A2332E" w:rsidRDefault="00A2332E" w:rsidP="005F6ADC">
            <w:pPr>
              <w:rPr>
                <w:rStyle w:val="normaltextrun"/>
                <w:rFonts w:ascii="Arial Nova" w:hAnsi="Arial Nova" w:cs="Arial"/>
                <w:color w:val="000000"/>
                <w:sz w:val="18"/>
                <w:szCs w:val="18"/>
              </w:rPr>
            </w:pPr>
            <w:r w:rsidRPr="001B012C">
              <w:rPr>
                <w:rStyle w:val="normaltextrun"/>
                <w:rFonts w:ascii="Arial Nova" w:hAnsi="Arial Nova" w:cs="Arial"/>
                <w:color w:val="000000"/>
                <w:sz w:val="18"/>
                <w:szCs w:val="18"/>
              </w:rPr>
              <w:t>Federation of Ethnic </w:t>
            </w:r>
          </w:p>
          <w:p w14:paraId="67D8EABF" w14:textId="77777777" w:rsidR="00A2332E" w:rsidRDefault="00A2332E" w:rsidP="005F6ADC">
            <w:pPr>
              <w:rPr>
                <w:rStyle w:val="normaltextrun"/>
                <w:rFonts w:ascii="Arial Nova" w:hAnsi="Arial Nova" w:cs="Arial"/>
                <w:color w:val="000000"/>
                <w:sz w:val="18"/>
                <w:szCs w:val="18"/>
              </w:rPr>
            </w:pPr>
            <w:r w:rsidRPr="001B012C">
              <w:rPr>
                <w:rStyle w:val="normaltextrun"/>
                <w:rFonts w:ascii="Arial Nova" w:hAnsi="Arial Nova" w:cs="Arial"/>
                <w:color w:val="000000"/>
                <w:sz w:val="18"/>
                <w:szCs w:val="18"/>
              </w:rPr>
              <w:t>Communities’ </w:t>
            </w:r>
          </w:p>
          <w:p w14:paraId="07B29228" w14:textId="77777777" w:rsidR="00A2332E" w:rsidRPr="001B012C" w:rsidRDefault="00A2332E" w:rsidP="005F6ADC">
            <w:pPr>
              <w:rPr>
                <w:sz w:val="18"/>
                <w:szCs w:val="18"/>
              </w:rPr>
            </w:pPr>
            <w:r w:rsidRPr="001B012C">
              <w:rPr>
                <w:rStyle w:val="normaltextrun"/>
                <w:rFonts w:ascii="Arial Nova" w:hAnsi="Arial Nova" w:cs="Arial"/>
                <w:color w:val="000000"/>
                <w:sz w:val="18"/>
                <w:szCs w:val="18"/>
              </w:rPr>
              <w:t>Council of Australia</w:t>
            </w:r>
            <w:r w:rsidRPr="001B012C">
              <w:rPr>
                <w:rStyle w:val="eop"/>
                <w:rFonts w:cs="Arial"/>
                <w:color w:val="000000"/>
                <w:sz w:val="18"/>
                <w:szCs w:val="18"/>
                <w:lang w:val="en-US"/>
              </w:rPr>
              <w:t>​</w:t>
            </w:r>
          </w:p>
        </w:tc>
        <w:tc>
          <w:tcPr>
            <w:tcW w:w="1814" w:type="dxa"/>
          </w:tcPr>
          <w:p w14:paraId="689DCA2B" w14:textId="77777777" w:rsidR="00A2332E" w:rsidRPr="001B012C" w:rsidRDefault="00A2332E" w:rsidP="005F6ADC">
            <w:pPr>
              <w:rPr>
                <w:sz w:val="18"/>
                <w:szCs w:val="18"/>
              </w:rPr>
            </w:pPr>
            <w:r w:rsidRPr="2D43B3EB">
              <w:rPr>
                <w:rStyle w:val="normaltextrun"/>
                <w:rFonts w:ascii="Arial Nova" w:hAnsi="Arial Nova" w:cs="Arial"/>
                <w:sz w:val="18"/>
                <w:szCs w:val="18"/>
              </w:rPr>
              <w:t>Department of the Prime Minister and Cabinet</w:t>
            </w:r>
            <w:r w:rsidRPr="2D43B3EB">
              <w:rPr>
                <w:rStyle w:val="eop"/>
                <w:rFonts w:cs="Arial"/>
                <w:sz w:val="18"/>
                <w:szCs w:val="18"/>
                <w:lang w:val="en-US"/>
              </w:rPr>
              <w:t>​</w:t>
            </w:r>
          </w:p>
        </w:tc>
      </w:tr>
      <w:tr w:rsidR="00A2332E" w:rsidRPr="00B26C3D" w14:paraId="5977E209" w14:textId="77777777" w:rsidTr="005F6ADC">
        <w:tc>
          <w:tcPr>
            <w:tcW w:w="1813" w:type="dxa"/>
          </w:tcPr>
          <w:p w14:paraId="26F4D1C8" w14:textId="77777777" w:rsidR="00A2332E" w:rsidRPr="001B012C" w:rsidRDefault="00A2332E" w:rsidP="005F6ADC">
            <w:pPr>
              <w:rPr>
                <w:sz w:val="18"/>
                <w:szCs w:val="18"/>
              </w:rPr>
            </w:pPr>
            <w:r w:rsidRPr="001B012C">
              <w:rPr>
                <w:rStyle w:val="normaltextrun"/>
                <w:rFonts w:ascii="Arial Nova" w:hAnsi="Arial Nova" w:cs="Arial"/>
                <w:color w:val="000000"/>
                <w:sz w:val="18"/>
                <w:szCs w:val="18"/>
              </w:rPr>
              <w:t>Early Learning and Care Council of Australia</w:t>
            </w:r>
            <w:r w:rsidRPr="001B012C">
              <w:rPr>
                <w:rStyle w:val="eop"/>
                <w:rFonts w:cs="Arial"/>
                <w:color w:val="000000"/>
                <w:sz w:val="18"/>
                <w:szCs w:val="18"/>
                <w:lang w:val="en-US"/>
              </w:rPr>
              <w:t>​</w:t>
            </w:r>
          </w:p>
        </w:tc>
        <w:tc>
          <w:tcPr>
            <w:tcW w:w="1813" w:type="dxa"/>
          </w:tcPr>
          <w:p w14:paraId="1920ADF7" w14:textId="77777777" w:rsidR="00A2332E" w:rsidRPr="001B012C" w:rsidRDefault="00A2332E" w:rsidP="005F6ADC">
            <w:pPr>
              <w:rPr>
                <w:sz w:val="18"/>
                <w:szCs w:val="18"/>
              </w:rPr>
            </w:pPr>
            <w:r w:rsidRPr="001B012C">
              <w:rPr>
                <w:rStyle w:val="normaltextrun"/>
                <w:rFonts w:ascii="Arial Nova" w:hAnsi="Arial Nova" w:cs="Arial"/>
                <w:color w:val="000000"/>
                <w:sz w:val="18"/>
                <w:szCs w:val="18"/>
              </w:rPr>
              <w:t>Independent Education Union</w:t>
            </w:r>
          </w:p>
        </w:tc>
        <w:tc>
          <w:tcPr>
            <w:tcW w:w="1814" w:type="dxa"/>
          </w:tcPr>
          <w:p w14:paraId="15BE9B13" w14:textId="77777777" w:rsidR="00A2332E" w:rsidRPr="001B012C" w:rsidRDefault="00A2332E" w:rsidP="005F6ADC">
            <w:pPr>
              <w:rPr>
                <w:sz w:val="18"/>
                <w:szCs w:val="18"/>
              </w:rPr>
            </w:pPr>
            <w:r w:rsidRPr="001B012C">
              <w:rPr>
                <w:rStyle w:val="normaltextrun"/>
                <w:rFonts w:ascii="Arial Nova" w:hAnsi="Arial Nova" w:cs="Arial"/>
                <w:color w:val="000000"/>
                <w:sz w:val="18"/>
                <w:szCs w:val="18"/>
              </w:rPr>
              <w:t>Universities Australia</w:t>
            </w:r>
            <w:r w:rsidRPr="001B012C">
              <w:rPr>
                <w:rStyle w:val="eop"/>
                <w:rFonts w:cs="Arial"/>
                <w:color w:val="000000"/>
                <w:sz w:val="18"/>
                <w:szCs w:val="18"/>
                <w:lang w:val="en-US"/>
              </w:rPr>
              <w:t>​</w:t>
            </w:r>
          </w:p>
        </w:tc>
        <w:tc>
          <w:tcPr>
            <w:tcW w:w="1813" w:type="dxa"/>
          </w:tcPr>
          <w:p w14:paraId="4C4FE02C" w14:textId="77777777" w:rsidR="00A2332E" w:rsidRPr="001B012C" w:rsidRDefault="00A2332E" w:rsidP="005F6ADC">
            <w:pPr>
              <w:rPr>
                <w:sz w:val="18"/>
                <w:szCs w:val="18"/>
              </w:rPr>
            </w:pPr>
            <w:r w:rsidRPr="001B012C">
              <w:rPr>
                <w:rStyle w:val="normaltextrun"/>
                <w:rFonts w:ascii="Arial Nova" w:hAnsi="Arial Nova" w:cs="Arial"/>
                <w:color w:val="000000"/>
                <w:sz w:val="18"/>
                <w:szCs w:val="18"/>
              </w:rPr>
              <w:t>The Parenthood</w:t>
            </w:r>
            <w:r w:rsidRPr="001B012C">
              <w:rPr>
                <w:rStyle w:val="eop"/>
                <w:rFonts w:cs="Arial"/>
                <w:color w:val="000000"/>
                <w:sz w:val="18"/>
                <w:szCs w:val="18"/>
                <w:lang w:val="en-US"/>
              </w:rPr>
              <w:t>​</w:t>
            </w:r>
          </w:p>
        </w:tc>
        <w:tc>
          <w:tcPr>
            <w:tcW w:w="1814" w:type="dxa"/>
          </w:tcPr>
          <w:p w14:paraId="2F57E1A2" w14:textId="77777777" w:rsidR="00A2332E" w:rsidRPr="001B012C" w:rsidRDefault="00A2332E" w:rsidP="005F6ADC">
            <w:pPr>
              <w:rPr>
                <w:sz w:val="18"/>
                <w:szCs w:val="18"/>
              </w:rPr>
            </w:pPr>
            <w:r w:rsidRPr="001B012C">
              <w:rPr>
                <w:rStyle w:val="normaltextrun"/>
                <w:rFonts w:ascii="Arial Nova" w:hAnsi="Arial Nova" w:cs="Arial"/>
                <w:color w:val="000000"/>
                <w:sz w:val="18"/>
                <w:szCs w:val="18"/>
              </w:rPr>
              <w:t>Department of Social Services</w:t>
            </w:r>
            <w:r w:rsidRPr="001B012C">
              <w:rPr>
                <w:rStyle w:val="eop"/>
                <w:rFonts w:cs="Arial"/>
                <w:color w:val="000000"/>
                <w:sz w:val="18"/>
                <w:szCs w:val="18"/>
                <w:lang w:val="en-US"/>
              </w:rPr>
              <w:t>​</w:t>
            </w:r>
          </w:p>
        </w:tc>
      </w:tr>
      <w:tr w:rsidR="00A2332E" w:rsidRPr="00B26C3D" w14:paraId="44DFBB24" w14:textId="77777777" w:rsidTr="005F6ADC">
        <w:trPr>
          <w:cnfStyle w:val="000000010000" w:firstRow="0" w:lastRow="0" w:firstColumn="0" w:lastColumn="0" w:oddVBand="0" w:evenVBand="0" w:oddHBand="0" w:evenHBand="1" w:firstRowFirstColumn="0" w:firstRowLastColumn="0" w:lastRowFirstColumn="0" w:lastRowLastColumn="0"/>
        </w:trPr>
        <w:tc>
          <w:tcPr>
            <w:tcW w:w="1813" w:type="dxa"/>
          </w:tcPr>
          <w:p w14:paraId="67275978" w14:textId="77777777" w:rsidR="00A2332E" w:rsidRPr="001B012C" w:rsidRDefault="00A2332E" w:rsidP="005F6ADC">
            <w:pPr>
              <w:rPr>
                <w:sz w:val="18"/>
                <w:szCs w:val="18"/>
              </w:rPr>
            </w:pPr>
            <w:r w:rsidRPr="001B012C">
              <w:rPr>
                <w:rStyle w:val="normaltextrun"/>
                <w:rFonts w:ascii="Arial Nova" w:hAnsi="Arial Nova" w:cs="Arial"/>
                <w:color w:val="000000"/>
                <w:sz w:val="18"/>
                <w:szCs w:val="18"/>
              </w:rPr>
              <w:t>SNAICC</w:t>
            </w:r>
            <w:r w:rsidRPr="001B012C">
              <w:rPr>
                <w:rStyle w:val="eop"/>
                <w:rFonts w:cs="Arial"/>
                <w:color w:val="000000"/>
                <w:sz w:val="18"/>
                <w:szCs w:val="18"/>
                <w:lang w:val="en-US"/>
              </w:rPr>
              <w:t>​</w:t>
            </w:r>
            <w:r>
              <w:rPr>
                <w:rStyle w:val="eop"/>
                <w:rFonts w:cs="Arial"/>
                <w:color w:val="000000"/>
                <w:sz w:val="18"/>
                <w:szCs w:val="18"/>
                <w:lang w:val="en-US"/>
              </w:rPr>
              <w:t xml:space="preserve"> – National Voice for our Children</w:t>
            </w:r>
          </w:p>
        </w:tc>
        <w:tc>
          <w:tcPr>
            <w:tcW w:w="1813" w:type="dxa"/>
          </w:tcPr>
          <w:p w14:paraId="6BA04781" w14:textId="77777777" w:rsidR="00A2332E" w:rsidRPr="001B012C" w:rsidRDefault="00A2332E" w:rsidP="005F6ADC">
            <w:pPr>
              <w:rPr>
                <w:sz w:val="18"/>
                <w:szCs w:val="18"/>
              </w:rPr>
            </w:pPr>
          </w:p>
        </w:tc>
        <w:tc>
          <w:tcPr>
            <w:tcW w:w="1814" w:type="dxa"/>
          </w:tcPr>
          <w:p w14:paraId="7EE403D0" w14:textId="77777777" w:rsidR="00A2332E" w:rsidRPr="001B012C" w:rsidRDefault="00A2332E" w:rsidP="005F6ADC">
            <w:pPr>
              <w:rPr>
                <w:sz w:val="18"/>
                <w:szCs w:val="18"/>
              </w:rPr>
            </w:pPr>
            <w:r w:rsidRPr="001B012C">
              <w:rPr>
                <w:rStyle w:val="normaltextrun"/>
                <w:rFonts w:ascii="Arial Nova" w:hAnsi="Arial Nova" w:cs="Arial"/>
                <w:color w:val="000000"/>
                <w:sz w:val="18"/>
                <w:szCs w:val="18"/>
              </w:rPr>
              <w:t>Australian Early Childhood Teacher Network</w:t>
            </w:r>
            <w:r w:rsidRPr="001B012C">
              <w:rPr>
                <w:rStyle w:val="eop"/>
                <w:rFonts w:cs="Arial"/>
                <w:color w:val="000000"/>
                <w:sz w:val="18"/>
                <w:szCs w:val="18"/>
                <w:lang w:val="en-US"/>
              </w:rPr>
              <w:t>​</w:t>
            </w:r>
          </w:p>
        </w:tc>
        <w:tc>
          <w:tcPr>
            <w:tcW w:w="1813" w:type="dxa"/>
          </w:tcPr>
          <w:p w14:paraId="0C734EC2" w14:textId="77777777" w:rsidR="00A2332E" w:rsidRPr="001B012C" w:rsidRDefault="00A2332E" w:rsidP="005F6ADC">
            <w:pPr>
              <w:rPr>
                <w:sz w:val="18"/>
                <w:szCs w:val="18"/>
              </w:rPr>
            </w:pPr>
            <w:r w:rsidRPr="001B012C">
              <w:rPr>
                <w:rStyle w:val="normaltextrun"/>
                <w:rFonts w:ascii="Arial Nova" w:hAnsi="Arial Nova" w:cs="Arial"/>
                <w:color w:val="000000"/>
                <w:sz w:val="18"/>
                <w:szCs w:val="18"/>
              </w:rPr>
              <w:t>Regional Early Education and Development</w:t>
            </w:r>
            <w:r w:rsidRPr="001B012C">
              <w:rPr>
                <w:rStyle w:val="eop"/>
                <w:rFonts w:cs="Arial"/>
                <w:color w:val="000000"/>
                <w:sz w:val="18"/>
                <w:szCs w:val="18"/>
                <w:lang w:val="en-US"/>
              </w:rPr>
              <w:t>​</w:t>
            </w:r>
          </w:p>
        </w:tc>
        <w:tc>
          <w:tcPr>
            <w:tcW w:w="1814" w:type="dxa"/>
          </w:tcPr>
          <w:p w14:paraId="3EA11642" w14:textId="77777777" w:rsidR="00A2332E" w:rsidRPr="001B012C" w:rsidRDefault="00A2332E" w:rsidP="005F6ADC">
            <w:pPr>
              <w:rPr>
                <w:sz w:val="18"/>
                <w:szCs w:val="18"/>
              </w:rPr>
            </w:pPr>
            <w:r w:rsidRPr="001B012C">
              <w:rPr>
                <w:rStyle w:val="normaltextrun"/>
                <w:rFonts w:ascii="Arial Nova" w:hAnsi="Arial Nova" w:cs="Arial"/>
                <w:color w:val="000000"/>
                <w:sz w:val="18"/>
                <w:szCs w:val="18"/>
              </w:rPr>
              <w:t>The Australian Children’s Education and Care Quality Authority</w:t>
            </w:r>
            <w:r w:rsidRPr="001B012C">
              <w:rPr>
                <w:rStyle w:val="eop"/>
                <w:rFonts w:cs="Arial"/>
                <w:color w:val="000000"/>
                <w:sz w:val="18"/>
                <w:szCs w:val="18"/>
                <w:lang w:val="en-US"/>
              </w:rPr>
              <w:t>​</w:t>
            </w:r>
          </w:p>
        </w:tc>
      </w:tr>
      <w:tr w:rsidR="00A2332E" w:rsidRPr="00B26C3D" w14:paraId="4E8A4E42" w14:textId="77777777" w:rsidTr="005F6ADC">
        <w:tc>
          <w:tcPr>
            <w:tcW w:w="1813" w:type="dxa"/>
          </w:tcPr>
          <w:p w14:paraId="561B33C3" w14:textId="77777777" w:rsidR="00A2332E" w:rsidRPr="001B012C" w:rsidRDefault="00A2332E" w:rsidP="005F6ADC">
            <w:pPr>
              <w:rPr>
                <w:sz w:val="18"/>
                <w:szCs w:val="18"/>
              </w:rPr>
            </w:pPr>
            <w:r w:rsidRPr="001B012C">
              <w:rPr>
                <w:rStyle w:val="normaltextrun"/>
                <w:rFonts w:ascii="Arial Nova" w:hAnsi="Arial Nova" w:cs="Arial"/>
                <w:color w:val="000000"/>
                <w:sz w:val="18"/>
                <w:szCs w:val="18"/>
              </w:rPr>
              <w:t>Family Day Care Australia</w:t>
            </w:r>
            <w:r w:rsidRPr="001B012C">
              <w:rPr>
                <w:rStyle w:val="eop"/>
                <w:rFonts w:cs="Arial"/>
                <w:color w:val="000000"/>
                <w:sz w:val="18"/>
                <w:szCs w:val="18"/>
                <w:lang w:val="en-US"/>
              </w:rPr>
              <w:t>​</w:t>
            </w:r>
          </w:p>
        </w:tc>
        <w:tc>
          <w:tcPr>
            <w:tcW w:w="1813" w:type="dxa"/>
          </w:tcPr>
          <w:p w14:paraId="6C9D97F4" w14:textId="77777777" w:rsidR="00A2332E" w:rsidRPr="001B012C" w:rsidRDefault="00A2332E" w:rsidP="005F6ADC">
            <w:pPr>
              <w:rPr>
                <w:sz w:val="18"/>
                <w:szCs w:val="18"/>
              </w:rPr>
            </w:pPr>
          </w:p>
        </w:tc>
        <w:tc>
          <w:tcPr>
            <w:tcW w:w="1814" w:type="dxa"/>
          </w:tcPr>
          <w:p w14:paraId="74DB5CDB" w14:textId="77777777" w:rsidR="00A2332E" w:rsidRPr="001B012C" w:rsidRDefault="00A2332E" w:rsidP="005F6ADC">
            <w:pPr>
              <w:rPr>
                <w:sz w:val="18"/>
                <w:szCs w:val="18"/>
              </w:rPr>
            </w:pPr>
          </w:p>
        </w:tc>
        <w:tc>
          <w:tcPr>
            <w:tcW w:w="1813" w:type="dxa"/>
          </w:tcPr>
          <w:p w14:paraId="1E862915" w14:textId="77777777" w:rsidR="00A2332E" w:rsidRPr="001B012C" w:rsidRDefault="00A2332E" w:rsidP="005F6ADC">
            <w:pPr>
              <w:rPr>
                <w:sz w:val="18"/>
                <w:szCs w:val="18"/>
              </w:rPr>
            </w:pPr>
          </w:p>
        </w:tc>
        <w:tc>
          <w:tcPr>
            <w:tcW w:w="1814" w:type="dxa"/>
          </w:tcPr>
          <w:p w14:paraId="1BE2D748" w14:textId="77777777" w:rsidR="00A2332E" w:rsidRDefault="00A2332E" w:rsidP="005F6ADC">
            <w:pPr>
              <w:rPr>
                <w:rStyle w:val="normaltextrun"/>
                <w:rFonts w:ascii="Arial Nova" w:hAnsi="Arial Nova" w:cs="Arial"/>
                <w:color w:val="000000"/>
                <w:sz w:val="18"/>
                <w:szCs w:val="18"/>
              </w:rPr>
            </w:pPr>
            <w:r w:rsidRPr="001B012C">
              <w:rPr>
                <w:rStyle w:val="normaltextrun"/>
                <w:rFonts w:ascii="Arial Nova" w:hAnsi="Arial Nova" w:cs="Arial"/>
                <w:color w:val="000000"/>
                <w:sz w:val="18"/>
                <w:szCs w:val="18"/>
              </w:rPr>
              <w:t>State &amp; Territory </w:t>
            </w:r>
          </w:p>
          <w:p w14:paraId="6869B806" w14:textId="77777777" w:rsidR="00A2332E" w:rsidRDefault="00A2332E" w:rsidP="005F6ADC">
            <w:pPr>
              <w:rPr>
                <w:rStyle w:val="normaltextrun"/>
                <w:rFonts w:ascii="Arial Nova" w:hAnsi="Arial Nova" w:cs="Arial"/>
                <w:color w:val="000000"/>
                <w:sz w:val="18"/>
                <w:szCs w:val="18"/>
              </w:rPr>
            </w:pPr>
            <w:r w:rsidRPr="001B012C">
              <w:rPr>
                <w:rStyle w:val="normaltextrun"/>
                <w:rFonts w:ascii="Arial Nova" w:hAnsi="Arial Nova" w:cs="Arial"/>
                <w:color w:val="000000"/>
                <w:sz w:val="18"/>
                <w:szCs w:val="18"/>
              </w:rPr>
              <w:t>Government </w:t>
            </w:r>
          </w:p>
          <w:p w14:paraId="3AC5BA56" w14:textId="77777777" w:rsidR="00A2332E" w:rsidRPr="001B012C" w:rsidRDefault="00A2332E" w:rsidP="005F6ADC">
            <w:pPr>
              <w:rPr>
                <w:sz w:val="18"/>
                <w:szCs w:val="18"/>
              </w:rPr>
            </w:pPr>
            <w:r w:rsidRPr="001B012C">
              <w:rPr>
                <w:rStyle w:val="normaltextrun"/>
                <w:rFonts w:ascii="Arial Nova" w:hAnsi="Arial Nova" w:cs="Arial"/>
                <w:color w:val="000000"/>
                <w:sz w:val="18"/>
                <w:szCs w:val="18"/>
              </w:rPr>
              <w:t>representatives</w:t>
            </w:r>
            <w:r w:rsidRPr="001B012C">
              <w:rPr>
                <w:rStyle w:val="eop"/>
                <w:rFonts w:cs="Arial"/>
                <w:color w:val="000000"/>
                <w:sz w:val="18"/>
                <w:szCs w:val="18"/>
                <w:lang w:val="en-US"/>
              </w:rPr>
              <w:t>​</w:t>
            </w:r>
          </w:p>
        </w:tc>
      </w:tr>
      <w:tr w:rsidR="00A2332E" w:rsidRPr="00B26C3D" w14:paraId="3F9A8F99" w14:textId="77777777" w:rsidTr="005F6ADC">
        <w:trPr>
          <w:cnfStyle w:val="000000010000" w:firstRow="0" w:lastRow="0" w:firstColumn="0" w:lastColumn="0" w:oddVBand="0" w:evenVBand="0" w:oddHBand="0" w:evenHBand="1" w:firstRowFirstColumn="0" w:firstRowLastColumn="0" w:lastRowFirstColumn="0" w:lastRowLastColumn="0"/>
        </w:trPr>
        <w:tc>
          <w:tcPr>
            <w:tcW w:w="1813" w:type="dxa"/>
          </w:tcPr>
          <w:p w14:paraId="2AE90BBA" w14:textId="77777777" w:rsidR="00A2332E" w:rsidRPr="001B012C" w:rsidRDefault="00A2332E" w:rsidP="005F6ADC">
            <w:pPr>
              <w:rPr>
                <w:sz w:val="18"/>
                <w:szCs w:val="18"/>
              </w:rPr>
            </w:pPr>
            <w:r w:rsidRPr="001B012C">
              <w:rPr>
                <w:rStyle w:val="normaltextrun"/>
                <w:rFonts w:ascii="Arial Nova" w:hAnsi="Arial Nova" w:cs="Arial"/>
                <w:color w:val="000000"/>
                <w:sz w:val="18"/>
                <w:szCs w:val="18"/>
              </w:rPr>
              <w:t>Outside of School Hours Council of Australia</w:t>
            </w:r>
            <w:r w:rsidRPr="001B012C">
              <w:rPr>
                <w:rStyle w:val="eop"/>
                <w:rFonts w:cs="Arial"/>
                <w:color w:val="000000"/>
                <w:sz w:val="18"/>
                <w:szCs w:val="18"/>
                <w:lang w:val="en-US"/>
              </w:rPr>
              <w:t>​</w:t>
            </w:r>
          </w:p>
        </w:tc>
        <w:tc>
          <w:tcPr>
            <w:tcW w:w="1813" w:type="dxa"/>
          </w:tcPr>
          <w:p w14:paraId="49739891" w14:textId="77777777" w:rsidR="00A2332E" w:rsidRPr="001B012C" w:rsidRDefault="00A2332E" w:rsidP="005F6ADC">
            <w:pPr>
              <w:rPr>
                <w:sz w:val="18"/>
                <w:szCs w:val="18"/>
              </w:rPr>
            </w:pPr>
          </w:p>
        </w:tc>
        <w:tc>
          <w:tcPr>
            <w:tcW w:w="1814" w:type="dxa"/>
          </w:tcPr>
          <w:p w14:paraId="72B0BCC7" w14:textId="77777777" w:rsidR="00A2332E" w:rsidRPr="001B012C" w:rsidRDefault="00A2332E" w:rsidP="005F6ADC">
            <w:pPr>
              <w:rPr>
                <w:sz w:val="18"/>
                <w:szCs w:val="18"/>
              </w:rPr>
            </w:pPr>
          </w:p>
        </w:tc>
        <w:tc>
          <w:tcPr>
            <w:tcW w:w="1813" w:type="dxa"/>
          </w:tcPr>
          <w:p w14:paraId="014710CA" w14:textId="77777777" w:rsidR="00A2332E" w:rsidRPr="001B012C" w:rsidRDefault="00A2332E" w:rsidP="005F6ADC">
            <w:pPr>
              <w:rPr>
                <w:sz w:val="18"/>
                <w:szCs w:val="18"/>
              </w:rPr>
            </w:pPr>
          </w:p>
        </w:tc>
        <w:tc>
          <w:tcPr>
            <w:tcW w:w="1814" w:type="dxa"/>
          </w:tcPr>
          <w:p w14:paraId="1E5BB77A" w14:textId="77777777" w:rsidR="00A2332E" w:rsidRPr="001B012C" w:rsidRDefault="00A2332E" w:rsidP="005F6ADC">
            <w:pPr>
              <w:rPr>
                <w:sz w:val="18"/>
                <w:szCs w:val="18"/>
              </w:rPr>
            </w:pPr>
            <w:r w:rsidRPr="001B012C">
              <w:rPr>
                <w:rStyle w:val="normaltextrun"/>
                <w:rFonts w:ascii="Arial Nova" w:hAnsi="Arial Nova" w:cs="Arial"/>
                <w:color w:val="000000"/>
                <w:sz w:val="18"/>
                <w:szCs w:val="18"/>
              </w:rPr>
              <w:t>Australian Education Research Organisation</w:t>
            </w:r>
            <w:r w:rsidRPr="001B012C">
              <w:rPr>
                <w:rStyle w:val="eop"/>
                <w:rFonts w:cs="Arial"/>
                <w:color w:val="000000"/>
                <w:sz w:val="18"/>
                <w:szCs w:val="18"/>
                <w:lang w:val="en-US"/>
              </w:rPr>
              <w:t>​</w:t>
            </w:r>
          </w:p>
        </w:tc>
      </w:tr>
      <w:tr w:rsidR="00A2332E" w:rsidRPr="00B26C3D" w14:paraId="4CADCED9" w14:textId="77777777" w:rsidTr="005F6ADC">
        <w:tc>
          <w:tcPr>
            <w:tcW w:w="1813" w:type="dxa"/>
          </w:tcPr>
          <w:p w14:paraId="2783C27A" w14:textId="77777777" w:rsidR="00A2332E" w:rsidRDefault="00A2332E" w:rsidP="005F6ADC">
            <w:pPr>
              <w:rPr>
                <w:rStyle w:val="normaltextrun"/>
                <w:rFonts w:ascii="Arial Nova" w:hAnsi="Arial Nova" w:cs="Arial"/>
                <w:color w:val="000000"/>
                <w:sz w:val="18"/>
                <w:szCs w:val="18"/>
              </w:rPr>
            </w:pPr>
            <w:r w:rsidRPr="001B012C">
              <w:rPr>
                <w:rStyle w:val="normaltextrun"/>
                <w:rFonts w:ascii="Arial Nova" w:hAnsi="Arial Nova" w:cs="Arial"/>
                <w:color w:val="000000"/>
                <w:sz w:val="18"/>
                <w:szCs w:val="18"/>
              </w:rPr>
              <w:t>Australian Home Childcare </w:t>
            </w:r>
          </w:p>
          <w:p w14:paraId="04C8950C" w14:textId="77777777" w:rsidR="00A2332E" w:rsidRPr="001B012C" w:rsidRDefault="00A2332E" w:rsidP="005F6ADC">
            <w:pPr>
              <w:rPr>
                <w:sz w:val="18"/>
                <w:szCs w:val="18"/>
              </w:rPr>
            </w:pPr>
            <w:r w:rsidRPr="001B012C">
              <w:rPr>
                <w:rStyle w:val="normaltextrun"/>
                <w:rFonts w:ascii="Arial Nova" w:hAnsi="Arial Nova" w:cs="Arial"/>
                <w:color w:val="000000"/>
                <w:sz w:val="18"/>
                <w:szCs w:val="18"/>
              </w:rPr>
              <w:t>Association </w:t>
            </w:r>
            <w:r w:rsidRPr="001B012C">
              <w:rPr>
                <w:rStyle w:val="eop"/>
                <w:rFonts w:cs="Arial"/>
                <w:color w:val="000000"/>
                <w:sz w:val="18"/>
                <w:szCs w:val="18"/>
                <w:lang w:val="en-US"/>
              </w:rPr>
              <w:t>​</w:t>
            </w:r>
          </w:p>
        </w:tc>
        <w:tc>
          <w:tcPr>
            <w:tcW w:w="1813" w:type="dxa"/>
          </w:tcPr>
          <w:p w14:paraId="1E0A8EDB" w14:textId="77777777" w:rsidR="00A2332E" w:rsidRPr="001B012C" w:rsidRDefault="00A2332E" w:rsidP="005F6ADC">
            <w:pPr>
              <w:rPr>
                <w:sz w:val="18"/>
                <w:szCs w:val="18"/>
              </w:rPr>
            </w:pPr>
          </w:p>
        </w:tc>
        <w:tc>
          <w:tcPr>
            <w:tcW w:w="1814" w:type="dxa"/>
          </w:tcPr>
          <w:p w14:paraId="16172275" w14:textId="77777777" w:rsidR="00A2332E" w:rsidRPr="001B012C" w:rsidRDefault="00A2332E" w:rsidP="005F6ADC">
            <w:pPr>
              <w:rPr>
                <w:sz w:val="18"/>
                <w:szCs w:val="18"/>
              </w:rPr>
            </w:pPr>
          </w:p>
        </w:tc>
        <w:tc>
          <w:tcPr>
            <w:tcW w:w="1813" w:type="dxa"/>
          </w:tcPr>
          <w:p w14:paraId="10918D24" w14:textId="77777777" w:rsidR="00A2332E" w:rsidRPr="001B012C" w:rsidRDefault="00A2332E" w:rsidP="005F6ADC">
            <w:pPr>
              <w:rPr>
                <w:sz w:val="18"/>
                <w:szCs w:val="18"/>
              </w:rPr>
            </w:pPr>
          </w:p>
        </w:tc>
        <w:tc>
          <w:tcPr>
            <w:tcW w:w="1814" w:type="dxa"/>
          </w:tcPr>
          <w:p w14:paraId="3AE05F1E" w14:textId="77777777" w:rsidR="00A2332E" w:rsidRPr="001B012C" w:rsidRDefault="00A2332E" w:rsidP="005F6ADC">
            <w:pPr>
              <w:rPr>
                <w:sz w:val="18"/>
                <w:szCs w:val="18"/>
              </w:rPr>
            </w:pPr>
          </w:p>
        </w:tc>
      </w:tr>
    </w:tbl>
    <w:p w14:paraId="42E54994" w14:textId="77777777" w:rsidR="00A2332E" w:rsidRDefault="00A2332E" w:rsidP="00A2332E">
      <w:pPr>
        <w:pStyle w:val="Default"/>
        <w:rPr>
          <w:sz w:val="22"/>
          <w:szCs w:val="22"/>
        </w:rPr>
      </w:pPr>
    </w:p>
    <w:p w14:paraId="71447812" w14:textId="77777777" w:rsidR="00A2332E" w:rsidRPr="00FB4F5C" w:rsidRDefault="00A2332E" w:rsidP="00A2332E">
      <w:r w:rsidRPr="00FB4F5C">
        <w:t xml:space="preserve">The purpose of the Steering Group </w:t>
      </w:r>
      <w:r>
        <w:t>wa</w:t>
      </w:r>
      <w:r w:rsidRPr="00FB4F5C">
        <w:t>s to:</w:t>
      </w:r>
    </w:p>
    <w:p w14:paraId="6ABF4B6A" w14:textId="77777777" w:rsidR="00A2332E" w:rsidRDefault="00A2332E" w:rsidP="00A2332E">
      <w:pPr>
        <w:pStyle w:val="ListBullet"/>
      </w:pPr>
      <w:r w:rsidRPr="1063B8E9">
        <w:t>Assist with the study’s strategic direct</w:t>
      </w:r>
      <w:r>
        <w:t>ion</w:t>
      </w:r>
      <w:r w:rsidRPr="1063B8E9">
        <w:t xml:space="preserve"> (outlined by the research scope) and assist with identifying key issues and overall framing for the report</w:t>
      </w:r>
      <w:r>
        <w:t>.</w:t>
      </w:r>
    </w:p>
    <w:p w14:paraId="47BD0B88" w14:textId="77777777" w:rsidR="00A2332E" w:rsidRPr="00FB4F5C" w:rsidRDefault="00A2332E" w:rsidP="00A2332E">
      <w:pPr>
        <w:pStyle w:val="ListBullet"/>
      </w:pPr>
      <w:r w:rsidRPr="1063B8E9">
        <w:t>Provide subject matter expertise and technical advice to the ECEC Study Team (the Team) on the overall structure and settings of the ECEC sector.</w:t>
      </w:r>
    </w:p>
    <w:p w14:paraId="3A703B12" w14:textId="77777777" w:rsidR="00A2332E" w:rsidRPr="00FB4F5C" w:rsidRDefault="00A2332E" w:rsidP="00A2332E">
      <w:pPr>
        <w:pStyle w:val="ListBullet"/>
      </w:pPr>
      <w:r w:rsidRPr="1063B8E9">
        <w:t xml:space="preserve">Provide views and technical expertise relating to the current state of the ECEC workforce and its future needs, within their own and related areas of expertise, to assist in identifying, analysing, and reporting on sector workforce pressures, now and into the future (ten-year period). </w:t>
      </w:r>
    </w:p>
    <w:p w14:paraId="7E96F322" w14:textId="77777777" w:rsidR="00A2332E" w:rsidRPr="00FB4F5C" w:rsidRDefault="00A2332E" w:rsidP="00A2332E">
      <w:pPr>
        <w:pStyle w:val="ListBullet"/>
      </w:pPr>
      <w:r w:rsidRPr="1063B8E9">
        <w:rPr>
          <w:color w:val="auto"/>
        </w:rPr>
        <w:lastRenderedPageBreak/>
        <w:t xml:space="preserve">Review study products as required ahead of their publications, such as interim reporting and the final report. </w:t>
      </w:r>
    </w:p>
    <w:p w14:paraId="7FFA5822" w14:textId="77777777" w:rsidR="00A2332E" w:rsidRPr="001D4C8B" w:rsidRDefault="00A2332E" w:rsidP="00A2332E">
      <w:pPr>
        <w:pStyle w:val="ListBullet"/>
      </w:pPr>
      <w:r w:rsidRPr="1063B8E9">
        <w:rPr>
          <w:color w:val="auto"/>
        </w:rPr>
        <w:t>Encourage economy-wide views from stakeholders to inform the study’s research enquiries, seeking to ensure broad stakeholder input into the study, including supporting the Team to target specific stakeholders for views and to facilitate engagement opportunities such as roundtabl</w:t>
      </w:r>
      <w:r w:rsidRPr="001D4C8B">
        <w:rPr>
          <w:color w:val="auto"/>
        </w:rPr>
        <w:t xml:space="preserve">es, where appropriate. </w:t>
      </w:r>
    </w:p>
    <w:p w14:paraId="42140910" w14:textId="77777777" w:rsidR="00A2332E" w:rsidRPr="001D4C8B" w:rsidRDefault="00A2332E" w:rsidP="00A2332E">
      <w:pPr>
        <w:pStyle w:val="ListBullet"/>
        <w:rPr>
          <w:color w:val="auto"/>
        </w:rPr>
      </w:pPr>
      <w:r w:rsidRPr="001D4C8B">
        <w:rPr>
          <w:color w:val="auto"/>
        </w:rPr>
        <w:t>The Steering Group was advisory and did not have any decision-making powers in relation to the Study.</w:t>
      </w:r>
    </w:p>
    <w:p w14:paraId="15AC7645" w14:textId="77777777" w:rsidR="00A2332E" w:rsidRDefault="00A2332E" w:rsidP="00A2332E">
      <w:r>
        <w:t xml:space="preserve">The Study Steering Group members were invited to five formal minuted and three optional meetings between December 2023 – May 2024. </w:t>
      </w:r>
    </w:p>
    <w:p w14:paraId="1441E52C" w14:textId="77777777" w:rsidR="00A2332E" w:rsidRDefault="00A2332E" w:rsidP="00A2332E">
      <w:pPr>
        <w:pStyle w:val="ListBullet"/>
      </w:pPr>
      <w:r>
        <w:t xml:space="preserve">Meeting 1 – 13th December 2023 </w:t>
      </w:r>
    </w:p>
    <w:p w14:paraId="3F0193FD" w14:textId="77777777" w:rsidR="00A2332E" w:rsidRDefault="00A2332E" w:rsidP="00A2332E">
      <w:pPr>
        <w:pStyle w:val="ListBullet"/>
      </w:pPr>
      <w:r>
        <w:t>Meeting 2 – 28th February 2024</w:t>
      </w:r>
    </w:p>
    <w:p w14:paraId="3A9723EE" w14:textId="77777777" w:rsidR="00A2332E" w:rsidRDefault="00A2332E" w:rsidP="00A2332E">
      <w:pPr>
        <w:pStyle w:val="ListBullet"/>
      </w:pPr>
      <w:r>
        <w:t>Meeting 3 – 20th March 2024</w:t>
      </w:r>
    </w:p>
    <w:p w14:paraId="534A4531" w14:textId="77777777" w:rsidR="00A2332E" w:rsidRDefault="00A2332E" w:rsidP="00A2332E">
      <w:pPr>
        <w:pStyle w:val="ListBullet"/>
      </w:pPr>
      <w:r>
        <w:t>Meeting 4 – 19th April 2024</w:t>
      </w:r>
    </w:p>
    <w:p w14:paraId="634D3992" w14:textId="77777777" w:rsidR="00A2332E" w:rsidRDefault="00A2332E" w:rsidP="00A2332E">
      <w:pPr>
        <w:pStyle w:val="ListBullet"/>
      </w:pPr>
      <w:r>
        <w:t>Meeting 5 – 29th May 2024</w:t>
      </w:r>
    </w:p>
    <w:p w14:paraId="24A68EE6" w14:textId="77777777" w:rsidR="00A2332E" w:rsidRDefault="00A2332E" w:rsidP="00A2332E">
      <w:pPr>
        <w:pStyle w:val="ListBullet"/>
      </w:pPr>
      <w:r>
        <w:t>Out of session meetings</w:t>
      </w:r>
    </w:p>
    <w:p w14:paraId="24C4E6DF" w14:textId="77777777" w:rsidR="00A2332E" w:rsidRDefault="00A2332E" w:rsidP="00A2332E">
      <w:pPr>
        <w:pStyle w:val="ListBullet2"/>
      </w:pPr>
      <w:r>
        <w:t xml:space="preserve">Review of modelling – 12th April 2024 </w:t>
      </w:r>
    </w:p>
    <w:p w14:paraId="30D9C045" w14:textId="77777777" w:rsidR="00A2332E" w:rsidRDefault="00A2332E" w:rsidP="00A2332E">
      <w:pPr>
        <w:pStyle w:val="ListBullet2"/>
      </w:pPr>
      <w:r>
        <w:t>Out of session: Review of initial report findings – 30th April 2024</w:t>
      </w:r>
    </w:p>
    <w:p w14:paraId="2CB1E6F1" w14:textId="77777777" w:rsidR="00A2332E" w:rsidRDefault="00A2332E" w:rsidP="00A2332E">
      <w:pPr>
        <w:pStyle w:val="ListBullet2"/>
      </w:pPr>
      <w:r>
        <w:t>Feedback on proposed report case studies – 24</w:t>
      </w:r>
      <w:r w:rsidRPr="000A04CC">
        <w:rPr>
          <w:vertAlign w:val="superscript"/>
        </w:rPr>
        <w:t>th</w:t>
      </w:r>
      <w:r>
        <w:t xml:space="preserve"> May 2024</w:t>
      </w:r>
    </w:p>
    <w:p w14:paraId="3FF57727" w14:textId="77777777" w:rsidR="00A2332E" w:rsidRDefault="00A2332E" w:rsidP="00A2332E">
      <w:pPr>
        <w:pStyle w:val="Heading3"/>
      </w:pPr>
      <w:bookmarkStart w:id="193" w:name="_Toc170464039"/>
      <w:r>
        <w:t>Engagement</w:t>
      </w:r>
      <w:bookmarkEnd w:id="193"/>
    </w:p>
    <w:p w14:paraId="46E8F792" w14:textId="77777777" w:rsidR="00A2332E" w:rsidRPr="0019764F" w:rsidRDefault="00A2332E" w:rsidP="00A2332E">
      <w:r>
        <w:t>The purpose of</w:t>
      </w:r>
      <w:r w:rsidRPr="002533C6">
        <w:t xml:space="preserve"> stakeholder engagement and partner consultation </w:t>
      </w:r>
      <w:r>
        <w:t>was to enable</w:t>
      </w:r>
      <w:r>
        <w:rPr>
          <w:i/>
          <w:iCs/>
        </w:rPr>
        <w:t xml:space="preserve"> </w:t>
      </w:r>
      <w:r w:rsidRPr="000D4F08">
        <w:t>JSA to gather robust qualitative data and insights from ECEC stakeholders</w:t>
      </w:r>
      <w:r>
        <w:t xml:space="preserve"> across the economy and the country.</w:t>
      </w:r>
    </w:p>
    <w:p w14:paraId="726E8529" w14:textId="77777777" w:rsidR="00A2332E" w:rsidRDefault="00A2332E" w:rsidP="00A2332E">
      <w:r>
        <w:t xml:space="preserve">By seeking diverse views, JSA gained a deeper understanding of the </w:t>
      </w:r>
      <w:r w:rsidRPr="00F43A66">
        <w:t>current and future workforce demand and supply factor</w:t>
      </w:r>
      <w:r>
        <w:t xml:space="preserve">s and aim to </w:t>
      </w:r>
      <w:r w:rsidRPr="00F43A66">
        <w:t xml:space="preserve">bridge gaps </w:t>
      </w:r>
      <w:r>
        <w:t>to improve the advice to Government on</w:t>
      </w:r>
      <w:r w:rsidRPr="00F43A66">
        <w:t xml:space="preserve"> the sector’s </w:t>
      </w:r>
      <w:r>
        <w:t xml:space="preserve">longer-term </w:t>
      </w:r>
      <w:r w:rsidRPr="00F43A66">
        <w:t>workforce needs</w:t>
      </w:r>
      <w:r>
        <w:t>.</w:t>
      </w:r>
    </w:p>
    <w:p w14:paraId="14F77008" w14:textId="77777777" w:rsidR="00A2332E" w:rsidRPr="00854174" w:rsidRDefault="00A2332E" w:rsidP="00A2332E">
      <w:pPr>
        <w:rPr>
          <w:color w:val="auto"/>
        </w:rPr>
      </w:pPr>
      <w:r w:rsidRPr="00AB0ED7">
        <w:rPr>
          <w:color w:val="auto"/>
        </w:rPr>
        <w:t xml:space="preserve">JSA’s </w:t>
      </w:r>
      <w:hyperlink r:id="rId150" w:anchor=":~:text=How%20we%20engage,two%2Dway%20sharing%20of%20information." w:history="1">
        <w:r w:rsidRPr="00C1219E">
          <w:rPr>
            <w:rStyle w:val="Hyperlink"/>
            <w:rFonts w:asciiTheme="majorHAnsi" w:hAnsiTheme="majorHAnsi" w:cstheme="majorHAnsi"/>
          </w:rPr>
          <w:t>Engagement and Outreach Strategy</w:t>
        </w:r>
      </w:hyperlink>
      <w:r w:rsidRPr="00AB0ED7" w:rsidDel="00AB0ED7">
        <w:rPr>
          <w:color w:val="auto"/>
        </w:rPr>
        <w:t xml:space="preserve"> </w:t>
      </w:r>
      <w:r>
        <w:rPr>
          <w:color w:val="auto"/>
        </w:rPr>
        <w:t>articulates the following engagement principles, which have informed the development of the engagement plan for this study:</w:t>
      </w:r>
    </w:p>
    <w:p w14:paraId="73919960" w14:textId="77777777" w:rsidR="00A2332E" w:rsidRPr="00854174" w:rsidRDefault="00A2332E" w:rsidP="00A2332E">
      <w:pPr>
        <w:spacing w:after="60"/>
        <w:ind w:left="720"/>
        <w:rPr>
          <w:rFonts w:asciiTheme="majorHAnsi" w:hAnsiTheme="majorHAnsi" w:cstheme="majorHAnsi"/>
          <w:i/>
          <w:iCs/>
          <w:color w:val="auto"/>
        </w:rPr>
      </w:pPr>
      <w:r w:rsidRPr="00854174">
        <w:rPr>
          <w:rFonts w:asciiTheme="majorHAnsi" w:hAnsiTheme="majorHAnsi" w:cstheme="majorHAnsi"/>
          <w:i/>
          <w:iCs/>
          <w:color w:val="auto"/>
        </w:rPr>
        <w:t xml:space="preserve">1. Our engagement is </w:t>
      </w:r>
      <w:r w:rsidRPr="00854174">
        <w:rPr>
          <w:rFonts w:asciiTheme="majorHAnsi" w:hAnsiTheme="majorHAnsi" w:cstheme="majorHAnsi"/>
          <w:b/>
          <w:bCs/>
          <w:i/>
          <w:iCs/>
          <w:color w:val="auto"/>
        </w:rPr>
        <w:t>inclusive</w:t>
      </w:r>
      <w:r w:rsidRPr="00854174">
        <w:rPr>
          <w:rFonts w:asciiTheme="majorHAnsi" w:hAnsiTheme="majorHAnsi" w:cstheme="majorHAnsi"/>
          <w:i/>
          <w:iCs/>
          <w:color w:val="auto"/>
        </w:rPr>
        <w:t xml:space="preserve"> and aims to ensure our analysis and advice represents a diverse community and economy</w:t>
      </w:r>
    </w:p>
    <w:p w14:paraId="33B5FA1A" w14:textId="77777777" w:rsidR="00A2332E" w:rsidRPr="00854174" w:rsidRDefault="00A2332E" w:rsidP="00A2332E">
      <w:pPr>
        <w:spacing w:after="60"/>
        <w:ind w:left="720"/>
        <w:rPr>
          <w:rFonts w:asciiTheme="majorHAnsi" w:hAnsiTheme="majorHAnsi" w:cstheme="majorHAnsi"/>
          <w:i/>
          <w:iCs/>
          <w:color w:val="auto"/>
        </w:rPr>
      </w:pPr>
      <w:r w:rsidRPr="00854174">
        <w:rPr>
          <w:rFonts w:asciiTheme="majorHAnsi" w:hAnsiTheme="majorHAnsi" w:cstheme="majorHAnsi"/>
          <w:i/>
          <w:iCs/>
          <w:color w:val="auto"/>
        </w:rPr>
        <w:t xml:space="preserve">2. Our engagement is </w:t>
      </w:r>
      <w:r w:rsidRPr="00854174">
        <w:rPr>
          <w:rFonts w:asciiTheme="majorHAnsi" w:hAnsiTheme="majorHAnsi" w:cstheme="majorHAnsi"/>
          <w:b/>
          <w:bCs/>
          <w:i/>
          <w:iCs/>
          <w:color w:val="auto"/>
        </w:rPr>
        <w:t>effective</w:t>
      </w:r>
      <w:r w:rsidRPr="00854174">
        <w:rPr>
          <w:rFonts w:asciiTheme="majorHAnsi" w:hAnsiTheme="majorHAnsi" w:cstheme="majorHAnsi"/>
          <w:i/>
          <w:iCs/>
          <w:color w:val="auto"/>
        </w:rPr>
        <w:t xml:space="preserve"> and ongoing, that meaningfully impacts on the development, delivery, and quality of our work</w:t>
      </w:r>
    </w:p>
    <w:p w14:paraId="67488598" w14:textId="77777777" w:rsidR="00A2332E" w:rsidRPr="00854174" w:rsidRDefault="00A2332E" w:rsidP="00A2332E">
      <w:pPr>
        <w:spacing w:after="60"/>
        <w:ind w:left="720"/>
        <w:rPr>
          <w:rFonts w:asciiTheme="majorHAnsi" w:hAnsiTheme="majorHAnsi" w:cstheme="majorHAnsi"/>
          <w:i/>
          <w:iCs/>
          <w:color w:val="auto"/>
        </w:rPr>
      </w:pPr>
      <w:r w:rsidRPr="00854174">
        <w:rPr>
          <w:rFonts w:asciiTheme="majorHAnsi" w:hAnsiTheme="majorHAnsi" w:cstheme="majorHAnsi"/>
          <w:i/>
          <w:iCs/>
          <w:color w:val="auto"/>
        </w:rPr>
        <w:t xml:space="preserve">3. Our engagement is two-way and </w:t>
      </w:r>
      <w:r w:rsidRPr="00854174">
        <w:rPr>
          <w:rFonts w:asciiTheme="majorHAnsi" w:hAnsiTheme="majorHAnsi" w:cstheme="majorHAnsi"/>
          <w:b/>
          <w:bCs/>
          <w:i/>
          <w:iCs/>
          <w:color w:val="auto"/>
        </w:rPr>
        <w:t>empowers</w:t>
      </w:r>
      <w:r w:rsidRPr="00854174">
        <w:rPr>
          <w:rFonts w:asciiTheme="majorHAnsi" w:hAnsiTheme="majorHAnsi" w:cstheme="majorHAnsi"/>
          <w:i/>
          <w:iCs/>
          <w:color w:val="auto"/>
        </w:rPr>
        <w:t xml:space="preserve"> others to use our advice to benefit their communities</w:t>
      </w:r>
    </w:p>
    <w:p w14:paraId="643A035D" w14:textId="77777777" w:rsidR="00A2332E" w:rsidRPr="00854174" w:rsidRDefault="00A2332E" w:rsidP="00A2332E">
      <w:pPr>
        <w:spacing w:after="60"/>
        <w:ind w:left="720"/>
        <w:rPr>
          <w:rFonts w:asciiTheme="majorHAnsi" w:hAnsiTheme="majorHAnsi" w:cstheme="majorHAnsi"/>
          <w:i/>
          <w:iCs/>
          <w:color w:val="auto"/>
        </w:rPr>
      </w:pPr>
      <w:r w:rsidRPr="00854174">
        <w:rPr>
          <w:rFonts w:asciiTheme="majorHAnsi" w:hAnsiTheme="majorHAnsi" w:cstheme="majorHAnsi"/>
          <w:i/>
          <w:iCs/>
          <w:color w:val="auto"/>
        </w:rPr>
        <w:t xml:space="preserve">4. Our engagement is </w:t>
      </w:r>
      <w:r w:rsidRPr="00A33B6A">
        <w:rPr>
          <w:rFonts w:asciiTheme="majorHAnsi" w:hAnsiTheme="majorHAnsi" w:cstheme="majorHAnsi"/>
          <w:b/>
          <w:bCs/>
          <w:i/>
          <w:iCs/>
          <w:color w:val="auto"/>
        </w:rPr>
        <w:t>open</w:t>
      </w:r>
      <w:r w:rsidRPr="00854174">
        <w:rPr>
          <w:rFonts w:asciiTheme="majorHAnsi" w:hAnsiTheme="majorHAnsi" w:cstheme="majorHAnsi"/>
          <w:i/>
          <w:iCs/>
          <w:color w:val="auto"/>
        </w:rPr>
        <w:t xml:space="preserve"> and </w:t>
      </w:r>
      <w:r w:rsidRPr="00854174">
        <w:rPr>
          <w:rFonts w:asciiTheme="majorHAnsi" w:hAnsiTheme="majorHAnsi" w:cstheme="majorHAnsi"/>
          <w:b/>
          <w:bCs/>
          <w:i/>
          <w:iCs/>
          <w:color w:val="auto"/>
        </w:rPr>
        <w:t>transparent</w:t>
      </w:r>
    </w:p>
    <w:p w14:paraId="209FFD40" w14:textId="77777777" w:rsidR="00A2332E" w:rsidRPr="00854174" w:rsidRDefault="00A2332E" w:rsidP="00A2332E">
      <w:pPr>
        <w:spacing w:afterLines="160" w:after="384"/>
        <w:ind w:left="720"/>
        <w:rPr>
          <w:rFonts w:asciiTheme="majorHAnsi" w:hAnsiTheme="majorHAnsi" w:cstheme="majorHAnsi"/>
          <w:i/>
          <w:iCs/>
          <w:color w:val="auto"/>
        </w:rPr>
      </w:pPr>
      <w:r w:rsidRPr="00854174">
        <w:rPr>
          <w:rFonts w:asciiTheme="majorHAnsi" w:hAnsiTheme="majorHAnsi" w:cstheme="majorHAnsi"/>
          <w:i/>
          <w:iCs/>
          <w:color w:val="auto"/>
        </w:rPr>
        <w:t xml:space="preserve">5. Engaging with us is </w:t>
      </w:r>
      <w:r w:rsidRPr="00854174">
        <w:rPr>
          <w:rFonts w:asciiTheme="majorHAnsi" w:hAnsiTheme="majorHAnsi" w:cstheme="majorHAnsi"/>
          <w:b/>
          <w:bCs/>
          <w:i/>
          <w:iCs/>
          <w:color w:val="auto"/>
        </w:rPr>
        <w:t>easy</w:t>
      </w:r>
      <w:r>
        <w:rPr>
          <w:rFonts w:asciiTheme="majorHAnsi" w:hAnsiTheme="majorHAnsi" w:cstheme="majorHAnsi"/>
          <w:b/>
          <w:bCs/>
          <w:i/>
          <w:iCs/>
          <w:color w:val="auto"/>
        </w:rPr>
        <w:t>.</w:t>
      </w:r>
    </w:p>
    <w:p w14:paraId="34C33A65" w14:textId="77777777" w:rsidR="00A2332E" w:rsidRDefault="00A2332E" w:rsidP="00A2332E">
      <w:pPr>
        <w:pStyle w:val="Heading4"/>
        <w:keepNext/>
      </w:pPr>
      <w:r>
        <w:lastRenderedPageBreak/>
        <w:t xml:space="preserve">Written Submissions </w:t>
      </w:r>
    </w:p>
    <w:p w14:paraId="40A40CBC" w14:textId="77777777" w:rsidR="00A2332E" w:rsidRDefault="00A2332E" w:rsidP="00A2332E">
      <w:r>
        <w:t xml:space="preserve">The key questions </w:t>
      </w:r>
      <w:r w:rsidRPr="00907E69">
        <w:t xml:space="preserve">for partners and stakeholders </w:t>
      </w:r>
      <w:r>
        <w:t>we</w:t>
      </w:r>
      <w:r w:rsidRPr="00907E69">
        <w:t xml:space="preserve">re outlined in the </w:t>
      </w:r>
      <w:r>
        <w:t>S</w:t>
      </w:r>
      <w:r w:rsidRPr="00907E69">
        <w:t xml:space="preserve">tudy’s Terms of Reference and in </w:t>
      </w:r>
      <w:r>
        <w:t>the Study’s</w:t>
      </w:r>
      <w:r w:rsidRPr="00907E69">
        <w:t xml:space="preserve"> </w:t>
      </w:r>
      <w:r w:rsidRPr="00E12EAF">
        <w:t>Consultation Paper,</w:t>
      </w:r>
      <w:r w:rsidRPr="00907E69">
        <w:t xml:space="preserve"> </w:t>
      </w:r>
      <w:r>
        <w:t xml:space="preserve">both of </w:t>
      </w:r>
      <w:r w:rsidRPr="00907E69">
        <w:t>which</w:t>
      </w:r>
      <w:r>
        <w:t xml:space="preserve"> invited submissions from the public on the issues the study considered.</w:t>
      </w:r>
    </w:p>
    <w:p w14:paraId="70894C2E" w14:textId="77777777" w:rsidR="00A2332E" w:rsidRDefault="00A2332E" w:rsidP="00A2332E">
      <w:r>
        <w:t>Following a consultation on the terms of reference for the Early Childhood Education and Care Capacity Study, a consultation paper was launched on 20</w:t>
      </w:r>
      <w:r w:rsidRPr="00DC7123">
        <w:rPr>
          <w:vertAlign w:val="superscript"/>
        </w:rPr>
        <w:t>th</w:t>
      </w:r>
      <w:r>
        <w:t xml:space="preserve"> November 2023 with an original closing date of 11</w:t>
      </w:r>
      <w:r w:rsidRPr="00DC7123">
        <w:rPr>
          <w:vertAlign w:val="superscript"/>
        </w:rPr>
        <w:t>th</w:t>
      </w:r>
      <w:r>
        <w:t xml:space="preserve"> January 2024. Following stakeholder representations and discussion at the </w:t>
      </w:r>
      <w:proofErr w:type="gramStart"/>
      <w:r>
        <w:t>13</w:t>
      </w:r>
      <w:r w:rsidRPr="00DC7123">
        <w:rPr>
          <w:vertAlign w:val="superscript"/>
        </w:rPr>
        <w:t>th</w:t>
      </w:r>
      <w:proofErr w:type="gramEnd"/>
      <w:r>
        <w:t xml:space="preserve"> December 2023 steering group, the consultation period was extended to 30</w:t>
      </w:r>
      <w:r w:rsidRPr="00DC7123">
        <w:rPr>
          <w:vertAlign w:val="superscript"/>
        </w:rPr>
        <w:t>th</w:t>
      </w:r>
      <w:r>
        <w:t xml:space="preserve"> January 2024. </w:t>
      </w:r>
    </w:p>
    <w:p w14:paraId="5E3C7047" w14:textId="77777777" w:rsidR="00A2332E" w:rsidRDefault="00A2332E" w:rsidP="00A2332E">
      <w:r>
        <w:t xml:space="preserve">There were over 50 substantive submissions received by the Capacity Study team and these have been analysed using manual coding using inductive and deductive codes drawn from the foundational work of the Capacity Study. </w:t>
      </w:r>
    </w:p>
    <w:p w14:paraId="4FAC3F77" w14:textId="77777777" w:rsidR="00A2332E" w:rsidRDefault="00A2332E" w:rsidP="00A2332E">
      <w:r>
        <w:t>Stakeholder submissions have been used in the preparation of the Study report and where the submission was marked as public, stakeholder organisation names have been cited.</w:t>
      </w:r>
    </w:p>
    <w:p w14:paraId="1E0B92BF" w14:textId="77777777" w:rsidR="00A2332E" w:rsidRDefault="00A2332E" w:rsidP="00A2332E">
      <w:pPr>
        <w:pStyle w:val="Heading4"/>
      </w:pPr>
      <w:r>
        <w:t>Consultation</w:t>
      </w:r>
    </w:p>
    <w:p w14:paraId="3D096D0C" w14:textId="77777777" w:rsidR="00A2332E" w:rsidRDefault="00A2332E" w:rsidP="00A2332E">
      <w:r w:rsidRPr="000A04CC">
        <w:t>JSA partnered with the relevant Jobs and Skills Council, HumanAbility including for stakeholder engagement and consultation. Stakeholder engagement was coordinated alongside HumanAbility and the JSA team is participated in HumanAbility facilitated events which included</w:t>
      </w:r>
      <w:r>
        <w:t>:</w:t>
      </w:r>
      <w:r w:rsidRPr="0050143B">
        <w:t xml:space="preserve"> </w:t>
      </w:r>
    </w:p>
    <w:p w14:paraId="2DA94006" w14:textId="77777777" w:rsidR="00A2332E" w:rsidRDefault="00A2332E" w:rsidP="00A2332E">
      <w:pPr>
        <w:pStyle w:val="ListBullet"/>
      </w:pPr>
      <w:r>
        <w:t xml:space="preserve">Engagements at HumanAbility roadshows in Canberra, Perth, Adelaide. </w:t>
      </w:r>
    </w:p>
    <w:p w14:paraId="5109F7C7" w14:textId="77777777" w:rsidR="00A2332E" w:rsidRDefault="00A2332E" w:rsidP="00A2332E">
      <w:pPr>
        <w:pStyle w:val="ListBullet"/>
      </w:pPr>
      <w:r>
        <w:t>IAC consultation meeting 1 – 27th February 2024</w:t>
      </w:r>
    </w:p>
    <w:p w14:paraId="06735FB8" w14:textId="77777777" w:rsidR="00A2332E" w:rsidRDefault="00A2332E" w:rsidP="00A2332E">
      <w:pPr>
        <w:pStyle w:val="ListBullet"/>
      </w:pPr>
      <w:r>
        <w:t>IAC consultation meeting 2 – 29th April 2024</w:t>
      </w:r>
    </w:p>
    <w:p w14:paraId="132BC1D4" w14:textId="77777777" w:rsidR="00A2332E" w:rsidRDefault="00A2332E" w:rsidP="00A2332E">
      <w:pPr>
        <w:pStyle w:val="ListBullet"/>
      </w:pPr>
      <w:r>
        <w:t>Stakeholder session feedback on initial findings – 2nd May 2024</w:t>
      </w:r>
    </w:p>
    <w:p w14:paraId="10B7AD66" w14:textId="77777777" w:rsidR="00A2332E" w:rsidRDefault="00A2332E" w:rsidP="00A2332E">
      <w:r>
        <w:t xml:space="preserve">As part of the foundational work of the study three key topics were identified for discovery, with four cross-cutting themes which must be considered in depth within each topic areas of interest. Supported by HumanAbility in dissemination, </w:t>
      </w:r>
      <w:r w:rsidRPr="0050143B">
        <w:t xml:space="preserve">JSA led invited </w:t>
      </w:r>
      <w:r>
        <w:t xml:space="preserve">topic based </w:t>
      </w:r>
      <w:proofErr w:type="gramStart"/>
      <w:r>
        <w:t xml:space="preserve">sessions </w:t>
      </w:r>
      <w:r w:rsidRPr="0050143B">
        <w:t xml:space="preserve"> which</w:t>
      </w:r>
      <w:proofErr w:type="gramEnd"/>
      <w:r w:rsidRPr="0050143B">
        <w:t xml:space="preserve"> took place in March 2024 with over 100 participants targeting key topic areas for the Study.</w:t>
      </w:r>
    </w:p>
    <w:p w14:paraId="7183CB30" w14:textId="77777777" w:rsidR="00A2332E" w:rsidRDefault="00A2332E" w:rsidP="00A2332E">
      <w:pPr>
        <w:pStyle w:val="ListBullet"/>
      </w:pPr>
      <w:r w:rsidRPr="76DE95F2">
        <w:rPr>
          <w:b/>
          <w:bCs/>
        </w:rPr>
        <w:t xml:space="preserve">Consultation 1 - </w:t>
      </w:r>
      <w:r>
        <w:t>Making ECEC a Competitive and Attractive Career Choice – 18th March 2024</w:t>
      </w:r>
    </w:p>
    <w:p w14:paraId="6816E5EC" w14:textId="77777777" w:rsidR="00A2332E" w:rsidRDefault="00A2332E" w:rsidP="00A2332E">
      <w:pPr>
        <w:pStyle w:val="ListBullet"/>
      </w:pPr>
      <w:r w:rsidRPr="76DE95F2">
        <w:rPr>
          <w:b/>
          <w:bCs/>
        </w:rPr>
        <w:t xml:space="preserve">Consultation 2 - </w:t>
      </w:r>
      <w:r>
        <w:t>An ECEC Career Structure that Supports Intrinsic and Extrinsic Motivations – 20th March 2024</w:t>
      </w:r>
    </w:p>
    <w:p w14:paraId="517F87BE" w14:textId="77777777" w:rsidR="00A2332E" w:rsidRPr="00C26E5F" w:rsidRDefault="00A2332E" w:rsidP="00A2332E">
      <w:pPr>
        <w:pStyle w:val="ListBullet"/>
        <w:sectPr w:rsidR="00A2332E" w:rsidRPr="00C26E5F" w:rsidSect="00A2332E">
          <w:endnotePr>
            <w:numFmt w:val="decimal"/>
          </w:endnotePr>
          <w:pgSz w:w="11906" w:h="16838" w:code="9"/>
          <w:pgMar w:top="1440" w:right="1440" w:bottom="1440" w:left="1440" w:header="0" w:footer="709" w:gutter="0"/>
          <w:cols w:space="708"/>
          <w:docGrid w:linePitch="360"/>
        </w:sectPr>
      </w:pPr>
      <w:r w:rsidRPr="76DE95F2">
        <w:rPr>
          <w:b/>
          <w:bCs/>
        </w:rPr>
        <w:t xml:space="preserve">Consultation 3 - </w:t>
      </w:r>
      <w:r>
        <w:t>Ensuring Work Based Learning Works for the ECEC Workforce – 21st March 2024</w:t>
      </w:r>
    </w:p>
    <w:p w14:paraId="24876B47" w14:textId="77777777" w:rsidR="00A2332E" w:rsidRDefault="00A2332E" w:rsidP="00A2332E">
      <w:pPr>
        <w:pStyle w:val="Heading2"/>
      </w:pPr>
      <w:bookmarkStart w:id="194" w:name="_Toc170464040"/>
      <w:bookmarkStart w:id="195" w:name="_Toc174363732"/>
      <w:bookmarkEnd w:id="183"/>
      <w:r>
        <w:lastRenderedPageBreak/>
        <w:t>Appendix 3 - Defining the ECEC Workforce</w:t>
      </w:r>
      <w:bookmarkEnd w:id="194"/>
      <w:bookmarkEnd w:id="195"/>
    </w:p>
    <w:p w14:paraId="7A2B41CE" w14:textId="77777777" w:rsidR="00A2332E" w:rsidRPr="001C6A86" w:rsidRDefault="00A2332E" w:rsidP="00A2332E">
      <w:r>
        <w:t>For this Study, JSA is interested in all staff directly involved in providing ECEC, as well as all others employed in ECEC services. Our technical definition of the ECEC workforce has two dimensions:</w:t>
      </w:r>
    </w:p>
    <w:p w14:paraId="688872D2" w14:textId="77777777" w:rsidR="00A2332E" w:rsidRPr="002F527D" w:rsidRDefault="00A2332E" w:rsidP="00A2332E">
      <w:pPr>
        <w:pStyle w:val="ListBullet"/>
      </w:pPr>
      <w:r>
        <w:t>All educators providing ECEC services in CBDC, FDC, OSHC, IHC, kindergartens and preschools, including but not limited to those working in roles described and regulated by the NQF.</w:t>
      </w:r>
    </w:p>
    <w:p w14:paraId="55A9CD36" w14:textId="77777777" w:rsidR="00A2332E" w:rsidRPr="001F1AD7" w:rsidRDefault="00A2332E" w:rsidP="00A2332E">
      <w:pPr>
        <w:pStyle w:val="ListBullet"/>
        <w:rPr>
          <w:rFonts w:eastAsia="Arial" w:cs="Arial"/>
        </w:rPr>
      </w:pPr>
      <w:r w:rsidRPr="002F527D">
        <w:t xml:space="preserve">Any staff who are employed in other industries not formally designated as ECEC, but whose primary role involves delivering ECEC. For example, the Study includes educators who provide ECEC services within sports facilities or those who educate children onsite as part of an employer-provided childcare scheme. These may typically be classified as being part of the sports industry, or in the industry of that employer, but only representative of a small fraction of that industry’s workforce. </w:t>
      </w:r>
    </w:p>
    <w:p w14:paraId="6E32722C" w14:textId="77777777" w:rsidR="00A2332E" w:rsidRPr="001C6A86" w:rsidRDefault="00A2332E" w:rsidP="00A2332E">
      <w:r>
        <w:t xml:space="preserve">This technical definition ensures that we capture all relevant staff when using data from sources that don’t completely align with the categorisation of ECEC services by ACECQA. </w:t>
      </w:r>
    </w:p>
    <w:p w14:paraId="2052EEDC" w14:textId="77777777" w:rsidR="00A2332E" w:rsidRDefault="00A2332E" w:rsidP="00A2332E">
      <w:r>
        <w:t>The Study acknowledges the important and widely accepted shift within the ECEC sector to move towards a language of “early education” as opposed to “</w:t>
      </w:r>
      <w:bookmarkStart w:id="196" w:name="_Int_az22ETjx"/>
      <w:proofErr w:type="gramStart"/>
      <w:r>
        <w:t>child care</w:t>
      </w:r>
      <w:bookmarkEnd w:id="196"/>
      <w:proofErr w:type="gramEnd"/>
      <w:r>
        <w:t xml:space="preserve">”. Specifically, ECEC staff are now more properly referred to as “childhood educators” instead of “child carers” to better reflect their work processes, qualifications and expertise. Unfortunately, statistical naming conventions typically </w:t>
      </w:r>
      <w:proofErr w:type="gramStart"/>
      <w:r>
        <w:t>lag behind</w:t>
      </w:r>
      <w:proofErr w:type="gramEnd"/>
      <w:r>
        <w:t xml:space="preserve"> cultural shifts, and numerous data sources used for this report are only subject to comprehensive review once every five to ten years. </w:t>
      </w:r>
    </w:p>
    <w:p w14:paraId="28A21E8D" w14:textId="77777777" w:rsidR="00A2332E" w:rsidRPr="00EB7977" w:rsidRDefault="00A2332E" w:rsidP="00A2332E">
      <w:pPr>
        <w:pStyle w:val="Heading3"/>
      </w:pPr>
      <w:bookmarkStart w:id="197" w:name="_Toc155679390"/>
      <w:bookmarkStart w:id="198" w:name="_Toc170464041"/>
      <w:r w:rsidRPr="00EB7977">
        <w:t>Preliminary proposed ANZSCO changes</w:t>
      </w:r>
      <w:bookmarkEnd w:id="197"/>
      <w:bookmarkEnd w:id="198"/>
      <w:r w:rsidRPr="00EB7977">
        <w:t xml:space="preserve"> </w:t>
      </w:r>
    </w:p>
    <w:p w14:paraId="6E7ADCA3" w14:textId="77777777" w:rsidR="00A2332E" w:rsidRDefault="00A2332E" w:rsidP="00A2332E">
      <w:r>
        <w:t xml:space="preserve">In 2022, the </w:t>
      </w:r>
      <w:r w:rsidRPr="414580AC">
        <w:rPr>
          <w:rFonts w:eastAsia="Arial" w:cs="Arial"/>
        </w:rPr>
        <w:t xml:space="preserve">Australian Bureau of Statistics </w:t>
      </w:r>
      <w:r>
        <w:rPr>
          <w:rFonts w:eastAsia="Arial" w:cs="Arial"/>
        </w:rPr>
        <w:t>(</w:t>
      </w:r>
      <w:r>
        <w:t>ABS) commenced public consultation on the proposed changes to the ANZSCO as part of their comprehensive review (ABS 2023), including specific preliminary recommendations to ANZSCO occupations relating to ‘Childcare Services’.</w:t>
      </w:r>
    </w:p>
    <w:p w14:paraId="7A6F5C1D" w14:textId="77777777" w:rsidR="00A2332E" w:rsidRDefault="00A2332E" w:rsidP="00A2332E">
      <w:r>
        <w:t>The ABS noted in their comprehensive review document that all stakeholders advocated for an update in terminology, the introduction of middle-management positions and to reflect skill level changes due to heightened regulation and qualification requirements. All submissions were assessed against the ANZSCO Assessment Criteria</w:t>
      </w:r>
      <w:r>
        <w:rPr>
          <w:rStyle w:val="FootnoteReference"/>
        </w:rPr>
        <w:footnoteReference w:id="74"/>
      </w:r>
      <w:r>
        <w:t>.</w:t>
      </w:r>
    </w:p>
    <w:p w14:paraId="1D2DAAF7" w14:textId="77777777" w:rsidR="00A2332E" w:rsidRPr="006E00D9" w:rsidRDefault="00A2332E" w:rsidP="00A2332E">
      <w:r>
        <w:t xml:space="preserve">The below table reproduces the proposed changes noted in the ANZSCO [Preliminary] Proposed Changes document, published in August 2023.   </w:t>
      </w:r>
    </w:p>
    <w:p w14:paraId="7C0484E4" w14:textId="77777777" w:rsidR="00A2332E" w:rsidRDefault="00A2332E" w:rsidP="00A2332E">
      <w:pPr>
        <w:rPr>
          <w:b/>
          <w:bCs/>
          <w:color w:val="auto"/>
          <w:sz w:val="18"/>
          <w:szCs w:val="18"/>
        </w:rPr>
      </w:pPr>
      <w:r>
        <w:br w:type="page"/>
      </w:r>
    </w:p>
    <w:p w14:paraId="546B23C0" w14:textId="5878C210" w:rsidR="00A2332E" w:rsidRDefault="00A2332E" w:rsidP="00A2332E">
      <w:pPr>
        <w:pStyle w:val="Caption"/>
      </w:pPr>
      <w:r>
        <w:lastRenderedPageBreak/>
        <w:t xml:space="preserve">Table </w:t>
      </w:r>
      <w:r>
        <w:fldChar w:fldCharType="begin"/>
      </w:r>
      <w:r>
        <w:instrText xml:space="preserve"> SEQ Table \* ARABIC </w:instrText>
      </w:r>
      <w:r>
        <w:fldChar w:fldCharType="separate"/>
      </w:r>
      <w:r w:rsidR="005F18C1">
        <w:rPr>
          <w:noProof/>
        </w:rPr>
        <w:t>3</w:t>
      </w:r>
      <w:r>
        <w:fldChar w:fldCharType="end"/>
      </w:r>
      <w:r>
        <w:t xml:space="preserve"> Proposed changes to ANZSCO</w:t>
      </w:r>
    </w:p>
    <w:tbl>
      <w:tblPr>
        <w:tblStyle w:val="JSATable1"/>
        <w:tblW w:w="0" w:type="auto"/>
        <w:tblLook w:val="04A0" w:firstRow="1" w:lastRow="0" w:firstColumn="1" w:lastColumn="0" w:noHBand="0" w:noVBand="1"/>
      </w:tblPr>
      <w:tblGrid>
        <w:gridCol w:w="1555"/>
        <w:gridCol w:w="1847"/>
        <w:gridCol w:w="5614"/>
      </w:tblGrid>
      <w:tr w:rsidR="00A2332E" w14:paraId="72727CE1" w14:textId="77777777" w:rsidTr="00A2332E">
        <w:trPr>
          <w:cnfStyle w:val="100000000000" w:firstRow="1" w:lastRow="0" w:firstColumn="0" w:lastColumn="0" w:oddVBand="0" w:evenVBand="0" w:oddHBand="0" w:evenHBand="0" w:firstRowFirstColumn="0" w:firstRowLastColumn="0" w:lastRowFirstColumn="0" w:lastRowLastColumn="0"/>
        </w:trPr>
        <w:tc>
          <w:tcPr>
            <w:tcW w:w="1555" w:type="dxa"/>
          </w:tcPr>
          <w:p w14:paraId="2D475F95" w14:textId="77777777" w:rsidR="00A2332E" w:rsidRPr="00A6143F" w:rsidRDefault="00A2332E" w:rsidP="005F6ADC">
            <w:pPr>
              <w:spacing w:after="160" w:line="259" w:lineRule="auto"/>
              <w:rPr>
                <w:color w:val="FFFFFF" w:themeColor="background1"/>
                <w:sz w:val="18"/>
                <w:szCs w:val="18"/>
              </w:rPr>
            </w:pPr>
            <w:r w:rsidRPr="00A6143F">
              <w:rPr>
                <w:color w:val="FFFFFF" w:themeColor="background1"/>
                <w:sz w:val="18"/>
                <w:szCs w:val="18"/>
              </w:rPr>
              <w:t>ANZSCO existing</w:t>
            </w:r>
          </w:p>
        </w:tc>
        <w:tc>
          <w:tcPr>
            <w:tcW w:w="1847" w:type="dxa"/>
          </w:tcPr>
          <w:p w14:paraId="262AA103" w14:textId="77777777" w:rsidR="00A2332E" w:rsidRPr="00A6143F" w:rsidRDefault="00A2332E" w:rsidP="005F6ADC">
            <w:pPr>
              <w:spacing w:after="160" w:line="259" w:lineRule="auto"/>
              <w:rPr>
                <w:color w:val="FFFFFF" w:themeColor="background1"/>
                <w:sz w:val="18"/>
                <w:szCs w:val="18"/>
              </w:rPr>
            </w:pPr>
            <w:r w:rsidRPr="00A6143F">
              <w:rPr>
                <w:color w:val="FFFFFF" w:themeColor="background1"/>
                <w:sz w:val="18"/>
                <w:szCs w:val="18"/>
              </w:rPr>
              <w:t>ANZSCO proposed</w:t>
            </w:r>
          </w:p>
        </w:tc>
        <w:tc>
          <w:tcPr>
            <w:tcW w:w="5614" w:type="dxa"/>
          </w:tcPr>
          <w:p w14:paraId="4C6FA750" w14:textId="77777777" w:rsidR="00A2332E" w:rsidRPr="00A6143F" w:rsidRDefault="00A2332E" w:rsidP="005F6ADC">
            <w:pPr>
              <w:spacing w:after="160" w:line="259" w:lineRule="auto"/>
              <w:rPr>
                <w:color w:val="FFFFFF" w:themeColor="background1"/>
                <w:sz w:val="18"/>
                <w:szCs w:val="18"/>
              </w:rPr>
            </w:pPr>
            <w:r w:rsidRPr="00A6143F">
              <w:rPr>
                <w:color w:val="FFFFFF" w:themeColor="background1"/>
                <w:sz w:val="18"/>
                <w:szCs w:val="18"/>
              </w:rPr>
              <w:t xml:space="preserve">Recommended updates as per ANZSCO Comprehensive Review, Preliminary Proposed Changes </w:t>
            </w:r>
            <w:r w:rsidRPr="00A6143F">
              <w:rPr>
                <w:rStyle w:val="FootnoteReference"/>
                <w:color w:val="FFFFFF" w:themeColor="background1"/>
                <w:sz w:val="18"/>
                <w:szCs w:val="18"/>
              </w:rPr>
              <w:footnoteReference w:id="75"/>
            </w:r>
          </w:p>
        </w:tc>
      </w:tr>
      <w:tr w:rsidR="00A2332E" w14:paraId="55257D6E" w14:textId="77777777" w:rsidTr="00A2332E">
        <w:tc>
          <w:tcPr>
            <w:tcW w:w="1555" w:type="dxa"/>
          </w:tcPr>
          <w:p w14:paraId="2D2DB542" w14:textId="77777777" w:rsidR="00A2332E" w:rsidRPr="00CF1F98" w:rsidRDefault="00A2332E" w:rsidP="005F6ADC">
            <w:pPr>
              <w:spacing w:line="259" w:lineRule="auto"/>
              <w:rPr>
                <w:sz w:val="18"/>
                <w:szCs w:val="18"/>
              </w:rPr>
            </w:pPr>
            <w:r w:rsidRPr="00CF1F98">
              <w:rPr>
                <w:sz w:val="18"/>
                <w:szCs w:val="18"/>
              </w:rPr>
              <w:t>134111 – Child Care Centre Manager</w:t>
            </w:r>
          </w:p>
        </w:tc>
        <w:tc>
          <w:tcPr>
            <w:tcW w:w="1847" w:type="dxa"/>
          </w:tcPr>
          <w:p w14:paraId="4D8F5FA5" w14:textId="77777777" w:rsidR="00A2332E" w:rsidRPr="00CF1F98" w:rsidRDefault="00A2332E" w:rsidP="005F6ADC">
            <w:pPr>
              <w:spacing w:line="259" w:lineRule="auto"/>
              <w:rPr>
                <w:sz w:val="18"/>
                <w:szCs w:val="18"/>
              </w:rPr>
            </w:pPr>
            <w:r w:rsidRPr="00CF1F98">
              <w:rPr>
                <w:sz w:val="18"/>
                <w:szCs w:val="18"/>
              </w:rPr>
              <w:t>134111 – Children’s Education and Care Service Director</w:t>
            </w:r>
          </w:p>
        </w:tc>
        <w:tc>
          <w:tcPr>
            <w:tcW w:w="5614" w:type="dxa"/>
          </w:tcPr>
          <w:p w14:paraId="10551F67" w14:textId="77777777" w:rsidR="00A2332E" w:rsidRPr="00CF1F98" w:rsidRDefault="00A2332E" w:rsidP="005F6ADC">
            <w:pPr>
              <w:spacing w:line="259" w:lineRule="auto"/>
              <w:rPr>
                <w:sz w:val="18"/>
                <w:szCs w:val="18"/>
              </w:rPr>
            </w:pPr>
            <w:r w:rsidRPr="00CF1F98">
              <w:rPr>
                <w:sz w:val="18"/>
                <w:szCs w:val="18"/>
              </w:rPr>
              <w:t xml:space="preserve">1. Retain occupation </w:t>
            </w:r>
          </w:p>
          <w:p w14:paraId="2CA25975" w14:textId="77777777" w:rsidR="00A2332E" w:rsidRPr="00CF1F98" w:rsidRDefault="00A2332E" w:rsidP="005F6ADC">
            <w:pPr>
              <w:spacing w:line="259" w:lineRule="auto"/>
              <w:rPr>
                <w:sz w:val="18"/>
                <w:szCs w:val="18"/>
              </w:rPr>
            </w:pPr>
            <w:r w:rsidRPr="00CF1F98">
              <w:rPr>
                <w:sz w:val="18"/>
                <w:szCs w:val="18"/>
              </w:rPr>
              <w:t>2. Update principal title from Child Care Centre Manager to Children’s Education and Care Service Director</w:t>
            </w:r>
          </w:p>
          <w:p w14:paraId="6B4EA954" w14:textId="77777777" w:rsidR="00A2332E" w:rsidRPr="00CF1F98" w:rsidRDefault="00A2332E" w:rsidP="005F6ADC">
            <w:pPr>
              <w:spacing w:line="259" w:lineRule="auto"/>
              <w:rPr>
                <w:sz w:val="18"/>
                <w:szCs w:val="18"/>
              </w:rPr>
            </w:pPr>
            <w:r w:rsidRPr="00CF1F98">
              <w:rPr>
                <w:sz w:val="18"/>
                <w:szCs w:val="18"/>
              </w:rPr>
              <w:t>3. Remove alternative titles – Child Care Centre Director; Child Care Coordinator</w:t>
            </w:r>
          </w:p>
          <w:p w14:paraId="43C2F4D3" w14:textId="77777777" w:rsidR="00A2332E" w:rsidRPr="00CF1F98" w:rsidRDefault="00A2332E" w:rsidP="005F6ADC">
            <w:pPr>
              <w:spacing w:line="259" w:lineRule="auto"/>
              <w:rPr>
                <w:sz w:val="18"/>
                <w:szCs w:val="18"/>
              </w:rPr>
            </w:pPr>
            <w:r w:rsidRPr="00CF1F98">
              <w:rPr>
                <w:sz w:val="18"/>
                <w:szCs w:val="18"/>
              </w:rPr>
              <w:t>4. Add alternative title – Children’s Education and Care Service Manager</w:t>
            </w:r>
          </w:p>
          <w:p w14:paraId="29371F7D" w14:textId="77777777" w:rsidR="00A2332E" w:rsidRPr="00CF1F98" w:rsidRDefault="00A2332E" w:rsidP="005F6ADC">
            <w:pPr>
              <w:spacing w:line="259" w:lineRule="auto"/>
              <w:rPr>
                <w:sz w:val="18"/>
                <w:szCs w:val="18"/>
              </w:rPr>
            </w:pPr>
            <w:r w:rsidRPr="00CF1F98">
              <w:rPr>
                <w:sz w:val="18"/>
                <w:szCs w:val="18"/>
              </w:rPr>
              <w:t xml:space="preserve">5. Update </w:t>
            </w:r>
            <w:proofErr w:type="gramStart"/>
            <w:r w:rsidRPr="00CF1F98">
              <w:rPr>
                <w:sz w:val="18"/>
                <w:szCs w:val="18"/>
              </w:rPr>
              <w:t>lead</w:t>
            </w:r>
            <w:proofErr w:type="gramEnd"/>
            <w:r w:rsidRPr="00CF1F98">
              <w:rPr>
                <w:sz w:val="18"/>
                <w:szCs w:val="18"/>
              </w:rPr>
              <w:t xml:space="preserve"> statement to include regulated children’s education and care service</w:t>
            </w:r>
          </w:p>
          <w:p w14:paraId="42BFDA46" w14:textId="77777777" w:rsidR="00A2332E" w:rsidRPr="00CF1F98" w:rsidRDefault="00A2332E" w:rsidP="005F6ADC">
            <w:pPr>
              <w:spacing w:line="259" w:lineRule="auto"/>
              <w:rPr>
                <w:sz w:val="18"/>
                <w:szCs w:val="18"/>
              </w:rPr>
            </w:pPr>
            <w:r w:rsidRPr="00CF1F98">
              <w:rPr>
                <w:sz w:val="18"/>
                <w:szCs w:val="18"/>
              </w:rPr>
              <w:t>6. Add specialisations – Preschool Director; Out of School Hours Care Coordinator</w:t>
            </w:r>
          </w:p>
        </w:tc>
      </w:tr>
      <w:tr w:rsidR="00A2332E" w14:paraId="47340137" w14:textId="77777777" w:rsidTr="00A2332E">
        <w:trPr>
          <w:cnfStyle w:val="000000010000" w:firstRow="0" w:lastRow="0" w:firstColumn="0" w:lastColumn="0" w:oddVBand="0" w:evenVBand="0" w:oddHBand="0" w:evenHBand="1" w:firstRowFirstColumn="0" w:firstRowLastColumn="0" w:lastRowFirstColumn="0" w:lastRowLastColumn="0"/>
        </w:trPr>
        <w:tc>
          <w:tcPr>
            <w:tcW w:w="1555" w:type="dxa"/>
          </w:tcPr>
          <w:p w14:paraId="1A49C22D" w14:textId="77777777" w:rsidR="00A2332E" w:rsidRPr="00CF1F98" w:rsidRDefault="00A2332E" w:rsidP="005F6ADC">
            <w:pPr>
              <w:spacing w:line="259" w:lineRule="auto"/>
              <w:rPr>
                <w:sz w:val="18"/>
                <w:szCs w:val="18"/>
              </w:rPr>
            </w:pPr>
          </w:p>
        </w:tc>
        <w:tc>
          <w:tcPr>
            <w:tcW w:w="1847" w:type="dxa"/>
          </w:tcPr>
          <w:p w14:paraId="1AAAEA54" w14:textId="77777777" w:rsidR="00A2332E" w:rsidRPr="00CF1F98" w:rsidRDefault="00A2332E" w:rsidP="005F6ADC">
            <w:pPr>
              <w:spacing w:line="259" w:lineRule="auto"/>
              <w:rPr>
                <w:sz w:val="18"/>
                <w:szCs w:val="18"/>
              </w:rPr>
            </w:pPr>
            <w:r w:rsidRPr="00CF1F98">
              <w:rPr>
                <w:sz w:val="18"/>
                <w:szCs w:val="18"/>
              </w:rPr>
              <w:t>134113 – Family Day Care Coordinator</w:t>
            </w:r>
          </w:p>
        </w:tc>
        <w:tc>
          <w:tcPr>
            <w:tcW w:w="5614" w:type="dxa"/>
          </w:tcPr>
          <w:p w14:paraId="29EC51EA" w14:textId="77777777" w:rsidR="00A2332E" w:rsidRPr="00CF1F98" w:rsidRDefault="00A2332E" w:rsidP="005F6ADC">
            <w:pPr>
              <w:spacing w:line="259" w:lineRule="auto"/>
              <w:rPr>
                <w:sz w:val="18"/>
                <w:szCs w:val="18"/>
              </w:rPr>
            </w:pPr>
            <w:r w:rsidRPr="00CF1F98">
              <w:rPr>
                <w:sz w:val="18"/>
                <w:szCs w:val="18"/>
              </w:rPr>
              <w:t xml:space="preserve">Create occupation from 411711 Community Worker </w:t>
            </w:r>
          </w:p>
          <w:p w14:paraId="6A0F36BA" w14:textId="77777777" w:rsidR="00A2332E" w:rsidRPr="00CF1F98" w:rsidRDefault="00A2332E" w:rsidP="005F6ADC">
            <w:pPr>
              <w:spacing w:line="259" w:lineRule="auto"/>
              <w:rPr>
                <w:sz w:val="18"/>
                <w:szCs w:val="18"/>
              </w:rPr>
            </w:pPr>
            <w:r w:rsidRPr="00CF1F98">
              <w:rPr>
                <w:sz w:val="18"/>
                <w:szCs w:val="18"/>
              </w:rPr>
              <w:t>8. Add principal title – Family Day Care Coordinator</w:t>
            </w:r>
          </w:p>
          <w:p w14:paraId="64B36AAA" w14:textId="77777777" w:rsidR="00A2332E" w:rsidRPr="00CF1F98" w:rsidRDefault="00A2332E" w:rsidP="005F6ADC">
            <w:pPr>
              <w:spacing w:line="259" w:lineRule="auto"/>
              <w:rPr>
                <w:sz w:val="18"/>
                <w:szCs w:val="18"/>
              </w:rPr>
            </w:pPr>
            <w:r w:rsidRPr="00CF1F98">
              <w:rPr>
                <w:sz w:val="18"/>
                <w:szCs w:val="18"/>
              </w:rPr>
              <w:t>9. Add lead statement</w:t>
            </w:r>
          </w:p>
          <w:p w14:paraId="520FE794" w14:textId="77777777" w:rsidR="00A2332E" w:rsidRPr="00CF1F98" w:rsidRDefault="00A2332E" w:rsidP="005F6ADC">
            <w:pPr>
              <w:spacing w:line="259" w:lineRule="auto"/>
              <w:rPr>
                <w:sz w:val="18"/>
                <w:szCs w:val="18"/>
              </w:rPr>
            </w:pPr>
            <w:r w:rsidRPr="00CF1F98">
              <w:rPr>
                <w:sz w:val="18"/>
                <w:szCs w:val="18"/>
              </w:rPr>
              <w:t>10. Assign skill level</w:t>
            </w:r>
          </w:p>
        </w:tc>
      </w:tr>
      <w:tr w:rsidR="00A2332E" w14:paraId="155FB99C" w14:textId="77777777" w:rsidTr="00A2332E">
        <w:tc>
          <w:tcPr>
            <w:tcW w:w="1555" w:type="dxa"/>
          </w:tcPr>
          <w:p w14:paraId="311F7CC3" w14:textId="77777777" w:rsidR="00A2332E" w:rsidRPr="00CF1F98" w:rsidRDefault="00A2332E" w:rsidP="005F6ADC">
            <w:pPr>
              <w:spacing w:line="259" w:lineRule="auto"/>
              <w:rPr>
                <w:sz w:val="18"/>
                <w:szCs w:val="18"/>
              </w:rPr>
            </w:pPr>
            <w:r w:rsidRPr="00CF1F98">
              <w:rPr>
                <w:sz w:val="18"/>
                <w:szCs w:val="18"/>
              </w:rPr>
              <w:t>241111 - Early Childhood (Pre-primary School) Teacher</w:t>
            </w:r>
          </w:p>
        </w:tc>
        <w:tc>
          <w:tcPr>
            <w:tcW w:w="1847" w:type="dxa"/>
          </w:tcPr>
          <w:p w14:paraId="20022041" w14:textId="77777777" w:rsidR="00A2332E" w:rsidRPr="00CF1F98" w:rsidRDefault="00A2332E" w:rsidP="005F6ADC">
            <w:pPr>
              <w:spacing w:line="259" w:lineRule="auto"/>
              <w:rPr>
                <w:sz w:val="18"/>
                <w:szCs w:val="18"/>
              </w:rPr>
            </w:pPr>
            <w:r w:rsidRPr="00CF1F98">
              <w:rPr>
                <w:sz w:val="18"/>
                <w:szCs w:val="18"/>
              </w:rPr>
              <w:t xml:space="preserve">241113 - Early Childhood (Pre-primary School) Teacher </w:t>
            </w:r>
          </w:p>
        </w:tc>
        <w:tc>
          <w:tcPr>
            <w:tcW w:w="5614" w:type="dxa"/>
          </w:tcPr>
          <w:p w14:paraId="0C9C282C" w14:textId="77777777" w:rsidR="00A2332E" w:rsidRPr="00CF1F98" w:rsidRDefault="00A2332E" w:rsidP="005F6ADC">
            <w:pPr>
              <w:spacing w:line="259" w:lineRule="auto"/>
              <w:rPr>
                <w:sz w:val="18"/>
                <w:szCs w:val="18"/>
              </w:rPr>
            </w:pPr>
            <w:r w:rsidRPr="00CF1F98">
              <w:rPr>
                <w:sz w:val="18"/>
                <w:szCs w:val="18"/>
              </w:rPr>
              <w:t>1. Relocate the specialisation Preschool Director to 134111 Child Care Centre Manager</w:t>
            </w:r>
          </w:p>
          <w:p w14:paraId="5DBDC932" w14:textId="77777777" w:rsidR="00A2332E" w:rsidRPr="00CF1F98" w:rsidRDefault="00A2332E" w:rsidP="005F6ADC">
            <w:pPr>
              <w:spacing w:line="259" w:lineRule="auto"/>
              <w:rPr>
                <w:sz w:val="18"/>
                <w:szCs w:val="18"/>
              </w:rPr>
            </w:pPr>
            <w:r w:rsidRPr="00CF1F98">
              <w:rPr>
                <w:sz w:val="18"/>
                <w:szCs w:val="18"/>
              </w:rPr>
              <w:t>2. Retire the occupation 241111 Early Childhood (Pre-Primary School) Teacher</w:t>
            </w:r>
          </w:p>
          <w:p w14:paraId="54DC5941" w14:textId="77777777" w:rsidR="00A2332E" w:rsidRPr="00CF1F98" w:rsidRDefault="00A2332E" w:rsidP="005F6ADC">
            <w:pPr>
              <w:spacing w:line="259" w:lineRule="auto"/>
              <w:rPr>
                <w:sz w:val="18"/>
                <w:szCs w:val="18"/>
              </w:rPr>
            </w:pPr>
            <w:r w:rsidRPr="00CF1F98">
              <w:rPr>
                <w:sz w:val="18"/>
                <w:szCs w:val="18"/>
              </w:rPr>
              <w:t xml:space="preserve">3. Create occupation 241113 Early Childhood (Pre-primary School) Teacher 241111 from Early Childhood (Pre- primary School) Teacher </w:t>
            </w:r>
          </w:p>
          <w:p w14:paraId="24590781" w14:textId="77777777" w:rsidR="00A2332E" w:rsidRPr="00CF1F98" w:rsidRDefault="00A2332E" w:rsidP="005F6ADC">
            <w:pPr>
              <w:spacing w:line="259" w:lineRule="auto"/>
              <w:rPr>
                <w:sz w:val="18"/>
                <w:szCs w:val="18"/>
              </w:rPr>
            </w:pPr>
            <w:r w:rsidRPr="00CF1F98">
              <w:rPr>
                <w:sz w:val="18"/>
                <w:szCs w:val="18"/>
              </w:rPr>
              <w:t>4. Add principal title – Early Childhood (Pre-primary School) Teacher</w:t>
            </w:r>
          </w:p>
          <w:p w14:paraId="0681A121" w14:textId="77777777" w:rsidR="00A2332E" w:rsidRPr="00CF1F98" w:rsidRDefault="00A2332E" w:rsidP="005F6ADC">
            <w:pPr>
              <w:spacing w:line="259" w:lineRule="auto"/>
              <w:rPr>
                <w:sz w:val="18"/>
                <w:szCs w:val="18"/>
              </w:rPr>
            </w:pPr>
            <w:r w:rsidRPr="00CF1F98">
              <w:rPr>
                <w:sz w:val="18"/>
                <w:szCs w:val="18"/>
              </w:rPr>
              <w:t>5. Add alternative titles – Kindergarten (Pre-primary School) Teacher, Preschool Teacher</w:t>
            </w:r>
          </w:p>
          <w:p w14:paraId="360F2A7B" w14:textId="77777777" w:rsidR="00A2332E" w:rsidRPr="00CF1F98" w:rsidRDefault="00A2332E" w:rsidP="005F6ADC">
            <w:pPr>
              <w:spacing w:line="259" w:lineRule="auto"/>
              <w:rPr>
                <w:sz w:val="18"/>
                <w:szCs w:val="18"/>
              </w:rPr>
            </w:pPr>
            <w:r w:rsidRPr="00CF1F98">
              <w:rPr>
                <w:sz w:val="18"/>
                <w:szCs w:val="18"/>
              </w:rPr>
              <w:t>6. Add lead statement</w:t>
            </w:r>
          </w:p>
          <w:p w14:paraId="7EDD9310" w14:textId="77777777" w:rsidR="00A2332E" w:rsidRPr="00CF1F98" w:rsidRDefault="00A2332E" w:rsidP="005F6ADC">
            <w:pPr>
              <w:spacing w:line="259" w:lineRule="auto"/>
              <w:rPr>
                <w:sz w:val="18"/>
                <w:szCs w:val="18"/>
              </w:rPr>
            </w:pPr>
            <w:r w:rsidRPr="00CF1F98">
              <w:rPr>
                <w:sz w:val="18"/>
                <w:szCs w:val="18"/>
              </w:rPr>
              <w:t>7. Assign skill level 1</w:t>
            </w:r>
          </w:p>
        </w:tc>
      </w:tr>
      <w:tr w:rsidR="00A2332E" w14:paraId="31B840B4" w14:textId="77777777" w:rsidTr="00A2332E">
        <w:trPr>
          <w:cnfStyle w:val="000000010000" w:firstRow="0" w:lastRow="0" w:firstColumn="0" w:lastColumn="0" w:oddVBand="0" w:evenVBand="0" w:oddHBand="0" w:evenHBand="1" w:firstRowFirstColumn="0" w:firstRowLastColumn="0" w:lastRowFirstColumn="0" w:lastRowLastColumn="0"/>
        </w:trPr>
        <w:tc>
          <w:tcPr>
            <w:tcW w:w="1555" w:type="dxa"/>
          </w:tcPr>
          <w:p w14:paraId="146065A0" w14:textId="77777777" w:rsidR="00A2332E" w:rsidRPr="00CF1F98" w:rsidRDefault="00A2332E" w:rsidP="005F6ADC">
            <w:pPr>
              <w:spacing w:line="259" w:lineRule="auto"/>
              <w:rPr>
                <w:sz w:val="18"/>
                <w:szCs w:val="18"/>
              </w:rPr>
            </w:pPr>
            <w:r w:rsidRPr="00CF1F98">
              <w:rPr>
                <w:sz w:val="18"/>
                <w:szCs w:val="18"/>
              </w:rPr>
              <w:t>421111 - Child Care Worker</w:t>
            </w:r>
          </w:p>
        </w:tc>
        <w:tc>
          <w:tcPr>
            <w:tcW w:w="1847" w:type="dxa"/>
          </w:tcPr>
          <w:p w14:paraId="51275755" w14:textId="77777777" w:rsidR="00A2332E" w:rsidRPr="00CF1F98" w:rsidRDefault="00A2332E" w:rsidP="005F6ADC">
            <w:pPr>
              <w:spacing w:line="259" w:lineRule="auto"/>
              <w:rPr>
                <w:sz w:val="18"/>
                <w:szCs w:val="18"/>
              </w:rPr>
            </w:pPr>
            <w:r w:rsidRPr="00CF1F98">
              <w:rPr>
                <w:sz w:val="18"/>
                <w:szCs w:val="18"/>
              </w:rPr>
              <w:t>421117 - Early Childhood Education Room Leader (proposed)</w:t>
            </w:r>
          </w:p>
        </w:tc>
        <w:tc>
          <w:tcPr>
            <w:tcW w:w="5614" w:type="dxa"/>
          </w:tcPr>
          <w:p w14:paraId="6D4E3829" w14:textId="77777777" w:rsidR="00A2332E" w:rsidRPr="00CF1F98" w:rsidRDefault="00A2332E" w:rsidP="005F6ADC">
            <w:pPr>
              <w:spacing w:line="259" w:lineRule="auto"/>
              <w:rPr>
                <w:sz w:val="18"/>
                <w:szCs w:val="18"/>
              </w:rPr>
            </w:pPr>
            <w:r w:rsidRPr="00CF1F98">
              <w:rPr>
                <w:sz w:val="18"/>
                <w:szCs w:val="18"/>
              </w:rPr>
              <w:t>1. Retire and replace with two proposed occupations – 421117 Early Childhood Education Room Leader; 421118 Early Childhood Educator</w:t>
            </w:r>
          </w:p>
          <w:p w14:paraId="6CCD6664" w14:textId="77777777" w:rsidR="00A2332E" w:rsidRPr="00CF1F98" w:rsidRDefault="00A2332E" w:rsidP="005F6ADC">
            <w:pPr>
              <w:spacing w:line="259" w:lineRule="auto"/>
              <w:rPr>
                <w:sz w:val="18"/>
                <w:szCs w:val="18"/>
              </w:rPr>
            </w:pPr>
            <w:r w:rsidRPr="00CF1F98">
              <w:rPr>
                <w:sz w:val="18"/>
                <w:szCs w:val="18"/>
              </w:rPr>
              <w:t>2. Create occupation from 421111 Child Carer Worker</w:t>
            </w:r>
          </w:p>
          <w:p w14:paraId="1EDE00F1" w14:textId="77777777" w:rsidR="00A2332E" w:rsidRPr="00CF1F98" w:rsidRDefault="00A2332E" w:rsidP="005F6ADC">
            <w:pPr>
              <w:spacing w:line="259" w:lineRule="auto"/>
              <w:rPr>
                <w:sz w:val="18"/>
                <w:szCs w:val="18"/>
              </w:rPr>
            </w:pPr>
            <w:r w:rsidRPr="00CF1F98">
              <w:rPr>
                <w:sz w:val="18"/>
                <w:szCs w:val="18"/>
              </w:rPr>
              <w:t>3. Add principal title – Early Childhood Education Room Leader</w:t>
            </w:r>
          </w:p>
          <w:p w14:paraId="45D6E5B5" w14:textId="77777777" w:rsidR="00A2332E" w:rsidRPr="00CF1F98" w:rsidRDefault="00A2332E" w:rsidP="005F6ADC">
            <w:pPr>
              <w:spacing w:line="259" w:lineRule="auto"/>
              <w:rPr>
                <w:sz w:val="18"/>
                <w:szCs w:val="18"/>
              </w:rPr>
            </w:pPr>
            <w:r w:rsidRPr="00CF1F98">
              <w:rPr>
                <w:sz w:val="18"/>
                <w:szCs w:val="18"/>
              </w:rPr>
              <w:t>4. Add alternative title – Early Childhood Education Group Leader</w:t>
            </w:r>
          </w:p>
          <w:p w14:paraId="60372785" w14:textId="77777777" w:rsidR="00A2332E" w:rsidRPr="00CF1F98" w:rsidRDefault="00A2332E" w:rsidP="005F6ADC">
            <w:pPr>
              <w:spacing w:line="259" w:lineRule="auto"/>
              <w:rPr>
                <w:sz w:val="18"/>
                <w:szCs w:val="18"/>
              </w:rPr>
            </w:pPr>
            <w:r w:rsidRPr="00CF1F98">
              <w:rPr>
                <w:sz w:val="18"/>
                <w:szCs w:val="18"/>
              </w:rPr>
              <w:t>5. Add lead statement</w:t>
            </w:r>
          </w:p>
          <w:p w14:paraId="3EF40031" w14:textId="77777777" w:rsidR="00A2332E" w:rsidRPr="00CF1F98" w:rsidRDefault="00A2332E" w:rsidP="005F6ADC">
            <w:pPr>
              <w:spacing w:line="259" w:lineRule="auto"/>
              <w:rPr>
                <w:sz w:val="18"/>
                <w:szCs w:val="18"/>
              </w:rPr>
            </w:pPr>
            <w:r w:rsidRPr="00CF1F98">
              <w:rPr>
                <w:sz w:val="18"/>
                <w:szCs w:val="18"/>
              </w:rPr>
              <w:t>6. Assign skill level 2</w:t>
            </w:r>
          </w:p>
        </w:tc>
      </w:tr>
      <w:tr w:rsidR="00A2332E" w14:paraId="4AAF8146" w14:textId="77777777" w:rsidTr="00A2332E">
        <w:tc>
          <w:tcPr>
            <w:tcW w:w="1555" w:type="dxa"/>
          </w:tcPr>
          <w:p w14:paraId="0496F842" w14:textId="77777777" w:rsidR="00A2332E" w:rsidRPr="00CF1F98" w:rsidRDefault="00A2332E" w:rsidP="005F6ADC">
            <w:pPr>
              <w:spacing w:line="259" w:lineRule="auto"/>
              <w:rPr>
                <w:sz w:val="18"/>
                <w:szCs w:val="18"/>
              </w:rPr>
            </w:pPr>
          </w:p>
        </w:tc>
        <w:tc>
          <w:tcPr>
            <w:tcW w:w="1847" w:type="dxa"/>
          </w:tcPr>
          <w:p w14:paraId="2EBEBEAA" w14:textId="77777777" w:rsidR="00A2332E" w:rsidRPr="00CF1F98" w:rsidRDefault="00A2332E" w:rsidP="005F6ADC">
            <w:pPr>
              <w:spacing w:line="259" w:lineRule="auto"/>
              <w:rPr>
                <w:sz w:val="18"/>
                <w:szCs w:val="18"/>
              </w:rPr>
            </w:pPr>
            <w:r w:rsidRPr="00CF1F98">
              <w:rPr>
                <w:sz w:val="18"/>
                <w:szCs w:val="18"/>
              </w:rPr>
              <w:t>421118 - Early Childhood Educator</w:t>
            </w:r>
          </w:p>
        </w:tc>
        <w:tc>
          <w:tcPr>
            <w:tcW w:w="5614" w:type="dxa"/>
          </w:tcPr>
          <w:p w14:paraId="66A54C8F" w14:textId="77777777" w:rsidR="00A2332E" w:rsidRPr="00CF1F98" w:rsidRDefault="00A2332E" w:rsidP="005F6ADC">
            <w:pPr>
              <w:spacing w:line="259" w:lineRule="auto"/>
              <w:rPr>
                <w:sz w:val="18"/>
                <w:szCs w:val="18"/>
              </w:rPr>
            </w:pPr>
            <w:r w:rsidRPr="00CF1F98">
              <w:rPr>
                <w:sz w:val="18"/>
                <w:szCs w:val="18"/>
              </w:rPr>
              <w:t>7. Create occupation from 421111 Child Care Worker</w:t>
            </w:r>
          </w:p>
          <w:p w14:paraId="6E76EAC1" w14:textId="77777777" w:rsidR="00A2332E" w:rsidRPr="00CF1F98" w:rsidRDefault="00A2332E" w:rsidP="005F6ADC">
            <w:pPr>
              <w:spacing w:line="259" w:lineRule="auto"/>
              <w:rPr>
                <w:sz w:val="18"/>
                <w:szCs w:val="18"/>
              </w:rPr>
            </w:pPr>
            <w:r w:rsidRPr="00CF1F98">
              <w:rPr>
                <w:sz w:val="18"/>
                <w:szCs w:val="18"/>
              </w:rPr>
              <w:t>8. Add principal title – Early Childhood Educator</w:t>
            </w:r>
          </w:p>
          <w:p w14:paraId="6318E207" w14:textId="77777777" w:rsidR="00A2332E" w:rsidRPr="00CF1F98" w:rsidRDefault="00A2332E" w:rsidP="005F6ADC">
            <w:pPr>
              <w:spacing w:line="259" w:lineRule="auto"/>
              <w:rPr>
                <w:sz w:val="18"/>
                <w:szCs w:val="18"/>
              </w:rPr>
            </w:pPr>
            <w:r w:rsidRPr="00CF1F98">
              <w:rPr>
                <w:sz w:val="18"/>
                <w:szCs w:val="18"/>
              </w:rPr>
              <w:t>9. Add lead statement</w:t>
            </w:r>
          </w:p>
          <w:p w14:paraId="4CA40062" w14:textId="77777777" w:rsidR="00A2332E" w:rsidRPr="00CF1F98" w:rsidRDefault="00A2332E" w:rsidP="005F6ADC">
            <w:pPr>
              <w:spacing w:line="259" w:lineRule="auto"/>
              <w:rPr>
                <w:sz w:val="18"/>
                <w:szCs w:val="18"/>
              </w:rPr>
            </w:pPr>
            <w:r w:rsidRPr="00CF1F98">
              <w:rPr>
                <w:sz w:val="18"/>
                <w:szCs w:val="18"/>
              </w:rPr>
              <w:t>10. Assign skill level 3</w:t>
            </w:r>
          </w:p>
        </w:tc>
      </w:tr>
      <w:tr w:rsidR="00A2332E" w14:paraId="1A22B488" w14:textId="77777777" w:rsidTr="00A2332E">
        <w:trPr>
          <w:cnfStyle w:val="000000010000" w:firstRow="0" w:lastRow="0" w:firstColumn="0" w:lastColumn="0" w:oddVBand="0" w:evenVBand="0" w:oddHBand="0" w:evenHBand="1" w:firstRowFirstColumn="0" w:firstRowLastColumn="0" w:lastRowFirstColumn="0" w:lastRowLastColumn="0"/>
        </w:trPr>
        <w:tc>
          <w:tcPr>
            <w:tcW w:w="1555" w:type="dxa"/>
          </w:tcPr>
          <w:p w14:paraId="49FF33D2" w14:textId="77777777" w:rsidR="00A2332E" w:rsidRPr="00CF1F98" w:rsidRDefault="00A2332E" w:rsidP="005F6ADC">
            <w:pPr>
              <w:spacing w:line="259" w:lineRule="auto"/>
              <w:rPr>
                <w:sz w:val="18"/>
                <w:szCs w:val="18"/>
              </w:rPr>
            </w:pPr>
            <w:r w:rsidRPr="00CF1F98">
              <w:rPr>
                <w:sz w:val="18"/>
                <w:szCs w:val="18"/>
              </w:rPr>
              <w:t>421112 - Family Day Care Worker</w:t>
            </w:r>
          </w:p>
        </w:tc>
        <w:tc>
          <w:tcPr>
            <w:tcW w:w="1847" w:type="dxa"/>
          </w:tcPr>
          <w:p w14:paraId="5E73CD83" w14:textId="77777777" w:rsidR="00A2332E" w:rsidRPr="00CF1F98" w:rsidRDefault="00A2332E" w:rsidP="005F6ADC">
            <w:pPr>
              <w:spacing w:line="259" w:lineRule="auto"/>
              <w:rPr>
                <w:sz w:val="18"/>
                <w:szCs w:val="18"/>
              </w:rPr>
            </w:pPr>
            <w:r w:rsidRPr="00CF1F98">
              <w:rPr>
                <w:sz w:val="18"/>
                <w:szCs w:val="18"/>
              </w:rPr>
              <w:t>421112 - Family Day Care Educator</w:t>
            </w:r>
          </w:p>
        </w:tc>
        <w:tc>
          <w:tcPr>
            <w:tcW w:w="5614" w:type="dxa"/>
          </w:tcPr>
          <w:p w14:paraId="1BA00CB5" w14:textId="77777777" w:rsidR="00A2332E" w:rsidRPr="00CF1F98" w:rsidRDefault="00A2332E" w:rsidP="005F6ADC">
            <w:pPr>
              <w:spacing w:line="259" w:lineRule="auto"/>
              <w:rPr>
                <w:sz w:val="18"/>
                <w:szCs w:val="18"/>
              </w:rPr>
            </w:pPr>
            <w:r w:rsidRPr="00CF1F98">
              <w:rPr>
                <w:sz w:val="18"/>
                <w:szCs w:val="18"/>
              </w:rPr>
              <w:t>1. Retain occupation</w:t>
            </w:r>
          </w:p>
          <w:p w14:paraId="661447BB" w14:textId="77777777" w:rsidR="00A2332E" w:rsidRPr="00CF1F98" w:rsidRDefault="00A2332E" w:rsidP="005F6ADC">
            <w:pPr>
              <w:spacing w:line="259" w:lineRule="auto"/>
              <w:rPr>
                <w:sz w:val="18"/>
                <w:szCs w:val="18"/>
              </w:rPr>
            </w:pPr>
            <w:r w:rsidRPr="00CF1F98">
              <w:rPr>
                <w:sz w:val="18"/>
                <w:szCs w:val="18"/>
              </w:rPr>
              <w:t>2. Update principal title from Family Day Care Worker to Family Day Care Educator</w:t>
            </w:r>
          </w:p>
          <w:p w14:paraId="3310B1D1" w14:textId="77777777" w:rsidR="00A2332E" w:rsidRPr="00CF1F98" w:rsidRDefault="00A2332E" w:rsidP="005F6ADC">
            <w:pPr>
              <w:spacing w:line="259" w:lineRule="auto"/>
              <w:rPr>
                <w:sz w:val="18"/>
                <w:szCs w:val="18"/>
              </w:rPr>
            </w:pPr>
            <w:r w:rsidRPr="00CF1F98">
              <w:rPr>
                <w:sz w:val="18"/>
                <w:szCs w:val="18"/>
              </w:rPr>
              <w:t>3. Remove alternative title – Family Day Carer</w:t>
            </w:r>
          </w:p>
          <w:p w14:paraId="22827372" w14:textId="77777777" w:rsidR="00A2332E" w:rsidRPr="00CF1F98" w:rsidRDefault="00A2332E" w:rsidP="005F6ADC">
            <w:pPr>
              <w:spacing w:line="259" w:lineRule="auto"/>
              <w:rPr>
                <w:sz w:val="18"/>
                <w:szCs w:val="18"/>
              </w:rPr>
            </w:pPr>
            <w:r w:rsidRPr="00CF1F98">
              <w:rPr>
                <w:sz w:val="18"/>
                <w:szCs w:val="18"/>
              </w:rPr>
              <w:t xml:space="preserve">4. Update </w:t>
            </w:r>
            <w:proofErr w:type="gramStart"/>
            <w:r w:rsidRPr="00CF1F98">
              <w:rPr>
                <w:sz w:val="18"/>
                <w:szCs w:val="18"/>
              </w:rPr>
              <w:t>lead</w:t>
            </w:r>
            <w:proofErr w:type="gramEnd"/>
            <w:r w:rsidRPr="00CF1F98">
              <w:rPr>
                <w:sz w:val="18"/>
                <w:szCs w:val="18"/>
              </w:rPr>
              <w:t xml:space="preserve"> statement to include educational aspects of the jobs involved </w:t>
            </w:r>
          </w:p>
          <w:p w14:paraId="0193B210" w14:textId="77777777" w:rsidR="00A2332E" w:rsidRPr="00CF1F98" w:rsidRDefault="00A2332E" w:rsidP="005F6ADC">
            <w:pPr>
              <w:spacing w:line="259" w:lineRule="auto"/>
              <w:rPr>
                <w:sz w:val="18"/>
                <w:szCs w:val="18"/>
              </w:rPr>
            </w:pPr>
            <w:r w:rsidRPr="00CF1F98">
              <w:rPr>
                <w:sz w:val="18"/>
                <w:szCs w:val="18"/>
              </w:rPr>
              <w:t>5. Change skill level from 4 to 3</w:t>
            </w:r>
          </w:p>
        </w:tc>
      </w:tr>
      <w:tr w:rsidR="00A2332E" w14:paraId="66295715" w14:textId="77777777" w:rsidTr="00A2332E">
        <w:tc>
          <w:tcPr>
            <w:tcW w:w="1555" w:type="dxa"/>
          </w:tcPr>
          <w:p w14:paraId="40747909" w14:textId="77777777" w:rsidR="00A2332E" w:rsidRPr="00CF1F98" w:rsidRDefault="00A2332E" w:rsidP="005F6ADC">
            <w:pPr>
              <w:spacing w:line="259" w:lineRule="auto"/>
              <w:rPr>
                <w:sz w:val="18"/>
                <w:szCs w:val="18"/>
              </w:rPr>
            </w:pPr>
            <w:r w:rsidRPr="00CF1F98">
              <w:rPr>
                <w:sz w:val="18"/>
                <w:szCs w:val="18"/>
              </w:rPr>
              <w:t>421114 - Out of School Hours Care Worker</w:t>
            </w:r>
          </w:p>
        </w:tc>
        <w:tc>
          <w:tcPr>
            <w:tcW w:w="1847" w:type="dxa"/>
          </w:tcPr>
          <w:p w14:paraId="4F541304" w14:textId="77777777" w:rsidR="00A2332E" w:rsidRPr="00CF1F98" w:rsidRDefault="00A2332E" w:rsidP="005F6ADC">
            <w:pPr>
              <w:spacing w:line="259" w:lineRule="auto"/>
              <w:rPr>
                <w:sz w:val="18"/>
                <w:szCs w:val="18"/>
              </w:rPr>
            </w:pPr>
            <w:r w:rsidRPr="00CF1F98">
              <w:rPr>
                <w:sz w:val="18"/>
                <w:szCs w:val="18"/>
              </w:rPr>
              <w:t>421114 - Out of School Hours Care Educator</w:t>
            </w:r>
          </w:p>
        </w:tc>
        <w:tc>
          <w:tcPr>
            <w:tcW w:w="5614" w:type="dxa"/>
          </w:tcPr>
          <w:p w14:paraId="676A6036" w14:textId="77777777" w:rsidR="00A2332E" w:rsidRPr="00CF1F98" w:rsidRDefault="00A2332E" w:rsidP="005F6ADC">
            <w:pPr>
              <w:spacing w:line="259" w:lineRule="auto"/>
              <w:rPr>
                <w:sz w:val="18"/>
                <w:szCs w:val="18"/>
              </w:rPr>
            </w:pPr>
            <w:r w:rsidRPr="00CF1F98">
              <w:rPr>
                <w:sz w:val="18"/>
                <w:szCs w:val="18"/>
              </w:rPr>
              <w:t>1. Retain occupation</w:t>
            </w:r>
          </w:p>
          <w:p w14:paraId="76F9D6B3" w14:textId="77777777" w:rsidR="00A2332E" w:rsidRPr="00CF1F98" w:rsidRDefault="00A2332E" w:rsidP="005F6ADC">
            <w:pPr>
              <w:spacing w:line="259" w:lineRule="auto"/>
              <w:rPr>
                <w:sz w:val="18"/>
                <w:szCs w:val="18"/>
              </w:rPr>
            </w:pPr>
            <w:r w:rsidRPr="00CF1F98">
              <w:rPr>
                <w:sz w:val="18"/>
                <w:szCs w:val="18"/>
              </w:rPr>
              <w:t>2. Update principal title from Out of School Hours Care Worker to Out of School Hours Care Educator</w:t>
            </w:r>
          </w:p>
          <w:p w14:paraId="69AE7E1F" w14:textId="77777777" w:rsidR="00A2332E" w:rsidRPr="00CF1F98" w:rsidRDefault="00A2332E" w:rsidP="005F6ADC">
            <w:pPr>
              <w:spacing w:line="259" w:lineRule="auto"/>
              <w:rPr>
                <w:sz w:val="18"/>
                <w:szCs w:val="18"/>
              </w:rPr>
            </w:pPr>
            <w:r w:rsidRPr="00CF1F98">
              <w:rPr>
                <w:sz w:val="18"/>
                <w:szCs w:val="18"/>
              </w:rPr>
              <w:t xml:space="preserve">3. Update </w:t>
            </w:r>
            <w:proofErr w:type="gramStart"/>
            <w:r w:rsidRPr="00CF1F98">
              <w:rPr>
                <w:sz w:val="18"/>
                <w:szCs w:val="18"/>
              </w:rPr>
              <w:t>lead</w:t>
            </w:r>
            <w:proofErr w:type="gramEnd"/>
            <w:r w:rsidRPr="00CF1F98">
              <w:rPr>
                <w:sz w:val="18"/>
                <w:szCs w:val="18"/>
              </w:rPr>
              <w:t xml:space="preserve"> statement to include educational aspects of the jobs</w:t>
            </w:r>
          </w:p>
        </w:tc>
      </w:tr>
      <w:tr w:rsidR="00A2332E" w14:paraId="79DD177B" w14:textId="77777777" w:rsidTr="00A2332E">
        <w:trPr>
          <w:cnfStyle w:val="000000010000" w:firstRow="0" w:lastRow="0" w:firstColumn="0" w:lastColumn="0" w:oddVBand="0" w:evenVBand="0" w:oddHBand="0" w:evenHBand="1" w:firstRowFirstColumn="0" w:firstRowLastColumn="0" w:lastRowFirstColumn="0" w:lastRowLastColumn="0"/>
        </w:trPr>
        <w:tc>
          <w:tcPr>
            <w:tcW w:w="1555" w:type="dxa"/>
          </w:tcPr>
          <w:p w14:paraId="5AFEA914" w14:textId="77777777" w:rsidR="00A2332E" w:rsidRPr="00CF1F98" w:rsidRDefault="00A2332E" w:rsidP="005F6ADC">
            <w:pPr>
              <w:spacing w:line="259" w:lineRule="auto"/>
              <w:rPr>
                <w:sz w:val="18"/>
                <w:szCs w:val="18"/>
              </w:rPr>
            </w:pPr>
            <w:r w:rsidRPr="00CF1F98">
              <w:rPr>
                <w:sz w:val="18"/>
                <w:szCs w:val="18"/>
              </w:rPr>
              <w:t>422115 - Preschool Aide</w:t>
            </w:r>
          </w:p>
        </w:tc>
        <w:tc>
          <w:tcPr>
            <w:tcW w:w="1847" w:type="dxa"/>
          </w:tcPr>
          <w:p w14:paraId="76A9460B" w14:textId="77777777" w:rsidR="00A2332E" w:rsidRPr="00CF1F98" w:rsidRDefault="00A2332E" w:rsidP="005F6ADC">
            <w:pPr>
              <w:spacing w:line="259" w:lineRule="auto"/>
              <w:rPr>
                <w:sz w:val="18"/>
                <w:szCs w:val="18"/>
              </w:rPr>
            </w:pPr>
          </w:p>
        </w:tc>
        <w:tc>
          <w:tcPr>
            <w:tcW w:w="5614" w:type="dxa"/>
          </w:tcPr>
          <w:p w14:paraId="56F115C5" w14:textId="77777777" w:rsidR="00A2332E" w:rsidRPr="00CF1F98" w:rsidRDefault="00A2332E" w:rsidP="005F6ADC">
            <w:pPr>
              <w:spacing w:line="259" w:lineRule="auto"/>
              <w:rPr>
                <w:sz w:val="18"/>
                <w:szCs w:val="18"/>
              </w:rPr>
            </w:pPr>
            <w:r w:rsidRPr="00CF1F98">
              <w:rPr>
                <w:sz w:val="18"/>
                <w:szCs w:val="18"/>
              </w:rPr>
              <w:t>1. Retire occupation and merge residual</w:t>
            </w:r>
          </w:p>
        </w:tc>
      </w:tr>
    </w:tbl>
    <w:p w14:paraId="31DABF9F" w14:textId="77777777" w:rsidR="00A2332E" w:rsidRPr="001C6A86" w:rsidRDefault="00A2332E" w:rsidP="00A2332E">
      <w:r>
        <w:lastRenderedPageBreak/>
        <w:t>Throughout this report, to avoid confusion, we refer to the names of ECEC staff as given by the relevant dataset (classified to ANZSCO), acknowledging that these job titles may be outdated and inconsistent with current preferred terminology.</w:t>
      </w:r>
    </w:p>
    <w:p w14:paraId="2FF60D01" w14:textId="77777777" w:rsidR="00A2332E" w:rsidRPr="001C6A86" w:rsidRDefault="00A2332E" w:rsidP="00A2332E">
      <w:pPr>
        <w:pStyle w:val="Heading3"/>
      </w:pPr>
      <w:bookmarkStart w:id="199" w:name="_Toc162526355"/>
      <w:bookmarkStart w:id="200" w:name="_Toc170464042"/>
      <w:r>
        <w:t>Our Principal Data Sources</w:t>
      </w:r>
      <w:bookmarkEnd w:id="199"/>
      <w:bookmarkEnd w:id="200"/>
      <w:r>
        <w:t xml:space="preserve">  </w:t>
      </w:r>
    </w:p>
    <w:p w14:paraId="0D5DBBD4" w14:textId="77777777" w:rsidR="00A2332E" w:rsidRPr="001C6A86" w:rsidRDefault="00A2332E" w:rsidP="00A2332E">
      <w:r w:rsidRPr="476237EF">
        <w:t>The Study uses</w:t>
      </w:r>
      <w:r w:rsidRPr="414580AC">
        <w:t xml:space="preserve"> the ANZSCO and the ANZSIC to identify key occupations and industries related to ECEC</w:t>
      </w:r>
      <w:r>
        <w:t xml:space="preserve"> from various data sources</w:t>
      </w:r>
      <w:r w:rsidRPr="414580AC">
        <w:t>. We refer to the standard data available from the ABS for the identified ECEC occupations and industries.</w:t>
      </w:r>
    </w:p>
    <w:p w14:paraId="5FFB6D09" w14:textId="77777777" w:rsidR="00A2332E" w:rsidRPr="001C6A86" w:rsidRDefault="00A2332E" w:rsidP="00A2332E">
      <w:r w:rsidRPr="476237EF">
        <w:t>The Study</w:t>
      </w:r>
      <w:r w:rsidRPr="414580AC">
        <w:t xml:space="preserve"> also </w:t>
      </w:r>
      <w:r w:rsidRPr="476237EF">
        <w:t>has</w:t>
      </w:r>
      <w:r w:rsidRPr="414580AC">
        <w:t xml:space="preserve"> access to the Early Childhood Education and Care National Workforce Census (NWC) data for 2013, 2017 and 2021. The NWC data on occupations does not use ANZSCO and cannot be </w:t>
      </w:r>
      <w:r>
        <w:t xml:space="preserve">directly </w:t>
      </w:r>
      <w:r w:rsidRPr="414580AC">
        <w:t xml:space="preserve">compared with ABS data. </w:t>
      </w:r>
      <w:r w:rsidRPr="476237EF">
        <w:t>It is</w:t>
      </w:r>
      <w:r w:rsidRPr="414580AC">
        <w:t xml:space="preserve"> nevertheless </w:t>
      </w:r>
      <w:r w:rsidRPr="476237EF">
        <w:t>included</w:t>
      </w:r>
      <w:r w:rsidRPr="414580AC">
        <w:t xml:space="preserve"> for completeness, and valuable insights into the ECEC sector.</w:t>
      </w:r>
    </w:p>
    <w:p w14:paraId="4B92D4E0" w14:textId="77777777" w:rsidR="00A2332E" w:rsidRDefault="00A2332E" w:rsidP="00A2332E">
      <w:r w:rsidRPr="414580AC">
        <w:t>Lightcast data</w:t>
      </w:r>
      <w:r w:rsidRPr="476237EF">
        <w:t xml:space="preserve"> is also used to provide insights into the ECEC labour market between 2019 and 2023. Lightcast is</w:t>
      </w:r>
      <w:r w:rsidRPr="414580AC">
        <w:t xml:space="preserve"> a proprietary dataset containing online job advertisements across Australia. </w:t>
      </w:r>
    </w:p>
    <w:p w14:paraId="5AFD70B6" w14:textId="77777777" w:rsidR="00A2332E" w:rsidRDefault="00A2332E" w:rsidP="00A2332E">
      <w:r w:rsidRPr="414580AC">
        <w:t xml:space="preserve">Where possible, this report has used the most up-to-date and relevant data sources available to </w:t>
      </w:r>
      <w:r>
        <w:t>JSA</w:t>
      </w:r>
      <w:r w:rsidRPr="414580AC">
        <w:t xml:space="preserve">. This includes the </w:t>
      </w:r>
      <w:r>
        <w:t>ABS</w:t>
      </w:r>
      <w:r w:rsidRPr="414580AC">
        <w:t xml:space="preserve"> Census</w:t>
      </w:r>
      <w:r>
        <w:t xml:space="preserve"> of Population and Housing (the Census)</w:t>
      </w:r>
      <w:r w:rsidRPr="414580AC">
        <w:t>, the ABS Person Level Integrated Data Asset (PLIDA), JSA internal projects, and ABS employment figures</w:t>
      </w:r>
      <w:r>
        <w:t xml:space="preserve"> from the Labour Force Survey (LFS)</w:t>
      </w:r>
      <w:r w:rsidRPr="414580AC">
        <w:t xml:space="preserve">. Key limitations are that the most recent </w:t>
      </w:r>
      <w:r>
        <w:t>detailed</w:t>
      </w:r>
      <w:r w:rsidRPr="414580AC">
        <w:t xml:space="preserve"> data is from 2021, and the datasets (notably, the </w:t>
      </w:r>
      <w:r>
        <w:t>C</w:t>
      </w:r>
      <w:r w:rsidRPr="414580AC">
        <w:t>ensus, PLIDA, and the NWC) only provide a sequence of data points at 3-</w:t>
      </w:r>
      <w:r>
        <w:t>, 4</w:t>
      </w:r>
      <w:r w:rsidRPr="414580AC">
        <w:t xml:space="preserve"> or </w:t>
      </w:r>
      <w:r>
        <w:t>5</w:t>
      </w:r>
      <w:r w:rsidRPr="414580AC">
        <w:t>-year intervals. The NWC only</w:t>
      </w:r>
      <w:r>
        <w:t xml:space="preserve"> has</w:t>
      </w:r>
      <w:r w:rsidRPr="414580AC">
        <w:t xml:space="preserve"> four reference years because it is a newer survey (conducted in 2010, 2013, 2017 and 2021) and so transitional and time-series analysis is limited. Nevertheless, </w:t>
      </w:r>
      <w:proofErr w:type="gramStart"/>
      <w:r w:rsidRPr="414580AC">
        <w:t>in light of</w:t>
      </w:r>
      <w:proofErr w:type="gramEnd"/>
      <w:r w:rsidRPr="414580AC">
        <w:t xml:space="preserve"> its usefulness we present data for those years when it has been made available. </w:t>
      </w:r>
    </w:p>
    <w:p w14:paraId="47D9E011" w14:textId="77777777" w:rsidR="00A2332E" w:rsidRPr="00E738A6" w:rsidRDefault="00A2332E" w:rsidP="00A2332E">
      <w:pPr>
        <w:pStyle w:val="Heading3"/>
        <w:rPr>
          <w:rFonts w:eastAsia="Arial"/>
        </w:rPr>
      </w:pPr>
      <w:bookmarkStart w:id="201" w:name="_Toc162526356"/>
      <w:bookmarkStart w:id="202" w:name="_Toc170464043"/>
      <w:r>
        <w:t>ECEC Occupations</w:t>
      </w:r>
      <w:bookmarkEnd w:id="201"/>
      <w:bookmarkEnd w:id="202"/>
    </w:p>
    <w:p w14:paraId="0C75BFE0" w14:textId="77777777" w:rsidR="00A2332E" w:rsidRPr="00E738A6" w:rsidRDefault="00A2332E" w:rsidP="00A2332E">
      <w:r>
        <w:t>Early childhood education and care is necessarily served by a large proportion of all occupations. We identified many occupations from within the two primary ANZSIC industries related to ECEC (</w:t>
      </w:r>
      <w:bookmarkStart w:id="203" w:name="_Int_o5p5KcQ2"/>
      <w:r w:rsidRPr="002F527D">
        <w:rPr>
          <w:i/>
          <w:iCs/>
        </w:rPr>
        <w:t xml:space="preserve">871 </w:t>
      </w:r>
      <w:r w:rsidRPr="00353FFB">
        <w:rPr>
          <w:i/>
          <w:iCs/>
        </w:rPr>
        <w:t>Child Care</w:t>
      </w:r>
      <w:bookmarkEnd w:id="203"/>
      <w:r w:rsidRPr="00353FFB">
        <w:rPr>
          <w:i/>
          <w:iCs/>
        </w:rPr>
        <w:t xml:space="preserve"> Services</w:t>
      </w:r>
      <w:r>
        <w:t xml:space="preserve"> and </w:t>
      </w:r>
      <w:r w:rsidRPr="002F527D">
        <w:rPr>
          <w:i/>
          <w:iCs/>
        </w:rPr>
        <w:t xml:space="preserve">801 </w:t>
      </w:r>
      <w:r w:rsidRPr="00353FFB">
        <w:rPr>
          <w:i/>
          <w:iCs/>
        </w:rPr>
        <w:t>Preschool Education</w:t>
      </w:r>
      <w:r>
        <w:t xml:space="preserve">), for practicality the Study will focus on eight key occupations as a subset of all those occupations within the industry. This expands on the Productivity Commission’s report into ECEC, which for similar reasons elected to focus on only the two ANZSCO occupations of Educators, </w:t>
      </w:r>
      <w:r w:rsidRPr="0FBD48EA">
        <w:rPr>
          <w:i/>
          <w:iCs/>
        </w:rPr>
        <w:t>Child Care Worker</w:t>
      </w:r>
      <w:r>
        <w:t xml:space="preserve">s and </w:t>
      </w:r>
      <w:r w:rsidRPr="0FBD48EA">
        <w:rPr>
          <w:i/>
          <w:iCs/>
        </w:rPr>
        <w:t>Early Childhood Teachers</w:t>
      </w:r>
      <w:r>
        <w:t>. This report considers eight key ANZSCO occupations in the ECEC labour market, selected using the following criteria:</w:t>
      </w:r>
    </w:p>
    <w:p w14:paraId="1C4EA3BB" w14:textId="77777777" w:rsidR="00A2332E" w:rsidRPr="00E738A6" w:rsidRDefault="00A2332E" w:rsidP="00A2332E">
      <w:pPr>
        <w:pStyle w:val="ListBullet"/>
      </w:pPr>
      <w:r w:rsidRPr="21EE0820">
        <w:rPr>
          <w:b/>
        </w:rPr>
        <w:t xml:space="preserve">High Priority Occupations </w:t>
      </w:r>
      <w:r w:rsidRPr="21EE0820">
        <w:t xml:space="preserve">– Occupations have been chosen based on their impact to the sector and their importance to policy measures, for example, including those occupations experiencing a labour shortage. Indicators used to help identify these high priority occupations include the Skills Priority List, employment projections and other internal analysis and modelling. </w:t>
      </w:r>
    </w:p>
    <w:p w14:paraId="0FEC0EFC" w14:textId="77777777" w:rsidR="00A2332E" w:rsidRPr="00E738A6" w:rsidRDefault="00A2332E" w:rsidP="00A2332E">
      <w:pPr>
        <w:pStyle w:val="ListBullet"/>
      </w:pPr>
      <w:r w:rsidRPr="21EE0820">
        <w:rPr>
          <w:b/>
        </w:rPr>
        <w:t>Occupation Coverage</w:t>
      </w:r>
      <w:r w:rsidRPr="21EE0820">
        <w:t xml:space="preserve"> – Occupations have been selected based on the number of people employed within that occupation to ensure sufficient coverage across the majority of ECEC sector employees.</w:t>
      </w:r>
    </w:p>
    <w:p w14:paraId="6E07890D" w14:textId="77777777" w:rsidR="00A2332E" w:rsidRPr="00E738A6" w:rsidRDefault="00A2332E" w:rsidP="00A2332E">
      <w:pPr>
        <w:pStyle w:val="ListBullet"/>
      </w:pPr>
      <w:r w:rsidRPr="21EE0820">
        <w:rPr>
          <w:b/>
        </w:rPr>
        <w:t>Importance to the aims of the study</w:t>
      </w:r>
      <w:r w:rsidRPr="21EE0820">
        <w:t xml:space="preserve"> – some occupations (such as </w:t>
      </w:r>
      <w:r w:rsidRPr="21EE0820">
        <w:rPr>
          <w:i/>
        </w:rPr>
        <w:t>Aboriginal and Torres Strait Islander Education Worker)</w:t>
      </w:r>
      <w:r w:rsidRPr="21EE0820">
        <w:t xml:space="preserve"> might not meet the above criteria, but their inclusion is important to address all the terms of reference.</w:t>
      </w:r>
    </w:p>
    <w:p w14:paraId="322197B5" w14:textId="303DD6FE" w:rsidR="00A2332E" w:rsidRPr="00E738A6" w:rsidRDefault="00A2332E" w:rsidP="00A2332E">
      <w:r w:rsidRPr="00E738A6">
        <w:rPr>
          <w:highlight w:val="lightGray"/>
        </w:rPr>
        <w:lastRenderedPageBreak/>
        <w:fldChar w:fldCharType="begin" w:fldLock="1"/>
      </w:r>
      <w:r w:rsidRPr="00E738A6">
        <w:rPr>
          <w:highlight w:val="lightGray"/>
        </w:rPr>
        <w:instrText xml:space="preserve"> REF _Ref156569700 \h </w:instrText>
      </w:r>
      <w:r>
        <w:rPr>
          <w:highlight w:val="lightGray"/>
        </w:rPr>
        <w:instrText xml:space="preserve"> \* MERGEFORMAT </w:instrText>
      </w:r>
      <w:r w:rsidRPr="00E738A6">
        <w:rPr>
          <w:highlight w:val="lightGray"/>
        </w:rPr>
      </w:r>
      <w:r w:rsidRPr="00E738A6">
        <w:rPr>
          <w:highlight w:val="lightGray"/>
        </w:rPr>
        <w:fldChar w:fldCharType="separate"/>
      </w:r>
      <w:r w:rsidRPr="005E1841">
        <w:rPr>
          <w:highlight w:val="lightGray"/>
        </w:rPr>
        <w:t xml:space="preserve">Table </w:t>
      </w:r>
      <w:r w:rsidR="005F7C52">
        <w:rPr>
          <w:noProof/>
          <w:highlight w:val="lightGray"/>
        </w:rPr>
        <w:t>4</w:t>
      </w:r>
      <w:r w:rsidRPr="00E738A6">
        <w:rPr>
          <w:highlight w:val="lightGray"/>
        </w:rPr>
        <w:fldChar w:fldCharType="end"/>
      </w:r>
      <w:r w:rsidRPr="3FE7B0AC" w:rsidDel="00784EFE">
        <w:t xml:space="preserve"> presents the eight ANZSCO occupations chosen for focus in the Study and their corresponding ANZSCO occupation codes. The left column corresponds to the unit group represented by the 4-digit ANZSCO codes.</w:t>
      </w:r>
    </w:p>
    <w:p w14:paraId="4DC5C874" w14:textId="437875E4" w:rsidR="00A2332E" w:rsidRPr="00E738A6" w:rsidRDefault="00A2332E" w:rsidP="00A2332E">
      <w:pPr>
        <w:pStyle w:val="Caption"/>
      </w:pPr>
      <w:bookmarkStart w:id="204" w:name="_Ref156569700"/>
      <w:r>
        <w:t xml:space="preserve">Table </w:t>
      </w:r>
      <w:r>
        <w:fldChar w:fldCharType="begin"/>
      </w:r>
      <w:r>
        <w:instrText xml:space="preserve"> SEQ Table \* ARABIC </w:instrText>
      </w:r>
      <w:r>
        <w:fldChar w:fldCharType="separate"/>
      </w:r>
      <w:r w:rsidR="005F18C1">
        <w:rPr>
          <w:noProof/>
        </w:rPr>
        <w:t>4</w:t>
      </w:r>
      <w:r>
        <w:fldChar w:fldCharType="end"/>
      </w:r>
      <w:bookmarkEnd w:id="204"/>
      <w:r w:rsidR="005757D3">
        <w:t xml:space="preserve"> </w:t>
      </w:r>
      <w:r>
        <w:t>Focus Occupations</w:t>
      </w:r>
    </w:p>
    <w:tbl>
      <w:tblPr>
        <w:tblW w:w="9010"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870"/>
        <w:gridCol w:w="3364"/>
        <w:gridCol w:w="2776"/>
      </w:tblGrid>
      <w:tr w:rsidR="00A2332E" w:rsidRPr="00E738A6" w14:paraId="2497BD04" w14:textId="77777777" w:rsidTr="005F6ADC">
        <w:trPr>
          <w:trHeight w:val="270"/>
          <w:tblHeader/>
        </w:trPr>
        <w:tc>
          <w:tcPr>
            <w:tcW w:w="2870" w:type="dxa"/>
            <w:tcBorders>
              <w:top w:val="single" w:sz="4" w:space="0" w:color="auto"/>
              <w:left w:val="single" w:sz="4" w:space="0" w:color="auto"/>
              <w:bottom w:val="single" w:sz="4" w:space="0" w:color="auto"/>
              <w:right w:val="single" w:sz="4" w:space="0" w:color="auto"/>
            </w:tcBorders>
            <w:shd w:val="clear" w:color="auto" w:fill="320C53" w:themeFill="text2" w:themeFillShade="BF"/>
            <w:vAlign w:val="center"/>
          </w:tcPr>
          <w:p w14:paraId="37A7F1D8" w14:textId="77777777" w:rsidR="00A2332E" w:rsidRPr="00E738A6" w:rsidRDefault="00A2332E" w:rsidP="005F6ADC">
            <w:pPr>
              <w:spacing w:beforeAutospacing="1" w:after="120" w:line="240" w:lineRule="auto"/>
              <w:jc w:val="center"/>
              <w:rPr>
                <w:rFonts w:eastAsia="Arial" w:cs="Arial"/>
                <w:b/>
                <w:bCs/>
                <w:color w:val="FFFFFF" w:themeColor="background1"/>
                <w:sz w:val="20"/>
                <w:szCs w:val="20"/>
              </w:rPr>
            </w:pPr>
            <w:r w:rsidRPr="414580AC">
              <w:rPr>
                <w:rFonts w:eastAsia="Arial" w:cs="Arial"/>
                <w:b/>
                <w:bCs/>
                <w:color w:val="FFFFFF" w:themeColor="background1"/>
                <w:sz w:val="20"/>
                <w:szCs w:val="20"/>
              </w:rPr>
              <w:t>A</w:t>
            </w:r>
            <w:r w:rsidRPr="00BA5B58">
              <w:rPr>
                <w:rFonts w:eastAsia="Arial" w:cs="Arial"/>
                <w:b/>
                <w:bCs/>
                <w:color w:val="FFFFFF" w:themeColor="background1"/>
                <w:sz w:val="20"/>
                <w:szCs w:val="20"/>
              </w:rPr>
              <w:t xml:space="preserve">NZSCO </w:t>
            </w:r>
            <w:r w:rsidRPr="414580AC">
              <w:rPr>
                <w:rFonts w:eastAsia="Arial" w:cs="Arial"/>
                <w:b/>
                <w:bCs/>
                <w:color w:val="FFFFFF" w:themeColor="background1"/>
                <w:sz w:val="20"/>
                <w:szCs w:val="20"/>
              </w:rPr>
              <w:t>Unit Group</w:t>
            </w:r>
          </w:p>
        </w:tc>
        <w:tc>
          <w:tcPr>
            <w:tcW w:w="3364" w:type="dxa"/>
            <w:tcBorders>
              <w:top w:val="single" w:sz="4" w:space="0" w:color="auto"/>
              <w:left w:val="single" w:sz="4" w:space="0" w:color="auto"/>
              <w:bottom w:val="single" w:sz="4" w:space="0" w:color="auto"/>
              <w:right w:val="single" w:sz="4" w:space="0" w:color="auto"/>
            </w:tcBorders>
            <w:shd w:val="clear" w:color="auto" w:fill="320C53" w:themeFill="text2" w:themeFillShade="BF"/>
            <w:vAlign w:val="center"/>
          </w:tcPr>
          <w:p w14:paraId="40F5ADEE" w14:textId="77777777" w:rsidR="00A2332E" w:rsidRPr="00E738A6" w:rsidRDefault="00A2332E" w:rsidP="005F6ADC">
            <w:pPr>
              <w:spacing w:beforeAutospacing="1" w:after="120" w:line="240" w:lineRule="auto"/>
              <w:jc w:val="center"/>
              <w:rPr>
                <w:rFonts w:eastAsia="Arial" w:cs="Arial"/>
                <w:color w:val="FFFFFF" w:themeColor="background1"/>
                <w:sz w:val="20"/>
                <w:szCs w:val="20"/>
              </w:rPr>
            </w:pPr>
            <w:r w:rsidRPr="414580AC">
              <w:rPr>
                <w:rFonts w:eastAsia="Arial" w:cs="Arial"/>
                <w:b/>
                <w:bCs/>
                <w:color w:val="FFFFFF" w:themeColor="background1"/>
                <w:sz w:val="20"/>
                <w:szCs w:val="20"/>
              </w:rPr>
              <w:t>ANZSCO Occupation Principal Title</w:t>
            </w:r>
          </w:p>
        </w:tc>
        <w:tc>
          <w:tcPr>
            <w:tcW w:w="2776" w:type="dxa"/>
            <w:tcBorders>
              <w:top w:val="single" w:sz="4" w:space="0" w:color="auto"/>
              <w:left w:val="single" w:sz="4" w:space="0" w:color="auto"/>
              <w:bottom w:val="single" w:sz="4" w:space="0" w:color="auto"/>
              <w:right w:val="single" w:sz="4" w:space="0" w:color="auto"/>
            </w:tcBorders>
            <w:shd w:val="clear" w:color="auto" w:fill="320C53" w:themeFill="text2" w:themeFillShade="BF"/>
            <w:vAlign w:val="center"/>
          </w:tcPr>
          <w:p w14:paraId="2C1E61B9" w14:textId="77777777" w:rsidR="00A2332E" w:rsidRPr="00E738A6" w:rsidRDefault="00A2332E" w:rsidP="005F6ADC">
            <w:pPr>
              <w:spacing w:beforeAutospacing="1" w:after="120" w:line="240" w:lineRule="auto"/>
              <w:jc w:val="center"/>
              <w:rPr>
                <w:rFonts w:eastAsia="Arial" w:cs="Arial"/>
                <w:b/>
                <w:bCs/>
                <w:color w:val="FFFFFF" w:themeColor="background1"/>
                <w:sz w:val="20"/>
                <w:szCs w:val="20"/>
              </w:rPr>
            </w:pPr>
            <w:r w:rsidRPr="414580AC">
              <w:rPr>
                <w:rFonts w:eastAsia="Arial" w:cs="Arial"/>
                <w:b/>
                <w:bCs/>
                <w:color w:val="FFFFFF" w:themeColor="background1"/>
                <w:sz w:val="20"/>
                <w:szCs w:val="20"/>
              </w:rPr>
              <w:t>6-Digit ANZSCO Occupation Code</w:t>
            </w:r>
          </w:p>
        </w:tc>
      </w:tr>
      <w:tr w:rsidR="00A2332E" w:rsidRPr="00E738A6" w14:paraId="28E72CA4" w14:textId="77777777" w:rsidTr="005F6ADC">
        <w:trPr>
          <w:trHeight w:val="330"/>
        </w:trPr>
        <w:tc>
          <w:tcPr>
            <w:tcW w:w="2870" w:type="dxa"/>
            <w:tcBorders>
              <w:top w:val="single" w:sz="4" w:space="0" w:color="auto"/>
              <w:left w:val="single" w:sz="4" w:space="0" w:color="auto"/>
              <w:bottom w:val="single" w:sz="4" w:space="0" w:color="auto"/>
              <w:right w:val="single" w:sz="4" w:space="0" w:color="auto"/>
            </w:tcBorders>
            <w:vAlign w:val="center"/>
          </w:tcPr>
          <w:p w14:paraId="6C3B0EE1" w14:textId="77777777" w:rsidR="00A2332E" w:rsidRPr="00E738A6" w:rsidRDefault="00A2332E" w:rsidP="005F6ADC">
            <w:pPr>
              <w:spacing w:after="0" w:line="240" w:lineRule="auto"/>
              <w:rPr>
                <w:rFonts w:eastAsia="Arial" w:cs="Arial"/>
                <w:sz w:val="20"/>
                <w:szCs w:val="20"/>
              </w:rPr>
            </w:pPr>
            <w:bookmarkStart w:id="205" w:name="_Int_gZubqfIF"/>
            <w:r w:rsidRPr="414580AC">
              <w:rPr>
                <w:rFonts w:eastAsia="Arial" w:cs="Arial"/>
                <w:sz w:val="20"/>
                <w:szCs w:val="20"/>
              </w:rPr>
              <w:t>Child Care</w:t>
            </w:r>
            <w:bookmarkEnd w:id="205"/>
            <w:r w:rsidRPr="414580AC">
              <w:rPr>
                <w:rFonts w:eastAsia="Arial" w:cs="Arial"/>
                <w:sz w:val="20"/>
                <w:szCs w:val="20"/>
              </w:rPr>
              <w:t xml:space="preserve"> Centre Manager</w:t>
            </w:r>
          </w:p>
        </w:tc>
        <w:tc>
          <w:tcPr>
            <w:tcW w:w="3364" w:type="dxa"/>
            <w:tcBorders>
              <w:top w:val="single" w:sz="4" w:space="0" w:color="auto"/>
              <w:left w:val="single" w:sz="4" w:space="0" w:color="auto"/>
              <w:bottom w:val="single" w:sz="4" w:space="0" w:color="auto"/>
              <w:right w:val="single" w:sz="4" w:space="0" w:color="auto"/>
            </w:tcBorders>
            <w:vAlign w:val="center"/>
          </w:tcPr>
          <w:p w14:paraId="30B6B212" w14:textId="77777777" w:rsidR="00A2332E" w:rsidRPr="00E738A6" w:rsidRDefault="00A2332E" w:rsidP="005F6ADC">
            <w:pPr>
              <w:spacing w:after="0" w:line="240" w:lineRule="auto"/>
              <w:rPr>
                <w:rFonts w:eastAsia="Arial" w:cs="Arial"/>
                <w:sz w:val="20"/>
                <w:szCs w:val="20"/>
              </w:rPr>
            </w:pPr>
            <w:bookmarkStart w:id="206" w:name="_Int_2v62mnkj"/>
            <w:r w:rsidRPr="414580AC">
              <w:rPr>
                <w:rFonts w:eastAsia="Arial" w:cs="Arial"/>
                <w:sz w:val="20"/>
                <w:szCs w:val="20"/>
              </w:rPr>
              <w:t>Child Care</w:t>
            </w:r>
            <w:bookmarkEnd w:id="206"/>
            <w:r w:rsidRPr="414580AC">
              <w:rPr>
                <w:rFonts w:eastAsia="Arial" w:cs="Arial"/>
                <w:sz w:val="20"/>
                <w:szCs w:val="20"/>
              </w:rPr>
              <w:t xml:space="preserve"> Centre Manager</w:t>
            </w:r>
          </w:p>
        </w:tc>
        <w:tc>
          <w:tcPr>
            <w:tcW w:w="2776" w:type="dxa"/>
            <w:tcBorders>
              <w:top w:val="single" w:sz="4" w:space="0" w:color="auto"/>
              <w:left w:val="single" w:sz="4" w:space="0" w:color="auto"/>
              <w:bottom w:val="single" w:sz="4" w:space="0" w:color="auto"/>
              <w:right w:val="single" w:sz="4" w:space="0" w:color="auto"/>
            </w:tcBorders>
            <w:vAlign w:val="center"/>
          </w:tcPr>
          <w:p w14:paraId="6BDA1868" w14:textId="77777777" w:rsidR="00A2332E" w:rsidRPr="00E738A6" w:rsidRDefault="00A2332E" w:rsidP="005F6ADC">
            <w:pPr>
              <w:spacing w:after="0" w:line="240" w:lineRule="auto"/>
              <w:jc w:val="center"/>
              <w:rPr>
                <w:rFonts w:eastAsia="Arial" w:cs="Arial"/>
                <w:sz w:val="20"/>
                <w:szCs w:val="20"/>
              </w:rPr>
            </w:pPr>
            <w:r w:rsidRPr="414580AC">
              <w:rPr>
                <w:rFonts w:eastAsia="Arial" w:cs="Arial"/>
                <w:sz w:val="20"/>
                <w:szCs w:val="20"/>
              </w:rPr>
              <w:t>134111</w:t>
            </w:r>
          </w:p>
        </w:tc>
      </w:tr>
      <w:tr w:rsidR="00A2332E" w:rsidRPr="00E738A6" w14:paraId="740D9EA2" w14:textId="77777777" w:rsidTr="005F6ADC">
        <w:trPr>
          <w:trHeight w:val="405"/>
        </w:trPr>
        <w:tc>
          <w:tcPr>
            <w:tcW w:w="28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A867EB" w14:textId="77777777" w:rsidR="00A2332E" w:rsidRPr="00E738A6" w:rsidRDefault="00A2332E" w:rsidP="005F6ADC">
            <w:pPr>
              <w:spacing w:after="0" w:line="240" w:lineRule="auto"/>
              <w:rPr>
                <w:rFonts w:eastAsia="Arial" w:cs="Arial"/>
                <w:sz w:val="20"/>
                <w:szCs w:val="20"/>
              </w:rPr>
            </w:pPr>
            <w:r w:rsidRPr="0FBD48EA">
              <w:rPr>
                <w:rFonts w:eastAsia="Arial" w:cs="Arial"/>
                <w:sz w:val="20"/>
                <w:szCs w:val="20"/>
              </w:rPr>
              <w:t>Early Childhood (Pre-primary School) Teacher</w:t>
            </w:r>
          </w:p>
        </w:tc>
        <w:tc>
          <w:tcPr>
            <w:tcW w:w="3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A78222" w14:textId="77777777" w:rsidR="00A2332E" w:rsidRPr="00E738A6" w:rsidRDefault="00A2332E" w:rsidP="005F6ADC">
            <w:pPr>
              <w:spacing w:after="0" w:line="240" w:lineRule="auto"/>
              <w:rPr>
                <w:rFonts w:eastAsia="Arial" w:cs="Arial"/>
                <w:sz w:val="20"/>
                <w:szCs w:val="20"/>
              </w:rPr>
            </w:pPr>
            <w:r w:rsidRPr="0FBD48EA">
              <w:rPr>
                <w:rFonts w:eastAsia="Arial" w:cs="Arial"/>
                <w:sz w:val="20"/>
                <w:szCs w:val="20"/>
              </w:rPr>
              <w:t>Early Childhood (Pre-primary School) Teacher</w:t>
            </w:r>
          </w:p>
        </w:tc>
        <w:tc>
          <w:tcPr>
            <w:tcW w:w="27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380B13" w14:textId="77777777" w:rsidR="00A2332E" w:rsidRPr="00E738A6" w:rsidRDefault="00A2332E" w:rsidP="005F6ADC">
            <w:pPr>
              <w:spacing w:after="0" w:line="240" w:lineRule="auto"/>
              <w:jc w:val="center"/>
              <w:rPr>
                <w:rFonts w:eastAsia="Arial" w:cs="Arial"/>
                <w:sz w:val="20"/>
                <w:szCs w:val="20"/>
              </w:rPr>
            </w:pPr>
            <w:r w:rsidRPr="0FBD48EA">
              <w:rPr>
                <w:rFonts w:eastAsia="Arial" w:cs="Arial"/>
                <w:sz w:val="20"/>
                <w:szCs w:val="20"/>
              </w:rPr>
              <w:t>241111</w:t>
            </w:r>
          </w:p>
        </w:tc>
      </w:tr>
      <w:tr w:rsidR="00A2332E" w:rsidRPr="00E738A6" w14:paraId="1CD5BF9D" w14:textId="77777777" w:rsidTr="005F6ADC">
        <w:trPr>
          <w:trHeight w:val="450"/>
        </w:trPr>
        <w:tc>
          <w:tcPr>
            <w:tcW w:w="2870" w:type="dxa"/>
            <w:vMerge w:val="restart"/>
            <w:tcBorders>
              <w:top w:val="single" w:sz="4" w:space="0" w:color="auto"/>
              <w:left w:val="single" w:sz="4" w:space="0" w:color="auto"/>
              <w:bottom w:val="single" w:sz="4" w:space="0" w:color="auto"/>
              <w:right w:val="single" w:sz="4" w:space="0" w:color="auto"/>
            </w:tcBorders>
            <w:vAlign w:val="center"/>
          </w:tcPr>
          <w:p w14:paraId="498B98AC" w14:textId="77777777" w:rsidR="00A2332E" w:rsidRPr="00E738A6" w:rsidRDefault="00A2332E" w:rsidP="005F6ADC">
            <w:pPr>
              <w:spacing w:after="0" w:line="240" w:lineRule="auto"/>
              <w:rPr>
                <w:rFonts w:eastAsia="Arial" w:cs="Arial"/>
                <w:sz w:val="20"/>
                <w:szCs w:val="20"/>
              </w:rPr>
            </w:pPr>
            <w:r w:rsidRPr="0FBD48EA">
              <w:rPr>
                <w:rFonts w:eastAsia="Arial" w:cs="Arial"/>
                <w:sz w:val="20"/>
                <w:szCs w:val="20"/>
              </w:rPr>
              <w:t>Child Carer</w:t>
            </w:r>
          </w:p>
        </w:tc>
        <w:tc>
          <w:tcPr>
            <w:tcW w:w="3364" w:type="dxa"/>
            <w:tcBorders>
              <w:top w:val="single" w:sz="4" w:space="0" w:color="auto"/>
              <w:left w:val="single" w:sz="4" w:space="0" w:color="auto"/>
              <w:bottom w:val="single" w:sz="4" w:space="0" w:color="auto"/>
              <w:right w:val="single" w:sz="4" w:space="0" w:color="auto"/>
            </w:tcBorders>
            <w:vAlign w:val="center"/>
          </w:tcPr>
          <w:p w14:paraId="0B6CE703" w14:textId="77777777" w:rsidR="00A2332E" w:rsidRPr="00E738A6" w:rsidRDefault="00A2332E" w:rsidP="005F6ADC">
            <w:pPr>
              <w:spacing w:after="0" w:line="240" w:lineRule="auto"/>
              <w:rPr>
                <w:rFonts w:eastAsia="Arial" w:cs="Arial"/>
                <w:sz w:val="20"/>
                <w:szCs w:val="20"/>
              </w:rPr>
            </w:pPr>
            <w:bookmarkStart w:id="207" w:name="_Int_YLbjtGls"/>
            <w:r w:rsidRPr="0FBD48EA">
              <w:rPr>
                <w:rFonts w:eastAsia="Arial" w:cs="Arial"/>
                <w:sz w:val="20"/>
                <w:szCs w:val="20"/>
              </w:rPr>
              <w:t>Child Care</w:t>
            </w:r>
            <w:bookmarkEnd w:id="207"/>
            <w:r w:rsidRPr="0FBD48EA">
              <w:rPr>
                <w:rFonts w:eastAsia="Arial" w:cs="Arial"/>
                <w:sz w:val="20"/>
                <w:szCs w:val="20"/>
              </w:rPr>
              <w:t xml:space="preserve"> Worker</w:t>
            </w:r>
          </w:p>
        </w:tc>
        <w:tc>
          <w:tcPr>
            <w:tcW w:w="2776" w:type="dxa"/>
            <w:tcBorders>
              <w:top w:val="single" w:sz="4" w:space="0" w:color="auto"/>
              <w:left w:val="single" w:sz="4" w:space="0" w:color="auto"/>
              <w:bottom w:val="single" w:sz="4" w:space="0" w:color="auto"/>
              <w:right w:val="single" w:sz="4" w:space="0" w:color="auto"/>
            </w:tcBorders>
            <w:vAlign w:val="center"/>
          </w:tcPr>
          <w:p w14:paraId="6BE72079" w14:textId="77777777" w:rsidR="00A2332E" w:rsidRPr="00E738A6" w:rsidRDefault="00A2332E" w:rsidP="005F6ADC">
            <w:pPr>
              <w:spacing w:after="0" w:line="240" w:lineRule="auto"/>
              <w:jc w:val="center"/>
              <w:rPr>
                <w:rFonts w:eastAsia="Arial" w:cs="Arial"/>
                <w:sz w:val="20"/>
                <w:szCs w:val="20"/>
              </w:rPr>
            </w:pPr>
            <w:r w:rsidRPr="0FBD48EA">
              <w:rPr>
                <w:rFonts w:eastAsia="Arial" w:cs="Arial"/>
                <w:sz w:val="20"/>
                <w:szCs w:val="20"/>
              </w:rPr>
              <w:t>421111</w:t>
            </w:r>
          </w:p>
        </w:tc>
      </w:tr>
      <w:tr w:rsidR="00A2332E" w:rsidRPr="00E738A6" w14:paraId="7F8606D3" w14:textId="77777777" w:rsidTr="005F6ADC">
        <w:trPr>
          <w:trHeight w:val="390"/>
        </w:trPr>
        <w:tc>
          <w:tcPr>
            <w:tcW w:w="2870" w:type="dxa"/>
            <w:vMerge/>
          </w:tcPr>
          <w:p w14:paraId="4F24B50A" w14:textId="77777777" w:rsidR="00A2332E" w:rsidRPr="00E738A6" w:rsidRDefault="00A2332E" w:rsidP="005F6ADC">
            <w:pPr>
              <w:spacing w:after="0" w:line="240" w:lineRule="auto"/>
              <w:rPr>
                <w:rFonts w:eastAsia="Arial" w:cs="Arial"/>
                <w:sz w:val="20"/>
                <w:szCs w:val="20"/>
                <w:highlight w:val="lightGray"/>
              </w:rPr>
            </w:pPr>
          </w:p>
        </w:tc>
        <w:tc>
          <w:tcPr>
            <w:tcW w:w="3364" w:type="dxa"/>
            <w:tcBorders>
              <w:top w:val="single" w:sz="4" w:space="0" w:color="auto"/>
              <w:left w:val="single" w:sz="4" w:space="0" w:color="auto"/>
              <w:bottom w:val="single" w:sz="4" w:space="0" w:color="auto"/>
              <w:right w:val="single" w:sz="4" w:space="0" w:color="auto"/>
            </w:tcBorders>
            <w:vAlign w:val="center"/>
          </w:tcPr>
          <w:p w14:paraId="4E4213A7" w14:textId="77777777" w:rsidR="00A2332E" w:rsidRPr="00E738A6" w:rsidRDefault="00A2332E" w:rsidP="005F6ADC">
            <w:pPr>
              <w:spacing w:after="0" w:line="240" w:lineRule="auto"/>
              <w:rPr>
                <w:rFonts w:eastAsia="Arial" w:cs="Arial"/>
                <w:sz w:val="20"/>
                <w:szCs w:val="20"/>
              </w:rPr>
            </w:pPr>
            <w:r w:rsidRPr="0FBD48EA">
              <w:rPr>
                <w:rFonts w:eastAsia="Arial" w:cs="Arial"/>
                <w:sz w:val="20"/>
                <w:szCs w:val="20"/>
              </w:rPr>
              <w:t>Family Day Care Worker</w:t>
            </w:r>
          </w:p>
        </w:tc>
        <w:tc>
          <w:tcPr>
            <w:tcW w:w="2776" w:type="dxa"/>
            <w:tcBorders>
              <w:top w:val="single" w:sz="4" w:space="0" w:color="auto"/>
              <w:left w:val="single" w:sz="4" w:space="0" w:color="auto"/>
              <w:bottom w:val="single" w:sz="4" w:space="0" w:color="auto"/>
              <w:right w:val="single" w:sz="4" w:space="0" w:color="auto"/>
            </w:tcBorders>
            <w:vAlign w:val="center"/>
          </w:tcPr>
          <w:p w14:paraId="57F8D165" w14:textId="77777777" w:rsidR="00A2332E" w:rsidRPr="00E738A6" w:rsidRDefault="00A2332E" w:rsidP="005F6ADC">
            <w:pPr>
              <w:spacing w:after="0" w:line="240" w:lineRule="auto"/>
              <w:jc w:val="center"/>
              <w:rPr>
                <w:rFonts w:eastAsia="Arial" w:cs="Arial"/>
                <w:sz w:val="20"/>
                <w:szCs w:val="20"/>
              </w:rPr>
            </w:pPr>
            <w:r w:rsidRPr="0FBD48EA">
              <w:rPr>
                <w:rFonts w:eastAsia="Arial" w:cs="Arial"/>
                <w:sz w:val="20"/>
                <w:szCs w:val="20"/>
              </w:rPr>
              <w:t>421112</w:t>
            </w:r>
          </w:p>
        </w:tc>
      </w:tr>
      <w:tr w:rsidR="00A2332E" w:rsidRPr="00E738A6" w14:paraId="608D09E5" w14:textId="77777777" w:rsidTr="005F6ADC">
        <w:trPr>
          <w:trHeight w:val="390"/>
        </w:trPr>
        <w:tc>
          <w:tcPr>
            <w:tcW w:w="2870" w:type="dxa"/>
            <w:vMerge/>
          </w:tcPr>
          <w:p w14:paraId="53C0C583" w14:textId="77777777" w:rsidR="00A2332E" w:rsidRPr="00E738A6" w:rsidRDefault="00A2332E" w:rsidP="005F6ADC">
            <w:pPr>
              <w:spacing w:after="0" w:line="240" w:lineRule="auto"/>
              <w:rPr>
                <w:rFonts w:eastAsia="Arial" w:cs="Arial"/>
                <w:sz w:val="20"/>
                <w:szCs w:val="20"/>
                <w:highlight w:val="lightGray"/>
              </w:rPr>
            </w:pPr>
          </w:p>
        </w:tc>
        <w:tc>
          <w:tcPr>
            <w:tcW w:w="3364" w:type="dxa"/>
            <w:tcBorders>
              <w:top w:val="single" w:sz="4" w:space="0" w:color="auto"/>
              <w:left w:val="single" w:sz="4" w:space="0" w:color="auto"/>
              <w:bottom w:val="single" w:sz="4" w:space="0" w:color="auto"/>
              <w:right w:val="single" w:sz="4" w:space="0" w:color="auto"/>
            </w:tcBorders>
            <w:vAlign w:val="center"/>
          </w:tcPr>
          <w:p w14:paraId="25660BFB" w14:textId="77777777" w:rsidR="00A2332E" w:rsidRPr="00E738A6" w:rsidRDefault="00A2332E" w:rsidP="005F6ADC">
            <w:pPr>
              <w:spacing w:after="0" w:line="240" w:lineRule="auto"/>
              <w:rPr>
                <w:rFonts w:eastAsia="Arial" w:cs="Arial"/>
                <w:sz w:val="20"/>
                <w:szCs w:val="20"/>
              </w:rPr>
            </w:pPr>
            <w:r w:rsidRPr="0FBD48EA">
              <w:rPr>
                <w:rFonts w:eastAsia="Arial" w:cs="Arial"/>
                <w:sz w:val="20"/>
                <w:szCs w:val="20"/>
              </w:rPr>
              <w:t>Nanny</w:t>
            </w:r>
          </w:p>
        </w:tc>
        <w:tc>
          <w:tcPr>
            <w:tcW w:w="2776" w:type="dxa"/>
            <w:tcBorders>
              <w:top w:val="single" w:sz="4" w:space="0" w:color="auto"/>
              <w:left w:val="single" w:sz="4" w:space="0" w:color="auto"/>
              <w:bottom w:val="single" w:sz="4" w:space="0" w:color="auto"/>
              <w:right w:val="single" w:sz="4" w:space="0" w:color="auto"/>
            </w:tcBorders>
            <w:vAlign w:val="center"/>
          </w:tcPr>
          <w:p w14:paraId="56E66A68" w14:textId="77777777" w:rsidR="00A2332E" w:rsidRPr="00E738A6" w:rsidRDefault="00A2332E" w:rsidP="005F6ADC">
            <w:pPr>
              <w:spacing w:after="0" w:line="240" w:lineRule="auto"/>
              <w:jc w:val="center"/>
              <w:rPr>
                <w:rFonts w:eastAsia="Arial" w:cs="Arial"/>
                <w:sz w:val="20"/>
                <w:szCs w:val="20"/>
              </w:rPr>
            </w:pPr>
            <w:r w:rsidRPr="0FBD48EA">
              <w:rPr>
                <w:rFonts w:eastAsia="Arial" w:cs="Arial"/>
                <w:sz w:val="20"/>
                <w:szCs w:val="20"/>
              </w:rPr>
              <w:t>421113</w:t>
            </w:r>
          </w:p>
        </w:tc>
      </w:tr>
      <w:tr w:rsidR="00A2332E" w:rsidRPr="00E738A6" w14:paraId="778D1E0F" w14:textId="77777777" w:rsidTr="005F6ADC">
        <w:trPr>
          <w:trHeight w:val="420"/>
        </w:trPr>
        <w:tc>
          <w:tcPr>
            <w:tcW w:w="2870" w:type="dxa"/>
            <w:vMerge/>
          </w:tcPr>
          <w:p w14:paraId="1DC18889" w14:textId="77777777" w:rsidR="00A2332E" w:rsidRPr="00E738A6" w:rsidRDefault="00A2332E" w:rsidP="005F6ADC">
            <w:pPr>
              <w:spacing w:after="0" w:line="240" w:lineRule="auto"/>
              <w:rPr>
                <w:rFonts w:eastAsia="Arial" w:cs="Arial"/>
                <w:sz w:val="20"/>
                <w:szCs w:val="20"/>
                <w:highlight w:val="lightGray"/>
              </w:rPr>
            </w:pPr>
          </w:p>
        </w:tc>
        <w:tc>
          <w:tcPr>
            <w:tcW w:w="3364" w:type="dxa"/>
            <w:tcBorders>
              <w:top w:val="single" w:sz="4" w:space="0" w:color="auto"/>
              <w:left w:val="single" w:sz="4" w:space="0" w:color="auto"/>
              <w:bottom w:val="single" w:sz="4" w:space="0" w:color="auto"/>
              <w:right w:val="single" w:sz="4" w:space="0" w:color="auto"/>
            </w:tcBorders>
            <w:vAlign w:val="center"/>
          </w:tcPr>
          <w:p w14:paraId="249FAA4A" w14:textId="77777777" w:rsidR="00A2332E" w:rsidRPr="00BC18FA" w:rsidRDefault="00A2332E" w:rsidP="005F6ADC">
            <w:pPr>
              <w:spacing w:after="0" w:line="240" w:lineRule="auto"/>
              <w:rPr>
                <w:rFonts w:eastAsia="Arial" w:cs="Arial"/>
                <w:sz w:val="20"/>
                <w:szCs w:val="20"/>
              </w:rPr>
            </w:pPr>
            <w:r w:rsidRPr="00BC18FA">
              <w:rPr>
                <w:rFonts w:eastAsia="Arial" w:cs="Arial"/>
                <w:sz w:val="20"/>
                <w:szCs w:val="20"/>
              </w:rPr>
              <w:t>Out of School Hours Care Worker</w:t>
            </w:r>
          </w:p>
        </w:tc>
        <w:tc>
          <w:tcPr>
            <w:tcW w:w="2776" w:type="dxa"/>
            <w:tcBorders>
              <w:top w:val="single" w:sz="4" w:space="0" w:color="auto"/>
              <w:left w:val="single" w:sz="4" w:space="0" w:color="auto"/>
              <w:bottom w:val="single" w:sz="4" w:space="0" w:color="auto"/>
              <w:right w:val="single" w:sz="4" w:space="0" w:color="auto"/>
            </w:tcBorders>
            <w:vAlign w:val="center"/>
          </w:tcPr>
          <w:p w14:paraId="1C54AD68" w14:textId="77777777" w:rsidR="00A2332E" w:rsidRPr="00BC18FA" w:rsidRDefault="00A2332E" w:rsidP="005F6ADC">
            <w:pPr>
              <w:spacing w:after="0" w:line="240" w:lineRule="auto"/>
              <w:jc w:val="center"/>
              <w:rPr>
                <w:rFonts w:eastAsia="Arial" w:cs="Arial"/>
                <w:sz w:val="20"/>
                <w:szCs w:val="20"/>
              </w:rPr>
            </w:pPr>
            <w:r w:rsidRPr="00BC18FA">
              <w:rPr>
                <w:rFonts w:eastAsia="Arial" w:cs="Arial"/>
                <w:sz w:val="20"/>
                <w:szCs w:val="20"/>
              </w:rPr>
              <w:t>421114</w:t>
            </w:r>
          </w:p>
        </w:tc>
      </w:tr>
      <w:tr w:rsidR="00A2332E" w:rsidRPr="00E738A6" w14:paraId="05F66B93" w14:textId="77777777" w:rsidTr="005F6ADC">
        <w:trPr>
          <w:trHeight w:val="450"/>
        </w:trPr>
        <w:tc>
          <w:tcPr>
            <w:tcW w:w="287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C716E3" w14:textId="77777777" w:rsidR="00A2332E" w:rsidRPr="00E738A6" w:rsidRDefault="00A2332E" w:rsidP="005F6ADC">
            <w:pPr>
              <w:spacing w:after="0" w:line="240" w:lineRule="auto"/>
              <w:rPr>
                <w:rFonts w:eastAsia="Arial" w:cs="Arial"/>
                <w:sz w:val="20"/>
                <w:szCs w:val="20"/>
              </w:rPr>
            </w:pPr>
            <w:r w:rsidRPr="40D35CAA">
              <w:rPr>
                <w:rFonts w:eastAsia="Arial" w:cs="Arial"/>
                <w:sz w:val="20"/>
                <w:szCs w:val="20"/>
              </w:rPr>
              <w:t>Education Aide (part)</w:t>
            </w:r>
          </w:p>
        </w:tc>
        <w:tc>
          <w:tcPr>
            <w:tcW w:w="3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C602F8" w14:textId="77777777" w:rsidR="00A2332E" w:rsidRPr="00E738A6" w:rsidRDefault="00A2332E" w:rsidP="005F6ADC">
            <w:pPr>
              <w:spacing w:after="0" w:line="240" w:lineRule="auto"/>
              <w:rPr>
                <w:rFonts w:eastAsia="Arial" w:cs="Arial"/>
                <w:sz w:val="20"/>
                <w:szCs w:val="20"/>
              </w:rPr>
            </w:pPr>
            <w:r w:rsidRPr="40D35CAA">
              <w:rPr>
                <w:rFonts w:eastAsia="Arial" w:cs="Arial"/>
                <w:sz w:val="20"/>
                <w:szCs w:val="20"/>
              </w:rPr>
              <w:t>Aboriginal and Torres Strait Islander Education Worker</w:t>
            </w:r>
          </w:p>
        </w:tc>
        <w:tc>
          <w:tcPr>
            <w:tcW w:w="27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6CAB5B" w14:textId="77777777" w:rsidR="00A2332E" w:rsidRPr="00E738A6" w:rsidRDefault="00A2332E" w:rsidP="005F6ADC">
            <w:pPr>
              <w:spacing w:after="0" w:line="240" w:lineRule="auto"/>
              <w:jc w:val="center"/>
              <w:rPr>
                <w:rFonts w:eastAsia="Arial" w:cs="Arial"/>
                <w:sz w:val="20"/>
                <w:szCs w:val="20"/>
              </w:rPr>
            </w:pPr>
            <w:r w:rsidRPr="40D35CAA">
              <w:rPr>
                <w:rFonts w:eastAsia="Arial" w:cs="Arial"/>
                <w:sz w:val="20"/>
                <w:szCs w:val="20"/>
              </w:rPr>
              <w:t>422111</w:t>
            </w:r>
          </w:p>
        </w:tc>
      </w:tr>
      <w:tr w:rsidR="00A2332E" w:rsidRPr="00E738A6" w14:paraId="03E47E79" w14:textId="77777777" w:rsidTr="005F6ADC">
        <w:trPr>
          <w:trHeight w:val="450"/>
        </w:trPr>
        <w:tc>
          <w:tcPr>
            <w:tcW w:w="2870" w:type="dxa"/>
            <w:vMerge/>
          </w:tcPr>
          <w:p w14:paraId="59898BA4" w14:textId="77777777" w:rsidR="00A2332E" w:rsidRPr="00E738A6" w:rsidRDefault="00A2332E" w:rsidP="005F6ADC">
            <w:pPr>
              <w:spacing w:after="0" w:line="240" w:lineRule="auto"/>
              <w:rPr>
                <w:rFonts w:eastAsia="Arial" w:cs="Arial"/>
                <w:sz w:val="20"/>
                <w:szCs w:val="20"/>
                <w:highlight w:val="lightGray"/>
              </w:rPr>
            </w:pPr>
          </w:p>
        </w:tc>
        <w:tc>
          <w:tcPr>
            <w:tcW w:w="3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BEF6FC" w14:textId="77777777" w:rsidR="00A2332E" w:rsidRPr="00E738A6" w:rsidRDefault="00A2332E" w:rsidP="005F6ADC">
            <w:pPr>
              <w:spacing w:after="0" w:line="240" w:lineRule="auto"/>
              <w:rPr>
                <w:rFonts w:eastAsia="Arial" w:cs="Arial"/>
                <w:sz w:val="20"/>
                <w:szCs w:val="20"/>
              </w:rPr>
            </w:pPr>
            <w:r w:rsidRPr="40D35CAA">
              <w:rPr>
                <w:rFonts w:eastAsia="Arial" w:cs="Arial"/>
                <w:sz w:val="20"/>
                <w:szCs w:val="20"/>
              </w:rPr>
              <w:t>Preschool Aide</w:t>
            </w:r>
          </w:p>
        </w:tc>
        <w:tc>
          <w:tcPr>
            <w:tcW w:w="27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15E450" w14:textId="77777777" w:rsidR="00A2332E" w:rsidRPr="00E738A6" w:rsidRDefault="00A2332E" w:rsidP="005F6ADC">
            <w:pPr>
              <w:spacing w:after="0" w:line="240" w:lineRule="auto"/>
              <w:jc w:val="center"/>
              <w:rPr>
                <w:rFonts w:eastAsia="Arial" w:cs="Arial"/>
                <w:sz w:val="20"/>
                <w:szCs w:val="20"/>
              </w:rPr>
            </w:pPr>
            <w:r w:rsidRPr="40D35CAA">
              <w:rPr>
                <w:rFonts w:eastAsia="Arial" w:cs="Arial"/>
                <w:sz w:val="20"/>
                <w:szCs w:val="20"/>
              </w:rPr>
              <w:t>422115</w:t>
            </w:r>
          </w:p>
        </w:tc>
      </w:tr>
      <w:tr w:rsidR="00A2332E" w:rsidRPr="00E738A6" w14:paraId="1BC841E0" w14:textId="77777777" w:rsidTr="005F6ADC">
        <w:trPr>
          <w:trHeight w:val="450"/>
        </w:trPr>
        <w:tc>
          <w:tcPr>
            <w:tcW w:w="2870" w:type="dxa"/>
            <w:vMerge/>
          </w:tcPr>
          <w:p w14:paraId="6FD49E47" w14:textId="77777777" w:rsidR="00A2332E" w:rsidRPr="00E738A6" w:rsidRDefault="00A2332E" w:rsidP="005F6ADC">
            <w:pPr>
              <w:spacing w:after="0" w:line="240" w:lineRule="auto"/>
              <w:rPr>
                <w:rFonts w:eastAsia="Arial" w:cs="Arial"/>
                <w:sz w:val="20"/>
                <w:szCs w:val="20"/>
                <w:highlight w:val="lightGray"/>
              </w:rPr>
            </w:pPr>
          </w:p>
        </w:tc>
        <w:tc>
          <w:tcPr>
            <w:tcW w:w="61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C8FE15" w14:textId="77777777" w:rsidR="00A2332E" w:rsidRPr="00E738A6" w:rsidRDefault="00A2332E" w:rsidP="005F6ADC">
            <w:pPr>
              <w:spacing w:after="0" w:line="240" w:lineRule="auto"/>
              <w:jc w:val="center"/>
              <w:rPr>
                <w:rFonts w:eastAsia="Arial" w:cs="Arial"/>
                <w:sz w:val="20"/>
                <w:szCs w:val="20"/>
              </w:rPr>
            </w:pPr>
            <w:r w:rsidRPr="40D35CAA">
              <w:rPr>
                <w:rFonts w:eastAsia="Arial" w:cs="Arial"/>
                <w:sz w:val="16"/>
                <w:szCs w:val="16"/>
              </w:rPr>
              <w:t xml:space="preserve">Note: The unit group Education Aide also includes the </w:t>
            </w:r>
            <w:r w:rsidRPr="40D35CAA">
              <w:rPr>
                <w:rFonts w:eastAsia="Arial" w:cs="Arial"/>
                <w:i/>
                <w:iCs/>
                <w:sz w:val="16"/>
                <w:szCs w:val="16"/>
              </w:rPr>
              <w:t>Integration Aide</w:t>
            </w:r>
            <w:r w:rsidRPr="40D35CAA">
              <w:rPr>
                <w:rFonts w:eastAsia="Arial" w:cs="Arial"/>
                <w:sz w:val="16"/>
                <w:szCs w:val="16"/>
              </w:rPr>
              <w:t xml:space="preserve"> and </w:t>
            </w:r>
            <w:r w:rsidRPr="40D35CAA">
              <w:rPr>
                <w:rFonts w:eastAsia="Arial" w:cs="Arial"/>
                <w:i/>
                <w:iCs/>
                <w:sz w:val="16"/>
                <w:szCs w:val="16"/>
              </w:rPr>
              <w:t>Teacher’s Aide</w:t>
            </w:r>
            <w:r w:rsidRPr="40D35CAA">
              <w:rPr>
                <w:rFonts w:eastAsia="Arial" w:cs="Arial"/>
                <w:sz w:val="16"/>
                <w:szCs w:val="16"/>
              </w:rPr>
              <w:t xml:space="preserve"> occupations, which are employed predominantly in Primary Schools and treated as out of scope for this study</w:t>
            </w:r>
            <w:r w:rsidRPr="40D35CAA">
              <w:rPr>
                <w:rFonts w:eastAsia="Arial" w:cs="Arial"/>
                <w:sz w:val="20"/>
                <w:szCs w:val="20"/>
              </w:rPr>
              <w:t>.</w:t>
            </w:r>
          </w:p>
        </w:tc>
      </w:tr>
    </w:tbl>
    <w:p w14:paraId="6C93E479" w14:textId="77777777" w:rsidR="00A2332E" w:rsidRDefault="00A2332E" w:rsidP="00A2332E"/>
    <w:p w14:paraId="00B0D558" w14:textId="77777777" w:rsidR="00A2332E" w:rsidRPr="00E738A6" w:rsidRDefault="00A2332E" w:rsidP="00A2332E">
      <w:r>
        <w:t>Throughout this report, occupational analysis is provided at the 6-digit ANZSCO level to account for each occupation’s unique characteristics. Where data is unavailable at that level, the Study provides a 4-digit ANZSCO level analysis.</w:t>
      </w:r>
    </w:p>
    <w:p w14:paraId="1AF54D4A" w14:textId="77777777" w:rsidR="00A2332E" w:rsidRPr="00E738A6" w:rsidRDefault="00A2332E" w:rsidP="00A2332E">
      <w:r>
        <w:t>To describe each of these key occupations in more detail - in terms of the duties, responsibilities, qualifications, and licensing required for each role – the Study draws on three primary sources:</w:t>
      </w:r>
    </w:p>
    <w:p w14:paraId="4FA2CBD3" w14:textId="77777777" w:rsidR="00A2332E" w:rsidRPr="00E738A6" w:rsidRDefault="00A2332E" w:rsidP="00A2332E">
      <w:pPr>
        <w:pStyle w:val="ListBullet"/>
      </w:pPr>
      <w:r w:rsidRPr="21EE0820">
        <w:t>The NQF</w:t>
      </w:r>
      <w:r>
        <w:t>.</w:t>
      </w:r>
    </w:p>
    <w:p w14:paraId="33724EFC" w14:textId="77777777" w:rsidR="00A2332E" w:rsidRPr="00E738A6" w:rsidRDefault="00A2332E" w:rsidP="00A2332E">
      <w:pPr>
        <w:pStyle w:val="ListBullet"/>
      </w:pPr>
      <w:r w:rsidRPr="21EE0820">
        <w:t xml:space="preserve">The relevant Modern Awards. These are the Children’s Services Modern Award (for all roles except </w:t>
      </w:r>
      <w:r w:rsidRPr="002F527D">
        <w:rPr>
          <w:i/>
        </w:rPr>
        <w:t>Early Childhood Teachers</w:t>
      </w:r>
      <w:r w:rsidRPr="21EE0820">
        <w:t xml:space="preserve">) and the Education Services (Teachers) Modern Award for </w:t>
      </w:r>
      <w:r w:rsidRPr="002F527D">
        <w:rPr>
          <w:i/>
        </w:rPr>
        <w:t>Early Childhood Teachers</w:t>
      </w:r>
      <w:r>
        <w:t>.</w:t>
      </w:r>
    </w:p>
    <w:p w14:paraId="434CD5F0" w14:textId="77777777" w:rsidR="00A2332E" w:rsidRPr="00E738A6" w:rsidRDefault="00A2332E" w:rsidP="00A2332E">
      <w:pPr>
        <w:pStyle w:val="ListBullet"/>
      </w:pPr>
      <w:r w:rsidRPr="21EE0820">
        <w:t xml:space="preserve">The ANZSCO classification, noting that it is currently under review and stakeholders have made submissions for revisions to the classification descriptions for ECEC occupations. </w:t>
      </w:r>
    </w:p>
    <w:p w14:paraId="4123A690" w14:textId="4C8AC993" w:rsidR="00A2332E" w:rsidRDefault="00C82778" w:rsidP="00A2332E">
      <w:r>
        <w:t xml:space="preserve">Table 5 </w:t>
      </w:r>
      <w:r w:rsidR="00A2332E">
        <w:t xml:space="preserve">below provides an overview of how each of the eight key occupations are represented across the different primary sources, which helps to navigate differences in terminology. The left column shows the terminology used in this report, which follows the sector’s current preferred usage, also adopted in the draft Productivity Commission report. The second column shows the NQF definition, which is less granular, differentiating ECEC staff only by whether they have completed a certificate or a diploma. The other occupations in the NQF are synonymous with the ANZSCO definition. The Modern Awards column specifies the awards for each corresponding occupation. Lastly, the ANZSCO classifications which align with the terms used in the report, the bold text shows the ANZSCO Unit Group and the non-bolded text shows ANZSCO Occupation. ANZSCO differentiates each occupation by ECEC setting (e.g. FDC Centre, OSHC etc) and required qualifications. There </w:t>
      </w:r>
      <w:r w:rsidR="00A2332E">
        <w:lastRenderedPageBreak/>
        <w:t xml:space="preserve">are more awards than ANZSCOs, which means that within each 6-digit ANZSCO occupation, remuneration differs, usually based on level of education. </w:t>
      </w:r>
      <w:bookmarkStart w:id="208" w:name="_Ref168327691"/>
    </w:p>
    <w:bookmarkEnd w:id="208"/>
    <w:p w14:paraId="734534D8" w14:textId="523B38FD" w:rsidR="00A2332E" w:rsidRDefault="008C0A61" w:rsidP="00A2332E">
      <w:pPr>
        <w:pStyle w:val="Caption"/>
      </w:pPr>
      <w:r>
        <w:t>Table 5</w:t>
      </w:r>
      <w:r w:rsidR="00A2332E">
        <w:t xml:space="preserve"> </w:t>
      </w:r>
      <w:r w:rsidR="00A2332E" w:rsidRPr="0079169A">
        <w:t>Comparison of occupation definitions for ECEC Capacity Study focused roles</w:t>
      </w:r>
      <w:r w:rsidR="00A2332E">
        <w:rPr>
          <w:rStyle w:val="FootnoteReference"/>
        </w:rPr>
        <w:footnoteReference w:id="76"/>
      </w:r>
    </w:p>
    <w:tbl>
      <w:tblPr>
        <w:tblW w:w="5000" w:type="pct"/>
        <w:tblLayout w:type="fixed"/>
        <w:tblLook w:val="04A0" w:firstRow="1" w:lastRow="0" w:firstColumn="1" w:lastColumn="0" w:noHBand="0" w:noVBand="1"/>
      </w:tblPr>
      <w:tblGrid>
        <w:gridCol w:w="1602"/>
        <w:gridCol w:w="1659"/>
        <w:gridCol w:w="2693"/>
        <w:gridCol w:w="3072"/>
      </w:tblGrid>
      <w:tr w:rsidR="00A2332E" w:rsidRPr="00E738A6" w14:paraId="6932378B" w14:textId="77777777" w:rsidTr="00A2332E">
        <w:trPr>
          <w:trHeight w:val="300"/>
        </w:trPr>
        <w:tc>
          <w:tcPr>
            <w:tcW w:w="887" w:type="pct"/>
            <w:shd w:val="clear" w:color="auto" w:fill="320C53" w:themeFill="text2" w:themeFillShade="BF"/>
          </w:tcPr>
          <w:p w14:paraId="41093782" w14:textId="77777777" w:rsidR="00A2332E" w:rsidRPr="00CE0D64" w:rsidRDefault="00A2332E" w:rsidP="005F6ADC">
            <w:pPr>
              <w:spacing w:after="40"/>
              <w:rPr>
                <w:b/>
                <w:bCs/>
                <w:color w:val="FFFFFF" w:themeColor="background1"/>
                <w:sz w:val="18"/>
                <w:szCs w:val="18"/>
              </w:rPr>
            </w:pPr>
            <w:r w:rsidRPr="00CE0D64">
              <w:rPr>
                <w:b/>
                <w:bCs/>
                <w:color w:val="FFFFFF" w:themeColor="background1"/>
                <w:sz w:val="18"/>
                <w:szCs w:val="18"/>
              </w:rPr>
              <w:t>Terms used in this report</w:t>
            </w:r>
          </w:p>
        </w:tc>
        <w:tc>
          <w:tcPr>
            <w:tcW w:w="919" w:type="pct"/>
            <w:shd w:val="clear" w:color="auto" w:fill="320C53" w:themeFill="text2" w:themeFillShade="BF"/>
          </w:tcPr>
          <w:p w14:paraId="19A34594" w14:textId="77777777" w:rsidR="00A2332E" w:rsidRPr="00CE0D64" w:rsidRDefault="00A2332E" w:rsidP="005F6ADC">
            <w:pPr>
              <w:spacing w:after="40"/>
              <w:rPr>
                <w:b/>
                <w:bCs/>
                <w:color w:val="FFFFFF" w:themeColor="background1"/>
                <w:sz w:val="18"/>
                <w:szCs w:val="18"/>
              </w:rPr>
            </w:pPr>
            <w:r w:rsidRPr="00CE0D64">
              <w:rPr>
                <w:b/>
                <w:bCs/>
                <w:color w:val="FFFFFF" w:themeColor="background1"/>
                <w:sz w:val="18"/>
                <w:szCs w:val="18"/>
              </w:rPr>
              <w:t>NQF</w:t>
            </w:r>
          </w:p>
        </w:tc>
        <w:tc>
          <w:tcPr>
            <w:tcW w:w="1492" w:type="pct"/>
            <w:shd w:val="clear" w:color="auto" w:fill="320C53" w:themeFill="text2" w:themeFillShade="BF"/>
          </w:tcPr>
          <w:p w14:paraId="27B0FFF4" w14:textId="77777777" w:rsidR="00A2332E" w:rsidRPr="00CE0D64" w:rsidRDefault="00A2332E" w:rsidP="005F6ADC">
            <w:pPr>
              <w:spacing w:after="40"/>
              <w:rPr>
                <w:b/>
                <w:bCs/>
                <w:color w:val="FFFFFF" w:themeColor="background1"/>
                <w:sz w:val="18"/>
                <w:szCs w:val="18"/>
              </w:rPr>
            </w:pPr>
            <w:r w:rsidRPr="00CE0D64">
              <w:rPr>
                <w:b/>
                <w:bCs/>
                <w:color w:val="FFFFFF" w:themeColor="background1"/>
                <w:sz w:val="18"/>
                <w:szCs w:val="18"/>
              </w:rPr>
              <w:t>Modern Awards</w:t>
            </w:r>
          </w:p>
        </w:tc>
        <w:tc>
          <w:tcPr>
            <w:tcW w:w="1702" w:type="pct"/>
            <w:shd w:val="clear" w:color="auto" w:fill="320C53" w:themeFill="text2" w:themeFillShade="BF"/>
          </w:tcPr>
          <w:p w14:paraId="4C580E87" w14:textId="77777777" w:rsidR="00A2332E" w:rsidRPr="00CE0D64" w:rsidRDefault="00A2332E" w:rsidP="005F6ADC">
            <w:pPr>
              <w:spacing w:after="40"/>
              <w:rPr>
                <w:b/>
                <w:bCs/>
                <w:color w:val="FFFFFF" w:themeColor="background1"/>
                <w:sz w:val="18"/>
                <w:szCs w:val="18"/>
              </w:rPr>
            </w:pPr>
            <w:r w:rsidRPr="00CE0D64">
              <w:rPr>
                <w:b/>
                <w:bCs/>
                <w:color w:val="FFFFFF" w:themeColor="background1"/>
                <w:sz w:val="18"/>
                <w:szCs w:val="18"/>
              </w:rPr>
              <w:t>ANZSCO</w:t>
            </w:r>
          </w:p>
        </w:tc>
      </w:tr>
      <w:tr w:rsidR="00A2332E" w:rsidRPr="00E738A6" w14:paraId="50DFBC74" w14:textId="77777777" w:rsidTr="00A2332E">
        <w:trPr>
          <w:trHeight w:val="300"/>
        </w:trPr>
        <w:tc>
          <w:tcPr>
            <w:tcW w:w="887" w:type="pct"/>
          </w:tcPr>
          <w:p w14:paraId="4689BBEB" w14:textId="77777777" w:rsidR="00A2332E" w:rsidRPr="00E738A6" w:rsidRDefault="00A2332E" w:rsidP="005F6ADC">
            <w:pPr>
              <w:spacing w:after="40"/>
              <w:rPr>
                <w:b/>
                <w:bCs/>
                <w:sz w:val="18"/>
                <w:szCs w:val="18"/>
              </w:rPr>
            </w:pPr>
            <w:r w:rsidRPr="414580AC">
              <w:rPr>
                <w:b/>
                <w:bCs/>
                <w:sz w:val="18"/>
                <w:szCs w:val="18"/>
              </w:rPr>
              <w:t>Early Childhood Educator</w:t>
            </w:r>
          </w:p>
        </w:tc>
        <w:tc>
          <w:tcPr>
            <w:tcW w:w="919" w:type="pct"/>
          </w:tcPr>
          <w:p w14:paraId="2CFAF9D8" w14:textId="77777777" w:rsidR="00A2332E" w:rsidRPr="00E738A6" w:rsidRDefault="00A2332E" w:rsidP="005F6ADC">
            <w:pPr>
              <w:spacing w:after="40"/>
              <w:rPr>
                <w:b/>
                <w:bCs/>
                <w:sz w:val="18"/>
                <w:szCs w:val="18"/>
              </w:rPr>
            </w:pPr>
            <w:r w:rsidRPr="414580AC">
              <w:rPr>
                <w:b/>
                <w:bCs/>
                <w:sz w:val="18"/>
                <w:szCs w:val="18"/>
              </w:rPr>
              <w:t>Educator</w:t>
            </w:r>
          </w:p>
        </w:tc>
        <w:tc>
          <w:tcPr>
            <w:tcW w:w="1492" w:type="pct"/>
          </w:tcPr>
          <w:p w14:paraId="334F9448" w14:textId="77777777" w:rsidR="00A2332E" w:rsidRPr="00E738A6" w:rsidRDefault="00A2332E" w:rsidP="005F6ADC">
            <w:pPr>
              <w:spacing w:after="40"/>
              <w:rPr>
                <w:b/>
                <w:bCs/>
                <w:sz w:val="18"/>
                <w:szCs w:val="18"/>
              </w:rPr>
            </w:pPr>
            <w:r w:rsidRPr="414580AC">
              <w:rPr>
                <w:b/>
                <w:bCs/>
                <w:sz w:val="18"/>
                <w:szCs w:val="18"/>
              </w:rPr>
              <w:t>Children’s Services Employees (CSEs)</w:t>
            </w:r>
          </w:p>
          <w:p w14:paraId="0EF86C92" w14:textId="77777777" w:rsidR="00A2332E" w:rsidRPr="00E738A6" w:rsidRDefault="00A2332E" w:rsidP="005F6ADC">
            <w:pPr>
              <w:spacing w:after="40"/>
              <w:rPr>
                <w:sz w:val="18"/>
                <w:szCs w:val="18"/>
              </w:rPr>
            </w:pPr>
            <w:r w:rsidRPr="414580AC">
              <w:rPr>
                <w:sz w:val="18"/>
                <w:szCs w:val="18"/>
              </w:rPr>
              <w:t xml:space="preserve">Level 1 – no formal qualifications </w:t>
            </w:r>
          </w:p>
          <w:p w14:paraId="6B69CB6B" w14:textId="77777777" w:rsidR="00A2332E" w:rsidRPr="00E738A6" w:rsidRDefault="00A2332E" w:rsidP="005F6ADC">
            <w:pPr>
              <w:spacing w:after="40"/>
              <w:rPr>
                <w:sz w:val="18"/>
                <w:szCs w:val="18"/>
              </w:rPr>
            </w:pPr>
            <w:r w:rsidRPr="414580AC">
              <w:rPr>
                <w:sz w:val="18"/>
                <w:szCs w:val="18"/>
              </w:rPr>
              <w:t>Level 2 – 12 months in Level 1 or relevant Certificate II</w:t>
            </w:r>
          </w:p>
        </w:tc>
        <w:tc>
          <w:tcPr>
            <w:tcW w:w="1702" w:type="pct"/>
            <w:vMerge w:val="restart"/>
          </w:tcPr>
          <w:p w14:paraId="54ADB26B" w14:textId="77777777" w:rsidR="00A2332E" w:rsidRPr="00E738A6" w:rsidRDefault="00A2332E" w:rsidP="005F6ADC">
            <w:pPr>
              <w:spacing w:after="40"/>
              <w:rPr>
                <w:i/>
                <w:iCs/>
                <w:sz w:val="18"/>
                <w:szCs w:val="18"/>
              </w:rPr>
            </w:pPr>
            <w:r w:rsidRPr="414580AC">
              <w:rPr>
                <w:i/>
                <w:iCs/>
                <w:sz w:val="18"/>
                <w:szCs w:val="18"/>
              </w:rPr>
              <w:t>ANZSCO groups workers by education and care setting, as well as level of qualification required etc.</w:t>
            </w:r>
          </w:p>
          <w:p w14:paraId="26A2981A" w14:textId="77777777" w:rsidR="00A2332E" w:rsidRPr="00E738A6" w:rsidRDefault="00A2332E" w:rsidP="005F6ADC">
            <w:pPr>
              <w:spacing w:after="40"/>
              <w:rPr>
                <w:b/>
                <w:bCs/>
                <w:sz w:val="18"/>
                <w:szCs w:val="18"/>
              </w:rPr>
            </w:pPr>
            <w:r w:rsidRPr="414580AC">
              <w:rPr>
                <w:b/>
                <w:bCs/>
                <w:sz w:val="18"/>
                <w:szCs w:val="18"/>
              </w:rPr>
              <w:t>4211 Child Carers</w:t>
            </w:r>
          </w:p>
          <w:p w14:paraId="46B1E022" w14:textId="77777777" w:rsidR="00A2332E" w:rsidRPr="00E738A6" w:rsidRDefault="00A2332E" w:rsidP="005F6ADC">
            <w:pPr>
              <w:spacing w:after="40"/>
              <w:rPr>
                <w:sz w:val="18"/>
                <w:szCs w:val="18"/>
              </w:rPr>
            </w:pPr>
            <w:r w:rsidRPr="414580AC">
              <w:rPr>
                <w:sz w:val="18"/>
                <w:szCs w:val="18"/>
              </w:rPr>
              <w:t xml:space="preserve">421111 </w:t>
            </w:r>
            <w:bookmarkStart w:id="209" w:name="_Int_2UHI6CH1"/>
            <w:r w:rsidRPr="414580AC">
              <w:rPr>
                <w:sz w:val="18"/>
                <w:szCs w:val="18"/>
              </w:rPr>
              <w:t>Child Care</w:t>
            </w:r>
            <w:bookmarkEnd w:id="209"/>
            <w:r w:rsidRPr="414580AC">
              <w:rPr>
                <w:sz w:val="18"/>
                <w:szCs w:val="18"/>
              </w:rPr>
              <w:t xml:space="preserve"> Worker</w:t>
            </w:r>
          </w:p>
          <w:p w14:paraId="30F04528" w14:textId="77777777" w:rsidR="00A2332E" w:rsidRPr="00E738A6" w:rsidRDefault="00A2332E" w:rsidP="005F6ADC">
            <w:pPr>
              <w:spacing w:after="40"/>
              <w:rPr>
                <w:sz w:val="18"/>
                <w:szCs w:val="18"/>
              </w:rPr>
            </w:pPr>
            <w:r w:rsidRPr="414580AC">
              <w:rPr>
                <w:sz w:val="18"/>
                <w:szCs w:val="18"/>
              </w:rPr>
              <w:t>421112 Family Day Care Worker</w:t>
            </w:r>
          </w:p>
          <w:p w14:paraId="0C99C9FB" w14:textId="77777777" w:rsidR="00A2332E" w:rsidRPr="00E738A6" w:rsidRDefault="00A2332E" w:rsidP="005F6ADC">
            <w:pPr>
              <w:spacing w:after="40"/>
              <w:rPr>
                <w:sz w:val="18"/>
                <w:szCs w:val="18"/>
              </w:rPr>
            </w:pPr>
            <w:r w:rsidRPr="414580AC">
              <w:rPr>
                <w:sz w:val="18"/>
                <w:szCs w:val="18"/>
              </w:rPr>
              <w:t>421113 Nanny</w:t>
            </w:r>
          </w:p>
          <w:p w14:paraId="02E64960" w14:textId="77777777" w:rsidR="00A2332E" w:rsidRPr="00E738A6" w:rsidRDefault="00A2332E" w:rsidP="005F6ADC">
            <w:pPr>
              <w:spacing w:after="40"/>
              <w:rPr>
                <w:sz w:val="18"/>
                <w:szCs w:val="18"/>
              </w:rPr>
            </w:pPr>
            <w:r w:rsidRPr="414580AC">
              <w:rPr>
                <w:sz w:val="18"/>
                <w:szCs w:val="18"/>
              </w:rPr>
              <w:t>421114 Out of School Hours Care Worker</w:t>
            </w:r>
          </w:p>
          <w:p w14:paraId="57999B46" w14:textId="77777777" w:rsidR="00A2332E" w:rsidRPr="00E738A6" w:rsidRDefault="00A2332E" w:rsidP="005F6ADC">
            <w:pPr>
              <w:spacing w:after="40"/>
              <w:rPr>
                <w:b/>
                <w:bCs/>
                <w:sz w:val="18"/>
                <w:szCs w:val="18"/>
              </w:rPr>
            </w:pPr>
            <w:r w:rsidRPr="414580AC">
              <w:rPr>
                <w:b/>
                <w:bCs/>
                <w:sz w:val="18"/>
                <w:szCs w:val="18"/>
              </w:rPr>
              <w:t>4221 Education Aides</w:t>
            </w:r>
          </w:p>
          <w:p w14:paraId="3AE6BD80" w14:textId="77777777" w:rsidR="00A2332E" w:rsidRPr="00E738A6" w:rsidRDefault="00A2332E" w:rsidP="005F6ADC">
            <w:pPr>
              <w:spacing w:after="40"/>
              <w:rPr>
                <w:sz w:val="18"/>
                <w:szCs w:val="18"/>
              </w:rPr>
            </w:pPr>
            <w:r w:rsidRPr="414580AC">
              <w:rPr>
                <w:sz w:val="18"/>
                <w:szCs w:val="18"/>
              </w:rPr>
              <w:t>422111 Aboriginal and Torres Strait Islander Education Worker</w:t>
            </w:r>
          </w:p>
          <w:p w14:paraId="4100A5A7" w14:textId="77777777" w:rsidR="00A2332E" w:rsidRPr="00E738A6" w:rsidRDefault="00A2332E" w:rsidP="005F6ADC">
            <w:pPr>
              <w:spacing w:after="40"/>
              <w:rPr>
                <w:sz w:val="18"/>
                <w:szCs w:val="18"/>
              </w:rPr>
            </w:pPr>
            <w:r w:rsidRPr="414580AC">
              <w:rPr>
                <w:sz w:val="18"/>
                <w:szCs w:val="18"/>
              </w:rPr>
              <w:t>422115 Preschool aide</w:t>
            </w:r>
          </w:p>
        </w:tc>
      </w:tr>
      <w:tr w:rsidR="00A2332E" w:rsidRPr="00E738A6" w14:paraId="0A88F1CD" w14:textId="77777777" w:rsidTr="00A2332E">
        <w:trPr>
          <w:trHeight w:val="300"/>
        </w:trPr>
        <w:tc>
          <w:tcPr>
            <w:tcW w:w="887" w:type="pct"/>
          </w:tcPr>
          <w:p w14:paraId="324D7E3D" w14:textId="77777777" w:rsidR="00A2332E" w:rsidRPr="00E738A6" w:rsidRDefault="00A2332E" w:rsidP="005F6ADC">
            <w:pPr>
              <w:spacing w:after="40"/>
              <w:rPr>
                <w:sz w:val="18"/>
                <w:szCs w:val="18"/>
              </w:rPr>
            </w:pPr>
            <w:r w:rsidRPr="414580AC">
              <w:rPr>
                <w:sz w:val="18"/>
                <w:szCs w:val="18"/>
              </w:rPr>
              <w:t>Educator (Certificate III qualified)</w:t>
            </w:r>
          </w:p>
        </w:tc>
        <w:tc>
          <w:tcPr>
            <w:tcW w:w="919" w:type="pct"/>
          </w:tcPr>
          <w:p w14:paraId="61F0CAAB" w14:textId="77777777" w:rsidR="00A2332E" w:rsidRPr="00E738A6" w:rsidRDefault="00A2332E" w:rsidP="005F6ADC">
            <w:pPr>
              <w:spacing w:after="40"/>
              <w:rPr>
                <w:sz w:val="18"/>
                <w:szCs w:val="18"/>
              </w:rPr>
            </w:pPr>
            <w:r w:rsidRPr="414580AC">
              <w:rPr>
                <w:sz w:val="18"/>
                <w:szCs w:val="18"/>
              </w:rPr>
              <w:t>Educator (Certificate III qualified)</w:t>
            </w:r>
          </w:p>
        </w:tc>
        <w:tc>
          <w:tcPr>
            <w:tcW w:w="1492" w:type="pct"/>
          </w:tcPr>
          <w:p w14:paraId="6D9BDA29" w14:textId="77777777" w:rsidR="00A2332E" w:rsidRPr="00E738A6" w:rsidRDefault="00A2332E" w:rsidP="005F6ADC">
            <w:pPr>
              <w:spacing w:after="40"/>
              <w:rPr>
                <w:sz w:val="18"/>
                <w:szCs w:val="18"/>
              </w:rPr>
            </w:pPr>
            <w:r w:rsidRPr="414580AC">
              <w:rPr>
                <w:sz w:val="18"/>
                <w:szCs w:val="18"/>
              </w:rPr>
              <w:t>Level 3 – Certificate III</w:t>
            </w:r>
          </w:p>
        </w:tc>
        <w:tc>
          <w:tcPr>
            <w:tcW w:w="1702" w:type="pct"/>
            <w:vMerge/>
          </w:tcPr>
          <w:p w14:paraId="0F0D4125" w14:textId="77777777" w:rsidR="00A2332E" w:rsidRPr="00E738A6" w:rsidRDefault="00A2332E" w:rsidP="005F6ADC">
            <w:pPr>
              <w:spacing w:after="40"/>
              <w:rPr>
                <w:sz w:val="18"/>
                <w:szCs w:val="18"/>
                <w:highlight w:val="lightGray"/>
              </w:rPr>
            </w:pPr>
          </w:p>
        </w:tc>
      </w:tr>
      <w:tr w:rsidR="00A2332E" w:rsidRPr="00E738A6" w14:paraId="4EA1ADAF" w14:textId="77777777" w:rsidTr="00A2332E">
        <w:trPr>
          <w:trHeight w:val="300"/>
        </w:trPr>
        <w:tc>
          <w:tcPr>
            <w:tcW w:w="887" w:type="pct"/>
          </w:tcPr>
          <w:p w14:paraId="42B0F248" w14:textId="77777777" w:rsidR="00A2332E" w:rsidRPr="00E738A6" w:rsidRDefault="00A2332E" w:rsidP="005F6ADC">
            <w:pPr>
              <w:spacing w:after="40"/>
              <w:rPr>
                <w:sz w:val="18"/>
                <w:szCs w:val="18"/>
              </w:rPr>
            </w:pPr>
            <w:r w:rsidRPr="414580AC">
              <w:rPr>
                <w:sz w:val="18"/>
                <w:szCs w:val="18"/>
              </w:rPr>
              <w:t>Educator (Diploma level qualified)</w:t>
            </w:r>
          </w:p>
        </w:tc>
        <w:tc>
          <w:tcPr>
            <w:tcW w:w="919" w:type="pct"/>
          </w:tcPr>
          <w:p w14:paraId="194B7F76" w14:textId="77777777" w:rsidR="00A2332E" w:rsidRPr="00E738A6" w:rsidRDefault="00A2332E" w:rsidP="005F6ADC">
            <w:pPr>
              <w:spacing w:after="40"/>
              <w:rPr>
                <w:sz w:val="18"/>
                <w:szCs w:val="18"/>
              </w:rPr>
            </w:pPr>
            <w:r w:rsidRPr="414580AC">
              <w:rPr>
                <w:sz w:val="18"/>
                <w:szCs w:val="18"/>
              </w:rPr>
              <w:t>Educator (Diploma level qualified)</w:t>
            </w:r>
          </w:p>
        </w:tc>
        <w:tc>
          <w:tcPr>
            <w:tcW w:w="1492" w:type="pct"/>
          </w:tcPr>
          <w:p w14:paraId="00659A67" w14:textId="77777777" w:rsidR="00A2332E" w:rsidRPr="00E738A6" w:rsidRDefault="00A2332E" w:rsidP="005F6ADC">
            <w:pPr>
              <w:spacing w:after="40"/>
              <w:rPr>
                <w:sz w:val="18"/>
                <w:szCs w:val="18"/>
              </w:rPr>
            </w:pPr>
            <w:r w:rsidRPr="414580AC">
              <w:rPr>
                <w:sz w:val="18"/>
                <w:szCs w:val="18"/>
              </w:rPr>
              <w:t>Level 4 – Diploma</w:t>
            </w:r>
          </w:p>
          <w:p w14:paraId="54E10E4D" w14:textId="77777777" w:rsidR="00A2332E" w:rsidRPr="00E738A6" w:rsidRDefault="00A2332E" w:rsidP="005F6ADC">
            <w:pPr>
              <w:spacing w:after="40"/>
              <w:rPr>
                <w:sz w:val="18"/>
                <w:szCs w:val="18"/>
              </w:rPr>
            </w:pPr>
            <w:r w:rsidRPr="414580AC">
              <w:rPr>
                <w:sz w:val="18"/>
                <w:szCs w:val="18"/>
              </w:rPr>
              <w:t>Level 5 – Diploma qualified and assistant director or coordinator</w:t>
            </w:r>
          </w:p>
        </w:tc>
        <w:tc>
          <w:tcPr>
            <w:tcW w:w="1702" w:type="pct"/>
            <w:vMerge/>
          </w:tcPr>
          <w:p w14:paraId="58EE723F" w14:textId="77777777" w:rsidR="00A2332E" w:rsidRPr="00E738A6" w:rsidRDefault="00A2332E" w:rsidP="005F6ADC">
            <w:pPr>
              <w:spacing w:after="40"/>
              <w:rPr>
                <w:sz w:val="18"/>
                <w:szCs w:val="18"/>
                <w:highlight w:val="lightGray"/>
              </w:rPr>
            </w:pPr>
          </w:p>
        </w:tc>
      </w:tr>
      <w:tr w:rsidR="00A2332E" w:rsidRPr="00E738A6" w14:paraId="04101E43" w14:textId="77777777" w:rsidTr="00A2332E">
        <w:trPr>
          <w:trHeight w:val="300"/>
        </w:trPr>
        <w:tc>
          <w:tcPr>
            <w:tcW w:w="887" w:type="pct"/>
            <w:shd w:val="clear" w:color="auto" w:fill="D9D9D9" w:themeFill="background1" w:themeFillShade="D9"/>
          </w:tcPr>
          <w:p w14:paraId="2B90E166" w14:textId="77777777" w:rsidR="00A2332E" w:rsidRPr="00E738A6" w:rsidRDefault="00A2332E" w:rsidP="005F6ADC">
            <w:pPr>
              <w:spacing w:after="40"/>
              <w:rPr>
                <w:b/>
                <w:bCs/>
                <w:sz w:val="18"/>
                <w:szCs w:val="18"/>
              </w:rPr>
            </w:pPr>
            <w:r w:rsidRPr="414580AC">
              <w:rPr>
                <w:b/>
                <w:bCs/>
                <w:sz w:val="18"/>
                <w:szCs w:val="18"/>
              </w:rPr>
              <w:t>Early Childhood Teacher</w:t>
            </w:r>
          </w:p>
        </w:tc>
        <w:tc>
          <w:tcPr>
            <w:tcW w:w="919" w:type="pct"/>
            <w:shd w:val="clear" w:color="auto" w:fill="D9D9D9" w:themeFill="background1" w:themeFillShade="D9"/>
          </w:tcPr>
          <w:p w14:paraId="7023E330" w14:textId="77777777" w:rsidR="00A2332E" w:rsidRPr="00E738A6" w:rsidRDefault="00A2332E" w:rsidP="005F6ADC">
            <w:pPr>
              <w:spacing w:after="40"/>
              <w:rPr>
                <w:sz w:val="18"/>
                <w:szCs w:val="18"/>
              </w:rPr>
            </w:pPr>
            <w:r w:rsidRPr="414580AC">
              <w:rPr>
                <w:sz w:val="18"/>
                <w:szCs w:val="18"/>
              </w:rPr>
              <w:t>Teacher</w:t>
            </w:r>
          </w:p>
        </w:tc>
        <w:tc>
          <w:tcPr>
            <w:tcW w:w="1492" w:type="pct"/>
            <w:shd w:val="clear" w:color="auto" w:fill="D9D9D9" w:themeFill="background1" w:themeFillShade="D9"/>
          </w:tcPr>
          <w:p w14:paraId="2BCFA02D" w14:textId="77777777" w:rsidR="00A2332E" w:rsidRPr="00E738A6" w:rsidRDefault="00A2332E" w:rsidP="005F6ADC">
            <w:pPr>
              <w:spacing w:after="40"/>
              <w:rPr>
                <w:sz w:val="18"/>
                <w:szCs w:val="18"/>
              </w:rPr>
            </w:pPr>
            <w:r w:rsidRPr="414580AC">
              <w:rPr>
                <w:sz w:val="18"/>
                <w:szCs w:val="18"/>
              </w:rPr>
              <w:t>Educational Services (Teachers) Award 2020</w:t>
            </w:r>
          </w:p>
          <w:p w14:paraId="57409C03" w14:textId="77777777" w:rsidR="00A2332E" w:rsidRPr="00E738A6" w:rsidRDefault="00A2332E" w:rsidP="005F6ADC">
            <w:pPr>
              <w:spacing w:after="40"/>
              <w:rPr>
                <w:sz w:val="18"/>
                <w:szCs w:val="18"/>
              </w:rPr>
            </w:pPr>
            <w:r w:rsidRPr="414580AC">
              <w:rPr>
                <w:sz w:val="18"/>
                <w:szCs w:val="18"/>
              </w:rPr>
              <w:t>Level 1 – Graduate teacher</w:t>
            </w:r>
          </w:p>
          <w:p w14:paraId="64AE0BBC" w14:textId="77777777" w:rsidR="00A2332E" w:rsidRPr="00E738A6" w:rsidRDefault="00A2332E" w:rsidP="005F6ADC">
            <w:pPr>
              <w:spacing w:after="40"/>
              <w:rPr>
                <w:sz w:val="18"/>
                <w:szCs w:val="18"/>
              </w:rPr>
            </w:pPr>
            <w:r w:rsidRPr="414580AC">
              <w:rPr>
                <w:sz w:val="18"/>
                <w:szCs w:val="18"/>
              </w:rPr>
              <w:t>Level 2 – Teacher with proficient accreditation</w:t>
            </w:r>
          </w:p>
          <w:p w14:paraId="040513AD" w14:textId="77777777" w:rsidR="00A2332E" w:rsidRPr="00E738A6" w:rsidRDefault="00A2332E" w:rsidP="005F6ADC">
            <w:pPr>
              <w:spacing w:after="40"/>
              <w:rPr>
                <w:sz w:val="18"/>
                <w:szCs w:val="18"/>
              </w:rPr>
            </w:pPr>
            <w:r w:rsidRPr="414580AC">
              <w:rPr>
                <w:sz w:val="18"/>
                <w:szCs w:val="18"/>
              </w:rPr>
              <w:t>Level 3 – Teacher with proficient accreditation and 3 years’ service at level 2</w:t>
            </w:r>
          </w:p>
          <w:p w14:paraId="51D0884C" w14:textId="77777777" w:rsidR="00A2332E" w:rsidRPr="00E738A6" w:rsidRDefault="00A2332E" w:rsidP="005F6ADC">
            <w:pPr>
              <w:spacing w:after="40"/>
              <w:rPr>
                <w:sz w:val="18"/>
                <w:szCs w:val="18"/>
              </w:rPr>
            </w:pPr>
            <w:r w:rsidRPr="414580AC">
              <w:rPr>
                <w:sz w:val="18"/>
                <w:szCs w:val="18"/>
              </w:rPr>
              <w:t>Level 4 - Teacher with proficient accreditation and 3 years’ service at level 3</w:t>
            </w:r>
          </w:p>
          <w:p w14:paraId="4809AB25" w14:textId="77777777" w:rsidR="00A2332E" w:rsidRPr="00E738A6" w:rsidRDefault="00A2332E" w:rsidP="005F6ADC">
            <w:pPr>
              <w:spacing w:after="40"/>
              <w:rPr>
                <w:sz w:val="18"/>
                <w:szCs w:val="18"/>
              </w:rPr>
            </w:pPr>
            <w:r w:rsidRPr="414580AC">
              <w:rPr>
                <w:sz w:val="18"/>
                <w:szCs w:val="18"/>
              </w:rPr>
              <w:t xml:space="preserve">Level 5 – Teacher with Highly Accomplished/Lead Teacher accreditation </w:t>
            </w:r>
          </w:p>
        </w:tc>
        <w:tc>
          <w:tcPr>
            <w:tcW w:w="1702" w:type="pct"/>
            <w:shd w:val="clear" w:color="auto" w:fill="D9D9D9" w:themeFill="background1" w:themeFillShade="D9"/>
          </w:tcPr>
          <w:p w14:paraId="35F7749F" w14:textId="77777777" w:rsidR="00A2332E" w:rsidRPr="00E738A6" w:rsidRDefault="00A2332E" w:rsidP="005F6ADC">
            <w:pPr>
              <w:spacing w:after="40"/>
              <w:rPr>
                <w:b/>
                <w:bCs/>
                <w:sz w:val="18"/>
                <w:szCs w:val="18"/>
              </w:rPr>
            </w:pPr>
            <w:r w:rsidRPr="414580AC">
              <w:rPr>
                <w:b/>
                <w:bCs/>
                <w:sz w:val="18"/>
                <w:szCs w:val="18"/>
              </w:rPr>
              <w:t>2411 Early Childhood (Pre-Primary School) Teachers</w:t>
            </w:r>
          </w:p>
          <w:p w14:paraId="7141CADB" w14:textId="77777777" w:rsidR="00A2332E" w:rsidRPr="00E738A6" w:rsidRDefault="00A2332E" w:rsidP="005F6ADC">
            <w:pPr>
              <w:spacing w:after="40"/>
              <w:rPr>
                <w:sz w:val="18"/>
                <w:szCs w:val="18"/>
              </w:rPr>
            </w:pPr>
            <w:r w:rsidRPr="414580AC">
              <w:rPr>
                <w:sz w:val="18"/>
                <w:szCs w:val="18"/>
              </w:rPr>
              <w:t>241111 Early Childhood (Pre-Primary School) Teacher</w:t>
            </w:r>
          </w:p>
        </w:tc>
      </w:tr>
      <w:tr w:rsidR="00A2332E" w:rsidRPr="00E738A6" w14:paraId="326C6B36" w14:textId="77777777" w:rsidTr="00A2332E">
        <w:trPr>
          <w:trHeight w:val="300"/>
        </w:trPr>
        <w:tc>
          <w:tcPr>
            <w:tcW w:w="887" w:type="pct"/>
          </w:tcPr>
          <w:p w14:paraId="796596A0" w14:textId="77777777" w:rsidR="00A2332E" w:rsidRPr="00E738A6" w:rsidRDefault="00A2332E" w:rsidP="005F6ADC">
            <w:pPr>
              <w:spacing w:after="40"/>
              <w:rPr>
                <w:b/>
                <w:bCs/>
                <w:sz w:val="18"/>
                <w:szCs w:val="18"/>
              </w:rPr>
            </w:pPr>
            <w:r w:rsidRPr="414580AC">
              <w:rPr>
                <w:b/>
                <w:bCs/>
                <w:sz w:val="18"/>
                <w:szCs w:val="18"/>
              </w:rPr>
              <w:t>Children’s Education and Care Service Director</w:t>
            </w:r>
          </w:p>
        </w:tc>
        <w:tc>
          <w:tcPr>
            <w:tcW w:w="919" w:type="pct"/>
          </w:tcPr>
          <w:p w14:paraId="4950715C" w14:textId="77777777" w:rsidR="00A2332E" w:rsidRPr="00E738A6" w:rsidRDefault="00A2332E" w:rsidP="005F6ADC">
            <w:pPr>
              <w:spacing w:after="40"/>
              <w:rPr>
                <w:sz w:val="18"/>
                <w:szCs w:val="18"/>
              </w:rPr>
            </w:pPr>
          </w:p>
        </w:tc>
        <w:tc>
          <w:tcPr>
            <w:tcW w:w="1492" w:type="pct"/>
          </w:tcPr>
          <w:p w14:paraId="2E19AC5E" w14:textId="77777777" w:rsidR="00A2332E" w:rsidRPr="00E738A6" w:rsidRDefault="00A2332E" w:rsidP="005F6ADC">
            <w:pPr>
              <w:spacing w:after="40"/>
              <w:rPr>
                <w:sz w:val="18"/>
                <w:szCs w:val="18"/>
              </w:rPr>
            </w:pPr>
            <w:r w:rsidRPr="414580AC">
              <w:rPr>
                <w:sz w:val="18"/>
                <w:szCs w:val="18"/>
              </w:rPr>
              <w:t>Children’s Services Employees (CSEs)</w:t>
            </w:r>
          </w:p>
          <w:p w14:paraId="29F652BD" w14:textId="77777777" w:rsidR="00A2332E" w:rsidRPr="00E738A6" w:rsidRDefault="00A2332E" w:rsidP="005F6ADC">
            <w:pPr>
              <w:spacing w:after="40"/>
              <w:rPr>
                <w:sz w:val="18"/>
                <w:szCs w:val="18"/>
              </w:rPr>
            </w:pPr>
            <w:r w:rsidRPr="414580AC">
              <w:rPr>
                <w:sz w:val="18"/>
                <w:szCs w:val="18"/>
              </w:rPr>
              <w:t>Level 6 – Director</w:t>
            </w:r>
          </w:p>
        </w:tc>
        <w:tc>
          <w:tcPr>
            <w:tcW w:w="1702" w:type="pct"/>
          </w:tcPr>
          <w:p w14:paraId="69D0E62A" w14:textId="77777777" w:rsidR="00A2332E" w:rsidRPr="00E738A6" w:rsidRDefault="00A2332E" w:rsidP="005F6ADC">
            <w:pPr>
              <w:spacing w:after="40"/>
              <w:rPr>
                <w:b/>
                <w:bCs/>
                <w:sz w:val="18"/>
                <w:szCs w:val="18"/>
              </w:rPr>
            </w:pPr>
            <w:r w:rsidRPr="414580AC">
              <w:rPr>
                <w:b/>
                <w:bCs/>
                <w:sz w:val="18"/>
                <w:szCs w:val="18"/>
              </w:rPr>
              <w:t xml:space="preserve">1341 </w:t>
            </w:r>
            <w:bookmarkStart w:id="210" w:name="_Int_5NlUCyJ4"/>
            <w:r w:rsidRPr="414580AC">
              <w:rPr>
                <w:b/>
                <w:bCs/>
                <w:sz w:val="18"/>
                <w:szCs w:val="18"/>
              </w:rPr>
              <w:t>Child Care</w:t>
            </w:r>
            <w:bookmarkEnd w:id="210"/>
            <w:r w:rsidRPr="414580AC">
              <w:rPr>
                <w:b/>
                <w:bCs/>
                <w:sz w:val="18"/>
                <w:szCs w:val="18"/>
              </w:rPr>
              <w:t xml:space="preserve"> Centre Managers</w:t>
            </w:r>
          </w:p>
          <w:p w14:paraId="0E1ABA5E" w14:textId="77777777" w:rsidR="00A2332E" w:rsidRPr="00E738A6" w:rsidRDefault="00A2332E" w:rsidP="005F6ADC">
            <w:pPr>
              <w:spacing w:after="40"/>
              <w:rPr>
                <w:sz w:val="18"/>
                <w:szCs w:val="18"/>
              </w:rPr>
            </w:pPr>
            <w:r w:rsidRPr="414580AC">
              <w:rPr>
                <w:sz w:val="18"/>
                <w:szCs w:val="18"/>
              </w:rPr>
              <w:t xml:space="preserve">134111 </w:t>
            </w:r>
            <w:bookmarkStart w:id="211" w:name="_Int_MVAxNQwA"/>
            <w:r w:rsidRPr="414580AC">
              <w:rPr>
                <w:sz w:val="18"/>
                <w:szCs w:val="18"/>
              </w:rPr>
              <w:t>Child Care</w:t>
            </w:r>
            <w:bookmarkEnd w:id="211"/>
            <w:r w:rsidRPr="414580AC">
              <w:rPr>
                <w:sz w:val="18"/>
                <w:szCs w:val="18"/>
              </w:rPr>
              <w:t xml:space="preserve"> Centre Manager </w:t>
            </w:r>
          </w:p>
        </w:tc>
      </w:tr>
      <w:tr w:rsidR="00A2332E" w:rsidRPr="00E738A6" w14:paraId="4148934B" w14:textId="77777777" w:rsidTr="00A2332E">
        <w:trPr>
          <w:trHeight w:val="300"/>
        </w:trPr>
        <w:tc>
          <w:tcPr>
            <w:tcW w:w="887" w:type="pct"/>
            <w:shd w:val="clear" w:color="auto" w:fill="D9D9D9" w:themeFill="background1" w:themeFillShade="D9"/>
          </w:tcPr>
          <w:p w14:paraId="0459BFE7" w14:textId="77777777" w:rsidR="00A2332E" w:rsidRPr="00E738A6" w:rsidRDefault="00A2332E" w:rsidP="005F6ADC">
            <w:pPr>
              <w:spacing w:after="40"/>
              <w:rPr>
                <w:sz w:val="18"/>
                <w:szCs w:val="18"/>
              </w:rPr>
            </w:pPr>
            <w:r w:rsidRPr="414580AC">
              <w:rPr>
                <w:sz w:val="18"/>
                <w:szCs w:val="18"/>
              </w:rPr>
              <w:t>Other education and care occupations</w:t>
            </w:r>
          </w:p>
        </w:tc>
        <w:tc>
          <w:tcPr>
            <w:tcW w:w="919" w:type="pct"/>
            <w:shd w:val="clear" w:color="auto" w:fill="D9D9D9" w:themeFill="background1" w:themeFillShade="D9"/>
          </w:tcPr>
          <w:p w14:paraId="0223A6C3" w14:textId="77777777" w:rsidR="00A2332E" w:rsidRPr="00E738A6" w:rsidRDefault="00A2332E" w:rsidP="005F6ADC">
            <w:pPr>
              <w:spacing w:after="40"/>
              <w:rPr>
                <w:sz w:val="18"/>
                <w:szCs w:val="18"/>
              </w:rPr>
            </w:pPr>
          </w:p>
        </w:tc>
        <w:tc>
          <w:tcPr>
            <w:tcW w:w="1492" w:type="pct"/>
            <w:shd w:val="clear" w:color="auto" w:fill="D9D9D9" w:themeFill="background1" w:themeFillShade="D9"/>
          </w:tcPr>
          <w:p w14:paraId="2CC12FE7" w14:textId="77777777" w:rsidR="00A2332E" w:rsidRPr="00E738A6" w:rsidRDefault="00A2332E" w:rsidP="005F6ADC">
            <w:pPr>
              <w:spacing w:after="40"/>
              <w:rPr>
                <w:sz w:val="18"/>
                <w:szCs w:val="18"/>
              </w:rPr>
            </w:pPr>
            <w:r w:rsidRPr="414580AC">
              <w:rPr>
                <w:i/>
                <w:iCs/>
                <w:sz w:val="18"/>
                <w:szCs w:val="18"/>
              </w:rPr>
              <w:t>Various occupational awards</w:t>
            </w:r>
          </w:p>
        </w:tc>
        <w:tc>
          <w:tcPr>
            <w:tcW w:w="1702" w:type="pct"/>
            <w:shd w:val="clear" w:color="auto" w:fill="D9D9D9" w:themeFill="background1" w:themeFillShade="D9"/>
          </w:tcPr>
          <w:p w14:paraId="0A577914" w14:textId="77777777" w:rsidR="00A2332E" w:rsidRPr="00E738A6" w:rsidRDefault="00A2332E" w:rsidP="005F6ADC">
            <w:pPr>
              <w:spacing w:after="40"/>
              <w:rPr>
                <w:b/>
                <w:bCs/>
                <w:sz w:val="18"/>
                <w:szCs w:val="18"/>
              </w:rPr>
            </w:pPr>
            <w:r w:rsidRPr="414580AC">
              <w:rPr>
                <w:b/>
                <w:bCs/>
                <w:sz w:val="18"/>
                <w:szCs w:val="18"/>
              </w:rPr>
              <w:t>2415 Special Education Teachers</w:t>
            </w:r>
          </w:p>
          <w:p w14:paraId="58CCBBAC" w14:textId="77777777" w:rsidR="00A2332E" w:rsidRPr="00E738A6" w:rsidRDefault="00A2332E" w:rsidP="005F6ADC">
            <w:pPr>
              <w:spacing w:after="40"/>
              <w:rPr>
                <w:b/>
                <w:bCs/>
                <w:sz w:val="18"/>
                <w:szCs w:val="18"/>
              </w:rPr>
            </w:pPr>
            <w:r w:rsidRPr="414580AC">
              <w:rPr>
                <w:b/>
                <w:bCs/>
                <w:sz w:val="18"/>
                <w:szCs w:val="18"/>
              </w:rPr>
              <w:t>4117 Welfare Support Workers</w:t>
            </w:r>
          </w:p>
        </w:tc>
      </w:tr>
      <w:tr w:rsidR="00A2332E" w:rsidRPr="00E738A6" w14:paraId="3E797D6C" w14:textId="77777777" w:rsidTr="00A2332E">
        <w:trPr>
          <w:trHeight w:val="300"/>
        </w:trPr>
        <w:tc>
          <w:tcPr>
            <w:tcW w:w="887" w:type="pct"/>
            <w:tcBorders>
              <w:bottom w:val="single" w:sz="4" w:space="0" w:color="auto"/>
            </w:tcBorders>
          </w:tcPr>
          <w:p w14:paraId="18478DF9" w14:textId="77777777" w:rsidR="00A2332E" w:rsidRPr="00E738A6" w:rsidRDefault="00A2332E" w:rsidP="005F6ADC">
            <w:pPr>
              <w:spacing w:after="40"/>
              <w:rPr>
                <w:sz w:val="18"/>
                <w:szCs w:val="18"/>
              </w:rPr>
            </w:pPr>
            <w:r w:rsidRPr="414580AC">
              <w:rPr>
                <w:sz w:val="18"/>
                <w:szCs w:val="18"/>
              </w:rPr>
              <w:t>Other occupations in ECEC services</w:t>
            </w:r>
          </w:p>
        </w:tc>
        <w:tc>
          <w:tcPr>
            <w:tcW w:w="919" w:type="pct"/>
            <w:tcBorders>
              <w:bottom w:val="single" w:sz="4" w:space="0" w:color="auto"/>
            </w:tcBorders>
          </w:tcPr>
          <w:p w14:paraId="0C1E4840" w14:textId="77777777" w:rsidR="00A2332E" w:rsidRPr="00E738A6" w:rsidRDefault="00A2332E" w:rsidP="005F6ADC">
            <w:pPr>
              <w:spacing w:after="40"/>
              <w:rPr>
                <w:sz w:val="18"/>
                <w:szCs w:val="18"/>
              </w:rPr>
            </w:pPr>
          </w:p>
        </w:tc>
        <w:tc>
          <w:tcPr>
            <w:tcW w:w="1492" w:type="pct"/>
            <w:tcBorders>
              <w:bottom w:val="single" w:sz="4" w:space="0" w:color="auto"/>
            </w:tcBorders>
          </w:tcPr>
          <w:p w14:paraId="00C67AF9" w14:textId="77777777" w:rsidR="00A2332E" w:rsidRPr="00E738A6" w:rsidRDefault="00A2332E" w:rsidP="005F6ADC">
            <w:pPr>
              <w:spacing w:after="40"/>
              <w:rPr>
                <w:sz w:val="18"/>
                <w:szCs w:val="18"/>
              </w:rPr>
            </w:pPr>
            <w:r w:rsidRPr="414580AC">
              <w:rPr>
                <w:sz w:val="18"/>
                <w:szCs w:val="18"/>
              </w:rPr>
              <w:t>Children’s Services Support Employee (CSSE)</w:t>
            </w:r>
          </w:p>
          <w:p w14:paraId="59684D04" w14:textId="77777777" w:rsidR="00A2332E" w:rsidRPr="00E738A6" w:rsidRDefault="00A2332E" w:rsidP="005F6ADC">
            <w:pPr>
              <w:spacing w:after="40"/>
              <w:rPr>
                <w:sz w:val="18"/>
                <w:szCs w:val="18"/>
              </w:rPr>
            </w:pPr>
            <w:r w:rsidRPr="414580AC">
              <w:rPr>
                <w:sz w:val="18"/>
                <w:szCs w:val="18"/>
              </w:rPr>
              <w:t>CSSE 1 – Assistant cook, cleaner, gardener</w:t>
            </w:r>
          </w:p>
          <w:p w14:paraId="115F72E4" w14:textId="77777777" w:rsidR="00A2332E" w:rsidRPr="00E738A6" w:rsidRDefault="00A2332E" w:rsidP="005F6ADC">
            <w:pPr>
              <w:spacing w:after="40"/>
              <w:rPr>
                <w:sz w:val="18"/>
                <w:szCs w:val="18"/>
              </w:rPr>
            </w:pPr>
            <w:r w:rsidRPr="414580AC">
              <w:rPr>
                <w:sz w:val="18"/>
                <w:szCs w:val="18"/>
              </w:rPr>
              <w:t>CSSE 2 – 12 months experience at Level 1</w:t>
            </w:r>
          </w:p>
          <w:p w14:paraId="15C74B01" w14:textId="77777777" w:rsidR="00A2332E" w:rsidRPr="00E738A6" w:rsidRDefault="00A2332E" w:rsidP="005F6ADC">
            <w:pPr>
              <w:spacing w:after="40"/>
              <w:rPr>
                <w:sz w:val="18"/>
                <w:szCs w:val="18"/>
              </w:rPr>
            </w:pPr>
            <w:r w:rsidRPr="414580AC">
              <w:rPr>
                <w:sz w:val="18"/>
                <w:szCs w:val="18"/>
              </w:rPr>
              <w:t xml:space="preserve">CSSE 3 – Cert III qualified (e.g. chef) or equivalent skills </w:t>
            </w:r>
          </w:p>
        </w:tc>
        <w:tc>
          <w:tcPr>
            <w:tcW w:w="1702" w:type="pct"/>
            <w:tcBorders>
              <w:bottom w:val="single" w:sz="4" w:space="0" w:color="auto"/>
            </w:tcBorders>
          </w:tcPr>
          <w:p w14:paraId="1995255B" w14:textId="77777777" w:rsidR="00A2332E" w:rsidRPr="00E738A6" w:rsidRDefault="00A2332E" w:rsidP="005F6ADC">
            <w:pPr>
              <w:spacing w:after="40"/>
              <w:rPr>
                <w:i/>
                <w:iCs/>
                <w:sz w:val="18"/>
                <w:szCs w:val="18"/>
              </w:rPr>
            </w:pPr>
            <w:r w:rsidRPr="414580AC">
              <w:rPr>
                <w:b/>
                <w:bCs/>
                <w:i/>
                <w:iCs/>
                <w:sz w:val="18"/>
                <w:szCs w:val="18"/>
              </w:rPr>
              <w:t>Various Unit Groups</w:t>
            </w:r>
            <w:r w:rsidRPr="414580AC">
              <w:rPr>
                <w:i/>
                <w:iCs/>
                <w:sz w:val="18"/>
                <w:szCs w:val="18"/>
              </w:rPr>
              <w:t xml:space="preserve"> (selection below)</w:t>
            </w:r>
          </w:p>
          <w:p w14:paraId="09C6CC2F" w14:textId="77777777" w:rsidR="00A2332E" w:rsidRPr="00E738A6" w:rsidRDefault="00A2332E" w:rsidP="005F6ADC">
            <w:pPr>
              <w:spacing w:after="40"/>
              <w:rPr>
                <w:sz w:val="18"/>
                <w:szCs w:val="18"/>
              </w:rPr>
            </w:pPr>
            <w:r w:rsidRPr="414580AC">
              <w:rPr>
                <w:sz w:val="18"/>
                <w:szCs w:val="18"/>
              </w:rPr>
              <w:t xml:space="preserve">351411 Cook </w:t>
            </w:r>
          </w:p>
          <w:p w14:paraId="2A93DC6D" w14:textId="77777777" w:rsidR="00A2332E" w:rsidRPr="00E738A6" w:rsidRDefault="00A2332E" w:rsidP="005F6ADC">
            <w:pPr>
              <w:spacing w:after="40"/>
              <w:rPr>
                <w:sz w:val="18"/>
                <w:szCs w:val="18"/>
              </w:rPr>
            </w:pPr>
            <w:r w:rsidRPr="414580AC">
              <w:rPr>
                <w:sz w:val="18"/>
                <w:szCs w:val="18"/>
              </w:rPr>
              <w:t>811211 Commercial Cleaner</w:t>
            </w:r>
          </w:p>
          <w:p w14:paraId="057C01AA" w14:textId="77777777" w:rsidR="00A2332E" w:rsidRPr="00E738A6" w:rsidRDefault="00A2332E" w:rsidP="005F6ADC">
            <w:pPr>
              <w:spacing w:after="40"/>
              <w:rPr>
                <w:sz w:val="18"/>
                <w:szCs w:val="18"/>
              </w:rPr>
            </w:pPr>
            <w:r w:rsidRPr="414580AC">
              <w:rPr>
                <w:sz w:val="18"/>
                <w:szCs w:val="18"/>
              </w:rPr>
              <w:t>512111 Office Manager</w:t>
            </w:r>
          </w:p>
          <w:p w14:paraId="015895DA" w14:textId="77777777" w:rsidR="00A2332E" w:rsidRPr="00E738A6" w:rsidRDefault="00A2332E" w:rsidP="005F6ADC">
            <w:pPr>
              <w:spacing w:after="40"/>
              <w:rPr>
                <w:sz w:val="18"/>
                <w:szCs w:val="18"/>
              </w:rPr>
            </w:pPr>
            <w:r w:rsidRPr="414580AC">
              <w:rPr>
                <w:sz w:val="18"/>
                <w:szCs w:val="18"/>
              </w:rPr>
              <w:t>551211 Bookkeeper</w:t>
            </w:r>
          </w:p>
        </w:tc>
      </w:tr>
    </w:tbl>
    <w:p w14:paraId="35C8941D" w14:textId="6AE6F8FF" w:rsidR="00A2332E" w:rsidRPr="00A2332E" w:rsidRDefault="00A2332E" w:rsidP="00A2332E">
      <w:pPr>
        <w:pStyle w:val="Source"/>
      </w:pPr>
      <w:r w:rsidRPr="55D9BFE3">
        <w:t>Sources: ACECQA, National Quality Standard; Children’s Services Modern Award; Education Services (Teachers) Modern Award, ABS, ANZSCO; ABS, 2021 Census of Population and Housing</w:t>
      </w:r>
      <w:bookmarkStart w:id="212" w:name="_Toc162526357"/>
      <w:bookmarkStart w:id="213" w:name="_Toc170464044"/>
    </w:p>
    <w:p w14:paraId="63D58016" w14:textId="5695396B" w:rsidR="00A2332E" w:rsidRPr="00E738A6" w:rsidRDefault="00A2332E" w:rsidP="00A2332E">
      <w:pPr>
        <w:pStyle w:val="Heading3"/>
      </w:pPr>
      <w:r>
        <w:lastRenderedPageBreak/>
        <w:t>ECEC Industries</w:t>
      </w:r>
      <w:bookmarkEnd w:id="212"/>
      <w:bookmarkEnd w:id="213"/>
    </w:p>
    <w:p w14:paraId="109FCA53" w14:textId="77777777" w:rsidR="00A2332E" w:rsidRPr="00BE618A" w:rsidRDefault="00A2332E" w:rsidP="00A2332E">
      <w:pPr>
        <w:rPr>
          <w:i/>
          <w:iCs/>
        </w:rPr>
      </w:pPr>
      <w:r>
        <w:t xml:space="preserve">The Study focuses on two ANZSIC classifications: </w:t>
      </w:r>
      <w:bookmarkStart w:id="214" w:name="_Int_VWTfCDqo"/>
      <w:r w:rsidRPr="75868AA4">
        <w:rPr>
          <w:i/>
          <w:iCs/>
        </w:rPr>
        <w:t>Child Care</w:t>
      </w:r>
      <w:bookmarkEnd w:id="214"/>
      <w:r w:rsidRPr="75868AA4">
        <w:rPr>
          <w:i/>
          <w:iCs/>
        </w:rPr>
        <w:t xml:space="preserve"> Services 8710</w:t>
      </w:r>
      <w:r>
        <w:t xml:space="preserve"> and</w:t>
      </w:r>
      <w:r w:rsidRPr="75868AA4">
        <w:rPr>
          <w:i/>
          <w:iCs/>
        </w:rPr>
        <w:t xml:space="preserve"> Preschool Education 8010</w:t>
      </w:r>
      <w:r>
        <w:t xml:space="preserve"> industries, which correspond to the service types primarily regulated by the National Quality Framework (NQF). In the ABS categories, these service types include: “before and/or after school care service”, “</w:t>
      </w:r>
      <w:proofErr w:type="gramStart"/>
      <w:r>
        <w:t>child care</w:t>
      </w:r>
      <w:proofErr w:type="gramEnd"/>
      <w:r>
        <w:t xml:space="preserve"> service”, “children’s nursery operation [except preschool education]” and “family day care service”, which is encompassed in the </w:t>
      </w:r>
      <w:bookmarkStart w:id="215" w:name="_Int_qTzOlb8T"/>
      <w:r w:rsidRPr="75868AA4">
        <w:rPr>
          <w:i/>
          <w:iCs/>
        </w:rPr>
        <w:t>Child Care</w:t>
      </w:r>
      <w:bookmarkEnd w:id="215"/>
      <w:r w:rsidRPr="75868AA4">
        <w:rPr>
          <w:i/>
          <w:iCs/>
        </w:rPr>
        <w:t xml:space="preserve"> Services</w:t>
      </w:r>
      <w:r>
        <w:t xml:space="preserve"> ANZSIC. The other service types regulated by NQF relate to preschools, which correspond to the </w:t>
      </w:r>
      <w:r w:rsidRPr="75868AA4">
        <w:rPr>
          <w:i/>
          <w:iCs/>
        </w:rPr>
        <w:t>Preschool Education</w:t>
      </w:r>
      <w:r>
        <w:t xml:space="preserve"> ANZSIC. </w:t>
      </w:r>
    </w:p>
    <w:p w14:paraId="5D218F11" w14:textId="77777777" w:rsidR="00A2332E" w:rsidRPr="00E738A6" w:rsidRDefault="00A2332E" w:rsidP="00A2332E">
      <w:r>
        <w:t>ECEC staff in occupations of interest are employed across several other industries, some of which are also regulated by the NQF, such as preschool services – those operating within schools, services operated by local government, and those run by religious or community institutions. There are also ECEC services that may fall outside the NQF. Services provided by hospitals and nannies employed by private households are two such examples.</w:t>
      </w:r>
    </w:p>
    <w:p w14:paraId="6B7A72DD" w14:textId="77777777" w:rsidR="00A2332E" w:rsidRPr="00E738A6" w:rsidRDefault="00A2332E" w:rsidP="00A2332E">
      <w:r>
        <w:rPr>
          <w:highlight w:val="lightGray"/>
        </w:rPr>
        <w:fldChar w:fldCharType="begin" w:fldLock="1"/>
      </w:r>
      <w:r>
        <w:rPr>
          <w:highlight w:val="lightGray"/>
        </w:rPr>
        <w:instrText xml:space="preserve"> REF _Ref168327879 \h </w:instrText>
      </w:r>
      <w:r>
        <w:rPr>
          <w:highlight w:val="lightGray"/>
        </w:rPr>
      </w:r>
      <w:r>
        <w:rPr>
          <w:highlight w:val="lightGray"/>
        </w:rPr>
        <w:fldChar w:fldCharType="separate"/>
      </w:r>
      <w:r>
        <w:t xml:space="preserve">Table </w:t>
      </w:r>
      <w:r>
        <w:rPr>
          <w:noProof/>
        </w:rPr>
        <w:t>4</w:t>
      </w:r>
      <w:r>
        <w:rPr>
          <w:highlight w:val="lightGray"/>
        </w:rPr>
        <w:fldChar w:fldCharType="end"/>
      </w:r>
      <w:r w:rsidRPr="28DBFA00">
        <w:t xml:space="preserve">below shows the distribution of employment in ECEC occupations across the two key ANZSIC sectors. Overall, just under 80% of </w:t>
      </w:r>
      <w:r>
        <w:t>employees</w:t>
      </w:r>
      <w:r w:rsidRPr="28DBFA00">
        <w:t xml:space="preserve"> in the eight ANZSCO occupations work within the ANZSIC sectors, but there is substantial variation by occupation, such as for </w:t>
      </w:r>
      <w:r w:rsidRPr="414580AC">
        <w:rPr>
          <w:i/>
          <w:iCs/>
        </w:rPr>
        <w:t>Nanny</w:t>
      </w:r>
      <w:r w:rsidRPr="28DBFA00">
        <w:t>.</w:t>
      </w:r>
    </w:p>
    <w:p w14:paraId="53957382" w14:textId="1E501DAD" w:rsidR="00A2332E" w:rsidRDefault="00A2332E" w:rsidP="00A2332E">
      <w:pPr>
        <w:pStyle w:val="Caption"/>
      </w:pPr>
      <w:bookmarkStart w:id="216" w:name="_Ref168327879"/>
      <w:bookmarkStart w:id="217" w:name="_Ref168327874"/>
      <w:r>
        <w:t xml:space="preserve">Table </w:t>
      </w:r>
      <w:bookmarkEnd w:id="216"/>
      <w:r w:rsidR="005757D3">
        <w:t>6</w:t>
      </w:r>
      <w:r>
        <w:t xml:space="preserve"> </w:t>
      </w:r>
      <w:r w:rsidRPr="00427F45">
        <w:t>Distribution of ECEC occupations by ANZSIC industry</w:t>
      </w:r>
      <w:bookmarkEnd w:id="217"/>
    </w:p>
    <w:tbl>
      <w:tblPr>
        <w:tblStyle w:val="JSATable1"/>
        <w:tblW w:w="5000" w:type="pct"/>
        <w:tblLook w:val="0020" w:firstRow="1" w:lastRow="0" w:firstColumn="0" w:lastColumn="0" w:noHBand="0" w:noVBand="0"/>
      </w:tblPr>
      <w:tblGrid>
        <w:gridCol w:w="2268"/>
        <w:gridCol w:w="2128"/>
        <w:gridCol w:w="1560"/>
        <w:gridCol w:w="1700"/>
        <w:gridCol w:w="1370"/>
      </w:tblGrid>
      <w:tr w:rsidR="00A2332E" w:rsidRPr="00E738A6" w14:paraId="50D3C8A2" w14:textId="77777777" w:rsidTr="005F6ADC">
        <w:trPr>
          <w:cnfStyle w:val="100000000000" w:firstRow="1" w:lastRow="0" w:firstColumn="0" w:lastColumn="0" w:oddVBand="0" w:evenVBand="0" w:oddHBand="0" w:evenHBand="0" w:firstRowFirstColumn="0" w:firstRowLastColumn="0" w:lastRowFirstColumn="0" w:lastRowLastColumn="0"/>
        </w:trPr>
        <w:tc>
          <w:tcPr>
            <w:tcW w:w="1256" w:type="pct"/>
            <w:vMerge w:val="restart"/>
          </w:tcPr>
          <w:p w14:paraId="277D195F" w14:textId="77777777" w:rsidR="00A2332E" w:rsidRPr="00E738A6" w:rsidRDefault="00A2332E" w:rsidP="005F6ADC">
            <w:pPr>
              <w:pStyle w:val="TableHeading"/>
              <w:ind w:left="0" w:firstLine="0"/>
              <w:rPr>
                <w:color w:val="FFFFFF" w:themeColor="background1"/>
              </w:rPr>
            </w:pPr>
            <w:r w:rsidRPr="28DBFA00">
              <w:rPr>
                <w:color w:val="FFFFFF" w:themeColor="background1"/>
              </w:rPr>
              <w:t>Occupation</w:t>
            </w:r>
          </w:p>
        </w:tc>
        <w:tc>
          <w:tcPr>
            <w:tcW w:w="1179" w:type="pct"/>
            <w:vMerge w:val="restart"/>
          </w:tcPr>
          <w:p w14:paraId="05430E82" w14:textId="77777777" w:rsidR="00A2332E" w:rsidRPr="00E738A6" w:rsidRDefault="00A2332E" w:rsidP="005F6ADC">
            <w:pPr>
              <w:pStyle w:val="TableHeading"/>
              <w:ind w:left="0" w:firstLine="0"/>
              <w:jc w:val="center"/>
              <w:rPr>
                <w:color w:val="FFFFFF" w:themeColor="background1"/>
              </w:rPr>
            </w:pPr>
            <w:r w:rsidRPr="28DBFA00">
              <w:rPr>
                <w:color w:val="FFFFFF" w:themeColor="background1"/>
              </w:rPr>
              <w:t>Total employed</w:t>
            </w:r>
          </w:p>
        </w:tc>
        <w:tc>
          <w:tcPr>
            <w:tcW w:w="2565" w:type="pct"/>
            <w:gridSpan w:val="3"/>
          </w:tcPr>
          <w:p w14:paraId="78903F28" w14:textId="77777777" w:rsidR="00A2332E" w:rsidRPr="00E738A6" w:rsidRDefault="00A2332E" w:rsidP="005F6ADC">
            <w:pPr>
              <w:pStyle w:val="TableHeading"/>
              <w:jc w:val="center"/>
              <w:rPr>
                <w:color w:val="FFFFFF" w:themeColor="background1"/>
              </w:rPr>
            </w:pPr>
            <w:r w:rsidRPr="28DBFA00">
              <w:rPr>
                <w:color w:val="FFFFFF" w:themeColor="background1"/>
              </w:rPr>
              <w:t>ANZSIC industry (%)</w:t>
            </w:r>
          </w:p>
        </w:tc>
      </w:tr>
      <w:tr w:rsidR="00A2332E" w:rsidRPr="00E738A6" w14:paraId="41E6B808" w14:textId="77777777" w:rsidTr="005F6ADC">
        <w:tc>
          <w:tcPr>
            <w:tcW w:w="1256" w:type="pct"/>
            <w:vMerge/>
          </w:tcPr>
          <w:p w14:paraId="67C4C64A" w14:textId="77777777" w:rsidR="00A2332E" w:rsidRPr="00E738A6" w:rsidRDefault="00A2332E" w:rsidP="005F6ADC">
            <w:pPr>
              <w:pStyle w:val="TableHeading"/>
              <w:rPr>
                <w:color w:val="FFFFFF" w:themeColor="background1"/>
                <w:highlight w:val="lightGray"/>
              </w:rPr>
            </w:pPr>
          </w:p>
        </w:tc>
        <w:tc>
          <w:tcPr>
            <w:tcW w:w="1179" w:type="pct"/>
            <w:vMerge/>
          </w:tcPr>
          <w:p w14:paraId="02F8041D" w14:textId="77777777" w:rsidR="00A2332E" w:rsidRPr="00E738A6" w:rsidRDefault="00A2332E" w:rsidP="005F6ADC">
            <w:pPr>
              <w:pStyle w:val="TableHeading"/>
              <w:rPr>
                <w:color w:val="FFFFFF" w:themeColor="background1"/>
                <w:highlight w:val="lightGray"/>
              </w:rPr>
            </w:pPr>
          </w:p>
        </w:tc>
        <w:tc>
          <w:tcPr>
            <w:tcW w:w="864" w:type="pct"/>
            <w:shd w:val="clear" w:color="auto" w:fill="2F005F"/>
          </w:tcPr>
          <w:p w14:paraId="7FC29057" w14:textId="77777777" w:rsidR="00A2332E" w:rsidRPr="00E738A6" w:rsidRDefault="00A2332E" w:rsidP="005F6ADC">
            <w:pPr>
              <w:pStyle w:val="TableHeading"/>
              <w:ind w:left="0" w:firstLine="0"/>
              <w:jc w:val="center"/>
              <w:rPr>
                <w:color w:val="FFFFFF" w:themeColor="background1"/>
              </w:rPr>
            </w:pPr>
            <w:bookmarkStart w:id="218" w:name="_Int_G9YY9d9X"/>
            <w:r w:rsidRPr="28DBFA00">
              <w:rPr>
                <w:color w:val="FFFFFF" w:themeColor="background1"/>
              </w:rPr>
              <w:t>Child Care</w:t>
            </w:r>
            <w:bookmarkEnd w:id="218"/>
            <w:r w:rsidRPr="28DBFA00">
              <w:rPr>
                <w:color w:val="FFFFFF" w:themeColor="background1"/>
              </w:rPr>
              <w:t xml:space="preserve"> Services</w:t>
            </w:r>
          </w:p>
        </w:tc>
        <w:tc>
          <w:tcPr>
            <w:tcW w:w="942" w:type="pct"/>
            <w:shd w:val="clear" w:color="auto" w:fill="2F005F"/>
          </w:tcPr>
          <w:p w14:paraId="66286892" w14:textId="77777777" w:rsidR="00A2332E" w:rsidRPr="00E738A6" w:rsidRDefault="00A2332E" w:rsidP="005F6ADC">
            <w:pPr>
              <w:pStyle w:val="TableHeading"/>
              <w:ind w:left="0" w:firstLine="0"/>
              <w:jc w:val="center"/>
              <w:rPr>
                <w:color w:val="FFFFFF" w:themeColor="background1"/>
              </w:rPr>
            </w:pPr>
            <w:r w:rsidRPr="28DBFA00">
              <w:rPr>
                <w:color w:val="FFFFFF" w:themeColor="background1"/>
              </w:rPr>
              <w:t>Preschool Education</w:t>
            </w:r>
          </w:p>
        </w:tc>
        <w:tc>
          <w:tcPr>
            <w:tcW w:w="759" w:type="pct"/>
            <w:shd w:val="clear" w:color="auto" w:fill="2F005F"/>
          </w:tcPr>
          <w:p w14:paraId="37408979" w14:textId="77777777" w:rsidR="00A2332E" w:rsidRPr="00E738A6" w:rsidRDefault="00A2332E" w:rsidP="005F6ADC">
            <w:pPr>
              <w:pStyle w:val="TableHeading"/>
              <w:ind w:left="0" w:firstLine="0"/>
              <w:jc w:val="center"/>
              <w:rPr>
                <w:color w:val="FFFFFF" w:themeColor="background1"/>
              </w:rPr>
            </w:pPr>
            <w:r w:rsidRPr="28DBFA00">
              <w:rPr>
                <w:color w:val="FFFFFF" w:themeColor="background1"/>
              </w:rPr>
              <w:t xml:space="preserve">Other industry </w:t>
            </w:r>
          </w:p>
        </w:tc>
      </w:tr>
      <w:tr w:rsidR="00A2332E" w:rsidRPr="00E738A6" w14:paraId="1181CA19" w14:textId="77777777" w:rsidTr="005F6ADC">
        <w:trPr>
          <w:cnfStyle w:val="000000010000" w:firstRow="0" w:lastRow="0" w:firstColumn="0" w:lastColumn="0" w:oddVBand="0" w:evenVBand="0" w:oddHBand="0" w:evenHBand="1" w:firstRowFirstColumn="0" w:firstRowLastColumn="0" w:lastRowFirstColumn="0" w:lastRowLastColumn="0"/>
        </w:trPr>
        <w:tc>
          <w:tcPr>
            <w:tcW w:w="1256" w:type="pct"/>
          </w:tcPr>
          <w:p w14:paraId="4B2ED2E9" w14:textId="77777777" w:rsidR="00A2332E" w:rsidRPr="00E738A6" w:rsidRDefault="00A2332E" w:rsidP="005F6ADC">
            <w:pPr>
              <w:pStyle w:val="TableHeading"/>
              <w:ind w:left="0" w:firstLine="0"/>
              <w:rPr>
                <w:color w:val="auto"/>
              </w:rPr>
            </w:pPr>
            <w:bookmarkStart w:id="219" w:name="_Int_HDDegBU5"/>
            <w:r w:rsidRPr="28DBFA00">
              <w:rPr>
                <w:color w:val="auto"/>
              </w:rPr>
              <w:t>Child Care</w:t>
            </w:r>
            <w:bookmarkEnd w:id="219"/>
            <w:r w:rsidRPr="28DBFA00">
              <w:rPr>
                <w:color w:val="auto"/>
              </w:rPr>
              <w:t xml:space="preserve"> Worker</w:t>
            </w:r>
          </w:p>
        </w:tc>
        <w:tc>
          <w:tcPr>
            <w:tcW w:w="1179" w:type="pct"/>
          </w:tcPr>
          <w:p w14:paraId="5E5E23D6" w14:textId="77777777" w:rsidR="00A2332E" w:rsidRPr="00E738A6" w:rsidRDefault="00A2332E" w:rsidP="005F6ADC">
            <w:pPr>
              <w:pStyle w:val="FigureTableSubheading"/>
              <w:jc w:val="right"/>
            </w:pPr>
            <w:r>
              <w:t>123,800</w:t>
            </w:r>
          </w:p>
        </w:tc>
        <w:tc>
          <w:tcPr>
            <w:tcW w:w="864" w:type="pct"/>
          </w:tcPr>
          <w:p w14:paraId="5C91B7DC" w14:textId="77777777" w:rsidR="00A2332E" w:rsidRPr="00E738A6" w:rsidRDefault="00A2332E" w:rsidP="005F6ADC">
            <w:pPr>
              <w:pStyle w:val="FigureTableSubheading"/>
              <w:jc w:val="right"/>
            </w:pPr>
            <w:r>
              <w:t>50</w:t>
            </w:r>
          </w:p>
        </w:tc>
        <w:tc>
          <w:tcPr>
            <w:tcW w:w="942" w:type="pct"/>
          </w:tcPr>
          <w:p w14:paraId="5D475B12" w14:textId="77777777" w:rsidR="00A2332E" w:rsidRPr="00E738A6" w:rsidRDefault="00A2332E" w:rsidP="005F6ADC">
            <w:pPr>
              <w:pStyle w:val="FigureTableSubheading"/>
              <w:jc w:val="right"/>
            </w:pPr>
            <w:r>
              <w:t>38</w:t>
            </w:r>
          </w:p>
        </w:tc>
        <w:tc>
          <w:tcPr>
            <w:tcW w:w="759" w:type="pct"/>
          </w:tcPr>
          <w:p w14:paraId="157DADD0" w14:textId="77777777" w:rsidR="00A2332E" w:rsidRPr="00E738A6" w:rsidRDefault="00A2332E" w:rsidP="005F6ADC">
            <w:pPr>
              <w:pStyle w:val="FigureTableSubheading"/>
              <w:jc w:val="right"/>
            </w:pPr>
            <w:r>
              <w:t>12</w:t>
            </w:r>
          </w:p>
        </w:tc>
      </w:tr>
      <w:tr w:rsidR="00A2332E" w:rsidRPr="00E738A6" w14:paraId="3AC10672" w14:textId="77777777" w:rsidTr="005F6ADC">
        <w:tc>
          <w:tcPr>
            <w:tcW w:w="1256" w:type="pct"/>
          </w:tcPr>
          <w:p w14:paraId="3B32EA23" w14:textId="77777777" w:rsidR="00A2332E" w:rsidRPr="00E738A6" w:rsidRDefault="00A2332E" w:rsidP="005F6ADC">
            <w:pPr>
              <w:pStyle w:val="TableHeading"/>
              <w:ind w:left="0" w:firstLine="0"/>
              <w:rPr>
                <w:color w:val="auto"/>
              </w:rPr>
            </w:pPr>
            <w:r w:rsidRPr="28DBFA00">
              <w:rPr>
                <w:color w:val="auto"/>
              </w:rPr>
              <w:t>Family Day Care Worker</w:t>
            </w:r>
          </w:p>
        </w:tc>
        <w:tc>
          <w:tcPr>
            <w:tcW w:w="1179" w:type="pct"/>
          </w:tcPr>
          <w:p w14:paraId="2B4D1E60" w14:textId="77777777" w:rsidR="00A2332E" w:rsidRPr="00E738A6" w:rsidRDefault="00A2332E" w:rsidP="005F6ADC">
            <w:pPr>
              <w:pStyle w:val="FigureTableSubheading"/>
              <w:jc w:val="right"/>
            </w:pPr>
            <w:r>
              <w:t>8,300</w:t>
            </w:r>
          </w:p>
        </w:tc>
        <w:tc>
          <w:tcPr>
            <w:tcW w:w="864" w:type="pct"/>
          </w:tcPr>
          <w:p w14:paraId="489324A9" w14:textId="77777777" w:rsidR="00A2332E" w:rsidRPr="00E738A6" w:rsidRDefault="00A2332E" w:rsidP="005F6ADC">
            <w:pPr>
              <w:pStyle w:val="FigureTableSubheading"/>
              <w:jc w:val="right"/>
            </w:pPr>
            <w:r>
              <w:t>92</w:t>
            </w:r>
          </w:p>
        </w:tc>
        <w:tc>
          <w:tcPr>
            <w:tcW w:w="942" w:type="pct"/>
          </w:tcPr>
          <w:p w14:paraId="4FF254CA" w14:textId="77777777" w:rsidR="00A2332E" w:rsidRPr="00E738A6" w:rsidRDefault="00A2332E" w:rsidP="005F6ADC">
            <w:pPr>
              <w:pStyle w:val="FigureTableSubheading"/>
              <w:jc w:val="right"/>
            </w:pPr>
            <w:r>
              <w:t>3</w:t>
            </w:r>
          </w:p>
        </w:tc>
        <w:tc>
          <w:tcPr>
            <w:tcW w:w="759" w:type="pct"/>
          </w:tcPr>
          <w:p w14:paraId="1EABAAB8" w14:textId="77777777" w:rsidR="00A2332E" w:rsidRPr="00E738A6" w:rsidRDefault="00A2332E" w:rsidP="005F6ADC">
            <w:pPr>
              <w:pStyle w:val="FigureTableSubheading"/>
              <w:jc w:val="right"/>
            </w:pPr>
            <w:r>
              <w:t>5</w:t>
            </w:r>
          </w:p>
        </w:tc>
      </w:tr>
      <w:tr w:rsidR="00A2332E" w:rsidRPr="00E738A6" w14:paraId="6502B477" w14:textId="77777777" w:rsidTr="005F6ADC">
        <w:trPr>
          <w:cnfStyle w:val="000000010000" w:firstRow="0" w:lastRow="0" w:firstColumn="0" w:lastColumn="0" w:oddVBand="0" w:evenVBand="0" w:oddHBand="0" w:evenHBand="1" w:firstRowFirstColumn="0" w:firstRowLastColumn="0" w:lastRowFirstColumn="0" w:lastRowLastColumn="0"/>
        </w:trPr>
        <w:tc>
          <w:tcPr>
            <w:tcW w:w="1256" w:type="pct"/>
          </w:tcPr>
          <w:p w14:paraId="1A2126B2" w14:textId="77777777" w:rsidR="00A2332E" w:rsidRPr="00E738A6" w:rsidRDefault="00A2332E" w:rsidP="005F6ADC">
            <w:pPr>
              <w:pStyle w:val="TableHeading"/>
              <w:ind w:left="0" w:firstLine="0"/>
              <w:rPr>
                <w:color w:val="auto"/>
              </w:rPr>
            </w:pPr>
            <w:r w:rsidRPr="28DBFA00">
              <w:rPr>
                <w:color w:val="auto"/>
              </w:rPr>
              <w:t>Nanny</w:t>
            </w:r>
          </w:p>
        </w:tc>
        <w:tc>
          <w:tcPr>
            <w:tcW w:w="1179" w:type="pct"/>
          </w:tcPr>
          <w:p w14:paraId="04D647FE" w14:textId="77777777" w:rsidR="00A2332E" w:rsidRPr="00E738A6" w:rsidRDefault="00A2332E" w:rsidP="005F6ADC">
            <w:pPr>
              <w:pStyle w:val="FigureTableSubheading"/>
              <w:jc w:val="right"/>
            </w:pPr>
            <w:r>
              <w:t>7,100</w:t>
            </w:r>
          </w:p>
        </w:tc>
        <w:tc>
          <w:tcPr>
            <w:tcW w:w="864" w:type="pct"/>
          </w:tcPr>
          <w:p w14:paraId="2B94A022" w14:textId="77777777" w:rsidR="00A2332E" w:rsidRPr="00E738A6" w:rsidRDefault="00A2332E" w:rsidP="005F6ADC">
            <w:pPr>
              <w:pStyle w:val="FigureTableSubheading"/>
              <w:jc w:val="right"/>
            </w:pPr>
            <w:r>
              <w:t>12</w:t>
            </w:r>
          </w:p>
        </w:tc>
        <w:tc>
          <w:tcPr>
            <w:tcW w:w="942" w:type="pct"/>
          </w:tcPr>
          <w:p w14:paraId="7FD00F6A" w14:textId="77777777" w:rsidR="00A2332E" w:rsidRPr="00E738A6" w:rsidRDefault="00A2332E" w:rsidP="005F6ADC">
            <w:pPr>
              <w:pStyle w:val="FigureTableSubheading"/>
              <w:jc w:val="right"/>
            </w:pPr>
            <w:r>
              <w:t>3</w:t>
            </w:r>
          </w:p>
        </w:tc>
        <w:tc>
          <w:tcPr>
            <w:tcW w:w="759" w:type="pct"/>
          </w:tcPr>
          <w:p w14:paraId="6BEC5841" w14:textId="77777777" w:rsidR="00A2332E" w:rsidRPr="00E738A6" w:rsidRDefault="00A2332E" w:rsidP="005F6ADC">
            <w:pPr>
              <w:pStyle w:val="FigureTableSubheading"/>
              <w:jc w:val="right"/>
            </w:pPr>
            <w:r>
              <w:t>85</w:t>
            </w:r>
          </w:p>
        </w:tc>
      </w:tr>
      <w:tr w:rsidR="00A2332E" w:rsidRPr="00E738A6" w14:paraId="5F5659DB" w14:textId="77777777" w:rsidTr="005F6ADC">
        <w:tc>
          <w:tcPr>
            <w:tcW w:w="1256" w:type="pct"/>
          </w:tcPr>
          <w:p w14:paraId="33D22700" w14:textId="77777777" w:rsidR="00A2332E" w:rsidRPr="00E738A6" w:rsidRDefault="00A2332E" w:rsidP="005F6ADC">
            <w:pPr>
              <w:pStyle w:val="TableHeading"/>
              <w:ind w:left="0" w:firstLine="0"/>
              <w:rPr>
                <w:color w:val="auto"/>
              </w:rPr>
            </w:pPr>
            <w:r w:rsidRPr="28DBFA00">
              <w:rPr>
                <w:color w:val="auto"/>
              </w:rPr>
              <w:t>Out of School Hours Care Worker</w:t>
            </w:r>
          </w:p>
        </w:tc>
        <w:tc>
          <w:tcPr>
            <w:tcW w:w="1179" w:type="pct"/>
          </w:tcPr>
          <w:p w14:paraId="202F08D0" w14:textId="77777777" w:rsidR="00A2332E" w:rsidRPr="00E738A6" w:rsidRDefault="00A2332E" w:rsidP="005F6ADC">
            <w:pPr>
              <w:pStyle w:val="FigureTableSubheading"/>
              <w:jc w:val="right"/>
            </w:pPr>
            <w:r>
              <w:t>11,200</w:t>
            </w:r>
          </w:p>
        </w:tc>
        <w:tc>
          <w:tcPr>
            <w:tcW w:w="864" w:type="pct"/>
          </w:tcPr>
          <w:p w14:paraId="4771D6EC" w14:textId="77777777" w:rsidR="00A2332E" w:rsidRPr="00E738A6" w:rsidRDefault="00A2332E" w:rsidP="005F6ADC">
            <w:pPr>
              <w:pStyle w:val="FigureTableSubheading"/>
              <w:jc w:val="right"/>
            </w:pPr>
            <w:r>
              <w:t>50</w:t>
            </w:r>
          </w:p>
        </w:tc>
        <w:tc>
          <w:tcPr>
            <w:tcW w:w="942" w:type="pct"/>
          </w:tcPr>
          <w:p w14:paraId="754F00E2" w14:textId="77777777" w:rsidR="00A2332E" w:rsidRPr="00E738A6" w:rsidRDefault="00A2332E" w:rsidP="005F6ADC">
            <w:pPr>
              <w:pStyle w:val="FigureTableSubheading"/>
              <w:jc w:val="right"/>
            </w:pPr>
            <w:r>
              <w:t>5</w:t>
            </w:r>
          </w:p>
        </w:tc>
        <w:tc>
          <w:tcPr>
            <w:tcW w:w="759" w:type="pct"/>
          </w:tcPr>
          <w:p w14:paraId="72E1E68B" w14:textId="77777777" w:rsidR="00A2332E" w:rsidRPr="00E738A6" w:rsidRDefault="00A2332E" w:rsidP="005F6ADC">
            <w:pPr>
              <w:pStyle w:val="FigureTableSubheading"/>
              <w:jc w:val="right"/>
            </w:pPr>
            <w:r>
              <w:t>45</w:t>
            </w:r>
          </w:p>
        </w:tc>
      </w:tr>
      <w:tr w:rsidR="00A2332E" w:rsidRPr="00E738A6" w14:paraId="2348CC69" w14:textId="77777777" w:rsidTr="005F6ADC">
        <w:trPr>
          <w:cnfStyle w:val="000000010000" w:firstRow="0" w:lastRow="0" w:firstColumn="0" w:lastColumn="0" w:oddVBand="0" w:evenVBand="0" w:oddHBand="0" w:evenHBand="1" w:firstRowFirstColumn="0" w:firstRowLastColumn="0" w:lastRowFirstColumn="0" w:lastRowLastColumn="0"/>
        </w:trPr>
        <w:tc>
          <w:tcPr>
            <w:tcW w:w="1256" w:type="pct"/>
          </w:tcPr>
          <w:p w14:paraId="0EC20E0A" w14:textId="77777777" w:rsidR="00A2332E" w:rsidRPr="00E738A6" w:rsidRDefault="00A2332E" w:rsidP="005F6ADC">
            <w:pPr>
              <w:pStyle w:val="TableHeading"/>
              <w:ind w:left="0" w:firstLine="0"/>
              <w:rPr>
                <w:i/>
                <w:iCs/>
                <w:color w:val="auto"/>
              </w:rPr>
            </w:pPr>
            <w:r w:rsidRPr="28DBFA00">
              <w:rPr>
                <w:i/>
                <w:iCs/>
                <w:color w:val="auto"/>
              </w:rPr>
              <w:t>Child Carers nfd</w:t>
            </w:r>
          </w:p>
        </w:tc>
        <w:tc>
          <w:tcPr>
            <w:tcW w:w="1179" w:type="pct"/>
          </w:tcPr>
          <w:p w14:paraId="45A14330" w14:textId="77777777" w:rsidR="00A2332E" w:rsidRPr="00E738A6" w:rsidRDefault="00A2332E" w:rsidP="005F6ADC">
            <w:pPr>
              <w:pStyle w:val="FigureTableSubheading"/>
              <w:jc w:val="right"/>
              <w:rPr>
                <w:i/>
              </w:rPr>
            </w:pPr>
            <w:r w:rsidRPr="28DBFA00">
              <w:rPr>
                <w:i/>
              </w:rPr>
              <w:t>12,000</w:t>
            </w:r>
          </w:p>
        </w:tc>
        <w:tc>
          <w:tcPr>
            <w:tcW w:w="864" w:type="pct"/>
          </w:tcPr>
          <w:p w14:paraId="569B730F" w14:textId="77777777" w:rsidR="00A2332E" w:rsidRPr="00E738A6" w:rsidRDefault="00A2332E" w:rsidP="005F6ADC">
            <w:pPr>
              <w:pStyle w:val="FigureTableSubheading"/>
              <w:jc w:val="right"/>
              <w:rPr>
                <w:i/>
              </w:rPr>
            </w:pPr>
            <w:r w:rsidRPr="28DBFA00">
              <w:rPr>
                <w:i/>
              </w:rPr>
              <w:t>63</w:t>
            </w:r>
          </w:p>
        </w:tc>
        <w:tc>
          <w:tcPr>
            <w:tcW w:w="942" w:type="pct"/>
          </w:tcPr>
          <w:p w14:paraId="2499F27F" w14:textId="77777777" w:rsidR="00A2332E" w:rsidRPr="00E738A6" w:rsidRDefault="00A2332E" w:rsidP="005F6ADC">
            <w:pPr>
              <w:pStyle w:val="FigureTableSubheading"/>
              <w:jc w:val="right"/>
              <w:rPr>
                <w:i/>
              </w:rPr>
            </w:pPr>
            <w:r w:rsidRPr="28DBFA00">
              <w:rPr>
                <w:i/>
              </w:rPr>
              <w:t>16</w:t>
            </w:r>
          </w:p>
        </w:tc>
        <w:tc>
          <w:tcPr>
            <w:tcW w:w="759" w:type="pct"/>
          </w:tcPr>
          <w:p w14:paraId="40F8C921" w14:textId="77777777" w:rsidR="00A2332E" w:rsidRPr="00E738A6" w:rsidRDefault="00A2332E" w:rsidP="005F6ADC">
            <w:pPr>
              <w:pStyle w:val="FigureTableSubheading"/>
              <w:jc w:val="right"/>
              <w:rPr>
                <w:i/>
              </w:rPr>
            </w:pPr>
            <w:r w:rsidRPr="28DBFA00">
              <w:rPr>
                <w:i/>
              </w:rPr>
              <w:t>21</w:t>
            </w:r>
          </w:p>
        </w:tc>
      </w:tr>
      <w:tr w:rsidR="00A2332E" w:rsidRPr="00E738A6" w14:paraId="57F763D6" w14:textId="77777777" w:rsidTr="005F6ADC">
        <w:tc>
          <w:tcPr>
            <w:tcW w:w="1256" w:type="pct"/>
          </w:tcPr>
          <w:p w14:paraId="3AD68E51" w14:textId="77777777" w:rsidR="00A2332E" w:rsidRPr="00E738A6" w:rsidRDefault="00A2332E" w:rsidP="005F6ADC">
            <w:pPr>
              <w:pStyle w:val="TableHeading"/>
              <w:ind w:left="0" w:firstLine="0"/>
              <w:rPr>
                <w:i/>
                <w:iCs/>
                <w:color w:val="auto"/>
              </w:rPr>
            </w:pPr>
            <w:r w:rsidRPr="28DBFA00">
              <w:rPr>
                <w:i/>
                <w:iCs/>
                <w:color w:val="auto"/>
              </w:rPr>
              <w:t>Child Carers (total)</w:t>
            </w:r>
          </w:p>
        </w:tc>
        <w:tc>
          <w:tcPr>
            <w:tcW w:w="1179" w:type="pct"/>
          </w:tcPr>
          <w:p w14:paraId="541E9FC7" w14:textId="77777777" w:rsidR="00A2332E" w:rsidRPr="00E738A6" w:rsidRDefault="00A2332E" w:rsidP="005F6ADC">
            <w:pPr>
              <w:pStyle w:val="FigureTableSubheading"/>
              <w:jc w:val="right"/>
              <w:rPr>
                <w:i/>
              </w:rPr>
            </w:pPr>
            <w:r w:rsidRPr="28DBFA00">
              <w:rPr>
                <w:i/>
              </w:rPr>
              <w:t>162,500</w:t>
            </w:r>
          </w:p>
        </w:tc>
        <w:tc>
          <w:tcPr>
            <w:tcW w:w="864" w:type="pct"/>
          </w:tcPr>
          <w:p w14:paraId="35E473C7" w14:textId="77777777" w:rsidR="00A2332E" w:rsidRPr="00E738A6" w:rsidRDefault="00A2332E" w:rsidP="005F6ADC">
            <w:pPr>
              <w:pStyle w:val="FigureTableSubheading"/>
              <w:jc w:val="right"/>
              <w:rPr>
                <w:i/>
              </w:rPr>
            </w:pPr>
            <w:r w:rsidRPr="28DBFA00">
              <w:rPr>
                <w:i/>
              </w:rPr>
              <w:t>52</w:t>
            </w:r>
          </w:p>
        </w:tc>
        <w:tc>
          <w:tcPr>
            <w:tcW w:w="942" w:type="pct"/>
          </w:tcPr>
          <w:p w14:paraId="183A7502" w14:textId="77777777" w:rsidR="00A2332E" w:rsidRPr="00E738A6" w:rsidRDefault="00A2332E" w:rsidP="005F6ADC">
            <w:pPr>
              <w:pStyle w:val="FigureTableSubheading"/>
              <w:jc w:val="right"/>
              <w:rPr>
                <w:i/>
              </w:rPr>
            </w:pPr>
            <w:r w:rsidRPr="28DBFA00">
              <w:rPr>
                <w:i/>
              </w:rPr>
              <w:t>30</w:t>
            </w:r>
          </w:p>
        </w:tc>
        <w:tc>
          <w:tcPr>
            <w:tcW w:w="759" w:type="pct"/>
          </w:tcPr>
          <w:p w14:paraId="15A78DCB" w14:textId="77777777" w:rsidR="00A2332E" w:rsidRPr="00E738A6" w:rsidRDefault="00A2332E" w:rsidP="005F6ADC">
            <w:pPr>
              <w:pStyle w:val="FigureTableSubheading"/>
              <w:jc w:val="right"/>
              <w:rPr>
                <w:i/>
              </w:rPr>
            </w:pPr>
            <w:r w:rsidRPr="28DBFA00">
              <w:rPr>
                <w:i/>
              </w:rPr>
              <w:t>18</w:t>
            </w:r>
          </w:p>
        </w:tc>
      </w:tr>
      <w:tr w:rsidR="00A2332E" w:rsidRPr="00E738A6" w14:paraId="01D64DD5" w14:textId="77777777" w:rsidTr="005F6ADC">
        <w:trPr>
          <w:cnfStyle w:val="000000010000" w:firstRow="0" w:lastRow="0" w:firstColumn="0" w:lastColumn="0" w:oddVBand="0" w:evenVBand="0" w:oddHBand="0" w:evenHBand="1" w:firstRowFirstColumn="0" w:firstRowLastColumn="0" w:lastRowFirstColumn="0" w:lastRowLastColumn="0"/>
        </w:trPr>
        <w:tc>
          <w:tcPr>
            <w:tcW w:w="1256" w:type="pct"/>
          </w:tcPr>
          <w:p w14:paraId="48BDE055" w14:textId="77777777" w:rsidR="00A2332E" w:rsidRPr="00E738A6" w:rsidRDefault="00A2332E" w:rsidP="005F6ADC">
            <w:pPr>
              <w:pStyle w:val="TableHeading"/>
              <w:ind w:left="0" w:firstLine="0"/>
              <w:rPr>
                <w:color w:val="auto"/>
              </w:rPr>
            </w:pPr>
            <w:r w:rsidRPr="414580AC">
              <w:rPr>
                <w:color w:val="auto"/>
              </w:rPr>
              <w:t>Early Childhood (Pre-primary School) Teacher</w:t>
            </w:r>
          </w:p>
        </w:tc>
        <w:tc>
          <w:tcPr>
            <w:tcW w:w="1179" w:type="pct"/>
          </w:tcPr>
          <w:p w14:paraId="375403AE" w14:textId="77777777" w:rsidR="00A2332E" w:rsidRPr="00E738A6" w:rsidRDefault="00A2332E" w:rsidP="005F6ADC">
            <w:pPr>
              <w:pStyle w:val="FigureTableSubheading"/>
              <w:jc w:val="right"/>
            </w:pPr>
            <w:r>
              <w:t>30,000</w:t>
            </w:r>
          </w:p>
        </w:tc>
        <w:tc>
          <w:tcPr>
            <w:tcW w:w="864" w:type="pct"/>
          </w:tcPr>
          <w:p w14:paraId="2D1E0C25" w14:textId="77777777" w:rsidR="00A2332E" w:rsidRPr="00E738A6" w:rsidRDefault="00A2332E" w:rsidP="005F6ADC">
            <w:pPr>
              <w:pStyle w:val="FigureTableSubheading"/>
              <w:jc w:val="right"/>
            </w:pPr>
            <w:r>
              <w:t>23</w:t>
            </w:r>
          </w:p>
        </w:tc>
        <w:tc>
          <w:tcPr>
            <w:tcW w:w="942" w:type="pct"/>
          </w:tcPr>
          <w:p w14:paraId="74C4AA6D" w14:textId="77777777" w:rsidR="00A2332E" w:rsidRPr="00E738A6" w:rsidRDefault="00A2332E" w:rsidP="005F6ADC">
            <w:pPr>
              <w:pStyle w:val="FigureTableSubheading"/>
              <w:jc w:val="right"/>
            </w:pPr>
            <w:r>
              <w:t>44</w:t>
            </w:r>
          </w:p>
        </w:tc>
        <w:tc>
          <w:tcPr>
            <w:tcW w:w="759" w:type="pct"/>
          </w:tcPr>
          <w:p w14:paraId="37CB0046" w14:textId="77777777" w:rsidR="00A2332E" w:rsidRPr="00E738A6" w:rsidRDefault="00A2332E" w:rsidP="005F6ADC">
            <w:pPr>
              <w:pStyle w:val="FigureTableSubheading"/>
              <w:jc w:val="right"/>
            </w:pPr>
            <w:r>
              <w:t>34</w:t>
            </w:r>
          </w:p>
        </w:tc>
      </w:tr>
      <w:tr w:rsidR="00A2332E" w:rsidRPr="00E738A6" w14:paraId="33D038C6" w14:textId="77777777" w:rsidTr="005F6ADC">
        <w:tc>
          <w:tcPr>
            <w:tcW w:w="1256" w:type="pct"/>
          </w:tcPr>
          <w:p w14:paraId="15749409" w14:textId="77777777" w:rsidR="00A2332E" w:rsidRPr="00E738A6" w:rsidRDefault="00A2332E" w:rsidP="005F6ADC">
            <w:pPr>
              <w:pStyle w:val="TableHeading"/>
              <w:ind w:left="0" w:firstLine="0"/>
              <w:rPr>
                <w:color w:val="auto"/>
              </w:rPr>
            </w:pPr>
            <w:r w:rsidRPr="28DBFA00">
              <w:rPr>
                <w:color w:val="auto"/>
              </w:rPr>
              <w:t>Preschool aide</w:t>
            </w:r>
          </w:p>
        </w:tc>
        <w:tc>
          <w:tcPr>
            <w:tcW w:w="1179" w:type="pct"/>
          </w:tcPr>
          <w:p w14:paraId="345FE4D4" w14:textId="77777777" w:rsidR="00A2332E" w:rsidRPr="00E738A6" w:rsidRDefault="00A2332E" w:rsidP="005F6ADC">
            <w:pPr>
              <w:pStyle w:val="FigureTableSubheading"/>
              <w:jc w:val="right"/>
            </w:pPr>
            <w:r>
              <w:t>3,100</w:t>
            </w:r>
          </w:p>
        </w:tc>
        <w:tc>
          <w:tcPr>
            <w:tcW w:w="864" w:type="pct"/>
          </w:tcPr>
          <w:p w14:paraId="5DDA7567" w14:textId="77777777" w:rsidR="00A2332E" w:rsidRPr="00E738A6" w:rsidRDefault="00A2332E" w:rsidP="005F6ADC">
            <w:pPr>
              <w:pStyle w:val="FigureTableSubheading"/>
              <w:jc w:val="right"/>
            </w:pPr>
            <w:r>
              <w:t>6</w:t>
            </w:r>
          </w:p>
        </w:tc>
        <w:tc>
          <w:tcPr>
            <w:tcW w:w="942" w:type="pct"/>
          </w:tcPr>
          <w:p w14:paraId="20D6C8D6" w14:textId="77777777" w:rsidR="00A2332E" w:rsidRPr="00E738A6" w:rsidRDefault="00A2332E" w:rsidP="005F6ADC">
            <w:pPr>
              <w:pStyle w:val="FigureTableSubheading"/>
              <w:jc w:val="right"/>
            </w:pPr>
            <w:r>
              <w:t>49</w:t>
            </w:r>
          </w:p>
        </w:tc>
        <w:tc>
          <w:tcPr>
            <w:tcW w:w="759" w:type="pct"/>
          </w:tcPr>
          <w:p w14:paraId="6AE37A1A" w14:textId="77777777" w:rsidR="00A2332E" w:rsidRPr="00E738A6" w:rsidRDefault="00A2332E" w:rsidP="005F6ADC">
            <w:pPr>
              <w:pStyle w:val="FigureTableSubheading"/>
              <w:jc w:val="right"/>
            </w:pPr>
            <w:r>
              <w:t>44</w:t>
            </w:r>
          </w:p>
        </w:tc>
      </w:tr>
      <w:tr w:rsidR="00A2332E" w:rsidRPr="00E738A6" w14:paraId="4EE7897A" w14:textId="77777777" w:rsidTr="005F6ADC">
        <w:trPr>
          <w:cnfStyle w:val="000000010000" w:firstRow="0" w:lastRow="0" w:firstColumn="0" w:lastColumn="0" w:oddVBand="0" w:evenVBand="0" w:oddHBand="0" w:evenHBand="1" w:firstRowFirstColumn="0" w:firstRowLastColumn="0" w:lastRowFirstColumn="0" w:lastRowLastColumn="0"/>
        </w:trPr>
        <w:tc>
          <w:tcPr>
            <w:tcW w:w="1256" w:type="pct"/>
          </w:tcPr>
          <w:p w14:paraId="561ECB2F" w14:textId="77777777" w:rsidR="00A2332E" w:rsidRPr="00E738A6" w:rsidRDefault="00A2332E" w:rsidP="005F6ADC">
            <w:pPr>
              <w:pStyle w:val="TableHeading"/>
              <w:ind w:left="0" w:firstLine="0"/>
              <w:rPr>
                <w:color w:val="auto"/>
              </w:rPr>
            </w:pPr>
            <w:r w:rsidRPr="28DBFA00">
              <w:rPr>
                <w:color w:val="auto"/>
              </w:rPr>
              <w:t>Aboriginal and Torres Strait Islander Education Worker</w:t>
            </w:r>
          </w:p>
        </w:tc>
        <w:tc>
          <w:tcPr>
            <w:tcW w:w="1179" w:type="pct"/>
          </w:tcPr>
          <w:p w14:paraId="7665C04F" w14:textId="77777777" w:rsidR="00A2332E" w:rsidRPr="00E738A6" w:rsidRDefault="00A2332E" w:rsidP="005F6ADC">
            <w:pPr>
              <w:pStyle w:val="FigureTableSubheading"/>
              <w:jc w:val="right"/>
            </w:pPr>
            <w:r>
              <w:t>2,200</w:t>
            </w:r>
          </w:p>
        </w:tc>
        <w:tc>
          <w:tcPr>
            <w:tcW w:w="864" w:type="pct"/>
          </w:tcPr>
          <w:p w14:paraId="388F88AA" w14:textId="77777777" w:rsidR="00A2332E" w:rsidRPr="00E738A6" w:rsidRDefault="00A2332E" w:rsidP="005F6ADC">
            <w:pPr>
              <w:pStyle w:val="FigureTableSubheading"/>
              <w:jc w:val="right"/>
            </w:pPr>
            <w:r>
              <w:t>&lt;1</w:t>
            </w:r>
          </w:p>
        </w:tc>
        <w:tc>
          <w:tcPr>
            <w:tcW w:w="942" w:type="pct"/>
          </w:tcPr>
          <w:p w14:paraId="757AC63C" w14:textId="77777777" w:rsidR="00A2332E" w:rsidRPr="00E738A6" w:rsidRDefault="00A2332E" w:rsidP="005F6ADC">
            <w:pPr>
              <w:pStyle w:val="FigureTableSubheading"/>
              <w:jc w:val="right"/>
            </w:pPr>
            <w:r>
              <w:t>&lt;1</w:t>
            </w:r>
          </w:p>
        </w:tc>
        <w:tc>
          <w:tcPr>
            <w:tcW w:w="759" w:type="pct"/>
          </w:tcPr>
          <w:p w14:paraId="0213DBE5" w14:textId="77777777" w:rsidR="00A2332E" w:rsidRPr="00E738A6" w:rsidRDefault="00A2332E" w:rsidP="005F6ADC">
            <w:pPr>
              <w:pStyle w:val="FigureTableSubheading"/>
              <w:jc w:val="right"/>
            </w:pPr>
            <w:r>
              <w:t>99</w:t>
            </w:r>
          </w:p>
        </w:tc>
      </w:tr>
      <w:tr w:rsidR="00A2332E" w:rsidRPr="00E738A6" w14:paraId="141E9539" w14:textId="77777777" w:rsidTr="005F6ADC">
        <w:tc>
          <w:tcPr>
            <w:tcW w:w="1256" w:type="pct"/>
          </w:tcPr>
          <w:p w14:paraId="2391EA63" w14:textId="77777777" w:rsidR="00A2332E" w:rsidRPr="00E738A6" w:rsidRDefault="00A2332E" w:rsidP="005F6ADC">
            <w:pPr>
              <w:pStyle w:val="TableHeading"/>
              <w:ind w:left="0" w:firstLine="0"/>
              <w:rPr>
                <w:color w:val="auto"/>
              </w:rPr>
            </w:pPr>
            <w:bookmarkStart w:id="220" w:name="_Int_CHvoZb4i"/>
            <w:r w:rsidRPr="28DBFA00">
              <w:rPr>
                <w:color w:val="auto"/>
              </w:rPr>
              <w:t>Child Care</w:t>
            </w:r>
            <w:bookmarkEnd w:id="220"/>
            <w:r w:rsidRPr="28DBFA00">
              <w:rPr>
                <w:color w:val="auto"/>
              </w:rPr>
              <w:t xml:space="preserve"> Centre Manager</w:t>
            </w:r>
          </w:p>
        </w:tc>
        <w:tc>
          <w:tcPr>
            <w:tcW w:w="1179" w:type="pct"/>
          </w:tcPr>
          <w:p w14:paraId="2FD99302" w14:textId="77777777" w:rsidR="00A2332E" w:rsidRPr="00E738A6" w:rsidRDefault="00A2332E" w:rsidP="005F6ADC">
            <w:pPr>
              <w:pStyle w:val="FigureTableSubheading"/>
              <w:jc w:val="right"/>
            </w:pPr>
            <w:r>
              <w:t>14,600</w:t>
            </w:r>
          </w:p>
        </w:tc>
        <w:tc>
          <w:tcPr>
            <w:tcW w:w="864" w:type="pct"/>
          </w:tcPr>
          <w:p w14:paraId="48E992A9" w14:textId="77777777" w:rsidR="00A2332E" w:rsidRPr="00E738A6" w:rsidRDefault="00A2332E" w:rsidP="005F6ADC">
            <w:pPr>
              <w:pStyle w:val="FigureTableSubheading"/>
              <w:jc w:val="right"/>
            </w:pPr>
            <w:r>
              <w:t>55</w:t>
            </w:r>
          </w:p>
        </w:tc>
        <w:tc>
          <w:tcPr>
            <w:tcW w:w="942" w:type="pct"/>
          </w:tcPr>
          <w:p w14:paraId="43AC3C8E" w14:textId="77777777" w:rsidR="00A2332E" w:rsidRPr="00E738A6" w:rsidRDefault="00A2332E" w:rsidP="005F6ADC">
            <w:pPr>
              <w:pStyle w:val="FigureTableSubheading"/>
              <w:jc w:val="right"/>
            </w:pPr>
            <w:r>
              <w:t>25</w:t>
            </w:r>
          </w:p>
        </w:tc>
        <w:tc>
          <w:tcPr>
            <w:tcW w:w="759" w:type="pct"/>
          </w:tcPr>
          <w:p w14:paraId="419BE149" w14:textId="77777777" w:rsidR="00A2332E" w:rsidRPr="00E738A6" w:rsidRDefault="00A2332E" w:rsidP="005F6ADC">
            <w:pPr>
              <w:pStyle w:val="FigureTableSubheading"/>
              <w:jc w:val="right"/>
            </w:pPr>
            <w:r>
              <w:t>20</w:t>
            </w:r>
          </w:p>
        </w:tc>
      </w:tr>
      <w:tr w:rsidR="00A2332E" w:rsidRPr="00E738A6" w14:paraId="0C2C7D37" w14:textId="77777777" w:rsidTr="005F6ADC">
        <w:trPr>
          <w:cnfStyle w:val="000000010000" w:firstRow="0" w:lastRow="0" w:firstColumn="0" w:lastColumn="0" w:oddVBand="0" w:evenVBand="0" w:oddHBand="0" w:evenHBand="1" w:firstRowFirstColumn="0" w:firstRowLastColumn="0" w:lastRowFirstColumn="0" w:lastRowLastColumn="0"/>
        </w:trPr>
        <w:tc>
          <w:tcPr>
            <w:tcW w:w="1256" w:type="pct"/>
          </w:tcPr>
          <w:p w14:paraId="744F6E2A" w14:textId="77777777" w:rsidR="00A2332E" w:rsidRPr="00E738A6" w:rsidRDefault="00A2332E" w:rsidP="005F6ADC">
            <w:pPr>
              <w:pStyle w:val="TableHeading"/>
              <w:ind w:left="0" w:firstLine="0"/>
              <w:rPr>
                <w:b w:val="0"/>
              </w:rPr>
            </w:pPr>
            <w:r w:rsidRPr="28DBFA00">
              <w:rPr>
                <w:color w:val="auto"/>
              </w:rPr>
              <w:t>Total (selected ECEC occupations)</w:t>
            </w:r>
          </w:p>
        </w:tc>
        <w:tc>
          <w:tcPr>
            <w:tcW w:w="1179" w:type="pct"/>
          </w:tcPr>
          <w:p w14:paraId="264245E2" w14:textId="77777777" w:rsidR="00A2332E" w:rsidRPr="00E738A6" w:rsidRDefault="00A2332E" w:rsidP="005F6ADC">
            <w:pPr>
              <w:pStyle w:val="FigureTableSubheading"/>
              <w:jc w:val="right"/>
              <w:rPr>
                <w:b/>
                <w:bCs/>
              </w:rPr>
            </w:pPr>
            <w:r w:rsidRPr="28DBFA00">
              <w:rPr>
                <w:b/>
                <w:bCs/>
              </w:rPr>
              <w:t>212,400</w:t>
            </w:r>
          </w:p>
        </w:tc>
        <w:tc>
          <w:tcPr>
            <w:tcW w:w="864" w:type="pct"/>
          </w:tcPr>
          <w:p w14:paraId="577FB60F" w14:textId="77777777" w:rsidR="00A2332E" w:rsidRPr="00E738A6" w:rsidRDefault="00A2332E" w:rsidP="005F6ADC">
            <w:pPr>
              <w:pStyle w:val="FigureTableSubheading"/>
              <w:jc w:val="right"/>
              <w:rPr>
                <w:b/>
                <w:bCs/>
              </w:rPr>
            </w:pPr>
            <w:r w:rsidRPr="28DBFA00">
              <w:rPr>
                <w:b/>
                <w:bCs/>
              </w:rPr>
              <w:t>47</w:t>
            </w:r>
          </w:p>
        </w:tc>
        <w:tc>
          <w:tcPr>
            <w:tcW w:w="942" w:type="pct"/>
          </w:tcPr>
          <w:p w14:paraId="597837D0" w14:textId="77777777" w:rsidR="00A2332E" w:rsidRPr="00E738A6" w:rsidRDefault="00A2332E" w:rsidP="005F6ADC">
            <w:pPr>
              <w:pStyle w:val="FigureTableSubheading"/>
              <w:jc w:val="right"/>
              <w:rPr>
                <w:b/>
                <w:bCs/>
              </w:rPr>
            </w:pPr>
            <w:r w:rsidRPr="28DBFA00">
              <w:rPr>
                <w:b/>
                <w:bCs/>
              </w:rPr>
              <w:t>32</w:t>
            </w:r>
          </w:p>
        </w:tc>
        <w:tc>
          <w:tcPr>
            <w:tcW w:w="759" w:type="pct"/>
          </w:tcPr>
          <w:p w14:paraId="740202A6" w14:textId="77777777" w:rsidR="00A2332E" w:rsidRPr="00E738A6" w:rsidRDefault="00A2332E" w:rsidP="005F6ADC">
            <w:pPr>
              <w:pStyle w:val="FigureTableSubheading"/>
              <w:jc w:val="right"/>
              <w:rPr>
                <w:b/>
                <w:bCs/>
              </w:rPr>
            </w:pPr>
            <w:r w:rsidRPr="28DBFA00">
              <w:rPr>
                <w:b/>
                <w:bCs/>
              </w:rPr>
              <w:t>21</w:t>
            </w:r>
          </w:p>
        </w:tc>
      </w:tr>
    </w:tbl>
    <w:p w14:paraId="21CC5178" w14:textId="13432B89" w:rsidR="005757D3" w:rsidRDefault="00A2332E" w:rsidP="00A2332E">
      <w:pPr>
        <w:pStyle w:val="Source"/>
      </w:pPr>
      <w:r>
        <w:t>Source: ABS, Census of Population and Housing, 2021</w:t>
      </w:r>
    </w:p>
    <w:p w14:paraId="12E9DE25" w14:textId="77777777" w:rsidR="005757D3" w:rsidRDefault="005757D3">
      <w:pPr>
        <w:rPr>
          <w:color w:val="auto"/>
          <w:sz w:val="18"/>
          <w:szCs w:val="18"/>
        </w:rPr>
      </w:pPr>
      <w:r>
        <w:br w:type="page"/>
      </w:r>
    </w:p>
    <w:p w14:paraId="365E1BB2" w14:textId="6C5A2BC3" w:rsidR="00A2332E" w:rsidRPr="00E738A6" w:rsidRDefault="005757D3" w:rsidP="00A2332E">
      <w:r>
        <w:lastRenderedPageBreak/>
        <w:t>Table 7</w:t>
      </w:r>
      <w:r w:rsidR="00A2332E">
        <w:t xml:space="preserve"> </w:t>
      </w:r>
      <w:r w:rsidR="00A2332E" w:rsidRPr="28DBFA00">
        <w:t xml:space="preserve">shows which other ANZSIC industries employ ECEC employees in the eight key occupations. The next largest industry is </w:t>
      </w:r>
      <w:r w:rsidR="00A2332E" w:rsidRPr="414580AC">
        <w:rPr>
          <w:i/>
          <w:iCs/>
        </w:rPr>
        <w:t>School Education</w:t>
      </w:r>
      <w:r w:rsidR="00A2332E" w:rsidRPr="28DBFA00">
        <w:t xml:space="preserve">, particularly for </w:t>
      </w:r>
      <w:r w:rsidR="00A2332E" w:rsidRPr="414580AC">
        <w:rPr>
          <w:i/>
          <w:iCs/>
        </w:rPr>
        <w:t>Out of School Hours Care Workers</w:t>
      </w:r>
      <w:r w:rsidR="00A2332E" w:rsidRPr="28DBFA00">
        <w:t xml:space="preserve">, </w:t>
      </w:r>
      <w:r w:rsidR="00A2332E" w:rsidRPr="414580AC">
        <w:rPr>
          <w:i/>
          <w:iCs/>
        </w:rPr>
        <w:t>Early Childhood (Pre-primary School) Teachers</w:t>
      </w:r>
      <w:r w:rsidR="00A2332E" w:rsidRPr="28DBFA00">
        <w:t xml:space="preserve">, </w:t>
      </w:r>
      <w:r w:rsidR="00A2332E" w:rsidRPr="414580AC">
        <w:rPr>
          <w:i/>
          <w:iCs/>
        </w:rPr>
        <w:t>Preschool Aides</w:t>
      </w:r>
      <w:r w:rsidR="00A2332E" w:rsidRPr="28DBFA00">
        <w:t xml:space="preserve"> and </w:t>
      </w:r>
      <w:r w:rsidR="00A2332E" w:rsidRPr="414580AC">
        <w:rPr>
          <w:i/>
          <w:iCs/>
        </w:rPr>
        <w:t>Aboriginal and Torres Strait Islander Education Workers</w:t>
      </w:r>
      <w:r w:rsidR="00A2332E" w:rsidRPr="28DBFA00">
        <w:t xml:space="preserve">. The only other sector employing a substantial proportion of ECEC </w:t>
      </w:r>
      <w:r w:rsidR="00A2332E">
        <w:t xml:space="preserve">providers </w:t>
      </w:r>
      <w:r w:rsidR="00A2332E" w:rsidRPr="28DBFA00">
        <w:t xml:space="preserve">is private households, which employ 40.2% of </w:t>
      </w:r>
      <w:r w:rsidR="00A2332E" w:rsidRPr="414580AC">
        <w:rPr>
          <w:i/>
          <w:iCs/>
        </w:rPr>
        <w:t>Nannies</w:t>
      </w:r>
      <w:r w:rsidR="00A2332E" w:rsidRPr="28DBFA00">
        <w:t xml:space="preserve">. </w:t>
      </w:r>
    </w:p>
    <w:p w14:paraId="535950DB" w14:textId="1707DB89" w:rsidR="00A2332E" w:rsidRPr="00E738A6" w:rsidRDefault="00A2332E" w:rsidP="00A2332E">
      <w:pPr>
        <w:pStyle w:val="Caption"/>
      </w:pPr>
      <w:bookmarkStart w:id="221" w:name="_Ref155369456"/>
      <w:r>
        <w:t xml:space="preserve">Table </w:t>
      </w:r>
      <w:bookmarkEnd w:id="221"/>
      <w:r w:rsidR="005757D3">
        <w:t>7</w:t>
      </w:r>
      <w:r>
        <w:t xml:space="preserve">: Most common industries for ECEC occupations (apart from </w:t>
      </w:r>
      <w:bookmarkStart w:id="222" w:name="_Int_VS3XTkPP"/>
      <w:proofErr w:type="gramStart"/>
      <w:r>
        <w:t>Child care</w:t>
      </w:r>
      <w:bookmarkEnd w:id="222"/>
      <w:proofErr w:type="gramEnd"/>
      <w:r>
        <w:t xml:space="preserve"> services and preschool education)</w:t>
      </w:r>
    </w:p>
    <w:tbl>
      <w:tblPr>
        <w:tblW w:w="5000" w:type="pct"/>
        <w:tblLook w:val="0020" w:firstRow="1" w:lastRow="0" w:firstColumn="0" w:lastColumn="0" w:noHBand="0" w:noVBand="0"/>
      </w:tblPr>
      <w:tblGrid>
        <w:gridCol w:w="2135"/>
        <w:gridCol w:w="1727"/>
        <w:gridCol w:w="1746"/>
        <w:gridCol w:w="1710"/>
        <w:gridCol w:w="1708"/>
      </w:tblGrid>
      <w:tr w:rsidR="00A2332E" w:rsidRPr="00E738A6" w14:paraId="7A90428B" w14:textId="77777777" w:rsidTr="005F6ADC">
        <w:trPr>
          <w:tblHeader/>
        </w:trPr>
        <w:tc>
          <w:tcPr>
            <w:tcW w:w="1183" w:type="pct"/>
            <w:vMerge w:val="restart"/>
            <w:shd w:val="clear" w:color="auto" w:fill="320C53" w:themeFill="text2" w:themeFillShade="BF"/>
          </w:tcPr>
          <w:p w14:paraId="247FCF8E" w14:textId="77777777" w:rsidR="00A2332E" w:rsidRPr="00DB3099" w:rsidRDefault="00A2332E" w:rsidP="005F6ADC">
            <w:pPr>
              <w:rPr>
                <w:rFonts w:asciiTheme="majorHAnsi" w:hAnsiTheme="majorHAnsi" w:cstheme="majorBidi"/>
                <w:b/>
                <w:bCs/>
                <w:color w:val="FFFFFF" w:themeColor="background1"/>
                <w:sz w:val="20"/>
                <w:szCs w:val="20"/>
              </w:rPr>
            </w:pPr>
            <w:r w:rsidRPr="00DB3099">
              <w:rPr>
                <w:rFonts w:asciiTheme="majorHAnsi" w:hAnsiTheme="majorHAnsi" w:cstheme="majorBidi"/>
                <w:b/>
                <w:bCs/>
                <w:color w:val="FFFFFF" w:themeColor="background1"/>
                <w:sz w:val="20"/>
                <w:szCs w:val="20"/>
              </w:rPr>
              <w:t>Occupation</w:t>
            </w:r>
          </w:p>
        </w:tc>
        <w:tc>
          <w:tcPr>
            <w:tcW w:w="3817" w:type="pct"/>
            <w:gridSpan w:val="4"/>
            <w:shd w:val="clear" w:color="auto" w:fill="320C53" w:themeFill="text2" w:themeFillShade="BF"/>
          </w:tcPr>
          <w:p w14:paraId="564A46F0" w14:textId="77777777" w:rsidR="00A2332E" w:rsidRPr="00DB3099" w:rsidRDefault="00A2332E" w:rsidP="005F6ADC">
            <w:pPr>
              <w:jc w:val="center"/>
              <w:rPr>
                <w:rFonts w:asciiTheme="majorHAnsi" w:hAnsiTheme="majorHAnsi" w:cstheme="majorBidi"/>
                <w:b/>
                <w:bCs/>
                <w:color w:val="FFFFFF" w:themeColor="background1"/>
                <w:sz w:val="20"/>
                <w:szCs w:val="20"/>
              </w:rPr>
            </w:pPr>
            <w:r w:rsidRPr="00DB3099">
              <w:rPr>
                <w:rFonts w:asciiTheme="majorHAnsi" w:hAnsiTheme="majorHAnsi" w:cstheme="majorBidi"/>
                <w:b/>
                <w:bCs/>
                <w:color w:val="FFFFFF" w:themeColor="background1"/>
                <w:sz w:val="20"/>
                <w:szCs w:val="20"/>
              </w:rPr>
              <w:t>% of all in that occupation working in industry class</w:t>
            </w:r>
          </w:p>
        </w:tc>
      </w:tr>
      <w:tr w:rsidR="00A2332E" w:rsidRPr="00E738A6" w14:paraId="4931FEB5" w14:textId="77777777" w:rsidTr="005F6ADC">
        <w:trPr>
          <w:tblHeader/>
        </w:trPr>
        <w:tc>
          <w:tcPr>
            <w:tcW w:w="1183" w:type="pct"/>
            <w:vMerge/>
          </w:tcPr>
          <w:p w14:paraId="0B55DB24" w14:textId="77777777" w:rsidR="00A2332E" w:rsidRPr="00DB3099" w:rsidRDefault="00A2332E" w:rsidP="005F6ADC">
            <w:pPr>
              <w:rPr>
                <w:rFonts w:asciiTheme="majorHAnsi" w:hAnsiTheme="majorHAnsi" w:cstheme="majorHAnsi"/>
                <w:b/>
                <w:bCs/>
                <w:color w:val="FFFFFF" w:themeColor="background1"/>
                <w:sz w:val="20"/>
                <w:szCs w:val="20"/>
                <w:highlight w:val="lightGray"/>
              </w:rPr>
            </w:pPr>
          </w:p>
        </w:tc>
        <w:tc>
          <w:tcPr>
            <w:tcW w:w="957" w:type="pct"/>
            <w:shd w:val="clear" w:color="auto" w:fill="320C53" w:themeFill="text2" w:themeFillShade="BF"/>
          </w:tcPr>
          <w:p w14:paraId="77C4A54E" w14:textId="77777777" w:rsidR="00A2332E" w:rsidRPr="00DB3099" w:rsidRDefault="00A2332E" w:rsidP="005F6ADC">
            <w:pPr>
              <w:rPr>
                <w:rFonts w:asciiTheme="majorHAnsi" w:hAnsiTheme="majorHAnsi" w:cstheme="majorBidi"/>
                <w:b/>
                <w:bCs/>
                <w:color w:val="FFFFFF" w:themeColor="background1"/>
                <w:sz w:val="20"/>
                <w:szCs w:val="20"/>
              </w:rPr>
            </w:pPr>
            <w:r w:rsidRPr="00DB3099">
              <w:rPr>
                <w:rFonts w:asciiTheme="majorHAnsi" w:hAnsiTheme="majorHAnsi" w:cstheme="majorBidi"/>
                <w:b/>
                <w:bCs/>
                <w:color w:val="FFFFFF" w:themeColor="background1"/>
                <w:sz w:val="20"/>
                <w:szCs w:val="20"/>
              </w:rPr>
              <w:t>School Education</w:t>
            </w:r>
          </w:p>
        </w:tc>
        <w:tc>
          <w:tcPr>
            <w:tcW w:w="967" w:type="pct"/>
            <w:shd w:val="clear" w:color="auto" w:fill="320C53" w:themeFill="text2" w:themeFillShade="BF"/>
          </w:tcPr>
          <w:p w14:paraId="4E068823" w14:textId="77777777" w:rsidR="00A2332E" w:rsidRPr="00DB3099" w:rsidRDefault="00A2332E" w:rsidP="005F6ADC">
            <w:pPr>
              <w:rPr>
                <w:rFonts w:asciiTheme="majorHAnsi" w:hAnsiTheme="majorHAnsi" w:cstheme="majorBidi"/>
                <w:b/>
                <w:bCs/>
                <w:color w:val="FFFFFF" w:themeColor="background1"/>
                <w:sz w:val="20"/>
                <w:szCs w:val="20"/>
              </w:rPr>
            </w:pPr>
            <w:r w:rsidRPr="00DB3099">
              <w:rPr>
                <w:rFonts w:asciiTheme="majorHAnsi" w:hAnsiTheme="majorHAnsi" w:cstheme="majorBidi"/>
                <w:b/>
                <w:bCs/>
                <w:color w:val="FFFFFF" w:themeColor="background1"/>
                <w:sz w:val="20"/>
                <w:szCs w:val="20"/>
              </w:rPr>
              <w:t>Local Government</w:t>
            </w:r>
            <w:r>
              <w:rPr>
                <w:rFonts w:asciiTheme="majorHAnsi" w:hAnsiTheme="majorHAnsi" w:cstheme="majorBidi"/>
                <w:b/>
                <w:bCs/>
                <w:color w:val="FFFFFF" w:themeColor="background1"/>
                <w:sz w:val="20"/>
                <w:szCs w:val="20"/>
              </w:rPr>
              <w:t xml:space="preserve"> Administration</w:t>
            </w:r>
          </w:p>
        </w:tc>
        <w:tc>
          <w:tcPr>
            <w:tcW w:w="947" w:type="pct"/>
            <w:shd w:val="clear" w:color="auto" w:fill="320C53" w:themeFill="text2" w:themeFillShade="BF"/>
          </w:tcPr>
          <w:p w14:paraId="6BA188A5" w14:textId="77777777" w:rsidR="00A2332E" w:rsidRPr="00DB3099" w:rsidRDefault="00A2332E" w:rsidP="005F6ADC">
            <w:pPr>
              <w:rPr>
                <w:rFonts w:asciiTheme="majorHAnsi" w:hAnsiTheme="majorHAnsi" w:cstheme="majorBidi"/>
                <w:b/>
                <w:bCs/>
                <w:color w:val="FFFFFF" w:themeColor="background1"/>
                <w:sz w:val="20"/>
                <w:szCs w:val="20"/>
              </w:rPr>
            </w:pPr>
            <w:r w:rsidRPr="00DB3099">
              <w:rPr>
                <w:rFonts w:asciiTheme="majorHAnsi" w:hAnsiTheme="majorHAnsi" w:cstheme="majorBidi"/>
                <w:b/>
                <w:bCs/>
                <w:color w:val="FFFFFF" w:themeColor="background1"/>
                <w:sz w:val="20"/>
                <w:szCs w:val="20"/>
              </w:rPr>
              <w:t>Sports and Physical Recreation</w:t>
            </w:r>
            <w:r>
              <w:rPr>
                <w:rFonts w:asciiTheme="majorHAnsi" w:hAnsiTheme="majorHAnsi" w:cstheme="majorBidi"/>
                <w:b/>
                <w:bCs/>
                <w:color w:val="FFFFFF" w:themeColor="background1"/>
                <w:sz w:val="20"/>
                <w:szCs w:val="20"/>
              </w:rPr>
              <w:t xml:space="preserve"> Activities</w:t>
            </w:r>
          </w:p>
        </w:tc>
        <w:tc>
          <w:tcPr>
            <w:tcW w:w="946" w:type="pct"/>
            <w:shd w:val="clear" w:color="auto" w:fill="320C53" w:themeFill="text2" w:themeFillShade="BF"/>
          </w:tcPr>
          <w:p w14:paraId="2F040B4B" w14:textId="77777777" w:rsidR="00A2332E" w:rsidRPr="00DB3099" w:rsidRDefault="00A2332E" w:rsidP="005F6ADC">
            <w:pPr>
              <w:rPr>
                <w:rFonts w:asciiTheme="majorHAnsi" w:hAnsiTheme="majorHAnsi" w:cstheme="majorBidi"/>
                <w:b/>
                <w:bCs/>
                <w:color w:val="FFFFFF" w:themeColor="background1"/>
                <w:sz w:val="20"/>
                <w:szCs w:val="20"/>
              </w:rPr>
            </w:pPr>
            <w:r w:rsidRPr="00DB3099">
              <w:rPr>
                <w:rFonts w:asciiTheme="majorHAnsi" w:hAnsiTheme="majorHAnsi" w:cstheme="majorBidi"/>
                <w:b/>
                <w:bCs/>
                <w:color w:val="FFFFFF" w:themeColor="background1"/>
                <w:sz w:val="20"/>
                <w:szCs w:val="20"/>
              </w:rPr>
              <w:t xml:space="preserve">Private </w:t>
            </w:r>
            <w:r>
              <w:rPr>
                <w:rFonts w:asciiTheme="majorHAnsi" w:hAnsiTheme="majorHAnsi" w:cstheme="majorBidi"/>
                <w:b/>
                <w:bCs/>
                <w:color w:val="FFFFFF" w:themeColor="background1"/>
                <w:sz w:val="20"/>
                <w:szCs w:val="20"/>
              </w:rPr>
              <w:t>H</w:t>
            </w:r>
            <w:r w:rsidRPr="00DB3099">
              <w:rPr>
                <w:rFonts w:asciiTheme="majorHAnsi" w:hAnsiTheme="majorHAnsi" w:cstheme="majorBidi"/>
                <w:b/>
                <w:bCs/>
                <w:color w:val="FFFFFF" w:themeColor="background1"/>
                <w:sz w:val="20"/>
                <w:szCs w:val="20"/>
              </w:rPr>
              <w:t>ouseholds</w:t>
            </w:r>
            <w:r>
              <w:rPr>
                <w:rFonts w:asciiTheme="majorHAnsi" w:hAnsiTheme="majorHAnsi" w:cstheme="majorBidi"/>
                <w:b/>
                <w:bCs/>
                <w:color w:val="FFFFFF" w:themeColor="background1"/>
                <w:sz w:val="20"/>
                <w:szCs w:val="20"/>
              </w:rPr>
              <w:t xml:space="preserve"> Employing Staff</w:t>
            </w:r>
            <w:r>
              <w:rPr>
                <w:rStyle w:val="FootnoteReference"/>
                <w:rFonts w:asciiTheme="majorHAnsi" w:hAnsiTheme="majorHAnsi" w:cstheme="majorBidi"/>
                <w:b/>
                <w:bCs/>
                <w:color w:val="FFFFFF" w:themeColor="background1"/>
                <w:sz w:val="20"/>
                <w:szCs w:val="20"/>
              </w:rPr>
              <w:footnoteReference w:id="77"/>
            </w:r>
            <w:r>
              <w:rPr>
                <w:rFonts w:asciiTheme="majorHAnsi" w:hAnsiTheme="majorHAnsi" w:cstheme="majorBidi"/>
                <w:b/>
                <w:bCs/>
                <w:color w:val="FFFFFF" w:themeColor="background1"/>
                <w:sz w:val="20"/>
                <w:szCs w:val="20"/>
              </w:rPr>
              <w:t xml:space="preserve"> </w:t>
            </w:r>
          </w:p>
        </w:tc>
      </w:tr>
      <w:tr w:rsidR="00A2332E" w:rsidRPr="00E738A6" w14:paraId="03CCE035" w14:textId="77777777" w:rsidTr="005F6ADC">
        <w:tc>
          <w:tcPr>
            <w:tcW w:w="1183" w:type="pct"/>
          </w:tcPr>
          <w:p w14:paraId="1E054404" w14:textId="77777777" w:rsidR="00A2332E" w:rsidRPr="00E738A6" w:rsidRDefault="00A2332E" w:rsidP="005F6ADC">
            <w:pPr>
              <w:rPr>
                <w:rFonts w:asciiTheme="majorHAnsi" w:hAnsiTheme="majorHAnsi" w:cstheme="majorBidi"/>
                <w:sz w:val="20"/>
                <w:szCs w:val="20"/>
              </w:rPr>
            </w:pPr>
            <w:bookmarkStart w:id="223" w:name="_Int_hGaosHxk"/>
            <w:r w:rsidRPr="28DBFA00">
              <w:rPr>
                <w:rFonts w:asciiTheme="majorHAnsi" w:hAnsiTheme="majorHAnsi" w:cstheme="majorBidi"/>
                <w:sz w:val="20"/>
                <w:szCs w:val="20"/>
              </w:rPr>
              <w:t>Child Care</w:t>
            </w:r>
            <w:bookmarkEnd w:id="223"/>
            <w:r w:rsidRPr="28DBFA00">
              <w:rPr>
                <w:rFonts w:asciiTheme="majorHAnsi" w:hAnsiTheme="majorHAnsi" w:cstheme="majorBidi"/>
                <w:sz w:val="20"/>
                <w:szCs w:val="20"/>
              </w:rPr>
              <w:t xml:space="preserve"> Worker</w:t>
            </w:r>
          </w:p>
        </w:tc>
        <w:tc>
          <w:tcPr>
            <w:tcW w:w="957" w:type="pct"/>
          </w:tcPr>
          <w:p w14:paraId="4B0F1443" w14:textId="77777777" w:rsidR="00A2332E" w:rsidRPr="00E738A6" w:rsidRDefault="00A2332E" w:rsidP="005F6ADC">
            <w:pPr>
              <w:jc w:val="right"/>
              <w:rPr>
                <w:rFonts w:asciiTheme="majorHAnsi" w:hAnsiTheme="majorHAnsi" w:cstheme="majorBidi"/>
                <w:sz w:val="20"/>
                <w:szCs w:val="20"/>
              </w:rPr>
            </w:pPr>
            <w:r w:rsidRPr="28DBFA00">
              <w:rPr>
                <w:rFonts w:asciiTheme="majorHAnsi" w:hAnsiTheme="majorHAnsi" w:cstheme="majorBidi"/>
                <w:sz w:val="20"/>
                <w:szCs w:val="20"/>
              </w:rPr>
              <w:t>3.7</w:t>
            </w:r>
          </w:p>
        </w:tc>
        <w:tc>
          <w:tcPr>
            <w:tcW w:w="967" w:type="pct"/>
          </w:tcPr>
          <w:p w14:paraId="1C891AC5" w14:textId="77777777" w:rsidR="00A2332E" w:rsidRPr="00E738A6" w:rsidRDefault="00A2332E" w:rsidP="005F6ADC">
            <w:pPr>
              <w:jc w:val="right"/>
              <w:rPr>
                <w:rFonts w:asciiTheme="majorHAnsi" w:hAnsiTheme="majorHAnsi" w:cstheme="majorBidi"/>
                <w:sz w:val="20"/>
                <w:szCs w:val="20"/>
              </w:rPr>
            </w:pPr>
            <w:r w:rsidRPr="28DBFA00">
              <w:rPr>
                <w:rFonts w:asciiTheme="majorHAnsi" w:hAnsiTheme="majorHAnsi" w:cstheme="majorBidi"/>
                <w:sz w:val="20"/>
                <w:szCs w:val="20"/>
              </w:rPr>
              <w:t>2.3</w:t>
            </w:r>
          </w:p>
        </w:tc>
        <w:tc>
          <w:tcPr>
            <w:tcW w:w="947" w:type="pct"/>
          </w:tcPr>
          <w:p w14:paraId="52D4B588" w14:textId="77777777" w:rsidR="00A2332E" w:rsidRPr="00E738A6" w:rsidRDefault="00A2332E" w:rsidP="005F6ADC">
            <w:pPr>
              <w:jc w:val="right"/>
              <w:rPr>
                <w:rFonts w:asciiTheme="majorHAnsi" w:hAnsiTheme="majorHAnsi" w:cstheme="majorBidi"/>
                <w:sz w:val="20"/>
                <w:szCs w:val="20"/>
              </w:rPr>
            </w:pPr>
            <w:r w:rsidRPr="28DBFA00">
              <w:rPr>
                <w:rFonts w:asciiTheme="majorHAnsi" w:hAnsiTheme="majorHAnsi" w:cstheme="majorBidi"/>
                <w:sz w:val="20"/>
                <w:szCs w:val="20"/>
              </w:rPr>
              <w:t>1.4</w:t>
            </w:r>
          </w:p>
        </w:tc>
        <w:tc>
          <w:tcPr>
            <w:tcW w:w="946" w:type="pct"/>
          </w:tcPr>
          <w:p w14:paraId="45450490" w14:textId="77777777" w:rsidR="00A2332E" w:rsidRPr="00E738A6" w:rsidRDefault="00A2332E" w:rsidP="005F6ADC">
            <w:pPr>
              <w:jc w:val="right"/>
              <w:rPr>
                <w:rFonts w:asciiTheme="majorHAnsi" w:hAnsiTheme="majorHAnsi" w:cstheme="majorBidi"/>
                <w:sz w:val="20"/>
                <w:szCs w:val="20"/>
              </w:rPr>
            </w:pPr>
            <w:r w:rsidRPr="28DBFA00">
              <w:rPr>
                <w:rFonts w:asciiTheme="majorHAnsi" w:hAnsiTheme="majorHAnsi" w:cstheme="majorBidi"/>
                <w:sz w:val="20"/>
                <w:szCs w:val="20"/>
              </w:rPr>
              <w:t>&lt;1</w:t>
            </w:r>
          </w:p>
        </w:tc>
      </w:tr>
      <w:tr w:rsidR="00A2332E" w:rsidRPr="00E738A6" w14:paraId="14BC4A0B" w14:textId="77777777" w:rsidTr="005F6ADC">
        <w:tc>
          <w:tcPr>
            <w:tcW w:w="1183" w:type="pct"/>
            <w:shd w:val="clear" w:color="auto" w:fill="D9D9D9" w:themeFill="background1" w:themeFillShade="D9"/>
          </w:tcPr>
          <w:p w14:paraId="65C20733" w14:textId="77777777" w:rsidR="00A2332E" w:rsidRPr="00E738A6" w:rsidRDefault="00A2332E" w:rsidP="005F6ADC">
            <w:pPr>
              <w:rPr>
                <w:rFonts w:asciiTheme="majorHAnsi" w:hAnsiTheme="majorHAnsi" w:cstheme="majorBidi"/>
                <w:sz w:val="20"/>
                <w:szCs w:val="20"/>
              </w:rPr>
            </w:pPr>
            <w:r w:rsidRPr="28DBFA00">
              <w:rPr>
                <w:rFonts w:asciiTheme="majorHAnsi" w:hAnsiTheme="majorHAnsi" w:cstheme="majorBidi"/>
                <w:sz w:val="20"/>
                <w:szCs w:val="20"/>
              </w:rPr>
              <w:t>Family Day Care Worker</w:t>
            </w:r>
          </w:p>
        </w:tc>
        <w:tc>
          <w:tcPr>
            <w:tcW w:w="957" w:type="pct"/>
            <w:shd w:val="clear" w:color="auto" w:fill="D9D9D9" w:themeFill="background1" w:themeFillShade="D9"/>
          </w:tcPr>
          <w:p w14:paraId="5F9B2756" w14:textId="77777777" w:rsidR="00A2332E" w:rsidRPr="00E738A6" w:rsidRDefault="00A2332E" w:rsidP="005F6ADC">
            <w:pPr>
              <w:jc w:val="right"/>
              <w:rPr>
                <w:rFonts w:asciiTheme="majorHAnsi" w:hAnsiTheme="majorHAnsi" w:cstheme="majorBidi"/>
                <w:sz w:val="20"/>
                <w:szCs w:val="20"/>
              </w:rPr>
            </w:pPr>
            <w:r w:rsidRPr="28DBFA00">
              <w:rPr>
                <w:rFonts w:asciiTheme="majorHAnsi" w:hAnsiTheme="majorHAnsi" w:cstheme="majorBidi"/>
                <w:sz w:val="20"/>
                <w:szCs w:val="20"/>
              </w:rPr>
              <w:t>&lt;1</w:t>
            </w:r>
          </w:p>
        </w:tc>
        <w:tc>
          <w:tcPr>
            <w:tcW w:w="967" w:type="pct"/>
            <w:shd w:val="clear" w:color="auto" w:fill="D9D9D9" w:themeFill="background1" w:themeFillShade="D9"/>
          </w:tcPr>
          <w:p w14:paraId="5E40F917" w14:textId="77777777" w:rsidR="00A2332E" w:rsidRPr="00E738A6" w:rsidRDefault="00A2332E" w:rsidP="005F6ADC">
            <w:pPr>
              <w:jc w:val="right"/>
              <w:rPr>
                <w:rFonts w:asciiTheme="majorHAnsi" w:hAnsiTheme="majorHAnsi" w:cstheme="majorBidi"/>
                <w:sz w:val="20"/>
                <w:szCs w:val="20"/>
              </w:rPr>
            </w:pPr>
            <w:r w:rsidRPr="28DBFA00">
              <w:rPr>
                <w:rFonts w:asciiTheme="majorHAnsi" w:hAnsiTheme="majorHAnsi" w:cstheme="majorBidi"/>
                <w:sz w:val="20"/>
                <w:szCs w:val="20"/>
              </w:rPr>
              <w:t>&lt;1</w:t>
            </w:r>
          </w:p>
        </w:tc>
        <w:tc>
          <w:tcPr>
            <w:tcW w:w="947" w:type="pct"/>
            <w:shd w:val="clear" w:color="auto" w:fill="D9D9D9" w:themeFill="background1" w:themeFillShade="D9"/>
          </w:tcPr>
          <w:p w14:paraId="7DA0C1F1" w14:textId="77777777" w:rsidR="00A2332E" w:rsidRPr="00E738A6" w:rsidRDefault="00A2332E" w:rsidP="005F6ADC">
            <w:pPr>
              <w:jc w:val="right"/>
              <w:rPr>
                <w:rFonts w:asciiTheme="majorHAnsi" w:hAnsiTheme="majorHAnsi" w:cstheme="majorBidi"/>
                <w:sz w:val="20"/>
                <w:szCs w:val="20"/>
              </w:rPr>
            </w:pPr>
            <w:r w:rsidRPr="28DBFA00">
              <w:rPr>
                <w:rFonts w:asciiTheme="majorHAnsi" w:hAnsiTheme="majorHAnsi" w:cstheme="majorBidi"/>
                <w:sz w:val="20"/>
                <w:szCs w:val="20"/>
              </w:rPr>
              <w:t>&lt;1</w:t>
            </w:r>
          </w:p>
        </w:tc>
        <w:tc>
          <w:tcPr>
            <w:tcW w:w="946" w:type="pct"/>
            <w:shd w:val="clear" w:color="auto" w:fill="D9D9D9" w:themeFill="background1" w:themeFillShade="D9"/>
          </w:tcPr>
          <w:p w14:paraId="1B3D2B8C" w14:textId="77777777" w:rsidR="00A2332E" w:rsidRPr="00E738A6" w:rsidRDefault="00A2332E" w:rsidP="005F6ADC">
            <w:pPr>
              <w:jc w:val="right"/>
              <w:rPr>
                <w:rFonts w:asciiTheme="majorHAnsi" w:hAnsiTheme="majorHAnsi" w:cstheme="majorBidi"/>
                <w:sz w:val="20"/>
                <w:szCs w:val="20"/>
              </w:rPr>
            </w:pPr>
            <w:r w:rsidRPr="28DBFA00">
              <w:rPr>
                <w:rFonts w:asciiTheme="majorHAnsi" w:hAnsiTheme="majorHAnsi" w:cstheme="majorBidi"/>
                <w:sz w:val="20"/>
                <w:szCs w:val="20"/>
              </w:rPr>
              <w:t>&lt;1</w:t>
            </w:r>
          </w:p>
        </w:tc>
      </w:tr>
      <w:tr w:rsidR="00A2332E" w:rsidRPr="00E738A6" w14:paraId="3F296ED9" w14:textId="77777777" w:rsidTr="005F6ADC">
        <w:tc>
          <w:tcPr>
            <w:tcW w:w="1183" w:type="pct"/>
          </w:tcPr>
          <w:p w14:paraId="1671339B" w14:textId="77777777" w:rsidR="00A2332E" w:rsidRPr="00E738A6" w:rsidRDefault="00A2332E" w:rsidP="005F6ADC">
            <w:pPr>
              <w:rPr>
                <w:rFonts w:asciiTheme="majorHAnsi" w:hAnsiTheme="majorHAnsi" w:cstheme="majorBidi"/>
                <w:sz w:val="20"/>
                <w:szCs w:val="20"/>
              </w:rPr>
            </w:pPr>
            <w:r w:rsidRPr="28DBFA00">
              <w:rPr>
                <w:rFonts w:asciiTheme="majorHAnsi" w:hAnsiTheme="majorHAnsi" w:cstheme="majorBidi"/>
                <w:sz w:val="20"/>
                <w:szCs w:val="20"/>
              </w:rPr>
              <w:t>Nanny</w:t>
            </w:r>
          </w:p>
        </w:tc>
        <w:tc>
          <w:tcPr>
            <w:tcW w:w="957" w:type="pct"/>
          </w:tcPr>
          <w:p w14:paraId="0FD59036" w14:textId="77777777" w:rsidR="00A2332E" w:rsidRPr="00E738A6" w:rsidRDefault="00A2332E" w:rsidP="005F6ADC">
            <w:pPr>
              <w:jc w:val="right"/>
              <w:rPr>
                <w:rFonts w:asciiTheme="majorHAnsi" w:hAnsiTheme="majorHAnsi" w:cstheme="majorBidi"/>
                <w:sz w:val="20"/>
                <w:szCs w:val="20"/>
              </w:rPr>
            </w:pPr>
            <w:r w:rsidRPr="28DBFA00">
              <w:rPr>
                <w:rFonts w:asciiTheme="majorHAnsi" w:hAnsiTheme="majorHAnsi" w:cstheme="majorBidi"/>
                <w:sz w:val="20"/>
                <w:szCs w:val="20"/>
              </w:rPr>
              <w:t>&lt;1</w:t>
            </w:r>
          </w:p>
        </w:tc>
        <w:tc>
          <w:tcPr>
            <w:tcW w:w="967" w:type="pct"/>
          </w:tcPr>
          <w:p w14:paraId="0F0A255D" w14:textId="77777777" w:rsidR="00A2332E" w:rsidRPr="00E738A6" w:rsidRDefault="00A2332E" w:rsidP="005F6ADC">
            <w:pPr>
              <w:jc w:val="right"/>
              <w:rPr>
                <w:rFonts w:asciiTheme="majorHAnsi" w:hAnsiTheme="majorHAnsi" w:cstheme="majorBidi"/>
                <w:sz w:val="20"/>
                <w:szCs w:val="20"/>
              </w:rPr>
            </w:pPr>
            <w:r w:rsidRPr="28DBFA00">
              <w:rPr>
                <w:rFonts w:asciiTheme="majorHAnsi" w:hAnsiTheme="majorHAnsi" w:cstheme="majorBidi"/>
                <w:sz w:val="20"/>
                <w:szCs w:val="20"/>
              </w:rPr>
              <w:t>&lt;1</w:t>
            </w:r>
          </w:p>
        </w:tc>
        <w:tc>
          <w:tcPr>
            <w:tcW w:w="947" w:type="pct"/>
          </w:tcPr>
          <w:p w14:paraId="134807AD" w14:textId="77777777" w:rsidR="00A2332E" w:rsidRPr="00E738A6" w:rsidRDefault="00A2332E" w:rsidP="005F6ADC">
            <w:pPr>
              <w:jc w:val="right"/>
              <w:rPr>
                <w:rFonts w:asciiTheme="majorHAnsi" w:hAnsiTheme="majorHAnsi" w:cstheme="majorBidi"/>
                <w:sz w:val="20"/>
                <w:szCs w:val="20"/>
              </w:rPr>
            </w:pPr>
            <w:r w:rsidRPr="28DBFA00">
              <w:rPr>
                <w:rFonts w:asciiTheme="majorHAnsi" w:hAnsiTheme="majorHAnsi" w:cstheme="majorBidi"/>
                <w:sz w:val="20"/>
                <w:szCs w:val="20"/>
              </w:rPr>
              <w:t>2.5</w:t>
            </w:r>
          </w:p>
        </w:tc>
        <w:tc>
          <w:tcPr>
            <w:tcW w:w="946" w:type="pct"/>
          </w:tcPr>
          <w:p w14:paraId="4D5B35BD" w14:textId="77777777" w:rsidR="00A2332E" w:rsidRPr="00E738A6" w:rsidRDefault="00A2332E" w:rsidP="005F6ADC">
            <w:pPr>
              <w:jc w:val="right"/>
              <w:rPr>
                <w:rFonts w:asciiTheme="majorHAnsi" w:hAnsiTheme="majorHAnsi" w:cstheme="majorBidi"/>
                <w:sz w:val="20"/>
                <w:szCs w:val="20"/>
              </w:rPr>
            </w:pPr>
            <w:r w:rsidRPr="28DBFA00">
              <w:rPr>
                <w:rFonts w:asciiTheme="majorHAnsi" w:hAnsiTheme="majorHAnsi" w:cstheme="majorBidi"/>
                <w:sz w:val="20"/>
                <w:szCs w:val="20"/>
              </w:rPr>
              <w:t>40.2</w:t>
            </w:r>
          </w:p>
        </w:tc>
      </w:tr>
      <w:tr w:rsidR="00A2332E" w:rsidRPr="00E738A6" w14:paraId="675BF02D" w14:textId="77777777" w:rsidTr="005F6ADC">
        <w:tc>
          <w:tcPr>
            <w:tcW w:w="1183" w:type="pct"/>
            <w:shd w:val="clear" w:color="auto" w:fill="D9D9D9" w:themeFill="background1" w:themeFillShade="D9"/>
          </w:tcPr>
          <w:p w14:paraId="338E56D8" w14:textId="77777777" w:rsidR="00A2332E" w:rsidRPr="00E738A6" w:rsidRDefault="00A2332E" w:rsidP="005F6ADC">
            <w:pPr>
              <w:rPr>
                <w:rFonts w:asciiTheme="majorHAnsi" w:hAnsiTheme="majorHAnsi" w:cstheme="majorBidi"/>
                <w:sz w:val="20"/>
                <w:szCs w:val="20"/>
              </w:rPr>
            </w:pPr>
            <w:r w:rsidRPr="28DBFA00">
              <w:rPr>
                <w:rFonts w:asciiTheme="majorHAnsi" w:hAnsiTheme="majorHAnsi" w:cstheme="majorBidi"/>
                <w:sz w:val="20"/>
                <w:szCs w:val="20"/>
              </w:rPr>
              <w:t>Out of School Hours Care Worker</w:t>
            </w:r>
          </w:p>
        </w:tc>
        <w:tc>
          <w:tcPr>
            <w:tcW w:w="957" w:type="pct"/>
            <w:shd w:val="clear" w:color="auto" w:fill="D9D9D9" w:themeFill="background1" w:themeFillShade="D9"/>
          </w:tcPr>
          <w:p w14:paraId="76A67867" w14:textId="77777777" w:rsidR="00A2332E" w:rsidRPr="00E738A6" w:rsidRDefault="00A2332E" w:rsidP="005F6ADC">
            <w:pPr>
              <w:jc w:val="right"/>
              <w:rPr>
                <w:rFonts w:asciiTheme="majorHAnsi" w:hAnsiTheme="majorHAnsi" w:cstheme="majorBidi"/>
                <w:sz w:val="20"/>
                <w:szCs w:val="20"/>
              </w:rPr>
            </w:pPr>
            <w:r w:rsidRPr="28DBFA00">
              <w:rPr>
                <w:rFonts w:asciiTheme="majorHAnsi" w:hAnsiTheme="majorHAnsi" w:cstheme="majorBidi"/>
                <w:sz w:val="20"/>
                <w:szCs w:val="20"/>
              </w:rPr>
              <w:t>30.2</w:t>
            </w:r>
          </w:p>
        </w:tc>
        <w:tc>
          <w:tcPr>
            <w:tcW w:w="967" w:type="pct"/>
            <w:shd w:val="clear" w:color="auto" w:fill="D9D9D9" w:themeFill="background1" w:themeFillShade="D9"/>
          </w:tcPr>
          <w:p w14:paraId="6B6602BF" w14:textId="77777777" w:rsidR="00A2332E" w:rsidRPr="00E738A6" w:rsidRDefault="00A2332E" w:rsidP="005F6ADC">
            <w:pPr>
              <w:jc w:val="right"/>
              <w:rPr>
                <w:rFonts w:asciiTheme="majorHAnsi" w:hAnsiTheme="majorHAnsi" w:cstheme="majorBidi"/>
                <w:sz w:val="20"/>
                <w:szCs w:val="20"/>
              </w:rPr>
            </w:pPr>
            <w:r w:rsidRPr="28DBFA00">
              <w:rPr>
                <w:rFonts w:asciiTheme="majorHAnsi" w:hAnsiTheme="majorHAnsi" w:cstheme="majorBidi"/>
                <w:sz w:val="20"/>
                <w:szCs w:val="20"/>
              </w:rPr>
              <w:t>&lt;1</w:t>
            </w:r>
          </w:p>
        </w:tc>
        <w:tc>
          <w:tcPr>
            <w:tcW w:w="947" w:type="pct"/>
            <w:shd w:val="clear" w:color="auto" w:fill="D9D9D9" w:themeFill="background1" w:themeFillShade="D9"/>
          </w:tcPr>
          <w:p w14:paraId="438458FD" w14:textId="77777777" w:rsidR="00A2332E" w:rsidRPr="00E738A6" w:rsidRDefault="00A2332E" w:rsidP="005F6ADC">
            <w:pPr>
              <w:jc w:val="right"/>
              <w:rPr>
                <w:rFonts w:asciiTheme="majorHAnsi" w:hAnsiTheme="majorHAnsi" w:cstheme="majorBidi"/>
                <w:sz w:val="20"/>
                <w:szCs w:val="20"/>
              </w:rPr>
            </w:pPr>
            <w:r w:rsidRPr="28DBFA00">
              <w:rPr>
                <w:rFonts w:asciiTheme="majorHAnsi" w:hAnsiTheme="majorHAnsi" w:cstheme="majorBidi"/>
                <w:sz w:val="20"/>
                <w:szCs w:val="20"/>
              </w:rPr>
              <w:t>3.6</w:t>
            </w:r>
          </w:p>
        </w:tc>
        <w:tc>
          <w:tcPr>
            <w:tcW w:w="946" w:type="pct"/>
            <w:shd w:val="clear" w:color="auto" w:fill="D9D9D9" w:themeFill="background1" w:themeFillShade="D9"/>
          </w:tcPr>
          <w:p w14:paraId="4756C8A3" w14:textId="77777777" w:rsidR="00A2332E" w:rsidRPr="00E738A6" w:rsidRDefault="00A2332E" w:rsidP="005F6ADC">
            <w:pPr>
              <w:jc w:val="right"/>
              <w:rPr>
                <w:rFonts w:asciiTheme="majorHAnsi" w:hAnsiTheme="majorHAnsi" w:cstheme="majorBidi"/>
                <w:sz w:val="20"/>
                <w:szCs w:val="20"/>
              </w:rPr>
            </w:pPr>
            <w:r w:rsidRPr="28DBFA00">
              <w:rPr>
                <w:rFonts w:asciiTheme="majorHAnsi" w:hAnsiTheme="majorHAnsi" w:cstheme="majorBidi"/>
                <w:sz w:val="20"/>
                <w:szCs w:val="20"/>
              </w:rPr>
              <w:t>&lt;1</w:t>
            </w:r>
          </w:p>
        </w:tc>
      </w:tr>
      <w:tr w:rsidR="00A2332E" w:rsidRPr="00E738A6" w14:paraId="74CC6CD1" w14:textId="77777777" w:rsidTr="005F6ADC">
        <w:tc>
          <w:tcPr>
            <w:tcW w:w="1183" w:type="pct"/>
          </w:tcPr>
          <w:p w14:paraId="4D19DBD1" w14:textId="77777777" w:rsidR="00A2332E" w:rsidRPr="00E738A6" w:rsidRDefault="00A2332E" w:rsidP="005F6ADC">
            <w:pPr>
              <w:rPr>
                <w:rFonts w:asciiTheme="majorHAnsi" w:hAnsiTheme="majorHAnsi" w:cstheme="majorBidi"/>
                <w:i/>
                <w:iCs/>
                <w:sz w:val="20"/>
                <w:szCs w:val="20"/>
              </w:rPr>
            </w:pPr>
            <w:r w:rsidRPr="28DBFA00">
              <w:rPr>
                <w:rFonts w:asciiTheme="majorHAnsi" w:hAnsiTheme="majorHAnsi" w:cstheme="majorBidi"/>
                <w:i/>
                <w:iCs/>
                <w:sz w:val="20"/>
                <w:szCs w:val="20"/>
              </w:rPr>
              <w:t>Child Carers nfd</w:t>
            </w:r>
          </w:p>
        </w:tc>
        <w:tc>
          <w:tcPr>
            <w:tcW w:w="957" w:type="pct"/>
          </w:tcPr>
          <w:p w14:paraId="7412C939" w14:textId="77777777" w:rsidR="00A2332E" w:rsidRPr="00E738A6" w:rsidRDefault="00A2332E" w:rsidP="005F6ADC">
            <w:pPr>
              <w:jc w:val="right"/>
              <w:rPr>
                <w:rFonts w:asciiTheme="majorHAnsi" w:hAnsiTheme="majorHAnsi" w:cstheme="majorBidi"/>
                <w:i/>
                <w:iCs/>
                <w:sz w:val="20"/>
                <w:szCs w:val="20"/>
              </w:rPr>
            </w:pPr>
            <w:r w:rsidRPr="28DBFA00">
              <w:rPr>
                <w:rFonts w:asciiTheme="majorHAnsi" w:hAnsiTheme="majorHAnsi" w:cstheme="majorBidi"/>
                <w:sz w:val="20"/>
                <w:szCs w:val="20"/>
              </w:rPr>
              <w:t>3.0</w:t>
            </w:r>
          </w:p>
        </w:tc>
        <w:tc>
          <w:tcPr>
            <w:tcW w:w="967" w:type="pct"/>
          </w:tcPr>
          <w:p w14:paraId="0FBE89EB" w14:textId="77777777" w:rsidR="00A2332E" w:rsidRPr="00E738A6" w:rsidRDefault="00A2332E" w:rsidP="005F6ADC">
            <w:pPr>
              <w:jc w:val="right"/>
              <w:rPr>
                <w:rFonts w:asciiTheme="majorHAnsi" w:hAnsiTheme="majorHAnsi" w:cstheme="majorBidi"/>
                <w:i/>
                <w:iCs/>
                <w:sz w:val="20"/>
                <w:szCs w:val="20"/>
              </w:rPr>
            </w:pPr>
            <w:r w:rsidRPr="28DBFA00">
              <w:rPr>
                <w:rFonts w:asciiTheme="majorHAnsi" w:hAnsiTheme="majorHAnsi" w:cstheme="majorBidi"/>
                <w:sz w:val="20"/>
                <w:szCs w:val="20"/>
              </w:rPr>
              <w:t>&lt;1</w:t>
            </w:r>
          </w:p>
        </w:tc>
        <w:tc>
          <w:tcPr>
            <w:tcW w:w="947" w:type="pct"/>
          </w:tcPr>
          <w:p w14:paraId="1BBDB9BD" w14:textId="77777777" w:rsidR="00A2332E" w:rsidRPr="00E738A6" w:rsidRDefault="00A2332E" w:rsidP="005F6ADC">
            <w:pPr>
              <w:jc w:val="right"/>
              <w:rPr>
                <w:rFonts w:asciiTheme="majorHAnsi" w:hAnsiTheme="majorHAnsi" w:cstheme="majorBidi"/>
                <w:i/>
                <w:iCs/>
                <w:sz w:val="20"/>
                <w:szCs w:val="20"/>
              </w:rPr>
            </w:pPr>
            <w:r w:rsidRPr="28DBFA00">
              <w:rPr>
                <w:rFonts w:asciiTheme="majorHAnsi" w:hAnsiTheme="majorHAnsi" w:cstheme="majorBidi"/>
                <w:sz w:val="20"/>
                <w:szCs w:val="20"/>
              </w:rPr>
              <w:t>2.3</w:t>
            </w:r>
          </w:p>
        </w:tc>
        <w:tc>
          <w:tcPr>
            <w:tcW w:w="946" w:type="pct"/>
          </w:tcPr>
          <w:p w14:paraId="588B586F" w14:textId="77777777" w:rsidR="00A2332E" w:rsidRPr="00E738A6" w:rsidRDefault="00A2332E" w:rsidP="005F6ADC">
            <w:pPr>
              <w:jc w:val="right"/>
              <w:rPr>
                <w:rFonts w:asciiTheme="majorHAnsi" w:hAnsiTheme="majorHAnsi" w:cstheme="majorBidi"/>
                <w:i/>
                <w:iCs/>
                <w:sz w:val="20"/>
                <w:szCs w:val="20"/>
              </w:rPr>
            </w:pPr>
            <w:r w:rsidRPr="28DBFA00">
              <w:rPr>
                <w:rFonts w:asciiTheme="majorHAnsi" w:hAnsiTheme="majorHAnsi" w:cstheme="majorBidi"/>
                <w:sz w:val="20"/>
                <w:szCs w:val="20"/>
              </w:rPr>
              <w:t>&lt;1</w:t>
            </w:r>
          </w:p>
        </w:tc>
      </w:tr>
      <w:tr w:rsidR="00A2332E" w:rsidRPr="00E738A6" w14:paraId="660CF135" w14:textId="77777777" w:rsidTr="005F6ADC">
        <w:tc>
          <w:tcPr>
            <w:tcW w:w="1183" w:type="pct"/>
            <w:shd w:val="clear" w:color="auto" w:fill="D9D9D9" w:themeFill="background1" w:themeFillShade="D9"/>
          </w:tcPr>
          <w:p w14:paraId="61778D9A" w14:textId="77777777" w:rsidR="00A2332E" w:rsidRPr="00E738A6" w:rsidRDefault="00A2332E" w:rsidP="005F6ADC">
            <w:pPr>
              <w:rPr>
                <w:rFonts w:asciiTheme="majorHAnsi" w:hAnsiTheme="majorHAnsi" w:cstheme="majorBidi"/>
                <w:i/>
                <w:iCs/>
                <w:sz w:val="20"/>
                <w:szCs w:val="20"/>
              </w:rPr>
            </w:pPr>
            <w:r w:rsidRPr="28DBFA00">
              <w:rPr>
                <w:rFonts w:asciiTheme="majorHAnsi" w:hAnsiTheme="majorHAnsi" w:cstheme="majorBidi"/>
                <w:i/>
                <w:iCs/>
                <w:sz w:val="20"/>
                <w:szCs w:val="20"/>
              </w:rPr>
              <w:t>Child Carers (total)</w:t>
            </w:r>
          </w:p>
        </w:tc>
        <w:tc>
          <w:tcPr>
            <w:tcW w:w="957" w:type="pct"/>
            <w:shd w:val="clear" w:color="auto" w:fill="D9D9D9" w:themeFill="background1" w:themeFillShade="D9"/>
          </w:tcPr>
          <w:p w14:paraId="42803A91" w14:textId="77777777" w:rsidR="00A2332E" w:rsidRPr="00E738A6" w:rsidRDefault="00A2332E" w:rsidP="005F6ADC">
            <w:pPr>
              <w:jc w:val="right"/>
              <w:rPr>
                <w:rFonts w:asciiTheme="majorHAnsi" w:hAnsiTheme="majorHAnsi" w:cstheme="majorBidi"/>
                <w:i/>
                <w:iCs/>
                <w:sz w:val="20"/>
                <w:szCs w:val="20"/>
              </w:rPr>
            </w:pPr>
            <w:r w:rsidRPr="28DBFA00">
              <w:rPr>
                <w:rFonts w:asciiTheme="majorHAnsi" w:hAnsiTheme="majorHAnsi" w:cstheme="majorBidi"/>
                <w:sz w:val="20"/>
                <w:szCs w:val="20"/>
              </w:rPr>
              <w:t>5.2</w:t>
            </w:r>
          </w:p>
        </w:tc>
        <w:tc>
          <w:tcPr>
            <w:tcW w:w="967" w:type="pct"/>
            <w:shd w:val="clear" w:color="auto" w:fill="D9D9D9" w:themeFill="background1" w:themeFillShade="D9"/>
          </w:tcPr>
          <w:p w14:paraId="4C539C8D" w14:textId="77777777" w:rsidR="00A2332E" w:rsidRPr="00E738A6" w:rsidRDefault="00A2332E" w:rsidP="005F6ADC">
            <w:pPr>
              <w:jc w:val="right"/>
              <w:rPr>
                <w:rFonts w:asciiTheme="majorHAnsi" w:hAnsiTheme="majorHAnsi" w:cstheme="majorBidi"/>
                <w:i/>
                <w:iCs/>
                <w:sz w:val="20"/>
                <w:szCs w:val="20"/>
              </w:rPr>
            </w:pPr>
            <w:r w:rsidRPr="28DBFA00">
              <w:rPr>
                <w:rFonts w:asciiTheme="majorHAnsi" w:hAnsiTheme="majorHAnsi" w:cstheme="majorBidi"/>
                <w:sz w:val="20"/>
                <w:szCs w:val="20"/>
              </w:rPr>
              <w:t>1.9</w:t>
            </w:r>
          </w:p>
        </w:tc>
        <w:tc>
          <w:tcPr>
            <w:tcW w:w="947" w:type="pct"/>
            <w:shd w:val="clear" w:color="auto" w:fill="D9D9D9" w:themeFill="background1" w:themeFillShade="D9"/>
          </w:tcPr>
          <w:p w14:paraId="3EA998D3" w14:textId="77777777" w:rsidR="00A2332E" w:rsidRPr="00E738A6" w:rsidRDefault="00A2332E" w:rsidP="005F6ADC">
            <w:pPr>
              <w:jc w:val="right"/>
              <w:rPr>
                <w:rFonts w:asciiTheme="majorHAnsi" w:hAnsiTheme="majorHAnsi" w:cstheme="majorBidi"/>
                <w:i/>
                <w:iCs/>
                <w:sz w:val="20"/>
                <w:szCs w:val="20"/>
              </w:rPr>
            </w:pPr>
            <w:r w:rsidRPr="28DBFA00">
              <w:rPr>
                <w:rFonts w:asciiTheme="majorHAnsi" w:hAnsiTheme="majorHAnsi" w:cstheme="majorBidi"/>
                <w:sz w:val="20"/>
                <w:szCs w:val="20"/>
              </w:rPr>
              <w:t>1.6</w:t>
            </w:r>
          </w:p>
        </w:tc>
        <w:tc>
          <w:tcPr>
            <w:tcW w:w="946" w:type="pct"/>
            <w:shd w:val="clear" w:color="auto" w:fill="D9D9D9" w:themeFill="background1" w:themeFillShade="D9"/>
          </w:tcPr>
          <w:p w14:paraId="0B58BB0F" w14:textId="77777777" w:rsidR="00A2332E" w:rsidRPr="00E738A6" w:rsidRDefault="00A2332E" w:rsidP="005F6ADC">
            <w:pPr>
              <w:jc w:val="right"/>
              <w:rPr>
                <w:rFonts w:asciiTheme="majorHAnsi" w:hAnsiTheme="majorHAnsi" w:cstheme="majorBidi"/>
                <w:i/>
                <w:iCs/>
                <w:sz w:val="20"/>
                <w:szCs w:val="20"/>
              </w:rPr>
            </w:pPr>
            <w:r w:rsidRPr="28DBFA00">
              <w:rPr>
                <w:rFonts w:asciiTheme="majorHAnsi" w:hAnsiTheme="majorHAnsi" w:cstheme="majorBidi"/>
                <w:sz w:val="20"/>
                <w:szCs w:val="20"/>
              </w:rPr>
              <w:t>1.8</w:t>
            </w:r>
          </w:p>
        </w:tc>
      </w:tr>
      <w:tr w:rsidR="00A2332E" w:rsidRPr="00E738A6" w14:paraId="6B4FC7E6" w14:textId="77777777" w:rsidTr="005F6ADC">
        <w:tc>
          <w:tcPr>
            <w:tcW w:w="1183" w:type="pct"/>
          </w:tcPr>
          <w:p w14:paraId="198E7864" w14:textId="77777777" w:rsidR="00A2332E" w:rsidRPr="00E738A6" w:rsidRDefault="00A2332E" w:rsidP="005F6ADC">
            <w:pPr>
              <w:rPr>
                <w:rFonts w:asciiTheme="majorHAnsi" w:hAnsiTheme="majorHAnsi" w:cstheme="majorBidi"/>
                <w:sz w:val="20"/>
                <w:szCs w:val="20"/>
              </w:rPr>
            </w:pPr>
            <w:r w:rsidRPr="3FE7B0AC">
              <w:rPr>
                <w:rFonts w:asciiTheme="majorHAnsi" w:hAnsiTheme="majorHAnsi" w:cstheme="majorBidi"/>
                <w:sz w:val="20"/>
                <w:szCs w:val="20"/>
              </w:rPr>
              <w:t>Early Childhood (Pre-primary) Teacher</w:t>
            </w:r>
          </w:p>
        </w:tc>
        <w:tc>
          <w:tcPr>
            <w:tcW w:w="957" w:type="pct"/>
          </w:tcPr>
          <w:p w14:paraId="09AD4AA8" w14:textId="77777777" w:rsidR="00A2332E" w:rsidRPr="00E738A6" w:rsidRDefault="00A2332E" w:rsidP="005F6ADC">
            <w:pPr>
              <w:jc w:val="right"/>
              <w:rPr>
                <w:rFonts w:asciiTheme="majorHAnsi" w:hAnsiTheme="majorHAnsi" w:cstheme="majorBidi"/>
                <w:sz w:val="20"/>
                <w:szCs w:val="20"/>
              </w:rPr>
            </w:pPr>
            <w:r w:rsidRPr="28DBFA00">
              <w:rPr>
                <w:rFonts w:asciiTheme="majorHAnsi" w:hAnsiTheme="majorHAnsi" w:cstheme="majorBidi"/>
                <w:sz w:val="20"/>
                <w:szCs w:val="20"/>
              </w:rPr>
              <w:t>25.6</w:t>
            </w:r>
          </w:p>
        </w:tc>
        <w:tc>
          <w:tcPr>
            <w:tcW w:w="967" w:type="pct"/>
          </w:tcPr>
          <w:p w14:paraId="5815B698" w14:textId="77777777" w:rsidR="00A2332E" w:rsidRPr="00E738A6" w:rsidRDefault="00A2332E" w:rsidP="005F6ADC">
            <w:pPr>
              <w:jc w:val="right"/>
              <w:rPr>
                <w:rFonts w:asciiTheme="majorHAnsi" w:hAnsiTheme="majorHAnsi" w:cstheme="majorBidi"/>
                <w:sz w:val="20"/>
                <w:szCs w:val="20"/>
              </w:rPr>
            </w:pPr>
            <w:r w:rsidRPr="28DBFA00">
              <w:rPr>
                <w:rFonts w:asciiTheme="majorHAnsi" w:hAnsiTheme="majorHAnsi" w:cstheme="majorBidi"/>
                <w:sz w:val="20"/>
                <w:szCs w:val="20"/>
              </w:rPr>
              <w:t>2.9</w:t>
            </w:r>
          </w:p>
        </w:tc>
        <w:tc>
          <w:tcPr>
            <w:tcW w:w="947" w:type="pct"/>
          </w:tcPr>
          <w:p w14:paraId="540ABB76" w14:textId="77777777" w:rsidR="00A2332E" w:rsidRPr="00E738A6" w:rsidRDefault="00A2332E" w:rsidP="005F6ADC">
            <w:pPr>
              <w:jc w:val="right"/>
              <w:rPr>
                <w:rFonts w:asciiTheme="majorHAnsi" w:hAnsiTheme="majorHAnsi" w:cstheme="majorBidi"/>
                <w:sz w:val="20"/>
                <w:szCs w:val="20"/>
              </w:rPr>
            </w:pPr>
            <w:r w:rsidRPr="28DBFA00">
              <w:rPr>
                <w:rFonts w:asciiTheme="majorHAnsi" w:hAnsiTheme="majorHAnsi" w:cstheme="majorBidi"/>
                <w:sz w:val="20"/>
                <w:szCs w:val="20"/>
              </w:rPr>
              <w:t>&lt;1</w:t>
            </w:r>
          </w:p>
        </w:tc>
        <w:tc>
          <w:tcPr>
            <w:tcW w:w="946" w:type="pct"/>
          </w:tcPr>
          <w:p w14:paraId="3AC67A54" w14:textId="77777777" w:rsidR="00A2332E" w:rsidRPr="00E738A6" w:rsidRDefault="00A2332E" w:rsidP="005F6ADC">
            <w:pPr>
              <w:jc w:val="right"/>
              <w:rPr>
                <w:rFonts w:asciiTheme="majorHAnsi" w:hAnsiTheme="majorHAnsi" w:cstheme="majorBidi"/>
                <w:sz w:val="20"/>
                <w:szCs w:val="20"/>
              </w:rPr>
            </w:pPr>
            <w:r w:rsidRPr="28DBFA00">
              <w:rPr>
                <w:rFonts w:asciiTheme="majorHAnsi" w:hAnsiTheme="majorHAnsi" w:cstheme="majorBidi"/>
                <w:sz w:val="20"/>
                <w:szCs w:val="20"/>
              </w:rPr>
              <w:t>&lt;1</w:t>
            </w:r>
          </w:p>
        </w:tc>
      </w:tr>
      <w:tr w:rsidR="00A2332E" w:rsidRPr="00E738A6" w14:paraId="0919CEC5" w14:textId="77777777" w:rsidTr="005F6ADC">
        <w:tc>
          <w:tcPr>
            <w:tcW w:w="1183" w:type="pct"/>
            <w:shd w:val="clear" w:color="auto" w:fill="D9D9D9" w:themeFill="background1" w:themeFillShade="D9"/>
          </w:tcPr>
          <w:p w14:paraId="6EB4A528" w14:textId="77777777" w:rsidR="00A2332E" w:rsidRPr="00E738A6" w:rsidRDefault="00A2332E" w:rsidP="005F6ADC">
            <w:pPr>
              <w:rPr>
                <w:rFonts w:asciiTheme="majorHAnsi" w:hAnsiTheme="majorHAnsi" w:cstheme="majorBidi"/>
                <w:sz w:val="20"/>
                <w:szCs w:val="20"/>
              </w:rPr>
            </w:pPr>
            <w:r w:rsidRPr="28DBFA00">
              <w:rPr>
                <w:rFonts w:asciiTheme="majorHAnsi" w:hAnsiTheme="majorHAnsi" w:cstheme="majorBidi"/>
                <w:sz w:val="20"/>
                <w:szCs w:val="20"/>
              </w:rPr>
              <w:t>Preschool aide</w:t>
            </w:r>
          </w:p>
        </w:tc>
        <w:tc>
          <w:tcPr>
            <w:tcW w:w="957" w:type="pct"/>
            <w:shd w:val="clear" w:color="auto" w:fill="D9D9D9" w:themeFill="background1" w:themeFillShade="D9"/>
          </w:tcPr>
          <w:p w14:paraId="2330F13C" w14:textId="77777777" w:rsidR="00A2332E" w:rsidRPr="00E738A6" w:rsidRDefault="00A2332E" w:rsidP="005F6ADC">
            <w:pPr>
              <w:jc w:val="right"/>
              <w:rPr>
                <w:rFonts w:asciiTheme="majorHAnsi" w:hAnsiTheme="majorHAnsi" w:cstheme="majorBidi"/>
                <w:sz w:val="20"/>
                <w:szCs w:val="20"/>
              </w:rPr>
            </w:pPr>
            <w:r w:rsidRPr="28DBFA00">
              <w:rPr>
                <w:rFonts w:asciiTheme="majorHAnsi" w:hAnsiTheme="majorHAnsi" w:cstheme="majorBidi"/>
                <w:sz w:val="20"/>
                <w:szCs w:val="20"/>
              </w:rPr>
              <w:t>33.5</w:t>
            </w:r>
          </w:p>
        </w:tc>
        <w:tc>
          <w:tcPr>
            <w:tcW w:w="967" w:type="pct"/>
            <w:shd w:val="clear" w:color="auto" w:fill="D9D9D9" w:themeFill="background1" w:themeFillShade="D9"/>
          </w:tcPr>
          <w:p w14:paraId="27A34E75" w14:textId="77777777" w:rsidR="00A2332E" w:rsidRPr="00E738A6" w:rsidRDefault="00A2332E" w:rsidP="005F6ADC">
            <w:pPr>
              <w:jc w:val="right"/>
              <w:rPr>
                <w:rFonts w:asciiTheme="majorHAnsi" w:hAnsiTheme="majorHAnsi" w:cstheme="majorBidi"/>
                <w:sz w:val="20"/>
                <w:szCs w:val="20"/>
              </w:rPr>
            </w:pPr>
            <w:r w:rsidRPr="28DBFA00">
              <w:rPr>
                <w:rFonts w:asciiTheme="majorHAnsi" w:hAnsiTheme="majorHAnsi" w:cstheme="majorBidi"/>
                <w:sz w:val="20"/>
                <w:szCs w:val="20"/>
              </w:rPr>
              <w:t>3.6</w:t>
            </w:r>
          </w:p>
        </w:tc>
        <w:tc>
          <w:tcPr>
            <w:tcW w:w="947" w:type="pct"/>
            <w:shd w:val="clear" w:color="auto" w:fill="D9D9D9" w:themeFill="background1" w:themeFillShade="D9"/>
          </w:tcPr>
          <w:p w14:paraId="3F05B92B" w14:textId="77777777" w:rsidR="00A2332E" w:rsidRPr="00E738A6" w:rsidRDefault="00A2332E" w:rsidP="005F6ADC">
            <w:pPr>
              <w:jc w:val="right"/>
              <w:rPr>
                <w:rFonts w:asciiTheme="majorHAnsi" w:hAnsiTheme="majorHAnsi" w:cstheme="majorBidi"/>
                <w:sz w:val="20"/>
                <w:szCs w:val="20"/>
              </w:rPr>
            </w:pPr>
            <w:r w:rsidRPr="28DBFA00">
              <w:rPr>
                <w:rFonts w:asciiTheme="majorHAnsi" w:hAnsiTheme="majorHAnsi" w:cstheme="majorBidi"/>
                <w:sz w:val="20"/>
                <w:szCs w:val="20"/>
              </w:rPr>
              <w:t>&lt;1</w:t>
            </w:r>
          </w:p>
        </w:tc>
        <w:tc>
          <w:tcPr>
            <w:tcW w:w="946" w:type="pct"/>
            <w:shd w:val="clear" w:color="auto" w:fill="D9D9D9" w:themeFill="background1" w:themeFillShade="D9"/>
          </w:tcPr>
          <w:p w14:paraId="599D7837" w14:textId="77777777" w:rsidR="00A2332E" w:rsidRPr="00E738A6" w:rsidRDefault="00A2332E" w:rsidP="005F6ADC">
            <w:pPr>
              <w:jc w:val="right"/>
              <w:rPr>
                <w:rFonts w:asciiTheme="majorHAnsi" w:hAnsiTheme="majorHAnsi" w:cstheme="majorBidi"/>
                <w:sz w:val="20"/>
                <w:szCs w:val="20"/>
              </w:rPr>
            </w:pPr>
            <w:r w:rsidRPr="28DBFA00">
              <w:rPr>
                <w:rFonts w:asciiTheme="majorHAnsi" w:hAnsiTheme="majorHAnsi" w:cstheme="majorBidi"/>
                <w:sz w:val="20"/>
                <w:szCs w:val="20"/>
              </w:rPr>
              <w:t>&lt;1</w:t>
            </w:r>
          </w:p>
        </w:tc>
      </w:tr>
      <w:tr w:rsidR="00A2332E" w:rsidRPr="00E738A6" w14:paraId="2EC3D38C" w14:textId="77777777" w:rsidTr="005F6ADC">
        <w:tc>
          <w:tcPr>
            <w:tcW w:w="1183" w:type="pct"/>
          </w:tcPr>
          <w:p w14:paraId="3E1E078D" w14:textId="77777777" w:rsidR="00A2332E" w:rsidRPr="00E738A6" w:rsidRDefault="00A2332E" w:rsidP="005F6ADC">
            <w:pPr>
              <w:rPr>
                <w:rFonts w:asciiTheme="majorHAnsi" w:hAnsiTheme="majorHAnsi" w:cstheme="majorBidi"/>
                <w:sz w:val="20"/>
                <w:szCs w:val="20"/>
              </w:rPr>
            </w:pPr>
            <w:r w:rsidRPr="28DBFA00">
              <w:rPr>
                <w:rFonts w:asciiTheme="majorHAnsi" w:hAnsiTheme="majorHAnsi" w:cstheme="majorBidi"/>
                <w:sz w:val="20"/>
                <w:szCs w:val="20"/>
              </w:rPr>
              <w:t>Aboriginal and Torres Strait Islander Education Worker</w:t>
            </w:r>
          </w:p>
        </w:tc>
        <w:tc>
          <w:tcPr>
            <w:tcW w:w="957" w:type="pct"/>
          </w:tcPr>
          <w:p w14:paraId="2114779A" w14:textId="77777777" w:rsidR="00A2332E" w:rsidRPr="00E738A6" w:rsidRDefault="00A2332E" w:rsidP="005F6ADC">
            <w:pPr>
              <w:jc w:val="right"/>
              <w:rPr>
                <w:rFonts w:asciiTheme="majorHAnsi" w:hAnsiTheme="majorHAnsi" w:cstheme="majorBidi"/>
                <w:sz w:val="20"/>
                <w:szCs w:val="20"/>
              </w:rPr>
            </w:pPr>
            <w:r w:rsidRPr="28DBFA00">
              <w:rPr>
                <w:rFonts w:asciiTheme="majorHAnsi" w:hAnsiTheme="majorHAnsi" w:cstheme="majorBidi"/>
                <w:sz w:val="20"/>
                <w:szCs w:val="20"/>
              </w:rPr>
              <w:t>80.7</w:t>
            </w:r>
          </w:p>
        </w:tc>
        <w:tc>
          <w:tcPr>
            <w:tcW w:w="967" w:type="pct"/>
          </w:tcPr>
          <w:p w14:paraId="293D1E72" w14:textId="77777777" w:rsidR="00A2332E" w:rsidRPr="00E738A6" w:rsidRDefault="00A2332E" w:rsidP="005F6ADC">
            <w:pPr>
              <w:jc w:val="right"/>
              <w:rPr>
                <w:rFonts w:asciiTheme="majorHAnsi" w:hAnsiTheme="majorHAnsi" w:cstheme="majorBidi"/>
                <w:sz w:val="20"/>
                <w:szCs w:val="20"/>
              </w:rPr>
            </w:pPr>
            <w:r w:rsidRPr="28DBFA00">
              <w:rPr>
                <w:rFonts w:asciiTheme="majorHAnsi" w:hAnsiTheme="majorHAnsi" w:cstheme="majorBidi"/>
                <w:sz w:val="20"/>
                <w:szCs w:val="20"/>
              </w:rPr>
              <w:t>&lt;1</w:t>
            </w:r>
          </w:p>
        </w:tc>
        <w:tc>
          <w:tcPr>
            <w:tcW w:w="947" w:type="pct"/>
          </w:tcPr>
          <w:p w14:paraId="28C5CA8A" w14:textId="77777777" w:rsidR="00A2332E" w:rsidRPr="00E738A6" w:rsidRDefault="00A2332E" w:rsidP="005F6ADC">
            <w:pPr>
              <w:jc w:val="right"/>
              <w:rPr>
                <w:rFonts w:asciiTheme="majorHAnsi" w:hAnsiTheme="majorHAnsi" w:cstheme="majorBidi"/>
                <w:sz w:val="20"/>
                <w:szCs w:val="20"/>
              </w:rPr>
            </w:pPr>
            <w:r w:rsidRPr="28DBFA00">
              <w:rPr>
                <w:rFonts w:asciiTheme="majorHAnsi" w:hAnsiTheme="majorHAnsi" w:cstheme="majorBidi"/>
                <w:sz w:val="20"/>
                <w:szCs w:val="20"/>
              </w:rPr>
              <w:t>&lt;1</w:t>
            </w:r>
          </w:p>
        </w:tc>
        <w:tc>
          <w:tcPr>
            <w:tcW w:w="946" w:type="pct"/>
          </w:tcPr>
          <w:p w14:paraId="46F7E2C7" w14:textId="77777777" w:rsidR="00A2332E" w:rsidRPr="00E738A6" w:rsidRDefault="00A2332E" w:rsidP="005F6ADC">
            <w:pPr>
              <w:jc w:val="right"/>
              <w:rPr>
                <w:rFonts w:asciiTheme="majorHAnsi" w:hAnsiTheme="majorHAnsi" w:cstheme="majorBidi"/>
                <w:sz w:val="20"/>
                <w:szCs w:val="20"/>
              </w:rPr>
            </w:pPr>
            <w:r w:rsidRPr="28DBFA00">
              <w:rPr>
                <w:rFonts w:asciiTheme="majorHAnsi" w:hAnsiTheme="majorHAnsi" w:cstheme="majorBidi"/>
                <w:sz w:val="20"/>
                <w:szCs w:val="20"/>
              </w:rPr>
              <w:t>&lt;1</w:t>
            </w:r>
          </w:p>
        </w:tc>
      </w:tr>
      <w:tr w:rsidR="00A2332E" w:rsidRPr="00E738A6" w14:paraId="65195D36" w14:textId="77777777" w:rsidTr="005F6ADC">
        <w:tc>
          <w:tcPr>
            <w:tcW w:w="1183" w:type="pct"/>
            <w:shd w:val="clear" w:color="auto" w:fill="D9D9D9" w:themeFill="background1" w:themeFillShade="D9"/>
          </w:tcPr>
          <w:p w14:paraId="299760E0" w14:textId="77777777" w:rsidR="00A2332E" w:rsidRPr="00E738A6" w:rsidRDefault="00A2332E" w:rsidP="005F6ADC">
            <w:pPr>
              <w:rPr>
                <w:rFonts w:asciiTheme="majorHAnsi" w:hAnsiTheme="majorHAnsi" w:cstheme="majorBidi"/>
                <w:sz w:val="20"/>
                <w:szCs w:val="20"/>
              </w:rPr>
            </w:pPr>
            <w:bookmarkStart w:id="224" w:name="_Int_7E8TRwH0"/>
            <w:r w:rsidRPr="28DBFA00">
              <w:rPr>
                <w:rFonts w:asciiTheme="majorHAnsi" w:hAnsiTheme="majorHAnsi" w:cstheme="majorBidi"/>
                <w:sz w:val="20"/>
                <w:szCs w:val="20"/>
              </w:rPr>
              <w:t>Child Care</w:t>
            </w:r>
            <w:bookmarkEnd w:id="224"/>
            <w:r w:rsidRPr="28DBFA00">
              <w:rPr>
                <w:rFonts w:asciiTheme="majorHAnsi" w:hAnsiTheme="majorHAnsi" w:cstheme="majorBidi"/>
                <w:sz w:val="20"/>
                <w:szCs w:val="20"/>
              </w:rPr>
              <w:t xml:space="preserve"> Centre Manager</w:t>
            </w:r>
          </w:p>
        </w:tc>
        <w:tc>
          <w:tcPr>
            <w:tcW w:w="957" w:type="pct"/>
            <w:shd w:val="clear" w:color="auto" w:fill="D9D9D9" w:themeFill="background1" w:themeFillShade="D9"/>
          </w:tcPr>
          <w:p w14:paraId="2F6C4200" w14:textId="77777777" w:rsidR="00A2332E" w:rsidRPr="00E738A6" w:rsidRDefault="00A2332E" w:rsidP="005F6ADC">
            <w:pPr>
              <w:jc w:val="right"/>
              <w:rPr>
                <w:rFonts w:asciiTheme="majorHAnsi" w:hAnsiTheme="majorHAnsi" w:cstheme="majorBidi"/>
                <w:sz w:val="20"/>
                <w:szCs w:val="20"/>
              </w:rPr>
            </w:pPr>
            <w:r w:rsidRPr="28DBFA00">
              <w:rPr>
                <w:rFonts w:asciiTheme="majorHAnsi" w:hAnsiTheme="majorHAnsi" w:cstheme="majorBidi"/>
                <w:sz w:val="20"/>
                <w:szCs w:val="20"/>
              </w:rPr>
              <w:t>8.3</w:t>
            </w:r>
          </w:p>
        </w:tc>
        <w:tc>
          <w:tcPr>
            <w:tcW w:w="967" w:type="pct"/>
            <w:shd w:val="clear" w:color="auto" w:fill="D9D9D9" w:themeFill="background1" w:themeFillShade="D9"/>
          </w:tcPr>
          <w:p w14:paraId="672CBE8F" w14:textId="77777777" w:rsidR="00A2332E" w:rsidRPr="00E738A6" w:rsidRDefault="00A2332E" w:rsidP="005F6ADC">
            <w:pPr>
              <w:jc w:val="right"/>
              <w:rPr>
                <w:rFonts w:asciiTheme="majorHAnsi" w:hAnsiTheme="majorHAnsi" w:cstheme="majorBidi"/>
                <w:sz w:val="20"/>
                <w:szCs w:val="20"/>
              </w:rPr>
            </w:pPr>
            <w:r w:rsidRPr="28DBFA00">
              <w:rPr>
                <w:rFonts w:asciiTheme="majorHAnsi" w:hAnsiTheme="majorHAnsi" w:cstheme="majorBidi"/>
                <w:sz w:val="20"/>
                <w:szCs w:val="20"/>
              </w:rPr>
              <w:t>2.1</w:t>
            </w:r>
          </w:p>
        </w:tc>
        <w:tc>
          <w:tcPr>
            <w:tcW w:w="947" w:type="pct"/>
            <w:shd w:val="clear" w:color="auto" w:fill="D9D9D9" w:themeFill="background1" w:themeFillShade="D9"/>
          </w:tcPr>
          <w:p w14:paraId="3A975582" w14:textId="77777777" w:rsidR="00A2332E" w:rsidRPr="00E738A6" w:rsidRDefault="00A2332E" w:rsidP="005F6ADC">
            <w:pPr>
              <w:jc w:val="right"/>
              <w:rPr>
                <w:rFonts w:asciiTheme="majorHAnsi" w:hAnsiTheme="majorHAnsi" w:cstheme="majorBidi"/>
                <w:sz w:val="20"/>
                <w:szCs w:val="20"/>
              </w:rPr>
            </w:pPr>
            <w:r w:rsidRPr="28DBFA00">
              <w:rPr>
                <w:rFonts w:asciiTheme="majorHAnsi" w:hAnsiTheme="majorHAnsi" w:cstheme="majorBidi"/>
                <w:sz w:val="20"/>
                <w:szCs w:val="20"/>
              </w:rPr>
              <w:t>2.3</w:t>
            </w:r>
          </w:p>
        </w:tc>
        <w:tc>
          <w:tcPr>
            <w:tcW w:w="946" w:type="pct"/>
            <w:shd w:val="clear" w:color="auto" w:fill="D9D9D9" w:themeFill="background1" w:themeFillShade="D9"/>
          </w:tcPr>
          <w:p w14:paraId="5AB822BC" w14:textId="77777777" w:rsidR="00A2332E" w:rsidRPr="00E738A6" w:rsidRDefault="00A2332E" w:rsidP="005F6ADC">
            <w:pPr>
              <w:jc w:val="right"/>
              <w:rPr>
                <w:rFonts w:asciiTheme="majorHAnsi" w:hAnsiTheme="majorHAnsi" w:cstheme="majorBidi"/>
                <w:sz w:val="20"/>
                <w:szCs w:val="20"/>
              </w:rPr>
            </w:pPr>
            <w:r w:rsidRPr="28DBFA00">
              <w:rPr>
                <w:rFonts w:asciiTheme="majorHAnsi" w:hAnsiTheme="majorHAnsi" w:cstheme="majorBidi"/>
                <w:sz w:val="20"/>
                <w:szCs w:val="20"/>
              </w:rPr>
              <w:t>&lt;1</w:t>
            </w:r>
          </w:p>
        </w:tc>
      </w:tr>
      <w:tr w:rsidR="00A2332E" w:rsidRPr="00E738A6" w14:paraId="3F6FACA5" w14:textId="77777777" w:rsidTr="005F6ADC">
        <w:tc>
          <w:tcPr>
            <w:tcW w:w="1183" w:type="pct"/>
            <w:tcBorders>
              <w:bottom w:val="single" w:sz="4" w:space="0" w:color="auto"/>
            </w:tcBorders>
          </w:tcPr>
          <w:p w14:paraId="1919D56F" w14:textId="77777777" w:rsidR="00A2332E" w:rsidRPr="00E738A6" w:rsidRDefault="00A2332E" w:rsidP="005F6ADC">
            <w:pPr>
              <w:rPr>
                <w:rFonts w:asciiTheme="majorHAnsi" w:hAnsiTheme="majorHAnsi" w:cstheme="majorBidi"/>
                <w:b/>
                <w:bCs/>
                <w:sz w:val="20"/>
                <w:szCs w:val="20"/>
              </w:rPr>
            </w:pPr>
            <w:r w:rsidRPr="28DBFA00">
              <w:rPr>
                <w:rFonts w:asciiTheme="majorHAnsi" w:hAnsiTheme="majorHAnsi" w:cstheme="majorBidi"/>
                <w:b/>
                <w:bCs/>
                <w:sz w:val="20"/>
                <w:szCs w:val="20"/>
              </w:rPr>
              <w:t>Total (selected ECEC occupations)</w:t>
            </w:r>
          </w:p>
        </w:tc>
        <w:tc>
          <w:tcPr>
            <w:tcW w:w="957" w:type="pct"/>
            <w:tcBorders>
              <w:bottom w:val="single" w:sz="4" w:space="0" w:color="auto"/>
            </w:tcBorders>
          </w:tcPr>
          <w:p w14:paraId="0F1DBD9F" w14:textId="77777777" w:rsidR="00A2332E" w:rsidRPr="00E738A6" w:rsidRDefault="00A2332E" w:rsidP="005F6ADC">
            <w:pPr>
              <w:jc w:val="right"/>
              <w:rPr>
                <w:rFonts w:asciiTheme="majorHAnsi" w:hAnsiTheme="majorHAnsi" w:cstheme="majorBidi"/>
                <w:b/>
                <w:bCs/>
                <w:sz w:val="20"/>
                <w:szCs w:val="20"/>
              </w:rPr>
            </w:pPr>
            <w:r w:rsidRPr="28DBFA00">
              <w:rPr>
                <w:rFonts w:asciiTheme="majorHAnsi" w:hAnsiTheme="majorHAnsi" w:cstheme="majorBidi"/>
                <w:sz w:val="20"/>
                <w:szCs w:val="20"/>
              </w:rPr>
              <w:t>9.5</w:t>
            </w:r>
          </w:p>
        </w:tc>
        <w:tc>
          <w:tcPr>
            <w:tcW w:w="967" w:type="pct"/>
            <w:tcBorders>
              <w:bottom w:val="single" w:sz="4" w:space="0" w:color="auto"/>
            </w:tcBorders>
          </w:tcPr>
          <w:p w14:paraId="03003C61" w14:textId="77777777" w:rsidR="00A2332E" w:rsidRPr="00E738A6" w:rsidRDefault="00A2332E" w:rsidP="005F6ADC">
            <w:pPr>
              <w:jc w:val="right"/>
              <w:rPr>
                <w:rFonts w:asciiTheme="majorHAnsi" w:hAnsiTheme="majorHAnsi" w:cstheme="majorBidi"/>
                <w:b/>
                <w:bCs/>
                <w:sz w:val="20"/>
                <w:szCs w:val="20"/>
              </w:rPr>
            </w:pPr>
            <w:r w:rsidRPr="28DBFA00">
              <w:rPr>
                <w:rFonts w:asciiTheme="majorHAnsi" w:hAnsiTheme="majorHAnsi" w:cstheme="majorBidi"/>
                <w:sz w:val="20"/>
                <w:szCs w:val="20"/>
              </w:rPr>
              <w:t>2.0</w:t>
            </w:r>
          </w:p>
        </w:tc>
        <w:tc>
          <w:tcPr>
            <w:tcW w:w="947" w:type="pct"/>
            <w:tcBorders>
              <w:bottom w:val="single" w:sz="4" w:space="0" w:color="auto"/>
            </w:tcBorders>
          </w:tcPr>
          <w:p w14:paraId="3B1910E2" w14:textId="77777777" w:rsidR="00A2332E" w:rsidRPr="00E738A6" w:rsidRDefault="00A2332E" w:rsidP="005F6ADC">
            <w:pPr>
              <w:jc w:val="right"/>
              <w:rPr>
                <w:rFonts w:asciiTheme="majorHAnsi" w:hAnsiTheme="majorHAnsi" w:cstheme="majorBidi"/>
                <w:b/>
                <w:bCs/>
                <w:sz w:val="20"/>
                <w:szCs w:val="20"/>
              </w:rPr>
            </w:pPr>
            <w:r w:rsidRPr="28DBFA00">
              <w:rPr>
                <w:rFonts w:asciiTheme="majorHAnsi" w:hAnsiTheme="majorHAnsi" w:cstheme="majorBidi"/>
                <w:sz w:val="20"/>
                <w:szCs w:val="20"/>
              </w:rPr>
              <w:t>1.5</w:t>
            </w:r>
          </w:p>
        </w:tc>
        <w:tc>
          <w:tcPr>
            <w:tcW w:w="946" w:type="pct"/>
            <w:tcBorders>
              <w:bottom w:val="single" w:sz="4" w:space="0" w:color="auto"/>
            </w:tcBorders>
          </w:tcPr>
          <w:p w14:paraId="4BA9780F" w14:textId="77777777" w:rsidR="00A2332E" w:rsidRPr="00E738A6" w:rsidRDefault="00A2332E" w:rsidP="005F6ADC">
            <w:pPr>
              <w:jc w:val="right"/>
              <w:rPr>
                <w:rFonts w:asciiTheme="majorHAnsi" w:hAnsiTheme="majorHAnsi" w:cstheme="majorBidi"/>
                <w:b/>
                <w:bCs/>
                <w:sz w:val="20"/>
                <w:szCs w:val="20"/>
              </w:rPr>
            </w:pPr>
            <w:r w:rsidRPr="28DBFA00">
              <w:rPr>
                <w:rFonts w:asciiTheme="majorHAnsi" w:hAnsiTheme="majorHAnsi" w:cstheme="majorBidi"/>
                <w:sz w:val="20"/>
                <w:szCs w:val="20"/>
              </w:rPr>
              <w:t>1.4</w:t>
            </w:r>
          </w:p>
        </w:tc>
      </w:tr>
    </w:tbl>
    <w:p w14:paraId="3A3EFD93" w14:textId="77777777" w:rsidR="00A2332E" w:rsidRDefault="00A2332E" w:rsidP="00A2332E">
      <w:pPr>
        <w:pStyle w:val="Source"/>
      </w:pPr>
      <w:r>
        <w:t>Source: ABS, Census of Population and Housing, 2021</w:t>
      </w:r>
    </w:p>
    <w:p w14:paraId="4EC000DB" w14:textId="77777777" w:rsidR="00A2332E" w:rsidRDefault="00A2332E">
      <w:pPr>
        <w:rPr>
          <w:rFonts w:eastAsiaTheme="majorEastAsia" w:cstheme="majorBidi"/>
          <w:b/>
          <w:sz w:val="44"/>
          <w:szCs w:val="26"/>
        </w:rPr>
      </w:pPr>
      <w:bookmarkStart w:id="225" w:name="_Toc170464045"/>
      <w:r>
        <w:br w:type="page"/>
      </w:r>
    </w:p>
    <w:p w14:paraId="7E24A93B" w14:textId="7E9FAD15" w:rsidR="00A2332E" w:rsidRDefault="00A2332E" w:rsidP="00A2332E">
      <w:pPr>
        <w:pStyle w:val="Heading2"/>
      </w:pPr>
      <w:bookmarkStart w:id="226" w:name="_Toc174363733"/>
      <w:r>
        <w:lastRenderedPageBreak/>
        <w:t>Modelling approach - further details</w:t>
      </w:r>
      <w:bookmarkEnd w:id="225"/>
      <w:bookmarkEnd w:id="226"/>
    </w:p>
    <w:p w14:paraId="5F7D3A50" w14:textId="4FB9F077" w:rsidR="00A2332E" w:rsidRDefault="00A2332E" w:rsidP="00A2332E">
      <w:pPr>
        <w:rPr>
          <w:rFonts w:ascii="Calibri" w:hAnsi="Calibri"/>
          <w:color w:val="auto"/>
          <w:sz w:val="18"/>
          <w:szCs w:val="18"/>
        </w:rPr>
      </w:pPr>
      <w:r w:rsidRPr="006D4A83">
        <w:rPr>
          <w:rFonts w:asciiTheme="majorHAnsi" w:hAnsiTheme="majorHAnsi" w:cstheme="majorHAnsi"/>
        </w:rPr>
        <w:t xml:space="preserve">The modelled ECEC workforce captures ECEC-specific ANZSCO occupations (4 digit) such as </w:t>
      </w:r>
      <w:r w:rsidRPr="006D4A83">
        <w:rPr>
          <w:rFonts w:asciiTheme="majorHAnsi" w:hAnsiTheme="majorHAnsi" w:cstheme="majorHAnsi"/>
          <w:i/>
          <w:iCs/>
        </w:rPr>
        <w:t xml:space="preserve">Child Carers, Early Childhood Teachers, Child Care </w:t>
      </w:r>
      <w:r>
        <w:rPr>
          <w:rFonts w:asciiTheme="majorHAnsi" w:hAnsiTheme="majorHAnsi" w:cstheme="majorHAnsi"/>
          <w:i/>
          <w:iCs/>
        </w:rPr>
        <w:t xml:space="preserve">Centre </w:t>
      </w:r>
      <w:r w:rsidRPr="006D4A83">
        <w:rPr>
          <w:rFonts w:asciiTheme="majorHAnsi" w:hAnsiTheme="majorHAnsi" w:cstheme="majorHAnsi"/>
          <w:i/>
          <w:iCs/>
        </w:rPr>
        <w:t>Managers and Education Aides</w:t>
      </w:r>
      <w:r w:rsidRPr="006D4A83">
        <w:rPr>
          <w:rFonts w:asciiTheme="majorHAnsi" w:hAnsiTheme="majorHAnsi" w:cstheme="majorHAnsi"/>
        </w:rPr>
        <w:t xml:space="preserve"> directly in formal care services, defined within a subset of industries. The full scope of the ECEC workforce modelled is</w:t>
      </w:r>
      <w:r>
        <w:rPr>
          <w:rFonts w:asciiTheme="majorHAnsi" w:hAnsiTheme="majorHAnsi" w:cstheme="majorHAnsi"/>
        </w:rPr>
        <w:t xml:space="preserve"> summarised</w:t>
      </w:r>
      <w:r w:rsidRPr="006D4A83">
        <w:rPr>
          <w:rFonts w:asciiTheme="majorHAnsi" w:hAnsiTheme="majorHAnsi" w:cstheme="majorHAnsi"/>
        </w:rPr>
        <w:t xml:space="preserve"> in Table </w:t>
      </w:r>
      <w:r w:rsidR="005757D3">
        <w:rPr>
          <w:rFonts w:asciiTheme="majorHAnsi" w:hAnsiTheme="majorHAnsi" w:cstheme="majorHAnsi"/>
        </w:rPr>
        <w:t>8</w:t>
      </w:r>
      <w:r w:rsidRPr="006D4A83">
        <w:rPr>
          <w:rFonts w:asciiTheme="majorHAnsi" w:hAnsiTheme="majorHAnsi" w:cstheme="majorHAnsi"/>
        </w:rPr>
        <w:t xml:space="preserve"> below.</w:t>
      </w:r>
      <w:r>
        <w:rPr>
          <w:rFonts w:asciiTheme="majorHAnsi" w:hAnsiTheme="majorHAnsi" w:cstheme="majorHAnsi"/>
        </w:rPr>
        <w:t xml:space="preserve"> </w:t>
      </w:r>
      <w:r>
        <w:t>Based on this definition of occupations and sectors, the starting point – in terms of the levels of employment – is informed by the Australian Bureau of Statistics Census of Population and Housing (2021).</w:t>
      </w:r>
    </w:p>
    <w:p w14:paraId="6232EEE5" w14:textId="77777777" w:rsidR="00A2332E" w:rsidRDefault="00A2332E" w:rsidP="00A2332E">
      <w:pPr>
        <w:rPr>
          <w:rFonts w:asciiTheme="majorHAnsi" w:hAnsiTheme="majorHAnsi" w:cstheme="majorHAnsi"/>
        </w:rPr>
      </w:pPr>
    </w:p>
    <w:p w14:paraId="5703AD3E" w14:textId="779F6D27" w:rsidR="00A2332E" w:rsidRPr="0081402A" w:rsidRDefault="00A2332E" w:rsidP="00A2332E">
      <w:pPr>
        <w:rPr>
          <w:rFonts w:asciiTheme="majorHAnsi" w:hAnsiTheme="majorHAnsi" w:cstheme="majorHAnsi"/>
        </w:rPr>
      </w:pPr>
      <w:bookmarkStart w:id="227" w:name="_Toc163195126"/>
      <w:bookmarkStart w:id="228" w:name="_Ref163543462"/>
      <w:r w:rsidRPr="00E23CA0">
        <w:rPr>
          <w:rFonts w:asciiTheme="minorHAnsi" w:hAnsiTheme="minorHAnsi" w:cstheme="minorHAnsi"/>
          <w:b/>
          <w:bCs/>
          <w:color w:val="auto"/>
          <w:sz w:val="18"/>
          <w:szCs w:val="18"/>
        </w:rPr>
        <w:t xml:space="preserve">Table </w:t>
      </w:r>
      <w:r w:rsidR="005757D3">
        <w:rPr>
          <w:rFonts w:asciiTheme="minorHAnsi" w:hAnsiTheme="minorHAnsi" w:cstheme="minorHAnsi"/>
          <w:b/>
          <w:bCs/>
          <w:color w:val="auto"/>
          <w:sz w:val="18"/>
          <w:szCs w:val="18"/>
        </w:rPr>
        <w:t>8</w:t>
      </w:r>
      <w:r w:rsidRPr="00E23CA0">
        <w:rPr>
          <w:rFonts w:asciiTheme="minorHAnsi" w:hAnsiTheme="minorHAnsi" w:cstheme="minorHAnsi"/>
          <w:b/>
          <w:bCs/>
          <w:color w:val="auto"/>
          <w:sz w:val="18"/>
          <w:szCs w:val="18"/>
        </w:rPr>
        <w:t xml:space="preserve">: ECEC workforce modelling scope </w:t>
      </w:r>
      <w:r>
        <w:rPr>
          <w:rFonts w:asciiTheme="minorHAnsi" w:hAnsiTheme="minorHAnsi" w:cstheme="minorHAnsi"/>
          <w:b/>
          <w:bCs/>
          <w:color w:val="auto"/>
          <w:sz w:val="18"/>
          <w:szCs w:val="18"/>
        </w:rPr>
        <w:t>by ANZSCO and ANZSIC</w:t>
      </w:r>
      <w:bookmarkEnd w:id="227"/>
      <w:bookmarkEnd w:id="228"/>
    </w:p>
    <w:tbl>
      <w:tblPr>
        <w:tblStyle w:val="JSATable1"/>
        <w:tblW w:w="5104" w:type="pct"/>
        <w:jc w:val="center"/>
        <w:tblLayout w:type="fixed"/>
        <w:tblLook w:val="04A0" w:firstRow="1" w:lastRow="0" w:firstColumn="1" w:lastColumn="0" w:noHBand="0" w:noVBand="1"/>
      </w:tblPr>
      <w:tblGrid>
        <w:gridCol w:w="1695"/>
        <w:gridCol w:w="1467"/>
        <w:gridCol w:w="1467"/>
        <w:gridCol w:w="1467"/>
        <w:gridCol w:w="1467"/>
        <w:gridCol w:w="1651"/>
      </w:tblGrid>
      <w:tr w:rsidR="00A2332E" w14:paraId="3D7E1F60" w14:textId="77777777" w:rsidTr="005F6ADC">
        <w:trPr>
          <w:cnfStyle w:val="100000000000" w:firstRow="1" w:lastRow="0" w:firstColumn="0" w:lastColumn="0" w:oddVBand="0" w:evenVBand="0" w:oddHBand="0" w:evenHBand="0" w:firstRowFirstColumn="0" w:firstRowLastColumn="0" w:lastRowFirstColumn="0" w:lastRowLastColumn="0"/>
          <w:trHeight w:val="233"/>
          <w:jc w:val="center"/>
        </w:trPr>
        <w:tc>
          <w:tcPr>
            <w:tcW w:w="920" w:type="pct"/>
            <w:vMerge w:val="restart"/>
            <w:hideMark/>
          </w:tcPr>
          <w:p w14:paraId="431A0C80" w14:textId="77777777" w:rsidR="00A2332E" w:rsidRPr="00ED480B" w:rsidRDefault="00A2332E" w:rsidP="005F6ADC">
            <w:pPr>
              <w:keepNext/>
              <w:rPr>
                <w:rFonts w:asciiTheme="minorHAnsi" w:hAnsiTheme="minorHAnsi" w:cstheme="minorHAnsi"/>
                <w:b/>
                <w:bCs/>
                <w:color w:val="FFFFFF" w:themeColor="background1"/>
                <w:sz w:val="20"/>
                <w:szCs w:val="20"/>
                <w:lang w:val="en-GB"/>
              </w:rPr>
            </w:pPr>
            <w:r w:rsidRPr="00ED480B">
              <w:rPr>
                <w:rFonts w:asciiTheme="minorHAnsi" w:hAnsiTheme="minorHAnsi" w:cstheme="minorHAnsi"/>
                <w:b/>
                <w:bCs/>
                <w:color w:val="FFFFFF" w:themeColor="background1"/>
                <w:sz w:val="20"/>
                <w:szCs w:val="20"/>
                <w:lang w:val="en-GB"/>
              </w:rPr>
              <w:t>Occupation</w:t>
            </w:r>
          </w:p>
          <w:p w14:paraId="595E5055" w14:textId="77777777" w:rsidR="00A2332E" w:rsidRPr="00ED480B" w:rsidRDefault="00A2332E" w:rsidP="005F6ADC">
            <w:pPr>
              <w:keepNext/>
              <w:rPr>
                <w:rFonts w:asciiTheme="minorHAnsi" w:hAnsiTheme="minorHAnsi" w:cstheme="minorHAnsi"/>
                <w:b/>
                <w:bCs/>
                <w:color w:val="FFFFFF" w:themeColor="background1"/>
                <w:sz w:val="20"/>
                <w:szCs w:val="20"/>
                <w:lang w:val="en-GB"/>
              </w:rPr>
            </w:pPr>
            <w:r w:rsidRPr="00ED480B">
              <w:rPr>
                <w:rFonts w:asciiTheme="minorHAnsi" w:hAnsiTheme="minorHAnsi" w:cstheme="minorHAnsi"/>
                <w:b/>
                <w:bCs/>
                <w:color w:val="FFFFFF" w:themeColor="background1"/>
                <w:sz w:val="20"/>
                <w:szCs w:val="20"/>
                <w:lang w:val="en-GB"/>
              </w:rPr>
              <w:t>(6-digit ANZSCO)</w:t>
            </w:r>
          </w:p>
        </w:tc>
        <w:tc>
          <w:tcPr>
            <w:tcW w:w="4080" w:type="pct"/>
            <w:gridSpan w:val="5"/>
            <w:hideMark/>
          </w:tcPr>
          <w:p w14:paraId="123CB1CF" w14:textId="77777777" w:rsidR="00A2332E" w:rsidRPr="00ED480B" w:rsidRDefault="00A2332E" w:rsidP="005F6ADC">
            <w:pPr>
              <w:keepNext/>
              <w:jc w:val="center"/>
              <w:rPr>
                <w:rFonts w:asciiTheme="minorHAnsi" w:hAnsiTheme="minorHAnsi" w:cstheme="minorHAnsi"/>
                <w:b/>
                <w:bCs/>
                <w:color w:val="FFFFFF" w:themeColor="background1"/>
                <w:sz w:val="20"/>
                <w:szCs w:val="20"/>
                <w:lang w:val="en-GB"/>
              </w:rPr>
            </w:pPr>
            <w:r w:rsidRPr="00ED480B">
              <w:rPr>
                <w:rFonts w:asciiTheme="minorHAnsi" w:hAnsiTheme="minorHAnsi" w:cstheme="minorHAnsi"/>
                <w:b/>
                <w:bCs/>
                <w:color w:val="FFFFFF" w:themeColor="background1"/>
                <w:sz w:val="20"/>
                <w:szCs w:val="20"/>
                <w:lang w:val="en-GB"/>
              </w:rPr>
              <w:t>Industry (4-digit ANZSIC)</w:t>
            </w:r>
          </w:p>
        </w:tc>
      </w:tr>
      <w:tr w:rsidR="00A2332E" w14:paraId="6687B838" w14:textId="77777777" w:rsidTr="005F6ADC">
        <w:trPr>
          <w:trHeight w:val="464"/>
          <w:jc w:val="center"/>
        </w:trPr>
        <w:tc>
          <w:tcPr>
            <w:tcW w:w="920" w:type="pct"/>
            <w:vMerge/>
            <w:hideMark/>
          </w:tcPr>
          <w:p w14:paraId="2A86832A" w14:textId="77777777" w:rsidR="00A2332E" w:rsidRPr="00ED480B" w:rsidRDefault="00A2332E" w:rsidP="005F6ADC">
            <w:pPr>
              <w:rPr>
                <w:rFonts w:asciiTheme="minorHAnsi" w:hAnsiTheme="minorHAnsi" w:cstheme="minorHAnsi"/>
                <w:b/>
                <w:bCs/>
                <w:color w:val="FFFFFF" w:themeColor="background1"/>
                <w:sz w:val="20"/>
                <w:szCs w:val="20"/>
                <w:lang w:val="en-GB"/>
                <w14:ligatures w14:val="standardContextual"/>
              </w:rPr>
            </w:pPr>
          </w:p>
        </w:tc>
        <w:tc>
          <w:tcPr>
            <w:tcW w:w="796" w:type="pct"/>
            <w:shd w:val="clear" w:color="auto" w:fill="2F005F"/>
            <w:hideMark/>
          </w:tcPr>
          <w:p w14:paraId="05629B35" w14:textId="77777777" w:rsidR="00A2332E" w:rsidRPr="00ED480B" w:rsidRDefault="00A2332E" w:rsidP="005F6ADC">
            <w:pPr>
              <w:keepNext/>
              <w:jc w:val="center"/>
              <w:rPr>
                <w:rFonts w:asciiTheme="minorHAnsi" w:hAnsiTheme="minorHAnsi" w:cstheme="minorHAnsi"/>
                <w:b/>
                <w:bCs/>
                <w:i/>
                <w:iCs/>
                <w:color w:val="FFFFFF" w:themeColor="background1"/>
                <w:sz w:val="20"/>
                <w:szCs w:val="20"/>
                <w:lang w:val="en-GB"/>
              </w:rPr>
            </w:pPr>
            <w:r w:rsidRPr="00ED480B">
              <w:rPr>
                <w:rFonts w:asciiTheme="minorHAnsi" w:hAnsiTheme="minorHAnsi" w:cstheme="minorHAnsi"/>
                <w:b/>
                <w:bCs/>
                <w:i/>
                <w:iCs/>
                <w:color w:val="FFFFFF" w:themeColor="background1"/>
                <w:sz w:val="20"/>
                <w:szCs w:val="20"/>
                <w:lang w:val="en-GB"/>
              </w:rPr>
              <w:t>Preschool Education</w:t>
            </w:r>
          </w:p>
        </w:tc>
        <w:tc>
          <w:tcPr>
            <w:tcW w:w="796" w:type="pct"/>
            <w:shd w:val="clear" w:color="auto" w:fill="2F005F"/>
            <w:hideMark/>
          </w:tcPr>
          <w:p w14:paraId="32E8F587" w14:textId="77777777" w:rsidR="00A2332E" w:rsidRPr="00ED480B" w:rsidRDefault="00A2332E" w:rsidP="005F6ADC">
            <w:pPr>
              <w:keepNext/>
              <w:jc w:val="center"/>
              <w:rPr>
                <w:rFonts w:asciiTheme="minorHAnsi" w:hAnsiTheme="minorHAnsi" w:cstheme="minorHAnsi"/>
                <w:b/>
                <w:bCs/>
                <w:i/>
                <w:iCs/>
                <w:color w:val="FFFFFF" w:themeColor="background1"/>
                <w:sz w:val="20"/>
                <w:szCs w:val="20"/>
                <w:lang w:val="en-GB"/>
              </w:rPr>
            </w:pPr>
            <w:r w:rsidRPr="00ED480B">
              <w:rPr>
                <w:rFonts w:asciiTheme="minorHAnsi" w:hAnsiTheme="minorHAnsi" w:cstheme="minorHAnsi"/>
                <w:b/>
                <w:bCs/>
                <w:i/>
                <w:iCs/>
                <w:color w:val="FFFFFF" w:themeColor="background1"/>
                <w:sz w:val="20"/>
                <w:szCs w:val="20"/>
                <w:lang w:val="en-GB"/>
              </w:rPr>
              <w:t>Child Care Services</w:t>
            </w:r>
          </w:p>
        </w:tc>
        <w:tc>
          <w:tcPr>
            <w:tcW w:w="796" w:type="pct"/>
            <w:shd w:val="clear" w:color="auto" w:fill="2F005F"/>
            <w:hideMark/>
          </w:tcPr>
          <w:p w14:paraId="2E201B81" w14:textId="77777777" w:rsidR="00A2332E" w:rsidRPr="00ED480B" w:rsidRDefault="00A2332E" w:rsidP="005F6ADC">
            <w:pPr>
              <w:keepNext/>
              <w:jc w:val="center"/>
              <w:rPr>
                <w:rFonts w:asciiTheme="minorHAnsi" w:hAnsiTheme="minorHAnsi" w:cstheme="minorHAnsi"/>
                <w:b/>
                <w:bCs/>
                <w:i/>
                <w:iCs/>
                <w:color w:val="FFFFFF" w:themeColor="background1"/>
                <w:sz w:val="20"/>
                <w:szCs w:val="20"/>
                <w:lang w:val="en-GB"/>
              </w:rPr>
            </w:pPr>
            <w:r w:rsidRPr="00ED480B">
              <w:rPr>
                <w:rFonts w:asciiTheme="minorHAnsi" w:hAnsiTheme="minorHAnsi" w:cstheme="minorHAnsi"/>
                <w:b/>
                <w:bCs/>
                <w:i/>
                <w:iCs/>
                <w:color w:val="FFFFFF" w:themeColor="background1"/>
                <w:sz w:val="20"/>
                <w:szCs w:val="20"/>
                <w:lang w:val="en-GB"/>
              </w:rPr>
              <w:t>Primary Education</w:t>
            </w:r>
          </w:p>
        </w:tc>
        <w:tc>
          <w:tcPr>
            <w:tcW w:w="796" w:type="pct"/>
            <w:shd w:val="clear" w:color="auto" w:fill="2F005F"/>
            <w:hideMark/>
          </w:tcPr>
          <w:p w14:paraId="20CBE714" w14:textId="77777777" w:rsidR="00A2332E" w:rsidRPr="00ED480B" w:rsidRDefault="00A2332E" w:rsidP="005F6ADC">
            <w:pPr>
              <w:keepNext/>
              <w:jc w:val="center"/>
              <w:rPr>
                <w:rFonts w:asciiTheme="minorHAnsi" w:hAnsiTheme="minorHAnsi" w:cstheme="minorHAnsi"/>
                <w:b/>
                <w:bCs/>
                <w:i/>
                <w:iCs/>
                <w:color w:val="FFFFFF" w:themeColor="background1"/>
                <w:sz w:val="20"/>
                <w:szCs w:val="20"/>
                <w:lang w:val="en-GB"/>
              </w:rPr>
            </w:pPr>
            <w:r w:rsidRPr="00ED480B">
              <w:rPr>
                <w:rFonts w:asciiTheme="minorHAnsi" w:hAnsiTheme="minorHAnsi" w:cstheme="minorHAnsi"/>
                <w:b/>
                <w:bCs/>
                <w:i/>
                <w:iCs/>
                <w:color w:val="FFFFFF" w:themeColor="background1"/>
                <w:sz w:val="20"/>
                <w:szCs w:val="20"/>
                <w:lang w:val="en-GB"/>
              </w:rPr>
              <w:t>Combined Primary and Secondary Education</w:t>
            </w:r>
          </w:p>
        </w:tc>
        <w:tc>
          <w:tcPr>
            <w:tcW w:w="898" w:type="pct"/>
            <w:shd w:val="clear" w:color="auto" w:fill="2F005F"/>
            <w:hideMark/>
          </w:tcPr>
          <w:p w14:paraId="496C9B1E" w14:textId="77777777" w:rsidR="00A2332E" w:rsidRPr="00ED480B" w:rsidRDefault="00A2332E" w:rsidP="005F6ADC">
            <w:pPr>
              <w:keepNext/>
              <w:jc w:val="center"/>
              <w:rPr>
                <w:rFonts w:asciiTheme="minorHAnsi" w:hAnsiTheme="minorHAnsi" w:cstheme="minorHAnsi"/>
                <w:b/>
                <w:bCs/>
                <w:i/>
                <w:iCs/>
                <w:color w:val="FFFFFF" w:themeColor="background1"/>
                <w:sz w:val="20"/>
                <w:szCs w:val="20"/>
                <w:lang w:val="en-GB"/>
              </w:rPr>
            </w:pPr>
            <w:r w:rsidRPr="00ED480B">
              <w:rPr>
                <w:rFonts w:asciiTheme="minorHAnsi" w:hAnsiTheme="minorHAnsi" w:cstheme="minorHAnsi"/>
                <w:b/>
                <w:bCs/>
                <w:i/>
                <w:iCs/>
                <w:color w:val="FFFFFF" w:themeColor="background1"/>
                <w:sz w:val="20"/>
                <w:szCs w:val="20"/>
                <w:lang w:val="en-GB"/>
              </w:rPr>
              <w:t>Local Government Administration</w:t>
            </w:r>
          </w:p>
        </w:tc>
      </w:tr>
      <w:tr w:rsidR="00A2332E" w14:paraId="4B6DB55C" w14:textId="77777777" w:rsidTr="005F6ADC">
        <w:trPr>
          <w:cnfStyle w:val="000000010000" w:firstRow="0" w:lastRow="0" w:firstColumn="0" w:lastColumn="0" w:oddVBand="0" w:evenVBand="0" w:oddHBand="0" w:evenHBand="1" w:firstRowFirstColumn="0" w:firstRowLastColumn="0" w:lastRowFirstColumn="0" w:lastRowLastColumn="0"/>
          <w:trHeight w:val="325"/>
          <w:jc w:val="center"/>
        </w:trPr>
        <w:tc>
          <w:tcPr>
            <w:tcW w:w="920" w:type="pct"/>
            <w:hideMark/>
          </w:tcPr>
          <w:p w14:paraId="7FB332E0" w14:textId="77777777" w:rsidR="00A2332E" w:rsidRPr="00ED480B" w:rsidRDefault="00A2332E" w:rsidP="005F6ADC">
            <w:pPr>
              <w:keepNext/>
              <w:rPr>
                <w:rFonts w:asciiTheme="minorHAnsi" w:hAnsiTheme="minorHAnsi" w:cstheme="minorHAnsi"/>
                <w:sz w:val="20"/>
                <w:szCs w:val="20"/>
                <w:lang w:val="en-GB"/>
              </w:rPr>
            </w:pPr>
            <w:r w:rsidRPr="00ED480B">
              <w:rPr>
                <w:rFonts w:asciiTheme="minorHAnsi" w:hAnsiTheme="minorHAnsi" w:cstheme="minorHAnsi"/>
                <w:color w:val="000000"/>
                <w:sz w:val="20"/>
                <w:szCs w:val="20"/>
                <w:lang w:val="en-GB"/>
              </w:rPr>
              <w:t>Child Care Centre Manager</w:t>
            </w:r>
          </w:p>
        </w:tc>
        <w:tc>
          <w:tcPr>
            <w:tcW w:w="796" w:type="pct"/>
            <w:hideMark/>
          </w:tcPr>
          <w:p w14:paraId="18B3C938"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796" w:type="pct"/>
            <w:hideMark/>
          </w:tcPr>
          <w:p w14:paraId="443B16FA"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796" w:type="pct"/>
            <w:hideMark/>
          </w:tcPr>
          <w:p w14:paraId="29ED400D"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796" w:type="pct"/>
            <w:hideMark/>
          </w:tcPr>
          <w:p w14:paraId="0DBEF44A"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898" w:type="pct"/>
            <w:hideMark/>
          </w:tcPr>
          <w:p w14:paraId="71AE6BE2"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r>
      <w:tr w:rsidR="00A2332E" w14:paraId="72F2ED1B" w14:textId="77777777" w:rsidTr="005F6ADC">
        <w:trPr>
          <w:trHeight w:val="325"/>
          <w:jc w:val="center"/>
        </w:trPr>
        <w:tc>
          <w:tcPr>
            <w:tcW w:w="920" w:type="pct"/>
            <w:hideMark/>
          </w:tcPr>
          <w:p w14:paraId="4AD378CA" w14:textId="77777777" w:rsidR="00A2332E" w:rsidRPr="00ED480B" w:rsidRDefault="00A2332E" w:rsidP="005F6ADC">
            <w:pPr>
              <w:keepNext/>
              <w:rPr>
                <w:rFonts w:asciiTheme="minorHAnsi" w:hAnsiTheme="minorHAnsi" w:cstheme="minorHAnsi"/>
                <w:sz w:val="20"/>
                <w:szCs w:val="20"/>
                <w:lang w:val="en-GB"/>
              </w:rPr>
            </w:pPr>
            <w:r w:rsidRPr="00ED480B">
              <w:rPr>
                <w:rFonts w:asciiTheme="minorHAnsi" w:hAnsiTheme="minorHAnsi" w:cstheme="minorHAnsi"/>
                <w:color w:val="000000"/>
                <w:sz w:val="20"/>
                <w:szCs w:val="20"/>
                <w:lang w:val="en-GB"/>
              </w:rPr>
              <w:t>Early Childhood (Pre-primary School) Teacher</w:t>
            </w:r>
          </w:p>
        </w:tc>
        <w:tc>
          <w:tcPr>
            <w:tcW w:w="796" w:type="pct"/>
            <w:hideMark/>
          </w:tcPr>
          <w:p w14:paraId="2DCDCC94"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796" w:type="pct"/>
            <w:hideMark/>
          </w:tcPr>
          <w:p w14:paraId="4B2E1285"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796" w:type="pct"/>
            <w:hideMark/>
          </w:tcPr>
          <w:p w14:paraId="41896078"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796" w:type="pct"/>
            <w:hideMark/>
          </w:tcPr>
          <w:p w14:paraId="4E46A180"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898" w:type="pct"/>
            <w:hideMark/>
          </w:tcPr>
          <w:p w14:paraId="06AE9767"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r>
      <w:tr w:rsidR="00A2332E" w14:paraId="4D719A78" w14:textId="77777777" w:rsidTr="005F6ADC">
        <w:trPr>
          <w:cnfStyle w:val="000000010000" w:firstRow="0" w:lastRow="0" w:firstColumn="0" w:lastColumn="0" w:oddVBand="0" w:evenVBand="0" w:oddHBand="0" w:evenHBand="1" w:firstRowFirstColumn="0" w:firstRowLastColumn="0" w:lastRowFirstColumn="0" w:lastRowLastColumn="0"/>
          <w:trHeight w:val="325"/>
          <w:jc w:val="center"/>
        </w:trPr>
        <w:tc>
          <w:tcPr>
            <w:tcW w:w="920" w:type="pct"/>
            <w:hideMark/>
          </w:tcPr>
          <w:p w14:paraId="6C7F28D4" w14:textId="77777777" w:rsidR="00A2332E" w:rsidRPr="00ED480B" w:rsidRDefault="00A2332E" w:rsidP="005F6ADC">
            <w:pPr>
              <w:keepNext/>
              <w:rPr>
                <w:rFonts w:asciiTheme="minorHAnsi" w:hAnsiTheme="minorHAnsi" w:cstheme="minorHAnsi"/>
                <w:sz w:val="20"/>
                <w:szCs w:val="20"/>
                <w:lang w:val="en-GB"/>
              </w:rPr>
            </w:pPr>
            <w:r w:rsidRPr="00ED480B">
              <w:rPr>
                <w:rFonts w:asciiTheme="minorHAnsi" w:hAnsiTheme="minorHAnsi" w:cstheme="minorHAnsi"/>
                <w:color w:val="000000"/>
                <w:sz w:val="20"/>
                <w:szCs w:val="20"/>
                <w:lang w:val="en-GB"/>
              </w:rPr>
              <w:t>Child Care Worker</w:t>
            </w:r>
          </w:p>
        </w:tc>
        <w:tc>
          <w:tcPr>
            <w:tcW w:w="796" w:type="pct"/>
            <w:hideMark/>
          </w:tcPr>
          <w:p w14:paraId="654E4F50"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796" w:type="pct"/>
            <w:hideMark/>
          </w:tcPr>
          <w:p w14:paraId="0845AB79"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796" w:type="pct"/>
            <w:hideMark/>
          </w:tcPr>
          <w:p w14:paraId="73CFFAA6"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796" w:type="pct"/>
            <w:hideMark/>
          </w:tcPr>
          <w:p w14:paraId="0CCFAD44"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898" w:type="pct"/>
            <w:hideMark/>
          </w:tcPr>
          <w:p w14:paraId="1636C007"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r>
      <w:tr w:rsidR="00A2332E" w14:paraId="0ADEAAAD" w14:textId="77777777" w:rsidTr="005F6ADC">
        <w:trPr>
          <w:trHeight w:val="325"/>
          <w:jc w:val="center"/>
        </w:trPr>
        <w:tc>
          <w:tcPr>
            <w:tcW w:w="920" w:type="pct"/>
            <w:hideMark/>
          </w:tcPr>
          <w:p w14:paraId="1A3FC3D7" w14:textId="77777777" w:rsidR="00A2332E" w:rsidRPr="00ED480B" w:rsidRDefault="00A2332E" w:rsidP="005F6ADC">
            <w:pPr>
              <w:keepNext/>
              <w:rPr>
                <w:rFonts w:asciiTheme="minorHAnsi" w:hAnsiTheme="minorHAnsi" w:cstheme="minorHAnsi"/>
                <w:sz w:val="20"/>
                <w:szCs w:val="20"/>
                <w:lang w:val="en-GB"/>
              </w:rPr>
            </w:pPr>
            <w:r w:rsidRPr="00ED480B">
              <w:rPr>
                <w:rFonts w:asciiTheme="minorHAnsi" w:hAnsiTheme="minorHAnsi" w:cstheme="minorHAnsi"/>
                <w:color w:val="000000"/>
                <w:sz w:val="20"/>
                <w:szCs w:val="20"/>
                <w:lang w:val="en-GB"/>
              </w:rPr>
              <w:t>Family Day Care Worker</w:t>
            </w:r>
          </w:p>
        </w:tc>
        <w:tc>
          <w:tcPr>
            <w:tcW w:w="796" w:type="pct"/>
            <w:hideMark/>
          </w:tcPr>
          <w:p w14:paraId="1B48C535"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796" w:type="pct"/>
            <w:hideMark/>
          </w:tcPr>
          <w:p w14:paraId="51C23B46"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796" w:type="pct"/>
            <w:hideMark/>
          </w:tcPr>
          <w:p w14:paraId="2368CF0A"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796" w:type="pct"/>
            <w:hideMark/>
          </w:tcPr>
          <w:p w14:paraId="06DB679C"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898" w:type="pct"/>
            <w:hideMark/>
          </w:tcPr>
          <w:p w14:paraId="2A228F42"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r>
      <w:tr w:rsidR="00A2332E" w14:paraId="5591A669" w14:textId="77777777" w:rsidTr="005F6ADC">
        <w:trPr>
          <w:cnfStyle w:val="000000010000" w:firstRow="0" w:lastRow="0" w:firstColumn="0" w:lastColumn="0" w:oddVBand="0" w:evenVBand="0" w:oddHBand="0" w:evenHBand="1" w:firstRowFirstColumn="0" w:firstRowLastColumn="0" w:lastRowFirstColumn="0" w:lastRowLastColumn="0"/>
          <w:trHeight w:val="325"/>
          <w:jc w:val="center"/>
        </w:trPr>
        <w:tc>
          <w:tcPr>
            <w:tcW w:w="920" w:type="pct"/>
            <w:hideMark/>
          </w:tcPr>
          <w:p w14:paraId="1B465E34" w14:textId="77777777" w:rsidR="00A2332E" w:rsidRPr="00ED480B" w:rsidRDefault="00A2332E" w:rsidP="005F6ADC">
            <w:pPr>
              <w:keepNext/>
              <w:rPr>
                <w:rFonts w:asciiTheme="minorHAnsi" w:hAnsiTheme="minorHAnsi" w:cstheme="minorHAnsi"/>
                <w:sz w:val="20"/>
                <w:szCs w:val="20"/>
                <w:lang w:val="en-GB"/>
              </w:rPr>
            </w:pPr>
            <w:r w:rsidRPr="00ED480B">
              <w:rPr>
                <w:rFonts w:asciiTheme="minorHAnsi" w:hAnsiTheme="minorHAnsi" w:cstheme="minorHAnsi"/>
                <w:color w:val="000000"/>
                <w:sz w:val="20"/>
                <w:szCs w:val="20"/>
                <w:lang w:val="en-GB"/>
              </w:rPr>
              <w:t>Nanny</w:t>
            </w:r>
          </w:p>
        </w:tc>
        <w:tc>
          <w:tcPr>
            <w:tcW w:w="796" w:type="pct"/>
            <w:hideMark/>
          </w:tcPr>
          <w:p w14:paraId="7598C2EF"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796" w:type="pct"/>
            <w:hideMark/>
          </w:tcPr>
          <w:p w14:paraId="007B470F"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796" w:type="pct"/>
            <w:hideMark/>
          </w:tcPr>
          <w:p w14:paraId="1461C439" w14:textId="77777777" w:rsidR="00A2332E" w:rsidRPr="009659AB" w:rsidRDefault="00A2332E" w:rsidP="005F6ADC">
            <w:pPr>
              <w:keepNext/>
              <w:jc w:val="center"/>
              <w:rPr>
                <w:rFonts w:asciiTheme="minorHAnsi" w:hAnsiTheme="minorHAnsi" w:cstheme="minorHAnsi"/>
                <w:b/>
                <w:bCs/>
                <w:color w:val="FF0000"/>
                <w:sz w:val="20"/>
                <w:szCs w:val="20"/>
                <w:lang w:val="en-GB"/>
              </w:rPr>
            </w:pPr>
            <w:r w:rsidRPr="009659AB">
              <w:rPr>
                <w:rFonts w:ascii="Segoe UI Symbol" w:hAnsi="Segoe UI Symbol" w:cs="Segoe UI Symbol"/>
                <w:b/>
                <w:bCs/>
                <w:color w:val="FF0000"/>
                <w:sz w:val="20"/>
                <w:szCs w:val="20"/>
                <w:lang w:val="en-GB"/>
              </w:rPr>
              <w:t>✗</w:t>
            </w:r>
          </w:p>
        </w:tc>
        <w:tc>
          <w:tcPr>
            <w:tcW w:w="796" w:type="pct"/>
            <w:hideMark/>
          </w:tcPr>
          <w:p w14:paraId="05B173E9" w14:textId="77777777" w:rsidR="00A2332E" w:rsidRPr="009659AB" w:rsidRDefault="00A2332E" w:rsidP="005F6ADC">
            <w:pPr>
              <w:keepNext/>
              <w:jc w:val="center"/>
              <w:rPr>
                <w:rFonts w:asciiTheme="minorHAnsi" w:hAnsiTheme="minorHAnsi" w:cstheme="minorHAnsi"/>
                <w:b/>
                <w:bCs/>
                <w:color w:val="FF0000"/>
                <w:sz w:val="20"/>
                <w:szCs w:val="20"/>
                <w:lang w:val="en-GB"/>
              </w:rPr>
            </w:pPr>
            <w:r w:rsidRPr="009659AB">
              <w:rPr>
                <w:rFonts w:ascii="Segoe UI Symbol" w:hAnsi="Segoe UI Symbol" w:cs="Segoe UI Symbol"/>
                <w:b/>
                <w:bCs/>
                <w:color w:val="FF0000"/>
                <w:sz w:val="20"/>
                <w:szCs w:val="20"/>
                <w:lang w:val="en-GB"/>
              </w:rPr>
              <w:t>✗</w:t>
            </w:r>
          </w:p>
        </w:tc>
        <w:tc>
          <w:tcPr>
            <w:tcW w:w="898" w:type="pct"/>
            <w:hideMark/>
          </w:tcPr>
          <w:p w14:paraId="03B86F47" w14:textId="77777777" w:rsidR="00A2332E" w:rsidRPr="009659AB" w:rsidRDefault="00A2332E" w:rsidP="005F6ADC">
            <w:pPr>
              <w:keepNext/>
              <w:jc w:val="center"/>
              <w:rPr>
                <w:rFonts w:asciiTheme="minorHAnsi" w:hAnsiTheme="minorHAnsi" w:cstheme="minorHAnsi"/>
                <w:b/>
                <w:bCs/>
                <w:color w:val="FF0000"/>
                <w:sz w:val="20"/>
                <w:szCs w:val="20"/>
                <w:lang w:val="en-GB"/>
              </w:rPr>
            </w:pPr>
            <w:r w:rsidRPr="009659AB">
              <w:rPr>
                <w:rFonts w:ascii="Segoe UI Symbol" w:hAnsi="Segoe UI Symbol" w:cs="Segoe UI Symbol"/>
                <w:b/>
                <w:bCs/>
                <w:color w:val="FF0000"/>
                <w:sz w:val="20"/>
                <w:szCs w:val="20"/>
                <w:lang w:val="en-GB"/>
              </w:rPr>
              <w:t>✗</w:t>
            </w:r>
          </w:p>
        </w:tc>
      </w:tr>
      <w:tr w:rsidR="00A2332E" w14:paraId="4C7A4821" w14:textId="77777777" w:rsidTr="005F6ADC">
        <w:trPr>
          <w:trHeight w:val="325"/>
          <w:jc w:val="center"/>
        </w:trPr>
        <w:tc>
          <w:tcPr>
            <w:tcW w:w="920" w:type="pct"/>
            <w:hideMark/>
          </w:tcPr>
          <w:p w14:paraId="4FA9E166" w14:textId="77777777" w:rsidR="00A2332E" w:rsidRPr="00ED480B" w:rsidRDefault="00A2332E" w:rsidP="005F6ADC">
            <w:pPr>
              <w:keepNext/>
              <w:rPr>
                <w:rFonts w:asciiTheme="minorHAnsi" w:hAnsiTheme="minorHAnsi" w:cstheme="minorHAnsi"/>
                <w:sz w:val="20"/>
                <w:szCs w:val="20"/>
                <w:lang w:val="en-GB"/>
              </w:rPr>
            </w:pPr>
            <w:r w:rsidRPr="00ED480B">
              <w:rPr>
                <w:rFonts w:asciiTheme="minorHAnsi" w:hAnsiTheme="minorHAnsi" w:cstheme="minorHAnsi"/>
                <w:color w:val="000000"/>
                <w:sz w:val="20"/>
                <w:szCs w:val="20"/>
                <w:lang w:val="en-GB"/>
              </w:rPr>
              <w:t>Out of School Hours Care Worker</w:t>
            </w:r>
          </w:p>
        </w:tc>
        <w:tc>
          <w:tcPr>
            <w:tcW w:w="796" w:type="pct"/>
            <w:hideMark/>
          </w:tcPr>
          <w:p w14:paraId="4338E0B8"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796" w:type="pct"/>
            <w:hideMark/>
          </w:tcPr>
          <w:p w14:paraId="7811C470"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796" w:type="pct"/>
            <w:hideMark/>
          </w:tcPr>
          <w:p w14:paraId="5CA9F578"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796" w:type="pct"/>
            <w:hideMark/>
          </w:tcPr>
          <w:p w14:paraId="7F3AF54D"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898" w:type="pct"/>
            <w:hideMark/>
          </w:tcPr>
          <w:p w14:paraId="13E17CB8"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r>
      <w:tr w:rsidR="00A2332E" w14:paraId="4A0C5E97" w14:textId="77777777" w:rsidTr="005F6ADC">
        <w:trPr>
          <w:cnfStyle w:val="000000010000" w:firstRow="0" w:lastRow="0" w:firstColumn="0" w:lastColumn="0" w:oddVBand="0" w:evenVBand="0" w:oddHBand="0" w:evenHBand="1" w:firstRowFirstColumn="0" w:firstRowLastColumn="0" w:lastRowFirstColumn="0" w:lastRowLastColumn="0"/>
          <w:trHeight w:val="325"/>
          <w:jc w:val="center"/>
        </w:trPr>
        <w:tc>
          <w:tcPr>
            <w:tcW w:w="920" w:type="pct"/>
            <w:hideMark/>
          </w:tcPr>
          <w:p w14:paraId="0A2DF70E" w14:textId="77777777" w:rsidR="00A2332E" w:rsidRPr="00ED480B" w:rsidRDefault="00A2332E" w:rsidP="005F6ADC">
            <w:pPr>
              <w:keepNext/>
              <w:rPr>
                <w:rFonts w:asciiTheme="minorHAnsi" w:hAnsiTheme="minorHAnsi" w:cstheme="minorHAnsi"/>
                <w:sz w:val="20"/>
                <w:szCs w:val="20"/>
                <w:lang w:val="en-GB"/>
              </w:rPr>
            </w:pPr>
            <w:r w:rsidRPr="00ED480B">
              <w:rPr>
                <w:rFonts w:asciiTheme="minorHAnsi" w:hAnsiTheme="minorHAnsi" w:cstheme="minorHAnsi"/>
                <w:color w:val="000000"/>
                <w:sz w:val="20"/>
                <w:szCs w:val="20"/>
                <w:lang w:val="en-GB"/>
              </w:rPr>
              <w:t>Child Carers nfd*</w:t>
            </w:r>
          </w:p>
        </w:tc>
        <w:tc>
          <w:tcPr>
            <w:tcW w:w="796" w:type="pct"/>
            <w:hideMark/>
          </w:tcPr>
          <w:p w14:paraId="206B7821"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796" w:type="pct"/>
            <w:hideMark/>
          </w:tcPr>
          <w:p w14:paraId="55EC4BA0"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796" w:type="pct"/>
            <w:hideMark/>
          </w:tcPr>
          <w:p w14:paraId="651E1775"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796" w:type="pct"/>
            <w:hideMark/>
          </w:tcPr>
          <w:p w14:paraId="4E76D7A4"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898" w:type="pct"/>
            <w:hideMark/>
          </w:tcPr>
          <w:p w14:paraId="403B9D3F"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r>
      <w:tr w:rsidR="00A2332E" w14:paraId="691CDBCF" w14:textId="77777777" w:rsidTr="005F6ADC">
        <w:trPr>
          <w:trHeight w:val="325"/>
          <w:jc w:val="center"/>
        </w:trPr>
        <w:tc>
          <w:tcPr>
            <w:tcW w:w="920" w:type="pct"/>
            <w:hideMark/>
          </w:tcPr>
          <w:p w14:paraId="5795A57D" w14:textId="77777777" w:rsidR="00A2332E" w:rsidRPr="00ED480B" w:rsidRDefault="00A2332E" w:rsidP="005F6ADC">
            <w:pPr>
              <w:keepNext/>
              <w:rPr>
                <w:rFonts w:asciiTheme="minorHAnsi" w:hAnsiTheme="minorHAnsi" w:cstheme="minorHAnsi"/>
                <w:sz w:val="20"/>
                <w:szCs w:val="20"/>
                <w:lang w:val="en-GB"/>
              </w:rPr>
            </w:pPr>
            <w:r w:rsidRPr="00ED480B">
              <w:rPr>
                <w:rFonts w:asciiTheme="minorHAnsi" w:hAnsiTheme="minorHAnsi" w:cstheme="minorHAnsi"/>
                <w:color w:val="000000"/>
                <w:sz w:val="20"/>
                <w:szCs w:val="20"/>
                <w:lang w:val="en-GB"/>
              </w:rPr>
              <w:t>Aboriginal and Torres Strait Islander Education Worker</w:t>
            </w:r>
          </w:p>
        </w:tc>
        <w:tc>
          <w:tcPr>
            <w:tcW w:w="796" w:type="pct"/>
            <w:hideMark/>
          </w:tcPr>
          <w:p w14:paraId="22FA9610"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796" w:type="pct"/>
            <w:hideMark/>
          </w:tcPr>
          <w:p w14:paraId="025B9BA3"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796" w:type="pct"/>
            <w:hideMark/>
          </w:tcPr>
          <w:p w14:paraId="0F6E7C0F" w14:textId="77777777" w:rsidR="00A2332E" w:rsidRPr="009659AB" w:rsidRDefault="00A2332E" w:rsidP="005F6ADC">
            <w:pPr>
              <w:keepNext/>
              <w:jc w:val="center"/>
              <w:rPr>
                <w:rFonts w:asciiTheme="minorHAnsi" w:hAnsiTheme="minorHAnsi" w:cstheme="minorHAnsi"/>
                <w:b/>
                <w:bCs/>
                <w:color w:val="FF0000"/>
                <w:sz w:val="20"/>
                <w:szCs w:val="20"/>
                <w:lang w:val="en-GB"/>
              </w:rPr>
            </w:pPr>
            <w:r w:rsidRPr="009659AB">
              <w:rPr>
                <w:rFonts w:ascii="Segoe UI Symbol" w:hAnsi="Segoe UI Symbol" w:cs="Segoe UI Symbol"/>
                <w:b/>
                <w:bCs/>
                <w:color w:val="FF0000"/>
                <w:sz w:val="20"/>
                <w:szCs w:val="20"/>
                <w:lang w:val="en-GB"/>
              </w:rPr>
              <w:t>✗</w:t>
            </w:r>
          </w:p>
        </w:tc>
        <w:tc>
          <w:tcPr>
            <w:tcW w:w="796" w:type="pct"/>
            <w:hideMark/>
          </w:tcPr>
          <w:p w14:paraId="1C99F5A4" w14:textId="77777777" w:rsidR="00A2332E" w:rsidRPr="009659AB" w:rsidRDefault="00A2332E" w:rsidP="005F6ADC">
            <w:pPr>
              <w:keepNext/>
              <w:jc w:val="center"/>
              <w:rPr>
                <w:rFonts w:asciiTheme="minorHAnsi" w:hAnsiTheme="minorHAnsi" w:cstheme="minorHAnsi"/>
                <w:b/>
                <w:bCs/>
                <w:color w:val="FF0000"/>
                <w:sz w:val="20"/>
                <w:szCs w:val="20"/>
                <w:lang w:val="en-GB"/>
              </w:rPr>
            </w:pPr>
            <w:r w:rsidRPr="009659AB">
              <w:rPr>
                <w:rFonts w:ascii="Segoe UI Symbol" w:hAnsi="Segoe UI Symbol" w:cs="Segoe UI Symbol"/>
                <w:b/>
                <w:bCs/>
                <w:color w:val="FF0000"/>
                <w:sz w:val="20"/>
                <w:szCs w:val="20"/>
                <w:lang w:val="en-GB"/>
              </w:rPr>
              <w:t>✗</w:t>
            </w:r>
          </w:p>
        </w:tc>
        <w:tc>
          <w:tcPr>
            <w:tcW w:w="898" w:type="pct"/>
            <w:hideMark/>
          </w:tcPr>
          <w:p w14:paraId="597142CF" w14:textId="77777777" w:rsidR="00A2332E" w:rsidRPr="009659AB" w:rsidRDefault="00A2332E" w:rsidP="005F6ADC">
            <w:pPr>
              <w:keepNext/>
              <w:jc w:val="center"/>
              <w:rPr>
                <w:rFonts w:asciiTheme="minorHAnsi" w:hAnsiTheme="minorHAnsi" w:cstheme="minorHAnsi"/>
                <w:b/>
                <w:bCs/>
                <w:color w:val="FF0000"/>
                <w:sz w:val="20"/>
                <w:szCs w:val="20"/>
                <w:lang w:val="en-GB"/>
              </w:rPr>
            </w:pPr>
            <w:r w:rsidRPr="009659AB">
              <w:rPr>
                <w:rFonts w:ascii="Segoe UI Symbol" w:hAnsi="Segoe UI Symbol" w:cs="Segoe UI Symbol"/>
                <w:b/>
                <w:bCs/>
                <w:color w:val="FF0000"/>
                <w:sz w:val="20"/>
                <w:szCs w:val="20"/>
                <w:lang w:val="en-GB"/>
              </w:rPr>
              <w:t>✗</w:t>
            </w:r>
          </w:p>
        </w:tc>
      </w:tr>
      <w:tr w:rsidR="00A2332E" w14:paraId="588C0F61" w14:textId="77777777" w:rsidTr="005F6ADC">
        <w:trPr>
          <w:cnfStyle w:val="000000010000" w:firstRow="0" w:lastRow="0" w:firstColumn="0" w:lastColumn="0" w:oddVBand="0" w:evenVBand="0" w:oddHBand="0" w:evenHBand="1" w:firstRowFirstColumn="0" w:firstRowLastColumn="0" w:lastRowFirstColumn="0" w:lastRowLastColumn="0"/>
          <w:trHeight w:val="325"/>
          <w:jc w:val="center"/>
        </w:trPr>
        <w:tc>
          <w:tcPr>
            <w:tcW w:w="920" w:type="pct"/>
            <w:hideMark/>
          </w:tcPr>
          <w:p w14:paraId="13298186" w14:textId="77777777" w:rsidR="00A2332E" w:rsidRPr="00ED480B" w:rsidRDefault="00A2332E" w:rsidP="005F6ADC">
            <w:pPr>
              <w:keepNext/>
              <w:rPr>
                <w:rFonts w:asciiTheme="minorHAnsi" w:hAnsiTheme="minorHAnsi" w:cstheme="minorHAnsi"/>
                <w:sz w:val="20"/>
                <w:szCs w:val="20"/>
                <w:lang w:val="en-GB"/>
              </w:rPr>
            </w:pPr>
            <w:r w:rsidRPr="00ED480B">
              <w:rPr>
                <w:rFonts w:asciiTheme="minorHAnsi" w:hAnsiTheme="minorHAnsi" w:cstheme="minorHAnsi"/>
                <w:color w:val="000000"/>
                <w:sz w:val="20"/>
                <w:szCs w:val="20"/>
                <w:lang w:val="en-GB"/>
              </w:rPr>
              <w:t>Integration Aide</w:t>
            </w:r>
          </w:p>
        </w:tc>
        <w:tc>
          <w:tcPr>
            <w:tcW w:w="796" w:type="pct"/>
            <w:hideMark/>
          </w:tcPr>
          <w:p w14:paraId="3A5AA5AE"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796" w:type="pct"/>
            <w:hideMark/>
          </w:tcPr>
          <w:p w14:paraId="4292E04C"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796" w:type="pct"/>
            <w:hideMark/>
          </w:tcPr>
          <w:p w14:paraId="17B3A684" w14:textId="77777777" w:rsidR="00A2332E" w:rsidRPr="009659AB" w:rsidRDefault="00A2332E" w:rsidP="005F6ADC">
            <w:pPr>
              <w:keepNext/>
              <w:jc w:val="center"/>
              <w:rPr>
                <w:rFonts w:asciiTheme="minorHAnsi" w:hAnsiTheme="minorHAnsi" w:cstheme="minorHAnsi"/>
                <w:b/>
                <w:bCs/>
                <w:color w:val="FF0000"/>
                <w:sz w:val="20"/>
                <w:szCs w:val="20"/>
                <w:lang w:val="en-GB"/>
              </w:rPr>
            </w:pPr>
            <w:r w:rsidRPr="009659AB">
              <w:rPr>
                <w:rFonts w:ascii="Segoe UI Symbol" w:hAnsi="Segoe UI Symbol" w:cs="Segoe UI Symbol"/>
                <w:b/>
                <w:bCs/>
                <w:color w:val="FF0000"/>
                <w:sz w:val="20"/>
                <w:szCs w:val="20"/>
                <w:lang w:val="en-GB"/>
              </w:rPr>
              <w:t>✗</w:t>
            </w:r>
          </w:p>
        </w:tc>
        <w:tc>
          <w:tcPr>
            <w:tcW w:w="796" w:type="pct"/>
            <w:hideMark/>
          </w:tcPr>
          <w:p w14:paraId="6207E6CD" w14:textId="77777777" w:rsidR="00A2332E" w:rsidRPr="009659AB" w:rsidRDefault="00A2332E" w:rsidP="005F6ADC">
            <w:pPr>
              <w:keepNext/>
              <w:jc w:val="center"/>
              <w:rPr>
                <w:rFonts w:asciiTheme="minorHAnsi" w:hAnsiTheme="minorHAnsi" w:cstheme="minorHAnsi"/>
                <w:b/>
                <w:bCs/>
                <w:color w:val="FF0000"/>
                <w:sz w:val="20"/>
                <w:szCs w:val="20"/>
                <w:lang w:val="en-GB"/>
              </w:rPr>
            </w:pPr>
            <w:r w:rsidRPr="009659AB">
              <w:rPr>
                <w:rFonts w:ascii="Segoe UI Symbol" w:hAnsi="Segoe UI Symbol" w:cs="Segoe UI Symbol"/>
                <w:b/>
                <w:bCs/>
                <w:color w:val="FF0000"/>
                <w:sz w:val="20"/>
                <w:szCs w:val="20"/>
                <w:lang w:val="en-GB"/>
              </w:rPr>
              <w:t>✗</w:t>
            </w:r>
          </w:p>
        </w:tc>
        <w:tc>
          <w:tcPr>
            <w:tcW w:w="898" w:type="pct"/>
            <w:hideMark/>
          </w:tcPr>
          <w:p w14:paraId="642E1FEF" w14:textId="77777777" w:rsidR="00A2332E" w:rsidRPr="009659AB" w:rsidRDefault="00A2332E" w:rsidP="005F6ADC">
            <w:pPr>
              <w:keepNext/>
              <w:jc w:val="center"/>
              <w:rPr>
                <w:rFonts w:asciiTheme="minorHAnsi" w:hAnsiTheme="minorHAnsi" w:cstheme="minorHAnsi"/>
                <w:b/>
                <w:bCs/>
                <w:color w:val="FF0000"/>
                <w:sz w:val="20"/>
                <w:szCs w:val="20"/>
                <w:lang w:val="en-GB"/>
              </w:rPr>
            </w:pPr>
            <w:r w:rsidRPr="009659AB">
              <w:rPr>
                <w:rFonts w:ascii="Segoe UI Symbol" w:hAnsi="Segoe UI Symbol" w:cs="Segoe UI Symbol"/>
                <w:b/>
                <w:bCs/>
                <w:color w:val="FF0000"/>
                <w:sz w:val="20"/>
                <w:szCs w:val="20"/>
                <w:lang w:val="en-GB"/>
              </w:rPr>
              <w:t>✗</w:t>
            </w:r>
          </w:p>
        </w:tc>
      </w:tr>
      <w:tr w:rsidR="00A2332E" w14:paraId="4C5019BF" w14:textId="77777777" w:rsidTr="005F6ADC">
        <w:trPr>
          <w:trHeight w:val="325"/>
          <w:jc w:val="center"/>
        </w:trPr>
        <w:tc>
          <w:tcPr>
            <w:tcW w:w="920" w:type="pct"/>
            <w:hideMark/>
          </w:tcPr>
          <w:p w14:paraId="1036EA3C" w14:textId="77777777" w:rsidR="00A2332E" w:rsidRPr="00ED480B" w:rsidRDefault="00A2332E" w:rsidP="005F6ADC">
            <w:pPr>
              <w:keepNext/>
              <w:rPr>
                <w:rFonts w:asciiTheme="minorHAnsi" w:hAnsiTheme="minorHAnsi" w:cstheme="minorHAnsi"/>
                <w:sz w:val="20"/>
                <w:szCs w:val="20"/>
                <w:lang w:val="en-GB"/>
              </w:rPr>
            </w:pPr>
            <w:r w:rsidRPr="00ED480B">
              <w:rPr>
                <w:rFonts w:asciiTheme="minorHAnsi" w:hAnsiTheme="minorHAnsi" w:cstheme="minorHAnsi"/>
                <w:color w:val="000000"/>
                <w:sz w:val="20"/>
                <w:szCs w:val="20"/>
                <w:lang w:val="en-GB"/>
              </w:rPr>
              <w:t>Preschool Aide</w:t>
            </w:r>
          </w:p>
        </w:tc>
        <w:tc>
          <w:tcPr>
            <w:tcW w:w="796" w:type="pct"/>
            <w:hideMark/>
          </w:tcPr>
          <w:p w14:paraId="25C4CC27"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796" w:type="pct"/>
            <w:hideMark/>
          </w:tcPr>
          <w:p w14:paraId="09D8AB2B"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796" w:type="pct"/>
            <w:hideMark/>
          </w:tcPr>
          <w:p w14:paraId="582B5089"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796" w:type="pct"/>
            <w:hideMark/>
          </w:tcPr>
          <w:p w14:paraId="10BD6F4A"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898" w:type="pct"/>
            <w:hideMark/>
          </w:tcPr>
          <w:p w14:paraId="4E63235A"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r>
      <w:tr w:rsidR="00A2332E" w14:paraId="5129AB1C" w14:textId="77777777" w:rsidTr="005F6ADC">
        <w:trPr>
          <w:cnfStyle w:val="000000010000" w:firstRow="0" w:lastRow="0" w:firstColumn="0" w:lastColumn="0" w:oddVBand="0" w:evenVBand="0" w:oddHBand="0" w:evenHBand="1" w:firstRowFirstColumn="0" w:firstRowLastColumn="0" w:lastRowFirstColumn="0" w:lastRowLastColumn="0"/>
          <w:trHeight w:val="325"/>
          <w:jc w:val="center"/>
        </w:trPr>
        <w:tc>
          <w:tcPr>
            <w:tcW w:w="920" w:type="pct"/>
            <w:hideMark/>
          </w:tcPr>
          <w:p w14:paraId="37F89D5D" w14:textId="77777777" w:rsidR="00A2332E" w:rsidRPr="00ED480B" w:rsidRDefault="00A2332E" w:rsidP="005F6ADC">
            <w:pPr>
              <w:keepNext/>
              <w:rPr>
                <w:rFonts w:asciiTheme="minorHAnsi" w:hAnsiTheme="minorHAnsi" w:cstheme="minorHAnsi"/>
                <w:sz w:val="20"/>
                <w:szCs w:val="20"/>
                <w:lang w:val="en-GB"/>
              </w:rPr>
            </w:pPr>
            <w:r w:rsidRPr="00ED480B">
              <w:rPr>
                <w:rFonts w:asciiTheme="minorHAnsi" w:hAnsiTheme="minorHAnsi" w:cstheme="minorHAnsi"/>
                <w:color w:val="000000"/>
                <w:sz w:val="20"/>
                <w:szCs w:val="20"/>
                <w:lang w:val="en-GB"/>
              </w:rPr>
              <w:t>Teachers' Aide</w:t>
            </w:r>
          </w:p>
        </w:tc>
        <w:tc>
          <w:tcPr>
            <w:tcW w:w="796" w:type="pct"/>
            <w:hideMark/>
          </w:tcPr>
          <w:p w14:paraId="57B9BE9E"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796" w:type="pct"/>
            <w:hideMark/>
          </w:tcPr>
          <w:p w14:paraId="0BD29855"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796" w:type="pct"/>
            <w:hideMark/>
          </w:tcPr>
          <w:p w14:paraId="292A9BB2" w14:textId="77777777" w:rsidR="00A2332E" w:rsidRPr="009659AB" w:rsidRDefault="00A2332E" w:rsidP="005F6ADC">
            <w:pPr>
              <w:keepNext/>
              <w:jc w:val="center"/>
              <w:rPr>
                <w:rFonts w:asciiTheme="minorHAnsi" w:hAnsiTheme="minorHAnsi" w:cstheme="minorHAnsi"/>
                <w:b/>
                <w:bCs/>
                <w:color w:val="FF0000"/>
                <w:sz w:val="20"/>
                <w:szCs w:val="20"/>
                <w:lang w:val="en-GB"/>
              </w:rPr>
            </w:pPr>
            <w:r w:rsidRPr="009659AB">
              <w:rPr>
                <w:rFonts w:ascii="Segoe UI Symbol" w:hAnsi="Segoe UI Symbol" w:cs="Segoe UI Symbol"/>
                <w:b/>
                <w:bCs/>
                <w:color w:val="FF0000"/>
                <w:sz w:val="20"/>
                <w:szCs w:val="20"/>
                <w:lang w:val="en-GB"/>
              </w:rPr>
              <w:t>✗</w:t>
            </w:r>
          </w:p>
        </w:tc>
        <w:tc>
          <w:tcPr>
            <w:tcW w:w="796" w:type="pct"/>
            <w:hideMark/>
          </w:tcPr>
          <w:p w14:paraId="62A3B296" w14:textId="77777777" w:rsidR="00A2332E" w:rsidRPr="009659AB" w:rsidRDefault="00A2332E" w:rsidP="005F6ADC">
            <w:pPr>
              <w:keepNext/>
              <w:jc w:val="center"/>
              <w:rPr>
                <w:rFonts w:asciiTheme="minorHAnsi" w:hAnsiTheme="minorHAnsi" w:cstheme="minorHAnsi"/>
                <w:b/>
                <w:bCs/>
                <w:color w:val="FF0000"/>
                <w:sz w:val="20"/>
                <w:szCs w:val="20"/>
                <w:lang w:val="en-GB"/>
              </w:rPr>
            </w:pPr>
            <w:r w:rsidRPr="009659AB">
              <w:rPr>
                <w:rFonts w:ascii="Segoe UI Symbol" w:hAnsi="Segoe UI Symbol" w:cs="Segoe UI Symbol"/>
                <w:b/>
                <w:bCs/>
                <w:color w:val="FF0000"/>
                <w:sz w:val="20"/>
                <w:szCs w:val="20"/>
                <w:lang w:val="en-GB"/>
              </w:rPr>
              <w:t>✗</w:t>
            </w:r>
          </w:p>
        </w:tc>
        <w:tc>
          <w:tcPr>
            <w:tcW w:w="898" w:type="pct"/>
            <w:hideMark/>
          </w:tcPr>
          <w:p w14:paraId="3D0703CD" w14:textId="77777777" w:rsidR="00A2332E" w:rsidRPr="009659AB" w:rsidRDefault="00A2332E" w:rsidP="005F6ADC">
            <w:pPr>
              <w:keepNext/>
              <w:jc w:val="center"/>
              <w:rPr>
                <w:rFonts w:asciiTheme="minorHAnsi" w:hAnsiTheme="minorHAnsi" w:cstheme="minorHAnsi"/>
                <w:b/>
                <w:bCs/>
                <w:color w:val="FF0000"/>
                <w:sz w:val="20"/>
                <w:szCs w:val="20"/>
                <w:lang w:val="en-GB"/>
              </w:rPr>
            </w:pPr>
            <w:r w:rsidRPr="009659AB">
              <w:rPr>
                <w:rFonts w:ascii="Segoe UI Symbol" w:hAnsi="Segoe UI Symbol" w:cs="Segoe UI Symbol"/>
                <w:b/>
                <w:bCs/>
                <w:color w:val="FF0000"/>
                <w:sz w:val="20"/>
                <w:szCs w:val="20"/>
                <w:lang w:val="en-GB"/>
              </w:rPr>
              <w:t>✗</w:t>
            </w:r>
          </w:p>
        </w:tc>
      </w:tr>
      <w:tr w:rsidR="00A2332E" w14:paraId="5F12F71F" w14:textId="77777777" w:rsidTr="005F6ADC">
        <w:trPr>
          <w:trHeight w:val="325"/>
          <w:jc w:val="center"/>
        </w:trPr>
        <w:tc>
          <w:tcPr>
            <w:tcW w:w="920" w:type="pct"/>
            <w:hideMark/>
          </w:tcPr>
          <w:p w14:paraId="469630A1" w14:textId="77777777" w:rsidR="00A2332E" w:rsidRPr="00ED480B" w:rsidRDefault="00A2332E" w:rsidP="005F6ADC">
            <w:pPr>
              <w:keepNext/>
              <w:rPr>
                <w:rFonts w:asciiTheme="minorHAnsi" w:hAnsiTheme="minorHAnsi" w:cstheme="minorHAnsi"/>
                <w:sz w:val="20"/>
                <w:szCs w:val="20"/>
                <w:lang w:val="en-GB"/>
              </w:rPr>
            </w:pPr>
            <w:r w:rsidRPr="00ED480B">
              <w:rPr>
                <w:rFonts w:asciiTheme="minorHAnsi" w:hAnsiTheme="minorHAnsi" w:cstheme="minorHAnsi"/>
                <w:color w:val="000000"/>
                <w:sz w:val="20"/>
                <w:szCs w:val="20"/>
                <w:lang w:val="en-GB"/>
              </w:rPr>
              <w:t>Education Aides nfd*</w:t>
            </w:r>
          </w:p>
        </w:tc>
        <w:tc>
          <w:tcPr>
            <w:tcW w:w="796" w:type="pct"/>
            <w:hideMark/>
          </w:tcPr>
          <w:p w14:paraId="0AD47A11"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796" w:type="pct"/>
            <w:hideMark/>
          </w:tcPr>
          <w:p w14:paraId="145B8F08" w14:textId="77777777" w:rsidR="00A2332E" w:rsidRPr="009659AB" w:rsidRDefault="00A2332E" w:rsidP="005F6ADC">
            <w:pPr>
              <w:keepNext/>
              <w:jc w:val="center"/>
              <w:rPr>
                <w:rFonts w:asciiTheme="minorHAnsi" w:hAnsiTheme="minorHAnsi" w:cstheme="minorHAnsi"/>
                <w:b/>
                <w:bCs/>
                <w:color w:val="00B050"/>
                <w:sz w:val="20"/>
                <w:szCs w:val="20"/>
                <w:lang w:val="en-GB"/>
              </w:rPr>
            </w:pPr>
            <w:r w:rsidRPr="009659AB">
              <w:rPr>
                <w:rFonts w:ascii="Segoe UI Symbol" w:hAnsi="Segoe UI Symbol" w:cs="Segoe UI Symbol"/>
                <w:b/>
                <w:bCs/>
                <w:color w:val="00B050"/>
                <w:sz w:val="20"/>
                <w:szCs w:val="20"/>
                <w:lang w:val="en-GB"/>
              </w:rPr>
              <w:t>✓</w:t>
            </w:r>
          </w:p>
        </w:tc>
        <w:tc>
          <w:tcPr>
            <w:tcW w:w="796" w:type="pct"/>
            <w:hideMark/>
          </w:tcPr>
          <w:p w14:paraId="178AE9DE" w14:textId="77777777" w:rsidR="00A2332E" w:rsidRPr="009659AB" w:rsidRDefault="00A2332E" w:rsidP="005F6ADC">
            <w:pPr>
              <w:keepNext/>
              <w:jc w:val="center"/>
              <w:rPr>
                <w:rFonts w:asciiTheme="minorHAnsi" w:hAnsiTheme="minorHAnsi" w:cstheme="minorHAnsi"/>
                <w:b/>
                <w:bCs/>
                <w:color w:val="FF0000"/>
                <w:sz w:val="20"/>
                <w:szCs w:val="20"/>
                <w:lang w:val="en-GB"/>
              </w:rPr>
            </w:pPr>
            <w:r w:rsidRPr="009659AB">
              <w:rPr>
                <w:rFonts w:ascii="Segoe UI Symbol" w:hAnsi="Segoe UI Symbol" w:cs="Segoe UI Symbol"/>
                <w:b/>
                <w:bCs/>
                <w:color w:val="FF0000"/>
                <w:sz w:val="20"/>
                <w:szCs w:val="20"/>
                <w:lang w:val="en-GB"/>
              </w:rPr>
              <w:t>✗</w:t>
            </w:r>
          </w:p>
        </w:tc>
        <w:tc>
          <w:tcPr>
            <w:tcW w:w="796" w:type="pct"/>
            <w:hideMark/>
          </w:tcPr>
          <w:p w14:paraId="473AB9D2" w14:textId="77777777" w:rsidR="00A2332E" w:rsidRPr="009659AB" w:rsidRDefault="00A2332E" w:rsidP="005F6ADC">
            <w:pPr>
              <w:keepNext/>
              <w:jc w:val="center"/>
              <w:rPr>
                <w:rFonts w:asciiTheme="minorHAnsi" w:hAnsiTheme="minorHAnsi" w:cstheme="minorHAnsi"/>
                <w:b/>
                <w:bCs/>
                <w:color w:val="FF0000"/>
                <w:sz w:val="20"/>
                <w:szCs w:val="20"/>
                <w:lang w:val="en-GB"/>
              </w:rPr>
            </w:pPr>
            <w:r w:rsidRPr="009659AB">
              <w:rPr>
                <w:rFonts w:ascii="Segoe UI Symbol" w:hAnsi="Segoe UI Symbol" w:cs="Segoe UI Symbol"/>
                <w:b/>
                <w:bCs/>
                <w:color w:val="FF0000"/>
                <w:sz w:val="20"/>
                <w:szCs w:val="20"/>
                <w:lang w:val="en-GB"/>
              </w:rPr>
              <w:t>✗</w:t>
            </w:r>
          </w:p>
        </w:tc>
        <w:tc>
          <w:tcPr>
            <w:tcW w:w="898" w:type="pct"/>
            <w:hideMark/>
          </w:tcPr>
          <w:p w14:paraId="32F794C4" w14:textId="77777777" w:rsidR="00A2332E" w:rsidRPr="009659AB" w:rsidRDefault="00A2332E" w:rsidP="005F6ADC">
            <w:pPr>
              <w:keepNext/>
              <w:jc w:val="center"/>
              <w:rPr>
                <w:rFonts w:asciiTheme="minorHAnsi" w:hAnsiTheme="minorHAnsi" w:cstheme="minorHAnsi"/>
                <w:b/>
                <w:bCs/>
                <w:color w:val="FF0000"/>
                <w:sz w:val="20"/>
                <w:szCs w:val="20"/>
                <w:lang w:val="en-GB"/>
              </w:rPr>
            </w:pPr>
            <w:r w:rsidRPr="009659AB">
              <w:rPr>
                <w:rFonts w:ascii="Segoe UI Symbol" w:hAnsi="Segoe UI Symbol" w:cs="Segoe UI Symbol"/>
                <w:b/>
                <w:bCs/>
                <w:color w:val="FF0000"/>
                <w:sz w:val="20"/>
                <w:szCs w:val="20"/>
                <w:lang w:val="en-GB"/>
              </w:rPr>
              <w:t>✗</w:t>
            </w:r>
          </w:p>
        </w:tc>
      </w:tr>
    </w:tbl>
    <w:p w14:paraId="759F4AE2" w14:textId="1B3A120A" w:rsidR="005757D3" w:rsidRDefault="00A2332E" w:rsidP="00A2332E">
      <w:pPr>
        <w:pStyle w:val="Source"/>
        <w:spacing w:before="40" w:line="240" w:lineRule="auto"/>
      </w:pPr>
      <w:r>
        <w:t xml:space="preserve">* </w:t>
      </w:r>
      <w:proofErr w:type="gramStart"/>
      <w:r>
        <w:t>nfd</w:t>
      </w:r>
      <w:proofErr w:type="gramEnd"/>
      <w:r>
        <w:t xml:space="preserve"> occupations are not modelled separately, but counts are redistributed proportionally across other 6-digit occupations within the same 4-digit group to preserve totals at the 4-digit level. </w:t>
      </w:r>
    </w:p>
    <w:p w14:paraId="1DD2B9D0" w14:textId="382F3289" w:rsidR="005757D3" w:rsidRDefault="005757D3">
      <w:pPr>
        <w:rPr>
          <w:color w:val="auto"/>
          <w:sz w:val="18"/>
          <w:szCs w:val="18"/>
        </w:rPr>
      </w:pPr>
      <w:r>
        <w:br w:type="page"/>
      </w:r>
    </w:p>
    <w:p w14:paraId="7B08AC25" w14:textId="382F3289" w:rsidR="00A2332E" w:rsidRDefault="00A2332E" w:rsidP="00A2332E">
      <w:pPr>
        <w:pStyle w:val="Heading3"/>
      </w:pPr>
      <w:bookmarkStart w:id="229" w:name="_Toc170464046"/>
      <w:r>
        <w:lastRenderedPageBreak/>
        <w:t>Main Data Sources</w:t>
      </w:r>
      <w:bookmarkEnd w:id="229"/>
      <w:r>
        <w:t xml:space="preserve"> </w:t>
      </w:r>
    </w:p>
    <w:p w14:paraId="16C104F3" w14:textId="77777777" w:rsidR="00A2332E" w:rsidRDefault="00A2332E" w:rsidP="00A2332E">
      <w:pPr>
        <w:rPr>
          <w:rStyle w:val="normaltextrun"/>
          <w:rFonts w:cs="Arial"/>
        </w:rPr>
      </w:pPr>
      <w:r w:rsidRPr="00EA565D">
        <w:rPr>
          <w:rStyle w:val="normaltextrun"/>
          <w:rFonts w:cs="Arial"/>
        </w:rPr>
        <w:t xml:space="preserve">A variety of data sources were </w:t>
      </w:r>
      <w:r>
        <w:rPr>
          <w:rStyle w:val="normaltextrun"/>
          <w:rFonts w:cs="Arial"/>
        </w:rPr>
        <w:t>combined in the construction of the ECEC workforce supply and demand model. Supply and demand projections build from 2021, which encompasses the most detailed data available on the ECEC workforce’s occupation, demographics, and geographic distribution.</w:t>
      </w:r>
    </w:p>
    <w:p w14:paraId="05E79B59" w14:textId="77777777" w:rsidR="00A2332E" w:rsidRDefault="00A2332E" w:rsidP="00A2332E">
      <w:r>
        <w:rPr>
          <w:rStyle w:val="normaltextrun"/>
          <w:rFonts w:cs="Arial"/>
        </w:rPr>
        <w:t xml:space="preserve">Starting stocks for supply were based on the </w:t>
      </w:r>
      <w:r>
        <w:t>Census 2021</w:t>
      </w:r>
      <w:r>
        <w:rPr>
          <w:rStyle w:val="normaltextrun"/>
          <w:rFonts w:cs="Arial"/>
        </w:rPr>
        <w:t xml:space="preserve">, supplemented with </w:t>
      </w:r>
      <w:r>
        <w:t>ACLD ‘</w:t>
      </w:r>
      <w:r>
        <w:rPr>
          <w:rStyle w:val="normaltextrun"/>
          <w:rFonts w:cs="Arial"/>
        </w:rPr>
        <w:t>flows’ to estimate capacity among those not currently employed.</w:t>
      </w:r>
      <w:r>
        <w:t xml:space="preserve"> Service demand—including the number of children, participation rate, and hours used—built from Preschool Education (ABS, 2021), as well as the Department of Education’s NWC and CCS administrative data. </w:t>
      </w:r>
    </w:p>
    <w:p w14:paraId="213F5A3C" w14:textId="77777777" w:rsidR="00A2332E" w:rsidRDefault="00A2332E" w:rsidP="00A2332E">
      <w:r>
        <w:t>P</w:t>
      </w:r>
      <w:r w:rsidRPr="00FC30B1">
        <w:t xml:space="preserve">opulation </w:t>
      </w:r>
      <w:r>
        <w:t xml:space="preserve">growth over the next 10 years is a </w:t>
      </w:r>
      <w:r w:rsidRPr="00FC30B1">
        <w:t>key input to both service demand and workforce supply modelling</w:t>
      </w:r>
      <w:r>
        <w:t>. This study uses population projections (DAE Modelling) by single year of age</w:t>
      </w:r>
      <w:r>
        <w:rPr>
          <w:rStyle w:val="FootnoteReference"/>
        </w:rPr>
        <w:footnoteReference w:id="78"/>
      </w:r>
      <w:r>
        <w:t xml:space="preserve"> and SA4. </w:t>
      </w:r>
    </w:p>
    <w:p w14:paraId="16756C6B" w14:textId="77777777" w:rsidR="00A2332E" w:rsidRPr="00FC30B1" w:rsidRDefault="00A2332E" w:rsidP="00A2332E">
      <w:r>
        <w:t>S</w:t>
      </w:r>
      <w:r w:rsidRPr="00FC30B1">
        <w:t xml:space="preserve">upply </w:t>
      </w:r>
      <w:r>
        <w:t>projections</w:t>
      </w:r>
      <w:r w:rsidRPr="00FC30B1">
        <w:t xml:space="preserve"> dependent on:</w:t>
      </w:r>
    </w:p>
    <w:p w14:paraId="31CCF653" w14:textId="77777777" w:rsidR="00A2332E" w:rsidRPr="00FC30B1" w:rsidRDefault="00A2332E" w:rsidP="00A2332E">
      <w:pPr>
        <w:pStyle w:val="ListParagraph"/>
        <w:numPr>
          <w:ilvl w:val="1"/>
          <w:numId w:val="34"/>
        </w:numPr>
        <w:tabs>
          <w:tab w:val="clear" w:pos="357"/>
        </w:tabs>
      </w:pPr>
      <w:r w:rsidRPr="00FC30B1">
        <w:t xml:space="preserve">population </w:t>
      </w:r>
      <w:r>
        <w:t>estimates</w:t>
      </w:r>
      <w:r w:rsidRPr="00FC30B1">
        <w:t xml:space="preserve"> by five-year age group and SA4 as inputs to training completions </w:t>
      </w:r>
      <w:r>
        <w:t>projections</w:t>
      </w:r>
      <w:r w:rsidRPr="00FC30B1">
        <w:t xml:space="preserve">, and </w:t>
      </w:r>
    </w:p>
    <w:p w14:paraId="1F12A37F" w14:textId="77777777" w:rsidR="00A2332E" w:rsidRPr="00FC30B1" w:rsidRDefault="00A2332E" w:rsidP="00A2332E">
      <w:pPr>
        <w:pStyle w:val="ListParagraph"/>
        <w:numPr>
          <w:ilvl w:val="1"/>
          <w:numId w:val="34"/>
        </w:numPr>
        <w:tabs>
          <w:tab w:val="clear" w:pos="357"/>
        </w:tabs>
      </w:pPr>
      <w:r>
        <w:t>projections</w:t>
      </w:r>
      <w:r w:rsidRPr="00FC30B1">
        <w:t xml:space="preserve"> of inbound and outbound international</w:t>
      </w:r>
      <w:r>
        <w:t>,</w:t>
      </w:r>
      <w:r w:rsidRPr="00FC30B1">
        <w:t xml:space="preserve"> interstate </w:t>
      </w:r>
      <w:r>
        <w:t xml:space="preserve">and interregional </w:t>
      </w:r>
      <w:r w:rsidRPr="00FC30B1">
        <w:t>migration.</w:t>
      </w:r>
    </w:p>
    <w:p w14:paraId="291714B5" w14:textId="77777777" w:rsidR="00A2332E" w:rsidRDefault="00A2332E" w:rsidP="00A2332E"/>
    <w:p w14:paraId="758227DC" w14:textId="77777777" w:rsidR="00A2332E" w:rsidRPr="00706B55" w:rsidRDefault="00A2332E" w:rsidP="00A2332E">
      <w:pPr>
        <w:sectPr w:rsidR="00A2332E" w:rsidRPr="00706B55" w:rsidSect="00A2332E">
          <w:headerReference w:type="even" r:id="rId151"/>
          <w:footerReference w:type="default" r:id="rId152"/>
          <w:headerReference w:type="first" r:id="rId153"/>
          <w:endnotePr>
            <w:numFmt w:val="decimal"/>
          </w:endnotePr>
          <w:pgSz w:w="11906" w:h="16838" w:code="9"/>
          <w:pgMar w:top="1440" w:right="1440" w:bottom="1440" w:left="1440" w:header="0" w:footer="709" w:gutter="0"/>
          <w:cols w:space="708"/>
          <w:docGrid w:linePitch="360"/>
        </w:sectPr>
      </w:pPr>
    </w:p>
    <w:p w14:paraId="1D402766" w14:textId="77777777" w:rsidR="00A2332E" w:rsidRPr="005F4198" w:rsidRDefault="00A2332E" w:rsidP="00A2332E">
      <w:pPr>
        <w:pStyle w:val="Heading2"/>
      </w:pPr>
      <w:bookmarkStart w:id="230" w:name="_Toc170464047"/>
      <w:bookmarkStart w:id="231" w:name="_Toc174363734"/>
      <w:r>
        <w:lastRenderedPageBreak/>
        <w:t>References</w:t>
      </w:r>
      <w:bookmarkEnd w:id="230"/>
      <w:bookmarkEnd w:id="231"/>
    </w:p>
    <w:p w14:paraId="41342CED" w14:textId="77777777" w:rsidR="00A2332E" w:rsidRPr="005F4198" w:rsidRDefault="00A2332E" w:rsidP="00A2332E">
      <w:pPr>
        <w:spacing w:line="240" w:lineRule="auto"/>
        <w:ind w:left="720" w:hanging="720"/>
        <w:rPr>
          <w:rFonts w:ascii="Times New Roman" w:hAnsi="Times New Roman"/>
          <w:color w:val="auto"/>
          <w:sz w:val="20"/>
          <w:szCs w:val="20"/>
        </w:rPr>
      </w:pPr>
      <w:r w:rsidRPr="005F4198">
        <w:rPr>
          <w:sz w:val="20"/>
          <w:szCs w:val="20"/>
        </w:rPr>
        <w:t xml:space="preserve">Australian Bureau of Statistics. (2023). </w:t>
      </w:r>
      <w:r w:rsidRPr="005F4198">
        <w:rPr>
          <w:i/>
          <w:iCs/>
          <w:sz w:val="20"/>
          <w:szCs w:val="20"/>
        </w:rPr>
        <w:t>ANZSCO [Preliminary] Proposed Changes</w:t>
      </w:r>
      <w:r w:rsidRPr="005F4198">
        <w:rPr>
          <w:sz w:val="20"/>
          <w:szCs w:val="20"/>
        </w:rPr>
        <w:t xml:space="preserve">. </w:t>
      </w:r>
      <w:hyperlink r:id="rId154" w:history="1">
        <w:r w:rsidRPr="005F4198">
          <w:rPr>
            <w:rStyle w:val="Hyperlink"/>
            <w:sz w:val="20"/>
            <w:szCs w:val="20"/>
          </w:rPr>
          <w:t>https://consult.abs.gov.au/standards-and-classifications/anzsco-comprehensive-review-round-1/results/final_consultationround1_preliminaryproposedchanges.pdf</w:t>
        </w:r>
      </w:hyperlink>
    </w:p>
    <w:p w14:paraId="09AC54C5" w14:textId="77777777" w:rsidR="00A2332E" w:rsidRPr="00236BB5" w:rsidRDefault="00A2332E" w:rsidP="00A2332E">
      <w:pPr>
        <w:pStyle w:val="References"/>
        <w:rPr>
          <w:rFonts w:cs="Arial"/>
          <w:color w:val="auto"/>
          <w:szCs w:val="20"/>
        </w:rPr>
      </w:pPr>
      <w:r w:rsidRPr="00236BB5">
        <w:rPr>
          <w:rFonts w:cs="Arial"/>
          <w:color w:val="auto"/>
          <w:szCs w:val="20"/>
        </w:rPr>
        <w:t>Australian Children’s Education &amp; Care Authority.</w:t>
      </w:r>
      <w:r w:rsidRPr="00236BB5">
        <w:rPr>
          <w:rFonts w:cs="Arial"/>
          <w:i/>
          <w:iCs/>
          <w:color w:val="auto"/>
          <w:szCs w:val="20"/>
        </w:rPr>
        <w:t xml:space="preserve"> (</w:t>
      </w:r>
      <w:r w:rsidRPr="00236BB5">
        <w:rPr>
          <w:rFonts w:cs="Arial"/>
          <w:color w:val="auto"/>
          <w:szCs w:val="20"/>
        </w:rPr>
        <w:t xml:space="preserve">2019). </w:t>
      </w:r>
      <w:r w:rsidRPr="00236BB5">
        <w:rPr>
          <w:rFonts w:cs="Arial"/>
          <w:i/>
          <w:iCs/>
          <w:color w:val="auto"/>
          <w:szCs w:val="20"/>
        </w:rPr>
        <w:t>Progressing a national approach to the children’s education and care workforce</w:t>
      </w:r>
      <w:r w:rsidRPr="00236BB5">
        <w:rPr>
          <w:rFonts w:cs="Arial"/>
          <w:color w:val="auto"/>
          <w:szCs w:val="20"/>
        </w:rPr>
        <w:t xml:space="preserve">.  </w:t>
      </w:r>
      <w:hyperlink r:id="rId155" w:history="1">
        <w:r w:rsidRPr="00496F47">
          <w:rPr>
            <w:rStyle w:val="Hyperlink"/>
            <w:rFonts w:cs="Arial"/>
            <w:szCs w:val="20"/>
          </w:rPr>
          <w:t>https://www.acecqa.gov.au/sites/default/files/2022-01/ProgressingNationalApproachChildrensEducationCareWorkforce.pdf</w:t>
        </w:r>
      </w:hyperlink>
      <w:r>
        <w:rPr>
          <w:rFonts w:cs="Arial"/>
          <w:color w:val="auto"/>
          <w:szCs w:val="20"/>
        </w:rPr>
        <w:t xml:space="preserve"> </w:t>
      </w:r>
    </w:p>
    <w:p w14:paraId="333CC6C9" w14:textId="77777777" w:rsidR="00A2332E" w:rsidRPr="00236BB5" w:rsidRDefault="00A2332E" w:rsidP="00A2332E">
      <w:pPr>
        <w:pStyle w:val="References"/>
        <w:rPr>
          <w:rFonts w:eastAsia="Arial" w:cs="Arial"/>
          <w:color w:val="auto"/>
          <w:sz w:val="22"/>
        </w:rPr>
      </w:pPr>
      <w:r w:rsidRPr="55D9BFE3">
        <w:rPr>
          <w:rFonts w:cs="Arial"/>
          <w:color w:val="auto"/>
        </w:rPr>
        <w:t>Australian Children’s Education &amp; Care Quality Authority</w:t>
      </w:r>
      <w:r w:rsidRPr="55D9BFE3">
        <w:rPr>
          <w:rFonts w:eastAsia="Arial" w:cs="Arial"/>
          <w:color w:val="auto"/>
        </w:rPr>
        <w:t xml:space="preserve">. (n.d.). </w:t>
      </w:r>
      <w:r w:rsidRPr="55D9BFE3">
        <w:rPr>
          <w:rFonts w:eastAsia="Arial" w:cs="Arial"/>
          <w:i/>
          <w:iCs/>
          <w:color w:val="auto"/>
        </w:rPr>
        <w:t xml:space="preserve">Applying for a Waiver. </w:t>
      </w:r>
      <w:hyperlink r:id="rId156">
        <w:r w:rsidRPr="00553285">
          <w:rPr>
            <w:rStyle w:val="Hyperlink"/>
            <w:rFonts w:eastAsia="Arial" w:cs="Arial"/>
            <w:sz w:val="22"/>
          </w:rPr>
          <w:t>https://www.acecqa.gov.au/resources/applications/applying-for-a-waiver</w:t>
        </w:r>
      </w:hyperlink>
      <w:r w:rsidRPr="00553285">
        <w:rPr>
          <w:rFonts w:eastAsia="Arial" w:cs="Arial"/>
          <w:color w:val="auto"/>
          <w:sz w:val="22"/>
        </w:rPr>
        <w:t xml:space="preserve"> </w:t>
      </w:r>
    </w:p>
    <w:p w14:paraId="3DA2CFDB" w14:textId="77777777" w:rsidR="00A2332E" w:rsidRDefault="00A2332E" w:rsidP="00A2332E">
      <w:pPr>
        <w:pStyle w:val="References"/>
        <w:rPr>
          <w:rFonts w:eastAsia="Arial" w:cs="Arial"/>
          <w:color w:val="881798"/>
          <w:szCs w:val="20"/>
          <w:u w:val="single"/>
        </w:rPr>
      </w:pPr>
      <w:r w:rsidRPr="00553285">
        <w:rPr>
          <w:rFonts w:eastAsia="Arial" w:cs="Arial"/>
          <w:color w:val="auto"/>
          <w:szCs w:val="20"/>
        </w:rPr>
        <w:t xml:space="preserve">Australian Children’s Education and Care Quality Authority, (n.d), </w:t>
      </w:r>
      <w:r w:rsidRPr="00553285">
        <w:rPr>
          <w:rFonts w:eastAsia="Arial" w:cs="Arial"/>
          <w:i/>
          <w:iCs/>
          <w:color w:val="auto"/>
          <w:szCs w:val="20"/>
        </w:rPr>
        <w:t xml:space="preserve">Approved learning frameworks, </w:t>
      </w:r>
      <w:r w:rsidRPr="00553285">
        <w:rPr>
          <w:rFonts w:eastAsia="Arial" w:cs="Arial"/>
          <w:color w:val="auto"/>
          <w:szCs w:val="20"/>
        </w:rPr>
        <w:t>ACECQA,</w:t>
      </w:r>
      <w:r w:rsidRPr="00553285">
        <w:rPr>
          <w:rFonts w:eastAsia="Arial" w:cs="Arial"/>
          <w:color w:val="auto"/>
          <w:szCs w:val="20"/>
          <w:u w:val="single"/>
        </w:rPr>
        <w:t xml:space="preserve"> </w:t>
      </w:r>
      <w:hyperlink r:id="rId157" w:history="1">
        <w:r w:rsidRPr="00553285">
          <w:rPr>
            <w:rStyle w:val="Hyperlink"/>
            <w:rFonts w:eastAsia="Arial" w:cs="Arial"/>
            <w:szCs w:val="20"/>
          </w:rPr>
          <w:t>https://www.acecqa.gov.au/nqf/national-law-regulations/approved-learning-frameworks</w:t>
        </w:r>
      </w:hyperlink>
    </w:p>
    <w:p w14:paraId="2A0CDF4C" w14:textId="77777777" w:rsidR="00A2332E" w:rsidRPr="00236BB5" w:rsidRDefault="00A2332E" w:rsidP="00A2332E">
      <w:pPr>
        <w:pStyle w:val="References"/>
        <w:rPr>
          <w:rFonts w:eastAsia="Arial" w:cs="Arial"/>
          <w:color w:val="auto"/>
          <w:szCs w:val="20"/>
        </w:rPr>
      </w:pPr>
      <w:r w:rsidRPr="00236BB5">
        <w:rPr>
          <w:rFonts w:eastAsia="Arial" w:cs="Arial"/>
          <w:color w:val="auto"/>
          <w:szCs w:val="20"/>
        </w:rPr>
        <w:t xml:space="preserve">Australian Children’s Education and Care Quality Authority. (2024). </w:t>
      </w:r>
      <w:r w:rsidRPr="00236BB5">
        <w:rPr>
          <w:rFonts w:eastAsia="Arial" w:cs="Arial"/>
          <w:i/>
          <w:iCs/>
          <w:color w:val="auto"/>
          <w:szCs w:val="20"/>
        </w:rPr>
        <w:t>NQF Snapshot Q4 2023</w:t>
      </w:r>
      <w:r w:rsidRPr="00236BB5">
        <w:rPr>
          <w:rFonts w:eastAsia="Arial" w:cs="Arial"/>
          <w:color w:val="auto"/>
          <w:szCs w:val="20"/>
        </w:rPr>
        <w:t xml:space="preserve">. </w:t>
      </w:r>
      <w:hyperlink r:id="rId158" w:history="1">
        <w:r w:rsidRPr="00496F47">
          <w:rPr>
            <w:rStyle w:val="Hyperlink"/>
            <w:rFonts w:eastAsia="Arial" w:cs="Arial"/>
            <w:szCs w:val="20"/>
          </w:rPr>
          <w:t>https://www.acecqa.gov.au/sites/default/files/2024-02/NQF%20Snapshot%20Q4%202023%20FINAL.PDF</w:t>
        </w:r>
      </w:hyperlink>
      <w:r>
        <w:rPr>
          <w:rFonts w:eastAsia="Arial" w:cs="Arial"/>
          <w:color w:val="auto"/>
          <w:szCs w:val="20"/>
        </w:rPr>
        <w:t xml:space="preserve"> </w:t>
      </w:r>
    </w:p>
    <w:p w14:paraId="4ADF3F2D" w14:textId="77777777" w:rsidR="00A2332E" w:rsidRPr="00236BB5" w:rsidRDefault="00A2332E" w:rsidP="00A2332E">
      <w:pPr>
        <w:pStyle w:val="References"/>
        <w:rPr>
          <w:rFonts w:eastAsia="Arial" w:cs="Arial"/>
          <w:color w:val="auto"/>
          <w:szCs w:val="20"/>
        </w:rPr>
      </w:pPr>
      <w:r w:rsidRPr="00236BB5">
        <w:rPr>
          <w:rFonts w:eastAsia="Arial" w:cs="Arial"/>
          <w:color w:val="auto"/>
          <w:szCs w:val="20"/>
        </w:rPr>
        <w:t xml:space="preserve">Australian Children’s Education and Care Quality Authority. (n.d.). </w:t>
      </w:r>
      <w:r w:rsidRPr="00236BB5">
        <w:rPr>
          <w:rFonts w:eastAsia="Arial" w:cs="Arial"/>
          <w:i/>
          <w:iCs/>
          <w:color w:val="auto"/>
          <w:szCs w:val="20"/>
        </w:rPr>
        <w:t xml:space="preserve">What is the </w:t>
      </w:r>
      <w:proofErr w:type="gramStart"/>
      <w:r w:rsidRPr="00236BB5">
        <w:rPr>
          <w:rFonts w:eastAsia="Arial" w:cs="Arial"/>
          <w:i/>
          <w:iCs/>
          <w:color w:val="auto"/>
          <w:szCs w:val="20"/>
        </w:rPr>
        <w:t>NQF?.</w:t>
      </w:r>
      <w:proofErr w:type="gramEnd"/>
      <w:r w:rsidRPr="00236BB5">
        <w:rPr>
          <w:rFonts w:eastAsia="Arial" w:cs="Arial"/>
          <w:color w:val="auto"/>
          <w:szCs w:val="20"/>
        </w:rPr>
        <w:t xml:space="preserve"> Australian Government. </w:t>
      </w:r>
      <w:hyperlink r:id="rId159" w:history="1">
        <w:r w:rsidRPr="00496F47">
          <w:rPr>
            <w:rStyle w:val="Hyperlink"/>
            <w:rFonts w:eastAsia="Arial" w:cs="Arial"/>
            <w:szCs w:val="20"/>
          </w:rPr>
          <w:t>https://www.acecqa.gov.au/nqf/about</w:t>
        </w:r>
      </w:hyperlink>
      <w:r>
        <w:rPr>
          <w:rFonts w:eastAsia="Arial" w:cs="Arial"/>
          <w:color w:val="auto"/>
          <w:szCs w:val="20"/>
        </w:rPr>
        <w:t xml:space="preserve"> </w:t>
      </w:r>
    </w:p>
    <w:p w14:paraId="71876FA5" w14:textId="77777777" w:rsidR="00A2332E" w:rsidRPr="00236BB5" w:rsidRDefault="00A2332E" w:rsidP="00A2332E">
      <w:pPr>
        <w:pStyle w:val="References"/>
        <w:rPr>
          <w:rFonts w:eastAsia="Times New Roman" w:cs="Arial"/>
          <w:color w:val="auto"/>
          <w:szCs w:val="20"/>
          <w:u w:val="single"/>
        </w:rPr>
      </w:pPr>
      <w:r w:rsidRPr="00236BB5">
        <w:rPr>
          <w:rFonts w:eastAsia="Times New Roman" w:cs="Arial"/>
          <w:color w:val="auto"/>
          <w:szCs w:val="20"/>
        </w:rPr>
        <w:t xml:space="preserve">Australian Competition and Consumer Commission (2023a). </w:t>
      </w:r>
      <w:r w:rsidRPr="00236BB5">
        <w:rPr>
          <w:rFonts w:eastAsia="Times New Roman" w:cs="Arial"/>
          <w:i/>
          <w:iCs/>
          <w:color w:val="auto"/>
          <w:szCs w:val="20"/>
        </w:rPr>
        <w:t>Childcare inquiry 2023: Interim report</w:t>
      </w:r>
      <w:r w:rsidRPr="00236BB5">
        <w:rPr>
          <w:rFonts w:eastAsia="Times New Roman" w:cs="Arial"/>
          <w:color w:val="auto"/>
          <w:szCs w:val="20"/>
        </w:rPr>
        <w:t xml:space="preserve">. </w:t>
      </w:r>
      <w:hyperlink r:id="rId160" w:history="1">
        <w:r w:rsidRPr="00496F47">
          <w:rPr>
            <w:rStyle w:val="Hyperlink"/>
            <w:rFonts w:eastAsia="Times New Roman" w:cs="Arial"/>
            <w:szCs w:val="20"/>
          </w:rPr>
          <w:t>https://www.accc.gov.au/inquiries-and-consultations/childcare-inquiry-2023/june-2023-interim-report</w:t>
        </w:r>
      </w:hyperlink>
      <w:r>
        <w:rPr>
          <w:rFonts w:eastAsia="Times New Roman" w:cs="Arial"/>
          <w:color w:val="auto"/>
          <w:szCs w:val="20"/>
        </w:rPr>
        <w:t xml:space="preserve"> </w:t>
      </w:r>
    </w:p>
    <w:p w14:paraId="73D30606" w14:textId="77777777" w:rsidR="00A2332E" w:rsidRPr="00236BB5" w:rsidRDefault="00A2332E" w:rsidP="00A2332E">
      <w:pPr>
        <w:pStyle w:val="References"/>
        <w:rPr>
          <w:rStyle w:val="Hyperlink"/>
          <w:rFonts w:eastAsia="Arial" w:cs="Arial"/>
          <w:color w:val="auto"/>
          <w:szCs w:val="20"/>
        </w:rPr>
      </w:pPr>
      <w:r w:rsidRPr="00236BB5">
        <w:rPr>
          <w:rFonts w:eastAsia="Arial" w:cs="Arial"/>
          <w:color w:val="auto"/>
          <w:szCs w:val="20"/>
        </w:rPr>
        <w:t xml:space="preserve">Australian Competition and Consumer Commission. (2023b). </w:t>
      </w:r>
      <w:r w:rsidRPr="00236BB5">
        <w:rPr>
          <w:rFonts w:eastAsia="Arial" w:cs="Arial"/>
          <w:i/>
          <w:iCs/>
          <w:color w:val="auto"/>
          <w:szCs w:val="20"/>
        </w:rPr>
        <w:t>Childcare Inquiry Roundtable Summary: First Nations</w:t>
      </w:r>
      <w:r w:rsidRPr="00236BB5">
        <w:rPr>
          <w:rFonts w:eastAsia="Arial" w:cs="Arial"/>
          <w:color w:val="auto"/>
          <w:szCs w:val="20"/>
        </w:rPr>
        <w:t xml:space="preserve">. Virtual Roundtable. </w:t>
      </w:r>
      <w:hyperlink r:id="rId161" w:history="1">
        <w:r w:rsidRPr="00496F47">
          <w:rPr>
            <w:rStyle w:val="Hyperlink"/>
            <w:rFonts w:eastAsia="Arial" w:cs="Arial"/>
            <w:szCs w:val="20"/>
          </w:rPr>
          <w:t>https://www.accc.gov.au/system/files/Childcare%20Inquiry%20Roundtable%20Summary%20-%20First%20Nations%20Virtual.pdf</w:t>
        </w:r>
      </w:hyperlink>
      <w:r>
        <w:rPr>
          <w:rFonts w:eastAsia="Arial" w:cs="Arial"/>
          <w:color w:val="auto"/>
          <w:szCs w:val="20"/>
        </w:rPr>
        <w:t xml:space="preserve"> </w:t>
      </w:r>
    </w:p>
    <w:p w14:paraId="019B0267" w14:textId="77777777" w:rsidR="00A2332E" w:rsidRPr="00236BB5" w:rsidRDefault="00A2332E" w:rsidP="00A2332E">
      <w:pPr>
        <w:pStyle w:val="References"/>
        <w:rPr>
          <w:rFonts w:cs="Arial"/>
          <w:color w:val="auto"/>
        </w:rPr>
      </w:pPr>
      <w:r w:rsidRPr="55D9BFE3">
        <w:rPr>
          <w:rFonts w:eastAsia="Times New Roman" w:cs="Arial"/>
          <w:color w:val="auto"/>
        </w:rPr>
        <w:t xml:space="preserve">Australian Competition and Consumer Commission. (2023c). </w:t>
      </w:r>
      <w:r w:rsidRPr="00553285">
        <w:rPr>
          <w:rFonts w:eastAsia="Times New Roman" w:cs="Arial"/>
          <w:i/>
          <w:iCs/>
          <w:color w:val="auto"/>
        </w:rPr>
        <w:t>Childcare inquiry 2023: Final report.</w:t>
      </w:r>
      <w:r w:rsidRPr="55D9BFE3">
        <w:rPr>
          <w:rFonts w:eastAsia="Times New Roman" w:cs="Arial"/>
          <w:color w:val="auto"/>
        </w:rPr>
        <w:t xml:space="preserve"> </w:t>
      </w:r>
      <w:hyperlink r:id="rId162">
        <w:r w:rsidRPr="55D9BFE3">
          <w:rPr>
            <w:rStyle w:val="Hyperlink"/>
            <w:rFonts w:eastAsia="Times New Roman" w:cs="Arial"/>
          </w:rPr>
          <w:t>https://www.accc.gov.au/system/files/ACCC%20Childcare%20Inquiry-final%20report%20December%202023.pdf?ref=0&amp;download=y</w:t>
        </w:r>
      </w:hyperlink>
      <w:r w:rsidRPr="55D9BFE3">
        <w:rPr>
          <w:rFonts w:eastAsia="Times New Roman" w:cs="Arial"/>
          <w:color w:val="auto"/>
        </w:rPr>
        <w:t xml:space="preserve"> </w:t>
      </w:r>
    </w:p>
    <w:p w14:paraId="32B7E463" w14:textId="77777777" w:rsidR="00A2332E" w:rsidRPr="00236BB5" w:rsidRDefault="00A2332E" w:rsidP="00A2332E">
      <w:pPr>
        <w:pStyle w:val="References"/>
        <w:rPr>
          <w:rFonts w:eastAsia="Arial" w:cs="Arial"/>
          <w:color w:val="auto"/>
          <w:szCs w:val="20"/>
        </w:rPr>
      </w:pPr>
      <w:r w:rsidRPr="00236BB5">
        <w:rPr>
          <w:rFonts w:eastAsia="Arial" w:cs="Arial"/>
          <w:color w:val="auto"/>
          <w:szCs w:val="20"/>
        </w:rPr>
        <w:t xml:space="preserve">Australian Competition and Consumer Commission. (2023d). </w:t>
      </w:r>
      <w:r w:rsidRPr="00236BB5">
        <w:rPr>
          <w:rFonts w:eastAsia="Arial" w:cs="Arial"/>
          <w:i/>
          <w:iCs/>
          <w:color w:val="auto"/>
          <w:szCs w:val="20"/>
        </w:rPr>
        <w:t>Childcare inquiry.</w:t>
      </w:r>
      <w:r w:rsidRPr="00236BB5">
        <w:rPr>
          <w:rFonts w:eastAsia="Arial" w:cs="Arial"/>
          <w:color w:val="auto"/>
          <w:szCs w:val="20"/>
        </w:rPr>
        <w:t xml:space="preserve"> </w:t>
      </w:r>
      <w:hyperlink r:id="rId163" w:history="1">
        <w:r w:rsidRPr="00496F47">
          <w:rPr>
            <w:rStyle w:val="Hyperlink"/>
            <w:rFonts w:eastAsia="Arial" w:cs="Arial"/>
            <w:szCs w:val="20"/>
          </w:rPr>
          <w:t>https://www.accc.gov.au/inquiries-and-consultations/childcare-inquiry-2023</w:t>
        </w:r>
      </w:hyperlink>
      <w:r>
        <w:rPr>
          <w:rFonts w:eastAsia="Arial" w:cs="Arial"/>
          <w:color w:val="auto"/>
          <w:szCs w:val="20"/>
        </w:rPr>
        <w:t xml:space="preserve"> </w:t>
      </w:r>
    </w:p>
    <w:p w14:paraId="53C181EE" w14:textId="77777777" w:rsidR="00A2332E" w:rsidRPr="00236BB5" w:rsidRDefault="00A2332E" w:rsidP="00A2332E">
      <w:pPr>
        <w:pStyle w:val="References"/>
        <w:rPr>
          <w:rStyle w:val="Hyperlink"/>
          <w:rFonts w:eastAsia="Times New Roman" w:cs="Arial"/>
          <w:color w:val="auto"/>
          <w:szCs w:val="20"/>
        </w:rPr>
      </w:pPr>
      <w:r w:rsidRPr="55D9BFE3">
        <w:rPr>
          <w:rFonts w:eastAsia="Times New Roman" w:cs="Arial"/>
          <w:color w:val="auto"/>
        </w:rPr>
        <w:t xml:space="preserve">Australian Competition and Consumer Commission. (2024). </w:t>
      </w:r>
      <w:r w:rsidRPr="55D9BFE3">
        <w:rPr>
          <w:rFonts w:eastAsia="Times New Roman" w:cs="Arial"/>
          <w:i/>
          <w:iCs/>
          <w:color w:val="auto"/>
        </w:rPr>
        <w:t>Childcare inquiry 2023: Final report</w:t>
      </w:r>
      <w:r w:rsidRPr="55D9BFE3">
        <w:rPr>
          <w:rFonts w:eastAsia="Times New Roman" w:cs="Arial"/>
          <w:color w:val="auto"/>
        </w:rPr>
        <w:t xml:space="preserve">. </w:t>
      </w:r>
      <w:hyperlink r:id="rId164">
        <w:r w:rsidRPr="55D9BFE3">
          <w:rPr>
            <w:rStyle w:val="Hyperlink"/>
            <w:rFonts w:eastAsia="Times New Roman" w:cs="Arial"/>
          </w:rPr>
          <w:t>https://www.accc.gov.au/system/files/ACCC%20Childcare%20Inquiry-final%20report%20December%202023.pdf?ref=0&amp;download=y</w:t>
        </w:r>
      </w:hyperlink>
      <w:r w:rsidRPr="55D9BFE3">
        <w:rPr>
          <w:rFonts w:eastAsia="Times New Roman" w:cs="Arial"/>
          <w:color w:val="auto"/>
        </w:rPr>
        <w:t xml:space="preserve"> </w:t>
      </w:r>
    </w:p>
    <w:p w14:paraId="41A2763E" w14:textId="77777777" w:rsidR="00A2332E" w:rsidRPr="00236BB5" w:rsidRDefault="00A2332E" w:rsidP="00A2332E">
      <w:pPr>
        <w:pStyle w:val="References"/>
        <w:rPr>
          <w:rStyle w:val="Hyperlink"/>
          <w:rFonts w:eastAsia="Times New Roman" w:cs="Arial"/>
          <w:color w:val="auto"/>
          <w:szCs w:val="20"/>
          <w:lang w:eastAsia="en-AU"/>
        </w:rPr>
      </w:pPr>
      <w:r w:rsidRPr="00236BB5">
        <w:rPr>
          <w:rFonts w:eastAsia="Times New Roman" w:cs="Arial"/>
          <w:color w:val="auto"/>
          <w:szCs w:val="20"/>
          <w:lang w:eastAsia="en-AU"/>
        </w:rPr>
        <w:t xml:space="preserve">Australian Government. (2022, September). </w:t>
      </w:r>
      <w:r w:rsidRPr="00236BB5">
        <w:rPr>
          <w:rFonts w:eastAsia="Times New Roman" w:cs="Arial"/>
          <w:i/>
          <w:iCs/>
          <w:color w:val="auto"/>
          <w:szCs w:val="20"/>
          <w:lang w:eastAsia="en-AU"/>
        </w:rPr>
        <w:t>Jobs and Skills Summit Outcomes</w:t>
      </w:r>
      <w:r w:rsidRPr="00236BB5">
        <w:rPr>
          <w:rFonts w:eastAsia="Times New Roman" w:cs="Arial"/>
          <w:color w:val="auto"/>
          <w:szCs w:val="20"/>
          <w:lang w:eastAsia="en-AU"/>
        </w:rPr>
        <w:t xml:space="preserve">. Jobs and Skills Summit. </w:t>
      </w:r>
      <w:hyperlink r:id="rId165" w:history="1">
        <w:r w:rsidRPr="00496F47">
          <w:rPr>
            <w:rStyle w:val="Hyperlink"/>
            <w:rFonts w:eastAsia="Times New Roman" w:cs="Arial"/>
            <w:szCs w:val="20"/>
            <w:lang w:eastAsia="en-AU"/>
          </w:rPr>
          <w:t>https://treasury.gov.au/sites/default/files/inline-files/Jobs-and-Skills-Summit-Outcomes-Document.pdf</w:t>
        </w:r>
      </w:hyperlink>
      <w:r>
        <w:rPr>
          <w:rFonts w:eastAsia="Times New Roman" w:cs="Arial"/>
          <w:color w:val="auto"/>
          <w:szCs w:val="20"/>
          <w:lang w:eastAsia="en-AU"/>
        </w:rPr>
        <w:t xml:space="preserve"> </w:t>
      </w:r>
    </w:p>
    <w:p w14:paraId="109F048A" w14:textId="77777777" w:rsidR="00A2332E" w:rsidRPr="00236BB5" w:rsidRDefault="00A2332E" w:rsidP="00A2332E">
      <w:pPr>
        <w:pStyle w:val="References"/>
        <w:rPr>
          <w:rStyle w:val="Hyperlink"/>
          <w:rFonts w:cs="Arial"/>
          <w:color w:val="auto"/>
          <w:szCs w:val="20"/>
        </w:rPr>
      </w:pPr>
      <w:r w:rsidRPr="00236BB5">
        <w:rPr>
          <w:rFonts w:cs="Arial"/>
          <w:color w:val="auto"/>
          <w:szCs w:val="20"/>
        </w:rPr>
        <w:t xml:space="preserve">Bexley, E., &amp; James, R., &amp; Palmer, N. (2011). </w:t>
      </w:r>
      <w:r w:rsidRPr="00236BB5">
        <w:rPr>
          <w:rFonts w:cs="Arial"/>
          <w:i/>
          <w:iCs/>
          <w:color w:val="auto"/>
          <w:szCs w:val="20"/>
        </w:rPr>
        <w:t>Selection and Participation in Higher Education: University selection in support of student success and diversity of participation</w:t>
      </w:r>
      <w:r w:rsidRPr="00236BB5">
        <w:rPr>
          <w:rFonts w:cs="Arial"/>
          <w:color w:val="auto"/>
          <w:szCs w:val="20"/>
        </w:rPr>
        <w:t xml:space="preserve">. Centre for the Study of Higher Education, University of Melbourne. </w:t>
      </w:r>
      <w:hyperlink r:id="rId166" w:history="1">
        <w:r w:rsidRPr="00496F47">
          <w:rPr>
            <w:rStyle w:val="Hyperlink"/>
            <w:rFonts w:cs="Arial"/>
            <w:szCs w:val="20"/>
          </w:rPr>
          <w:t>https://melbourne-cshe.unimelb.edu.au/__data/assets/pdf_file/0004/1490980/Selection_and_Participation_in_Higher_Education.pdf</w:t>
        </w:r>
      </w:hyperlink>
      <w:r>
        <w:rPr>
          <w:rFonts w:cs="Arial"/>
          <w:color w:val="auto"/>
          <w:szCs w:val="20"/>
        </w:rPr>
        <w:t xml:space="preserve"> </w:t>
      </w:r>
    </w:p>
    <w:p w14:paraId="3F7DD7B5" w14:textId="77777777" w:rsidR="00A2332E" w:rsidRPr="00236BB5" w:rsidRDefault="00A2332E" w:rsidP="00A2332E">
      <w:pPr>
        <w:pStyle w:val="References"/>
        <w:rPr>
          <w:rStyle w:val="Hyperlink"/>
          <w:rFonts w:eastAsia="Arial" w:cs="Arial"/>
          <w:color w:val="auto"/>
          <w:szCs w:val="20"/>
        </w:rPr>
      </w:pPr>
      <w:r w:rsidRPr="00236BB5">
        <w:rPr>
          <w:rFonts w:eastAsia="Arial" w:cs="Arial"/>
          <w:color w:val="auto"/>
          <w:szCs w:val="20"/>
        </w:rPr>
        <w:t xml:space="preserve">Biddle, N. (2007). Indigenous Australians and preschool education. Who is attending? </w:t>
      </w:r>
      <w:r w:rsidRPr="00236BB5">
        <w:rPr>
          <w:rFonts w:eastAsia="Arial" w:cs="Arial"/>
          <w:i/>
          <w:iCs/>
          <w:color w:val="auto"/>
          <w:szCs w:val="20"/>
        </w:rPr>
        <w:t>Australasian Journal of Early Childhood</w:t>
      </w:r>
      <w:r w:rsidRPr="00236BB5">
        <w:rPr>
          <w:rFonts w:eastAsia="Arial" w:cs="Arial"/>
          <w:color w:val="auto"/>
          <w:szCs w:val="20"/>
        </w:rPr>
        <w:t xml:space="preserve">, </w:t>
      </w:r>
      <w:r w:rsidRPr="00236BB5">
        <w:rPr>
          <w:rFonts w:eastAsia="Arial" w:cs="Arial"/>
          <w:i/>
          <w:iCs/>
          <w:color w:val="auto"/>
          <w:szCs w:val="20"/>
        </w:rPr>
        <w:t>32</w:t>
      </w:r>
      <w:r w:rsidRPr="00236BB5">
        <w:rPr>
          <w:rFonts w:eastAsia="Arial" w:cs="Arial"/>
          <w:color w:val="auto"/>
          <w:szCs w:val="20"/>
        </w:rPr>
        <w:t xml:space="preserve">(3). </w:t>
      </w:r>
      <w:hyperlink r:id="rId167" w:history="1">
        <w:r w:rsidRPr="00496F47">
          <w:rPr>
            <w:rStyle w:val="Hyperlink"/>
            <w:rFonts w:eastAsia="Arial" w:cs="Arial"/>
            <w:szCs w:val="20"/>
          </w:rPr>
          <w:t>https://journals.sagepub.com/doi/10.1177/183693910703200303</w:t>
        </w:r>
      </w:hyperlink>
      <w:r>
        <w:rPr>
          <w:rFonts w:eastAsia="Arial" w:cs="Arial"/>
          <w:color w:val="auto"/>
          <w:szCs w:val="20"/>
        </w:rPr>
        <w:t xml:space="preserve"> </w:t>
      </w:r>
    </w:p>
    <w:p w14:paraId="59C90FB9" w14:textId="77777777" w:rsidR="00A2332E" w:rsidRPr="00236BB5" w:rsidRDefault="00A2332E" w:rsidP="00A2332E">
      <w:pPr>
        <w:pStyle w:val="References"/>
        <w:rPr>
          <w:rFonts w:cs="Arial"/>
          <w:color w:val="auto"/>
          <w:szCs w:val="20"/>
        </w:rPr>
      </w:pPr>
      <w:r w:rsidRPr="00236BB5">
        <w:rPr>
          <w:rFonts w:cs="Arial"/>
          <w:color w:val="auto"/>
          <w:szCs w:val="20"/>
        </w:rPr>
        <w:lastRenderedPageBreak/>
        <w:t xml:space="preserve">Billett, S., et al. (Eds.). (2022). </w:t>
      </w:r>
      <w:r w:rsidRPr="00236BB5">
        <w:rPr>
          <w:rFonts w:cs="Arial"/>
          <w:i/>
          <w:iCs/>
          <w:color w:val="auto"/>
          <w:szCs w:val="20"/>
        </w:rPr>
        <w:t>The Standing of Vocational Education and the Occupations It Serves</w:t>
      </w:r>
      <w:r w:rsidRPr="00236BB5">
        <w:rPr>
          <w:rFonts w:cs="Arial"/>
          <w:color w:val="auto"/>
          <w:szCs w:val="20"/>
        </w:rPr>
        <w:t xml:space="preserve">. </w:t>
      </w:r>
      <w:hyperlink r:id="rId168" w:history="1">
        <w:r w:rsidRPr="00496F47">
          <w:rPr>
            <w:rStyle w:val="Hyperlink"/>
            <w:rFonts w:cs="Arial"/>
            <w:szCs w:val="20"/>
          </w:rPr>
          <w:t>https://link.springer.com/book/10.1007/978-3-030-96237-1</w:t>
        </w:r>
      </w:hyperlink>
      <w:r>
        <w:rPr>
          <w:rFonts w:cs="Arial"/>
          <w:color w:val="auto"/>
          <w:szCs w:val="20"/>
        </w:rPr>
        <w:t xml:space="preserve"> </w:t>
      </w:r>
    </w:p>
    <w:p w14:paraId="116D054D" w14:textId="77777777" w:rsidR="00A2332E" w:rsidRPr="00236BB5" w:rsidRDefault="00A2332E" w:rsidP="00A2332E">
      <w:pPr>
        <w:pStyle w:val="References"/>
        <w:rPr>
          <w:rStyle w:val="Hyperlink"/>
          <w:rFonts w:eastAsia="Times New Roman" w:cs="Arial"/>
          <w:color w:val="auto"/>
          <w:szCs w:val="20"/>
        </w:rPr>
      </w:pPr>
      <w:r w:rsidRPr="00236BB5">
        <w:rPr>
          <w:rFonts w:eastAsia="Times New Roman" w:cs="Arial"/>
          <w:color w:val="auto"/>
          <w:szCs w:val="20"/>
        </w:rPr>
        <w:t xml:space="preserve">Bray, J Rob. (2023). </w:t>
      </w:r>
      <w:r w:rsidRPr="00236BB5">
        <w:rPr>
          <w:rFonts w:eastAsia="Times New Roman" w:cs="Arial"/>
          <w:i/>
          <w:iCs/>
          <w:color w:val="auto"/>
          <w:szCs w:val="20"/>
        </w:rPr>
        <w:t>Childcare in Australia: Historical trends in provision and Australian Government funding. A statistical compendium 1969-2022</w:t>
      </w:r>
      <w:r w:rsidRPr="00236BB5">
        <w:rPr>
          <w:rFonts w:eastAsia="Times New Roman" w:cs="Arial"/>
          <w:color w:val="auto"/>
          <w:szCs w:val="20"/>
        </w:rPr>
        <w:t xml:space="preserve">. </w:t>
      </w:r>
      <w:hyperlink r:id="rId169" w:history="1">
        <w:r w:rsidRPr="00496F47">
          <w:rPr>
            <w:rStyle w:val="Hyperlink"/>
            <w:rFonts w:eastAsia="Times New Roman" w:cs="Arial"/>
            <w:szCs w:val="20"/>
          </w:rPr>
          <w:t>https://csrm.cass.anu.edu.au/sites/default/files/docs/2023/7/bray-_child_care_numbers_1969_to_2022_revised_draft_14_2.pdf</w:t>
        </w:r>
      </w:hyperlink>
      <w:r>
        <w:rPr>
          <w:rFonts w:eastAsia="Times New Roman" w:cs="Arial"/>
          <w:color w:val="auto"/>
          <w:szCs w:val="20"/>
        </w:rPr>
        <w:t xml:space="preserve"> </w:t>
      </w:r>
    </w:p>
    <w:p w14:paraId="1E710D54" w14:textId="77777777" w:rsidR="00A2332E" w:rsidRPr="00236BB5" w:rsidRDefault="00A2332E" w:rsidP="00A2332E">
      <w:pPr>
        <w:pStyle w:val="References"/>
        <w:rPr>
          <w:rStyle w:val="Hyperlink"/>
          <w:rFonts w:eastAsia="Times New Roman" w:cs="Arial"/>
          <w:color w:val="auto"/>
          <w:szCs w:val="20"/>
        </w:rPr>
      </w:pPr>
      <w:r w:rsidRPr="00236BB5">
        <w:rPr>
          <w:rFonts w:eastAsia="Times New Roman" w:cs="Arial"/>
          <w:color w:val="auto"/>
          <w:szCs w:val="20"/>
        </w:rPr>
        <w:t xml:space="preserve">Closing the Gap. </w:t>
      </w:r>
      <w:r w:rsidRPr="00236BB5">
        <w:rPr>
          <w:rFonts w:eastAsia="Times New Roman" w:cs="Arial"/>
          <w:i/>
          <w:iCs/>
          <w:color w:val="auto"/>
          <w:szCs w:val="20"/>
        </w:rPr>
        <w:t>Closing the Gap targets and outcomes</w:t>
      </w:r>
      <w:r w:rsidRPr="00236BB5">
        <w:rPr>
          <w:rFonts w:eastAsia="Times New Roman" w:cs="Arial"/>
          <w:color w:val="auto"/>
          <w:szCs w:val="20"/>
        </w:rPr>
        <w:t xml:space="preserve">. Australian Government. (2020b). </w:t>
      </w:r>
      <w:hyperlink r:id="rId170" w:history="1">
        <w:r w:rsidRPr="00496F47">
          <w:rPr>
            <w:rStyle w:val="Hyperlink"/>
            <w:rFonts w:eastAsia="Times New Roman" w:cs="Arial"/>
            <w:szCs w:val="20"/>
          </w:rPr>
          <w:t>https://www.closingthegap.gov.au/national-agreement/targets</w:t>
        </w:r>
      </w:hyperlink>
      <w:r>
        <w:rPr>
          <w:rFonts w:eastAsia="Times New Roman" w:cs="Arial"/>
          <w:color w:val="auto"/>
          <w:szCs w:val="20"/>
        </w:rPr>
        <w:t xml:space="preserve"> </w:t>
      </w:r>
    </w:p>
    <w:p w14:paraId="72190563" w14:textId="77777777" w:rsidR="00A2332E" w:rsidRPr="00236BB5" w:rsidRDefault="00A2332E" w:rsidP="00A2332E">
      <w:pPr>
        <w:pStyle w:val="References"/>
        <w:rPr>
          <w:rStyle w:val="Hyperlink"/>
          <w:rFonts w:eastAsia="Arial" w:cs="Arial"/>
          <w:color w:val="auto"/>
          <w:szCs w:val="20"/>
        </w:rPr>
      </w:pPr>
      <w:r w:rsidRPr="00236BB5">
        <w:rPr>
          <w:rFonts w:eastAsia="Arial" w:cs="Arial"/>
          <w:color w:val="auto"/>
          <w:szCs w:val="20"/>
        </w:rPr>
        <w:t xml:space="preserve">Closing the Gap. </w:t>
      </w:r>
      <w:r w:rsidRPr="00236BB5">
        <w:rPr>
          <w:rFonts w:eastAsia="Arial" w:cs="Arial"/>
          <w:i/>
          <w:iCs/>
          <w:color w:val="auto"/>
          <w:szCs w:val="20"/>
        </w:rPr>
        <w:t>National Agreement on Closing the Gap</w:t>
      </w:r>
      <w:r w:rsidRPr="00236BB5">
        <w:rPr>
          <w:rFonts w:eastAsia="Arial" w:cs="Arial"/>
          <w:color w:val="auto"/>
          <w:szCs w:val="20"/>
        </w:rPr>
        <w:t xml:space="preserve">. Australian Government. (2020a). </w:t>
      </w:r>
      <w:hyperlink r:id="rId171" w:history="1">
        <w:r w:rsidRPr="00496F47">
          <w:rPr>
            <w:rStyle w:val="Hyperlink"/>
            <w:rFonts w:eastAsia="Arial" w:cs="Arial"/>
            <w:szCs w:val="20"/>
          </w:rPr>
          <w:t>https://www.closingthegap.gov.au/national-agreement/national-agreement-closing-the-gap</w:t>
        </w:r>
      </w:hyperlink>
      <w:r>
        <w:rPr>
          <w:rFonts w:eastAsia="Arial" w:cs="Arial"/>
          <w:color w:val="auto"/>
          <w:szCs w:val="20"/>
        </w:rPr>
        <w:t xml:space="preserve"> </w:t>
      </w:r>
    </w:p>
    <w:p w14:paraId="44F097CF" w14:textId="77777777" w:rsidR="00A2332E" w:rsidRPr="00236BB5" w:rsidRDefault="00A2332E" w:rsidP="00A2332E">
      <w:pPr>
        <w:pStyle w:val="References"/>
        <w:rPr>
          <w:rFonts w:eastAsia="Arial" w:cs="Arial"/>
          <w:color w:val="auto"/>
          <w:szCs w:val="20"/>
        </w:rPr>
      </w:pPr>
      <w:r w:rsidRPr="00236BB5">
        <w:rPr>
          <w:rStyle w:val="ui-provider"/>
          <w:rFonts w:cs="Arial"/>
          <w:color w:val="auto"/>
          <w:szCs w:val="20"/>
        </w:rPr>
        <w:t xml:space="preserve">Cumming, T., Wong, S., &amp; Logan, H. (2021). Early childhood educators’ well-being, work environments and ‘quality’: Possibilities for changing policy and practice. </w:t>
      </w:r>
      <w:r w:rsidRPr="00236BB5">
        <w:rPr>
          <w:rStyle w:val="ui-provider"/>
          <w:rFonts w:cs="Arial"/>
          <w:i/>
          <w:iCs/>
          <w:color w:val="auto"/>
          <w:szCs w:val="20"/>
        </w:rPr>
        <w:t>Australasian Journal of Early Childhood</w:t>
      </w:r>
      <w:r w:rsidRPr="00236BB5">
        <w:rPr>
          <w:rStyle w:val="ui-provider"/>
          <w:rFonts w:cs="Arial"/>
          <w:color w:val="auto"/>
          <w:szCs w:val="20"/>
        </w:rPr>
        <w:t xml:space="preserve">, </w:t>
      </w:r>
      <w:r w:rsidRPr="00236BB5">
        <w:rPr>
          <w:rStyle w:val="ui-provider"/>
          <w:rFonts w:cs="Arial"/>
          <w:i/>
          <w:iCs/>
          <w:color w:val="auto"/>
          <w:szCs w:val="20"/>
        </w:rPr>
        <w:t>46</w:t>
      </w:r>
      <w:r w:rsidRPr="00236BB5">
        <w:rPr>
          <w:rStyle w:val="ui-provider"/>
          <w:rFonts w:cs="Arial"/>
          <w:color w:val="auto"/>
          <w:szCs w:val="20"/>
        </w:rPr>
        <w:t>(1), 50-65.</w:t>
      </w:r>
      <w:r w:rsidRPr="00236BB5">
        <w:rPr>
          <w:rFonts w:eastAsia="Arial" w:cs="Arial"/>
          <w:color w:val="auto"/>
          <w:szCs w:val="20"/>
        </w:rPr>
        <w:t xml:space="preserve"> </w:t>
      </w:r>
      <w:hyperlink r:id="rId172" w:history="1">
        <w:r w:rsidRPr="00496F47">
          <w:rPr>
            <w:rStyle w:val="Hyperlink"/>
            <w:rFonts w:eastAsia="Arial" w:cs="Arial"/>
            <w:szCs w:val="20"/>
          </w:rPr>
          <w:t>https://journals.sagepub.com/doi/full/10.1177/1836939120979064</w:t>
        </w:r>
      </w:hyperlink>
      <w:r>
        <w:rPr>
          <w:rFonts w:eastAsia="Arial" w:cs="Arial"/>
          <w:color w:val="auto"/>
          <w:szCs w:val="20"/>
        </w:rPr>
        <w:t xml:space="preserve"> </w:t>
      </w:r>
    </w:p>
    <w:p w14:paraId="5CFCA8F4" w14:textId="77777777" w:rsidR="00A2332E" w:rsidRDefault="00A2332E" w:rsidP="00A2332E">
      <w:pPr>
        <w:pStyle w:val="References"/>
        <w:rPr>
          <w:rFonts w:eastAsia="Arial" w:cs="Arial"/>
          <w:color w:val="auto"/>
          <w:szCs w:val="20"/>
        </w:rPr>
      </w:pPr>
      <w:r w:rsidRPr="00236BB5">
        <w:rPr>
          <w:rFonts w:eastAsia="Arial" w:cs="Arial"/>
          <w:color w:val="auto"/>
          <w:szCs w:val="20"/>
        </w:rPr>
        <w:t xml:space="preserve">Department of Education, Australian Government. (2023). </w:t>
      </w:r>
      <w:r w:rsidRPr="00236BB5">
        <w:rPr>
          <w:rFonts w:eastAsia="Arial" w:cs="Arial"/>
          <w:i/>
          <w:iCs/>
          <w:color w:val="auto"/>
          <w:szCs w:val="20"/>
        </w:rPr>
        <w:t>2023-24 Budget.</w:t>
      </w:r>
      <w:r w:rsidRPr="00236BB5">
        <w:rPr>
          <w:rFonts w:eastAsia="Arial" w:cs="Arial"/>
          <w:color w:val="auto"/>
          <w:szCs w:val="20"/>
        </w:rPr>
        <w:t xml:space="preserve"> </w:t>
      </w:r>
      <w:hyperlink r:id="rId173" w:anchor=":~:text=Early%20Childhood%20Education%20and%20Care,to%20complete%20current%20professional%20studies%2C" w:history="1">
        <w:r w:rsidRPr="00496F47">
          <w:rPr>
            <w:rStyle w:val="Hyperlink"/>
            <w:rFonts w:eastAsia="Arial" w:cs="Arial"/>
            <w:szCs w:val="20"/>
          </w:rPr>
          <w:t>https://www.education.gov.au/about-department/corporate-reporting/budget/budget-202324-overview#:~:text=Early%20Childhood%20Education%20and%20Care,to%20complete%20current%20professional%20studies%2C</w:t>
        </w:r>
      </w:hyperlink>
      <w:r w:rsidRPr="00236BB5">
        <w:rPr>
          <w:rFonts w:eastAsia="Arial" w:cs="Arial"/>
          <w:color w:val="auto"/>
          <w:szCs w:val="20"/>
        </w:rPr>
        <w:t>.</w:t>
      </w:r>
      <w:r>
        <w:rPr>
          <w:rFonts w:eastAsia="Arial" w:cs="Arial"/>
          <w:color w:val="auto"/>
          <w:szCs w:val="20"/>
        </w:rPr>
        <w:t xml:space="preserve"> </w:t>
      </w:r>
    </w:p>
    <w:p w14:paraId="63EA80CA" w14:textId="77777777" w:rsidR="00A2332E" w:rsidRPr="00236BB5" w:rsidRDefault="00A2332E" w:rsidP="00A2332E">
      <w:pPr>
        <w:pStyle w:val="References"/>
        <w:rPr>
          <w:rFonts w:eastAsia="Arial" w:cs="Arial"/>
          <w:color w:val="auto"/>
          <w:szCs w:val="20"/>
        </w:rPr>
      </w:pPr>
      <w:r>
        <w:rPr>
          <w:rFonts w:eastAsia="Arial" w:cs="Arial"/>
          <w:color w:val="auto"/>
          <w:szCs w:val="20"/>
        </w:rPr>
        <w:t xml:space="preserve">Department of Education, (2024a), </w:t>
      </w:r>
      <w:r>
        <w:rPr>
          <w:rFonts w:eastAsia="Arial" w:cs="Arial"/>
          <w:i/>
          <w:iCs/>
          <w:color w:val="auto"/>
          <w:szCs w:val="20"/>
        </w:rPr>
        <w:t>Commonwealth Prac Payment</w:t>
      </w:r>
      <w:r>
        <w:rPr>
          <w:rFonts w:eastAsia="Arial" w:cs="Arial"/>
          <w:color w:val="auto"/>
          <w:szCs w:val="20"/>
        </w:rPr>
        <w:t xml:space="preserve">, Australian Government,  </w:t>
      </w:r>
      <w:hyperlink r:id="rId174" w:history="1">
        <w:r w:rsidRPr="0090421E">
          <w:rPr>
            <w:rStyle w:val="Hyperlink"/>
            <w:rFonts w:eastAsia="Arial" w:cs="Arial"/>
            <w:szCs w:val="20"/>
          </w:rPr>
          <w:t>https://www.education.gov.au/higher-education/commonwealth-prac-payment</w:t>
        </w:r>
      </w:hyperlink>
      <w:r>
        <w:rPr>
          <w:rFonts w:eastAsia="Arial" w:cs="Arial"/>
          <w:color w:val="auto"/>
          <w:szCs w:val="20"/>
        </w:rPr>
        <w:t xml:space="preserve">. </w:t>
      </w:r>
    </w:p>
    <w:p w14:paraId="365BB1A8" w14:textId="77777777" w:rsidR="00A2332E" w:rsidRPr="009A6514" w:rsidRDefault="00A2332E" w:rsidP="00A2332E">
      <w:pPr>
        <w:pStyle w:val="References"/>
        <w:rPr>
          <w:rFonts w:cs="Arial"/>
          <w:color w:val="auto"/>
          <w:szCs w:val="20"/>
        </w:rPr>
      </w:pPr>
      <w:r w:rsidRPr="00236BB5">
        <w:rPr>
          <w:rFonts w:cs="Arial"/>
          <w:color w:val="auto"/>
          <w:szCs w:val="20"/>
        </w:rPr>
        <w:t>Department of Education, (2024</w:t>
      </w:r>
      <w:r>
        <w:rPr>
          <w:rFonts w:cs="Arial"/>
          <w:color w:val="auto"/>
          <w:szCs w:val="20"/>
        </w:rPr>
        <w:t>b</w:t>
      </w:r>
      <w:r w:rsidRPr="00236BB5">
        <w:rPr>
          <w:rFonts w:cs="Arial"/>
          <w:color w:val="auto"/>
          <w:szCs w:val="20"/>
        </w:rPr>
        <w:t xml:space="preserve">). </w:t>
      </w:r>
      <w:r w:rsidRPr="00236BB5">
        <w:rPr>
          <w:rFonts w:cs="Arial"/>
          <w:i/>
          <w:iCs/>
          <w:color w:val="auto"/>
          <w:szCs w:val="20"/>
        </w:rPr>
        <w:t xml:space="preserve">Paid practicum subsidy. </w:t>
      </w:r>
      <w:r w:rsidRPr="00236BB5">
        <w:rPr>
          <w:rFonts w:cs="Arial"/>
          <w:color w:val="auto"/>
          <w:szCs w:val="20"/>
        </w:rPr>
        <w:t>Australian Government</w:t>
      </w:r>
      <w:r>
        <w:rPr>
          <w:rFonts w:cs="Arial"/>
          <w:color w:val="auto"/>
          <w:szCs w:val="20"/>
        </w:rPr>
        <w:t>,</w:t>
      </w:r>
      <w:r>
        <w:t xml:space="preserve"> </w:t>
      </w:r>
      <w:hyperlink r:id="rId175" w:history="1">
        <w:r w:rsidRPr="00496F47">
          <w:rPr>
            <w:rStyle w:val="Hyperlink"/>
            <w:rFonts w:cs="Arial"/>
            <w:szCs w:val="20"/>
          </w:rPr>
          <w:t>https://www.education.gov.au/early-childhood/early-childhood-workforce/professional-development-opportunities/paid-practicum-subsidy</w:t>
        </w:r>
      </w:hyperlink>
      <w:r>
        <w:rPr>
          <w:rFonts w:cs="Arial"/>
          <w:color w:val="auto"/>
          <w:szCs w:val="20"/>
        </w:rPr>
        <w:t xml:space="preserve"> </w:t>
      </w:r>
    </w:p>
    <w:p w14:paraId="76BB3F90" w14:textId="77777777" w:rsidR="00A2332E" w:rsidRPr="00236BB5" w:rsidRDefault="00A2332E" w:rsidP="00A2332E">
      <w:pPr>
        <w:pStyle w:val="References"/>
        <w:rPr>
          <w:rFonts w:cs="Arial"/>
          <w:color w:val="auto"/>
          <w:szCs w:val="20"/>
        </w:rPr>
      </w:pPr>
      <w:r w:rsidRPr="00236BB5">
        <w:rPr>
          <w:rFonts w:eastAsia="Times New Roman" w:cs="Arial"/>
          <w:color w:val="auto"/>
          <w:szCs w:val="20"/>
        </w:rPr>
        <w:t xml:space="preserve">Department of Social Services, (2023), </w:t>
      </w:r>
      <w:r w:rsidRPr="00236BB5">
        <w:rPr>
          <w:rFonts w:eastAsia="Times New Roman" w:cs="Arial"/>
          <w:i/>
          <w:iCs/>
          <w:color w:val="auto"/>
          <w:szCs w:val="20"/>
        </w:rPr>
        <w:t>The Early Years Strategy 2024-2034</w:t>
      </w:r>
      <w:r w:rsidRPr="00236BB5">
        <w:rPr>
          <w:rFonts w:eastAsia="Times New Roman" w:cs="Arial"/>
          <w:color w:val="auto"/>
          <w:szCs w:val="20"/>
        </w:rPr>
        <w:t xml:space="preserve">, </w:t>
      </w:r>
      <w:hyperlink r:id="rId176" w:history="1">
        <w:r w:rsidRPr="00496F47">
          <w:rPr>
            <w:rStyle w:val="Hyperlink"/>
            <w:rFonts w:eastAsia="Times New Roman" w:cs="Arial"/>
            <w:szCs w:val="20"/>
          </w:rPr>
          <w:t>https://engage.dss.gov.au/wp-content/uploads/2023/12/draft-consultation-early-years-strategy.pdf</w:t>
        </w:r>
      </w:hyperlink>
      <w:r>
        <w:rPr>
          <w:rFonts w:eastAsia="Times New Roman" w:cs="Arial"/>
          <w:color w:val="auto"/>
          <w:szCs w:val="20"/>
        </w:rPr>
        <w:t xml:space="preserve"> </w:t>
      </w:r>
    </w:p>
    <w:p w14:paraId="088266BC" w14:textId="77777777" w:rsidR="00A2332E" w:rsidRPr="00236BB5" w:rsidRDefault="00A2332E" w:rsidP="00A2332E">
      <w:pPr>
        <w:pStyle w:val="References"/>
        <w:rPr>
          <w:rStyle w:val="Hyperlink"/>
          <w:rFonts w:eastAsia="Times New Roman" w:cs="Arial"/>
          <w:color w:val="auto"/>
          <w:szCs w:val="20"/>
          <w:lang w:eastAsia="en-AU"/>
        </w:rPr>
      </w:pPr>
      <w:r w:rsidRPr="00236BB5">
        <w:rPr>
          <w:rFonts w:eastAsia="Times New Roman" w:cs="Arial"/>
          <w:color w:val="auto"/>
          <w:szCs w:val="20"/>
          <w:lang w:eastAsia="en-AU"/>
        </w:rPr>
        <w:t xml:space="preserve">Eacott, S. (2024). The systemic implications of housing affordability for the teacher shortage: The case of New South Wales, Australia. The </w:t>
      </w:r>
      <w:r w:rsidRPr="00236BB5">
        <w:rPr>
          <w:rFonts w:eastAsia="Times New Roman" w:cs="Arial"/>
          <w:i/>
          <w:iCs/>
          <w:color w:val="auto"/>
          <w:szCs w:val="20"/>
          <w:lang w:eastAsia="en-AU"/>
        </w:rPr>
        <w:t>Australian Educational Researcher, 51</w:t>
      </w:r>
      <w:r w:rsidRPr="00236BB5">
        <w:rPr>
          <w:rFonts w:eastAsia="Times New Roman" w:cs="Arial"/>
          <w:color w:val="auto"/>
          <w:szCs w:val="20"/>
          <w:lang w:eastAsia="en-AU"/>
        </w:rPr>
        <w:t xml:space="preserve">, 733–755. </w:t>
      </w:r>
      <w:hyperlink r:id="rId177" w:anchor="citeas" w:history="1">
        <w:r w:rsidRPr="00496F47">
          <w:rPr>
            <w:rStyle w:val="Hyperlink"/>
            <w:rFonts w:eastAsia="Times New Roman" w:cs="Arial"/>
            <w:szCs w:val="20"/>
            <w:lang w:eastAsia="en-AU"/>
          </w:rPr>
          <w:t>https://link.springer.com/article/10.1007/s13384-023-00621-z#citeas</w:t>
        </w:r>
      </w:hyperlink>
      <w:r>
        <w:rPr>
          <w:rFonts w:eastAsia="Times New Roman" w:cs="Arial"/>
          <w:color w:val="auto"/>
          <w:szCs w:val="20"/>
          <w:lang w:eastAsia="en-AU"/>
        </w:rPr>
        <w:t xml:space="preserve"> </w:t>
      </w:r>
    </w:p>
    <w:p w14:paraId="0DABF1AC" w14:textId="77777777" w:rsidR="00A2332E" w:rsidRPr="00236BB5" w:rsidRDefault="00A2332E" w:rsidP="00A2332E">
      <w:pPr>
        <w:pStyle w:val="References"/>
        <w:rPr>
          <w:rFonts w:cs="Arial"/>
          <w:color w:val="auto"/>
          <w:szCs w:val="20"/>
        </w:rPr>
      </w:pPr>
      <w:r w:rsidRPr="00236BB5">
        <w:rPr>
          <w:rFonts w:eastAsia="Times New Roman" w:cs="Arial"/>
          <w:color w:val="auto"/>
          <w:szCs w:val="20"/>
          <w:lang w:eastAsia="en-AU"/>
        </w:rPr>
        <w:t xml:space="preserve">Eadie, P., Levickis, P., Murray, L., et al. (2021). Early Childhood Educators’ Wellbeing During the COVID-19 Pandemic. Early Childhood Education Journal, 49, 903–913. </w:t>
      </w:r>
      <w:hyperlink r:id="rId178" w:history="1">
        <w:r w:rsidRPr="00496F47">
          <w:rPr>
            <w:rStyle w:val="Hyperlink"/>
            <w:rFonts w:cs="Arial"/>
            <w:szCs w:val="20"/>
          </w:rPr>
          <w:t>https://link.springer.com/article/10.1007/s10643-021-01203-3</w:t>
        </w:r>
      </w:hyperlink>
      <w:r>
        <w:rPr>
          <w:rFonts w:cs="Arial"/>
          <w:color w:val="auto"/>
          <w:szCs w:val="20"/>
        </w:rPr>
        <w:t xml:space="preserve"> </w:t>
      </w:r>
    </w:p>
    <w:p w14:paraId="18630FE1" w14:textId="77777777" w:rsidR="00A2332E" w:rsidRPr="00236BB5" w:rsidRDefault="00A2332E" w:rsidP="00A2332E">
      <w:pPr>
        <w:pStyle w:val="References"/>
        <w:rPr>
          <w:rStyle w:val="Hyperlink"/>
          <w:rFonts w:eastAsia="Times New Roman" w:cs="Arial"/>
          <w:color w:val="auto"/>
          <w:szCs w:val="20"/>
          <w:lang w:eastAsia="en-AU"/>
        </w:rPr>
      </w:pPr>
      <w:r w:rsidRPr="00236BB5">
        <w:rPr>
          <w:rFonts w:eastAsia="Times New Roman" w:cs="Arial"/>
          <w:color w:val="auto"/>
          <w:szCs w:val="20"/>
          <w:lang w:eastAsia="en-AU"/>
        </w:rPr>
        <w:t xml:space="preserve">Gardner, A., &amp; Gardner, G. (2005). A trial of nurse practitioner scope of practice. </w:t>
      </w:r>
      <w:r w:rsidRPr="00236BB5">
        <w:rPr>
          <w:rFonts w:eastAsia="Times New Roman" w:cs="Arial"/>
          <w:i/>
          <w:iCs/>
          <w:color w:val="auto"/>
          <w:szCs w:val="20"/>
          <w:lang w:eastAsia="en-AU"/>
        </w:rPr>
        <w:t>Journal of Advanced Nursing</w:t>
      </w:r>
      <w:r w:rsidRPr="00236BB5">
        <w:rPr>
          <w:rFonts w:eastAsia="Times New Roman" w:cs="Arial"/>
          <w:color w:val="auto"/>
          <w:szCs w:val="20"/>
          <w:lang w:eastAsia="en-AU"/>
        </w:rPr>
        <w:t xml:space="preserve">, </w:t>
      </w:r>
      <w:r w:rsidRPr="00236BB5">
        <w:rPr>
          <w:rFonts w:eastAsia="Times New Roman" w:cs="Arial"/>
          <w:i/>
          <w:iCs/>
          <w:color w:val="auto"/>
          <w:szCs w:val="20"/>
          <w:lang w:eastAsia="en-AU"/>
        </w:rPr>
        <w:t>49(</w:t>
      </w:r>
      <w:r w:rsidRPr="00236BB5">
        <w:rPr>
          <w:rFonts w:eastAsia="Times New Roman" w:cs="Arial"/>
          <w:color w:val="auto"/>
          <w:szCs w:val="20"/>
          <w:lang w:eastAsia="en-AU"/>
        </w:rPr>
        <w:t xml:space="preserve">2), 135–145. </w:t>
      </w:r>
      <w:hyperlink r:id="rId179" w:history="1">
        <w:r w:rsidRPr="00496F47">
          <w:rPr>
            <w:rStyle w:val="Hyperlink"/>
            <w:rFonts w:eastAsia="Times New Roman" w:cs="Arial"/>
            <w:szCs w:val="20"/>
            <w:lang w:eastAsia="en-AU"/>
          </w:rPr>
          <w:t>https://onlinelibrary.wiley.com/doi/10.1111/j.1365-2648.2004.03273.x</w:t>
        </w:r>
      </w:hyperlink>
      <w:r>
        <w:rPr>
          <w:rFonts w:eastAsia="Times New Roman" w:cs="Arial"/>
          <w:color w:val="auto"/>
          <w:szCs w:val="20"/>
          <w:lang w:eastAsia="en-AU"/>
        </w:rPr>
        <w:t xml:space="preserve"> </w:t>
      </w:r>
    </w:p>
    <w:p w14:paraId="2B64EDA7" w14:textId="77777777" w:rsidR="00A2332E" w:rsidRPr="00236BB5" w:rsidRDefault="00A2332E" w:rsidP="00A2332E">
      <w:pPr>
        <w:pStyle w:val="References"/>
        <w:rPr>
          <w:rFonts w:cs="Arial"/>
          <w:color w:val="auto"/>
          <w:szCs w:val="20"/>
        </w:rPr>
      </w:pPr>
      <w:r w:rsidRPr="00236BB5">
        <w:rPr>
          <w:rFonts w:cs="Arial"/>
          <w:color w:val="auto"/>
          <w:szCs w:val="20"/>
        </w:rPr>
        <w:t xml:space="preserve">Hanft, Barbara E., Rush, Dathan D., &amp; Shelden, M’Lisa L. (2004). </w:t>
      </w:r>
      <w:r w:rsidRPr="00236BB5">
        <w:rPr>
          <w:rFonts w:cs="Arial"/>
          <w:i/>
          <w:iCs/>
          <w:color w:val="auto"/>
          <w:szCs w:val="20"/>
        </w:rPr>
        <w:t>Coaching Families and Colleagues in Early Childhood</w:t>
      </w:r>
      <w:r w:rsidRPr="00236BB5">
        <w:rPr>
          <w:rFonts w:cs="Arial"/>
          <w:color w:val="auto"/>
          <w:szCs w:val="20"/>
        </w:rPr>
        <w:t xml:space="preserve">. Brookes Publishing Company. </w:t>
      </w:r>
      <w:hyperlink r:id="rId180" w:history="1">
        <w:r w:rsidRPr="00496F47">
          <w:rPr>
            <w:rStyle w:val="Hyperlink"/>
            <w:rFonts w:cs="Arial"/>
            <w:szCs w:val="20"/>
          </w:rPr>
          <w:t>https://eric.ed.gov/?id=ED491774</w:t>
        </w:r>
      </w:hyperlink>
      <w:r>
        <w:rPr>
          <w:rFonts w:cs="Arial"/>
          <w:color w:val="auto"/>
          <w:szCs w:val="20"/>
        </w:rPr>
        <w:t xml:space="preserve"> </w:t>
      </w:r>
    </w:p>
    <w:p w14:paraId="59FDDB03" w14:textId="77777777" w:rsidR="00A2332E" w:rsidRPr="00236BB5" w:rsidRDefault="00A2332E" w:rsidP="00A2332E">
      <w:pPr>
        <w:pStyle w:val="References"/>
        <w:rPr>
          <w:rFonts w:eastAsia="Arial" w:cs="Arial"/>
          <w:color w:val="auto"/>
          <w:szCs w:val="20"/>
        </w:rPr>
      </w:pPr>
      <w:r w:rsidRPr="00236BB5">
        <w:rPr>
          <w:rFonts w:eastAsia="Arial" w:cs="Arial"/>
          <w:color w:val="auto"/>
          <w:szCs w:val="20"/>
        </w:rPr>
        <w:t xml:space="preserve">HumanAbility. (2023). </w:t>
      </w:r>
      <w:r w:rsidRPr="00236BB5">
        <w:rPr>
          <w:rFonts w:eastAsia="Arial" w:cs="Arial"/>
          <w:i/>
          <w:iCs/>
          <w:color w:val="auto"/>
          <w:szCs w:val="20"/>
        </w:rPr>
        <w:t>About us.</w:t>
      </w:r>
      <w:r w:rsidRPr="00236BB5">
        <w:rPr>
          <w:rFonts w:eastAsia="Arial" w:cs="Arial"/>
          <w:color w:val="auto"/>
          <w:szCs w:val="20"/>
        </w:rPr>
        <w:t xml:space="preserve"> </w:t>
      </w:r>
      <w:hyperlink r:id="rId181" w:history="1">
        <w:r w:rsidRPr="00496F47">
          <w:rPr>
            <w:rStyle w:val="Hyperlink"/>
            <w:rFonts w:eastAsia="Arial" w:cs="Arial"/>
            <w:szCs w:val="20"/>
          </w:rPr>
          <w:t>https://humanability.com.au/about</w:t>
        </w:r>
      </w:hyperlink>
      <w:r w:rsidRPr="00236BB5">
        <w:rPr>
          <w:rFonts w:eastAsia="Arial" w:cs="Arial"/>
          <w:color w:val="auto"/>
          <w:szCs w:val="20"/>
        </w:rPr>
        <w:t>.</w:t>
      </w:r>
      <w:r>
        <w:rPr>
          <w:rFonts w:eastAsia="Arial" w:cs="Arial"/>
          <w:color w:val="auto"/>
          <w:szCs w:val="20"/>
        </w:rPr>
        <w:t xml:space="preserve"> </w:t>
      </w:r>
    </w:p>
    <w:p w14:paraId="7AC7D688" w14:textId="77777777" w:rsidR="00A2332E" w:rsidRPr="00236BB5" w:rsidRDefault="00A2332E" w:rsidP="00A2332E">
      <w:pPr>
        <w:pStyle w:val="References"/>
        <w:rPr>
          <w:rFonts w:eastAsia="Times New Roman" w:cs="Arial"/>
          <w:color w:val="auto"/>
          <w:szCs w:val="20"/>
          <w:u w:val="single"/>
          <w:lang w:eastAsia="en-AU"/>
        </w:rPr>
      </w:pPr>
      <w:r w:rsidRPr="00236BB5">
        <w:rPr>
          <w:rFonts w:eastAsia="Times New Roman" w:cs="Arial"/>
          <w:color w:val="auto"/>
          <w:szCs w:val="20"/>
          <w:lang w:eastAsia="en-AU"/>
        </w:rPr>
        <w:t xml:space="preserve">Hunkin, E. (2018). Whose quality? The (mis)uses of quality reform in early childhood and education policy. </w:t>
      </w:r>
      <w:r w:rsidRPr="00236BB5">
        <w:rPr>
          <w:rFonts w:eastAsia="Times New Roman" w:cs="Arial"/>
          <w:i/>
          <w:iCs/>
          <w:color w:val="auto"/>
          <w:szCs w:val="20"/>
          <w:lang w:eastAsia="en-AU"/>
        </w:rPr>
        <w:t>Journal of Education Policy</w:t>
      </w:r>
      <w:r w:rsidRPr="00236BB5">
        <w:rPr>
          <w:rFonts w:eastAsia="Times New Roman" w:cs="Arial"/>
          <w:color w:val="auto"/>
          <w:szCs w:val="20"/>
          <w:lang w:eastAsia="en-AU"/>
        </w:rPr>
        <w:t xml:space="preserve">, </w:t>
      </w:r>
      <w:r w:rsidRPr="00236BB5">
        <w:rPr>
          <w:rFonts w:eastAsia="Times New Roman" w:cs="Arial"/>
          <w:i/>
          <w:iCs/>
          <w:color w:val="auto"/>
          <w:szCs w:val="20"/>
          <w:lang w:eastAsia="en-AU"/>
        </w:rPr>
        <w:t>33</w:t>
      </w:r>
      <w:r w:rsidRPr="00236BB5">
        <w:rPr>
          <w:rFonts w:eastAsia="Times New Roman" w:cs="Arial"/>
          <w:color w:val="auto"/>
          <w:szCs w:val="20"/>
          <w:lang w:eastAsia="en-AU"/>
        </w:rPr>
        <w:t xml:space="preserve">(4), 443–456. </w:t>
      </w:r>
      <w:hyperlink r:id="rId182" w:history="1">
        <w:r w:rsidRPr="00496F47">
          <w:rPr>
            <w:rStyle w:val="Hyperlink"/>
            <w:rFonts w:eastAsia="Times New Roman" w:cs="Arial"/>
            <w:szCs w:val="20"/>
            <w:lang w:eastAsia="en-AU"/>
          </w:rPr>
          <w:t>https://www.tandfonline.com/doi/full/10.1080/02680939.2017.1352032</w:t>
        </w:r>
      </w:hyperlink>
      <w:r>
        <w:rPr>
          <w:rFonts w:eastAsia="Times New Roman" w:cs="Arial"/>
          <w:color w:val="auto"/>
          <w:szCs w:val="20"/>
          <w:lang w:eastAsia="en-AU"/>
        </w:rPr>
        <w:t xml:space="preserve"> </w:t>
      </w:r>
    </w:p>
    <w:p w14:paraId="5F7E1471" w14:textId="77777777" w:rsidR="00A2332E" w:rsidRPr="00236BB5" w:rsidRDefault="00A2332E" w:rsidP="00A2332E">
      <w:pPr>
        <w:pStyle w:val="References"/>
        <w:rPr>
          <w:rFonts w:cs="Arial"/>
          <w:color w:val="auto"/>
          <w:szCs w:val="20"/>
        </w:rPr>
      </w:pPr>
      <w:r w:rsidRPr="00236BB5">
        <w:rPr>
          <w:rFonts w:cs="Arial"/>
          <w:color w:val="auto"/>
          <w:szCs w:val="20"/>
        </w:rPr>
        <w:t xml:space="preserve">Huppatz, K., &amp; Goodwin, S. (2013). Masculinised jobs, feminised jobs and men’s ‘gender capital’ experiences: Understanding occupational segregation in Australia. </w:t>
      </w:r>
      <w:r w:rsidRPr="00236BB5">
        <w:rPr>
          <w:rFonts w:cs="Arial"/>
          <w:i/>
          <w:iCs/>
          <w:color w:val="auto"/>
          <w:szCs w:val="20"/>
        </w:rPr>
        <w:t>Journal of Sociology</w:t>
      </w:r>
      <w:r w:rsidRPr="00236BB5">
        <w:rPr>
          <w:rFonts w:cs="Arial"/>
          <w:color w:val="auto"/>
          <w:szCs w:val="20"/>
        </w:rPr>
        <w:t xml:space="preserve">, </w:t>
      </w:r>
      <w:r w:rsidRPr="00236BB5">
        <w:rPr>
          <w:rFonts w:cs="Arial"/>
          <w:i/>
          <w:iCs/>
          <w:color w:val="auto"/>
          <w:szCs w:val="20"/>
        </w:rPr>
        <w:t>49</w:t>
      </w:r>
      <w:r w:rsidRPr="00236BB5">
        <w:rPr>
          <w:rFonts w:cs="Arial"/>
          <w:color w:val="auto"/>
          <w:szCs w:val="20"/>
        </w:rPr>
        <w:t xml:space="preserve">(2-3), 291-308. </w:t>
      </w:r>
      <w:hyperlink r:id="rId183" w:history="1">
        <w:r w:rsidRPr="00496F47">
          <w:rPr>
            <w:rStyle w:val="Hyperlink"/>
            <w:rFonts w:cs="Arial"/>
            <w:szCs w:val="20"/>
          </w:rPr>
          <w:t>https://journals.sagepub.com/doi/10.1177/1440783313481743</w:t>
        </w:r>
      </w:hyperlink>
      <w:r>
        <w:rPr>
          <w:rFonts w:cs="Arial"/>
          <w:color w:val="auto"/>
          <w:szCs w:val="20"/>
        </w:rPr>
        <w:t xml:space="preserve"> </w:t>
      </w:r>
    </w:p>
    <w:p w14:paraId="02E328C4" w14:textId="77777777" w:rsidR="00A2332E" w:rsidRPr="00236BB5" w:rsidRDefault="00A2332E" w:rsidP="00A2332E">
      <w:pPr>
        <w:pStyle w:val="References"/>
        <w:rPr>
          <w:rFonts w:eastAsia="Arial" w:cs="Arial"/>
          <w:color w:val="auto"/>
          <w:szCs w:val="20"/>
        </w:rPr>
      </w:pPr>
      <w:r w:rsidRPr="00236BB5">
        <w:rPr>
          <w:rFonts w:eastAsia="Arial" w:cs="Arial"/>
          <w:color w:val="auto"/>
          <w:szCs w:val="20"/>
        </w:rPr>
        <w:t>IDP IELTS Australia. (n.d.).</w:t>
      </w:r>
      <w:r w:rsidRPr="00236BB5">
        <w:rPr>
          <w:rFonts w:eastAsia="Arial" w:cs="Arial"/>
          <w:i/>
          <w:iCs/>
          <w:color w:val="auto"/>
          <w:szCs w:val="20"/>
        </w:rPr>
        <w:t xml:space="preserve"> Official IELTS Australia. English Test </w:t>
      </w:r>
      <w:proofErr w:type="gramStart"/>
      <w:r w:rsidRPr="00236BB5">
        <w:rPr>
          <w:rFonts w:eastAsia="Arial" w:cs="Arial"/>
          <w:i/>
          <w:iCs/>
          <w:color w:val="auto"/>
          <w:szCs w:val="20"/>
        </w:rPr>
        <w:t>For</w:t>
      </w:r>
      <w:proofErr w:type="gramEnd"/>
      <w:r w:rsidRPr="00236BB5">
        <w:rPr>
          <w:rFonts w:eastAsia="Arial" w:cs="Arial"/>
          <w:i/>
          <w:iCs/>
          <w:color w:val="auto"/>
          <w:szCs w:val="20"/>
        </w:rPr>
        <w:t xml:space="preserve"> Migration, Study &amp; Work</w:t>
      </w:r>
      <w:r w:rsidRPr="00236BB5">
        <w:rPr>
          <w:rFonts w:eastAsia="Arial" w:cs="Arial"/>
          <w:color w:val="auto"/>
          <w:szCs w:val="20"/>
        </w:rPr>
        <w:t xml:space="preserve">. </w:t>
      </w:r>
      <w:hyperlink r:id="rId184" w:history="1">
        <w:r w:rsidRPr="00496F47">
          <w:rPr>
            <w:rStyle w:val="Hyperlink"/>
            <w:rFonts w:eastAsia="Arial" w:cs="Arial"/>
            <w:szCs w:val="20"/>
          </w:rPr>
          <w:t>https://ielts.com.au/australia</w:t>
        </w:r>
      </w:hyperlink>
      <w:r>
        <w:rPr>
          <w:rFonts w:eastAsia="Arial" w:cs="Arial"/>
          <w:color w:val="auto"/>
          <w:szCs w:val="20"/>
        </w:rPr>
        <w:t xml:space="preserve"> </w:t>
      </w:r>
    </w:p>
    <w:p w14:paraId="5F9FA864" w14:textId="77777777" w:rsidR="00A2332E" w:rsidRPr="00236BB5" w:rsidRDefault="00A2332E" w:rsidP="00A2332E">
      <w:pPr>
        <w:pStyle w:val="References"/>
        <w:rPr>
          <w:rFonts w:cs="Arial"/>
          <w:color w:val="auto"/>
          <w:szCs w:val="20"/>
        </w:rPr>
      </w:pPr>
      <w:r w:rsidRPr="00236BB5">
        <w:rPr>
          <w:rFonts w:cs="Arial"/>
          <w:color w:val="auto"/>
          <w:szCs w:val="20"/>
        </w:rPr>
        <w:lastRenderedPageBreak/>
        <w:t xml:space="preserve">Jackson, J. (2018). </w:t>
      </w:r>
      <w:r w:rsidRPr="00236BB5">
        <w:rPr>
          <w:rFonts w:cs="Arial"/>
          <w:i/>
          <w:iCs/>
          <w:color w:val="auto"/>
          <w:szCs w:val="20"/>
        </w:rPr>
        <w:t>Towards inclusive workforce development: Socio-economic diversity in the Australian early childhood workforce and its implications for practice</w:t>
      </w:r>
      <w:r w:rsidRPr="00236BB5">
        <w:rPr>
          <w:rFonts w:cs="Arial"/>
          <w:color w:val="auto"/>
          <w:szCs w:val="20"/>
        </w:rPr>
        <w:t xml:space="preserve"> [PhD, Victoria University]. </w:t>
      </w:r>
      <w:hyperlink r:id="rId185" w:history="1">
        <w:r w:rsidRPr="00496F47">
          <w:rPr>
            <w:rStyle w:val="Hyperlink"/>
            <w:rFonts w:cs="Arial"/>
            <w:szCs w:val="20"/>
          </w:rPr>
          <w:t>https://vuir.vu.edu.au/37853/1/JACKSON,%20Jen-Final%20Thesis_nosignature.pdf</w:t>
        </w:r>
      </w:hyperlink>
      <w:r>
        <w:rPr>
          <w:rFonts w:cs="Arial"/>
          <w:color w:val="auto"/>
          <w:szCs w:val="20"/>
        </w:rPr>
        <w:t xml:space="preserve"> </w:t>
      </w:r>
    </w:p>
    <w:p w14:paraId="0B0BDF39" w14:textId="77777777" w:rsidR="00A2332E" w:rsidRPr="00236BB5" w:rsidRDefault="00A2332E" w:rsidP="00A2332E">
      <w:pPr>
        <w:pStyle w:val="References"/>
        <w:rPr>
          <w:rFonts w:cs="Arial"/>
          <w:color w:val="auto"/>
          <w:szCs w:val="20"/>
        </w:rPr>
      </w:pPr>
      <w:r w:rsidRPr="00236BB5">
        <w:rPr>
          <w:rFonts w:eastAsia="Arial" w:cs="Arial"/>
          <w:color w:val="auto"/>
          <w:szCs w:val="20"/>
        </w:rPr>
        <w:t xml:space="preserve">Jobs and Skills Australia. (2024). </w:t>
      </w:r>
      <w:r w:rsidRPr="00236BB5">
        <w:rPr>
          <w:rFonts w:eastAsia="Arial" w:cs="Arial"/>
          <w:i/>
          <w:iCs/>
          <w:color w:val="auto"/>
          <w:szCs w:val="20"/>
        </w:rPr>
        <w:t>RTO Typology: Methodology Paper</w:t>
      </w:r>
      <w:r w:rsidRPr="00236BB5">
        <w:rPr>
          <w:rFonts w:eastAsia="Arial" w:cs="Arial"/>
          <w:color w:val="auto"/>
          <w:szCs w:val="20"/>
        </w:rPr>
        <w:t xml:space="preserve">. Australian Government. </w:t>
      </w:r>
      <w:hyperlink r:id="rId186" w:history="1">
        <w:r w:rsidRPr="00496F47">
          <w:rPr>
            <w:rStyle w:val="Hyperlink"/>
            <w:rFonts w:eastAsia="Arial" w:cs="Arial"/>
            <w:szCs w:val="20"/>
          </w:rPr>
          <w:t>file:///C:/Users/DG2998/Downloads/rto_typology_-_methodology_paper%20(1).pdf</w:t>
        </w:r>
      </w:hyperlink>
      <w:r>
        <w:rPr>
          <w:rFonts w:eastAsia="Arial" w:cs="Arial"/>
          <w:color w:val="auto"/>
          <w:szCs w:val="20"/>
        </w:rPr>
        <w:t xml:space="preserve"> </w:t>
      </w:r>
    </w:p>
    <w:p w14:paraId="617F3E7C" w14:textId="77777777" w:rsidR="00A2332E" w:rsidRPr="00236BB5" w:rsidRDefault="00A2332E" w:rsidP="00A2332E">
      <w:pPr>
        <w:pStyle w:val="References"/>
        <w:rPr>
          <w:rStyle w:val="Hyperlink"/>
          <w:rFonts w:eastAsia="Times New Roman" w:cs="Arial"/>
          <w:color w:val="auto"/>
          <w:szCs w:val="20"/>
          <w:lang w:eastAsia="en-AU"/>
        </w:rPr>
      </w:pPr>
      <w:r w:rsidRPr="00236BB5">
        <w:rPr>
          <w:rFonts w:eastAsia="Times New Roman" w:cs="Arial"/>
          <w:color w:val="auto"/>
          <w:szCs w:val="20"/>
          <w:lang w:eastAsia="en-AU"/>
        </w:rPr>
        <w:t xml:space="preserve">Junor, A., &amp; Hampson, I. (2005). Invisible Work, Invisible Skills: Interactive Customer Service as Articulation Work. </w:t>
      </w:r>
      <w:r w:rsidRPr="00236BB5">
        <w:rPr>
          <w:rFonts w:eastAsia="Times New Roman" w:cs="Arial"/>
          <w:i/>
          <w:iCs/>
          <w:color w:val="auto"/>
          <w:szCs w:val="20"/>
          <w:lang w:eastAsia="en-AU"/>
        </w:rPr>
        <w:t>New Technology Work and Employment</w:t>
      </w:r>
      <w:r w:rsidRPr="00236BB5">
        <w:rPr>
          <w:rFonts w:eastAsia="Times New Roman" w:cs="Arial"/>
          <w:color w:val="auto"/>
          <w:szCs w:val="20"/>
          <w:lang w:eastAsia="en-AU"/>
        </w:rPr>
        <w:t xml:space="preserve">, </w:t>
      </w:r>
      <w:r w:rsidRPr="00236BB5">
        <w:rPr>
          <w:rFonts w:eastAsia="Times New Roman" w:cs="Arial"/>
          <w:i/>
          <w:iCs/>
          <w:color w:val="auto"/>
          <w:szCs w:val="20"/>
          <w:lang w:eastAsia="en-AU"/>
        </w:rPr>
        <w:t>20</w:t>
      </w:r>
      <w:r w:rsidRPr="00236BB5">
        <w:rPr>
          <w:rFonts w:eastAsia="Times New Roman" w:cs="Arial"/>
          <w:color w:val="auto"/>
          <w:szCs w:val="20"/>
          <w:lang w:eastAsia="en-AU"/>
        </w:rPr>
        <w:t xml:space="preserve">(2), 166–181. </w:t>
      </w:r>
      <w:r w:rsidRPr="004307FF">
        <w:rPr>
          <w:rFonts w:eastAsia="Times New Roman" w:cs="Arial"/>
          <w:color w:val="auto"/>
          <w:szCs w:val="20"/>
          <w:lang w:eastAsia="en-AU"/>
        </w:rPr>
        <w:t>https://www.researchgate.net/publication/215439446_Invisible_Work_Invisible_Skills_Interactive_Customer_Service_as_Articulation_Work</w:t>
      </w:r>
    </w:p>
    <w:p w14:paraId="698CFE66" w14:textId="77777777" w:rsidR="00A2332E" w:rsidRPr="00236BB5" w:rsidRDefault="00A2332E" w:rsidP="00A2332E">
      <w:pPr>
        <w:pStyle w:val="References"/>
        <w:rPr>
          <w:rStyle w:val="Hyperlink"/>
          <w:rFonts w:cs="Arial"/>
          <w:color w:val="auto"/>
          <w:szCs w:val="20"/>
        </w:rPr>
      </w:pPr>
      <w:r w:rsidRPr="00236BB5">
        <w:rPr>
          <w:rStyle w:val="cf01"/>
          <w:rFonts w:ascii="Arial" w:hAnsi="Arial" w:cs="Arial"/>
          <w:color w:val="auto"/>
          <w:sz w:val="20"/>
          <w:szCs w:val="20"/>
        </w:rPr>
        <w:t xml:space="preserve">McDonald, P., Thorpe, K., &amp; Irvine, S. (2018). Low pay but still we stay: Retention in early childhood education and care. </w:t>
      </w:r>
      <w:r w:rsidRPr="00236BB5">
        <w:rPr>
          <w:rStyle w:val="cf01"/>
          <w:rFonts w:ascii="Arial" w:hAnsi="Arial" w:cs="Arial"/>
          <w:i/>
          <w:iCs/>
          <w:color w:val="auto"/>
          <w:sz w:val="20"/>
          <w:szCs w:val="20"/>
        </w:rPr>
        <w:t>Journal of Industrial Relations</w:t>
      </w:r>
      <w:r w:rsidRPr="00236BB5">
        <w:rPr>
          <w:rStyle w:val="cf01"/>
          <w:rFonts w:ascii="Arial" w:hAnsi="Arial" w:cs="Arial"/>
          <w:color w:val="auto"/>
          <w:sz w:val="20"/>
          <w:szCs w:val="20"/>
        </w:rPr>
        <w:t xml:space="preserve">, </w:t>
      </w:r>
      <w:r w:rsidRPr="00236BB5">
        <w:rPr>
          <w:rStyle w:val="cf01"/>
          <w:rFonts w:ascii="Arial" w:hAnsi="Arial" w:cs="Arial"/>
          <w:i/>
          <w:iCs/>
          <w:color w:val="auto"/>
          <w:sz w:val="20"/>
          <w:szCs w:val="20"/>
        </w:rPr>
        <w:t>60</w:t>
      </w:r>
      <w:r w:rsidRPr="00236BB5">
        <w:rPr>
          <w:rStyle w:val="cf01"/>
          <w:rFonts w:ascii="Arial" w:hAnsi="Arial" w:cs="Arial"/>
          <w:color w:val="auto"/>
          <w:sz w:val="20"/>
          <w:szCs w:val="20"/>
        </w:rPr>
        <w:t xml:space="preserve">(5), 647-668. </w:t>
      </w:r>
      <w:hyperlink r:id="rId187" w:history="1">
        <w:r w:rsidRPr="00496F47">
          <w:rPr>
            <w:rStyle w:val="Hyperlink"/>
            <w:rFonts w:cs="Arial"/>
            <w:szCs w:val="20"/>
          </w:rPr>
          <w:t>https://doi.org/10.1177/0022185618800351</w:t>
        </w:r>
      </w:hyperlink>
      <w:r>
        <w:rPr>
          <w:rFonts w:cs="Arial"/>
          <w:color w:val="auto"/>
          <w:szCs w:val="20"/>
        </w:rPr>
        <w:t xml:space="preserve"> </w:t>
      </w:r>
    </w:p>
    <w:p w14:paraId="610889B6" w14:textId="77777777" w:rsidR="00A2332E" w:rsidRPr="00236BB5" w:rsidRDefault="00A2332E" w:rsidP="00A2332E">
      <w:pPr>
        <w:pStyle w:val="References"/>
        <w:rPr>
          <w:rStyle w:val="Hyperlink"/>
          <w:rFonts w:cs="Arial"/>
          <w:color w:val="auto"/>
          <w:szCs w:val="20"/>
        </w:rPr>
      </w:pPr>
      <w:r w:rsidRPr="00236BB5">
        <w:rPr>
          <w:rFonts w:cs="Arial"/>
          <w:color w:val="auto"/>
          <w:szCs w:val="20"/>
        </w:rPr>
        <w:t xml:space="preserve">McKinlay, S., Irvine, S., Whiteford, C., Brownlee, J., &amp; Farrell, A. (2022). Who is studying what in Early Childhood Education and Care? Composite narratives of Australian educators engaging in further study. </w:t>
      </w:r>
      <w:r w:rsidRPr="00236BB5">
        <w:rPr>
          <w:rFonts w:cs="Arial"/>
          <w:i/>
          <w:iCs/>
          <w:color w:val="auto"/>
          <w:szCs w:val="20"/>
        </w:rPr>
        <w:t>Australasian Journal of Early Childhood</w:t>
      </w:r>
      <w:r w:rsidRPr="00236BB5">
        <w:rPr>
          <w:rFonts w:cs="Arial"/>
          <w:color w:val="auto"/>
          <w:szCs w:val="20"/>
        </w:rPr>
        <w:t xml:space="preserve">, </w:t>
      </w:r>
      <w:r w:rsidRPr="00236BB5">
        <w:rPr>
          <w:rFonts w:cs="Arial"/>
          <w:i/>
          <w:iCs/>
          <w:color w:val="auto"/>
          <w:szCs w:val="20"/>
        </w:rPr>
        <w:t>48</w:t>
      </w:r>
      <w:r w:rsidRPr="00236BB5">
        <w:rPr>
          <w:rFonts w:cs="Arial"/>
          <w:color w:val="auto"/>
          <w:szCs w:val="20"/>
        </w:rPr>
        <w:t xml:space="preserve">(1). 66-80. </w:t>
      </w:r>
      <w:hyperlink r:id="rId188" w:history="1">
        <w:r w:rsidRPr="00496F47">
          <w:rPr>
            <w:rStyle w:val="Hyperlink"/>
            <w:rFonts w:cs="Arial"/>
            <w:szCs w:val="20"/>
          </w:rPr>
          <w:t>https://journals.sagepub.com/doi/10.1177/18369391221118699</w:t>
        </w:r>
      </w:hyperlink>
      <w:r>
        <w:rPr>
          <w:rFonts w:cs="Arial"/>
          <w:color w:val="auto"/>
          <w:szCs w:val="20"/>
        </w:rPr>
        <w:t xml:space="preserve"> </w:t>
      </w:r>
    </w:p>
    <w:p w14:paraId="1F97F239" w14:textId="77777777" w:rsidR="00A2332E" w:rsidRPr="00236BB5" w:rsidRDefault="00A2332E" w:rsidP="00A2332E">
      <w:pPr>
        <w:pStyle w:val="References"/>
        <w:rPr>
          <w:rStyle w:val="Hyperlink"/>
          <w:rFonts w:eastAsia="Times New Roman" w:cs="Arial"/>
          <w:color w:val="auto"/>
          <w:szCs w:val="20"/>
          <w:lang w:eastAsia="en-AU"/>
        </w:rPr>
      </w:pPr>
      <w:r w:rsidRPr="00236BB5">
        <w:rPr>
          <w:rFonts w:eastAsia="Times New Roman" w:cs="Arial"/>
          <w:color w:val="auto"/>
          <w:szCs w:val="20"/>
          <w:lang w:eastAsia="en-AU"/>
        </w:rPr>
        <w:t xml:space="preserve">McMahon, M., &amp; Patton, W. (1995). Development of a Systems Theory of Career Development: A Brief Overview. </w:t>
      </w:r>
      <w:r w:rsidRPr="00236BB5">
        <w:rPr>
          <w:rFonts w:eastAsia="Times New Roman" w:cs="Arial"/>
          <w:i/>
          <w:iCs/>
          <w:color w:val="auto"/>
          <w:szCs w:val="20"/>
          <w:lang w:eastAsia="en-AU"/>
        </w:rPr>
        <w:t>Australian Journal of Career Development</w:t>
      </w:r>
      <w:r w:rsidRPr="00236BB5">
        <w:rPr>
          <w:rFonts w:eastAsia="Times New Roman" w:cs="Arial"/>
          <w:color w:val="auto"/>
          <w:szCs w:val="20"/>
          <w:lang w:eastAsia="en-AU"/>
        </w:rPr>
        <w:t xml:space="preserve">, </w:t>
      </w:r>
      <w:r w:rsidRPr="00236BB5">
        <w:rPr>
          <w:rFonts w:eastAsia="Times New Roman" w:cs="Arial"/>
          <w:i/>
          <w:iCs/>
          <w:color w:val="auto"/>
          <w:szCs w:val="20"/>
          <w:lang w:eastAsia="en-AU"/>
        </w:rPr>
        <w:t>4</w:t>
      </w:r>
      <w:r w:rsidRPr="00236BB5">
        <w:rPr>
          <w:rFonts w:eastAsia="Times New Roman" w:cs="Arial"/>
          <w:color w:val="auto"/>
          <w:szCs w:val="20"/>
          <w:lang w:eastAsia="en-AU"/>
        </w:rPr>
        <w:t xml:space="preserve">(2), 15–20. </w:t>
      </w:r>
      <w:hyperlink r:id="rId189" w:history="1">
        <w:r w:rsidRPr="00496F47">
          <w:rPr>
            <w:rStyle w:val="Hyperlink"/>
            <w:rFonts w:eastAsia="Times New Roman" w:cs="Arial"/>
            <w:szCs w:val="20"/>
            <w:lang w:eastAsia="en-AU"/>
          </w:rPr>
          <w:t>https://journals.sagepub.com/doi/10.1177/103841629500400207</w:t>
        </w:r>
      </w:hyperlink>
      <w:r>
        <w:rPr>
          <w:rFonts w:eastAsia="Times New Roman" w:cs="Arial"/>
          <w:color w:val="auto"/>
          <w:szCs w:val="20"/>
          <w:lang w:eastAsia="en-AU"/>
        </w:rPr>
        <w:t xml:space="preserve"> </w:t>
      </w:r>
    </w:p>
    <w:p w14:paraId="233425CA" w14:textId="77777777" w:rsidR="00A2332E" w:rsidRPr="00236BB5" w:rsidRDefault="00A2332E" w:rsidP="00A2332E">
      <w:pPr>
        <w:pStyle w:val="References"/>
        <w:rPr>
          <w:rStyle w:val="Hyperlink"/>
          <w:rFonts w:eastAsia="Times New Roman" w:cs="Arial"/>
          <w:color w:val="auto"/>
          <w:szCs w:val="20"/>
          <w:lang w:eastAsia="en-AU"/>
        </w:rPr>
      </w:pPr>
      <w:r w:rsidRPr="00236BB5">
        <w:rPr>
          <w:rFonts w:eastAsia="Times New Roman" w:cs="Arial"/>
          <w:color w:val="auto"/>
          <w:szCs w:val="20"/>
          <w:lang w:eastAsia="en-AU"/>
        </w:rPr>
        <w:t xml:space="preserve">McMullen, M., Lee, M., Choi, J., &amp; McCormick, K. (2020). Early Childhood Professional Well-Being as a Predictor of the Risk of Turnover in Child Care: A Matter of Quality. </w:t>
      </w:r>
      <w:r w:rsidRPr="00236BB5">
        <w:rPr>
          <w:rFonts w:eastAsia="Times New Roman" w:cs="Arial"/>
          <w:i/>
          <w:iCs/>
          <w:color w:val="auto"/>
          <w:szCs w:val="20"/>
          <w:lang w:eastAsia="en-AU"/>
        </w:rPr>
        <w:t>Journal of Research in Childhood Education</w:t>
      </w:r>
      <w:r w:rsidRPr="00236BB5">
        <w:rPr>
          <w:rFonts w:eastAsia="Times New Roman" w:cs="Arial"/>
          <w:color w:val="auto"/>
          <w:szCs w:val="20"/>
          <w:lang w:eastAsia="en-AU"/>
        </w:rPr>
        <w:t xml:space="preserve">, </w:t>
      </w:r>
      <w:r w:rsidRPr="00236BB5">
        <w:rPr>
          <w:rFonts w:eastAsia="Times New Roman" w:cs="Arial"/>
          <w:i/>
          <w:iCs/>
          <w:color w:val="auto"/>
          <w:szCs w:val="20"/>
          <w:lang w:eastAsia="en-AU"/>
        </w:rPr>
        <w:t>34</w:t>
      </w:r>
      <w:r w:rsidRPr="00236BB5">
        <w:rPr>
          <w:rFonts w:eastAsia="Times New Roman" w:cs="Arial"/>
          <w:color w:val="auto"/>
          <w:szCs w:val="20"/>
          <w:lang w:eastAsia="en-AU"/>
        </w:rPr>
        <w:t xml:space="preserve">(1), 1–15. </w:t>
      </w:r>
      <w:hyperlink r:id="rId190" w:history="1">
        <w:r w:rsidRPr="00496F47">
          <w:rPr>
            <w:rStyle w:val="Hyperlink"/>
            <w:rFonts w:eastAsia="Times New Roman" w:cs="Arial"/>
            <w:szCs w:val="20"/>
            <w:lang w:eastAsia="en-AU"/>
          </w:rPr>
          <w:t>https://www.researchgate.net/publication/338956362_Early_Childhood_Professional_Well-Being_as_a_Predictor_of_the_Risk_of_Turnover_in_Child_Care_A_Matter_of_Quality</w:t>
        </w:r>
      </w:hyperlink>
      <w:r>
        <w:rPr>
          <w:rFonts w:eastAsia="Times New Roman" w:cs="Arial"/>
          <w:color w:val="auto"/>
          <w:szCs w:val="20"/>
          <w:lang w:eastAsia="en-AU"/>
        </w:rPr>
        <w:t xml:space="preserve"> </w:t>
      </w:r>
    </w:p>
    <w:p w14:paraId="229A68E3" w14:textId="77777777" w:rsidR="00A2332E" w:rsidRPr="00236BB5" w:rsidRDefault="00A2332E" w:rsidP="00A2332E">
      <w:pPr>
        <w:pStyle w:val="References"/>
        <w:rPr>
          <w:rStyle w:val="Hyperlink"/>
          <w:rFonts w:cs="Arial"/>
          <w:color w:val="auto"/>
          <w:szCs w:val="20"/>
        </w:rPr>
      </w:pPr>
      <w:r w:rsidRPr="00236BB5">
        <w:rPr>
          <w:rFonts w:cs="Arial"/>
          <w:color w:val="auto"/>
          <w:szCs w:val="20"/>
        </w:rPr>
        <w:t xml:space="preserve">Miller, M.G. (2017). Reconceptualist Work in a Colonising Context: Challenges for Australian Early Childhood Education. In Li, M., Fox, J., &amp; Grieshaber, S. (Eds) </w:t>
      </w:r>
      <w:r w:rsidRPr="00236BB5">
        <w:rPr>
          <w:rFonts w:cs="Arial"/>
          <w:i/>
          <w:iCs/>
          <w:color w:val="auto"/>
          <w:szCs w:val="20"/>
        </w:rPr>
        <w:t>Contemporary Issues and Challenge in Early Childhood Education in the Asia-Pacific Region</w:t>
      </w:r>
      <w:r w:rsidRPr="00236BB5">
        <w:rPr>
          <w:rFonts w:cs="Arial"/>
          <w:color w:val="auto"/>
          <w:szCs w:val="20"/>
        </w:rPr>
        <w:t xml:space="preserve">. (pp. 33-50). Springer. </w:t>
      </w:r>
      <w:hyperlink r:id="rId191" w:history="1">
        <w:r w:rsidRPr="00496F47">
          <w:rPr>
            <w:rStyle w:val="Hyperlink"/>
            <w:rFonts w:cs="Arial"/>
            <w:szCs w:val="20"/>
          </w:rPr>
          <w:t>https://doi.org/10.1007/978-981-10-2207-4_3</w:t>
        </w:r>
      </w:hyperlink>
      <w:r>
        <w:rPr>
          <w:rFonts w:cs="Arial"/>
          <w:color w:val="auto"/>
          <w:szCs w:val="20"/>
        </w:rPr>
        <w:t xml:space="preserve"> </w:t>
      </w:r>
    </w:p>
    <w:p w14:paraId="18B69047" w14:textId="77777777" w:rsidR="00A2332E" w:rsidRPr="00236BB5" w:rsidRDefault="00A2332E" w:rsidP="00A2332E">
      <w:pPr>
        <w:pStyle w:val="References"/>
        <w:rPr>
          <w:rStyle w:val="Hyperlink"/>
          <w:rFonts w:cs="Arial"/>
          <w:color w:val="auto"/>
          <w:szCs w:val="20"/>
        </w:rPr>
      </w:pPr>
      <w:r w:rsidRPr="00236BB5">
        <w:rPr>
          <w:rFonts w:cs="Arial"/>
          <w:color w:val="auto"/>
          <w:szCs w:val="20"/>
        </w:rPr>
        <w:t xml:space="preserve">Mills, J., Chamberlain-Salaun, J., Harrison, H., Yates, K., &amp; O’Shea, A. (2016). Retaining early career registered nurses: A case study. </w:t>
      </w:r>
      <w:r w:rsidRPr="00236BB5">
        <w:rPr>
          <w:rFonts w:cs="Arial"/>
          <w:i/>
          <w:iCs/>
          <w:color w:val="auto"/>
          <w:szCs w:val="20"/>
        </w:rPr>
        <w:t>BMC Nursing</w:t>
      </w:r>
      <w:r w:rsidRPr="00236BB5">
        <w:rPr>
          <w:rFonts w:cs="Arial"/>
          <w:color w:val="auto"/>
          <w:szCs w:val="20"/>
        </w:rPr>
        <w:t xml:space="preserve">, </w:t>
      </w:r>
      <w:r w:rsidRPr="00236BB5">
        <w:rPr>
          <w:rFonts w:cs="Arial"/>
          <w:i/>
          <w:iCs/>
          <w:color w:val="auto"/>
          <w:szCs w:val="20"/>
        </w:rPr>
        <w:t>15</w:t>
      </w:r>
      <w:r w:rsidRPr="00236BB5">
        <w:rPr>
          <w:rFonts w:cs="Arial"/>
          <w:color w:val="auto"/>
          <w:szCs w:val="20"/>
        </w:rPr>
        <w:t xml:space="preserve">. </w:t>
      </w:r>
      <w:hyperlink r:id="rId192" w:history="1">
        <w:r w:rsidRPr="00496F47">
          <w:rPr>
            <w:rStyle w:val="Hyperlink"/>
            <w:rFonts w:cs="Arial"/>
            <w:szCs w:val="20"/>
          </w:rPr>
          <w:t>https://bmcnurs.biomedcentral.com/articles/10.1186/s12912-016-0177-z</w:t>
        </w:r>
      </w:hyperlink>
      <w:r>
        <w:rPr>
          <w:rFonts w:cs="Arial"/>
          <w:color w:val="auto"/>
          <w:szCs w:val="20"/>
        </w:rPr>
        <w:t xml:space="preserve"> </w:t>
      </w:r>
    </w:p>
    <w:p w14:paraId="2EC9B608" w14:textId="77777777" w:rsidR="00A2332E" w:rsidRPr="00236BB5" w:rsidRDefault="00A2332E" w:rsidP="00A2332E">
      <w:pPr>
        <w:pStyle w:val="References"/>
        <w:rPr>
          <w:rFonts w:cs="Arial"/>
          <w:color w:val="auto"/>
          <w:szCs w:val="20"/>
        </w:rPr>
      </w:pPr>
      <w:r w:rsidRPr="00236BB5">
        <w:rPr>
          <w:rFonts w:cs="Arial"/>
          <w:color w:val="auto"/>
          <w:szCs w:val="20"/>
        </w:rPr>
        <w:t xml:space="preserve">Misko, J. &amp; Halliday-Waynes, S. (2013). </w:t>
      </w:r>
      <w:r w:rsidRPr="00236BB5">
        <w:rPr>
          <w:rFonts w:cs="Arial"/>
          <w:i/>
          <w:iCs/>
          <w:color w:val="auto"/>
          <w:szCs w:val="20"/>
        </w:rPr>
        <w:t>Assessment issues in VET: minimising the level of risk</w:t>
      </w:r>
      <w:r w:rsidRPr="00236BB5">
        <w:rPr>
          <w:rFonts w:cs="Arial"/>
          <w:color w:val="auto"/>
          <w:szCs w:val="20"/>
        </w:rPr>
        <w:t xml:space="preserve">. National Centre for Vocational Educational Research. </w:t>
      </w:r>
      <w:hyperlink r:id="rId193" w:history="1">
        <w:r w:rsidRPr="00496F47">
          <w:rPr>
            <w:rStyle w:val="Hyperlink"/>
            <w:rFonts w:cs="Arial"/>
            <w:szCs w:val="20"/>
          </w:rPr>
          <w:t>https://view.officeapps.live.com/op/view.aspx?src=https%3A%2F%2Fwww.ncver.edu.au%2F__data%2Fassets%2Ffile%2F0019%2F9019%2Fassessment-issues-in-vet-2620.docx&amp;wdOrigin=BROWSELINK</w:t>
        </w:r>
      </w:hyperlink>
      <w:r>
        <w:rPr>
          <w:rFonts w:cs="Arial"/>
          <w:color w:val="auto"/>
          <w:szCs w:val="20"/>
        </w:rPr>
        <w:t xml:space="preserve"> </w:t>
      </w:r>
    </w:p>
    <w:p w14:paraId="0B591A44" w14:textId="77777777" w:rsidR="00A2332E" w:rsidRPr="00236BB5" w:rsidRDefault="00A2332E" w:rsidP="00A2332E">
      <w:pPr>
        <w:pStyle w:val="References"/>
        <w:rPr>
          <w:rFonts w:eastAsia="Arial" w:cs="Arial"/>
          <w:color w:val="auto"/>
          <w:szCs w:val="20"/>
        </w:rPr>
      </w:pPr>
      <w:r w:rsidRPr="00236BB5">
        <w:rPr>
          <w:rFonts w:eastAsia="Arial" w:cs="Arial"/>
          <w:color w:val="auto"/>
          <w:szCs w:val="20"/>
        </w:rPr>
        <w:t xml:space="preserve">National Careers Institute. (n.d.). </w:t>
      </w:r>
      <w:r w:rsidRPr="00236BB5">
        <w:rPr>
          <w:rFonts w:eastAsia="Arial" w:cs="Arial"/>
          <w:i/>
          <w:iCs/>
          <w:color w:val="auto"/>
          <w:szCs w:val="20"/>
        </w:rPr>
        <w:t xml:space="preserve">Fee-Free TAFE - Frequently asked questions. </w:t>
      </w:r>
      <w:r w:rsidRPr="00236BB5">
        <w:rPr>
          <w:rFonts w:eastAsia="Arial" w:cs="Arial"/>
          <w:color w:val="auto"/>
          <w:szCs w:val="20"/>
        </w:rPr>
        <w:t xml:space="preserve">Australian Government. </w:t>
      </w:r>
      <w:hyperlink r:id="rId194" w:history="1">
        <w:r w:rsidRPr="00496F47">
          <w:rPr>
            <w:rStyle w:val="Hyperlink"/>
            <w:rFonts w:eastAsia="Arial" w:cs="Arial"/>
            <w:szCs w:val="20"/>
          </w:rPr>
          <w:t>https://www.yourcareer.gov.au/fee-free-tafe/faq</w:t>
        </w:r>
      </w:hyperlink>
      <w:r>
        <w:rPr>
          <w:rFonts w:eastAsia="Arial" w:cs="Arial"/>
          <w:color w:val="auto"/>
          <w:szCs w:val="20"/>
        </w:rPr>
        <w:t xml:space="preserve"> </w:t>
      </w:r>
    </w:p>
    <w:p w14:paraId="74514F82" w14:textId="77777777" w:rsidR="00A2332E" w:rsidRPr="00236BB5" w:rsidRDefault="00A2332E" w:rsidP="00A2332E">
      <w:pPr>
        <w:pStyle w:val="References"/>
        <w:rPr>
          <w:rStyle w:val="Hyperlink"/>
          <w:rFonts w:eastAsia="Times New Roman" w:cs="Arial"/>
          <w:color w:val="auto"/>
          <w:szCs w:val="20"/>
          <w:lang w:eastAsia="en-AU"/>
        </w:rPr>
      </w:pPr>
      <w:r w:rsidRPr="00236BB5">
        <w:rPr>
          <w:rFonts w:eastAsia="Times New Roman" w:cs="Arial"/>
          <w:color w:val="auto"/>
          <w:szCs w:val="20"/>
          <w:lang w:eastAsia="en-AU"/>
        </w:rPr>
        <w:t xml:space="preserve">Ng, J., Rogers, M., &amp; McNamara, C. (2023). Early childhood educator’s burnout: A systematic review of the determinants and effectiveness of interventions. </w:t>
      </w:r>
      <w:r w:rsidRPr="00236BB5">
        <w:rPr>
          <w:rFonts w:eastAsia="Times New Roman" w:cs="Arial"/>
          <w:i/>
          <w:iCs/>
          <w:color w:val="auto"/>
          <w:szCs w:val="20"/>
          <w:lang w:eastAsia="en-AU"/>
        </w:rPr>
        <w:t>Issues in Educational Research</w:t>
      </w:r>
      <w:r w:rsidRPr="00236BB5">
        <w:rPr>
          <w:rFonts w:eastAsia="Times New Roman" w:cs="Arial"/>
          <w:color w:val="auto"/>
          <w:szCs w:val="20"/>
          <w:lang w:eastAsia="en-AU"/>
        </w:rPr>
        <w:t xml:space="preserve">, </w:t>
      </w:r>
      <w:r w:rsidRPr="00236BB5">
        <w:rPr>
          <w:rFonts w:eastAsia="Times New Roman" w:cs="Arial"/>
          <w:i/>
          <w:iCs/>
          <w:color w:val="auto"/>
          <w:szCs w:val="20"/>
          <w:lang w:eastAsia="en-AU"/>
        </w:rPr>
        <w:t>33</w:t>
      </w:r>
      <w:r w:rsidRPr="00236BB5">
        <w:rPr>
          <w:rFonts w:eastAsia="Times New Roman" w:cs="Arial"/>
          <w:color w:val="auto"/>
          <w:szCs w:val="20"/>
          <w:lang w:eastAsia="en-AU"/>
        </w:rPr>
        <w:t xml:space="preserve">(1). </w:t>
      </w:r>
      <w:hyperlink r:id="rId195" w:history="1">
        <w:r w:rsidRPr="00496F47">
          <w:rPr>
            <w:rStyle w:val="Hyperlink"/>
            <w:rFonts w:eastAsia="Times New Roman" w:cs="Arial"/>
            <w:szCs w:val="20"/>
            <w:lang w:eastAsia="en-AU"/>
          </w:rPr>
          <w:t>https://www.iier.org.au/iier33/ng.pdf</w:t>
        </w:r>
      </w:hyperlink>
      <w:r>
        <w:rPr>
          <w:rFonts w:eastAsia="Times New Roman" w:cs="Arial"/>
          <w:color w:val="auto"/>
          <w:szCs w:val="20"/>
          <w:lang w:eastAsia="en-AU"/>
        </w:rPr>
        <w:t xml:space="preserve"> </w:t>
      </w:r>
    </w:p>
    <w:p w14:paraId="6E641FE4" w14:textId="77777777" w:rsidR="00A2332E" w:rsidRPr="00236BB5" w:rsidRDefault="00A2332E" w:rsidP="00A2332E">
      <w:pPr>
        <w:pStyle w:val="References"/>
        <w:rPr>
          <w:rStyle w:val="Hyperlink"/>
          <w:rFonts w:cs="Arial"/>
          <w:color w:val="auto"/>
          <w:szCs w:val="20"/>
        </w:rPr>
      </w:pPr>
      <w:r w:rsidRPr="00236BB5">
        <w:rPr>
          <w:rFonts w:cs="Arial"/>
          <w:color w:val="auto"/>
          <w:szCs w:val="20"/>
        </w:rPr>
        <w:t xml:space="preserve">Nolan, A., &amp; Molla, T. (2019). Identifying professional functionings of early childhood educators. </w:t>
      </w:r>
      <w:r w:rsidRPr="00236BB5">
        <w:rPr>
          <w:rFonts w:cs="Arial"/>
          <w:i/>
          <w:iCs/>
          <w:color w:val="auto"/>
          <w:szCs w:val="20"/>
        </w:rPr>
        <w:t>Professional Development in Education</w:t>
      </w:r>
      <w:r w:rsidRPr="00236BB5">
        <w:rPr>
          <w:rFonts w:cs="Arial"/>
          <w:color w:val="auto"/>
          <w:szCs w:val="20"/>
        </w:rPr>
        <w:t xml:space="preserve">, </w:t>
      </w:r>
      <w:r w:rsidRPr="00236BB5">
        <w:rPr>
          <w:rFonts w:cs="Arial"/>
          <w:i/>
          <w:iCs/>
          <w:color w:val="auto"/>
          <w:szCs w:val="20"/>
        </w:rPr>
        <w:t>45</w:t>
      </w:r>
      <w:r w:rsidRPr="00236BB5">
        <w:rPr>
          <w:rFonts w:cs="Arial"/>
          <w:color w:val="auto"/>
          <w:szCs w:val="20"/>
        </w:rPr>
        <w:t xml:space="preserve">(4). </w:t>
      </w:r>
      <w:hyperlink r:id="rId196" w:history="1">
        <w:r w:rsidRPr="00496F47">
          <w:rPr>
            <w:rStyle w:val="Hyperlink"/>
            <w:rFonts w:cs="Arial"/>
            <w:szCs w:val="20"/>
          </w:rPr>
          <w:t>https://www.tandfonline.com/doi/full/10.1080/19415257.2018.1449006</w:t>
        </w:r>
      </w:hyperlink>
      <w:r>
        <w:rPr>
          <w:rFonts w:cs="Arial"/>
          <w:color w:val="auto"/>
          <w:szCs w:val="20"/>
        </w:rPr>
        <w:t xml:space="preserve"> </w:t>
      </w:r>
    </w:p>
    <w:p w14:paraId="12285CCD" w14:textId="77777777" w:rsidR="00A2332E" w:rsidRPr="00236BB5" w:rsidRDefault="00A2332E" w:rsidP="00A2332E">
      <w:pPr>
        <w:pStyle w:val="References"/>
        <w:rPr>
          <w:rStyle w:val="Hyperlink"/>
          <w:rFonts w:cs="Arial"/>
          <w:color w:val="auto"/>
          <w:szCs w:val="20"/>
        </w:rPr>
      </w:pPr>
      <w:r w:rsidRPr="00236BB5">
        <w:rPr>
          <w:rStyle w:val="cf01"/>
          <w:rFonts w:ascii="Arial" w:hAnsi="Arial" w:cs="Arial"/>
          <w:color w:val="auto"/>
          <w:sz w:val="20"/>
          <w:szCs w:val="20"/>
        </w:rPr>
        <w:t xml:space="preserve">Nursing and Midwifery Board. (2023) </w:t>
      </w:r>
      <w:r w:rsidRPr="00236BB5">
        <w:rPr>
          <w:rStyle w:val="cf01"/>
          <w:rFonts w:ascii="Arial" w:hAnsi="Arial" w:cs="Arial"/>
          <w:i/>
          <w:iCs/>
          <w:color w:val="auto"/>
          <w:sz w:val="20"/>
          <w:szCs w:val="20"/>
        </w:rPr>
        <w:t>Scope of Practice and Nurse Capabilities</w:t>
      </w:r>
      <w:r w:rsidRPr="00236BB5">
        <w:rPr>
          <w:rStyle w:val="cf01"/>
          <w:rFonts w:ascii="Arial" w:hAnsi="Arial" w:cs="Arial"/>
          <w:color w:val="auto"/>
          <w:sz w:val="20"/>
          <w:szCs w:val="20"/>
        </w:rPr>
        <w:t xml:space="preserve">. </w:t>
      </w:r>
      <w:hyperlink r:id="rId197" w:history="1">
        <w:r w:rsidRPr="00496F47">
          <w:rPr>
            <w:rStyle w:val="Hyperlink"/>
            <w:rFonts w:cs="Arial"/>
            <w:szCs w:val="20"/>
          </w:rPr>
          <w:t>https://www.nursingmidwiferyboard.gov.au/Codes-Guidelines-Statements/FAQ/Fact-sheet-scope-of-practice-and-capabilities-of-nurses.aspx</w:t>
        </w:r>
      </w:hyperlink>
      <w:r>
        <w:rPr>
          <w:rFonts w:cs="Arial"/>
          <w:color w:val="auto"/>
          <w:szCs w:val="20"/>
        </w:rPr>
        <w:t xml:space="preserve"> </w:t>
      </w:r>
    </w:p>
    <w:p w14:paraId="317CD866" w14:textId="77777777" w:rsidR="00A2332E" w:rsidRPr="00236BB5" w:rsidRDefault="00A2332E" w:rsidP="00A2332E">
      <w:pPr>
        <w:pStyle w:val="References"/>
        <w:rPr>
          <w:rStyle w:val="Hyperlink"/>
          <w:rFonts w:eastAsia="Times New Roman" w:cs="Arial"/>
          <w:color w:val="auto"/>
          <w:szCs w:val="20"/>
          <w:lang w:eastAsia="en-AU"/>
        </w:rPr>
      </w:pPr>
      <w:r w:rsidRPr="00236BB5">
        <w:rPr>
          <w:rFonts w:eastAsia="Times New Roman" w:cs="Arial"/>
          <w:color w:val="auto"/>
          <w:szCs w:val="20"/>
          <w:lang w:eastAsia="en-AU"/>
        </w:rPr>
        <w:lastRenderedPageBreak/>
        <w:t xml:space="preserve">Nutbrown, C. (2021). Early childhood educators’ qualifications: a framework for change. </w:t>
      </w:r>
      <w:r w:rsidRPr="00236BB5">
        <w:rPr>
          <w:rFonts w:eastAsia="Times New Roman" w:cs="Arial"/>
          <w:i/>
          <w:iCs/>
          <w:color w:val="auto"/>
          <w:szCs w:val="20"/>
          <w:lang w:eastAsia="en-AU"/>
        </w:rPr>
        <w:t>International Journal of Early Years Education</w:t>
      </w:r>
      <w:r w:rsidRPr="00236BB5">
        <w:rPr>
          <w:rFonts w:eastAsia="Times New Roman" w:cs="Arial"/>
          <w:color w:val="auto"/>
          <w:szCs w:val="20"/>
          <w:lang w:eastAsia="en-AU"/>
        </w:rPr>
        <w:t xml:space="preserve">, </w:t>
      </w:r>
      <w:r w:rsidRPr="00236BB5">
        <w:rPr>
          <w:rFonts w:eastAsia="Times New Roman" w:cs="Arial"/>
          <w:i/>
          <w:iCs/>
          <w:color w:val="auto"/>
          <w:szCs w:val="20"/>
          <w:lang w:eastAsia="en-AU"/>
        </w:rPr>
        <w:t>29</w:t>
      </w:r>
      <w:r w:rsidRPr="00236BB5">
        <w:rPr>
          <w:rFonts w:eastAsia="Times New Roman" w:cs="Arial"/>
          <w:color w:val="auto"/>
          <w:szCs w:val="20"/>
          <w:lang w:eastAsia="en-AU"/>
        </w:rPr>
        <w:t xml:space="preserve">(3), 236–249. </w:t>
      </w:r>
      <w:hyperlink r:id="rId198" w:history="1">
        <w:r w:rsidRPr="00496F47">
          <w:rPr>
            <w:rStyle w:val="Hyperlink"/>
            <w:rFonts w:eastAsia="Times New Roman" w:cs="Arial"/>
            <w:szCs w:val="20"/>
            <w:lang w:eastAsia="en-AU"/>
          </w:rPr>
          <w:t>https://www.tandfonline.com/doi/full/10.1080/09669760.2021.1892601</w:t>
        </w:r>
      </w:hyperlink>
      <w:r>
        <w:rPr>
          <w:rFonts w:eastAsia="Times New Roman" w:cs="Arial"/>
          <w:color w:val="auto"/>
          <w:szCs w:val="20"/>
          <w:lang w:eastAsia="en-AU"/>
        </w:rPr>
        <w:t xml:space="preserve"> </w:t>
      </w:r>
    </w:p>
    <w:p w14:paraId="1D86962D" w14:textId="77777777" w:rsidR="00A2332E" w:rsidRPr="00236BB5" w:rsidRDefault="00A2332E" w:rsidP="00A2332E">
      <w:pPr>
        <w:pStyle w:val="References"/>
        <w:rPr>
          <w:rFonts w:cs="Arial"/>
          <w:color w:val="auto"/>
          <w:szCs w:val="20"/>
        </w:rPr>
      </w:pPr>
      <w:r w:rsidRPr="00236BB5">
        <w:rPr>
          <w:rFonts w:cs="Arial"/>
          <w:color w:val="auto"/>
          <w:szCs w:val="20"/>
        </w:rPr>
        <w:t xml:space="preserve">Osborne, K., &amp; Cameron Serich. (2020). Exploring the recognition of prior learning in Australian VET. </w:t>
      </w:r>
      <w:r w:rsidRPr="00236BB5">
        <w:rPr>
          <w:rFonts w:cs="Arial"/>
          <w:i/>
          <w:iCs/>
          <w:color w:val="auto"/>
          <w:szCs w:val="20"/>
        </w:rPr>
        <w:t>NCVER</w:t>
      </w:r>
      <w:r w:rsidRPr="00236BB5">
        <w:rPr>
          <w:rFonts w:cs="Arial"/>
          <w:color w:val="auto"/>
          <w:szCs w:val="20"/>
        </w:rPr>
        <w:t xml:space="preserve">. </w:t>
      </w:r>
      <w:hyperlink r:id="rId199" w:history="1">
        <w:r w:rsidRPr="00496F47">
          <w:rPr>
            <w:rStyle w:val="Hyperlink"/>
            <w:rFonts w:cs="Arial"/>
            <w:szCs w:val="20"/>
          </w:rPr>
          <w:t>https://www.ncver.edu.au/research-and-statistics/publications/all-publications/exploring-the-recognition-of-prior-learning-in-australian-vet</w:t>
        </w:r>
      </w:hyperlink>
      <w:r>
        <w:rPr>
          <w:rFonts w:cs="Arial"/>
          <w:color w:val="auto"/>
          <w:szCs w:val="20"/>
        </w:rPr>
        <w:t xml:space="preserve"> </w:t>
      </w:r>
    </w:p>
    <w:p w14:paraId="4F3BFD03" w14:textId="77777777" w:rsidR="00A2332E" w:rsidRPr="00236BB5" w:rsidRDefault="00A2332E" w:rsidP="00A2332E">
      <w:pPr>
        <w:pStyle w:val="References"/>
        <w:rPr>
          <w:rFonts w:cs="Arial"/>
          <w:color w:val="auto"/>
          <w:szCs w:val="20"/>
        </w:rPr>
      </w:pPr>
      <w:r w:rsidRPr="00236BB5">
        <w:rPr>
          <w:rFonts w:eastAsia="Arial" w:cs="Arial"/>
          <w:color w:val="auto"/>
          <w:szCs w:val="20"/>
        </w:rPr>
        <w:t>Productivity Commission. (2014).</w:t>
      </w:r>
      <w:r w:rsidRPr="00236BB5">
        <w:rPr>
          <w:rFonts w:eastAsia="Arial" w:cs="Arial"/>
          <w:i/>
          <w:iCs/>
          <w:color w:val="auto"/>
          <w:szCs w:val="20"/>
        </w:rPr>
        <w:t xml:space="preserve"> Inquiry Report: Childcare and Early Childhood Learning</w:t>
      </w:r>
      <w:r w:rsidRPr="00236BB5">
        <w:rPr>
          <w:rFonts w:eastAsia="Arial" w:cs="Arial"/>
          <w:color w:val="auto"/>
          <w:szCs w:val="20"/>
        </w:rPr>
        <w:t xml:space="preserve">. </w:t>
      </w:r>
      <w:hyperlink r:id="rId200" w:history="1">
        <w:r w:rsidRPr="00496F47">
          <w:rPr>
            <w:rStyle w:val="Hyperlink"/>
            <w:rFonts w:eastAsia="Arial" w:cs="Arial"/>
            <w:szCs w:val="20"/>
          </w:rPr>
          <w:t>https://www.pc.gov.au/inquiries/completed/childcare/report/childcare-volume2.pdf</w:t>
        </w:r>
      </w:hyperlink>
      <w:r>
        <w:rPr>
          <w:rFonts w:eastAsia="Arial" w:cs="Arial"/>
          <w:color w:val="auto"/>
          <w:szCs w:val="20"/>
        </w:rPr>
        <w:t xml:space="preserve"> </w:t>
      </w:r>
    </w:p>
    <w:p w14:paraId="4B662C90" w14:textId="77777777" w:rsidR="00A2332E" w:rsidRPr="00236BB5" w:rsidRDefault="00A2332E" w:rsidP="00A2332E">
      <w:pPr>
        <w:pStyle w:val="References"/>
        <w:rPr>
          <w:rStyle w:val="Hyperlink"/>
          <w:rFonts w:eastAsia="Times New Roman" w:cs="Arial"/>
          <w:color w:val="auto"/>
          <w:szCs w:val="20"/>
        </w:rPr>
      </w:pPr>
      <w:r w:rsidRPr="00236BB5">
        <w:rPr>
          <w:rFonts w:eastAsia="Times New Roman" w:cs="Arial"/>
          <w:color w:val="auto"/>
          <w:szCs w:val="20"/>
        </w:rPr>
        <w:t xml:space="preserve">Productivity Commission. (2023a). </w:t>
      </w:r>
      <w:r w:rsidRPr="00236BB5">
        <w:rPr>
          <w:rFonts w:eastAsia="Times New Roman" w:cs="Arial"/>
          <w:i/>
          <w:iCs/>
          <w:color w:val="auto"/>
          <w:szCs w:val="20"/>
        </w:rPr>
        <w:t>Productivity Commission Inquiry into Early Childhood Education and Care: Australian Government Department of Education Submission</w:t>
      </w:r>
      <w:r w:rsidRPr="00236BB5">
        <w:rPr>
          <w:rFonts w:eastAsia="Times New Roman" w:cs="Arial"/>
          <w:color w:val="auto"/>
          <w:szCs w:val="20"/>
        </w:rPr>
        <w:t xml:space="preserve">. </w:t>
      </w:r>
      <w:hyperlink r:id="rId201" w:history="1">
        <w:r w:rsidRPr="00496F47">
          <w:rPr>
            <w:rStyle w:val="Hyperlink"/>
            <w:rFonts w:eastAsia="Times New Roman" w:cs="Arial"/>
            <w:szCs w:val="20"/>
          </w:rPr>
          <w:t>https://www.pc.gov.au/__data/assets/pdf_file/0018/360108/sub090-childhood.pdf</w:t>
        </w:r>
      </w:hyperlink>
      <w:r>
        <w:rPr>
          <w:rFonts w:eastAsia="Times New Roman" w:cs="Arial"/>
          <w:color w:val="auto"/>
          <w:szCs w:val="20"/>
        </w:rPr>
        <w:t xml:space="preserve"> </w:t>
      </w:r>
    </w:p>
    <w:p w14:paraId="29C86D4D" w14:textId="77777777" w:rsidR="00A2332E" w:rsidRPr="00236BB5" w:rsidRDefault="00A2332E" w:rsidP="00A2332E">
      <w:pPr>
        <w:pStyle w:val="References"/>
        <w:rPr>
          <w:rStyle w:val="Hyperlink"/>
          <w:rFonts w:eastAsia="Times New Roman" w:cs="Arial"/>
          <w:color w:val="auto"/>
          <w:szCs w:val="20"/>
        </w:rPr>
      </w:pPr>
      <w:r w:rsidRPr="00236BB5">
        <w:rPr>
          <w:rFonts w:eastAsia="Times New Roman" w:cs="Arial"/>
          <w:color w:val="auto"/>
          <w:szCs w:val="20"/>
        </w:rPr>
        <w:t xml:space="preserve">Productivity Commission. (2023b). </w:t>
      </w:r>
      <w:r w:rsidRPr="00236BB5">
        <w:rPr>
          <w:rFonts w:eastAsia="Times New Roman" w:cs="Arial"/>
          <w:i/>
          <w:iCs/>
          <w:color w:val="auto"/>
          <w:szCs w:val="20"/>
        </w:rPr>
        <w:t>Report on Government Services 2023: 3 Early childhood education and care</w:t>
      </w:r>
      <w:r w:rsidRPr="00236BB5">
        <w:rPr>
          <w:rFonts w:eastAsia="Times New Roman" w:cs="Arial"/>
          <w:color w:val="auto"/>
          <w:szCs w:val="20"/>
        </w:rPr>
        <w:t xml:space="preserve">. </w:t>
      </w:r>
      <w:hyperlink r:id="rId202" w:history="1">
        <w:r w:rsidRPr="00496F47">
          <w:rPr>
            <w:rStyle w:val="Hyperlink"/>
            <w:rFonts w:eastAsia="Times New Roman" w:cs="Arial"/>
            <w:szCs w:val="20"/>
          </w:rPr>
          <w:t>https://www.pc.gov.au/ongoing/report-on-government-services/2023/child-care-education-and-training/early-childhood-education-and-care</w:t>
        </w:r>
      </w:hyperlink>
      <w:r>
        <w:rPr>
          <w:rFonts w:eastAsia="Times New Roman" w:cs="Arial"/>
          <w:color w:val="auto"/>
          <w:szCs w:val="20"/>
        </w:rPr>
        <w:t xml:space="preserve"> </w:t>
      </w:r>
    </w:p>
    <w:p w14:paraId="0915E669" w14:textId="77777777" w:rsidR="00A2332E" w:rsidRPr="00236BB5" w:rsidRDefault="00A2332E" w:rsidP="00A2332E">
      <w:pPr>
        <w:pStyle w:val="References"/>
        <w:rPr>
          <w:rStyle w:val="Hyperlink"/>
          <w:rFonts w:eastAsia="Times New Roman" w:cs="Arial"/>
          <w:color w:val="auto"/>
          <w:szCs w:val="20"/>
        </w:rPr>
      </w:pPr>
      <w:r w:rsidRPr="00236BB5">
        <w:rPr>
          <w:rFonts w:eastAsia="Times New Roman" w:cs="Arial"/>
          <w:color w:val="auto"/>
          <w:szCs w:val="20"/>
        </w:rPr>
        <w:t xml:space="preserve">Productivity Commission. (2023c). </w:t>
      </w:r>
      <w:r w:rsidRPr="00236BB5">
        <w:rPr>
          <w:rFonts w:eastAsia="Times New Roman" w:cs="Arial"/>
          <w:i/>
          <w:iCs/>
          <w:color w:val="auto"/>
          <w:szCs w:val="20"/>
        </w:rPr>
        <w:t>Full draft report: A path to universal early childhood education and care</w:t>
      </w:r>
      <w:r w:rsidRPr="00236BB5">
        <w:rPr>
          <w:rFonts w:eastAsia="Times New Roman" w:cs="Arial"/>
          <w:color w:val="auto"/>
          <w:szCs w:val="20"/>
        </w:rPr>
        <w:t xml:space="preserve">. </w:t>
      </w:r>
      <w:hyperlink r:id="rId203" w:history="1">
        <w:r w:rsidRPr="00496F47">
          <w:rPr>
            <w:rStyle w:val="Hyperlink"/>
            <w:rFonts w:eastAsia="Times New Roman" w:cs="Arial"/>
            <w:szCs w:val="20"/>
          </w:rPr>
          <w:t>https://www.pc.gov.au/inquiries/current/childhood/draft/childhood-draft-full.pdf</w:t>
        </w:r>
      </w:hyperlink>
      <w:r>
        <w:rPr>
          <w:rFonts w:eastAsia="Times New Roman" w:cs="Arial"/>
          <w:color w:val="auto"/>
          <w:szCs w:val="20"/>
        </w:rPr>
        <w:t xml:space="preserve"> </w:t>
      </w:r>
    </w:p>
    <w:p w14:paraId="28350FE8" w14:textId="77777777" w:rsidR="00A2332E" w:rsidRPr="00236BB5" w:rsidRDefault="00A2332E" w:rsidP="00A2332E">
      <w:pPr>
        <w:pStyle w:val="References"/>
        <w:rPr>
          <w:rFonts w:eastAsia="Arial" w:cs="Arial"/>
          <w:color w:val="auto"/>
          <w:szCs w:val="20"/>
        </w:rPr>
      </w:pPr>
      <w:r w:rsidRPr="00236BB5">
        <w:rPr>
          <w:rFonts w:eastAsia="Arial" w:cs="Arial"/>
          <w:color w:val="auto"/>
          <w:szCs w:val="20"/>
        </w:rPr>
        <w:t xml:space="preserve">Productivity Commission. (n.d.). </w:t>
      </w:r>
      <w:r w:rsidRPr="00236BB5">
        <w:rPr>
          <w:rFonts w:eastAsia="Arial" w:cs="Arial"/>
          <w:i/>
          <w:iCs/>
          <w:color w:val="auto"/>
          <w:szCs w:val="20"/>
        </w:rPr>
        <w:t>Early childhood education and care.</w:t>
      </w:r>
      <w:r w:rsidRPr="00236BB5">
        <w:rPr>
          <w:rFonts w:eastAsia="Arial" w:cs="Arial"/>
          <w:color w:val="auto"/>
          <w:szCs w:val="20"/>
        </w:rPr>
        <w:t xml:space="preserve"> </w:t>
      </w:r>
      <w:hyperlink r:id="rId204" w:anchor="report" w:history="1">
        <w:r w:rsidRPr="00496F47">
          <w:rPr>
            <w:rStyle w:val="Hyperlink"/>
            <w:rFonts w:eastAsia="Arial" w:cs="Arial"/>
            <w:szCs w:val="20"/>
          </w:rPr>
          <w:t>https://www.pc.gov.au/inquiries/current/childhood#report</w:t>
        </w:r>
      </w:hyperlink>
      <w:r>
        <w:rPr>
          <w:rFonts w:eastAsia="Arial" w:cs="Arial"/>
          <w:color w:val="auto"/>
          <w:szCs w:val="20"/>
        </w:rPr>
        <w:t xml:space="preserve"> </w:t>
      </w:r>
    </w:p>
    <w:p w14:paraId="16AFEEE2" w14:textId="77777777" w:rsidR="00A2332E" w:rsidRPr="00236BB5" w:rsidRDefault="00A2332E" w:rsidP="00A2332E">
      <w:pPr>
        <w:pStyle w:val="References"/>
        <w:rPr>
          <w:rFonts w:cs="Arial"/>
          <w:color w:val="auto"/>
          <w:szCs w:val="20"/>
        </w:rPr>
      </w:pPr>
      <w:r w:rsidRPr="00236BB5">
        <w:rPr>
          <w:rFonts w:cs="Arial"/>
          <w:color w:val="auto"/>
          <w:szCs w:val="20"/>
        </w:rPr>
        <w:t xml:space="preserve">Roberts, S., &amp; Prattes, R. (2023). Caring Masculinities in Theory and Practice: Reiterating the Relevance and Clarifying the Capaciousness of the Concept. </w:t>
      </w:r>
      <w:r w:rsidRPr="00236BB5">
        <w:rPr>
          <w:rFonts w:cs="Arial"/>
          <w:i/>
          <w:iCs/>
          <w:color w:val="auto"/>
          <w:szCs w:val="20"/>
        </w:rPr>
        <w:t>Sociological Research Online</w:t>
      </w:r>
      <w:r w:rsidRPr="00236BB5">
        <w:rPr>
          <w:rFonts w:cs="Arial"/>
          <w:color w:val="auto"/>
          <w:szCs w:val="20"/>
        </w:rPr>
        <w:t xml:space="preserve">. </w:t>
      </w:r>
      <w:hyperlink r:id="rId205" w:history="1">
        <w:r w:rsidRPr="00496F47">
          <w:rPr>
            <w:rStyle w:val="Hyperlink"/>
            <w:rFonts w:cs="Arial"/>
            <w:szCs w:val="20"/>
          </w:rPr>
          <w:t>https://journals.sagepub.com/doi/10.1177/13607804231205978</w:t>
        </w:r>
      </w:hyperlink>
      <w:r>
        <w:rPr>
          <w:rFonts w:cs="Arial"/>
          <w:color w:val="auto"/>
          <w:szCs w:val="20"/>
        </w:rPr>
        <w:t xml:space="preserve"> </w:t>
      </w:r>
    </w:p>
    <w:p w14:paraId="766BFF08" w14:textId="77777777" w:rsidR="00A2332E" w:rsidRPr="00236BB5" w:rsidRDefault="00A2332E" w:rsidP="00A2332E">
      <w:pPr>
        <w:pStyle w:val="References"/>
        <w:rPr>
          <w:rStyle w:val="Hyperlink"/>
          <w:rFonts w:cs="Arial"/>
          <w:color w:val="auto"/>
          <w:szCs w:val="20"/>
        </w:rPr>
      </w:pPr>
      <w:r w:rsidRPr="00236BB5">
        <w:rPr>
          <w:rFonts w:cs="Arial"/>
          <w:color w:val="auto"/>
          <w:szCs w:val="20"/>
        </w:rPr>
        <w:t>Sansone, C., &amp; Harackiewicz, J. (2012). Intrinsic and Extrinsic Motivation: The Search for Optimal Motivation and Performance.</w:t>
      </w:r>
      <w:r w:rsidRPr="00236BB5">
        <w:rPr>
          <w:rFonts w:cs="Arial"/>
          <w:i/>
          <w:iCs/>
          <w:color w:val="auto"/>
          <w:szCs w:val="20"/>
        </w:rPr>
        <w:t xml:space="preserve"> </w:t>
      </w:r>
      <w:r w:rsidRPr="00236BB5">
        <w:rPr>
          <w:rStyle w:val="cf01"/>
          <w:rFonts w:ascii="Arial" w:hAnsi="Arial" w:cs="Arial"/>
          <w:i/>
          <w:iCs/>
          <w:color w:val="auto"/>
          <w:sz w:val="20"/>
          <w:szCs w:val="20"/>
        </w:rPr>
        <w:t xml:space="preserve">Elsevier Science &amp; Technology. </w:t>
      </w:r>
      <w:hyperlink r:id="rId206" w:history="1">
        <w:r w:rsidRPr="00496F47">
          <w:rPr>
            <w:rStyle w:val="Hyperlink"/>
            <w:rFonts w:cs="Arial"/>
            <w:szCs w:val="20"/>
          </w:rPr>
          <w:t>https://www.researchgate.net/publication/232566368_Intrinsic_and_Extrinsic_Motivation_The_Search_for_Optimal_Motivation_and_Performance</w:t>
        </w:r>
      </w:hyperlink>
      <w:r>
        <w:rPr>
          <w:rFonts w:cs="Arial"/>
          <w:color w:val="auto"/>
          <w:szCs w:val="20"/>
        </w:rPr>
        <w:t xml:space="preserve"> </w:t>
      </w:r>
    </w:p>
    <w:p w14:paraId="2823D92F" w14:textId="77777777" w:rsidR="00A2332E" w:rsidRPr="00236BB5" w:rsidRDefault="00A2332E" w:rsidP="00A2332E">
      <w:pPr>
        <w:pStyle w:val="References"/>
        <w:rPr>
          <w:rFonts w:cs="Arial"/>
          <w:color w:val="auto"/>
          <w:szCs w:val="20"/>
        </w:rPr>
      </w:pPr>
      <w:r w:rsidRPr="00236BB5">
        <w:rPr>
          <w:rFonts w:cs="Arial"/>
          <w:i/>
          <w:iCs/>
          <w:color w:val="auto"/>
          <w:szCs w:val="20"/>
        </w:rPr>
        <w:t>Shaping Our Future: A ten-year strategy to ensure a sustainable, high-quality children’s education and care workforce 2022-2031</w:t>
      </w:r>
      <w:r w:rsidRPr="00236BB5">
        <w:rPr>
          <w:rFonts w:cs="Arial"/>
          <w:color w:val="auto"/>
          <w:szCs w:val="20"/>
        </w:rPr>
        <w:t xml:space="preserve">. (2021). </w:t>
      </w:r>
      <w:hyperlink r:id="rId207" w:history="1">
        <w:r w:rsidRPr="00496F47">
          <w:rPr>
            <w:rStyle w:val="Hyperlink"/>
            <w:rFonts w:cs="Arial"/>
            <w:szCs w:val="20"/>
          </w:rPr>
          <w:t>https://www.acecqa.gov.au/sites/default/files/2021-10/ShapingOurFutureChildrensEducationandCareNationalWorkforceStrategy-September2021.pdf</w:t>
        </w:r>
      </w:hyperlink>
      <w:r>
        <w:rPr>
          <w:rFonts w:cs="Arial"/>
          <w:color w:val="auto"/>
          <w:szCs w:val="20"/>
        </w:rPr>
        <w:t xml:space="preserve"> </w:t>
      </w:r>
    </w:p>
    <w:p w14:paraId="024F9C8C" w14:textId="77777777" w:rsidR="00A2332E" w:rsidRPr="00236BB5" w:rsidRDefault="00A2332E" w:rsidP="00A2332E">
      <w:pPr>
        <w:pStyle w:val="References"/>
        <w:rPr>
          <w:rStyle w:val="Hyperlink"/>
          <w:rFonts w:cs="Arial"/>
          <w:color w:val="auto"/>
          <w:szCs w:val="20"/>
        </w:rPr>
      </w:pPr>
      <w:r w:rsidRPr="00236BB5">
        <w:rPr>
          <w:rStyle w:val="cf01"/>
          <w:rFonts w:ascii="Arial" w:hAnsi="Arial" w:cs="Arial"/>
          <w:color w:val="auto"/>
          <w:sz w:val="20"/>
          <w:szCs w:val="20"/>
        </w:rPr>
        <w:t xml:space="preserve">Smith, T., McNeil, K., Mitchell, R., Boyle, B., &amp; Ries, N. (2019). A study of macro, meso- and micro-barriers and enablers affecting extended scopes of practice: the case of rural nurse practitioners in Australia, </w:t>
      </w:r>
      <w:r w:rsidRPr="00236BB5">
        <w:rPr>
          <w:rStyle w:val="cf01"/>
          <w:rFonts w:ascii="Arial" w:hAnsi="Arial" w:cs="Arial"/>
          <w:i/>
          <w:iCs/>
          <w:color w:val="auto"/>
          <w:sz w:val="20"/>
          <w:szCs w:val="20"/>
        </w:rPr>
        <w:t>BMC Nursing</w:t>
      </w:r>
      <w:r w:rsidRPr="00236BB5">
        <w:rPr>
          <w:rStyle w:val="cf01"/>
          <w:rFonts w:ascii="Arial" w:hAnsi="Arial" w:cs="Arial"/>
          <w:color w:val="auto"/>
          <w:sz w:val="20"/>
          <w:szCs w:val="20"/>
        </w:rPr>
        <w:t xml:space="preserve">, </w:t>
      </w:r>
      <w:r w:rsidRPr="00236BB5">
        <w:rPr>
          <w:rStyle w:val="cf01"/>
          <w:rFonts w:ascii="Arial" w:hAnsi="Arial" w:cs="Arial"/>
          <w:i/>
          <w:iCs/>
          <w:color w:val="auto"/>
          <w:sz w:val="20"/>
          <w:szCs w:val="20"/>
        </w:rPr>
        <w:t>18</w:t>
      </w:r>
      <w:r w:rsidRPr="00236BB5">
        <w:rPr>
          <w:rStyle w:val="cf01"/>
          <w:rFonts w:ascii="Arial" w:hAnsi="Arial" w:cs="Arial"/>
          <w:color w:val="auto"/>
          <w:sz w:val="20"/>
          <w:szCs w:val="20"/>
        </w:rPr>
        <w:t xml:space="preserve">(1), 1-14. </w:t>
      </w:r>
      <w:hyperlink r:id="rId208" w:history="1">
        <w:r w:rsidRPr="00496F47">
          <w:rPr>
            <w:rStyle w:val="Hyperlink"/>
            <w:rFonts w:cs="Arial"/>
            <w:szCs w:val="20"/>
          </w:rPr>
          <w:t>https://bmcnurs.biomedcentral.com/articles/10.1186/s12912-019-0337-z</w:t>
        </w:r>
      </w:hyperlink>
      <w:r>
        <w:rPr>
          <w:rFonts w:cs="Arial"/>
          <w:color w:val="auto"/>
          <w:szCs w:val="20"/>
        </w:rPr>
        <w:t xml:space="preserve"> </w:t>
      </w:r>
    </w:p>
    <w:p w14:paraId="43354A60" w14:textId="77777777" w:rsidR="00A2332E" w:rsidRPr="00236BB5" w:rsidRDefault="00A2332E" w:rsidP="00A2332E">
      <w:pPr>
        <w:pStyle w:val="References"/>
        <w:rPr>
          <w:rFonts w:cs="Arial"/>
          <w:color w:val="auto"/>
          <w:szCs w:val="20"/>
        </w:rPr>
      </w:pPr>
      <w:r w:rsidRPr="00236BB5">
        <w:rPr>
          <w:rFonts w:eastAsia="Arial" w:cs="Arial"/>
          <w:color w:val="auto"/>
          <w:szCs w:val="20"/>
        </w:rPr>
        <w:t>The Social Research Centre</w:t>
      </w:r>
      <w:r>
        <w:rPr>
          <w:rFonts w:eastAsia="Arial" w:cs="Arial"/>
          <w:color w:val="auto"/>
          <w:szCs w:val="20"/>
        </w:rPr>
        <w:t xml:space="preserve">, (2022), </w:t>
      </w:r>
      <w:r w:rsidRPr="00236BB5">
        <w:rPr>
          <w:rFonts w:eastAsia="Arial" w:cs="Arial"/>
          <w:i/>
          <w:iCs/>
          <w:color w:val="auto"/>
          <w:szCs w:val="20"/>
        </w:rPr>
        <w:t>2021 Early Childhood Education and Care National Workforce Census</w:t>
      </w:r>
      <w:r w:rsidRPr="00236BB5">
        <w:rPr>
          <w:rFonts w:eastAsia="Arial" w:cs="Arial"/>
          <w:color w:val="auto"/>
          <w:szCs w:val="20"/>
        </w:rPr>
        <w:t>.</w:t>
      </w:r>
      <w:r w:rsidRPr="00343394">
        <w:rPr>
          <w:rFonts w:eastAsia="Arial" w:cs="Arial"/>
          <w:color w:val="auto"/>
          <w:szCs w:val="20"/>
        </w:rPr>
        <w:t xml:space="preserve"> </w:t>
      </w:r>
      <w:r>
        <w:rPr>
          <w:rFonts w:eastAsia="Arial" w:cs="Arial"/>
          <w:color w:val="auto"/>
          <w:szCs w:val="20"/>
        </w:rPr>
        <w:t>Department of Education</w:t>
      </w:r>
      <w:r w:rsidRPr="00236BB5">
        <w:rPr>
          <w:rFonts w:eastAsia="Arial" w:cs="Arial"/>
          <w:color w:val="auto"/>
          <w:szCs w:val="20"/>
        </w:rPr>
        <w:t xml:space="preserve">. </w:t>
      </w:r>
      <w:hyperlink r:id="rId209" w:history="1">
        <w:r w:rsidRPr="00496F47">
          <w:rPr>
            <w:rStyle w:val="Hyperlink"/>
            <w:rFonts w:eastAsia="Arial" w:cs="Arial"/>
            <w:szCs w:val="20"/>
          </w:rPr>
          <w:t>https://www.education.gov.au/early-childhood/resources/2021-early-childhood-education-and-care-national-workforce-census-report</w:t>
        </w:r>
      </w:hyperlink>
      <w:r>
        <w:rPr>
          <w:rFonts w:eastAsia="Arial" w:cs="Arial"/>
          <w:color w:val="auto"/>
          <w:szCs w:val="20"/>
        </w:rPr>
        <w:t xml:space="preserve"> </w:t>
      </w:r>
    </w:p>
    <w:p w14:paraId="6E732276" w14:textId="77777777" w:rsidR="00A2332E" w:rsidRPr="00236BB5" w:rsidRDefault="00A2332E" w:rsidP="00A2332E">
      <w:pPr>
        <w:pStyle w:val="References"/>
        <w:rPr>
          <w:rFonts w:eastAsia="Times New Roman" w:cs="Arial"/>
          <w:color w:val="auto"/>
          <w:szCs w:val="20"/>
          <w:lang w:eastAsia="en-AU"/>
        </w:rPr>
      </w:pPr>
      <w:r w:rsidRPr="55D9BFE3">
        <w:rPr>
          <w:rFonts w:eastAsia="Times New Roman" w:cs="Arial"/>
          <w:i/>
          <w:iCs/>
          <w:color w:val="auto"/>
          <w:lang w:eastAsia="en-AU"/>
        </w:rPr>
        <w:t>The Senate Select Committee on Work and Care: Final Report</w:t>
      </w:r>
      <w:r w:rsidRPr="55D9BFE3">
        <w:rPr>
          <w:rFonts w:eastAsia="Times New Roman" w:cs="Arial"/>
          <w:color w:val="auto"/>
          <w:lang w:eastAsia="en-AU"/>
        </w:rPr>
        <w:t xml:space="preserve">. (2023). Commonwealth of Australia. </w:t>
      </w:r>
      <w:hyperlink r:id="rId210">
        <w:r w:rsidRPr="55D9BFE3">
          <w:rPr>
            <w:rStyle w:val="Hyperlink"/>
            <w:rFonts w:eastAsia="Times New Roman" w:cs="Arial"/>
            <w:lang w:eastAsia="en-AU"/>
          </w:rPr>
          <w:t>https://parlinfo.aph.gov.au/parlInfo/download/committees/reportsen/024994/toc_pdf/FinalReport.pdf;fileType=application%2Fpdf</w:t>
        </w:r>
      </w:hyperlink>
      <w:r w:rsidRPr="55D9BFE3">
        <w:rPr>
          <w:rFonts w:eastAsia="Times New Roman" w:cs="Arial"/>
          <w:color w:val="auto"/>
          <w:lang w:eastAsia="en-AU"/>
        </w:rPr>
        <w:t xml:space="preserve"> </w:t>
      </w:r>
    </w:p>
    <w:p w14:paraId="51FDF4B0" w14:textId="77777777" w:rsidR="00A2332E" w:rsidRDefault="00A2332E" w:rsidP="00A2332E">
      <w:pPr>
        <w:pStyle w:val="References"/>
      </w:pPr>
      <w:r w:rsidRPr="00553285">
        <w:rPr>
          <w:color w:val="auto"/>
        </w:rPr>
        <w:t xml:space="preserve">Treasury. (2024). </w:t>
      </w:r>
      <w:r w:rsidRPr="00553285">
        <w:rPr>
          <w:i/>
          <w:iCs/>
          <w:color w:val="auto"/>
        </w:rPr>
        <w:t>Budget 2024-25</w:t>
      </w:r>
      <w:r w:rsidRPr="00553285">
        <w:rPr>
          <w:color w:val="auto"/>
        </w:rPr>
        <w:t xml:space="preserve">. Australian Government. </w:t>
      </w:r>
      <w:hyperlink r:id="rId211" w:history="1">
        <w:r w:rsidRPr="55D9BFE3">
          <w:rPr>
            <w:rStyle w:val="Hyperlink"/>
          </w:rPr>
          <w:t>https://budget.gov.au/content/overview/download/budget-overview-final.pdf</w:t>
        </w:r>
      </w:hyperlink>
      <w:r w:rsidRPr="55D9BFE3">
        <w:rPr>
          <w:color w:val="1E53A3"/>
        </w:rPr>
        <w:t xml:space="preserve"> </w:t>
      </w:r>
      <w:r w:rsidRPr="55D9BFE3">
        <w:t xml:space="preserve"> </w:t>
      </w:r>
    </w:p>
    <w:p w14:paraId="16A0EC77" w14:textId="77777777" w:rsidR="00A2332E" w:rsidRPr="00236BB5" w:rsidRDefault="00A2332E" w:rsidP="00A2332E">
      <w:pPr>
        <w:pStyle w:val="References"/>
        <w:rPr>
          <w:rStyle w:val="Hyperlink"/>
          <w:rFonts w:eastAsia="Times New Roman" w:cs="Arial"/>
          <w:color w:val="auto"/>
          <w:szCs w:val="20"/>
          <w:lang w:eastAsia="en-AU"/>
        </w:rPr>
      </w:pPr>
      <w:r w:rsidRPr="00236BB5">
        <w:rPr>
          <w:rFonts w:eastAsia="Times New Roman" w:cs="Arial"/>
          <w:color w:val="auto"/>
          <w:szCs w:val="20"/>
          <w:lang w:eastAsia="en-AU"/>
        </w:rPr>
        <w:t xml:space="preserve">Tronto, J. C. (1987). Beyond Gender Difference to a Theory of Care. </w:t>
      </w:r>
      <w:r w:rsidRPr="00236BB5">
        <w:rPr>
          <w:rFonts w:eastAsia="Times New Roman" w:cs="Arial"/>
          <w:i/>
          <w:iCs/>
          <w:color w:val="auto"/>
          <w:szCs w:val="20"/>
          <w:lang w:eastAsia="en-AU"/>
        </w:rPr>
        <w:t>Signs</w:t>
      </w:r>
      <w:r w:rsidRPr="00236BB5">
        <w:rPr>
          <w:rFonts w:eastAsia="Times New Roman" w:cs="Arial"/>
          <w:color w:val="auto"/>
          <w:szCs w:val="20"/>
          <w:lang w:eastAsia="en-AU"/>
        </w:rPr>
        <w:t xml:space="preserve">, </w:t>
      </w:r>
      <w:r w:rsidRPr="00236BB5">
        <w:rPr>
          <w:rFonts w:eastAsia="Times New Roman" w:cs="Arial"/>
          <w:i/>
          <w:iCs/>
          <w:color w:val="auto"/>
          <w:szCs w:val="20"/>
          <w:lang w:eastAsia="en-AU"/>
        </w:rPr>
        <w:t>12</w:t>
      </w:r>
      <w:r w:rsidRPr="00236BB5">
        <w:rPr>
          <w:rFonts w:eastAsia="Times New Roman" w:cs="Arial"/>
          <w:color w:val="auto"/>
          <w:szCs w:val="20"/>
          <w:lang w:eastAsia="en-AU"/>
        </w:rPr>
        <w:t xml:space="preserve">(4), 644–663. </w:t>
      </w:r>
      <w:hyperlink r:id="rId212" w:history="1">
        <w:r w:rsidRPr="00496F47">
          <w:rPr>
            <w:rStyle w:val="Hyperlink"/>
            <w:rFonts w:eastAsia="Times New Roman" w:cs="Arial"/>
            <w:szCs w:val="20"/>
            <w:lang w:eastAsia="en-AU"/>
          </w:rPr>
          <w:t>http://www.jstor.org/stable/3174207</w:t>
        </w:r>
      </w:hyperlink>
      <w:r>
        <w:rPr>
          <w:rFonts w:eastAsia="Times New Roman" w:cs="Arial"/>
          <w:color w:val="auto"/>
          <w:szCs w:val="20"/>
          <w:lang w:eastAsia="en-AU"/>
        </w:rPr>
        <w:t xml:space="preserve"> </w:t>
      </w:r>
    </w:p>
    <w:p w14:paraId="369C539E" w14:textId="77777777" w:rsidR="00A2332E" w:rsidRPr="00236BB5" w:rsidRDefault="00A2332E" w:rsidP="00A2332E">
      <w:pPr>
        <w:pStyle w:val="References"/>
        <w:rPr>
          <w:rStyle w:val="Hyperlink"/>
          <w:rFonts w:eastAsia="Times New Roman" w:cs="Arial"/>
          <w:color w:val="auto"/>
          <w:szCs w:val="20"/>
          <w:lang w:eastAsia="en-AU"/>
        </w:rPr>
      </w:pPr>
      <w:r w:rsidRPr="00236BB5">
        <w:rPr>
          <w:rFonts w:eastAsia="Times New Roman" w:cs="Arial"/>
          <w:color w:val="auto"/>
          <w:szCs w:val="20"/>
          <w:lang w:eastAsia="en-AU"/>
        </w:rPr>
        <w:t xml:space="preserve">Ward, M., &amp; Shields, M. (2001). Improving Nurse Retention in the National Health Service in England: The Impact of Job Satisfaction on Intentions to Quit. </w:t>
      </w:r>
      <w:r w:rsidRPr="00236BB5">
        <w:rPr>
          <w:rFonts w:eastAsia="Times New Roman" w:cs="Arial"/>
          <w:i/>
          <w:iCs/>
          <w:color w:val="auto"/>
          <w:szCs w:val="20"/>
          <w:lang w:eastAsia="en-AU"/>
        </w:rPr>
        <w:t>Journal of Health Economics</w:t>
      </w:r>
      <w:r w:rsidRPr="00236BB5">
        <w:rPr>
          <w:rFonts w:eastAsia="Times New Roman" w:cs="Arial"/>
          <w:color w:val="auto"/>
          <w:szCs w:val="20"/>
          <w:lang w:eastAsia="en-AU"/>
        </w:rPr>
        <w:t xml:space="preserve">, </w:t>
      </w:r>
      <w:r w:rsidRPr="00236BB5">
        <w:rPr>
          <w:rFonts w:eastAsia="Times New Roman" w:cs="Arial"/>
          <w:i/>
          <w:iCs/>
          <w:color w:val="auto"/>
          <w:szCs w:val="20"/>
          <w:lang w:eastAsia="en-AU"/>
        </w:rPr>
        <w:t>20</w:t>
      </w:r>
      <w:r w:rsidRPr="00236BB5">
        <w:rPr>
          <w:rFonts w:eastAsia="Times New Roman" w:cs="Arial"/>
          <w:color w:val="auto"/>
          <w:szCs w:val="20"/>
          <w:lang w:eastAsia="en-AU"/>
        </w:rPr>
        <w:t xml:space="preserve">. </w:t>
      </w:r>
      <w:hyperlink r:id="rId213" w:history="1">
        <w:r w:rsidRPr="00496F47">
          <w:rPr>
            <w:rStyle w:val="Hyperlink"/>
            <w:rFonts w:eastAsia="Times New Roman" w:cs="Arial"/>
            <w:szCs w:val="20"/>
            <w:lang w:eastAsia="en-AU"/>
          </w:rPr>
          <w:t>https://www.researchgate.net/publication/344433131_Improving_Nurse_Retention_in_the_National_Health_Service_in_England_The_Impact_of_Job_Satisfaction_on_Intentions_to_Quit</w:t>
        </w:r>
      </w:hyperlink>
      <w:r>
        <w:rPr>
          <w:rFonts w:eastAsia="Times New Roman" w:cs="Arial"/>
          <w:color w:val="auto"/>
          <w:szCs w:val="20"/>
          <w:lang w:eastAsia="en-AU"/>
        </w:rPr>
        <w:t xml:space="preserve"> </w:t>
      </w:r>
    </w:p>
    <w:p w14:paraId="2640ABB1" w14:textId="77777777" w:rsidR="00A2332E" w:rsidRPr="00236BB5" w:rsidRDefault="00A2332E" w:rsidP="00A2332E">
      <w:pPr>
        <w:pStyle w:val="References"/>
        <w:rPr>
          <w:rStyle w:val="Hyperlink"/>
          <w:rFonts w:eastAsia="Times New Roman" w:cs="Arial"/>
          <w:color w:val="auto"/>
          <w:szCs w:val="20"/>
          <w:lang w:eastAsia="en-AU"/>
        </w:rPr>
      </w:pPr>
      <w:r w:rsidRPr="00236BB5">
        <w:rPr>
          <w:rFonts w:eastAsia="Times New Roman" w:cs="Arial"/>
          <w:color w:val="auto"/>
          <w:szCs w:val="20"/>
          <w:lang w:eastAsia="en-AU"/>
        </w:rPr>
        <w:t xml:space="preserve">Warin, J. (2019). Conceptualising the value of male practitioners in early childhood education and care: Gender balance or gender flexibility. </w:t>
      </w:r>
      <w:r w:rsidRPr="00236BB5">
        <w:rPr>
          <w:rFonts w:eastAsia="Times New Roman" w:cs="Arial"/>
          <w:i/>
          <w:iCs/>
          <w:color w:val="auto"/>
          <w:szCs w:val="20"/>
          <w:lang w:eastAsia="en-AU"/>
        </w:rPr>
        <w:t>Gender and Education</w:t>
      </w:r>
      <w:r w:rsidRPr="00236BB5">
        <w:rPr>
          <w:rFonts w:eastAsia="Times New Roman" w:cs="Arial"/>
          <w:color w:val="auto"/>
          <w:szCs w:val="20"/>
          <w:lang w:eastAsia="en-AU"/>
        </w:rPr>
        <w:t xml:space="preserve">, </w:t>
      </w:r>
      <w:r w:rsidRPr="00236BB5">
        <w:rPr>
          <w:rFonts w:eastAsia="Times New Roman" w:cs="Arial"/>
          <w:i/>
          <w:iCs/>
          <w:color w:val="auto"/>
          <w:szCs w:val="20"/>
          <w:lang w:eastAsia="en-AU"/>
        </w:rPr>
        <w:t>31</w:t>
      </w:r>
      <w:r w:rsidRPr="00236BB5">
        <w:rPr>
          <w:rFonts w:eastAsia="Times New Roman" w:cs="Arial"/>
          <w:color w:val="auto"/>
          <w:szCs w:val="20"/>
          <w:lang w:eastAsia="en-AU"/>
        </w:rPr>
        <w:t xml:space="preserve">(3), 293–308. </w:t>
      </w:r>
      <w:hyperlink r:id="rId214" w:history="1">
        <w:r w:rsidRPr="00496F47">
          <w:rPr>
            <w:rStyle w:val="Hyperlink"/>
            <w:rFonts w:eastAsia="Times New Roman" w:cs="Arial"/>
            <w:szCs w:val="20"/>
            <w:lang w:eastAsia="en-AU"/>
          </w:rPr>
          <w:t>https://www.tandfonline.com/doi/abs/10.1080/09540253.2017.1380172</w:t>
        </w:r>
      </w:hyperlink>
      <w:r>
        <w:rPr>
          <w:rFonts w:eastAsia="Times New Roman" w:cs="Arial"/>
          <w:color w:val="auto"/>
          <w:szCs w:val="20"/>
          <w:lang w:eastAsia="en-AU"/>
        </w:rPr>
        <w:t xml:space="preserve"> </w:t>
      </w:r>
    </w:p>
    <w:p w14:paraId="1A07703B" w14:textId="77777777" w:rsidR="00A2332E" w:rsidRPr="00236BB5" w:rsidRDefault="00A2332E" w:rsidP="00A2332E">
      <w:pPr>
        <w:pStyle w:val="References"/>
        <w:rPr>
          <w:rFonts w:cs="Arial"/>
          <w:color w:val="auto"/>
        </w:rPr>
      </w:pPr>
      <w:r w:rsidRPr="55D9BFE3">
        <w:rPr>
          <w:rFonts w:cs="Arial"/>
          <w:color w:val="auto"/>
        </w:rPr>
        <w:t xml:space="preserve">Warren, D. &amp; de New, J. (2013). </w:t>
      </w:r>
      <w:r w:rsidRPr="55D9BFE3">
        <w:rPr>
          <w:rFonts w:cs="Arial"/>
          <w:i/>
          <w:iCs/>
          <w:color w:val="auto"/>
        </w:rPr>
        <w:t>Early Bird Catches the Worm: The Causal Impact of Pre-school Participation and Teacher Qualifications on Year 3 National NAPLAN Cognitive Tests</w:t>
      </w:r>
      <w:r w:rsidRPr="55D9BFE3">
        <w:rPr>
          <w:rFonts w:cs="Arial"/>
          <w:color w:val="auto"/>
        </w:rPr>
        <w:t xml:space="preserve"> (34/13). Melbourne Institute of Applied Economic and Social Research, University of Melbourne. </w:t>
      </w:r>
      <w:hyperlink r:id="rId215">
        <w:r w:rsidRPr="55D9BFE3">
          <w:rPr>
            <w:rStyle w:val="Hyperlink"/>
            <w:rFonts w:cs="Arial"/>
          </w:rPr>
          <w:t>https://melbourneinstitute.unimelb.edu.au/downloads/working_paper_series/wp2013n34.pdf</w:t>
        </w:r>
      </w:hyperlink>
      <w:r w:rsidRPr="55D9BFE3">
        <w:rPr>
          <w:rFonts w:cs="Arial"/>
          <w:color w:val="auto"/>
        </w:rPr>
        <w:t xml:space="preserve"> </w:t>
      </w:r>
    </w:p>
    <w:p w14:paraId="2A69537D" w14:textId="77777777" w:rsidR="00A2332E" w:rsidRDefault="00A2332E" w:rsidP="00A2332E">
      <w:pPr>
        <w:pStyle w:val="References"/>
        <w:rPr>
          <w:rFonts w:cs="Arial"/>
          <w:color w:val="auto"/>
        </w:rPr>
      </w:pPr>
      <w:r w:rsidRPr="4F01BEFD">
        <w:rPr>
          <w:rFonts w:cs="Arial"/>
          <w:color w:val="auto"/>
        </w:rPr>
        <w:t xml:space="preserve">Weiss, A. (2024). </w:t>
      </w:r>
      <w:r w:rsidRPr="4F01BEFD">
        <w:rPr>
          <w:rFonts w:cs="Arial"/>
          <w:i/>
          <w:iCs/>
          <w:color w:val="auto"/>
        </w:rPr>
        <w:t xml:space="preserve">Competition in Quantity Constrained Markets with Nonprofit Provision: Early Childhood Education in Australia </w:t>
      </w:r>
      <w:r w:rsidRPr="4F01BEFD">
        <w:rPr>
          <w:rFonts w:cs="Arial"/>
          <w:color w:val="auto"/>
        </w:rPr>
        <w:t xml:space="preserve">[PhD, University of Melbourne]. </w:t>
      </w:r>
      <w:hyperlink r:id="rId216">
        <w:r w:rsidRPr="4F01BEFD">
          <w:rPr>
            <w:rStyle w:val="Hyperlink"/>
          </w:rPr>
          <w:t>https://minerva-access.unimelb.edu.au/items/5141d4b1-8d36-44b5-b71f-90b0af4cdc5e</w:t>
        </w:r>
      </w:hyperlink>
      <w:r w:rsidRPr="4F01BEFD">
        <w:rPr>
          <w:rFonts w:cs="Arial"/>
          <w:color w:val="auto"/>
        </w:rPr>
        <w:t xml:space="preserve">  </w:t>
      </w:r>
    </w:p>
    <w:p w14:paraId="25B4A3E6" w14:textId="77777777" w:rsidR="00A2332E" w:rsidRPr="00236BB5" w:rsidRDefault="00A2332E" w:rsidP="00A2332E">
      <w:pPr>
        <w:pStyle w:val="References"/>
        <w:rPr>
          <w:rStyle w:val="Hyperlink"/>
          <w:rFonts w:cs="Arial"/>
          <w:color w:val="auto"/>
          <w:szCs w:val="20"/>
        </w:rPr>
      </w:pPr>
      <w:r w:rsidRPr="00236BB5">
        <w:rPr>
          <w:rFonts w:cs="Arial"/>
          <w:color w:val="auto"/>
          <w:szCs w:val="20"/>
        </w:rPr>
        <w:t>Workplace Gender Equality Agency. (2018). </w:t>
      </w:r>
      <w:r w:rsidRPr="00236BB5">
        <w:rPr>
          <w:rFonts w:cs="Arial"/>
          <w:i/>
          <w:iCs/>
          <w:color w:val="auto"/>
          <w:szCs w:val="20"/>
        </w:rPr>
        <w:t>Gender and Negotiation in the Workplace</w:t>
      </w:r>
      <w:r w:rsidRPr="00236BB5">
        <w:rPr>
          <w:rFonts w:cs="Arial"/>
          <w:color w:val="auto"/>
          <w:szCs w:val="20"/>
        </w:rPr>
        <w:t xml:space="preserve">. Australian Government. </w:t>
      </w:r>
      <w:hyperlink r:id="rId217" w:history="1">
        <w:r w:rsidRPr="00496F47">
          <w:rPr>
            <w:rStyle w:val="Hyperlink"/>
            <w:rFonts w:cs="Arial"/>
            <w:szCs w:val="20"/>
          </w:rPr>
          <w:t>https://www.wgea.gov.au/publications/gender-and-negotiation-in-the-workplace</w:t>
        </w:r>
      </w:hyperlink>
      <w:r>
        <w:rPr>
          <w:rFonts w:cs="Arial"/>
          <w:color w:val="auto"/>
          <w:szCs w:val="20"/>
        </w:rPr>
        <w:t xml:space="preserve"> </w:t>
      </w:r>
    </w:p>
    <w:p w14:paraId="1E007EF5" w14:textId="77777777" w:rsidR="00A2332E" w:rsidRPr="006D654A" w:rsidRDefault="00A2332E" w:rsidP="00A2332E">
      <w:pPr>
        <w:pStyle w:val="References"/>
        <w:rPr>
          <w:rFonts w:eastAsia="Arial" w:cs="Arial"/>
          <w:color w:val="auto"/>
          <w:szCs w:val="20"/>
        </w:rPr>
      </w:pPr>
      <w:r w:rsidRPr="00236BB5">
        <w:rPr>
          <w:rFonts w:eastAsia="Arial" w:cs="Arial"/>
          <w:color w:val="auto"/>
          <w:szCs w:val="20"/>
        </w:rPr>
        <w:t>Zillman, S</w:t>
      </w:r>
      <w:r w:rsidRPr="00236BB5">
        <w:rPr>
          <w:rFonts w:eastAsia="Arial" w:cs="Arial"/>
          <w:i/>
          <w:iCs/>
          <w:color w:val="auto"/>
          <w:szCs w:val="20"/>
        </w:rPr>
        <w:t>. (2024, March 5). ‘</w:t>
      </w:r>
      <w:r w:rsidRPr="00236BB5">
        <w:rPr>
          <w:rFonts w:eastAsia="Arial" w:cs="Arial"/>
          <w:color w:val="auto"/>
          <w:szCs w:val="20"/>
        </w:rPr>
        <w:t xml:space="preserve">Illegally Operating Every Day’: Here’s What Educators Have Told Us about ‘under the Roof’ Ratio Misuse. </w:t>
      </w:r>
      <w:r w:rsidRPr="00236BB5">
        <w:rPr>
          <w:rFonts w:eastAsia="Arial" w:cs="Arial"/>
          <w:i/>
          <w:iCs/>
          <w:color w:val="auto"/>
          <w:szCs w:val="20"/>
        </w:rPr>
        <w:t>ABC News</w:t>
      </w:r>
      <w:r w:rsidRPr="00236BB5">
        <w:rPr>
          <w:rFonts w:eastAsia="Arial" w:cs="Arial"/>
          <w:color w:val="auto"/>
          <w:szCs w:val="20"/>
        </w:rPr>
        <w:t xml:space="preserve">. </w:t>
      </w:r>
      <w:hyperlink r:id="rId218" w:history="1">
        <w:r w:rsidRPr="00496F47">
          <w:rPr>
            <w:rStyle w:val="Hyperlink"/>
            <w:rFonts w:eastAsia="Arial" w:cs="Arial"/>
            <w:szCs w:val="20"/>
          </w:rPr>
          <w:t>https://www.abc.net.au/news/2024-03-06/under-the-roof-loophole-childcare-centres-called-out/103543974</w:t>
        </w:r>
      </w:hyperlink>
      <w:r>
        <w:rPr>
          <w:rFonts w:eastAsia="Arial" w:cs="Arial"/>
          <w:color w:val="auto"/>
          <w:szCs w:val="20"/>
        </w:rPr>
        <w:t xml:space="preserve"> </w:t>
      </w:r>
    </w:p>
    <w:p w14:paraId="14132CA9" w14:textId="77777777" w:rsidR="00A2332E" w:rsidRDefault="00A2332E" w:rsidP="00A2332E"/>
    <w:p w14:paraId="3EA516F4" w14:textId="77777777" w:rsidR="00A2332E" w:rsidRDefault="00A2332E" w:rsidP="00A2332E">
      <w:pPr>
        <w:spacing w:after="0"/>
        <w:ind w:left="480"/>
        <w:rPr>
          <w:rStyle w:val="Hyperlink"/>
          <w:rFonts w:eastAsia="Arial" w:cs="Arial"/>
        </w:rPr>
        <w:sectPr w:rsidR="00A2332E" w:rsidSect="00A2332E">
          <w:headerReference w:type="even" r:id="rId219"/>
          <w:headerReference w:type="default" r:id="rId220"/>
          <w:headerReference w:type="first" r:id="rId221"/>
          <w:endnotePr>
            <w:numFmt w:val="decimal"/>
          </w:endnotePr>
          <w:pgSz w:w="11906" w:h="16838" w:code="9"/>
          <w:pgMar w:top="1440" w:right="1440" w:bottom="1440" w:left="1440" w:header="0" w:footer="709" w:gutter="0"/>
          <w:cols w:space="708"/>
          <w:docGrid w:linePitch="360"/>
        </w:sectPr>
      </w:pPr>
    </w:p>
    <w:p w14:paraId="5E6E5406" w14:textId="77777777" w:rsidR="00A2332E" w:rsidRDefault="00A2332E" w:rsidP="00A2332E">
      <w:pPr>
        <w:pStyle w:val="Heading2"/>
      </w:pPr>
      <w:bookmarkStart w:id="232" w:name="_Toc170464048"/>
      <w:bookmarkStart w:id="233" w:name="_Toc174363735"/>
      <w:r>
        <w:lastRenderedPageBreak/>
        <w:t>Data Sources</w:t>
      </w:r>
      <w:bookmarkEnd w:id="232"/>
      <w:bookmarkEnd w:id="233"/>
    </w:p>
    <w:tbl>
      <w:tblPr>
        <w:tblStyle w:val="TableGrid"/>
        <w:tblW w:w="9014" w:type="dxa"/>
        <w:tblBorders>
          <w:top w:val="none" w:sz="0" w:space="0" w:color="auto"/>
          <w:left w:val="none" w:sz="0" w:space="0" w:color="auto"/>
          <w:bottom w:val="none" w:sz="0" w:space="0" w:color="auto"/>
          <w:right w:val="none" w:sz="0" w:space="0" w:color="auto"/>
          <w:insideH w:val="single" w:sz="6" w:space="0" w:color="A6A6A6" w:themeColor="background1" w:themeShade="A6"/>
          <w:insideV w:val="none" w:sz="0" w:space="0" w:color="auto"/>
        </w:tblBorders>
        <w:tblLook w:val="04A0" w:firstRow="1" w:lastRow="0" w:firstColumn="1" w:lastColumn="0" w:noHBand="0" w:noVBand="1"/>
      </w:tblPr>
      <w:tblGrid>
        <w:gridCol w:w="1877"/>
        <w:gridCol w:w="1347"/>
        <w:gridCol w:w="5790"/>
      </w:tblGrid>
      <w:tr w:rsidR="00A2332E" w:rsidRPr="00684683" w14:paraId="67DB6C61" w14:textId="77777777" w:rsidTr="005F6ADC">
        <w:trPr>
          <w:trHeight w:val="300"/>
          <w:tblHeader/>
        </w:trPr>
        <w:tc>
          <w:tcPr>
            <w:tcW w:w="1877" w:type="dxa"/>
            <w:shd w:val="clear" w:color="auto" w:fill="441170" w:themeFill="text2"/>
          </w:tcPr>
          <w:p w14:paraId="499A4BA9" w14:textId="77777777" w:rsidR="00A2332E" w:rsidRPr="00F361E5" w:rsidRDefault="00A2332E" w:rsidP="005F6ADC">
            <w:pPr>
              <w:tabs>
                <w:tab w:val="left" w:pos="709"/>
              </w:tabs>
              <w:spacing w:before="60" w:after="60"/>
              <w:rPr>
                <w:b/>
                <w:bCs/>
                <w:color w:val="FFFFFF" w:themeColor="background1"/>
              </w:rPr>
            </w:pPr>
            <w:r w:rsidRPr="00F361E5">
              <w:rPr>
                <w:b/>
                <w:bCs/>
                <w:color w:val="FFFFFF" w:themeColor="background1"/>
              </w:rPr>
              <w:t>Name</w:t>
            </w:r>
          </w:p>
        </w:tc>
        <w:tc>
          <w:tcPr>
            <w:tcW w:w="1347" w:type="dxa"/>
            <w:shd w:val="clear" w:color="auto" w:fill="441170" w:themeFill="text2"/>
          </w:tcPr>
          <w:p w14:paraId="3F55784C" w14:textId="77777777" w:rsidR="00A2332E" w:rsidRPr="00F361E5" w:rsidRDefault="00A2332E" w:rsidP="005F6ADC">
            <w:pPr>
              <w:tabs>
                <w:tab w:val="left" w:pos="709"/>
              </w:tabs>
              <w:spacing w:before="60" w:after="60"/>
              <w:rPr>
                <w:b/>
                <w:bCs/>
                <w:color w:val="FFFFFF" w:themeColor="background1"/>
              </w:rPr>
            </w:pPr>
            <w:r w:rsidRPr="00F361E5">
              <w:rPr>
                <w:b/>
                <w:bCs/>
                <w:color w:val="FFFFFF" w:themeColor="background1"/>
              </w:rPr>
              <w:t>Source</w:t>
            </w:r>
          </w:p>
        </w:tc>
        <w:tc>
          <w:tcPr>
            <w:tcW w:w="5790" w:type="dxa"/>
            <w:shd w:val="clear" w:color="auto" w:fill="441170" w:themeFill="text2"/>
          </w:tcPr>
          <w:p w14:paraId="4CF4D6A6" w14:textId="77777777" w:rsidR="00A2332E" w:rsidRPr="00F361E5" w:rsidRDefault="00A2332E" w:rsidP="005F6ADC">
            <w:pPr>
              <w:tabs>
                <w:tab w:val="left" w:pos="709"/>
              </w:tabs>
              <w:spacing w:before="60" w:after="60"/>
              <w:rPr>
                <w:b/>
                <w:bCs/>
                <w:color w:val="FFFFFF" w:themeColor="background1"/>
              </w:rPr>
            </w:pPr>
            <w:r w:rsidRPr="00F361E5">
              <w:rPr>
                <w:b/>
                <w:bCs/>
                <w:color w:val="FFFFFF" w:themeColor="background1"/>
              </w:rPr>
              <w:t>Description</w:t>
            </w:r>
          </w:p>
        </w:tc>
      </w:tr>
      <w:bookmarkStart w:id="234" w:name="_Hlk144975483"/>
      <w:tr w:rsidR="00A2332E" w:rsidRPr="003C7CD5" w14:paraId="365432F9" w14:textId="77777777" w:rsidTr="005F6ADC">
        <w:trPr>
          <w:trHeight w:val="20"/>
        </w:trPr>
        <w:tc>
          <w:tcPr>
            <w:tcW w:w="1877" w:type="dxa"/>
          </w:tcPr>
          <w:p w14:paraId="67D9A96A" w14:textId="77777777" w:rsidR="00A2332E" w:rsidRPr="003C7CD5" w:rsidRDefault="00A2332E" w:rsidP="005F6ADC">
            <w:pPr>
              <w:tabs>
                <w:tab w:val="left" w:pos="709"/>
              </w:tabs>
              <w:rPr>
                <w:rFonts w:asciiTheme="majorHAnsi" w:hAnsiTheme="majorHAnsi" w:cstheme="majorHAnsi"/>
                <w:sz w:val="20"/>
                <w:szCs w:val="20"/>
                <w14:numForm w14:val="lining"/>
                <w14:numSpacing w14:val="proportional"/>
              </w:rPr>
            </w:pPr>
            <w:r>
              <w:rPr>
                <w:rStyle w:val="normaltextrun"/>
                <w:rFonts w:asciiTheme="majorHAnsi" w:hAnsiTheme="majorHAnsi" w:cstheme="majorHAnsi"/>
                <w:color w:val="000000"/>
                <w:sz w:val="20"/>
                <w:szCs w:val="20"/>
                <w:bdr w:val="none" w:sz="0" w:space="0" w:color="auto" w:frame="1"/>
              </w:rPr>
              <w:fldChar w:fldCharType="begin"/>
            </w:r>
            <w:r>
              <w:rPr>
                <w:rStyle w:val="normaltextrun"/>
                <w:rFonts w:asciiTheme="majorHAnsi" w:hAnsiTheme="majorHAnsi" w:cstheme="majorHAnsi"/>
                <w:color w:val="000000"/>
                <w:sz w:val="20"/>
                <w:szCs w:val="20"/>
                <w:bdr w:val="none" w:sz="0" w:space="0" w:color="auto" w:frame="1"/>
              </w:rPr>
              <w:instrText>HYPERLINK "https://www.abs.gov.au/statistics/classifications/anzsco-australian-and-new-zealand-standard-classification-occupations/latest-release"</w:instrText>
            </w:r>
            <w:r>
              <w:rPr>
                <w:rStyle w:val="normaltextrun"/>
                <w:rFonts w:asciiTheme="majorHAnsi" w:hAnsiTheme="majorHAnsi" w:cstheme="majorHAnsi"/>
                <w:color w:val="000000"/>
                <w:sz w:val="20"/>
                <w:szCs w:val="20"/>
                <w:bdr w:val="none" w:sz="0" w:space="0" w:color="auto" w:frame="1"/>
              </w:rPr>
            </w:r>
            <w:r>
              <w:rPr>
                <w:rStyle w:val="normaltextrun"/>
                <w:rFonts w:asciiTheme="majorHAnsi" w:hAnsiTheme="majorHAnsi" w:cstheme="majorHAnsi"/>
                <w:color w:val="000000"/>
                <w:sz w:val="20"/>
                <w:szCs w:val="20"/>
                <w:bdr w:val="none" w:sz="0" w:space="0" w:color="auto" w:frame="1"/>
              </w:rPr>
              <w:fldChar w:fldCharType="separate"/>
            </w:r>
            <w:r w:rsidRPr="00E012D3">
              <w:rPr>
                <w:rStyle w:val="Hyperlink"/>
                <w:rFonts w:asciiTheme="majorHAnsi" w:hAnsiTheme="majorHAnsi" w:cstheme="majorHAnsi"/>
                <w:sz w:val="20"/>
                <w:szCs w:val="20"/>
                <w:bdr w:val="none" w:sz="0" w:space="0" w:color="auto" w:frame="1"/>
              </w:rPr>
              <w:t>ANZSCO Occupations</w:t>
            </w:r>
            <w:r>
              <w:rPr>
                <w:rStyle w:val="normaltextrun"/>
                <w:rFonts w:asciiTheme="majorHAnsi" w:hAnsiTheme="majorHAnsi" w:cstheme="majorHAnsi"/>
                <w:color w:val="000000"/>
                <w:sz w:val="20"/>
                <w:szCs w:val="20"/>
                <w:bdr w:val="none" w:sz="0" w:space="0" w:color="auto" w:frame="1"/>
              </w:rPr>
              <w:fldChar w:fldCharType="end"/>
            </w:r>
          </w:p>
        </w:tc>
        <w:tc>
          <w:tcPr>
            <w:tcW w:w="1347" w:type="dxa"/>
          </w:tcPr>
          <w:p w14:paraId="24454218" w14:textId="77777777" w:rsidR="00A2332E" w:rsidRPr="003C7CD5" w:rsidRDefault="00A2332E" w:rsidP="005F6ADC">
            <w:pPr>
              <w:tabs>
                <w:tab w:val="left" w:pos="709"/>
              </w:tabs>
              <w:rPr>
                <w:rStyle w:val="normaltextrun"/>
                <w:rFonts w:asciiTheme="majorHAnsi" w:hAnsiTheme="majorHAnsi" w:cstheme="majorBidi"/>
                <w:sz w:val="20"/>
                <w:szCs w:val="20"/>
              </w:rPr>
            </w:pPr>
            <w:r w:rsidRPr="75C3390B">
              <w:rPr>
                <w:rStyle w:val="normaltextrun"/>
                <w:rFonts w:asciiTheme="majorHAnsi" w:hAnsiTheme="majorHAnsi" w:cstheme="majorBidi"/>
                <w:color w:val="000000"/>
                <w:sz w:val="20"/>
                <w:szCs w:val="20"/>
                <w:bdr w:val="none" w:sz="0" w:space="0" w:color="auto" w:frame="1"/>
              </w:rPr>
              <w:t>ABS</w:t>
            </w:r>
          </w:p>
        </w:tc>
        <w:tc>
          <w:tcPr>
            <w:tcW w:w="5790" w:type="dxa"/>
          </w:tcPr>
          <w:p w14:paraId="10054C7E" w14:textId="77777777" w:rsidR="00A2332E" w:rsidRPr="003C7CD5" w:rsidRDefault="00A2332E" w:rsidP="005F6ADC">
            <w:pPr>
              <w:tabs>
                <w:tab w:val="left" w:pos="709"/>
              </w:tabs>
              <w:rPr>
                <w:rFonts w:asciiTheme="majorHAnsi" w:eastAsia="Arial" w:hAnsiTheme="majorHAnsi" w:cstheme="majorBidi"/>
                <w:sz w:val="20"/>
                <w:szCs w:val="20"/>
                <w14:numForm w14:val="lining"/>
                <w14:numSpacing w14:val="proportional"/>
              </w:rPr>
            </w:pPr>
            <w:r w:rsidRPr="75C3390B">
              <w:rPr>
                <w:rFonts w:asciiTheme="majorHAnsi" w:eastAsia="Arial" w:hAnsiTheme="majorHAnsi" w:cstheme="majorBidi"/>
                <w:sz w:val="20"/>
                <w:szCs w:val="20"/>
              </w:rPr>
              <w:t>Contains detailed descriptions of occupations within Australia and New Zealand. The ANZSCO was first established in 2006, followed by partial revisions in subsequent years and a comprehensive update across 2023 and 2024 to better reflect the contemporary labour market and meet stakeholder needs.</w:t>
            </w:r>
          </w:p>
        </w:tc>
      </w:tr>
      <w:tr w:rsidR="00A2332E" w:rsidRPr="003C7CD5" w14:paraId="3B549D6F" w14:textId="77777777" w:rsidTr="005F6ADC">
        <w:trPr>
          <w:trHeight w:val="20"/>
        </w:trPr>
        <w:tc>
          <w:tcPr>
            <w:tcW w:w="1877" w:type="dxa"/>
            <w:tcBorders>
              <w:bottom w:val="single" w:sz="6" w:space="0" w:color="A6A6A6" w:themeColor="background1" w:themeShade="A6"/>
            </w:tcBorders>
          </w:tcPr>
          <w:p w14:paraId="573452F2" w14:textId="77777777" w:rsidR="00A2332E" w:rsidRPr="003C7CD5" w:rsidRDefault="00044D83" w:rsidP="005F6ADC">
            <w:pPr>
              <w:spacing w:after="100" w:line="264" w:lineRule="auto"/>
              <w:rPr>
                <w:rFonts w:asciiTheme="majorHAnsi" w:eastAsia="Arial" w:hAnsiTheme="majorHAnsi" w:cstheme="majorHAnsi"/>
                <w:sz w:val="20"/>
                <w:szCs w:val="20"/>
              </w:rPr>
            </w:pPr>
            <w:hyperlink r:id="rId222" w:history="1">
              <w:r w:rsidR="00A2332E" w:rsidRPr="0082619D">
                <w:rPr>
                  <w:rStyle w:val="Hyperlink"/>
                  <w:rFonts w:asciiTheme="majorHAnsi" w:eastAsia="Arial" w:hAnsiTheme="majorHAnsi" w:cstheme="majorHAnsi"/>
                  <w:sz w:val="20"/>
                  <w:szCs w:val="20"/>
                </w:rPr>
                <w:t>Apprentice and Trainee collection</w:t>
              </w:r>
            </w:hyperlink>
          </w:p>
        </w:tc>
        <w:tc>
          <w:tcPr>
            <w:tcW w:w="1347" w:type="dxa"/>
            <w:tcBorders>
              <w:bottom w:val="single" w:sz="6" w:space="0" w:color="A6A6A6" w:themeColor="background1" w:themeShade="A6"/>
            </w:tcBorders>
          </w:tcPr>
          <w:p w14:paraId="0D5EFB9D" w14:textId="77777777" w:rsidR="00A2332E" w:rsidRPr="003C7CD5" w:rsidRDefault="00A2332E" w:rsidP="005F6ADC">
            <w:pPr>
              <w:tabs>
                <w:tab w:val="left" w:pos="709"/>
              </w:tabs>
              <w:rPr>
                <w:rFonts w:asciiTheme="majorHAnsi" w:eastAsia="Arial" w:hAnsiTheme="majorHAnsi" w:cstheme="majorBidi"/>
                <w:sz w:val="20"/>
                <w:szCs w:val="20"/>
              </w:rPr>
            </w:pPr>
            <w:r w:rsidRPr="75C3390B">
              <w:rPr>
                <w:rFonts w:asciiTheme="majorHAnsi" w:eastAsia="Arial" w:hAnsiTheme="majorHAnsi" w:cstheme="majorBidi"/>
                <w:sz w:val="20"/>
                <w:szCs w:val="20"/>
              </w:rPr>
              <w:t>NCVER</w:t>
            </w:r>
          </w:p>
        </w:tc>
        <w:tc>
          <w:tcPr>
            <w:tcW w:w="5790" w:type="dxa"/>
            <w:tcBorders>
              <w:bottom w:val="single" w:sz="6" w:space="0" w:color="A6A6A6" w:themeColor="background1" w:themeShade="A6"/>
            </w:tcBorders>
          </w:tcPr>
          <w:p w14:paraId="0FE76684" w14:textId="77777777" w:rsidR="00A2332E" w:rsidRPr="003C7CD5" w:rsidRDefault="00A2332E" w:rsidP="005F6ADC">
            <w:pPr>
              <w:tabs>
                <w:tab w:val="left" w:pos="709"/>
              </w:tabs>
              <w:rPr>
                <w:rFonts w:asciiTheme="majorHAnsi" w:hAnsiTheme="majorHAnsi" w:cstheme="majorHAnsi"/>
                <w:sz w:val="20"/>
                <w:szCs w:val="20"/>
              </w:rPr>
            </w:pPr>
            <w:r w:rsidRPr="003900B1">
              <w:rPr>
                <w:rFonts w:asciiTheme="majorHAnsi" w:eastAsia="Arial" w:hAnsiTheme="majorHAnsi" w:cstheme="majorHAnsi"/>
                <w:sz w:val="20"/>
                <w:szCs w:val="20"/>
              </w:rPr>
              <w:t xml:space="preserve">Collected quarterly from state and territory training authorities, this dataset provides information on persons employed under a training contract including both apprentices and trainees. It contains information on training rates and duration of training. </w:t>
            </w:r>
            <w:r>
              <w:rPr>
                <w:rFonts w:asciiTheme="majorHAnsi" w:eastAsia="Arial" w:hAnsiTheme="majorHAnsi" w:cstheme="majorHAnsi"/>
                <w:sz w:val="20"/>
                <w:szCs w:val="20"/>
              </w:rPr>
              <w:t xml:space="preserve">Data is available from </w:t>
            </w:r>
            <w:r w:rsidRPr="003C7CD5">
              <w:rPr>
                <w:rFonts w:asciiTheme="majorHAnsi" w:eastAsia="Arial" w:hAnsiTheme="majorHAnsi" w:cstheme="majorHAnsi"/>
                <w:sz w:val="20"/>
                <w:szCs w:val="20"/>
              </w:rPr>
              <w:t>1994-2023</w:t>
            </w:r>
            <w:r>
              <w:rPr>
                <w:rFonts w:asciiTheme="majorHAnsi" w:eastAsia="Arial" w:hAnsiTheme="majorHAnsi" w:cstheme="majorHAnsi"/>
                <w:sz w:val="20"/>
                <w:szCs w:val="20"/>
              </w:rPr>
              <w:t>.</w:t>
            </w:r>
          </w:p>
        </w:tc>
      </w:tr>
      <w:tr w:rsidR="00A2332E" w:rsidRPr="003C7CD5" w14:paraId="13883D3B" w14:textId="77777777" w:rsidTr="005F6ADC">
        <w:trPr>
          <w:trHeight w:val="20"/>
        </w:trPr>
        <w:tc>
          <w:tcPr>
            <w:tcW w:w="1877" w:type="dxa"/>
          </w:tcPr>
          <w:p w14:paraId="3828901B" w14:textId="77777777" w:rsidR="00A2332E" w:rsidRPr="003C7CD5" w:rsidRDefault="00044D83" w:rsidP="005F6ADC">
            <w:pPr>
              <w:tabs>
                <w:tab w:val="left" w:pos="709"/>
              </w:tabs>
              <w:rPr>
                <w:rFonts w:asciiTheme="majorHAnsi" w:eastAsia="Arial" w:hAnsiTheme="majorHAnsi" w:cstheme="majorHAnsi"/>
                <w:sz w:val="20"/>
                <w:szCs w:val="20"/>
              </w:rPr>
            </w:pPr>
            <w:hyperlink r:id="rId223" w:history="1">
              <w:r w:rsidR="00A2332E" w:rsidRPr="005334D5">
                <w:rPr>
                  <w:rStyle w:val="Hyperlink"/>
                  <w:rFonts w:asciiTheme="majorHAnsi" w:eastAsia="Arial" w:hAnsiTheme="majorHAnsi" w:cstheme="majorHAnsi"/>
                  <w:sz w:val="20"/>
                  <w:szCs w:val="20"/>
                </w:rPr>
                <w:t xml:space="preserve">Australian Census and Migrants Integrated Dataset (ACMID) </w:t>
              </w:r>
            </w:hyperlink>
            <w:r w:rsidR="00A2332E" w:rsidRPr="003C7CD5">
              <w:rPr>
                <w:rFonts w:asciiTheme="majorHAnsi" w:eastAsia="Arial" w:hAnsiTheme="majorHAnsi" w:cstheme="majorHAnsi"/>
                <w:sz w:val="20"/>
                <w:szCs w:val="20"/>
              </w:rPr>
              <w:t xml:space="preserve"> </w:t>
            </w:r>
          </w:p>
        </w:tc>
        <w:tc>
          <w:tcPr>
            <w:tcW w:w="1347" w:type="dxa"/>
          </w:tcPr>
          <w:p w14:paraId="072D1B0D" w14:textId="77777777" w:rsidR="00A2332E" w:rsidRPr="003C7CD5" w:rsidRDefault="00A2332E" w:rsidP="005F6ADC">
            <w:pPr>
              <w:tabs>
                <w:tab w:val="left" w:pos="709"/>
              </w:tabs>
              <w:rPr>
                <w:rFonts w:asciiTheme="majorHAnsi" w:eastAsia="Arial" w:hAnsiTheme="majorHAnsi" w:cstheme="majorHAnsi"/>
                <w:sz w:val="20"/>
                <w:szCs w:val="20"/>
              </w:rPr>
            </w:pPr>
            <w:r w:rsidRPr="003C7CD5">
              <w:rPr>
                <w:rFonts w:asciiTheme="majorHAnsi" w:eastAsia="Arial" w:hAnsiTheme="majorHAnsi" w:cstheme="majorHAnsi"/>
                <w:sz w:val="20"/>
                <w:szCs w:val="20"/>
              </w:rPr>
              <w:t>ABS</w:t>
            </w:r>
          </w:p>
        </w:tc>
        <w:tc>
          <w:tcPr>
            <w:tcW w:w="5790" w:type="dxa"/>
          </w:tcPr>
          <w:p w14:paraId="687380E3" w14:textId="77777777" w:rsidR="00A2332E" w:rsidRDefault="00A2332E" w:rsidP="005F6ADC">
            <w:pPr>
              <w:tabs>
                <w:tab w:val="left" w:pos="709"/>
              </w:tabs>
              <w:rPr>
                <w:rFonts w:asciiTheme="majorHAnsi" w:eastAsia="Arial" w:hAnsiTheme="majorHAnsi" w:cstheme="majorHAnsi"/>
                <w:sz w:val="20"/>
                <w:szCs w:val="20"/>
              </w:rPr>
            </w:pPr>
            <w:r>
              <w:rPr>
                <w:rFonts w:asciiTheme="majorHAnsi" w:eastAsia="Arial" w:hAnsiTheme="majorHAnsi" w:cstheme="majorHAnsi"/>
                <w:sz w:val="20"/>
                <w:szCs w:val="20"/>
              </w:rPr>
              <w:t>C</w:t>
            </w:r>
            <w:r w:rsidRPr="000B174A">
              <w:rPr>
                <w:rFonts w:asciiTheme="majorHAnsi" w:eastAsia="Arial" w:hAnsiTheme="majorHAnsi" w:cstheme="majorHAnsi"/>
                <w:sz w:val="20"/>
                <w:szCs w:val="20"/>
              </w:rPr>
              <w:t>ontains data on people who were granted a permanent Skilled, Family, Humanitarian or Other Permanent visa and arrived in Australia between 1 January 2000 and Census night</w:t>
            </w:r>
            <w:r>
              <w:rPr>
                <w:rFonts w:asciiTheme="majorHAnsi" w:eastAsia="Arial" w:hAnsiTheme="majorHAnsi" w:cstheme="majorHAnsi"/>
                <w:sz w:val="20"/>
                <w:szCs w:val="20"/>
              </w:rPr>
              <w:t xml:space="preserve"> 2021</w:t>
            </w:r>
            <w:r w:rsidRPr="000B174A">
              <w:rPr>
                <w:rFonts w:asciiTheme="majorHAnsi" w:eastAsia="Arial" w:hAnsiTheme="majorHAnsi" w:cstheme="majorHAnsi"/>
                <w:sz w:val="20"/>
                <w:szCs w:val="20"/>
              </w:rPr>
              <w:t>. These datasets link data from the Census of Population and Housing with the Department of Home Affairs Settlement Database.</w:t>
            </w:r>
          </w:p>
          <w:p w14:paraId="32246307" w14:textId="77777777" w:rsidR="00A2332E" w:rsidRDefault="00A2332E" w:rsidP="005F6ADC">
            <w:pPr>
              <w:tabs>
                <w:tab w:val="left" w:pos="709"/>
              </w:tabs>
              <w:rPr>
                <w:rFonts w:asciiTheme="majorHAnsi" w:eastAsia="Arial" w:hAnsiTheme="majorHAnsi" w:cstheme="majorHAnsi"/>
                <w:sz w:val="20"/>
                <w:szCs w:val="20"/>
              </w:rPr>
            </w:pPr>
          </w:p>
          <w:p w14:paraId="38F7BFDC" w14:textId="77777777" w:rsidR="00A2332E" w:rsidRPr="003C7CD5" w:rsidRDefault="00A2332E" w:rsidP="005F6ADC">
            <w:pPr>
              <w:tabs>
                <w:tab w:val="left" w:pos="709"/>
              </w:tabs>
              <w:rPr>
                <w:rFonts w:asciiTheme="majorHAnsi" w:eastAsia="Arial" w:hAnsiTheme="majorHAnsi" w:cstheme="majorHAnsi"/>
                <w:sz w:val="20"/>
                <w:szCs w:val="20"/>
              </w:rPr>
            </w:pPr>
            <w:r>
              <w:rPr>
                <w:rFonts w:asciiTheme="majorHAnsi" w:eastAsia="Arial" w:hAnsiTheme="majorHAnsi" w:cstheme="majorHAnsi"/>
                <w:sz w:val="20"/>
                <w:szCs w:val="20"/>
              </w:rPr>
              <w:t>It provides information on characteristics of permanent migrants including demographics, visa characteristics, employment, education and income.</w:t>
            </w:r>
          </w:p>
        </w:tc>
      </w:tr>
      <w:tr w:rsidR="00A2332E" w:rsidRPr="003C7CD5" w14:paraId="0EA6A757" w14:textId="77777777" w:rsidTr="005F6ADC">
        <w:trPr>
          <w:trHeight w:val="20"/>
        </w:trPr>
        <w:tc>
          <w:tcPr>
            <w:tcW w:w="1877" w:type="dxa"/>
            <w:tcBorders>
              <w:top w:val="single" w:sz="6" w:space="0" w:color="A6A6A6" w:themeColor="background1" w:themeShade="A6"/>
              <w:bottom w:val="single" w:sz="4" w:space="0" w:color="auto"/>
            </w:tcBorders>
          </w:tcPr>
          <w:p w14:paraId="6CA1BFE5" w14:textId="77777777" w:rsidR="00A2332E" w:rsidRPr="003C7CD5" w:rsidRDefault="00044D83" w:rsidP="005F6ADC">
            <w:pPr>
              <w:spacing w:after="100" w:line="264" w:lineRule="auto"/>
              <w:rPr>
                <w:rFonts w:asciiTheme="majorHAnsi" w:eastAsia="Arial" w:hAnsiTheme="majorHAnsi" w:cstheme="majorHAnsi"/>
                <w:sz w:val="20"/>
                <w:szCs w:val="20"/>
              </w:rPr>
            </w:pPr>
            <w:hyperlink r:id="rId224" w:history="1">
              <w:r w:rsidR="00A2332E" w:rsidRPr="000C4388">
                <w:rPr>
                  <w:rStyle w:val="Hyperlink"/>
                  <w:rFonts w:asciiTheme="majorHAnsi" w:eastAsia="Arial" w:hAnsiTheme="majorHAnsi" w:cstheme="majorHAnsi"/>
                  <w:sz w:val="20"/>
                  <w:szCs w:val="20"/>
                </w:rPr>
                <w:t>Australian Census Longitudinal Dataset</w:t>
              </w:r>
            </w:hyperlink>
          </w:p>
        </w:tc>
        <w:tc>
          <w:tcPr>
            <w:tcW w:w="1347" w:type="dxa"/>
            <w:tcBorders>
              <w:top w:val="single" w:sz="6" w:space="0" w:color="A6A6A6" w:themeColor="background1" w:themeShade="A6"/>
              <w:bottom w:val="single" w:sz="4" w:space="0" w:color="auto"/>
            </w:tcBorders>
          </w:tcPr>
          <w:p w14:paraId="144BAEA1" w14:textId="77777777" w:rsidR="00A2332E" w:rsidRPr="003C7CD5" w:rsidRDefault="00A2332E" w:rsidP="005F6ADC">
            <w:pPr>
              <w:tabs>
                <w:tab w:val="left" w:pos="709"/>
              </w:tabs>
              <w:rPr>
                <w:rFonts w:asciiTheme="majorHAnsi" w:eastAsia="Arial" w:hAnsiTheme="majorHAnsi" w:cstheme="majorHAnsi"/>
                <w:sz w:val="20"/>
                <w:szCs w:val="20"/>
              </w:rPr>
            </w:pPr>
            <w:r>
              <w:rPr>
                <w:rFonts w:asciiTheme="majorHAnsi" w:eastAsia="Arial" w:hAnsiTheme="majorHAnsi" w:cstheme="majorHAnsi"/>
                <w:sz w:val="20"/>
                <w:szCs w:val="20"/>
              </w:rPr>
              <w:t>ABS</w:t>
            </w:r>
          </w:p>
        </w:tc>
        <w:tc>
          <w:tcPr>
            <w:tcW w:w="5790" w:type="dxa"/>
            <w:tcBorders>
              <w:top w:val="single" w:sz="6" w:space="0" w:color="A6A6A6" w:themeColor="background1" w:themeShade="A6"/>
              <w:bottom w:val="single" w:sz="4" w:space="0" w:color="auto"/>
            </w:tcBorders>
          </w:tcPr>
          <w:p w14:paraId="36770279" w14:textId="77777777" w:rsidR="00A2332E" w:rsidRPr="003C7CD5" w:rsidRDefault="00A2332E" w:rsidP="005F6ADC">
            <w:pPr>
              <w:tabs>
                <w:tab w:val="left" w:pos="709"/>
              </w:tabs>
              <w:rPr>
                <w:rFonts w:asciiTheme="majorHAnsi" w:eastAsia="Arial" w:hAnsiTheme="majorHAnsi" w:cstheme="majorHAnsi"/>
                <w:sz w:val="20"/>
                <w:szCs w:val="20"/>
              </w:rPr>
            </w:pPr>
            <w:r w:rsidRPr="00351EC9">
              <w:rPr>
                <w:rFonts w:asciiTheme="majorHAnsi" w:eastAsia="Arial" w:hAnsiTheme="majorHAnsi" w:cstheme="majorHAnsi"/>
                <w:sz w:val="20"/>
                <w:szCs w:val="20"/>
              </w:rPr>
              <w:t>Using data from the 2006, 2011, 2016 and 2021 Census of Population and Housing, this dataset can be used as a research tool for exploring how the Australian society has changed overtime. The dataset was initially created from taking a 5% panel sample from the 2006 Census which was linked to subsequent Censuses. Subsequent Censuses also took a new 5% panel sample to account for new records (e.g. new births and migrants). The multi-panels allow users to draw on the most appropriate panel for their research.</w:t>
            </w:r>
          </w:p>
        </w:tc>
      </w:tr>
      <w:tr w:rsidR="00A2332E" w:rsidRPr="003C7CD5" w14:paraId="4627AB5B" w14:textId="77777777" w:rsidTr="005F6ADC">
        <w:trPr>
          <w:trHeight w:val="20"/>
        </w:trPr>
        <w:tc>
          <w:tcPr>
            <w:tcW w:w="1877" w:type="dxa"/>
          </w:tcPr>
          <w:p w14:paraId="2A6E5DBE" w14:textId="77777777" w:rsidR="00A2332E" w:rsidRPr="003C7CD5" w:rsidRDefault="00044D83" w:rsidP="005F6ADC">
            <w:pPr>
              <w:tabs>
                <w:tab w:val="left" w:pos="709"/>
              </w:tabs>
              <w:rPr>
                <w:rFonts w:asciiTheme="majorHAnsi" w:hAnsiTheme="majorHAnsi" w:cstheme="majorHAnsi"/>
                <w:sz w:val="20"/>
                <w:szCs w:val="20"/>
                <w14:numForm w14:val="lining"/>
                <w14:numSpacing w14:val="proportional"/>
              </w:rPr>
            </w:pPr>
            <w:hyperlink r:id="rId225" w:history="1">
              <w:r w:rsidR="00A2332E" w:rsidRPr="004369CB">
                <w:rPr>
                  <w:rStyle w:val="Hyperlink"/>
                  <w:rFonts w:asciiTheme="majorHAnsi" w:eastAsia="Arial" w:hAnsiTheme="majorHAnsi" w:cstheme="majorHAnsi"/>
                  <w:sz w:val="20"/>
                  <w:szCs w:val="20"/>
                </w:rPr>
                <w:t>Census of Population and Housing</w:t>
              </w:r>
            </w:hyperlink>
            <w:r w:rsidR="00A2332E" w:rsidRPr="003C7CD5">
              <w:rPr>
                <w:rFonts w:asciiTheme="majorHAnsi" w:eastAsia="Arial" w:hAnsiTheme="majorHAnsi" w:cstheme="majorHAnsi"/>
                <w:sz w:val="20"/>
                <w:szCs w:val="20"/>
              </w:rPr>
              <w:t xml:space="preserve"> </w:t>
            </w:r>
          </w:p>
        </w:tc>
        <w:tc>
          <w:tcPr>
            <w:tcW w:w="1347" w:type="dxa"/>
          </w:tcPr>
          <w:p w14:paraId="670F1125" w14:textId="77777777" w:rsidR="00A2332E" w:rsidRPr="003C7CD5" w:rsidRDefault="00A2332E" w:rsidP="005F6ADC">
            <w:pPr>
              <w:tabs>
                <w:tab w:val="left" w:pos="709"/>
              </w:tabs>
              <w:rPr>
                <w:rFonts w:asciiTheme="majorHAnsi" w:eastAsia="Arial" w:hAnsiTheme="majorHAnsi" w:cstheme="majorHAnsi"/>
                <w:sz w:val="20"/>
                <w:szCs w:val="20"/>
              </w:rPr>
            </w:pPr>
            <w:r w:rsidRPr="003C7CD5">
              <w:rPr>
                <w:rFonts w:asciiTheme="majorHAnsi" w:eastAsia="Arial" w:hAnsiTheme="majorHAnsi" w:cstheme="majorHAnsi"/>
                <w:sz w:val="20"/>
                <w:szCs w:val="20"/>
              </w:rPr>
              <w:t>ABS</w:t>
            </w:r>
          </w:p>
        </w:tc>
        <w:tc>
          <w:tcPr>
            <w:tcW w:w="5790" w:type="dxa"/>
          </w:tcPr>
          <w:p w14:paraId="4811B173" w14:textId="77777777" w:rsidR="00A2332E" w:rsidRDefault="00A2332E" w:rsidP="005F6ADC">
            <w:pPr>
              <w:tabs>
                <w:tab w:val="left" w:pos="709"/>
              </w:tabs>
              <w:rPr>
                <w:rFonts w:asciiTheme="majorHAnsi" w:eastAsia="Arial" w:hAnsiTheme="majorHAnsi" w:cstheme="majorHAnsi"/>
                <w:sz w:val="20"/>
                <w:szCs w:val="20"/>
              </w:rPr>
            </w:pPr>
            <w:r>
              <w:rPr>
                <w:rFonts w:asciiTheme="majorHAnsi" w:eastAsia="Arial" w:hAnsiTheme="majorHAnsi" w:cstheme="majorHAnsi"/>
                <w:sz w:val="20"/>
                <w:szCs w:val="20"/>
              </w:rPr>
              <w:t>Collected</w:t>
            </w:r>
            <w:r w:rsidRPr="003C7CD5">
              <w:rPr>
                <w:rFonts w:asciiTheme="majorHAnsi" w:eastAsia="Arial" w:hAnsiTheme="majorHAnsi" w:cstheme="majorHAnsi"/>
                <w:sz w:val="20"/>
                <w:szCs w:val="20"/>
              </w:rPr>
              <w:t xml:space="preserve"> every five years</w:t>
            </w:r>
            <w:r>
              <w:rPr>
                <w:rFonts w:asciiTheme="majorHAnsi" w:eastAsia="Arial" w:hAnsiTheme="majorHAnsi" w:cstheme="majorHAnsi"/>
                <w:sz w:val="20"/>
                <w:szCs w:val="20"/>
              </w:rPr>
              <w:t>, the Census collects information on all people in Australia on Census night. It provides person-level and household-level data including health, population, education, employment and cultural diversity data.</w:t>
            </w:r>
          </w:p>
          <w:p w14:paraId="69D17007" w14:textId="77777777" w:rsidR="00A2332E" w:rsidRDefault="00A2332E" w:rsidP="005F6ADC">
            <w:pPr>
              <w:tabs>
                <w:tab w:val="left" w:pos="709"/>
              </w:tabs>
              <w:rPr>
                <w:rFonts w:asciiTheme="majorHAnsi" w:eastAsia="Arial" w:hAnsiTheme="majorHAnsi" w:cstheme="majorHAnsi"/>
                <w:sz w:val="20"/>
                <w:szCs w:val="20"/>
              </w:rPr>
            </w:pPr>
          </w:p>
          <w:p w14:paraId="22C3A1EC" w14:textId="77777777" w:rsidR="00A2332E" w:rsidRPr="003C7CD5" w:rsidRDefault="00A2332E" w:rsidP="005F6ADC">
            <w:pPr>
              <w:tabs>
                <w:tab w:val="left" w:pos="709"/>
              </w:tabs>
              <w:rPr>
                <w:rFonts w:asciiTheme="majorHAnsi" w:hAnsiTheme="majorHAnsi" w:cstheme="majorBidi"/>
                <w:sz w:val="20"/>
                <w:szCs w:val="20"/>
                <w14:numForm w14:val="lining"/>
                <w14:numSpacing w14:val="proportional"/>
              </w:rPr>
            </w:pPr>
            <w:r w:rsidRPr="75C3390B">
              <w:rPr>
                <w:rFonts w:asciiTheme="majorHAnsi" w:eastAsia="Arial" w:hAnsiTheme="majorHAnsi" w:cstheme="majorBidi"/>
                <w:sz w:val="20"/>
                <w:szCs w:val="20"/>
              </w:rPr>
              <w:t>The Study</w:t>
            </w:r>
            <w:r>
              <w:rPr>
                <w:rFonts w:asciiTheme="majorHAnsi" w:eastAsia="Arial" w:hAnsiTheme="majorHAnsi" w:cstheme="majorBidi"/>
                <w:sz w:val="20"/>
                <w:szCs w:val="20"/>
              </w:rPr>
              <w:t xml:space="preserve"> primarily </w:t>
            </w:r>
            <w:r w:rsidRPr="75C3390B">
              <w:rPr>
                <w:rFonts w:asciiTheme="majorHAnsi" w:eastAsia="Arial" w:hAnsiTheme="majorHAnsi" w:cstheme="majorBidi"/>
                <w:sz w:val="20"/>
                <w:szCs w:val="20"/>
              </w:rPr>
              <w:t>used data from the 2021 Census</w:t>
            </w:r>
            <w:r>
              <w:rPr>
                <w:rFonts w:asciiTheme="majorHAnsi" w:eastAsia="Arial" w:hAnsiTheme="majorHAnsi" w:cstheme="majorBidi"/>
                <w:sz w:val="20"/>
                <w:szCs w:val="20"/>
              </w:rPr>
              <w:t xml:space="preserve"> to inform our analysis, with 2016 Census used in selected charts.</w:t>
            </w:r>
            <w:proofErr w:type="gramStart"/>
            <w:r>
              <w:rPr>
                <w:rFonts w:asciiTheme="majorHAnsi" w:eastAsia="Arial" w:hAnsiTheme="majorHAnsi" w:cstheme="majorBidi"/>
                <w:sz w:val="20"/>
                <w:szCs w:val="20"/>
              </w:rPr>
              <w:t xml:space="preserve">, </w:t>
            </w:r>
            <w:r w:rsidRPr="75C3390B">
              <w:rPr>
                <w:rFonts w:asciiTheme="majorHAnsi" w:eastAsia="Arial" w:hAnsiTheme="majorHAnsi" w:cstheme="majorBidi"/>
                <w:sz w:val="20"/>
                <w:szCs w:val="20"/>
              </w:rPr>
              <w:t>.</w:t>
            </w:r>
            <w:proofErr w:type="gramEnd"/>
            <w:r w:rsidRPr="75C3390B">
              <w:rPr>
                <w:rFonts w:asciiTheme="majorHAnsi" w:eastAsia="Arial" w:hAnsiTheme="majorHAnsi" w:cstheme="majorBidi"/>
                <w:sz w:val="20"/>
                <w:szCs w:val="20"/>
              </w:rPr>
              <w:t xml:space="preserve"> </w:t>
            </w:r>
          </w:p>
        </w:tc>
      </w:tr>
      <w:tr w:rsidR="00A2332E" w:rsidRPr="003C7CD5" w14:paraId="206A6803" w14:textId="77777777" w:rsidTr="005F6ADC">
        <w:trPr>
          <w:trHeight w:val="20"/>
        </w:trPr>
        <w:tc>
          <w:tcPr>
            <w:tcW w:w="1877" w:type="dxa"/>
          </w:tcPr>
          <w:p w14:paraId="7AE5ACFA" w14:textId="77777777" w:rsidR="00A2332E" w:rsidRPr="003C7CD5" w:rsidRDefault="00044D83" w:rsidP="005F6ADC">
            <w:pPr>
              <w:tabs>
                <w:tab w:val="left" w:pos="709"/>
              </w:tabs>
              <w:rPr>
                <w:rFonts w:asciiTheme="majorHAnsi" w:hAnsiTheme="majorHAnsi" w:cstheme="majorHAnsi"/>
                <w:sz w:val="20"/>
                <w:szCs w:val="20"/>
                <w14:numForm w14:val="lining"/>
                <w14:numSpacing w14:val="proportional"/>
              </w:rPr>
            </w:pPr>
            <w:hyperlink r:id="rId226" w:history="1">
              <w:r w:rsidR="00A2332E" w:rsidRPr="00A063E3">
                <w:rPr>
                  <w:rStyle w:val="Hyperlink"/>
                  <w:rFonts w:asciiTheme="majorHAnsi" w:eastAsia="Arial" w:hAnsiTheme="majorHAnsi" w:cstheme="majorHAnsi"/>
                  <w:sz w:val="20"/>
                  <w:szCs w:val="20"/>
                </w:rPr>
                <w:t>Characteristics of Employment</w:t>
              </w:r>
            </w:hyperlink>
          </w:p>
        </w:tc>
        <w:tc>
          <w:tcPr>
            <w:tcW w:w="1347" w:type="dxa"/>
          </w:tcPr>
          <w:p w14:paraId="5829FABD" w14:textId="77777777" w:rsidR="00A2332E" w:rsidRPr="003C7CD5" w:rsidRDefault="00A2332E" w:rsidP="005F6ADC">
            <w:pPr>
              <w:tabs>
                <w:tab w:val="left" w:pos="709"/>
              </w:tabs>
              <w:rPr>
                <w:rFonts w:asciiTheme="majorHAnsi" w:eastAsia="Arial" w:hAnsiTheme="majorHAnsi" w:cstheme="majorHAnsi"/>
                <w:sz w:val="20"/>
                <w:szCs w:val="20"/>
              </w:rPr>
            </w:pPr>
            <w:r w:rsidRPr="003C7CD5">
              <w:rPr>
                <w:rFonts w:asciiTheme="majorHAnsi" w:eastAsia="Arial" w:hAnsiTheme="majorHAnsi" w:cstheme="majorHAnsi"/>
                <w:sz w:val="20"/>
                <w:szCs w:val="20"/>
              </w:rPr>
              <w:t>ABS</w:t>
            </w:r>
          </w:p>
        </w:tc>
        <w:tc>
          <w:tcPr>
            <w:tcW w:w="5790" w:type="dxa"/>
          </w:tcPr>
          <w:p w14:paraId="5D8511AE" w14:textId="77777777" w:rsidR="00A2332E" w:rsidRDefault="00A2332E" w:rsidP="005F6ADC">
            <w:pPr>
              <w:tabs>
                <w:tab w:val="left" w:pos="709"/>
              </w:tabs>
              <w:rPr>
                <w:rFonts w:asciiTheme="majorHAnsi" w:eastAsia="Arial" w:hAnsiTheme="majorHAnsi" w:cstheme="majorHAnsi"/>
                <w:sz w:val="20"/>
                <w:szCs w:val="20"/>
              </w:rPr>
            </w:pPr>
            <w:r>
              <w:rPr>
                <w:rFonts w:asciiTheme="majorHAnsi" w:eastAsia="Arial" w:hAnsiTheme="majorHAnsi" w:cstheme="majorHAnsi"/>
                <w:sz w:val="20"/>
                <w:szCs w:val="20"/>
              </w:rPr>
              <w:t>Collected annually in August, CoE collects information from persons aged 15 years over about employee earnings, working arrangements, trade union membership and labour hire workers. Some concepts in the survey are collected every 2 years on an alternating basis. It also provides information on demographics and education and qualifications.</w:t>
            </w:r>
          </w:p>
          <w:p w14:paraId="55042510" w14:textId="77777777" w:rsidR="00A2332E" w:rsidRDefault="00A2332E" w:rsidP="005F6ADC">
            <w:pPr>
              <w:tabs>
                <w:tab w:val="left" w:pos="709"/>
              </w:tabs>
              <w:rPr>
                <w:rFonts w:asciiTheme="majorHAnsi" w:eastAsia="Arial" w:hAnsiTheme="majorHAnsi" w:cstheme="majorHAnsi"/>
                <w:sz w:val="20"/>
                <w:szCs w:val="20"/>
              </w:rPr>
            </w:pPr>
          </w:p>
          <w:p w14:paraId="1B0EC363" w14:textId="77777777" w:rsidR="00A2332E" w:rsidRPr="003C7CD5" w:rsidRDefault="00A2332E" w:rsidP="005F6ADC">
            <w:pPr>
              <w:tabs>
                <w:tab w:val="left" w:pos="709"/>
              </w:tabs>
              <w:rPr>
                <w:rFonts w:asciiTheme="majorHAnsi" w:hAnsiTheme="majorHAnsi" w:cstheme="majorBidi"/>
                <w:sz w:val="20"/>
                <w:szCs w:val="20"/>
                <w14:numForm w14:val="lining"/>
                <w14:numSpacing w14:val="proportional"/>
              </w:rPr>
            </w:pPr>
            <w:r w:rsidRPr="75C3390B">
              <w:rPr>
                <w:rFonts w:asciiTheme="majorHAnsi" w:eastAsia="Arial" w:hAnsiTheme="majorHAnsi" w:cstheme="majorBidi"/>
                <w:sz w:val="20"/>
                <w:szCs w:val="20"/>
              </w:rPr>
              <w:t>The Study used 2022 and 2023 data</w:t>
            </w:r>
          </w:p>
        </w:tc>
      </w:tr>
      <w:tr w:rsidR="00A2332E" w:rsidRPr="003C7CD5" w14:paraId="600F7A4B" w14:textId="77777777" w:rsidTr="005F6ADC">
        <w:trPr>
          <w:trHeight w:val="20"/>
        </w:trPr>
        <w:tc>
          <w:tcPr>
            <w:tcW w:w="1877" w:type="dxa"/>
          </w:tcPr>
          <w:p w14:paraId="2D24F3AA" w14:textId="77777777" w:rsidR="00A2332E" w:rsidRPr="003C7CD5" w:rsidRDefault="00044D83" w:rsidP="005F6ADC">
            <w:pPr>
              <w:tabs>
                <w:tab w:val="left" w:pos="709"/>
              </w:tabs>
              <w:rPr>
                <w:rFonts w:asciiTheme="majorHAnsi" w:hAnsiTheme="majorHAnsi" w:cstheme="majorHAnsi"/>
                <w:sz w:val="20"/>
                <w:szCs w:val="20"/>
                <w14:numForm w14:val="lining"/>
                <w14:numSpacing w14:val="proportional"/>
              </w:rPr>
            </w:pPr>
            <w:hyperlink r:id="rId227" w:history="1">
              <w:r w:rsidR="00A2332E" w:rsidRPr="003D5BCB">
                <w:rPr>
                  <w:rStyle w:val="Hyperlink"/>
                  <w:rFonts w:asciiTheme="majorHAnsi" w:eastAsia="Arial" w:hAnsiTheme="majorHAnsi" w:cstheme="majorHAnsi"/>
                  <w:sz w:val="20"/>
                  <w:szCs w:val="20"/>
                </w:rPr>
                <w:t>Child Care Subsidy Data</w:t>
              </w:r>
            </w:hyperlink>
          </w:p>
        </w:tc>
        <w:tc>
          <w:tcPr>
            <w:tcW w:w="1347" w:type="dxa"/>
          </w:tcPr>
          <w:p w14:paraId="7DA4798D" w14:textId="77777777" w:rsidR="00A2332E" w:rsidRPr="003C7CD5" w:rsidRDefault="00A2332E" w:rsidP="005F6ADC">
            <w:pPr>
              <w:tabs>
                <w:tab w:val="left" w:pos="709"/>
              </w:tabs>
              <w:rPr>
                <w:rStyle w:val="normaltextrun"/>
                <w:rFonts w:asciiTheme="majorHAnsi" w:hAnsiTheme="majorHAnsi" w:cstheme="majorHAnsi"/>
                <w:color w:val="000000"/>
                <w:sz w:val="20"/>
                <w:szCs w:val="20"/>
                <w:bdr w:val="none" w:sz="0" w:space="0" w:color="auto" w:frame="1"/>
              </w:rPr>
            </w:pPr>
            <w:r w:rsidRPr="003C7CD5">
              <w:rPr>
                <w:rFonts w:asciiTheme="majorHAnsi" w:eastAsia="Arial" w:hAnsiTheme="majorHAnsi" w:cstheme="majorHAnsi"/>
                <w:sz w:val="20"/>
                <w:szCs w:val="20"/>
              </w:rPr>
              <w:t>DoE</w:t>
            </w:r>
          </w:p>
        </w:tc>
        <w:tc>
          <w:tcPr>
            <w:tcW w:w="5790" w:type="dxa"/>
          </w:tcPr>
          <w:p w14:paraId="29D80A4A" w14:textId="77777777" w:rsidR="00A2332E" w:rsidRPr="003C7CD5" w:rsidRDefault="00A2332E" w:rsidP="005F6ADC">
            <w:pPr>
              <w:tabs>
                <w:tab w:val="left" w:pos="709"/>
              </w:tabs>
              <w:rPr>
                <w:rFonts w:asciiTheme="minorHAnsi" w:eastAsiaTheme="minorEastAsia" w:hAnsiTheme="minorHAnsi"/>
                <w:color w:val="auto"/>
                <w:sz w:val="20"/>
                <w:szCs w:val="20"/>
                <w14:numForm w14:val="lining"/>
                <w14:numSpacing w14:val="proportional"/>
              </w:rPr>
            </w:pPr>
            <w:r w:rsidRPr="74EC93FD">
              <w:rPr>
                <w:rFonts w:asciiTheme="minorHAnsi" w:eastAsiaTheme="minorEastAsia" w:hAnsiTheme="minorHAnsi"/>
                <w:color w:val="auto"/>
                <w:sz w:val="20"/>
                <w:szCs w:val="20"/>
              </w:rPr>
              <w:t xml:space="preserve">The Department </w:t>
            </w:r>
            <w:r w:rsidRPr="0F9089AF">
              <w:rPr>
                <w:rFonts w:asciiTheme="minorHAnsi" w:eastAsiaTheme="minorEastAsia" w:hAnsiTheme="minorHAnsi"/>
                <w:color w:val="auto"/>
                <w:sz w:val="20"/>
                <w:szCs w:val="20"/>
              </w:rPr>
              <w:t xml:space="preserve">of Education collects </w:t>
            </w:r>
            <w:r w:rsidRPr="6F85155C">
              <w:rPr>
                <w:rFonts w:asciiTheme="minorHAnsi" w:eastAsiaTheme="minorEastAsia" w:hAnsiTheme="minorHAnsi"/>
                <w:color w:val="auto"/>
                <w:sz w:val="20"/>
                <w:szCs w:val="20"/>
              </w:rPr>
              <w:t>a range of information in the course</w:t>
            </w:r>
            <w:r w:rsidRPr="4A6FE253">
              <w:rPr>
                <w:rFonts w:asciiTheme="minorHAnsi" w:eastAsiaTheme="minorEastAsia" w:hAnsiTheme="minorHAnsi"/>
                <w:color w:val="auto"/>
                <w:sz w:val="20"/>
                <w:szCs w:val="20"/>
              </w:rPr>
              <w:t xml:space="preserve"> of administering the </w:t>
            </w:r>
            <w:proofErr w:type="gramStart"/>
            <w:r w:rsidRPr="2F5D8223">
              <w:rPr>
                <w:rFonts w:asciiTheme="minorHAnsi" w:eastAsiaTheme="minorEastAsia" w:hAnsiTheme="minorHAnsi"/>
                <w:color w:val="auto"/>
                <w:sz w:val="20"/>
                <w:szCs w:val="20"/>
              </w:rPr>
              <w:t>child care</w:t>
            </w:r>
            <w:proofErr w:type="gramEnd"/>
            <w:r w:rsidRPr="2F5D8223">
              <w:rPr>
                <w:rFonts w:asciiTheme="minorHAnsi" w:eastAsiaTheme="minorEastAsia" w:hAnsiTheme="minorHAnsi"/>
                <w:color w:val="auto"/>
                <w:sz w:val="20"/>
                <w:szCs w:val="20"/>
              </w:rPr>
              <w:t xml:space="preserve"> subsidy system</w:t>
            </w:r>
            <w:r w:rsidRPr="16C423E1">
              <w:rPr>
                <w:rFonts w:asciiTheme="minorHAnsi" w:eastAsiaTheme="minorEastAsia" w:hAnsiTheme="minorHAnsi"/>
                <w:color w:val="auto"/>
                <w:sz w:val="20"/>
                <w:szCs w:val="20"/>
              </w:rPr>
              <w:t>.</w:t>
            </w:r>
            <w:r w:rsidRPr="5D84E341">
              <w:rPr>
                <w:rFonts w:asciiTheme="minorHAnsi" w:eastAsiaTheme="minorEastAsia" w:hAnsiTheme="minorHAnsi"/>
                <w:color w:val="auto"/>
                <w:sz w:val="20"/>
                <w:szCs w:val="20"/>
              </w:rPr>
              <w:t xml:space="preserve"> </w:t>
            </w:r>
            <w:r w:rsidRPr="498B2525">
              <w:rPr>
                <w:rFonts w:asciiTheme="minorHAnsi" w:eastAsiaTheme="minorEastAsia" w:hAnsiTheme="minorHAnsi"/>
                <w:color w:val="auto"/>
                <w:sz w:val="20"/>
                <w:szCs w:val="20"/>
              </w:rPr>
              <w:t xml:space="preserve">JSA has been provided with a service-level summary of </w:t>
            </w:r>
            <w:r w:rsidRPr="3B47FDA7">
              <w:rPr>
                <w:rFonts w:asciiTheme="minorHAnsi" w:eastAsiaTheme="minorEastAsia" w:hAnsiTheme="minorHAnsi"/>
                <w:color w:val="auto"/>
                <w:sz w:val="20"/>
                <w:szCs w:val="20"/>
              </w:rPr>
              <w:t xml:space="preserve">this data for 2019, 2021, </w:t>
            </w:r>
            <w:r w:rsidRPr="4F0DB993">
              <w:rPr>
                <w:rFonts w:asciiTheme="minorHAnsi" w:eastAsiaTheme="minorEastAsia" w:hAnsiTheme="minorHAnsi"/>
                <w:color w:val="auto"/>
                <w:sz w:val="20"/>
                <w:szCs w:val="20"/>
              </w:rPr>
              <w:t>2022, and 2023.</w:t>
            </w:r>
            <w:r w:rsidRPr="5E1240CF">
              <w:rPr>
                <w:rFonts w:asciiTheme="minorHAnsi" w:eastAsiaTheme="minorEastAsia" w:hAnsiTheme="minorHAnsi"/>
                <w:color w:val="auto"/>
                <w:sz w:val="20"/>
                <w:szCs w:val="20"/>
              </w:rPr>
              <w:t xml:space="preserve"> Additional </w:t>
            </w:r>
            <w:r w:rsidRPr="3F0AD946">
              <w:rPr>
                <w:rFonts w:asciiTheme="minorHAnsi" w:eastAsiaTheme="minorEastAsia" w:hAnsiTheme="minorHAnsi"/>
                <w:color w:val="auto"/>
                <w:sz w:val="20"/>
                <w:szCs w:val="20"/>
              </w:rPr>
              <w:t xml:space="preserve">individual-level data </w:t>
            </w:r>
            <w:r w:rsidRPr="49E2C665">
              <w:rPr>
                <w:rFonts w:asciiTheme="minorHAnsi" w:eastAsiaTheme="minorEastAsia" w:hAnsiTheme="minorHAnsi"/>
                <w:color w:val="auto"/>
                <w:sz w:val="20"/>
                <w:szCs w:val="20"/>
              </w:rPr>
              <w:t xml:space="preserve">is used as an input to the </w:t>
            </w:r>
            <w:r w:rsidRPr="3A4A59CC">
              <w:rPr>
                <w:rFonts w:asciiTheme="minorHAnsi" w:eastAsiaTheme="minorEastAsia" w:hAnsiTheme="minorHAnsi"/>
                <w:color w:val="auto"/>
                <w:sz w:val="20"/>
                <w:szCs w:val="20"/>
              </w:rPr>
              <w:t>modelling</w:t>
            </w:r>
            <w:r w:rsidRPr="7479FED4">
              <w:rPr>
                <w:rFonts w:asciiTheme="minorHAnsi" w:eastAsiaTheme="minorEastAsia" w:hAnsiTheme="minorHAnsi"/>
                <w:color w:val="auto"/>
                <w:sz w:val="20"/>
                <w:szCs w:val="20"/>
              </w:rPr>
              <w:t>.</w:t>
            </w:r>
          </w:p>
        </w:tc>
      </w:tr>
      <w:tr w:rsidR="00A2332E" w:rsidRPr="003C7CD5" w14:paraId="6BE14470" w14:textId="77777777" w:rsidTr="005F6ADC">
        <w:trPr>
          <w:trHeight w:val="20"/>
        </w:trPr>
        <w:tc>
          <w:tcPr>
            <w:tcW w:w="1877" w:type="dxa"/>
          </w:tcPr>
          <w:p w14:paraId="4CD37F0A" w14:textId="77777777" w:rsidR="00A2332E" w:rsidRDefault="00A2332E" w:rsidP="005F6ADC">
            <w:pPr>
              <w:spacing w:after="100" w:line="264" w:lineRule="auto"/>
            </w:pPr>
          </w:p>
        </w:tc>
        <w:tc>
          <w:tcPr>
            <w:tcW w:w="1347" w:type="dxa"/>
          </w:tcPr>
          <w:p w14:paraId="68BD7CC5" w14:textId="77777777" w:rsidR="00A2332E" w:rsidRPr="003C7CD5" w:rsidRDefault="00A2332E" w:rsidP="005F6ADC">
            <w:pPr>
              <w:tabs>
                <w:tab w:val="left" w:pos="709"/>
              </w:tabs>
              <w:rPr>
                <w:rFonts w:asciiTheme="majorHAnsi" w:hAnsiTheme="majorHAnsi" w:cstheme="majorHAnsi"/>
                <w:sz w:val="20"/>
                <w:szCs w:val="20"/>
              </w:rPr>
            </w:pPr>
          </w:p>
        </w:tc>
        <w:tc>
          <w:tcPr>
            <w:tcW w:w="5790" w:type="dxa"/>
          </w:tcPr>
          <w:p w14:paraId="48687F1D" w14:textId="77777777" w:rsidR="00A2332E" w:rsidRPr="1F38FF2B" w:rsidRDefault="00A2332E" w:rsidP="005F6ADC">
            <w:pPr>
              <w:tabs>
                <w:tab w:val="left" w:pos="709"/>
              </w:tabs>
              <w:rPr>
                <w:rFonts w:eastAsia="Arial" w:cs="Arial"/>
                <w:sz w:val="20"/>
                <w:szCs w:val="20"/>
              </w:rPr>
            </w:pPr>
          </w:p>
        </w:tc>
      </w:tr>
      <w:tr w:rsidR="00A2332E" w:rsidRPr="003C7CD5" w14:paraId="5EA680AE" w14:textId="77777777" w:rsidTr="005F6ADC">
        <w:trPr>
          <w:trHeight w:val="20"/>
        </w:trPr>
        <w:tc>
          <w:tcPr>
            <w:tcW w:w="1877" w:type="dxa"/>
          </w:tcPr>
          <w:p w14:paraId="3C0B72C6" w14:textId="77777777" w:rsidR="00A2332E" w:rsidRPr="003C7CD5" w:rsidRDefault="00044D83" w:rsidP="005F6ADC">
            <w:pPr>
              <w:spacing w:after="100" w:line="264" w:lineRule="auto"/>
              <w:rPr>
                <w:rFonts w:asciiTheme="majorHAnsi" w:eastAsia="Arial" w:hAnsiTheme="majorHAnsi" w:cstheme="majorBidi"/>
                <w:sz w:val="20"/>
                <w:szCs w:val="20"/>
              </w:rPr>
            </w:pPr>
            <w:hyperlink r:id="rId228">
              <w:r w:rsidR="00A2332E" w:rsidRPr="1F38FF2B">
                <w:rPr>
                  <w:rStyle w:val="Hyperlink"/>
                  <w:rFonts w:asciiTheme="majorHAnsi" w:eastAsia="Arial" w:hAnsiTheme="majorHAnsi" w:cstheme="majorBidi"/>
                  <w:sz w:val="20"/>
                  <w:szCs w:val="20"/>
                </w:rPr>
                <w:t>Completion Rates of Higher Education Students - Cohort Analysis, 2005-2024</w:t>
              </w:r>
            </w:hyperlink>
            <w:r w:rsidR="00A2332E" w:rsidRPr="1F38FF2B">
              <w:rPr>
                <w:rFonts w:asciiTheme="majorHAnsi" w:eastAsia="Arial" w:hAnsiTheme="majorHAnsi" w:cstheme="majorBidi"/>
                <w:sz w:val="20"/>
                <w:szCs w:val="20"/>
              </w:rPr>
              <w:t xml:space="preserve">  </w:t>
            </w:r>
          </w:p>
        </w:tc>
        <w:tc>
          <w:tcPr>
            <w:tcW w:w="1347" w:type="dxa"/>
          </w:tcPr>
          <w:p w14:paraId="1E3EF9F6" w14:textId="77777777" w:rsidR="00A2332E" w:rsidRPr="003C7CD5" w:rsidRDefault="00A2332E" w:rsidP="005F6ADC">
            <w:pPr>
              <w:tabs>
                <w:tab w:val="left" w:pos="709"/>
              </w:tabs>
              <w:rPr>
                <w:rFonts w:asciiTheme="majorHAnsi" w:hAnsiTheme="majorHAnsi" w:cstheme="majorHAnsi"/>
                <w:sz w:val="20"/>
                <w:szCs w:val="20"/>
              </w:rPr>
            </w:pPr>
            <w:r w:rsidRPr="003C7CD5">
              <w:rPr>
                <w:rFonts w:asciiTheme="majorHAnsi" w:hAnsiTheme="majorHAnsi" w:cstheme="majorHAnsi"/>
                <w:sz w:val="20"/>
                <w:szCs w:val="20"/>
              </w:rPr>
              <w:t>DoE</w:t>
            </w:r>
          </w:p>
        </w:tc>
        <w:tc>
          <w:tcPr>
            <w:tcW w:w="5790" w:type="dxa"/>
          </w:tcPr>
          <w:p w14:paraId="710818A6" w14:textId="77777777" w:rsidR="00A2332E" w:rsidRPr="003C7CD5" w:rsidRDefault="00A2332E" w:rsidP="005F6ADC">
            <w:pPr>
              <w:tabs>
                <w:tab w:val="left" w:pos="709"/>
              </w:tabs>
              <w:rPr>
                <w:rFonts w:eastAsia="Arial" w:cs="Arial"/>
                <w:sz w:val="20"/>
                <w:szCs w:val="20"/>
              </w:rPr>
            </w:pPr>
            <w:r w:rsidRPr="1F38FF2B">
              <w:rPr>
                <w:rFonts w:eastAsia="Arial" w:cs="Arial"/>
                <w:sz w:val="20"/>
                <w:szCs w:val="20"/>
              </w:rPr>
              <w:t>DoE's Skills and Employment's Cohort Analysis tracks student outcomes 4, 6, and 9 years after they begin studying at an institution of higher education. Student ID numbers (within institution), Commonwealth Higher Education Student Support Number, and CHESSN(a) (across institutions) are used to collect this data. The results indicate how many students complete their study, how many are still studying, how many do not complete their qualification, and how many transfer institutions.</w:t>
            </w:r>
          </w:p>
        </w:tc>
      </w:tr>
      <w:tr w:rsidR="00A2332E" w:rsidRPr="003C7CD5" w14:paraId="3673E7C5" w14:textId="77777777" w:rsidTr="005F6ADC">
        <w:trPr>
          <w:trHeight w:val="20"/>
        </w:trPr>
        <w:tc>
          <w:tcPr>
            <w:tcW w:w="1877" w:type="dxa"/>
          </w:tcPr>
          <w:p w14:paraId="34A36E1A" w14:textId="77777777" w:rsidR="00A2332E" w:rsidRDefault="00044D83" w:rsidP="005F6ADC">
            <w:pPr>
              <w:tabs>
                <w:tab w:val="left" w:pos="709"/>
              </w:tabs>
              <w:rPr>
                <w:rFonts w:asciiTheme="majorHAnsi" w:eastAsia="Arial" w:hAnsiTheme="majorHAnsi" w:cstheme="majorBidi"/>
                <w:sz w:val="20"/>
                <w:szCs w:val="20"/>
              </w:rPr>
            </w:pPr>
            <w:hyperlink r:id="rId229">
              <w:r w:rsidR="00A2332E" w:rsidRPr="1B925894">
                <w:rPr>
                  <w:rStyle w:val="Hyperlink"/>
                  <w:rFonts w:asciiTheme="majorHAnsi" w:eastAsia="Arial" w:hAnsiTheme="majorHAnsi" w:cstheme="majorBidi"/>
                  <w:sz w:val="20"/>
                  <w:szCs w:val="20"/>
                </w:rPr>
                <w:t>Data on Occupation Mobility</w:t>
              </w:r>
            </w:hyperlink>
          </w:p>
        </w:tc>
        <w:tc>
          <w:tcPr>
            <w:tcW w:w="1347" w:type="dxa"/>
          </w:tcPr>
          <w:p w14:paraId="7CC39B95" w14:textId="77777777" w:rsidR="00A2332E" w:rsidRDefault="00A2332E" w:rsidP="005F6ADC">
            <w:pPr>
              <w:tabs>
                <w:tab w:val="left" w:pos="709"/>
              </w:tabs>
              <w:rPr>
                <w:rFonts w:asciiTheme="majorHAnsi" w:eastAsia="Arial" w:hAnsiTheme="majorHAnsi" w:cstheme="majorHAnsi"/>
                <w:sz w:val="20"/>
                <w:szCs w:val="20"/>
              </w:rPr>
            </w:pPr>
            <w:r>
              <w:rPr>
                <w:rFonts w:asciiTheme="majorHAnsi" w:eastAsia="Arial" w:hAnsiTheme="majorHAnsi" w:cstheme="majorHAnsi"/>
                <w:sz w:val="20"/>
                <w:szCs w:val="20"/>
              </w:rPr>
              <w:t>JSA</w:t>
            </w:r>
          </w:p>
        </w:tc>
        <w:tc>
          <w:tcPr>
            <w:tcW w:w="5790" w:type="dxa"/>
          </w:tcPr>
          <w:p w14:paraId="77348F8C" w14:textId="77777777" w:rsidR="00A2332E" w:rsidRDefault="00A2332E" w:rsidP="005F6ADC">
            <w:pPr>
              <w:tabs>
                <w:tab w:val="left" w:pos="709"/>
                <w:tab w:val="center" w:pos="2793"/>
              </w:tabs>
              <w:rPr>
                <w:rFonts w:asciiTheme="majorHAnsi" w:eastAsia="Arial" w:hAnsiTheme="majorHAnsi" w:cstheme="majorBidi"/>
                <w:sz w:val="20"/>
                <w:szCs w:val="20"/>
              </w:rPr>
            </w:pPr>
            <w:r w:rsidRPr="42274A54">
              <w:rPr>
                <w:rFonts w:asciiTheme="majorHAnsi" w:eastAsia="Arial" w:hAnsiTheme="majorHAnsi" w:cstheme="majorBidi"/>
                <w:sz w:val="20"/>
                <w:szCs w:val="20"/>
              </w:rPr>
              <w:t>This dataset is derived from administrative data on individuals Income Tax returns from the Australia Tax Office over the period of 2011-2012 to 2020-21 to assist in the understand of how workers move between occupations within the labour market</w:t>
            </w:r>
            <w:r w:rsidRPr="78EA4F03">
              <w:rPr>
                <w:rFonts w:asciiTheme="majorHAnsi" w:eastAsia="Arial" w:hAnsiTheme="majorHAnsi" w:cstheme="majorBidi"/>
                <w:sz w:val="20"/>
                <w:szCs w:val="20"/>
              </w:rPr>
              <w:t>.</w:t>
            </w:r>
          </w:p>
        </w:tc>
      </w:tr>
      <w:tr w:rsidR="00A2332E" w:rsidRPr="003C7CD5" w14:paraId="70BFE7A1" w14:textId="77777777" w:rsidTr="005F6ADC">
        <w:trPr>
          <w:trHeight w:val="20"/>
        </w:trPr>
        <w:tc>
          <w:tcPr>
            <w:tcW w:w="1877" w:type="dxa"/>
          </w:tcPr>
          <w:p w14:paraId="178F386D" w14:textId="77777777" w:rsidR="00A2332E" w:rsidRPr="003C7CD5" w:rsidRDefault="00044D83" w:rsidP="005F6ADC">
            <w:pPr>
              <w:tabs>
                <w:tab w:val="left" w:pos="709"/>
              </w:tabs>
              <w:rPr>
                <w:rFonts w:asciiTheme="majorHAnsi" w:hAnsiTheme="majorHAnsi" w:cstheme="majorHAnsi"/>
                <w:sz w:val="20"/>
                <w:szCs w:val="20"/>
                <w14:numForm w14:val="lining"/>
                <w14:numSpacing w14:val="proportional"/>
              </w:rPr>
            </w:pPr>
            <w:hyperlink r:id="rId230" w:history="1">
              <w:r w:rsidR="00A2332E" w:rsidRPr="003D5BCB">
                <w:rPr>
                  <w:rStyle w:val="Hyperlink"/>
                  <w:rFonts w:asciiTheme="majorHAnsi" w:eastAsia="Arial" w:hAnsiTheme="majorHAnsi" w:cstheme="majorHAnsi"/>
                  <w:sz w:val="20"/>
                  <w:szCs w:val="20"/>
                </w:rPr>
                <w:t>Employee Earnings and Hours</w:t>
              </w:r>
            </w:hyperlink>
          </w:p>
        </w:tc>
        <w:tc>
          <w:tcPr>
            <w:tcW w:w="1347" w:type="dxa"/>
          </w:tcPr>
          <w:p w14:paraId="6C74687D" w14:textId="77777777" w:rsidR="00A2332E" w:rsidRPr="003C7CD5" w:rsidRDefault="00A2332E" w:rsidP="005F6ADC">
            <w:pPr>
              <w:tabs>
                <w:tab w:val="left" w:pos="709"/>
              </w:tabs>
              <w:rPr>
                <w:rFonts w:asciiTheme="majorHAnsi" w:eastAsia="Arial" w:hAnsiTheme="majorHAnsi" w:cstheme="majorHAnsi"/>
                <w:sz w:val="20"/>
                <w:szCs w:val="20"/>
              </w:rPr>
            </w:pPr>
            <w:r w:rsidRPr="003C7CD5">
              <w:rPr>
                <w:rFonts w:asciiTheme="majorHAnsi" w:eastAsia="Arial" w:hAnsiTheme="majorHAnsi" w:cstheme="majorHAnsi"/>
                <w:sz w:val="20"/>
                <w:szCs w:val="20"/>
              </w:rPr>
              <w:t>ABS</w:t>
            </w:r>
          </w:p>
        </w:tc>
        <w:tc>
          <w:tcPr>
            <w:tcW w:w="5790" w:type="dxa"/>
          </w:tcPr>
          <w:p w14:paraId="48D97AC5" w14:textId="77777777" w:rsidR="00A2332E" w:rsidRDefault="00A2332E" w:rsidP="005F6ADC">
            <w:pPr>
              <w:tabs>
                <w:tab w:val="left" w:pos="709"/>
              </w:tabs>
              <w:rPr>
                <w:rFonts w:asciiTheme="majorHAnsi" w:eastAsia="Arial" w:hAnsiTheme="majorHAnsi" w:cstheme="majorHAnsi"/>
                <w:sz w:val="20"/>
                <w:szCs w:val="20"/>
              </w:rPr>
            </w:pPr>
            <w:r w:rsidRPr="003C7CD5">
              <w:rPr>
                <w:rFonts w:asciiTheme="majorHAnsi" w:eastAsia="Arial" w:hAnsiTheme="majorHAnsi" w:cstheme="majorHAnsi"/>
                <w:sz w:val="20"/>
                <w:szCs w:val="20"/>
              </w:rPr>
              <w:t xml:space="preserve">Conducted every two years, the </w:t>
            </w:r>
            <w:r>
              <w:rPr>
                <w:rFonts w:asciiTheme="majorHAnsi" w:eastAsia="Arial" w:hAnsiTheme="majorHAnsi" w:cstheme="majorHAnsi"/>
                <w:sz w:val="20"/>
                <w:szCs w:val="20"/>
              </w:rPr>
              <w:t>EEH</w:t>
            </w:r>
            <w:r w:rsidRPr="003C7CD5">
              <w:rPr>
                <w:rFonts w:asciiTheme="majorHAnsi" w:eastAsia="Arial" w:hAnsiTheme="majorHAnsi" w:cstheme="majorHAnsi"/>
                <w:sz w:val="20"/>
                <w:szCs w:val="20"/>
              </w:rPr>
              <w:t xml:space="preserve"> Survey provides detailed statistics on the composition and distribution of employee earnings</w:t>
            </w:r>
            <w:r>
              <w:rPr>
                <w:rFonts w:asciiTheme="majorHAnsi" w:eastAsia="Arial" w:hAnsiTheme="majorHAnsi" w:cstheme="majorHAnsi"/>
                <w:sz w:val="20"/>
                <w:szCs w:val="20"/>
              </w:rPr>
              <w:t>. EEH is collected from employers.</w:t>
            </w:r>
          </w:p>
          <w:p w14:paraId="5A47BF0B" w14:textId="77777777" w:rsidR="00A2332E" w:rsidRPr="003C7CD5" w:rsidRDefault="00A2332E" w:rsidP="005F6ADC">
            <w:pPr>
              <w:tabs>
                <w:tab w:val="left" w:pos="709"/>
              </w:tabs>
              <w:rPr>
                <w:rFonts w:asciiTheme="majorHAnsi" w:eastAsia="Arial" w:hAnsiTheme="majorHAnsi" w:cstheme="majorHAnsi"/>
                <w:sz w:val="20"/>
                <w:szCs w:val="20"/>
              </w:rPr>
            </w:pPr>
          </w:p>
          <w:p w14:paraId="0D78DCEB" w14:textId="77777777" w:rsidR="00A2332E" w:rsidRPr="003C7CD5" w:rsidRDefault="00A2332E" w:rsidP="005F6ADC">
            <w:pPr>
              <w:tabs>
                <w:tab w:val="left" w:pos="709"/>
              </w:tabs>
              <w:rPr>
                <w:rFonts w:asciiTheme="majorHAnsi" w:hAnsiTheme="majorHAnsi" w:cstheme="majorBidi"/>
                <w:sz w:val="20"/>
                <w:szCs w:val="20"/>
                <w14:numForm w14:val="lining"/>
                <w14:numSpacing w14:val="proportional"/>
              </w:rPr>
            </w:pPr>
            <w:r w:rsidRPr="78EA4F03">
              <w:rPr>
                <w:rFonts w:asciiTheme="majorHAnsi" w:eastAsia="Arial" w:hAnsiTheme="majorHAnsi" w:cstheme="majorBidi"/>
                <w:sz w:val="20"/>
                <w:szCs w:val="20"/>
              </w:rPr>
              <w:t xml:space="preserve">This study uses the 2018, 2021 and 2023 EEH. </w:t>
            </w:r>
          </w:p>
        </w:tc>
      </w:tr>
      <w:tr w:rsidR="00A2332E" w:rsidRPr="003C7CD5" w14:paraId="254D4B4C" w14:textId="77777777" w:rsidTr="005F6ADC">
        <w:trPr>
          <w:trHeight w:val="20"/>
        </w:trPr>
        <w:tc>
          <w:tcPr>
            <w:tcW w:w="1877" w:type="dxa"/>
          </w:tcPr>
          <w:p w14:paraId="0D25F78A" w14:textId="77777777" w:rsidR="00A2332E" w:rsidRPr="003C7CD5" w:rsidRDefault="00044D83" w:rsidP="005F6ADC">
            <w:pPr>
              <w:tabs>
                <w:tab w:val="left" w:pos="709"/>
              </w:tabs>
              <w:rPr>
                <w:rFonts w:asciiTheme="majorHAnsi" w:eastAsia="Arial" w:hAnsiTheme="majorHAnsi" w:cstheme="majorBidi"/>
                <w:sz w:val="20"/>
                <w:szCs w:val="20"/>
              </w:rPr>
            </w:pPr>
            <w:hyperlink r:id="rId231" w:history="1">
              <w:r w:rsidR="00A2332E" w:rsidRPr="00FF1563">
                <w:rPr>
                  <w:rStyle w:val="Hyperlink"/>
                  <w:rFonts w:asciiTheme="majorHAnsi" w:eastAsia="Arial" w:hAnsiTheme="majorHAnsi" w:cstheme="majorBidi"/>
                  <w:sz w:val="20"/>
                  <w:szCs w:val="20"/>
                </w:rPr>
                <w:t>Estimated Resident Population (ERP)</w:t>
              </w:r>
            </w:hyperlink>
          </w:p>
        </w:tc>
        <w:tc>
          <w:tcPr>
            <w:tcW w:w="1347" w:type="dxa"/>
          </w:tcPr>
          <w:p w14:paraId="049619EA" w14:textId="77777777" w:rsidR="00A2332E" w:rsidRPr="003C7CD5" w:rsidRDefault="00A2332E" w:rsidP="005F6ADC">
            <w:pPr>
              <w:tabs>
                <w:tab w:val="left" w:pos="709"/>
              </w:tabs>
              <w:rPr>
                <w:rFonts w:asciiTheme="majorHAnsi" w:eastAsia="Arial" w:hAnsiTheme="majorHAnsi" w:cstheme="majorHAnsi"/>
                <w:sz w:val="20"/>
                <w:szCs w:val="20"/>
              </w:rPr>
            </w:pPr>
            <w:r w:rsidRPr="003C7CD5">
              <w:rPr>
                <w:rFonts w:asciiTheme="majorHAnsi" w:eastAsia="Arial" w:hAnsiTheme="majorHAnsi" w:cstheme="majorHAnsi"/>
                <w:sz w:val="20"/>
                <w:szCs w:val="20"/>
              </w:rPr>
              <w:t>ABS</w:t>
            </w:r>
          </w:p>
        </w:tc>
        <w:tc>
          <w:tcPr>
            <w:tcW w:w="5790" w:type="dxa"/>
          </w:tcPr>
          <w:p w14:paraId="0D6CE301" w14:textId="77777777" w:rsidR="00A2332E" w:rsidRPr="00BE7978" w:rsidRDefault="00A2332E" w:rsidP="005F6ADC">
            <w:pPr>
              <w:tabs>
                <w:tab w:val="left" w:pos="709"/>
              </w:tabs>
              <w:rPr>
                <w:rFonts w:asciiTheme="minorHAnsi" w:eastAsiaTheme="minorEastAsia" w:hAnsiTheme="minorHAnsi"/>
                <w:color w:val="auto"/>
                <w:sz w:val="20"/>
                <w:szCs w:val="20"/>
              </w:rPr>
            </w:pPr>
            <w:r w:rsidRPr="29E50B63">
              <w:rPr>
                <w:rFonts w:asciiTheme="minorHAnsi" w:eastAsiaTheme="minorEastAsia" w:hAnsiTheme="minorHAnsi"/>
                <w:color w:val="auto"/>
                <w:sz w:val="20"/>
                <w:szCs w:val="20"/>
              </w:rPr>
              <w:t>ERP is based on Census counts and adjusted quarterly to account for new births, deaths and migrants.</w:t>
            </w:r>
          </w:p>
        </w:tc>
      </w:tr>
      <w:tr w:rsidR="00A2332E" w:rsidRPr="003C7CD5" w14:paraId="61C211CF" w14:textId="77777777" w:rsidTr="005F6ADC">
        <w:trPr>
          <w:trHeight w:val="20"/>
        </w:trPr>
        <w:tc>
          <w:tcPr>
            <w:tcW w:w="1877" w:type="dxa"/>
          </w:tcPr>
          <w:p w14:paraId="214E635A" w14:textId="77777777" w:rsidR="00A2332E" w:rsidRPr="003C7CD5" w:rsidRDefault="00044D83" w:rsidP="005F6ADC">
            <w:pPr>
              <w:tabs>
                <w:tab w:val="left" w:pos="709"/>
              </w:tabs>
              <w:rPr>
                <w:rFonts w:asciiTheme="majorHAnsi" w:eastAsia="Arial" w:hAnsiTheme="majorHAnsi" w:cstheme="majorBidi"/>
                <w:sz w:val="20"/>
                <w:szCs w:val="20"/>
              </w:rPr>
            </w:pPr>
            <w:hyperlink r:id="rId232" w:anchor="anchor-3" w:history="1">
              <w:r w:rsidR="00A2332E" w:rsidRPr="005712AA">
                <w:rPr>
                  <w:rStyle w:val="Hyperlink"/>
                  <w:rFonts w:asciiTheme="majorHAnsi" w:eastAsia="Arial" w:hAnsiTheme="majorHAnsi" w:cstheme="majorBidi"/>
                  <w:sz w:val="20"/>
                  <w:szCs w:val="20"/>
                </w:rPr>
                <w:t>Graduate Outcome Survey (GOS)</w:t>
              </w:r>
            </w:hyperlink>
          </w:p>
        </w:tc>
        <w:tc>
          <w:tcPr>
            <w:tcW w:w="1347" w:type="dxa"/>
          </w:tcPr>
          <w:p w14:paraId="574624C6" w14:textId="77777777" w:rsidR="00A2332E" w:rsidRPr="003C7CD5" w:rsidRDefault="00A2332E" w:rsidP="005F6ADC">
            <w:pPr>
              <w:tabs>
                <w:tab w:val="left" w:pos="709"/>
              </w:tabs>
              <w:rPr>
                <w:rFonts w:asciiTheme="majorHAnsi" w:eastAsia="Arial" w:hAnsiTheme="majorHAnsi" w:cstheme="majorHAnsi"/>
                <w:sz w:val="20"/>
                <w:szCs w:val="20"/>
              </w:rPr>
            </w:pPr>
            <w:r>
              <w:rPr>
                <w:rFonts w:asciiTheme="majorHAnsi" w:eastAsia="Arial" w:hAnsiTheme="majorHAnsi" w:cstheme="majorHAnsi"/>
                <w:sz w:val="20"/>
                <w:szCs w:val="20"/>
              </w:rPr>
              <w:t>Quality Indicators for Learning and Teaching (QILT)</w:t>
            </w:r>
          </w:p>
        </w:tc>
        <w:tc>
          <w:tcPr>
            <w:tcW w:w="5790" w:type="dxa"/>
          </w:tcPr>
          <w:p w14:paraId="38FD98CC" w14:textId="77777777" w:rsidR="00A2332E" w:rsidRDefault="00A2332E" w:rsidP="005F6ADC">
            <w:pPr>
              <w:tabs>
                <w:tab w:val="left" w:pos="709"/>
              </w:tabs>
              <w:rPr>
                <w:rFonts w:asciiTheme="majorHAnsi" w:eastAsia="Arial" w:hAnsiTheme="majorHAnsi" w:cstheme="majorBidi"/>
                <w:sz w:val="20"/>
                <w:szCs w:val="20"/>
              </w:rPr>
            </w:pPr>
            <w:r w:rsidRPr="29E50B63">
              <w:rPr>
                <w:rFonts w:asciiTheme="majorHAnsi" w:eastAsia="Arial" w:hAnsiTheme="majorHAnsi" w:cstheme="majorBidi"/>
                <w:sz w:val="20"/>
                <w:szCs w:val="20"/>
              </w:rPr>
              <w:t>Measures employment and study outcomes of recent graduates from a higher education course. Graduates typically undertake the survey 6 months after their graduation.</w:t>
            </w:r>
          </w:p>
          <w:p w14:paraId="73DB8DEB" w14:textId="77777777" w:rsidR="00A2332E" w:rsidRDefault="00A2332E" w:rsidP="005F6ADC">
            <w:pPr>
              <w:tabs>
                <w:tab w:val="left" w:pos="709"/>
              </w:tabs>
              <w:rPr>
                <w:rFonts w:asciiTheme="majorHAnsi" w:eastAsia="Arial" w:hAnsiTheme="majorHAnsi" w:cstheme="majorBidi"/>
                <w:sz w:val="20"/>
                <w:szCs w:val="20"/>
              </w:rPr>
            </w:pPr>
          </w:p>
          <w:p w14:paraId="48E058F9" w14:textId="77777777" w:rsidR="00A2332E" w:rsidRPr="003C7CD5" w:rsidRDefault="00A2332E" w:rsidP="005F6ADC">
            <w:pPr>
              <w:tabs>
                <w:tab w:val="left" w:pos="709"/>
              </w:tabs>
              <w:rPr>
                <w:rFonts w:asciiTheme="majorHAnsi" w:eastAsia="Arial" w:hAnsiTheme="majorHAnsi" w:cstheme="majorBidi"/>
                <w:sz w:val="20"/>
                <w:szCs w:val="20"/>
              </w:rPr>
            </w:pPr>
            <w:r>
              <w:rPr>
                <w:rFonts w:asciiTheme="majorHAnsi" w:eastAsia="Arial" w:hAnsiTheme="majorHAnsi" w:cstheme="majorBidi"/>
                <w:sz w:val="20"/>
                <w:szCs w:val="20"/>
              </w:rPr>
              <w:t>This survey is collected by the Social Research Centre on behalf of QILT and is funded by DoE.</w:t>
            </w:r>
          </w:p>
        </w:tc>
      </w:tr>
      <w:tr w:rsidR="00A2332E" w:rsidRPr="003C7CD5" w14:paraId="68E8AD6F" w14:textId="77777777" w:rsidTr="005F6ADC">
        <w:trPr>
          <w:trHeight w:val="20"/>
        </w:trPr>
        <w:tc>
          <w:tcPr>
            <w:tcW w:w="1877" w:type="dxa"/>
          </w:tcPr>
          <w:p w14:paraId="6D322BBB" w14:textId="77777777" w:rsidR="00A2332E" w:rsidRPr="003C7CD5" w:rsidRDefault="00044D83" w:rsidP="005F6ADC">
            <w:pPr>
              <w:tabs>
                <w:tab w:val="left" w:pos="709"/>
              </w:tabs>
              <w:rPr>
                <w:rFonts w:asciiTheme="majorHAnsi" w:eastAsia="Arial" w:hAnsiTheme="majorHAnsi" w:cstheme="majorBidi"/>
                <w:sz w:val="20"/>
                <w:szCs w:val="20"/>
              </w:rPr>
            </w:pPr>
            <w:hyperlink r:id="rId233">
              <w:r w:rsidR="00A2332E" w:rsidRPr="29E50B63">
                <w:rPr>
                  <w:rStyle w:val="Hyperlink"/>
                  <w:rFonts w:asciiTheme="majorHAnsi" w:eastAsia="Arial" w:hAnsiTheme="majorHAnsi" w:cstheme="majorBidi"/>
                  <w:sz w:val="20"/>
                  <w:szCs w:val="20"/>
                </w:rPr>
                <w:t>Internet Vacancy Index (IVI)</w:t>
              </w:r>
            </w:hyperlink>
          </w:p>
        </w:tc>
        <w:tc>
          <w:tcPr>
            <w:tcW w:w="1347" w:type="dxa"/>
          </w:tcPr>
          <w:p w14:paraId="38C4969A" w14:textId="77777777" w:rsidR="00A2332E" w:rsidRPr="003C7CD5" w:rsidRDefault="00A2332E" w:rsidP="005F6ADC">
            <w:pPr>
              <w:tabs>
                <w:tab w:val="left" w:pos="709"/>
              </w:tabs>
              <w:rPr>
                <w:rFonts w:asciiTheme="majorHAnsi" w:eastAsia="Arial" w:hAnsiTheme="majorHAnsi" w:cstheme="majorHAnsi"/>
                <w:sz w:val="20"/>
                <w:szCs w:val="20"/>
              </w:rPr>
            </w:pPr>
            <w:r w:rsidRPr="003C7CD5">
              <w:rPr>
                <w:rFonts w:asciiTheme="majorHAnsi" w:eastAsia="Arial" w:hAnsiTheme="majorHAnsi" w:cstheme="majorHAnsi"/>
                <w:sz w:val="20"/>
                <w:szCs w:val="20"/>
              </w:rPr>
              <w:t>JSA</w:t>
            </w:r>
          </w:p>
        </w:tc>
        <w:tc>
          <w:tcPr>
            <w:tcW w:w="5790" w:type="dxa"/>
          </w:tcPr>
          <w:p w14:paraId="68D25A8C" w14:textId="77777777" w:rsidR="00A2332E" w:rsidRPr="003C7CD5" w:rsidRDefault="00A2332E" w:rsidP="005F6ADC">
            <w:pPr>
              <w:tabs>
                <w:tab w:val="left" w:pos="709"/>
              </w:tabs>
              <w:rPr>
                <w:rFonts w:asciiTheme="majorHAnsi" w:eastAsia="Arial" w:hAnsiTheme="majorHAnsi" w:cstheme="majorBidi"/>
                <w:sz w:val="20"/>
                <w:szCs w:val="20"/>
              </w:rPr>
            </w:pPr>
            <w:r w:rsidRPr="1F38FF2B">
              <w:rPr>
                <w:rFonts w:asciiTheme="majorHAnsi" w:eastAsia="Arial" w:hAnsiTheme="majorHAnsi" w:cstheme="majorBidi"/>
                <w:sz w:val="20"/>
                <w:szCs w:val="20"/>
              </w:rPr>
              <w:t>IVI is a monthly count of online job advertisements compiled by JSA. Data is available by occupational groups, skill level groups, state or territory and by regional areas. This Study consulted data from 2015 onwards.</w:t>
            </w:r>
          </w:p>
        </w:tc>
      </w:tr>
      <w:tr w:rsidR="00A2332E" w:rsidRPr="003C7CD5" w14:paraId="07E0AF96" w14:textId="77777777" w:rsidTr="005F6ADC">
        <w:trPr>
          <w:trHeight w:val="20"/>
        </w:trPr>
        <w:tc>
          <w:tcPr>
            <w:tcW w:w="1877" w:type="dxa"/>
          </w:tcPr>
          <w:p w14:paraId="41526FD7" w14:textId="77777777" w:rsidR="00A2332E" w:rsidRPr="003C7CD5" w:rsidRDefault="00044D83" w:rsidP="005F6ADC">
            <w:pPr>
              <w:tabs>
                <w:tab w:val="left" w:pos="709"/>
              </w:tabs>
              <w:rPr>
                <w:rFonts w:asciiTheme="majorHAnsi" w:eastAsia="Arial" w:hAnsiTheme="majorHAnsi" w:cstheme="majorHAnsi"/>
                <w:sz w:val="20"/>
                <w:szCs w:val="20"/>
              </w:rPr>
            </w:pPr>
            <w:hyperlink r:id="rId234" w:history="1">
              <w:r w:rsidR="00A2332E" w:rsidRPr="005A3DCB">
                <w:rPr>
                  <w:rStyle w:val="Hyperlink"/>
                  <w:rFonts w:asciiTheme="majorHAnsi" w:eastAsia="Arial" w:hAnsiTheme="majorHAnsi" w:cstheme="majorHAnsi"/>
                  <w:sz w:val="20"/>
                  <w:szCs w:val="20"/>
                </w:rPr>
                <w:t>Labour Force Survey</w:t>
              </w:r>
            </w:hyperlink>
          </w:p>
        </w:tc>
        <w:tc>
          <w:tcPr>
            <w:tcW w:w="1347" w:type="dxa"/>
          </w:tcPr>
          <w:p w14:paraId="12994FE5" w14:textId="77777777" w:rsidR="00A2332E" w:rsidRPr="003C7CD5" w:rsidRDefault="00A2332E" w:rsidP="005F6ADC">
            <w:pPr>
              <w:tabs>
                <w:tab w:val="left" w:pos="709"/>
              </w:tabs>
              <w:rPr>
                <w:rFonts w:asciiTheme="majorHAnsi" w:eastAsia="Arial" w:hAnsiTheme="majorHAnsi" w:cstheme="majorHAnsi"/>
                <w:sz w:val="20"/>
                <w:szCs w:val="20"/>
              </w:rPr>
            </w:pPr>
            <w:r w:rsidRPr="003C7CD5">
              <w:rPr>
                <w:rFonts w:asciiTheme="majorHAnsi" w:eastAsia="Arial" w:hAnsiTheme="majorHAnsi" w:cstheme="majorHAnsi"/>
                <w:sz w:val="20"/>
                <w:szCs w:val="20"/>
              </w:rPr>
              <w:t>ABS</w:t>
            </w:r>
          </w:p>
        </w:tc>
        <w:tc>
          <w:tcPr>
            <w:tcW w:w="5790" w:type="dxa"/>
          </w:tcPr>
          <w:p w14:paraId="1E9AADEE" w14:textId="77777777" w:rsidR="00A2332E" w:rsidRDefault="00A2332E" w:rsidP="005F6ADC">
            <w:pPr>
              <w:tabs>
                <w:tab w:val="left" w:pos="709"/>
              </w:tabs>
              <w:rPr>
                <w:rFonts w:asciiTheme="minorHAnsi" w:eastAsiaTheme="minorEastAsia" w:hAnsiTheme="minorHAnsi"/>
                <w:color w:val="222222"/>
                <w:sz w:val="20"/>
                <w:szCs w:val="20"/>
              </w:rPr>
            </w:pPr>
            <w:r>
              <w:rPr>
                <w:rFonts w:asciiTheme="minorHAnsi" w:eastAsiaTheme="minorEastAsia" w:hAnsiTheme="minorHAnsi"/>
                <w:color w:val="222222"/>
                <w:sz w:val="20"/>
                <w:szCs w:val="20"/>
              </w:rPr>
              <w:t xml:space="preserve">Collected monthly, the LFS collects information </w:t>
            </w:r>
            <w:r w:rsidRPr="672409D7">
              <w:rPr>
                <w:rFonts w:asciiTheme="minorHAnsi" w:eastAsiaTheme="minorEastAsia" w:hAnsiTheme="minorHAnsi"/>
                <w:color w:val="222222"/>
                <w:sz w:val="20"/>
                <w:szCs w:val="20"/>
              </w:rPr>
              <w:t>on</w:t>
            </w:r>
            <w:r w:rsidRPr="5DB0E3A9">
              <w:rPr>
                <w:rFonts w:asciiTheme="minorHAnsi" w:eastAsiaTheme="minorEastAsia" w:hAnsiTheme="minorHAnsi"/>
                <w:color w:val="222222"/>
                <w:sz w:val="20"/>
                <w:szCs w:val="20"/>
              </w:rPr>
              <w:t xml:space="preserve"> </w:t>
            </w:r>
            <w:r w:rsidRPr="672409D7">
              <w:rPr>
                <w:rFonts w:asciiTheme="minorHAnsi" w:eastAsiaTheme="minorEastAsia" w:hAnsiTheme="minorHAnsi"/>
                <w:color w:val="222222"/>
                <w:sz w:val="20"/>
                <w:szCs w:val="20"/>
              </w:rPr>
              <w:t>labour force characteristics of the population</w:t>
            </w:r>
            <w:r>
              <w:rPr>
                <w:rFonts w:asciiTheme="minorHAnsi" w:eastAsiaTheme="minorEastAsia" w:hAnsiTheme="minorHAnsi"/>
                <w:color w:val="222222"/>
                <w:sz w:val="20"/>
                <w:szCs w:val="20"/>
              </w:rPr>
              <w:t xml:space="preserve">. It collects data on </w:t>
            </w:r>
            <w:r w:rsidRPr="672409D7">
              <w:rPr>
                <w:rFonts w:asciiTheme="minorHAnsi" w:eastAsiaTheme="minorEastAsia" w:hAnsiTheme="minorHAnsi"/>
                <w:color w:val="222222"/>
                <w:sz w:val="20"/>
                <w:szCs w:val="20"/>
              </w:rPr>
              <w:t xml:space="preserve">employment status, full-time/part-time status, and duration of job search. </w:t>
            </w:r>
            <w:r w:rsidRPr="0EB12AD4">
              <w:rPr>
                <w:rFonts w:asciiTheme="minorHAnsi" w:eastAsiaTheme="minorEastAsia" w:hAnsiTheme="minorHAnsi"/>
                <w:color w:val="222222"/>
                <w:sz w:val="20"/>
                <w:szCs w:val="20"/>
              </w:rPr>
              <w:t>It</w:t>
            </w:r>
            <w:r w:rsidRPr="672409D7">
              <w:rPr>
                <w:rFonts w:asciiTheme="minorHAnsi" w:eastAsiaTheme="minorEastAsia" w:hAnsiTheme="minorHAnsi"/>
                <w:color w:val="222222"/>
                <w:sz w:val="20"/>
                <w:szCs w:val="20"/>
              </w:rPr>
              <w:t xml:space="preserve"> estimates </w:t>
            </w:r>
            <w:r w:rsidRPr="4F921EDB">
              <w:rPr>
                <w:rFonts w:asciiTheme="minorHAnsi" w:eastAsiaTheme="minorEastAsia" w:hAnsiTheme="minorHAnsi"/>
                <w:color w:val="222222"/>
                <w:sz w:val="20"/>
                <w:szCs w:val="20"/>
              </w:rPr>
              <w:t xml:space="preserve">employment, unemployment, underemployment, participation and </w:t>
            </w:r>
            <w:r w:rsidRPr="056C3118">
              <w:rPr>
                <w:rFonts w:asciiTheme="minorHAnsi" w:eastAsiaTheme="minorEastAsia" w:hAnsiTheme="minorHAnsi"/>
                <w:color w:val="222222"/>
                <w:sz w:val="20"/>
                <w:szCs w:val="20"/>
              </w:rPr>
              <w:t xml:space="preserve">hours </w:t>
            </w:r>
            <w:r w:rsidRPr="6C2B69E3">
              <w:rPr>
                <w:rFonts w:asciiTheme="minorHAnsi" w:eastAsiaTheme="minorEastAsia" w:hAnsiTheme="minorHAnsi"/>
                <w:color w:val="222222"/>
                <w:sz w:val="20"/>
                <w:szCs w:val="20"/>
              </w:rPr>
              <w:t xml:space="preserve">worked. </w:t>
            </w:r>
          </w:p>
          <w:p w14:paraId="2F0F3D9B" w14:textId="77777777" w:rsidR="00A2332E" w:rsidRDefault="00A2332E" w:rsidP="005F6ADC">
            <w:pPr>
              <w:tabs>
                <w:tab w:val="left" w:pos="709"/>
              </w:tabs>
              <w:rPr>
                <w:rFonts w:asciiTheme="minorHAnsi" w:eastAsiaTheme="minorEastAsia" w:hAnsiTheme="minorHAnsi"/>
                <w:color w:val="222222"/>
                <w:sz w:val="20"/>
                <w:szCs w:val="20"/>
              </w:rPr>
            </w:pPr>
          </w:p>
          <w:p w14:paraId="76BB3B59" w14:textId="77777777" w:rsidR="00A2332E" w:rsidRPr="003C7CD5" w:rsidRDefault="00A2332E" w:rsidP="005F6ADC">
            <w:pPr>
              <w:tabs>
                <w:tab w:val="left" w:pos="709"/>
              </w:tabs>
              <w:rPr>
                <w:rFonts w:asciiTheme="minorHAnsi" w:eastAsiaTheme="minorEastAsia" w:hAnsiTheme="minorHAnsi"/>
                <w:color w:val="222222"/>
                <w:sz w:val="20"/>
                <w:szCs w:val="20"/>
              </w:rPr>
            </w:pPr>
            <w:r>
              <w:rPr>
                <w:rFonts w:asciiTheme="minorHAnsi" w:eastAsiaTheme="minorEastAsia" w:hAnsiTheme="minorHAnsi"/>
                <w:color w:val="222222"/>
                <w:sz w:val="20"/>
                <w:szCs w:val="20"/>
              </w:rPr>
              <w:t xml:space="preserve">This Study primarily used </w:t>
            </w:r>
            <w:r w:rsidRPr="5060D0D7">
              <w:rPr>
                <w:rFonts w:asciiTheme="minorHAnsi" w:eastAsiaTheme="minorEastAsia" w:hAnsiTheme="minorHAnsi"/>
                <w:color w:val="222222"/>
                <w:sz w:val="20"/>
                <w:szCs w:val="20"/>
              </w:rPr>
              <w:t>2023 data</w:t>
            </w:r>
            <w:r>
              <w:rPr>
                <w:rFonts w:asciiTheme="minorHAnsi" w:eastAsiaTheme="minorEastAsia" w:hAnsiTheme="minorHAnsi"/>
                <w:color w:val="222222"/>
                <w:sz w:val="20"/>
                <w:szCs w:val="20"/>
              </w:rPr>
              <w:t>.</w:t>
            </w:r>
            <w:r w:rsidRPr="5060D0D7">
              <w:rPr>
                <w:rFonts w:asciiTheme="minorHAnsi" w:eastAsiaTheme="minorEastAsia" w:hAnsiTheme="minorHAnsi"/>
                <w:color w:val="222222"/>
                <w:sz w:val="20"/>
                <w:szCs w:val="20"/>
              </w:rPr>
              <w:t xml:space="preserve"> </w:t>
            </w:r>
          </w:p>
        </w:tc>
      </w:tr>
      <w:tr w:rsidR="00A2332E" w:rsidRPr="003C7CD5" w14:paraId="3C71D3D6" w14:textId="77777777" w:rsidTr="005F6ADC">
        <w:trPr>
          <w:trHeight w:val="20"/>
        </w:trPr>
        <w:tc>
          <w:tcPr>
            <w:tcW w:w="1877" w:type="dxa"/>
          </w:tcPr>
          <w:p w14:paraId="51BCB07C" w14:textId="77777777" w:rsidR="00A2332E" w:rsidRPr="003C7CD5" w:rsidRDefault="00044D83" w:rsidP="005F6ADC">
            <w:pPr>
              <w:tabs>
                <w:tab w:val="left" w:pos="709"/>
              </w:tabs>
              <w:rPr>
                <w:rFonts w:asciiTheme="majorHAnsi" w:eastAsia="Arial" w:hAnsiTheme="majorHAnsi" w:cstheme="majorHAnsi"/>
                <w:sz w:val="20"/>
                <w:szCs w:val="20"/>
              </w:rPr>
            </w:pPr>
            <w:hyperlink r:id="rId235" w:history="1">
              <w:r w:rsidR="00A2332E" w:rsidRPr="00185A72">
                <w:rPr>
                  <w:rStyle w:val="Hyperlink"/>
                  <w:rFonts w:asciiTheme="majorHAnsi" w:eastAsia="Arial" w:hAnsiTheme="majorHAnsi" w:cstheme="majorHAnsi"/>
                  <w:sz w:val="20"/>
                  <w:szCs w:val="20"/>
                </w:rPr>
                <w:t>Lightcast Data</w:t>
              </w:r>
            </w:hyperlink>
          </w:p>
        </w:tc>
        <w:tc>
          <w:tcPr>
            <w:tcW w:w="1347" w:type="dxa"/>
          </w:tcPr>
          <w:p w14:paraId="4ECB5837" w14:textId="77777777" w:rsidR="00A2332E" w:rsidRPr="6FB6C57F" w:rsidRDefault="00A2332E" w:rsidP="005F6ADC">
            <w:pPr>
              <w:tabs>
                <w:tab w:val="left" w:pos="709"/>
              </w:tabs>
              <w:rPr>
                <w:rFonts w:asciiTheme="majorHAnsi" w:eastAsia="Arial" w:hAnsiTheme="majorHAnsi" w:cstheme="majorBidi"/>
                <w:sz w:val="20"/>
                <w:szCs w:val="20"/>
              </w:rPr>
            </w:pPr>
            <w:r w:rsidRPr="003C7CD5">
              <w:rPr>
                <w:rFonts w:asciiTheme="majorHAnsi" w:eastAsia="Arial" w:hAnsiTheme="majorHAnsi" w:cstheme="majorHAnsi"/>
                <w:sz w:val="20"/>
                <w:szCs w:val="20"/>
              </w:rPr>
              <w:t>Lightcast</w:t>
            </w:r>
          </w:p>
        </w:tc>
        <w:tc>
          <w:tcPr>
            <w:tcW w:w="5790" w:type="dxa"/>
          </w:tcPr>
          <w:p w14:paraId="6A0427A5" w14:textId="77777777" w:rsidR="00A2332E" w:rsidRPr="003C7CD5" w:rsidRDefault="00A2332E" w:rsidP="005F6ADC">
            <w:pPr>
              <w:tabs>
                <w:tab w:val="left" w:pos="709"/>
              </w:tabs>
            </w:pPr>
            <w:r w:rsidRPr="75C3390B">
              <w:rPr>
                <w:rFonts w:eastAsia="Arial" w:cs="Arial"/>
                <w:sz w:val="20"/>
                <w:szCs w:val="20"/>
              </w:rPr>
              <w:t xml:space="preserve">Lightcast data is a proprietary data set containing online job advertisements </w:t>
            </w:r>
            <w:r>
              <w:rPr>
                <w:rFonts w:eastAsia="Arial" w:cs="Arial"/>
                <w:sz w:val="20"/>
                <w:szCs w:val="20"/>
              </w:rPr>
              <w:t xml:space="preserve">in </w:t>
            </w:r>
            <w:r w:rsidRPr="75C3390B">
              <w:rPr>
                <w:rFonts w:eastAsia="Arial" w:cs="Arial"/>
                <w:sz w:val="20"/>
                <w:szCs w:val="20"/>
              </w:rPr>
              <w:t>Australia. The data used in this Study is from 2019-2023 inclusive</w:t>
            </w:r>
            <w:r>
              <w:rPr>
                <w:rFonts w:eastAsia="Arial" w:cs="Arial"/>
                <w:sz w:val="20"/>
                <w:szCs w:val="20"/>
              </w:rPr>
              <w:t xml:space="preserve">. The study specifically </w:t>
            </w:r>
            <w:r w:rsidRPr="75C3390B">
              <w:rPr>
                <w:rFonts w:eastAsia="Arial" w:cs="Arial"/>
                <w:sz w:val="20"/>
                <w:szCs w:val="20"/>
              </w:rPr>
              <w:t>focus</w:t>
            </w:r>
            <w:r>
              <w:rPr>
                <w:rFonts w:eastAsia="Arial" w:cs="Arial"/>
                <w:sz w:val="20"/>
                <w:szCs w:val="20"/>
              </w:rPr>
              <w:t>ed</w:t>
            </w:r>
            <w:r w:rsidRPr="75C3390B">
              <w:rPr>
                <w:rFonts w:eastAsia="Arial" w:cs="Arial"/>
                <w:sz w:val="20"/>
                <w:szCs w:val="20"/>
              </w:rPr>
              <w:t xml:space="preserve"> on job titles and the skills requested by employers in job ads.</w:t>
            </w:r>
          </w:p>
        </w:tc>
      </w:tr>
      <w:tr w:rsidR="00A2332E" w:rsidRPr="003C7CD5" w14:paraId="1C38B597" w14:textId="77777777" w:rsidTr="005F6ADC">
        <w:trPr>
          <w:trHeight w:val="1215"/>
        </w:trPr>
        <w:tc>
          <w:tcPr>
            <w:tcW w:w="1877" w:type="dxa"/>
          </w:tcPr>
          <w:p w14:paraId="75D88BFC" w14:textId="77777777" w:rsidR="00A2332E" w:rsidRDefault="00044D83" w:rsidP="005F6ADC">
            <w:pPr>
              <w:tabs>
                <w:tab w:val="left" w:pos="709"/>
              </w:tabs>
              <w:rPr>
                <w:rFonts w:asciiTheme="majorHAnsi" w:eastAsia="Arial" w:hAnsiTheme="majorHAnsi" w:cstheme="majorBidi"/>
                <w:sz w:val="20"/>
                <w:szCs w:val="20"/>
              </w:rPr>
            </w:pPr>
            <w:hyperlink r:id="rId236" w:history="1">
              <w:r w:rsidR="00A2332E" w:rsidRPr="00BA76C0">
                <w:rPr>
                  <w:rStyle w:val="Hyperlink"/>
                  <w:rFonts w:asciiTheme="majorHAnsi" w:eastAsia="Arial" w:hAnsiTheme="majorHAnsi" w:cstheme="majorBidi"/>
                  <w:sz w:val="20"/>
                  <w:szCs w:val="20"/>
                </w:rPr>
                <w:t>N</w:t>
              </w:r>
              <w:r w:rsidR="00A2332E" w:rsidRPr="00BA76C0">
                <w:rPr>
                  <w:rStyle w:val="Hyperlink"/>
                  <w:rFonts w:asciiTheme="majorHAnsi" w:hAnsiTheme="majorHAnsi" w:cstheme="majorBidi"/>
                  <w:sz w:val="20"/>
                  <w:szCs w:val="20"/>
                </w:rPr>
                <w:t>ational Dataset for Compensation-based Statistics</w:t>
              </w:r>
            </w:hyperlink>
          </w:p>
        </w:tc>
        <w:tc>
          <w:tcPr>
            <w:tcW w:w="1347" w:type="dxa"/>
          </w:tcPr>
          <w:p w14:paraId="0F7F3B2F" w14:textId="77777777" w:rsidR="00A2332E" w:rsidRDefault="00A2332E" w:rsidP="005F6ADC">
            <w:pPr>
              <w:tabs>
                <w:tab w:val="left" w:pos="709"/>
              </w:tabs>
              <w:rPr>
                <w:rFonts w:asciiTheme="majorHAnsi" w:eastAsia="Arial" w:hAnsiTheme="majorHAnsi" w:cstheme="majorBidi"/>
                <w:sz w:val="20"/>
                <w:szCs w:val="20"/>
              </w:rPr>
            </w:pPr>
            <w:r w:rsidRPr="59965624">
              <w:rPr>
                <w:rFonts w:asciiTheme="majorHAnsi" w:eastAsia="Arial" w:hAnsiTheme="majorHAnsi" w:cstheme="majorBidi"/>
                <w:sz w:val="20"/>
                <w:szCs w:val="20"/>
              </w:rPr>
              <w:t>S</w:t>
            </w:r>
            <w:r w:rsidRPr="59965624">
              <w:rPr>
                <w:rFonts w:asciiTheme="majorHAnsi" w:hAnsiTheme="majorHAnsi" w:cstheme="majorBidi"/>
                <w:sz w:val="20"/>
                <w:szCs w:val="20"/>
              </w:rPr>
              <w:t xml:space="preserve">afe Work Australia </w:t>
            </w:r>
            <w:r w:rsidRPr="2AD5BEE4">
              <w:rPr>
                <w:rFonts w:asciiTheme="majorHAnsi" w:hAnsiTheme="majorHAnsi" w:cstheme="majorBidi"/>
                <w:sz w:val="20"/>
                <w:szCs w:val="20"/>
              </w:rPr>
              <w:t>(SWA)</w:t>
            </w:r>
          </w:p>
        </w:tc>
        <w:tc>
          <w:tcPr>
            <w:tcW w:w="5790" w:type="dxa"/>
          </w:tcPr>
          <w:p w14:paraId="1F0E3EA3" w14:textId="77777777" w:rsidR="00A2332E" w:rsidRDefault="00A2332E" w:rsidP="005F6ADC">
            <w:pPr>
              <w:tabs>
                <w:tab w:val="left" w:pos="709"/>
                <w:tab w:val="center" w:pos="2793"/>
              </w:tabs>
              <w:rPr>
                <w:rFonts w:eastAsia="Arial" w:cs="Arial"/>
                <w:color w:val="101929"/>
                <w:sz w:val="20"/>
                <w:szCs w:val="20"/>
              </w:rPr>
            </w:pPr>
            <w:r>
              <w:rPr>
                <w:rFonts w:eastAsia="Arial" w:cs="Arial"/>
                <w:color w:val="101929"/>
                <w:sz w:val="20"/>
                <w:szCs w:val="20"/>
              </w:rPr>
              <w:t>This was a custom data request for the JSA ECEC Capacity Study. It includes data from 2012-2022, with 2022 being provisional data.</w:t>
            </w:r>
          </w:p>
          <w:p w14:paraId="0085AE6A" w14:textId="77777777" w:rsidR="00A2332E" w:rsidRDefault="00A2332E" w:rsidP="005F6ADC">
            <w:pPr>
              <w:tabs>
                <w:tab w:val="left" w:pos="709"/>
                <w:tab w:val="center" w:pos="2793"/>
              </w:tabs>
              <w:rPr>
                <w:rFonts w:eastAsia="Arial" w:cs="Arial"/>
                <w:sz w:val="20"/>
                <w:szCs w:val="20"/>
              </w:rPr>
            </w:pPr>
          </w:p>
          <w:p w14:paraId="2380B8A7" w14:textId="77777777" w:rsidR="00A2332E" w:rsidRDefault="00A2332E" w:rsidP="005F6ADC">
            <w:pPr>
              <w:tabs>
                <w:tab w:val="left" w:pos="709"/>
                <w:tab w:val="center" w:pos="2793"/>
              </w:tabs>
              <w:rPr>
                <w:rFonts w:eastAsia="Arial" w:cs="Arial"/>
                <w:sz w:val="20"/>
                <w:szCs w:val="20"/>
              </w:rPr>
            </w:pPr>
            <w:r w:rsidRPr="55D68DEC">
              <w:rPr>
                <w:rFonts w:eastAsia="Arial" w:cs="Arial"/>
                <w:sz w:val="20"/>
                <w:szCs w:val="20"/>
              </w:rPr>
              <w:t>This dataset consists of</w:t>
            </w:r>
            <w:r w:rsidRPr="1CE3F798">
              <w:rPr>
                <w:rFonts w:eastAsia="Arial" w:cs="Arial"/>
                <w:sz w:val="20"/>
                <w:szCs w:val="20"/>
              </w:rPr>
              <w:t xml:space="preserve"> national workers’ compensation statistics </w:t>
            </w:r>
            <w:r w:rsidRPr="55D68DEC">
              <w:rPr>
                <w:rFonts w:eastAsia="Arial" w:cs="Arial"/>
                <w:sz w:val="20"/>
                <w:szCs w:val="20"/>
              </w:rPr>
              <w:t>and collects data</w:t>
            </w:r>
            <w:r w:rsidRPr="1CE3F798">
              <w:rPr>
                <w:rFonts w:eastAsia="Arial" w:cs="Arial"/>
                <w:sz w:val="20"/>
                <w:szCs w:val="20"/>
              </w:rPr>
              <w:t xml:space="preserve"> from workers’ compensation authorities in each state, territory and the Commonwealth Government. </w:t>
            </w:r>
            <w:r w:rsidRPr="1F6CCC56">
              <w:rPr>
                <w:rFonts w:eastAsia="Arial" w:cs="Arial"/>
                <w:sz w:val="20"/>
                <w:szCs w:val="20"/>
              </w:rPr>
              <w:t xml:space="preserve">It is </w:t>
            </w:r>
            <w:r w:rsidRPr="4971EBE0">
              <w:rPr>
                <w:rFonts w:eastAsia="Arial" w:cs="Arial"/>
                <w:sz w:val="20"/>
                <w:szCs w:val="20"/>
              </w:rPr>
              <w:t>SWA’s</w:t>
            </w:r>
            <w:r w:rsidRPr="1CE3F798">
              <w:rPr>
                <w:rFonts w:eastAsia="Arial" w:cs="Arial"/>
                <w:sz w:val="20"/>
                <w:szCs w:val="20"/>
              </w:rPr>
              <w:t xml:space="preserve"> primary source of information on work-related injuries and diseases</w:t>
            </w:r>
            <w:r>
              <w:rPr>
                <w:rFonts w:eastAsia="Arial" w:cs="Arial"/>
                <w:sz w:val="20"/>
                <w:szCs w:val="20"/>
              </w:rPr>
              <w:t xml:space="preserve"> and includes serious incident claims. </w:t>
            </w:r>
          </w:p>
        </w:tc>
      </w:tr>
      <w:tr w:rsidR="00A2332E" w:rsidRPr="003C7CD5" w14:paraId="35DF16A1" w14:textId="77777777" w:rsidTr="005F6ADC">
        <w:trPr>
          <w:trHeight w:val="20"/>
        </w:trPr>
        <w:tc>
          <w:tcPr>
            <w:tcW w:w="1877" w:type="dxa"/>
          </w:tcPr>
          <w:p w14:paraId="469B1572" w14:textId="77777777" w:rsidR="00A2332E" w:rsidRPr="003C7CD5" w:rsidRDefault="00044D83" w:rsidP="005F6ADC">
            <w:pPr>
              <w:tabs>
                <w:tab w:val="left" w:pos="709"/>
              </w:tabs>
              <w:rPr>
                <w:rFonts w:asciiTheme="majorHAnsi" w:eastAsia="Arial" w:hAnsiTheme="majorHAnsi" w:cstheme="majorHAnsi"/>
                <w:sz w:val="20"/>
                <w:szCs w:val="20"/>
              </w:rPr>
            </w:pPr>
            <w:hyperlink r:id="rId237" w:history="1">
              <w:r w:rsidR="00A2332E" w:rsidRPr="00C23868">
                <w:rPr>
                  <w:rStyle w:val="Hyperlink"/>
                  <w:rFonts w:asciiTheme="majorHAnsi" w:eastAsia="Arial" w:hAnsiTheme="majorHAnsi" w:cstheme="majorHAnsi"/>
                  <w:sz w:val="20"/>
                  <w:szCs w:val="20"/>
                </w:rPr>
                <w:t>National Registers</w:t>
              </w:r>
            </w:hyperlink>
          </w:p>
        </w:tc>
        <w:tc>
          <w:tcPr>
            <w:tcW w:w="1347" w:type="dxa"/>
          </w:tcPr>
          <w:p w14:paraId="46927F5B" w14:textId="77777777" w:rsidR="00A2332E" w:rsidRPr="003C7CD5" w:rsidRDefault="00A2332E" w:rsidP="005F6ADC">
            <w:pPr>
              <w:tabs>
                <w:tab w:val="left" w:pos="709"/>
              </w:tabs>
              <w:rPr>
                <w:rFonts w:asciiTheme="majorHAnsi" w:eastAsia="Arial" w:hAnsiTheme="majorHAnsi" w:cstheme="majorHAnsi"/>
                <w:sz w:val="20"/>
                <w:szCs w:val="20"/>
              </w:rPr>
            </w:pPr>
            <w:r w:rsidRPr="003C7CD5">
              <w:rPr>
                <w:rFonts w:asciiTheme="majorHAnsi" w:eastAsia="Arial" w:hAnsiTheme="majorHAnsi" w:cstheme="majorHAnsi"/>
                <w:sz w:val="20"/>
                <w:szCs w:val="20"/>
              </w:rPr>
              <w:t>ACECQA</w:t>
            </w:r>
          </w:p>
        </w:tc>
        <w:tc>
          <w:tcPr>
            <w:tcW w:w="5790" w:type="dxa"/>
          </w:tcPr>
          <w:p w14:paraId="7D2CAC68" w14:textId="77777777" w:rsidR="00A2332E" w:rsidRPr="003C7CD5" w:rsidRDefault="00A2332E" w:rsidP="005F6ADC">
            <w:pPr>
              <w:tabs>
                <w:tab w:val="left" w:pos="709"/>
              </w:tabs>
              <w:rPr>
                <w:rFonts w:asciiTheme="majorHAnsi" w:eastAsia="Arial" w:hAnsiTheme="majorHAnsi" w:cstheme="majorBidi"/>
                <w:sz w:val="20"/>
                <w:szCs w:val="20"/>
              </w:rPr>
            </w:pPr>
            <w:r w:rsidRPr="29E50B63">
              <w:rPr>
                <w:rFonts w:asciiTheme="majorHAnsi" w:eastAsia="Arial" w:hAnsiTheme="majorHAnsi" w:cstheme="majorBidi"/>
                <w:sz w:val="20"/>
                <w:szCs w:val="20"/>
              </w:rPr>
              <w:t xml:space="preserve">The national registers </w:t>
            </w:r>
            <w:proofErr w:type="gramStart"/>
            <w:r w:rsidRPr="29E50B63">
              <w:rPr>
                <w:rFonts w:asciiTheme="majorHAnsi" w:eastAsia="Arial" w:hAnsiTheme="majorHAnsi" w:cstheme="majorBidi"/>
                <w:sz w:val="20"/>
                <w:szCs w:val="20"/>
              </w:rPr>
              <w:t>contain</w:t>
            </w:r>
            <w:r>
              <w:rPr>
                <w:rFonts w:asciiTheme="majorHAnsi" w:eastAsia="Arial" w:hAnsiTheme="majorHAnsi" w:cstheme="majorBidi"/>
                <w:sz w:val="20"/>
                <w:szCs w:val="20"/>
              </w:rPr>
              <w:t>s</w:t>
            </w:r>
            <w:proofErr w:type="gramEnd"/>
            <w:r w:rsidRPr="29E50B63">
              <w:rPr>
                <w:rFonts w:asciiTheme="majorHAnsi" w:eastAsia="Arial" w:hAnsiTheme="majorHAnsi" w:cstheme="majorBidi"/>
                <w:sz w:val="20"/>
                <w:szCs w:val="20"/>
              </w:rPr>
              <w:t xml:space="preserve"> information about approved education and care services and providers. The register data is provided on a quarterly basis from Q3 2013.</w:t>
            </w:r>
          </w:p>
        </w:tc>
      </w:tr>
      <w:tr w:rsidR="00A2332E" w:rsidRPr="003C7CD5" w14:paraId="576EDA83" w14:textId="77777777" w:rsidTr="005F6ADC">
        <w:trPr>
          <w:trHeight w:val="20"/>
        </w:trPr>
        <w:tc>
          <w:tcPr>
            <w:tcW w:w="1877" w:type="dxa"/>
          </w:tcPr>
          <w:p w14:paraId="4A73FA46" w14:textId="77777777" w:rsidR="00A2332E" w:rsidRPr="003C7CD5" w:rsidRDefault="00044D83" w:rsidP="005F6ADC">
            <w:pPr>
              <w:tabs>
                <w:tab w:val="left" w:pos="709"/>
              </w:tabs>
              <w:rPr>
                <w:rFonts w:asciiTheme="majorHAnsi" w:eastAsia="Arial" w:hAnsiTheme="majorHAnsi" w:cstheme="majorHAnsi"/>
                <w:sz w:val="20"/>
                <w:szCs w:val="20"/>
              </w:rPr>
            </w:pPr>
            <w:hyperlink r:id="rId238" w:history="1">
              <w:r w:rsidR="00A2332E" w:rsidRPr="00592055">
                <w:rPr>
                  <w:rStyle w:val="Hyperlink"/>
                  <w:rFonts w:asciiTheme="majorHAnsi" w:eastAsia="Arial" w:hAnsiTheme="majorHAnsi" w:cstheme="majorHAnsi"/>
                  <w:sz w:val="20"/>
                  <w:szCs w:val="20"/>
                </w:rPr>
                <w:t>National Workforce Census (NWC)</w:t>
              </w:r>
            </w:hyperlink>
          </w:p>
        </w:tc>
        <w:tc>
          <w:tcPr>
            <w:tcW w:w="1347" w:type="dxa"/>
          </w:tcPr>
          <w:p w14:paraId="5E553CD3" w14:textId="77777777" w:rsidR="00A2332E" w:rsidRPr="003C7CD5" w:rsidRDefault="00A2332E" w:rsidP="005F6ADC">
            <w:pPr>
              <w:tabs>
                <w:tab w:val="left" w:pos="709"/>
              </w:tabs>
              <w:rPr>
                <w:rFonts w:asciiTheme="majorHAnsi" w:eastAsia="Arial" w:hAnsiTheme="majorHAnsi" w:cstheme="majorHAnsi"/>
                <w:sz w:val="20"/>
                <w:szCs w:val="20"/>
              </w:rPr>
            </w:pPr>
            <w:r w:rsidRPr="003C7CD5">
              <w:rPr>
                <w:rFonts w:asciiTheme="majorHAnsi" w:eastAsia="Arial" w:hAnsiTheme="majorHAnsi" w:cstheme="majorHAnsi"/>
                <w:sz w:val="20"/>
                <w:szCs w:val="20"/>
              </w:rPr>
              <w:t>DoE</w:t>
            </w:r>
          </w:p>
        </w:tc>
        <w:tc>
          <w:tcPr>
            <w:tcW w:w="5790" w:type="dxa"/>
          </w:tcPr>
          <w:p w14:paraId="070B4BFD" w14:textId="77777777" w:rsidR="00A2332E" w:rsidRPr="003C7CD5" w:rsidRDefault="00A2332E" w:rsidP="005F6ADC">
            <w:pPr>
              <w:tabs>
                <w:tab w:val="left" w:pos="709"/>
              </w:tabs>
              <w:rPr>
                <w:rStyle w:val="Heading2Char"/>
                <w:rFonts w:asciiTheme="majorHAnsi" w:hAnsiTheme="majorHAnsi"/>
                <w:color w:val="000000"/>
                <w:sz w:val="20"/>
                <w:szCs w:val="20"/>
                <w:bdr w:val="none" w:sz="0" w:space="0" w:color="auto" w:frame="1"/>
              </w:rPr>
            </w:pPr>
            <w:r w:rsidRPr="0D2F8987">
              <w:rPr>
                <w:rFonts w:asciiTheme="majorHAnsi" w:eastAsia="Arial" w:hAnsiTheme="majorHAnsi" w:cstheme="majorBidi"/>
                <w:sz w:val="20"/>
                <w:szCs w:val="20"/>
              </w:rPr>
              <w:t xml:space="preserve">The ECEC NWC </w:t>
            </w:r>
            <w:r>
              <w:rPr>
                <w:rFonts w:asciiTheme="majorHAnsi" w:eastAsia="Arial" w:hAnsiTheme="majorHAnsi" w:cstheme="majorBidi"/>
                <w:sz w:val="20"/>
                <w:szCs w:val="20"/>
              </w:rPr>
              <w:t xml:space="preserve">is collected by the Social Research Centre on behalf of DoE. It collects a range of staffing information from approved providers and services. JSA has been provided with the data for 2013, 2016, and 2021, although its collection </w:t>
            </w:r>
            <w:proofErr w:type="gramStart"/>
            <w:r>
              <w:rPr>
                <w:rFonts w:asciiTheme="majorHAnsi" w:eastAsia="Arial" w:hAnsiTheme="majorHAnsi" w:cstheme="majorBidi"/>
                <w:sz w:val="20"/>
                <w:szCs w:val="20"/>
              </w:rPr>
              <w:t>dates back to</w:t>
            </w:r>
            <w:proofErr w:type="gramEnd"/>
            <w:r>
              <w:rPr>
                <w:rFonts w:asciiTheme="majorHAnsi" w:eastAsia="Arial" w:hAnsiTheme="majorHAnsi" w:cstheme="majorBidi"/>
                <w:sz w:val="20"/>
                <w:szCs w:val="20"/>
              </w:rPr>
              <w:t xml:space="preserve"> 1986. </w:t>
            </w:r>
          </w:p>
        </w:tc>
      </w:tr>
      <w:tr w:rsidR="00A2332E" w:rsidRPr="003C7CD5" w14:paraId="7CAD085E" w14:textId="77777777" w:rsidTr="005F6ADC">
        <w:trPr>
          <w:trHeight w:val="20"/>
        </w:trPr>
        <w:tc>
          <w:tcPr>
            <w:tcW w:w="1877" w:type="dxa"/>
          </w:tcPr>
          <w:p w14:paraId="52C1B6DE" w14:textId="77777777" w:rsidR="00A2332E" w:rsidRPr="003C7CD5" w:rsidRDefault="00044D83" w:rsidP="005F6ADC">
            <w:pPr>
              <w:tabs>
                <w:tab w:val="left" w:pos="709"/>
              </w:tabs>
              <w:rPr>
                <w:rFonts w:asciiTheme="majorHAnsi" w:eastAsia="Arial" w:hAnsiTheme="majorHAnsi" w:cstheme="majorBidi"/>
                <w:sz w:val="20"/>
                <w:szCs w:val="20"/>
              </w:rPr>
            </w:pPr>
            <w:hyperlink r:id="rId239" w:history="1">
              <w:r w:rsidR="00A2332E" w:rsidRPr="00EE7A97">
                <w:rPr>
                  <w:rStyle w:val="Hyperlink"/>
                  <w:rFonts w:eastAsia="Arial" w:cs="Arial"/>
                  <w:sz w:val="20"/>
                  <w:szCs w:val="20"/>
                </w:rPr>
                <w:t>Nowcast of Employment by Region and Occupation</w:t>
              </w:r>
              <w:r w:rsidR="00A2332E" w:rsidRPr="00EE7A97">
                <w:rPr>
                  <w:rStyle w:val="Hyperlink"/>
                  <w:rFonts w:asciiTheme="majorHAnsi" w:eastAsia="Arial" w:hAnsiTheme="majorHAnsi" w:cstheme="majorBidi"/>
                  <w:sz w:val="20"/>
                  <w:szCs w:val="20"/>
                </w:rPr>
                <w:t xml:space="preserve"> (NERO)</w:t>
              </w:r>
            </w:hyperlink>
          </w:p>
        </w:tc>
        <w:tc>
          <w:tcPr>
            <w:tcW w:w="1347" w:type="dxa"/>
          </w:tcPr>
          <w:p w14:paraId="6C915656" w14:textId="77777777" w:rsidR="00A2332E" w:rsidRPr="003C7CD5" w:rsidRDefault="00A2332E" w:rsidP="005F6ADC">
            <w:pPr>
              <w:tabs>
                <w:tab w:val="left" w:pos="709"/>
              </w:tabs>
              <w:rPr>
                <w:rFonts w:asciiTheme="majorHAnsi" w:eastAsia="Arial" w:hAnsiTheme="majorHAnsi" w:cstheme="majorHAnsi"/>
                <w:sz w:val="20"/>
                <w:szCs w:val="20"/>
              </w:rPr>
            </w:pPr>
            <w:r w:rsidRPr="003C7CD5">
              <w:rPr>
                <w:rFonts w:asciiTheme="majorHAnsi" w:eastAsia="Arial" w:hAnsiTheme="majorHAnsi" w:cstheme="majorHAnsi"/>
                <w:sz w:val="20"/>
                <w:szCs w:val="20"/>
              </w:rPr>
              <w:t>JSA</w:t>
            </w:r>
          </w:p>
        </w:tc>
        <w:tc>
          <w:tcPr>
            <w:tcW w:w="5790" w:type="dxa"/>
          </w:tcPr>
          <w:p w14:paraId="1EAA0C78" w14:textId="77777777" w:rsidR="00A2332E" w:rsidRPr="003C7CD5" w:rsidRDefault="00A2332E" w:rsidP="005F6ADC">
            <w:pPr>
              <w:tabs>
                <w:tab w:val="left" w:pos="709"/>
              </w:tabs>
              <w:rPr>
                <w:rFonts w:asciiTheme="majorHAnsi" w:eastAsia="Arial" w:hAnsiTheme="majorHAnsi" w:cstheme="majorBidi"/>
                <w:sz w:val="20"/>
                <w:szCs w:val="20"/>
              </w:rPr>
            </w:pPr>
            <w:r w:rsidRPr="3FB9F601">
              <w:rPr>
                <w:rFonts w:eastAsia="Arial" w:cs="Arial"/>
                <w:color w:val="101929"/>
                <w:sz w:val="20"/>
                <w:szCs w:val="20"/>
              </w:rPr>
              <w:t xml:space="preserve">NERO provides estimates of employment in 355 occupations across 88 regions in Australia and is produced </w:t>
            </w:r>
            <w:proofErr w:type="gramStart"/>
            <w:r w:rsidRPr="3FB9F601">
              <w:rPr>
                <w:rFonts w:eastAsia="Arial" w:cs="Arial"/>
                <w:color w:val="101929"/>
                <w:sz w:val="20"/>
                <w:szCs w:val="20"/>
              </w:rPr>
              <w:t>on a monthly basis</w:t>
            </w:r>
            <w:proofErr w:type="gramEnd"/>
            <w:r w:rsidRPr="3FB9F601">
              <w:rPr>
                <w:rFonts w:eastAsia="Arial" w:cs="Arial"/>
                <w:color w:val="101929"/>
                <w:sz w:val="20"/>
                <w:szCs w:val="20"/>
              </w:rPr>
              <w:t>. Th</w:t>
            </w:r>
            <w:r w:rsidRPr="3FB9F601">
              <w:rPr>
                <w:rFonts w:asciiTheme="majorHAnsi" w:eastAsia="Arial" w:hAnsiTheme="majorHAnsi" w:cstheme="majorBidi"/>
                <w:sz w:val="20"/>
                <w:szCs w:val="20"/>
              </w:rPr>
              <w:t>is Study uses data from 2015 onwards.</w:t>
            </w:r>
          </w:p>
        </w:tc>
      </w:tr>
      <w:tr w:rsidR="00A2332E" w:rsidRPr="003C7CD5" w14:paraId="123D20E5" w14:textId="77777777" w:rsidTr="005F6ADC">
        <w:trPr>
          <w:trHeight w:val="20"/>
        </w:trPr>
        <w:tc>
          <w:tcPr>
            <w:tcW w:w="1877" w:type="dxa"/>
          </w:tcPr>
          <w:p w14:paraId="152707DF" w14:textId="77777777" w:rsidR="00A2332E" w:rsidRPr="003C7CD5" w:rsidRDefault="00044D83" w:rsidP="005F6ADC">
            <w:pPr>
              <w:tabs>
                <w:tab w:val="left" w:pos="709"/>
              </w:tabs>
              <w:rPr>
                <w:rFonts w:asciiTheme="majorHAnsi" w:eastAsia="Arial" w:hAnsiTheme="majorHAnsi" w:cstheme="majorBidi"/>
                <w:sz w:val="20"/>
                <w:szCs w:val="20"/>
              </w:rPr>
            </w:pPr>
            <w:hyperlink r:id="rId240" w:history="1">
              <w:r w:rsidR="00A2332E" w:rsidRPr="006B5FFF">
                <w:rPr>
                  <w:rStyle w:val="Hyperlink"/>
                  <w:rFonts w:asciiTheme="majorHAnsi" w:eastAsia="Arial" w:hAnsiTheme="majorHAnsi" w:cstheme="majorBidi"/>
                  <w:sz w:val="20"/>
                  <w:szCs w:val="20"/>
                </w:rPr>
                <w:t>The Pay and Conditions Tool (PACT)</w:t>
              </w:r>
            </w:hyperlink>
          </w:p>
        </w:tc>
        <w:tc>
          <w:tcPr>
            <w:tcW w:w="1347" w:type="dxa"/>
          </w:tcPr>
          <w:p w14:paraId="1565A418" w14:textId="77777777" w:rsidR="00A2332E" w:rsidRPr="003C7CD5" w:rsidRDefault="00A2332E" w:rsidP="005F6ADC">
            <w:pPr>
              <w:tabs>
                <w:tab w:val="left" w:pos="709"/>
              </w:tabs>
              <w:rPr>
                <w:rFonts w:asciiTheme="majorHAnsi" w:eastAsia="Arial" w:hAnsiTheme="majorHAnsi" w:cstheme="majorHAnsi"/>
                <w:sz w:val="20"/>
                <w:szCs w:val="20"/>
              </w:rPr>
            </w:pPr>
            <w:r>
              <w:rPr>
                <w:rFonts w:asciiTheme="majorHAnsi" w:eastAsia="Arial" w:hAnsiTheme="majorHAnsi" w:cstheme="majorHAnsi"/>
                <w:sz w:val="20"/>
                <w:szCs w:val="20"/>
              </w:rPr>
              <w:t>FWC</w:t>
            </w:r>
          </w:p>
        </w:tc>
        <w:tc>
          <w:tcPr>
            <w:tcW w:w="5790" w:type="dxa"/>
          </w:tcPr>
          <w:p w14:paraId="7754FB64" w14:textId="77777777" w:rsidR="00A2332E" w:rsidRPr="003C7CD5" w:rsidRDefault="00A2332E" w:rsidP="005F6ADC">
            <w:pPr>
              <w:tabs>
                <w:tab w:val="left" w:pos="709"/>
              </w:tabs>
              <w:rPr>
                <w:rFonts w:asciiTheme="majorHAnsi" w:eastAsia="Arial" w:hAnsiTheme="majorHAnsi" w:cstheme="majorBidi"/>
                <w:sz w:val="20"/>
                <w:szCs w:val="20"/>
              </w:rPr>
            </w:pPr>
            <w:r w:rsidRPr="5A9C1D3C">
              <w:rPr>
                <w:rFonts w:asciiTheme="majorHAnsi" w:eastAsia="Arial" w:hAnsiTheme="majorHAnsi" w:cstheme="majorBidi"/>
                <w:sz w:val="20"/>
                <w:szCs w:val="20"/>
              </w:rPr>
              <w:t xml:space="preserve">PACT is a free online </w:t>
            </w:r>
            <w:r w:rsidRPr="0749F878">
              <w:rPr>
                <w:rFonts w:asciiTheme="majorHAnsi" w:eastAsia="Arial" w:hAnsiTheme="majorHAnsi" w:cstheme="majorBidi"/>
                <w:sz w:val="20"/>
                <w:szCs w:val="20"/>
              </w:rPr>
              <w:t xml:space="preserve">tool </w:t>
            </w:r>
            <w:r w:rsidRPr="386E547A">
              <w:rPr>
                <w:rFonts w:asciiTheme="majorHAnsi" w:eastAsia="Arial" w:hAnsiTheme="majorHAnsi" w:cstheme="majorBidi"/>
                <w:sz w:val="20"/>
                <w:szCs w:val="20"/>
              </w:rPr>
              <w:t xml:space="preserve">that provides </w:t>
            </w:r>
            <w:r w:rsidRPr="7DABCD05">
              <w:rPr>
                <w:rFonts w:asciiTheme="majorHAnsi" w:eastAsia="Arial" w:hAnsiTheme="majorHAnsi" w:cstheme="majorBidi"/>
                <w:sz w:val="20"/>
                <w:szCs w:val="20"/>
              </w:rPr>
              <w:t xml:space="preserve">information </w:t>
            </w:r>
            <w:r w:rsidRPr="50B8FADB">
              <w:rPr>
                <w:rFonts w:asciiTheme="majorHAnsi" w:eastAsia="Arial" w:hAnsiTheme="majorHAnsi" w:cstheme="majorBidi"/>
                <w:sz w:val="20"/>
                <w:szCs w:val="20"/>
              </w:rPr>
              <w:t xml:space="preserve">on </w:t>
            </w:r>
            <w:r w:rsidRPr="620E317B">
              <w:rPr>
                <w:rFonts w:asciiTheme="majorHAnsi" w:eastAsia="Arial" w:hAnsiTheme="majorHAnsi" w:cstheme="majorBidi"/>
                <w:sz w:val="20"/>
                <w:szCs w:val="20"/>
              </w:rPr>
              <w:t xml:space="preserve">minimum </w:t>
            </w:r>
            <w:r w:rsidRPr="3EE3577A">
              <w:rPr>
                <w:rFonts w:asciiTheme="majorHAnsi" w:eastAsia="Arial" w:hAnsiTheme="majorHAnsi" w:cstheme="majorBidi"/>
                <w:sz w:val="20"/>
                <w:szCs w:val="20"/>
              </w:rPr>
              <w:t>pay rates,</w:t>
            </w:r>
            <w:r w:rsidRPr="2A19110D">
              <w:rPr>
                <w:rFonts w:asciiTheme="majorHAnsi" w:eastAsia="Arial" w:hAnsiTheme="majorHAnsi" w:cstheme="majorBidi"/>
                <w:sz w:val="20"/>
                <w:szCs w:val="20"/>
              </w:rPr>
              <w:t xml:space="preserve"> </w:t>
            </w:r>
            <w:r w:rsidRPr="7D28CF93">
              <w:rPr>
                <w:rFonts w:asciiTheme="majorHAnsi" w:eastAsia="Arial" w:hAnsiTheme="majorHAnsi" w:cstheme="majorBidi"/>
                <w:sz w:val="20"/>
                <w:szCs w:val="20"/>
              </w:rPr>
              <w:t xml:space="preserve">penalty rates, </w:t>
            </w:r>
            <w:r w:rsidRPr="7DB9ADDD">
              <w:rPr>
                <w:rFonts w:asciiTheme="majorHAnsi" w:eastAsia="Arial" w:hAnsiTheme="majorHAnsi" w:cstheme="majorBidi"/>
                <w:sz w:val="20"/>
                <w:szCs w:val="20"/>
              </w:rPr>
              <w:t xml:space="preserve">overtime </w:t>
            </w:r>
            <w:r w:rsidRPr="6C92A3AF">
              <w:rPr>
                <w:rFonts w:asciiTheme="majorHAnsi" w:eastAsia="Arial" w:hAnsiTheme="majorHAnsi" w:cstheme="majorBidi"/>
                <w:sz w:val="20"/>
                <w:szCs w:val="20"/>
              </w:rPr>
              <w:t xml:space="preserve">and other entitlements under the </w:t>
            </w:r>
            <w:r w:rsidRPr="72BE5005">
              <w:rPr>
                <w:rFonts w:asciiTheme="majorHAnsi" w:eastAsia="Arial" w:hAnsiTheme="majorHAnsi" w:cstheme="majorBidi"/>
                <w:sz w:val="20"/>
                <w:szCs w:val="20"/>
              </w:rPr>
              <w:t xml:space="preserve">FWC. </w:t>
            </w:r>
            <w:r w:rsidRPr="7431B570">
              <w:rPr>
                <w:rFonts w:asciiTheme="majorHAnsi" w:eastAsia="Arial" w:hAnsiTheme="majorHAnsi" w:cstheme="majorBidi"/>
                <w:sz w:val="20"/>
                <w:szCs w:val="20"/>
              </w:rPr>
              <w:t>This</w:t>
            </w:r>
            <w:r w:rsidRPr="6BA765BA">
              <w:rPr>
                <w:rFonts w:asciiTheme="majorHAnsi" w:eastAsia="Arial" w:hAnsiTheme="majorHAnsi" w:cstheme="majorBidi"/>
                <w:sz w:val="20"/>
                <w:szCs w:val="20"/>
              </w:rPr>
              <w:t xml:space="preserve"> </w:t>
            </w:r>
            <w:r w:rsidRPr="36762B35">
              <w:rPr>
                <w:rFonts w:asciiTheme="majorHAnsi" w:eastAsia="Arial" w:hAnsiTheme="majorHAnsi" w:cstheme="majorBidi"/>
                <w:sz w:val="20"/>
                <w:szCs w:val="20"/>
              </w:rPr>
              <w:t xml:space="preserve">Study </w:t>
            </w:r>
            <w:r w:rsidRPr="6BA765BA">
              <w:rPr>
                <w:rFonts w:asciiTheme="majorHAnsi" w:eastAsia="Arial" w:hAnsiTheme="majorHAnsi" w:cstheme="majorBidi"/>
                <w:sz w:val="20"/>
                <w:szCs w:val="20"/>
              </w:rPr>
              <w:t>use</w:t>
            </w:r>
            <w:r>
              <w:rPr>
                <w:rFonts w:asciiTheme="majorHAnsi" w:eastAsia="Arial" w:hAnsiTheme="majorHAnsi" w:cstheme="majorBidi"/>
                <w:sz w:val="20"/>
                <w:szCs w:val="20"/>
              </w:rPr>
              <w:t>d</w:t>
            </w:r>
            <w:r w:rsidRPr="6BA765BA">
              <w:rPr>
                <w:rFonts w:asciiTheme="majorHAnsi" w:eastAsia="Arial" w:hAnsiTheme="majorHAnsi" w:cstheme="majorBidi"/>
                <w:sz w:val="20"/>
                <w:szCs w:val="20"/>
              </w:rPr>
              <w:t xml:space="preserve"> data</w:t>
            </w:r>
            <w:r w:rsidRPr="1153BF67">
              <w:rPr>
                <w:rFonts w:asciiTheme="majorHAnsi" w:eastAsia="Arial" w:hAnsiTheme="majorHAnsi" w:cstheme="majorBidi"/>
                <w:sz w:val="20"/>
                <w:szCs w:val="20"/>
              </w:rPr>
              <w:t xml:space="preserve"> </w:t>
            </w:r>
            <w:r w:rsidRPr="3FA952A2">
              <w:rPr>
                <w:rFonts w:asciiTheme="majorHAnsi" w:eastAsia="Arial" w:hAnsiTheme="majorHAnsi" w:cstheme="majorBidi"/>
                <w:sz w:val="20"/>
                <w:szCs w:val="20"/>
              </w:rPr>
              <w:t>available as</w:t>
            </w:r>
            <w:r w:rsidRPr="43691ADA">
              <w:rPr>
                <w:rFonts w:asciiTheme="majorHAnsi" w:eastAsia="Arial" w:hAnsiTheme="majorHAnsi" w:cstheme="majorBidi"/>
                <w:sz w:val="20"/>
                <w:szCs w:val="20"/>
              </w:rPr>
              <w:t xml:space="preserve"> </w:t>
            </w:r>
            <w:proofErr w:type="gramStart"/>
            <w:r w:rsidRPr="43691ADA">
              <w:rPr>
                <w:rFonts w:asciiTheme="majorHAnsi" w:eastAsia="Arial" w:hAnsiTheme="majorHAnsi" w:cstheme="majorBidi"/>
                <w:sz w:val="20"/>
                <w:szCs w:val="20"/>
              </w:rPr>
              <w:t>at</w:t>
            </w:r>
            <w:proofErr w:type="gramEnd"/>
            <w:r w:rsidRPr="43691ADA">
              <w:rPr>
                <w:rFonts w:asciiTheme="majorHAnsi" w:eastAsia="Arial" w:hAnsiTheme="majorHAnsi" w:cstheme="majorBidi"/>
                <w:sz w:val="20"/>
                <w:szCs w:val="20"/>
              </w:rPr>
              <w:t xml:space="preserve"> 4 January 2024.</w:t>
            </w:r>
          </w:p>
        </w:tc>
      </w:tr>
      <w:tr w:rsidR="00A2332E" w:rsidRPr="003C7CD5" w14:paraId="6BDD6A88" w14:textId="77777777" w:rsidTr="005F6ADC">
        <w:trPr>
          <w:trHeight w:val="20"/>
        </w:trPr>
        <w:tc>
          <w:tcPr>
            <w:tcW w:w="1877" w:type="dxa"/>
          </w:tcPr>
          <w:p w14:paraId="4E23A484" w14:textId="77777777" w:rsidR="00A2332E" w:rsidRPr="003C7CD5" w:rsidRDefault="00044D83" w:rsidP="005F6ADC">
            <w:pPr>
              <w:tabs>
                <w:tab w:val="left" w:pos="709"/>
              </w:tabs>
              <w:rPr>
                <w:rFonts w:asciiTheme="majorHAnsi" w:eastAsia="Arial" w:hAnsiTheme="majorHAnsi" w:cstheme="majorHAnsi"/>
                <w:sz w:val="20"/>
                <w:szCs w:val="20"/>
              </w:rPr>
            </w:pPr>
            <w:hyperlink r:id="rId241" w:history="1">
              <w:r w:rsidR="00A2332E" w:rsidRPr="00624A29">
                <w:rPr>
                  <w:rStyle w:val="Hyperlink"/>
                  <w:rFonts w:asciiTheme="majorHAnsi" w:eastAsia="Arial" w:hAnsiTheme="majorHAnsi" w:cstheme="majorHAnsi"/>
                  <w:sz w:val="20"/>
                  <w:szCs w:val="20"/>
                </w:rPr>
                <w:t>PLIDA</w:t>
              </w:r>
            </w:hyperlink>
          </w:p>
        </w:tc>
        <w:tc>
          <w:tcPr>
            <w:tcW w:w="1347" w:type="dxa"/>
          </w:tcPr>
          <w:p w14:paraId="486B460D" w14:textId="77777777" w:rsidR="00A2332E" w:rsidRPr="003C7CD5" w:rsidRDefault="00A2332E" w:rsidP="005F6ADC">
            <w:pPr>
              <w:tabs>
                <w:tab w:val="left" w:pos="709"/>
              </w:tabs>
              <w:rPr>
                <w:rFonts w:asciiTheme="majorHAnsi" w:eastAsia="Arial" w:hAnsiTheme="majorHAnsi" w:cstheme="majorHAnsi"/>
                <w:sz w:val="20"/>
                <w:szCs w:val="20"/>
              </w:rPr>
            </w:pPr>
            <w:r w:rsidRPr="003C7CD5">
              <w:rPr>
                <w:rFonts w:asciiTheme="majorHAnsi" w:eastAsia="Arial" w:hAnsiTheme="majorHAnsi" w:cstheme="majorHAnsi"/>
                <w:sz w:val="20"/>
                <w:szCs w:val="20"/>
              </w:rPr>
              <w:t>ABS</w:t>
            </w:r>
          </w:p>
        </w:tc>
        <w:tc>
          <w:tcPr>
            <w:tcW w:w="5790" w:type="dxa"/>
          </w:tcPr>
          <w:p w14:paraId="566B425A" w14:textId="77777777" w:rsidR="00A2332E" w:rsidRPr="003C7CD5" w:rsidRDefault="00A2332E" w:rsidP="005F6ADC">
            <w:pPr>
              <w:tabs>
                <w:tab w:val="left" w:pos="709"/>
              </w:tabs>
              <w:rPr>
                <w:rFonts w:asciiTheme="majorHAnsi" w:eastAsia="Arial" w:hAnsiTheme="majorHAnsi" w:cstheme="majorHAnsi"/>
                <w:sz w:val="20"/>
                <w:szCs w:val="20"/>
              </w:rPr>
            </w:pPr>
            <w:r>
              <w:rPr>
                <w:rFonts w:asciiTheme="majorHAnsi" w:eastAsia="Arial" w:hAnsiTheme="majorHAnsi" w:cstheme="majorHAnsi"/>
                <w:sz w:val="20"/>
                <w:szCs w:val="20"/>
              </w:rPr>
              <w:t>A secure data asset that combines information on health, education, government payments, income and taxation, and population demographics (including the Census) over time. The asset holds data from various datasets from Commonwealth, State and Territory Governments and one authorised private sector dataset.</w:t>
            </w:r>
          </w:p>
        </w:tc>
      </w:tr>
      <w:tr w:rsidR="00A2332E" w:rsidRPr="003C7CD5" w14:paraId="6C6B2092" w14:textId="77777777" w:rsidTr="005F6ADC">
        <w:trPr>
          <w:trHeight w:val="20"/>
        </w:trPr>
        <w:tc>
          <w:tcPr>
            <w:tcW w:w="1877" w:type="dxa"/>
          </w:tcPr>
          <w:p w14:paraId="284CDC91" w14:textId="77777777" w:rsidR="00A2332E" w:rsidRPr="003C7CD5" w:rsidRDefault="00044D83" w:rsidP="005F6ADC">
            <w:pPr>
              <w:tabs>
                <w:tab w:val="left" w:pos="709"/>
              </w:tabs>
              <w:rPr>
                <w:rFonts w:asciiTheme="majorHAnsi" w:eastAsia="Arial" w:hAnsiTheme="majorHAnsi" w:cstheme="majorHAnsi"/>
                <w:sz w:val="20"/>
                <w:szCs w:val="20"/>
              </w:rPr>
            </w:pPr>
            <w:hyperlink r:id="rId242" w:history="1">
              <w:r w:rsidR="00A2332E" w:rsidRPr="00E24200">
                <w:rPr>
                  <w:rStyle w:val="Hyperlink"/>
                  <w:rFonts w:asciiTheme="majorHAnsi" w:eastAsia="Arial" w:hAnsiTheme="majorHAnsi" w:cstheme="majorHAnsi"/>
                  <w:sz w:val="20"/>
                  <w:szCs w:val="20"/>
                </w:rPr>
                <w:t>Preschool Education</w:t>
              </w:r>
            </w:hyperlink>
          </w:p>
        </w:tc>
        <w:tc>
          <w:tcPr>
            <w:tcW w:w="1347" w:type="dxa"/>
          </w:tcPr>
          <w:p w14:paraId="27B67594" w14:textId="77777777" w:rsidR="00A2332E" w:rsidRPr="003C7CD5" w:rsidRDefault="00A2332E" w:rsidP="005F6ADC">
            <w:pPr>
              <w:tabs>
                <w:tab w:val="left" w:pos="709"/>
              </w:tabs>
              <w:rPr>
                <w:rFonts w:asciiTheme="majorHAnsi" w:eastAsia="Arial" w:hAnsiTheme="majorHAnsi" w:cstheme="majorHAnsi"/>
                <w:sz w:val="20"/>
                <w:szCs w:val="20"/>
              </w:rPr>
            </w:pPr>
            <w:r w:rsidRPr="003C7CD5">
              <w:rPr>
                <w:rFonts w:asciiTheme="majorHAnsi" w:eastAsia="Arial" w:hAnsiTheme="majorHAnsi" w:cstheme="majorHAnsi"/>
                <w:sz w:val="20"/>
                <w:szCs w:val="20"/>
              </w:rPr>
              <w:t>ABS</w:t>
            </w:r>
          </w:p>
        </w:tc>
        <w:tc>
          <w:tcPr>
            <w:tcW w:w="5790" w:type="dxa"/>
          </w:tcPr>
          <w:p w14:paraId="1DC96C82" w14:textId="77777777" w:rsidR="00A2332E" w:rsidRDefault="00A2332E" w:rsidP="005F6ADC">
            <w:pPr>
              <w:tabs>
                <w:tab w:val="left" w:pos="709"/>
              </w:tabs>
              <w:rPr>
                <w:rFonts w:asciiTheme="majorHAnsi" w:eastAsia="Arial" w:hAnsiTheme="majorHAnsi" w:cstheme="majorHAnsi"/>
                <w:sz w:val="20"/>
                <w:szCs w:val="20"/>
              </w:rPr>
            </w:pPr>
            <w:r>
              <w:rPr>
                <w:rFonts w:asciiTheme="majorHAnsi" w:eastAsia="Arial" w:hAnsiTheme="majorHAnsi" w:cstheme="majorHAnsi"/>
                <w:sz w:val="20"/>
                <w:szCs w:val="20"/>
              </w:rPr>
              <w:t>Collected annually in August, this dataset provides information on children enrolled in and attending preschool programs, and information on service providers.</w:t>
            </w:r>
          </w:p>
          <w:p w14:paraId="5354847A" w14:textId="77777777" w:rsidR="00A2332E" w:rsidRPr="003C7CD5" w:rsidRDefault="00A2332E" w:rsidP="005F6ADC">
            <w:pPr>
              <w:tabs>
                <w:tab w:val="left" w:pos="709"/>
              </w:tabs>
              <w:rPr>
                <w:rFonts w:asciiTheme="majorHAnsi" w:eastAsia="Arial" w:hAnsiTheme="majorHAnsi" w:cstheme="majorHAnsi"/>
                <w:sz w:val="20"/>
                <w:szCs w:val="20"/>
              </w:rPr>
            </w:pPr>
            <w:r>
              <w:rPr>
                <w:rFonts w:asciiTheme="majorHAnsi" w:eastAsia="Arial" w:hAnsiTheme="majorHAnsi" w:cstheme="majorHAnsi"/>
                <w:sz w:val="20"/>
                <w:szCs w:val="20"/>
              </w:rPr>
              <w:t>In this Study the 2016 and 2021 years were used for analysis.</w:t>
            </w:r>
          </w:p>
        </w:tc>
      </w:tr>
      <w:tr w:rsidR="00A2332E" w:rsidRPr="003C7CD5" w14:paraId="72E73F59" w14:textId="77777777" w:rsidTr="005F6ADC">
        <w:trPr>
          <w:trHeight w:val="20"/>
        </w:trPr>
        <w:tc>
          <w:tcPr>
            <w:tcW w:w="1877" w:type="dxa"/>
          </w:tcPr>
          <w:p w14:paraId="64CD8297" w14:textId="77777777" w:rsidR="00A2332E" w:rsidRPr="003C7CD5" w:rsidRDefault="00044D83" w:rsidP="005F6ADC">
            <w:pPr>
              <w:tabs>
                <w:tab w:val="left" w:pos="709"/>
              </w:tabs>
              <w:rPr>
                <w:rFonts w:asciiTheme="majorHAnsi" w:eastAsia="Arial" w:hAnsiTheme="majorHAnsi" w:cstheme="majorHAnsi"/>
                <w:sz w:val="20"/>
                <w:szCs w:val="20"/>
              </w:rPr>
            </w:pPr>
            <w:hyperlink r:id="rId243" w:history="1">
              <w:r w:rsidR="00A2332E" w:rsidRPr="001D549F">
                <w:rPr>
                  <w:rStyle w:val="Hyperlink"/>
                  <w:rFonts w:asciiTheme="majorHAnsi" w:eastAsia="Arial" w:hAnsiTheme="majorHAnsi" w:cstheme="majorHAnsi"/>
                  <w:sz w:val="20"/>
                  <w:szCs w:val="20"/>
                </w:rPr>
                <w:t>Skills Priority List</w:t>
              </w:r>
            </w:hyperlink>
            <w:r w:rsidR="00A2332E" w:rsidRPr="003C7CD5">
              <w:rPr>
                <w:rFonts w:asciiTheme="majorHAnsi" w:eastAsia="Arial" w:hAnsiTheme="majorHAnsi" w:cstheme="majorHAnsi"/>
                <w:sz w:val="20"/>
                <w:szCs w:val="20"/>
              </w:rPr>
              <w:t xml:space="preserve"> </w:t>
            </w:r>
          </w:p>
        </w:tc>
        <w:tc>
          <w:tcPr>
            <w:tcW w:w="1347" w:type="dxa"/>
          </w:tcPr>
          <w:p w14:paraId="3B17B6F1" w14:textId="77777777" w:rsidR="00A2332E" w:rsidRPr="003C7CD5" w:rsidRDefault="00A2332E" w:rsidP="005F6ADC">
            <w:pPr>
              <w:tabs>
                <w:tab w:val="left" w:pos="709"/>
              </w:tabs>
              <w:rPr>
                <w:rFonts w:asciiTheme="majorHAnsi" w:eastAsia="Arial" w:hAnsiTheme="majorHAnsi" w:cstheme="majorHAnsi"/>
                <w:sz w:val="20"/>
                <w:szCs w:val="20"/>
              </w:rPr>
            </w:pPr>
            <w:r w:rsidRPr="003C7CD5">
              <w:rPr>
                <w:rFonts w:asciiTheme="majorHAnsi" w:eastAsia="Arial" w:hAnsiTheme="majorHAnsi" w:cstheme="majorHAnsi"/>
                <w:sz w:val="20"/>
                <w:szCs w:val="20"/>
              </w:rPr>
              <w:t>JSA</w:t>
            </w:r>
          </w:p>
        </w:tc>
        <w:tc>
          <w:tcPr>
            <w:tcW w:w="5790" w:type="dxa"/>
          </w:tcPr>
          <w:p w14:paraId="17D21E75" w14:textId="77777777" w:rsidR="00A2332E" w:rsidRPr="003C7CD5" w:rsidRDefault="00A2332E" w:rsidP="005F6ADC">
            <w:pPr>
              <w:tabs>
                <w:tab w:val="left" w:pos="709"/>
              </w:tabs>
              <w:rPr>
                <w:rFonts w:eastAsia="Arial" w:cs="Arial"/>
                <w:sz w:val="20"/>
                <w:szCs w:val="20"/>
              </w:rPr>
            </w:pPr>
            <w:r w:rsidRPr="7624E281">
              <w:rPr>
                <w:rFonts w:eastAsia="Arial" w:cs="Arial"/>
                <w:color w:val="101929"/>
                <w:sz w:val="20"/>
                <w:szCs w:val="20"/>
              </w:rPr>
              <w:t>The SPL</w:t>
            </w:r>
            <w:r w:rsidRPr="28F39CF4">
              <w:rPr>
                <w:rFonts w:eastAsia="Arial" w:cs="Arial"/>
                <w:color w:val="101929"/>
                <w:sz w:val="20"/>
                <w:szCs w:val="20"/>
              </w:rPr>
              <w:t xml:space="preserve"> </w:t>
            </w:r>
            <w:r w:rsidRPr="7624E281">
              <w:rPr>
                <w:rFonts w:eastAsia="Arial" w:cs="Arial"/>
                <w:color w:val="101929"/>
                <w:sz w:val="20"/>
                <w:szCs w:val="20"/>
              </w:rPr>
              <w:t>provides a current assessment of the Australian labour market, including a detailed view of occupations in shortage and the anticipated future demand for occupations</w:t>
            </w:r>
            <w:r>
              <w:rPr>
                <w:rFonts w:eastAsia="Arial" w:cs="Arial"/>
                <w:color w:val="101929"/>
                <w:sz w:val="20"/>
                <w:szCs w:val="20"/>
              </w:rPr>
              <w:t>. Data currently only available for 2023.</w:t>
            </w:r>
          </w:p>
        </w:tc>
      </w:tr>
      <w:tr w:rsidR="00A2332E" w:rsidRPr="003C7CD5" w14:paraId="3569A60B" w14:textId="77777777" w:rsidTr="005F6ADC">
        <w:trPr>
          <w:trHeight w:val="20"/>
        </w:trPr>
        <w:tc>
          <w:tcPr>
            <w:tcW w:w="1877" w:type="dxa"/>
          </w:tcPr>
          <w:p w14:paraId="2C763929" w14:textId="77777777" w:rsidR="00A2332E" w:rsidRPr="003C7CD5" w:rsidRDefault="00044D83" w:rsidP="005F6ADC">
            <w:pPr>
              <w:tabs>
                <w:tab w:val="left" w:pos="709"/>
              </w:tabs>
              <w:rPr>
                <w:rFonts w:asciiTheme="majorHAnsi" w:eastAsia="Arial" w:hAnsiTheme="majorHAnsi" w:cstheme="majorHAnsi"/>
                <w:sz w:val="20"/>
                <w:szCs w:val="20"/>
              </w:rPr>
            </w:pPr>
            <w:hyperlink r:id="rId244" w:history="1">
              <w:r w:rsidR="00A2332E" w:rsidRPr="00501B52">
                <w:rPr>
                  <w:rStyle w:val="Hyperlink"/>
                  <w:rFonts w:asciiTheme="majorHAnsi" w:eastAsia="Arial" w:hAnsiTheme="majorHAnsi" w:cstheme="majorHAnsi"/>
                  <w:sz w:val="20"/>
                  <w:szCs w:val="20"/>
                </w:rPr>
                <w:t>Total VET activity</w:t>
              </w:r>
            </w:hyperlink>
            <w:r w:rsidR="00A2332E">
              <w:rPr>
                <w:rFonts w:asciiTheme="majorHAnsi" w:eastAsia="Arial" w:hAnsiTheme="majorHAnsi" w:cstheme="majorHAnsi"/>
                <w:sz w:val="20"/>
                <w:szCs w:val="20"/>
              </w:rPr>
              <w:t xml:space="preserve"> </w:t>
            </w:r>
          </w:p>
        </w:tc>
        <w:tc>
          <w:tcPr>
            <w:tcW w:w="1347" w:type="dxa"/>
          </w:tcPr>
          <w:p w14:paraId="4E7BAF3D" w14:textId="77777777" w:rsidR="00A2332E" w:rsidRPr="003C7CD5" w:rsidRDefault="00A2332E" w:rsidP="005F6ADC">
            <w:pPr>
              <w:tabs>
                <w:tab w:val="left" w:pos="709"/>
              </w:tabs>
              <w:rPr>
                <w:rFonts w:asciiTheme="majorHAnsi" w:eastAsia="Arial" w:hAnsiTheme="majorHAnsi" w:cstheme="majorHAnsi"/>
                <w:sz w:val="20"/>
                <w:szCs w:val="20"/>
              </w:rPr>
            </w:pPr>
            <w:r w:rsidRPr="003C7CD5">
              <w:rPr>
                <w:rFonts w:asciiTheme="majorHAnsi" w:eastAsia="Arial" w:hAnsiTheme="majorHAnsi" w:cstheme="majorHAnsi"/>
                <w:sz w:val="20"/>
                <w:szCs w:val="20"/>
              </w:rPr>
              <w:t>NCVER</w:t>
            </w:r>
          </w:p>
        </w:tc>
        <w:tc>
          <w:tcPr>
            <w:tcW w:w="5790" w:type="dxa"/>
          </w:tcPr>
          <w:p w14:paraId="79FE8CBA" w14:textId="77777777" w:rsidR="00A2332E" w:rsidRPr="003C7CD5" w:rsidRDefault="00A2332E" w:rsidP="005F6ADC">
            <w:pPr>
              <w:tabs>
                <w:tab w:val="left" w:pos="709"/>
              </w:tabs>
              <w:rPr>
                <w:rFonts w:asciiTheme="majorHAnsi" w:hAnsiTheme="majorHAnsi" w:cstheme="majorBidi"/>
                <w:color w:val="auto"/>
                <w:sz w:val="20"/>
                <w:szCs w:val="20"/>
              </w:rPr>
            </w:pPr>
            <w:r w:rsidRPr="4532DB24">
              <w:rPr>
                <w:rFonts w:asciiTheme="majorHAnsi" w:hAnsiTheme="majorHAnsi" w:cstheme="majorBidi"/>
                <w:color w:val="auto"/>
                <w:sz w:val="20"/>
                <w:szCs w:val="20"/>
              </w:rPr>
              <w:t xml:space="preserve">Provides an estimate of the extent and nature of nationally recognised VET delivered </w:t>
            </w:r>
            <w:r w:rsidRPr="1345309B">
              <w:rPr>
                <w:rFonts w:asciiTheme="majorHAnsi" w:hAnsiTheme="majorHAnsi" w:cstheme="majorBidi"/>
                <w:color w:val="auto"/>
                <w:sz w:val="20"/>
                <w:szCs w:val="20"/>
              </w:rPr>
              <w:t>each year</w:t>
            </w:r>
            <w:r w:rsidRPr="4532DB24">
              <w:rPr>
                <w:rFonts w:asciiTheme="majorHAnsi" w:hAnsiTheme="majorHAnsi" w:cstheme="majorBidi"/>
                <w:color w:val="auto"/>
                <w:sz w:val="20"/>
                <w:szCs w:val="20"/>
              </w:rPr>
              <w:t xml:space="preserve"> by Australian RTOs. The information reports on students who undertook government funded training and those who undertook training on a fee-for-service basis.</w:t>
            </w:r>
            <w:r w:rsidRPr="651CDA82">
              <w:rPr>
                <w:rFonts w:asciiTheme="majorHAnsi" w:hAnsiTheme="majorHAnsi" w:cstheme="majorBidi"/>
                <w:color w:val="auto"/>
                <w:sz w:val="20"/>
                <w:szCs w:val="20"/>
              </w:rPr>
              <w:t xml:space="preserve"> </w:t>
            </w:r>
            <w:r w:rsidRPr="6CA68C03">
              <w:rPr>
                <w:rFonts w:asciiTheme="majorHAnsi" w:hAnsiTheme="majorHAnsi" w:cstheme="majorBidi"/>
                <w:color w:val="auto"/>
                <w:sz w:val="20"/>
                <w:szCs w:val="20"/>
              </w:rPr>
              <w:t xml:space="preserve">Years 2015-2022 were </w:t>
            </w:r>
            <w:r w:rsidRPr="31C38A2A">
              <w:rPr>
                <w:rFonts w:asciiTheme="majorHAnsi" w:hAnsiTheme="majorHAnsi" w:cstheme="majorBidi"/>
                <w:color w:val="auto"/>
                <w:sz w:val="20"/>
                <w:szCs w:val="20"/>
              </w:rPr>
              <w:t>consulted for this</w:t>
            </w:r>
            <w:r w:rsidRPr="5E13815B">
              <w:rPr>
                <w:rFonts w:asciiTheme="majorHAnsi" w:hAnsiTheme="majorHAnsi" w:cstheme="majorBidi"/>
                <w:color w:val="auto"/>
                <w:sz w:val="20"/>
                <w:szCs w:val="20"/>
              </w:rPr>
              <w:t xml:space="preserve"> Study.</w:t>
            </w:r>
          </w:p>
        </w:tc>
      </w:tr>
      <w:tr w:rsidR="00A2332E" w:rsidRPr="003C7CD5" w14:paraId="330B9C8B" w14:textId="77777777" w:rsidTr="005F6ADC">
        <w:trPr>
          <w:trHeight w:val="20"/>
        </w:trPr>
        <w:tc>
          <w:tcPr>
            <w:tcW w:w="1877" w:type="dxa"/>
          </w:tcPr>
          <w:p w14:paraId="3113D22F" w14:textId="77777777" w:rsidR="00A2332E" w:rsidRPr="003C7CD5" w:rsidRDefault="00A2332E" w:rsidP="005F6ADC">
            <w:pPr>
              <w:spacing w:after="100" w:line="264" w:lineRule="auto"/>
              <w:rPr>
                <w:rFonts w:asciiTheme="majorHAnsi" w:eastAsia="Arial" w:hAnsiTheme="majorHAnsi" w:cstheme="majorHAnsi"/>
                <w:sz w:val="20"/>
                <w:szCs w:val="20"/>
              </w:rPr>
            </w:pPr>
            <w:r w:rsidRPr="003C7CD5">
              <w:rPr>
                <w:rFonts w:asciiTheme="majorHAnsi" w:eastAsia="Arial" w:hAnsiTheme="majorHAnsi" w:cstheme="majorHAnsi"/>
                <w:sz w:val="20"/>
                <w:szCs w:val="20"/>
              </w:rPr>
              <w:t>Unistats</w:t>
            </w:r>
          </w:p>
        </w:tc>
        <w:tc>
          <w:tcPr>
            <w:tcW w:w="1347" w:type="dxa"/>
          </w:tcPr>
          <w:p w14:paraId="607314E9" w14:textId="77777777" w:rsidR="00A2332E" w:rsidRPr="003C7CD5" w:rsidRDefault="00A2332E" w:rsidP="005F6ADC">
            <w:pPr>
              <w:tabs>
                <w:tab w:val="left" w:pos="709"/>
              </w:tabs>
              <w:rPr>
                <w:rFonts w:asciiTheme="majorHAnsi" w:hAnsiTheme="majorHAnsi" w:cstheme="majorHAnsi"/>
                <w:sz w:val="20"/>
                <w:szCs w:val="20"/>
              </w:rPr>
            </w:pPr>
            <w:r w:rsidRPr="003C7CD5">
              <w:rPr>
                <w:rFonts w:asciiTheme="majorHAnsi" w:eastAsia="Arial" w:hAnsiTheme="majorHAnsi" w:cstheme="majorHAnsi"/>
                <w:sz w:val="20"/>
                <w:szCs w:val="20"/>
              </w:rPr>
              <w:t>DoE</w:t>
            </w:r>
          </w:p>
        </w:tc>
        <w:tc>
          <w:tcPr>
            <w:tcW w:w="5790" w:type="dxa"/>
          </w:tcPr>
          <w:p w14:paraId="39F6258E" w14:textId="77777777" w:rsidR="00A2332E" w:rsidRPr="003C7CD5" w:rsidRDefault="00A2332E" w:rsidP="005F6ADC">
            <w:pPr>
              <w:tabs>
                <w:tab w:val="left" w:pos="709"/>
              </w:tabs>
              <w:rPr>
                <w:rFonts w:asciiTheme="majorHAnsi" w:hAnsiTheme="majorHAnsi" w:cstheme="majorBidi"/>
                <w:sz w:val="20"/>
                <w:szCs w:val="20"/>
              </w:rPr>
            </w:pPr>
            <w:r w:rsidRPr="69BCF9AD">
              <w:rPr>
                <w:rFonts w:asciiTheme="majorHAnsi" w:hAnsiTheme="majorHAnsi" w:cstheme="majorBidi"/>
                <w:sz w:val="20"/>
                <w:szCs w:val="20"/>
              </w:rPr>
              <w:t>2023</w:t>
            </w:r>
            <w:r>
              <w:rPr>
                <w:rFonts w:asciiTheme="majorHAnsi" w:hAnsiTheme="majorHAnsi" w:cstheme="majorBidi"/>
                <w:sz w:val="20"/>
                <w:szCs w:val="20"/>
              </w:rPr>
              <w:t>, 2024 Bespoke data request for JSA Early Childhood Education Capacity Study</w:t>
            </w:r>
          </w:p>
        </w:tc>
      </w:tr>
      <w:tr w:rsidR="00A2332E" w:rsidRPr="003C7CD5" w14:paraId="2FA24794" w14:textId="77777777" w:rsidTr="005F6ADC">
        <w:trPr>
          <w:trHeight w:val="20"/>
        </w:trPr>
        <w:tc>
          <w:tcPr>
            <w:tcW w:w="1877" w:type="dxa"/>
            <w:tcBorders>
              <w:bottom w:val="single" w:sz="6" w:space="0" w:color="A6A6A6" w:themeColor="background1" w:themeShade="A6"/>
            </w:tcBorders>
          </w:tcPr>
          <w:p w14:paraId="5F813FCF" w14:textId="77777777" w:rsidR="00A2332E" w:rsidRPr="003C7CD5" w:rsidRDefault="00044D83" w:rsidP="005F6ADC">
            <w:pPr>
              <w:tabs>
                <w:tab w:val="left" w:pos="709"/>
              </w:tabs>
              <w:rPr>
                <w:rFonts w:asciiTheme="majorHAnsi" w:eastAsia="Arial" w:hAnsiTheme="majorHAnsi" w:cstheme="majorHAnsi"/>
                <w:sz w:val="20"/>
                <w:szCs w:val="20"/>
              </w:rPr>
            </w:pPr>
            <w:hyperlink r:id="rId245" w:history="1">
              <w:r w:rsidR="00A2332E" w:rsidRPr="00685790">
                <w:rPr>
                  <w:rStyle w:val="Hyperlink"/>
                  <w:rFonts w:asciiTheme="majorHAnsi" w:eastAsia="Arial" w:hAnsiTheme="majorHAnsi" w:cstheme="majorHAnsi"/>
                  <w:sz w:val="20"/>
                  <w:szCs w:val="20"/>
                </w:rPr>
                <w:t>VET National Data Asset (VNDA)</w:t>
              </w:r>
            </w:hyperlink>
          </w:p>
        </w:tc>
        <w:tc>
          <w:tcPr>
            <w:tcW w:w="1347" w:type="dxa"/>
            <w:tcBorders>
              <w:bottom w:val="single" w:sz="6" w:space="0" w:color="A6A6A6" w:themeColor="background1" w:themeShade="A6"/>
            </w:tcBorders>
          </w:tcPr>
          <w:p w14:paraId="7C79D4B1" w14:textId="77777777" w:rsidR="00A2332E" w:rsidRDefault="00A2332E" w:rsidP="005F6ADC">
            <w:pPr>
              <w:tabs>
                <w:tab w:val="left" w:pos="709"/>
              </w:tabs>
              <w:rPr>
                <w:rFonts w:asciiTheme="majorHAnsi" w:eastAsia="Arial" w:hAnsiTheme="majorHAnsi" w:cstheme="majorBidi"/>
                <w:sz w:val="20"/>
                <w:szCs w:val="20"/>
              </w:rPr>
            </w:pPr>
            <w:r w:rsidRPr="75C3390B">
              <w:rPr>
                <w:rFonts w:asciiTheme="majorHAnsi" w:eastAsia="Arial" w:hAnsiTheme="majorHAnsi" w:cstheme="majorBidi"/>
                <w:sz w:val="20"/>
                <w:szCs w:val="20"/>
              </w:rPr>
              <w:t>JSA</w:t>
            </w:r>
          </w:p>
        </w:tc>
        <w:tc>
          <w:tcPr>
            <w:tcW w:w="5790" w:type="dxa"/>
            <w:tcBorders>
              <w:bottom w:val="single" w:sz="6" w:space="0" w:color="A6A6A6" w:themeColor="background1" w:themeShade="A6"/>
            </w:tcBorders>
          </w:tcPr>
          <w:p w14:paraId="68E18B1A" w14:textId="77777777" w:rsidR="00A2332E" w:rsidRPr="003C7CD5" w:rsidRDefault="00A2332E" w:rsidP="005F6ADC">
            <w:pPr>
              <w:tabs>
                <w:tab w:val="left" w:pos="709"/>
              </w:tabs>
              <w:rPr>
                <w:rFonts w:eastAsia="Arial" w:cs="Arial"/>
                <w:sz w:val="20"/>
                <w:szCs w:val="20"/>
              </w:rPr>
            </w:pPr>
            <w:r w:rsidRPr="75C3390B">
              <w:rPr>
                <w:rFonts w:eastAsia="Arial" w:cs="Arial"/>
                <w:color w:val="101929"/>
                <w:sz w:val="20"/>
                <w:szCs w:val="20"/>
              </w:rPr>
              <w:t>VNDA gathers information</w:t>
            </w:r>
            <w:r>
              <w:rPr>
                <w:rFonts w:eastAsia="Arial" w:cs="Arial"/>
                <w:color w:val="101929"/>
                <w:sz w:val="20"/>
                <w:szCs w:val="20"/>
              </w:rPr>
              <w:t xml:space="preserve"> on the outcomes of VET graduates</w:t>
            </w:r>
            <w:r w:rsidRPr="75C3390B">
              <w:rPr>
                <w:rFonts w:eastAsia="Arial" w:cs="Arial"/>
                <w:color w:val="101929"/>
                <w:sz w:val="20"/>
                <w:szCs w:val="20"/>
              </w:rPr>
              <w:t xml:space="preserve"> </w:t>
            </w:r>
            <w:r>
              <w:rPr>
                <w:rFonts w:eastAsia="Arial" w:cs="Arial"/>
                <w:color w:val="101929"/>
                <w:sz w:val="20"/>
                <w:szCs w:val="20"/>
              </w:rPr>
              <w:t>using</w:t>
            </w:r>
            <w:r w:rsidRPr="75C3390B">
              <w:rPr>
                <w:rFonts w:eastAsia="Arial" w:cs="Arial"/>
                <w:color w:val="101929"/>
                <w:sz w:val="20"/>
                <w:szCs w:val="20"/>
              </w:rPr>
              <w:t xml:space="preserve"> linked administrative data. The VET Student Outcomes - Top 100 Courses report (consulted for this Study)</w:t>
            </w:r>
            <w:r>
              <w:rPr>
                <w:rFonts w:eastAsia="Arial" w:cs="Arial"/>
                <w:color w:val="101929"/>
                <w:sz w:val="20"/>
                <w:szCs w:val="20"/>
              </w:rPr>
              <w:t xml:space="preserve"> publishes key</w:t>
            </w:r>
            <w:r w:rsidRPr="75C3390B">
              <w:rPr>
                <w:rFonts w:eastAsia="Arial" w:cs="Arial"/>
                <w:color w:val="101929"/>
                <w:sz w:val="20"/>
                <w:szCs w:val="20"/>
              </w:rPr>
              <w:t xml:space="preserve"> insights into </w:t>
            </w:r>
            <w:r>
              <w:rPr>
                <w:rFonts w:eastAsia="Arial" w:cs="Arial"/>
                <w:color w:val="101929"/>
                <w:sz w:val="20"/>
                <w:szCs w:val="20"/>
              </w:rPr>
              <w:t>the 2019-20 outcomes of students who completed a VET qualification in 2018-19</w:t>
            </w:r>
            <w:r w:rsidRPr="75C3390B">
              <w:rPr>
                <w:rFonts w:eastAsia="Arial" w:cs="Arial"/>
                <w:color w:val="101929"/>
                <w:sz w:val="20"/>
                <w:szCs w:val="20"/>
              </w:rPr>
              <w:t>.</w:t>
            </w:r>
          </w:p>
        </w:tc>
      </w:tr>
      <w:tr w:rsidR="00A2332E" w:rsidRPr="003C7CD5" w14:paraId="4663B8EC" w14:textId="77777777" w:rsidTr="005F6ADC">
        <w:trPr>
          <w:trHeight w:val="20"/>
        </w:trPr>
        <w:tc>
          <w:tcPr>
            <w:tcW w:w="1877" w:type="dxa"/>
            <w:tcBorders>
              <w:top w:val="single" w:sz="6" w:space="0" w:color="A6A6A6" w:themeColor="background1" w:themeShade="A6"/>
              <w:bottom w:val="single" w:sz="4" w:space="0" w:color="auto"/>
            </w:tcBorders>
          </w:tcPr>
          <w:p w14:paraId="7FA0B827" w14:textId="77777777" w:rsidR="00A2332E" w:rsidRPr="003C7CD5" w:rsidRDefault="00A2332E" w:rsidP="005F6ADC">
            <w:pPr>
              <w:tabs>
                <w:tab w:val="left" w:pos="709"/>
              </w:tabs>
              <w:rPr>
                <w:rFonts w:asciiTheme="majorHAnsi" w:eastAsia="Arial" w:hAnsiTheme="majorHAnsi" w:cstheme="majorHAnsi"/>
                <w:sz w:val="20"/>
                <w:szCs w:val="20"/>
              </w:rPr>
            </w:pPr>
            <w:r w:rsidRPr="003C7CD5">
              <w:rPr>
                <w:rFonts w:asciiTheme="majorHAnsi" w:eastAsia="Arial" w:hAnsiTheme="majorHAnsi" w:cstheme="majorHAnsi"/>
                <w:sz w:val="20"/>
                <w:szCs w:val="20"/>
              </w:rPr>
              <w:t>Waiver Data</w:t>
            </w:r>
          </w:p>
        </w:tc>
        <w:tc>
          <w:tcPr>
            <w:tcW w:w="1347" w:type="dxa"/>
            <w:tcBorders>
              <w:top w:val="single" w:sz="6" w:space="0" w:color="A6A6A6" w:themeColor="background1" w:themeShade="A6"/>
              <w:bottom w:val="single" w:sz="4" w:space="0" w:color="auto"/>
            </w:tcBorders>
          </w:tcPr>
          <w:p w14:paraId="53C5A3A2" w14:textId="77777777" w:rsidR="00A2332E" w:rsidRPr="003C7CD5" w:rsidRDefault="00A2332E" w:rsidP="005F6ADC">
            <w:pPr>
              <w:tabs>
                <w:tab w:val="left" w:pos="709"/>
              </w:tabs>
              <w:rPr>
                <w:rFonts w:asciiTheme="majorHAnsi" w:eastAsia="Arial" w:hAnsiTheme="majorHAnsi" w:cstheme="majorHAnsi"/>
                <w:sz w:val="20"/>
                <w:szCs w:val="20"/>
              </w:rPr>
            </w:pPr>
            <w:r w:rsidRPr="003C7CD5">
              <w:rPr>
                <w:rFonts w:asciiTheme="majorHAnsi" w:eastAsia="Arial" w:hAnsiTheme="majorHAnsi" w:cstheme="majorHAnsi"/>
                <w:sz w:val="20"/>
                <w:szCs w:val="20"/>
              </w:rPr>
              <w:t>ACECQA</w:t>
            </w:r>
          </w:p>
        </w:tc>
        <w:tc>
          <w:tcPr>
            <w:tcW w:w="5790" w:type="dxa"/>
            <w:tcBorders>
              <w:top w:val="single" w:sz="6" w:space="0" w:color="A6A6A6" w:themeColor="background1" w:themeShade="A6"/>
              <w:bottom w:val="single" w:sz="4" w:space="0" w:color="auto"/>
            </w:tcBorders>
          </w:tcPr>
          <w:p w14:paraId="6023543E" w14:textId="77777777" w:rsidR="00A2332E" w:rsidRPr="003C7CD5" w:rsidRDefault="00A2332E" w:rsidP="005F6ADC">
            <w:pPr>
              <w:tabs>
                <w:tab w:val="left" w:pos="709"/>
                <w:tab w:val="center" w:pos="2793"/>
              </w:tabs>
              <w:rPr>
                <w:rFonts w:asciiTheme="majorHAnsi" w:eastAsia="Arial" w:hAnsiTheme="majorHAnsi" w:cstheme="majorBidi"/>
                <w:sz w:val="20"/>
                <w:szCs w:val="20"/>
              </w:rPr>
            </w:pPr>
            <w:r>
              <w:rPr>
                <w:rFonts w:asciiTheme="majorHAnsi" w:eastAsia="Arial" w:hAnsiTheme="majorHAnsi" w:cstheme="majorBidi"/>
                <w:sz w:val="20"/>
                <w:szCs w:val="20"/>
              </w:rPr>
              <w:t>Custom data provided to JSA on the regulatory waivers of approved providers and services to December 2023.</w:t>
            </w:r>
          </w:p>
        </w:tc>
      </w:tr>
      <w:bookmarkEnd w:id="234"/>
    </w:tbl>
    <w:p w14:paraId="7ABA0CDF" w14:textId="77777777" w:rsidR="00A2332E" w:rsidRPr="00652B6A" w:rsidRDefault="00A2332E" w:rsidP="00A2332E"/>
    <w:p w14:paraId="7C2E96B4" w14:textId="69FBFC7D" w:rsidR="009914AB" w:rsidRDefault="009914AB" w:rsidP="00C17D9C"/>
    <w:sectPr w:rsidR="009914AB" w:rsidSect="00A2332E">
      <w:headerReference w:type="even" r:id="rId246"/>
      <w:headerReference w:type="default" r:id="rId247"/>
      <w:headerReference w:type="first" r:id="rId24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21CDA9" w14:textId="77777777" w:rsidR="00A13284" w:rsidRDefault="00A13284" w:rsidP="000D6745">
      <w:r>
        <w:separator/>
      </w:r>
    </w:p>
  </w:endnote>
  <w:endnote w:type="continuationSeparator" w:id="0">
    <w:p w14:paraId="7723365A" w14:textId="77777777" w:rsidR="00A13284" w:rsidRDefault="00A13284" w:rsidP="000D6745">
      <w:r>
        <w:continuationSeparator/>
      </w:r>
    </w:p>
  </w:endnote>
  <w:endnote w:type="continuationNotice" w:id="1">
    <w:p w14:paraId="362F95ED" w14:textId="77777777" w:rsidR="00A13284" w:rsidRDefault="00A132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itali">
    <w:altName w:val="Arial"/>
    <w:panose1 w:val="00000000000000000000"/>
    <w:charset w:val="00"/>
    <w:family w:val="roman"/>
    <w:notTrueType/>
    <w:pitch w:val="default"/>
  </w:font>
  <w:font w:name="Arial Nova">
    <w:altName w:val="Arial"/>
    <w:charset w:val="00"/>
    <w:family w:val="swiss"/>
    <w:pitch w:val="variable"/>
    <w:sig w:usb0="0000028F"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9045809"/>
      <w:docPartObj>
        <w:docPartGallery w:val="Page Numbers (Bottom of Page)"/>
        <w:docPartUnique/>
      </w:docPartObj>
    </w:sdtPr>
    <w:sdtEndPr>
      <w:rPr>
        <w:noProof/>
      </w:rPr>
    </w:sdtEndPr>
    <w:sdtContent>
      <w:p w14:paraId="562F82DE" w14:textId="2F58B7AB" w:rsidR="00F22F4E" w:rsidRDefault="00B3731F" w:rsidP="00B3731F">
        <w:pPr>
          <w:pStyle w:val="Footer"/>
        </w:pPr>
        <w:r>
          <w:t xml:space="preserve">Early Childhood Education and Care </w:t>
        </w:r>
        <w:r w:rsidR="00F41469">
          <w:t xml:space="preserve">Workforce </w:t>
        </w:r>
        <w:r>
          <w:t>Capacity Study |</w:t>
        </w:r>
        <w:r w:rsidR="0055074A">
          <w:t xml:space="preserve"> </w:t>
        </w:r>
        <w:r>
          <w:fldChar w:fldCharType="begin"/>
        </w:r>
        <w:r>
          <w:instrText xml:space="preserve"> PAGE   \* MERGEFORMAT </w:instrText>
        </w:r>
        <w:r>
          <w:fldChar w:fldCharType="separate"/>
        </w:r>
        <w:r>
          <w:rPr>
            <w:noProof/>
          </w:rPr>
          <w:t>2</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B48C7A" w14:textId="77777777" w:rsidR="00F07A0B" w:rsidRPr="007A1E26" w:rsidRDefault="00044D83" w:rsidP="00A0198F">
    <w:pPr>
      <w:pStyle w:val="Footer"/>
    </w:pPr>
    <w:sdt>
      <w:sdtPr>
        <w:id w:val="-1652514414"/>
        <w:docPartObj>
          <w:docPartGallery w:val="Page Numbers (Bottom of Page)"/>
          <w:docPartUnique/>
        </w:docPartObj>
      </w:sdtPr>
      <w:sdtEndPr>
        <w:rPr>
          <w:noProof/>
        </w:rPr>
      </w:sdtEndPr>
      <w:sdtContent>
        <w:r w:rsidR="00F07A0B">
          <w:t xml:space="preserve">Early Childhood Education and Care Workforce Capacity Study | </w:t>
        </w:r>
        <w:r w:rsidR="00F07A0B">
          <w:fldChar w:fldCharType="begin"/>
        </w:r>
        <w:r w:rsidR="00F07A0B">
          <w:instrText xml:space="preserve"> PAGE   \* MERGEFORMAT </w:instrText>
        </w:r>
        <w:r w:rsidR="00F07A0B">
          <w:fldChar w:fldCharType="separate"/>
        </w:r>
        <w:r w:rsidR="00F07A0B">
          <w:t>10</w:t>
        </w:r>
        <w:r w:rsidR="00F07A0B">
          <w:rPr>
            <w:noProof/>
          </w:rPr>
          <w:fldChar w:fldCharType="end"/>
        </w:r>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6DE3FF" w14:textId="77777777" w:rsidR="00F07A0B" w:rsidRDefault="00F07A0B">
    <w:pPr>
      <w:pStyle w:val="Footer"/>
    </w:pPr>
    <w:r>
      <w:t xml:space="preserve">Early Childhood Education and Care Workforce Capacity Study | </w:t>
    </w:r>
    <w:sdt>
      <w:sdtPr>
        <w:id w:val="210892425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68313" w14:textId="77777777" w:rsidR="00F07A0B" w:rsidRDefault="00F07A0B" w:rsidP="00C17ED2">
    <w:pPr>
      <w:pStyle w:val="Footer"/>
    </w:pPr>
    <w:r>
      <w:t xml:space="preserve">Early Childhood Education and Care Workforce Capacity Study | </w:t>
    </w:r>
    <w:sdt>
      <w:sdtPr>
        <w:id w:val="-78442405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7B8D4" w14:textId="4EFA1173" w:rsidR="00694586" w:rsidRDefault="00694586" w:rsidP="00D97267">
    <w:pPr>
      <w:pStyle w:val="Footer"/>
    </w:pPr>
    <w:r>
      <w:t xml:space="preserve">Early Childhood Education and Care Workforce Capacity Study | </w:t>
    </w:r>
    <w:sdt>
      <w:sdtPr>
        <w:id w:val="-214395364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512FE" w14:textId="77777777" w:rsidR="00F07A0B" w:rsidRPr="007A1E26" w:rsidRDefault="00F07A0B" w:rsidP="00E017EE">
    <w:pPr>
      <w:pStyle w:val="Footer"/>
    </w:pPr>
    <w:r>
      <w:t xml:space="preserve">Early Childhood Education and Care Workforce Capacity Study | </w:t>
    </w:r>
    <w:sdt>
      <w:sdtPr>
        <w:id w:val="-89796960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2063778"/>
      <w:docPartObj>
        <w:docPartGallery w:val="Page Numbers (Bottom of Page)"/>
        <w:docPartUnique/>
      </w:docPartObj>
    </w:sdtPr>
    <w:sdtEndPr>
      <w:rPr>
        <w:noProof/>
      </w:rPr>
    </w:sdtEndPr>
    <w:sdtContent>
      <w:p w14:paraId="7F7D7013" w14:textId="77777777" w:rsidR="00A2332E" w:rsidRDefault="00A2332E" w:rsidP="00BA1FB6">
        <w:pPr>
          <w:pStyle w:val="Footer"/>
        </w:pPr>
        <w:r>
          <w:t xml:space="preserve">Early Childhood Education and Care Workforce Capacity Study | </w:t>
        </w:r>
        <w:r>
          <w:fldChar w:fldCharType="begin"/>
        </w:r>
        <w:r>
          <w:instrText xml:space="preserve"> PAGE   \* MERGEFORMAT </w:instrText>
        </w:r>
        <w:r>
          <w:fldChar w:fldCharType="separate"/>
        </w:r>
        <w:r>
          <w:rPr>
            <w:noProof/>
          </w:rPr>
          <w:t>2</w:t>
        </w:r>
        <w:r>
          <w:rPr>
            <w:noProof/>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F2AB91" w14:textId="77777777" w:rsidR="00A2332E" w:rsidRPr="006262EB" w:rsidRDefault="00A2332E" w:rsidP="00F977E7">
    <w:pPr>
      <w:pStyle w:val="Footer"/>
    </w:pPr>
    <w:r>
      <w:t xml:space="preserve"> Early Childhood Education and Care Workforce Capacity Study | </w:t>
    </w:r>
    <w:sdt>
      <w:sdtPr>
        <w:id w:val="21377641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1789F2" w14:textId="77777777" w:rsidR="00CB49CA" w:rsidRDefault="00CB49CA">
    <w:pPr>
      <w:pStyle w:val="Footer"/>
    </w:pPr>
    <w:r>
      <w:rPr>
        <w:noProof/>
      </w:rPr>
      <mc:AlternateContent>
        <mc:Choice Requires="wps">
          <w:drawing>
            <wp:anchor distT="0" distB="0" distL="0" distR="0" simplePos="0" relativeHeight="251655680" behindDoc="0" locked="0" layoutInCell="1" allowOverlap="1" wp14:anchorId="5EC5CEF0" wp14:editId="65A0C00D">
              <wp:simplePos x="635" y="635"/>
              <wp:positionH relativeFrom="page">
                <wp:align>center</wp:align>
              </wp:positionH>
              <wp:positionV relativeFrom="page">
                <wp:align>bottom</wp:align>
              </wp:positionV>
              <wp:extent cx="443865" cy="443865"/>
              <wp:effectExtent l="0" t="0" r="1270" b="0"/>
              <wp:wrapNone/>
              <wp:docPr id="1075873421" name="Text Box 17"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2B21CD" w14:textId="77777777" w:rsidR="00CB49CA" w:rsidRPr="00150F6D" w:rsidRDefault="00CB49CA" w:rsidP="00150F6D">
                          <w:pPr>
                            <w:spacing w:after="0"/>
                            <w:rPr>
                              <w:rFonts w:eastAsia="Arial" w:cs="Arial"/>
                              <w:noProof/>
                              <w:color w:val="FF0000"/>
                              <w:sz w:val="24"/>
                              <w:szCs w:val="24"/>
                            </w:rPr>
                          </w:pPr>
                          <w:r w:rsidRPr="00150F6D">
                            <w:rPr>
                              <w:rFonts w:eastAsia="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C5CEF0" id="_x0000_t202" coordsize="21600,21600" o:spt="202" path="m,l,21600r21600,l21600,xe">
              <v:stroke joinstyle="miter"/>
              <v:path gradientshapeok="t" o:connecttype="rect"/>
            </v:shapetype>
            <v:shape id="Text Box 17" o:spid="_x0000_s1029" type="#_x0000_t202" alt="OFFICIAL: Sensitive" style="position:absolute;left:0;text-align:left;margin-left:0;margin-top:0;width:34.95pt;height:34.95pt;z-index:2516556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7A2B21CD" w14:textId="77777777" w:rsidR="00CB49CA" w:rsidRPr="00150F6D" w:rsidRDefault="00CB49CA" w:rsidP="00150F6D">
                    <w:pPr>
                      <w:spacing w:after="0"/>
                      <w:rPr>
                        <w:rFonts w:eastAsia="Arial" w:cs="Arial"/>
                        <w:noProof/>
                        <w:color w:val="FF0000"/>
                        <w:sz w:val="24"/>
                        <w:szCs w:val="24"/>
                      </w:rPr>
                    </w:pPr>
                    <w:r w:rsidRPr="00150F6D">
                      <w:rPr>
                        <w:rFonts w:eastAsia="Arial" w:cs="Arial"/>
                        <w:noProof/>
                        <w:color w:val="FF0000"/>
                        <w:sz w:val="24"/>
                        <w:szCs w:val="24"/>
                      </w:rPr>
                      <w:t>OFFICIAL: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0543293"/>
      <w:docPartObj>
        <w:docPartGallery w:val="Page Numbers (Bottom of Page)"/>
        <w:docPartUnique/>
      </w:docPartObj>
    </w:sdtPr>
    <w:sdtEndPr>
      <w:rPr>
        <w:noProof/>
      </w:rPr>
    </w:sdtEndPr>
    <w:sdtContent>
      <w:p w14:paraId="3EE521F8" w14:textId="77777777" w:rsidR="00E33D06" w:rsidRDefault="00E33D06" w:rsidP="00E33D06">
        <w:pPr>
          <w:pStyle w:val="Footer"/>
        </w:pPr>
        <w:r>
          <w:t xml:space="preserve">Early Childhood Education and Care Workforce Capacity Study | </w:t>
        </w:r>
        <w:r>
          <w:fldChar w:fldCharType="begin"/>
        </w:r>
        <w:r>
          <w:instrText xml:space="preserve"> PAGE   \* MERGEFORMAT </w:instrText>
        </w:r>
        <w:r>
          <w:fldChar w:fldCharType="separate"/>
        </w:r>
        <w:r>
          <w:t>5</w:t>
        </w:r>
        <w:r>
          <w:rPr>
            <w:noProof/>
          </w:rPr>
          <w:fldChar w:fldCharType="end"/>
        </w:r>
      </w:p>
    </w:sdtContent>
  </w:sdt>
  <w:p w14:paraId="17456F32" w14:textId="5E16EB6A" w:rsidR="00CB49CA" w:rsidRDefault="00CB49CA" w:rsidP="00E33D06">
    <w:pPr>
      <w:pStyle w:val="Footer"/>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FE7AFD" w14:textId="77777777" w:rsidR="00CB49CA" w:rsidRDefault="00CB49CA">
    <w:pPr>
      <w:pStyle w:val="Footer"/>
    </w:pPr>
    <w:r>
      <w:rPr>
        <w:noProof/>
      </w:rPr>
      <mc:AlternateContent>
        <mc:Choice Requires="wps">
          <w:drawing>
            <wp:anchor distT="0" distB="0" distL="0" distR="0" simplePos="0" relativeHeight="251654656" behindDoc="0" locked="0" layoutInCell="1" allowOverlap="1" wp14:anchorId="30ED053D" wp14:editId="0FEEBB85">
              <wp:simplePos x="635" y="635"/>
              <wp:positionH relativeFrom="page">
                <wp:align>center</wp:align>
              </wp:positionH>
              <wp:positionV relativeFrom="page">
                <wp:align>bottom</wp:align>
              </wp:positionV>
              <wp:extent cx="443865" cy="443865"/>
              <wp:effectExtent l="0" t="0" r="1270" b="0"/>
              <wp:wrapNone/>
              <wp:docPr id="608667505" name="Text Box 16"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D4C79C" w14:textId="77777777" w:rsidR="00CB49CA" w:rsidRPr="00150F6D" w:rsidRDefault="00CB49CA" w:rsidP="00150F6D">
                          <w:pPr>
                            <w:spacing w:after="0"/>
                            <w:rPr>
                              <w:rFonts w:eastAsia="Arial" w:cs="Arial"/>
                              <w:noProof/>
                              <w:color w:val="FF0000"/>
                              <w:sz w:val="24"/>
                              <w:szCs w:val="24"/>
                            </w:rPr>
                          </w:pPr>
                          <w:r w:rsidRPr="00150F6D">
                            <w:rPr>
                              <w:rFonts w:eastAsia="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ED053D" id="_x0000_t202" coordsize="21600,21600" o:spt="202" path="m,l,21600r21600,l21600,xe">
              <v:stroke joinstyle="miter"/>
              <v:path gradientshapeok="t" o:connecttype="rect"/>
            </v:shapetype>
            <v:shape id="Text Box 16" o:spid="_x0000_s1031" type="#_x0000_t202" alt="OFFICIAL: Sensitive" style="position:absolute;left:0;text-align:left;margin-left:0;margin-top:0;width:34.95pt;height:34.95pt;z-index:2516546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1FD4C79C" w14:textId="77777777" w:rsidR="00CB49CA" w:rsidRPr="00150F6D" w:rsidRDefault="00CB49CA" w:rsidP="00150F6D">
                    <w:pPr>
                      <w:spacing w:after="0"/>
                      <w:rPr>
                        <w:rFonts w:eastAsia="Arial" w:cs="Arial"/>
                        <w:noProof/>
                        <w:color w:val="FF0000"/>
                        <w:sz w:val="24"/>
                        <w:szCs w:val="24"/>
                      </w:rPr>
                    </w:pPr>
                    <w:r w:rsidRPr="00150F6D">
                      <w:rPr>
                        <w:rFonts w:eastAsia="Arial" w:cs="Arial"/>
                        <w:noProof/>
                        <w:color w:val="FF0000"/>
                        <w:sz w:val="24"/>
                        <w:szCs w:val="24"/>
                      </w:rPr>
                      <w:t>OFFICIAL: Sensitive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5BC81F" w14:textId="77777777" w:rsidR="00BB12AD" w:rsidRDefault="00BB12AD">
    <w:pPr>
      <w:pStyle w:val="Footer"/>
    </w:pPr>
    <w:r>
      <w:rPr>
        <w:noProof/>
      </w:rPr>
      <mc:AlternateContent>
        <mc:Choice Requires="wps">
          <w:drawing>
            <wp:anchor distT="0" distB="0" distL="0" distR="0" simplePos="0" relativeHeight="251650560" behindDoc="0" locked="0" layoutInCell="1" allowOverlap="1" wp14:anchorId="06597B49" wp14:editId="34736C40">
              <wp:simplePos x="635" y="635"/>
              <wp:positionH relativeFrom="page">
                <wp:align>center</wp:align>
              </wp:positionH>
              <wp:positionV relativeFrom="page">
                <wp:align>bottom</wp:align>
              </wp:positionV>
              <wp:extent cx="443865" cy="443865"/>
              <wp:effectExtent l="0" t="0" r="1270" b="0"/>
              <wp:wrapNone/>
              <wp:docPr id="1382226714" name="Text Box 17"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4985F3" w14:textId="77777777" w:rsidR="00BB12AD" w:rsidRPr="00150F6D" w:rsidRDefault="00BB12AD" w:rsidP="008056A2">
                          <w:pPr>
                            <w:spacing w:after="0"/>
                            <w:rPr>
                              <w:rFonts w:eastAsia="Arial" w:cs="Arial"/>
                              <w:noProof/>
                              <w:color w:val="FF0000"/>
                              <w:sz w:val="24"/>
                              <w:szCs w:val="24"/>
                            </w:rPr>
                          </w:pPr>
                          <w:r w:rsidRPr="00150F6D">
                            <w:rPr>
                              <w:rFonts w:eastAsia="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597B49" id="_x0000_t202" coordsize="21600,21600" o:spt="202" path="m,l,21600r21600,l21600,xe">
              <v:stroke joinstyle="miter"/>
              <v:path gradientshapeok="t" o:connecttype="rect"/>
            </v:shapetype>
            <v:shape id="_x0000_s1034" type="#_x0000_t202" alt="OFFICIAL: Sensitive" style="position:absolute;left:0;text-align:left;margin-left:0;margin-top:0;width:34.95pt;height:34.95pt;z-index:2516505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wgpOoLAgAAHAQAAA4A&#10;AAAAAAAAAAAAAAAALgIAAGRycy9lMm9Eb2MueG1sUEsBAi0AFAAGAAgAAAAhADft0fjZAAAAAwEA&#10;AA8AAAAAAAAAAAAAAAAAZQQAAGRycy9kb3ducmV2LnhtbFBLBQYAAAAABAAEAPMAAABrBQAAAAA=&#10;" filled="f" stroked="f">
              <v:textbox style="mso-fit-shape-to-text:t" inset="0,0,0,15pt">
                <w:txbxContent>
                  <w:p w14:paraId="554985F3" w14:textId="77777777" w:rsidR="00BB12AD" w:rsidRPr="00150F6D" w:rsidRDefault="00BB12AD" w:rsidP="008056A2">
                    <w:pPr>
                      <w:spacing w:after="0"/>
                      <w:rPr>
                        <w:rFonts w:eastAsia="Arial" w:cs="Arial"/>
                        <w:noProof/>
                        <w:color w:val="FF0000"/>
                        <w:sz w:val="24"/>
                        <w:szCs w:val="24"/>
                      </w:rPr>
                    </w:pPr>
                    <w:r w:rsidRPr="00150F6D">
                      <w:rPr>
                        <w:rFonts w:eastAsia="Arial" w:cs="Arial"/>
                        <w:noProof/>
                        <w:color w:val="FF0000"/>
                        <w:sz w:val="24"/>
                        <w:szCs w:val="24"/>
                      </w:rPr>
                      <w:t>OFFICIAL: Sensitive</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0C8301" w14:textId="77777777" w:rsidR="00BB12AD" w:rsidRDefault="00BB12AD">
    <w:pPr>
      <w:pStyle w:val="Footer"/>
    </w:pPr>
    <w:r>
      <w:rPr>
        <w:noProof/>
      </w:rPr>
      <mc:AlternateContent>
        <mc:Choice Requires="wps">
          <w:drawing>
            <wp:anchor distT="0" distB="0" distL="0" distR="0" simplePos="0" relativeHeight="251649536" behindDoc="0" locked="0" layoutInCell="1" allowOverlap="1" wp14:anchorId="0A5B9836" wp14:editId="085EB5DC">
              <wp:simplePos x="635" y="635"/>
              <wp:positionH relativeFrom="page">
                <wp:align>center</wp:align>
              </wp:positionH>
              <wp:positionV relativeFrom="page">
                <wp:align>bottom</wp:align>
              </wp:positionV>
              <wp:extent cx="443865" cy="443865"/>
              <wp:effectExtent l="0" t="0" r="1270" b="0"/>
              <wp:wrapNone/>
              <wp:docPr id="1700185256" name="Text Box 16"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DBD56C" w14:textId="77777777" w:rsidR="00BB12AD" w:rsidRPr="00150F6D" w:rsidRDefault="00BB12AD" w:rsidP="008056A2">
                          <w:pPr>
                            <w:spacing w:after="0"/>
                            <w:rPr>
                              <w:rFonts w:eastAsia="Arial" w:cs="Arial"/>
                              <w:noProof/>
                              <w:color w:val="FF0000"/>
                              <w:sz w:val="24"/>
                              <w:szCs w:val="24"/>
                            </w:rPr>
                          </w:pPr>
                          <w:r w:rsidRPr="00150F6D">
                            <w:rPr>
                              <w:rFonts w:eastAsia="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5B9836" id="_x0000_t202" coordsize="21600,21600" o:spt="202" path="m,l,21600r21600,l21600,xe">
              <v:stroke joinstyle="miter"/>
              <v:path gradientshapeok="t" o:connecttype="rect"/>
            </v:shapetype>
            <v:shape id="_x0000_s1036" type="#_x0000_t202" alt="OFFICIAL: Sensitive" style="position:absolute;left:0;text-align:left;margin-left:0;margin-top:0;width:34.95pt;height:34.95pt;z-index:2516495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50DBD56C" w14:textId="77777777" w:rsidR="00BB12AD" w:rsidRPr="00150F6D" w:rsidRDefault="00BB12AD" w:rsidP="008056A2">
                    <w:pPr>
                      <w:spacing w:after="0"/>
                      <w:rPr>
                        <w:rFonts w:eastAsia="Arial" w:cs="Arial"/>
                        <w:noProof/>
                        <w:color w:val="FF0000"/>
                        <w:sz w:val="24"/>
                        <w:szCs w:val="24"/>
                      </w:rPr>
                    </w:pPr>
                    <w:r w:rsidRPr="00150F6D">
                      <w:rPr>
                        <w:rFonts w:eastAsia="Arial" w:cs="Arial"/>
                        <w:noProof/>
                        <w:color w:val="FF0000"/>
                        <w:sz w:val="24"/>
                        <w:szCs w:val="24"/>
                      </w:rPr>
                      <w:t>OFFICIAL: Sensitive</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5E8899" w14:textId="77777777" w:rsidR="004A6BF1" w:rsidRDefault="004A6BF1" w:rsidP="0045729F">
    <w:pPr>
      <w:pStyle w:val="Footer"/>
    </w:pPr>
    <w:r>
      <w:t xml:space="preserve">Early Childhood Education and Care Workforce Capacity Study | </w:t>
    </w:r>
    <w:sdt>
      <w:sdtPr>
        <w:id w:val="-51237593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E3A720" w14:textId="77777777" w:rsidR="00F07A0B" w:rsidRDefault="00044D83">
    <w:pPr>
      <w:pStyle w:val="Footer"/>
    </w:pPr>
    <w:sdt>
      <w:sdtPr>
        <w:id w:val="2026893920"/>
        <w:docPartObj>
          <w:docPartGallery w:val="Page Numbers (Bottom of Page)"/>
          <w:docPartUnique/>
        </w:docPartObj>
      </w:sdtPr>
      <w:sdtEndPr>
        <w:rPr>
          <w:noProof/>
        </w:rPr>
      </w:sdtEndPr>
      <w:sdtContent>
        <w:r w:rsidR="00F07A0B">
          <w:t xml:space="preserve">Early Childhood Education and Care Workforce Study | </w:t>
        </w:r>
        <w:r w:rsidR="00F07A0B">
          <w:fldChar w:fldCharType="begin"/>
        </w:r>
        <w:r w:rsidR="00F07A0B">
          <w:instrText xml:space="preserve"> PAGE   \* MERGEFORMAT </w:instrText>
        </w:r>
        <w:r w:rsidR="00F07A0B">
          <w:fldChar w:fldCharType="separate"/>
        </w:r>
        <w:r w:rsidR="00F07A0B">
          <w:t>7</w:t>
        </w:r>
        <w:r w:rsidR="00F07A0B">
          <w:rPr>
            <w:noProof/>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66225F" w14:textId="77777777" w:rsidR="00F07A0B" w:rsidRPr="007A1E26" w:rsidRDefault="00044D83" w:rsidP="0009600F">
    <w:pPr>
      <w:pStyle w:val="Footer"/>
    </w:pPr>
    <w:sdt>
      <w:sdtPr>
        <w:id w:val="1615635699"/>
        <w:docPartObj>
          <w:docPartGallery w:val="Page Numbers (Bottom of Page)"/>
          <w:docPartUnique/>
        </w:docPartObj>
      </w:sdtPr>
      <w:sdtEndPr>
        <w:rPr>
          <w:noProof/>
        </w:rPr>
      </w:sdtEndPr>
      <w:sdtContent>
        <w:r w:rsidR="00F07A0B">
          <w:t xml:space="preserve">Early Childhood Education and Care Workforce Capacity Study | </w:t>
        </w:r>
        <w:r w:rsidR="00F07A0B">
          <w:fldChar w:fldCharType="begin"/>
        </w:r>
        <w:r w:rsidR="00F07A0B">
          <w:instrText xml:space="preserve"> PAGE   \* MERGEFORMAT </w:instrText>
        </w:r>
        <w:r w:rsidR="00F07A0B">
          <w:fldChar w:fldCharType="separate"/>
        </w:r>
        <w:r w:rsidR="00F07A0B">
          <w:t>10</w:t>
        </w:r>
        <w:r w:rsidR="00F07A0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E0FF77" w14:textId="77777777" w:rsidR="00A13284" w:rsidRDefault="00A13284" w:rsidP="000D6745">
      <w:r>
        <w:separator/>
      </w:r>
    </w:p>
  </w:footnote>
  <w:footnote w:type="continuationSeparator" w:id="0">
    <w:p w14:paraId="2D006F60" w14:textId="77777777" w:rsidR="00A13284" w:rsidRDefault="00A13284" w:rsidP="000D6745">
      <w:r>
        <w:continuationSeparator/>
      </w:r>
    </w:p>
  </w:footnote>
  <w:footnote w:type="continuationNotice" w:id="1">
    <w:p w14:paraId="76FD1420" w14:textId="77777777" w:rsidR="00A13284" w:rsidRDefault="00A13284">
      <w:pPr>
        <w:spacing w:after="0" w:line="240" w:lineRule="auto"/>
      </w:pPr>
    </w:p>
  </w:footnote>
  <w:footnote w:id="2">
    <w:p w14:paraId="48934552" w14:textId="77777777" w:rsidR="00CB49CA" w:rsidRDefault="00CB49CA" w:rsidP="00CB49CA">
      <w:pPr>
        <w:pStyle w:val="FootnoteText"/>
      </w:pPr>
      <w:r>
        <w:rPr>
          <w:rStyle w:val="FootnoteReference"/>
        </w:rPr>
        <w:footnoteRef/>
      </w:r>
      <w:r>
        <w:t xml:space="preserve"> As indicated by a </w:t>
      </w:r>
      <w:r w:rsidRPr="00AB4A5E">
        <w:t>Core Activity Need for Assistance</w:t>
      </w:r>
      <w:r>
        <w:t xml:space="preserve"> in the ABS Census 2021. The census does not publish disability statistics, however, need for assistance can be used as a proxy. Need for assistance includes short- and long-term health conditions, disability, old or young age, and difficulty with English.</w:t>
      </w:r>
    </w:p>
  </w:footnote>
  <w:footnote w:id="3">
    <w:p w14:paraId="54D72737" w14:textId="77777777" w:rsidR="00CB49CA" w:rsidRPr="009C15A5" w:rsidRDefault="00CB49CA" w:rsidP="00CB49CA">
      <w:pPr>
        <w:rPr>
          <w:sz w:val="20"/>
          <w:szCs w:val="20"/>
        </w:rPr>
      </w:pPr>
      <w:r>
        <w:rPr>
          <w:rStyle w:val="FootnoteReference"/>
        </w:rPr>
        <w:footnoteRef/>
      </w:r>
      <w:r>
        <w:t xml:space="preserve"> Award - </w:t>
      </w:r>
      <w:r w:rsidRPr="009C15A5">
        <w:rPr>
          <w:sz w:val="20"/>
          <w:szCs w:val="20"/>
        </w:rPr>
        <w:t>Children’s Services Award 2010</w:t>
      </w:r>
    </w:p>
    <w:p w14:paraId="5D084D4F" w14:textId="77777777" w:rsidR="00CB49CA" w:rsidRDefault="00CB49CA" w:rsidP="00CB49CA">
      <w:pPr>
        <w:pStyle w:val="FootnoteText"/>
      </w:pPr>
    </w:p>
  </w:footnote>
  <w:footnote w:id="4">
    <w:p w14:paraId="228AB1DB" w14:textId="77777777" w:rsidR="00CB49CA" w:rsidRDefault="00CB49CA" w:rsidP="00CB49CA">
      <w:pPr>
        <w:pStyle w:val="FootnoteText"/>
      </w:pPr>
      <w:r>
        <w:rPr>
          <w:rStyle w:val="FootnoteReference"/>
        </w:rPr>
        <w:footnoteRef/>
      </w:r>
      <w:r>
        <w:t xml:space="preserve"> SWA Data for 2021-22 are preliminary (denoted by a ‘p’) and subject to revision in future years as further claims are finalised. 'Serious claims' are claims involving one working week or more off work.</w:t>
      </w:r>
    </w:p>
  </w:footnote>
  <w:footnote w:id="5">
    <w:p w14:paraId="3DD5F673" w14:textId="77777777" w:rsidR="00CB49CA" w:rsidRDefault="00CB49CA" w:rsidP="00CB49CA">
      <w:pPr>
        <w:pStyle w:val="FootnoteText"/>
      </w:pPr>
      <w:r>
        <w:rPr>
          <w:rStyle w:val="FootnoteReference"/>
        </w:rPr>
        <w:footnoteRef/>
      </w:r>
      <w:r>
        <w:t xml:space="preserve"> </w:t>
      </w:r>
      <w:r w:rsidRPr="00BA2CF8">
        <w:t>https://ielts.com.au/australia</w:t>
      </w:r>
    </w:p>
  </w:footnote>
  <w:footnote w:id="6">
    <w:p w14:paraId="672E26C0" w14:textId="77777777" w:rsidR="004A6BF1" w:rsidRDefault="004A6BF1" w:rsidP="004A6BF1">
      <w:pPr>
        <w:pStyle w:val="FootnoteText"/>
      </w:pPr>
      <w:r>
        <w:rPr>
          <w:rStyle w:val="FootnoteReference"/>
        </w:rPr>
        <w:footnoteRef/>
      </w:r>
      <w:r>
        <w:t xml:space="preserve"> Private not for profit includes community managed and other organisations.</w:t>
      </w:r>
    </w:p>
  </w:footnote>
  <w:footnote w:id="7">
    <w:p w14:paraId="709172FB" w14:textId="77777777" w:rsidR="004A6BF1" w:rsidRDefault="004A6BF1" w:rsidP="004A6BF1">
      <w:pPr>
        <w:pStyle w:val="FootnoteText"/>
      </w:pPr>
      <w:r>
        <w:rPr>
          <w:rStyle w:val="FootnoteReference"/>
        </w:rPr>
        <w:footnoteRef/>
      </w:r>
      <w:r>
        <w:t xml:space="preserve"> Other schools include Independent and Catholic schools.</w:t>
      </w:r>
    </w:p>
  </w:footnote>
  <w:footnote w:id="8">
    <w:p w14:paraId="16F50238" w14:textId="77777777" w:rsidR="004A6BF1" w:rsidRDefault="004A6BF1" w:rsidP="004A6BF1">
      <w:pPr>
        <w:pStyle w:val="FootnoteText"/>
      </w:pPr>
      <w:r>
        <w:rPr>
          <w:rStyle w:val="FootnoteReference"/>
        </w:rPr>
        <w:footnoteRef/>
      </w:r>
      <w:r>
        <w:t xml:space="preserve"> Includes children who attended a preschool program within a CBDC service.</w:t>
      </w:r>
    </w:p>
  </w:footnote>
  <w:footnote w:id="9">
    <w:p w14:paraId="5062DBB6" w14:textId="77777777" w:rsidR="004A6BF1" w:rsidRDefault="004A6BF1" w:rsidP="004A6BF1">
      <w:pPr>
        <w:pStyle w:val="FootnoteText"/>
      </w:pPr>
      <w:r>
        <w:rPr>
          <w:rStyle w:val="FootnoteReference"/>
        </w:rPr>
        <w:footnoteRef/>
      </w:r>
      <w:r>
        <w:t xml:space="preserve"> In some cases, data cited in this report includes some positions that are out of scope. This is indicated in the relevant notes.</w:t>
      </w:r>
    </w:p>
  </w:footnote>
  <w:footnote w:id="10">
    <w:p w14:paraId="5F43F9EC" w14:textId="77777777" w:rsidR="00BC3D30" w:rsidRDefault="00BC3D30" w:rsidP="00BC3D30">
      <w:pPr>
        <w:pStyle w:val="FootnoteText"/>
      </w:pPr>
      <w:r>
        <w:rPr>
          <w:rStyle w:val="FootnoteReference"/>
        </w:rPr>
        <w:footnoteRef/>
      </w:r>
      <w:r>
        <w:t xml:space="preserve"> Where possible, analysis includes FDC and IHC. However, the data is limited and incomplete in a number of key aspects, including </w:t>
      </w:r>
      <w:r w:rsidRPr="005E2179">
        <w:t xml:space="preserve">location </w:t>
      </w:r>
      <w:r w:rsidRPr="002050F3">
        <w:rPr>
          <w:rFonts w:cs="Arial"/>
          <w:color w:val="000000"/>
          <w:shd w:val="clear" w:color="auto" w:fill="FFFFFF"/>
        </w:rPr>
        <w:t>(for example, an FDC ‘service’ can be responsible for several family day care homes or venues that aren’t separately recorded in the data</w:t>
      </w:r>
      <w:proofErr w:type="gramStart"/>
      <w:r w:rsidRPr="002050F3">
        <w:rPr>
          <w:rFonts w:cs="Arial"/>
          <w:color w:val="000000"/>
          <w:shd w:val="clear" w:color="auto" w:fill="FFFFFF"/>
        </w:rPr>
        <w:t>)</w:t>
      </w:r>
      <w:r>
        <w:rPr>
          <w:rStyle w:val="eop"/>
          <w:rFonts w:ascii="Calibri Light" w:hAnsi="Calibri Light" w:cs="Calibri Light"/>
          <w:color w:val="000000"/>
          <w:sz w:val="22"/>
          <w:szCs w:val="22"/>
          <w:shd w:val="clear" w:color="auto" w:fill="FFFFFF"/>
        </w:rPr>
        <w:t> </w:t>
      </w:r>
      <w:r>
        <w:t>.</w:t>
      </w:r>
      <w:proofErr w:type="gramEnd"/>
      <w:r>
        <w:t xml:space="preserve"> </w:t>
      </w:r>
    </w:p>
  </w:footnote>
  <w:footnote w:id="11">
    <w:p w14:paraId="4DD7B138" w14:textId="77777777" w:rsidR="00BC3D30" w:rsidRDefault="00BC3D30" w:rsidP="00BC3D30">
      <w:pPr>
        <w:pStyle w:val="FootnoteText"/>
      </w:pPr>
      <w:r w:rsidRPr="5F7153D7">
        <w:rPr>
          <w:rStyle w:val="FootnoteReference"/>
        </w:rPr>
        <w:footnoteRef/>
      </w:r>
      <w:r>
        <w:t xml:space="preserve"> Due to small counts this figure omits IHC, which accounts for almost 0.4% of services and 0.5% of workers.</w:t>
      </w:r>
    </w:p>
  </w:footnote>
  <w:footnote w:id="12">
    <w:p w14:paraId="66B68D0E" w14:textId="77777777" w:rsidR="00BC3D30" w:rsidRPr="006425DE" w:rsidRDefault="00BC3D30" w:rsidP="00BC3D30">
      <w:pPr>
        <w:pStyle w:val="FootnoteText"/>
        <w:rPr>
          <w:rFonts w:asciiTheme="majorHAnsi" w:hAnsiTheme="majorHAnsi" w:cstheme="majorBidi"/>
        </w:rPr>
      </w:pPr>
      <w:r w:rsidRPr="006425DE">
        <w:rPr>
          <w:rStyle w:val="FootnoteReference"/>
        </w:rPr>
        <w:footnoteRef/>
      </w:r>
      <w:r w:rsidRPr="006425DE">
        <w:t xml:space="preserve"> </w:t>
      </w:r>
      <w:r w:rsidRPr="006425DE">
        <w:rPr>
          <w:rFonts w:asciiTheme="majorHAnsi" w:hAnsiTheme="majorHAnsi" w:cstheme="majorHAnsi"/>
        </w:rPr>
        <w:t>Number of children using care constructed using CCS (“Count of children in the service in the last 4 weeks of June”; 2019 and 2021) and NWC (“Number of children attending during reference week”; 2013 and 2016) data used to construct the number of children using care. Both data sets do not account for children who attend more than one care type within the reference period. ABS ERP data used to construct the total number of children.</w:t>
      </w:r>
      <w:r w:rsidRPr="006425DE">
        <w:rPr>
          <w:rFonts w:asciiTheme="majorHAnsi" w:hAnsiTheme="majorHAnsi" w:cstheme="majorBidi"/>
        </w:rPr>
        <w:t xml:space="preserve"> </w:t>
      </w:r>
    </w:p>
  </w:footnote>
  <w:footnote w:id="13">
    <w:p w14:paraId="044E3884" w14:textId="77777777" w:rsidR="00BC3D30" w:rsidRDefault="00BC3D30" w:rsidP="00BC3D30">
      <w:pPr>
        <w:pStyle w:val="FootnoteText"/>
      </w:pPr>
      <w:r w:rsidRPr="006425DE">
        <w:rPr>
          <w:rStyle w:val="FootnoteReference"/>
        </w:rPr>
        <w:footnoteRef/>
      </w:r>
      <w:r w:rsidRPr="006425DE">
        <w:t xml:space="preserve"> Source: ABS, Preschool Education and ERP (Q3). Approximately 23% of </w:t>
      </w:r>
      <w:proofErr w:type="gramStart"/>
      <w:r w:rsidRPr="006425DE">
        <w:t>5 year olds</w:t>
      </w:r>
      <w:proofErr w:type="gramEnd"/>
      <w:r w:rsidRPr="006425DE">
        <w:t xml:space="preserve"> and 2% of 6 years olds were enrolled in 2021.</w:t>
      </w:r>
    </w:p>
  </w:footnote>
  <w:footnote w:id="14">
    <w:p w14:paraId="47DADF0B" w14:textId="5464D0F0" w:rsidR="00BC3D30" w:rsidRDefault="00BC3D30" w:rsidP="00887E52">
      <w:pPr>
        <w:pStyle w:val="FootnoteText"/>
      </w:pPr>
      <w:r>
        <w:rPr>
          <w:rStyle w:val="FootnoteReference"/>
        </w:rPr>
        <w:footnoteRef/>
      </w:r>
      <w:r>
        <w:t xml:space="preserve"> </w:t>
      </w:r>
      <w:r w:rsidRPr="006425DE">
        <w:t>CCS attendance data used to construct number of children using ECEC. Total number of children by age group and remoteness constructed by upscaling Census remoteness by single year of age to match ERP remoteness by age group (0-4, 5-9, 10-14).</w:t>
      </w:r>
    </w:p>
  </w:footnote>
  <w:footnote w:id="15">
    <w:p w14:paraId="32AB8097" w14:textId="77777777" w:rsidR="00BC3D30" w:rsidRDefault="00BC3D30" w:rsidP="00BC3D30">
      <w:pPr>
        <w:pStyle w:val="FootnoteText"/>
      </w:pPr>
      <w:r>
        <w:rPr>
          <w:rStyle w:val="FootnoteReference"/>
        </w:rPr>
        <w:footnoteRef/>
      </w:r>
      <w:r>
        <w:t xml:space="preserve"> </w:t>
      </w:r>
      <w:r w:rsidRPr="006425DE">
        <w:t xml:space="preserve">To determine proportions of children enrolled in a preschool program, </w:t>
      </w:r>
      <w:r>
        <w:t>ABS ‘</w:t>
      </w:r>
      <w:r w:rsidRPr="006425DE">
        <w:t>Preschool Education</w:t>
      </w:r>
      <w:r>
        <w:t>’</w:t>
      </w:r>
      <w:r w:rsidRPr="006425DE">
        <w:t xml:space="preserve"> was used to provide the numerator (number of children enrolled in a preschool program). The total number of children aged 3, 4, and 5 years was constructed by upscaling the census population by remoteness and single year of age using the ERP population by age group (0-4 years and 5-9 years). </w:t>
      </w:r>
    </w:p>
  </w:footnote>
  <w:footnote w:id="16">
    <w:p w14:paraId="7870E14A" w14:textId="77777777" w:rsidR="00BC3D30" w:rsidRDefault="00BC3D30" w:rsidP="00BC3D30">
      <w:pPr>
        <w:pStyle w:val="FootnoteText"/>
      </w:pPr>
      <w:r>
        <w:rPr>
          <w:rStyle w:val="FootnoteReference"/>
        </w:rPr>
        <w:footnoteRef/>
      </w:r>
      <w:r>
        <w:t xml:space="preserve"> </w:t>
      </w:r>
      <w:r w:rsidRPr="009B3D43">
        <w:rPr>
          <w:rFonts w:cs="Arial"/>
        </w:rPr>
        <w:t>Several exceptions apply, see ACECQA website for details.</w:t>
      </w:r>
    </w:p>
  </w:footnote>
  <w:footnote w:id="17">
    <w:p w14:paraId="1D7FDC2E" w14:textId="77777777" w:rsidR="00BC3D30" w:rsidRDefault="00BC3D30" w:rsidP="00BC3D30">
      <w:pPr>
        <w:pStyle w:val="FootnoteText"/>
      </w:pPr>
      <w:r>
        <w:rPr>
          <w:rStyle w:val="FootnoteReference"/>
        </w:rPr>
        <w:footnoteRef/>
      </w:r>
      <w:r>
        <w:t xml:space="preserve"> The ability for FDC services to employ educators ‘working towards’ their qualification was removed for all new educators from 1 July 2023. </w:t>
      </w:r>
    </w:p>
  </w:footnote>
  <w:footnote w:id="18">
    <w:p w14:paraId="4D2E93C5" w14:textId="77777777" w:rsidR="00BC3D30" w:rsidRDefault="00BC3D30" w:rsidP="00BC3D30">
      <w:pPr>
        <w:pStyle w:val="FootnoteText"/>
      </w:pPr>
      <w:r>
        <w:rPr>
          <w:rStyle w:val="FootnoteReference"/>
        </w:rPr>
        <w:footnoteRef/>
      </w:r>
      <w:r>
        <w:t xml:space="preserve"> Services may hold or be issued multiple waivers for different regulations. </w:t>
      </w:r>
    </w:p>
  </w:footnote>
  <w:footnote w:id="19">
    <w:p w14:paraId="0EE7DC36" w14:textId="77777777" w:rsidR="00BC3D30" w:rsidRDefault="00BC3D30" w:rsidP="00BC3D30">
      <w:pPr>
        <w:pStyle w:val="FootnoteText"/>
      </w:pPr>
      <w:r>
        <w:rPr>
          <w:rStyle w:val="FootnoteReference"/>
        </w:rPr>
        <w:footnoteRef/>
      </w:r>
      <w:r>
        <w:t xml:space="preserve"> A full breakdown of provider management type is outlined in the subsection below.</w:t>
      </w:r>
    </w:p>
  </w:footnote>
  <w:footnote w:id="20">
    <w:p w14:paraId="6FF7CFD1" w14:textId="77777777" w:rsidR="00BC3D30" w:rsidRDefault="00BC3D30" w:rsidP="00BC3D30">
      <w:pPr>
        <w:pStyle w:val="FootnoteText"/>
      </w:pPr>
      <w:r>
        <w:rPr>
          <w:rStyle w:val="FootnoteReference"/>
        </w:rPr>
        <w:footnoteRef/>
      </w:r>
      <w:r>
        <w:t xml:space="preserve"> For-profit status identified as the provider management type “Private for profit”</w:t>
      </w:r>
    </w:p>
  </w:footnote>
  <w:footnote w:id="21">
    <w:p w14:paraId="10EC7AB7" w14:textId="77777777" w:rsidR="00BC3D30" w:rsidRDefault="00BC3D30" w:rsidP="00BC3D30">
      <w:pPr>
        <w:pStyle w:val="FootnoteText"/>
      </w:pPr>
      <w:r>
        <w:rPr>
          <w:rStyle w:val="FootnoteReference"/>
        </w:rPr>
        <w:footnoteRef/>
      </w:r>
      <w:r>
        <w:t xml:space="preserve"> FDCs and IHCs operate in potentially multiple locations associated with a single registered service.</w:t>
      </w:r>
    </w:p>
  </w:footnote>
  <w:footnote w:id="22">
    <w:p w14:paraId="5B2C86A3" w14:textId="77777777" w:rsidR="00BC3D30" w:rsidRDefault="00BC3D30" w:rsidP="00BC3D30">
      <w:pPr>
        <w:pStyle w:val="FootnoteText"/>
      </w:pPr>
      <w:r>
        <w:rPr>
          <w:rStyle w:val="FootnoteReference"/>
        </w:rPr>
        <w:footnoteRef/>
      </w:r>
      <w:r>
        <w:t xml:space="preserve"> The ACECQA data does not include IHC services. ‘PSK’ and ‘Other’ services have been omitted (the majority of which could not be matched to other administrative data sources), as have a very small proportion with management type ‘Other’.</w:t>
      </w:r>
    </w:p>
  </w:footnote>
  <w:footnote w:id="23">
    <w:p w14:paraId="5635F1FB" w14:textId="77777777" w:rsidR="00BC3D30" w:rsidRDefault="00BC3D30" w:rsidP="00BC3D30">
      <w:pPr>
        <w:pStyle w:val="FootnoteText"/>
      </w:pPr>
      <w:r>
        <w:rPr>
          <w:rStyle w:val="FootnoteReference"/>
        </w:rPr>
        <w:footnoteRef/>
      </w:r>
      <w:r>
        <w:t xml:space="preserve"> </w:t>
      </w:r>
      <w:r>
        <w:rPr>
          <w:rFonts w:cs="Arial"/>
        </w:rPr>
        <w:t>Excludes children who attended multiple provider types (around 8% of enrolled children).</w:t>
      </w:r>
    </w:p>
  </w:footnote>
  <w:footnote w:id="24">
    <w:p w14:paraId="6E91110F" w14:textId="77777777" w:rsidR="00BC3D30" w:rsidRDefault="00BC3D30" w:rsidP="00BC3D30">
      <w:pPr>
        <w:pStyle w:val="FootnoteText"/>
      </w:pPr>
      <w:r>
        <w:rPr>
          <w:rStyle w:val="FootnoteReference"/>
        </w:rPr>
        <w:footnoteRef/>
      </w:r>
      <w:r>
        <w:t xml:space="preserve"> For CBDC, these are Goodstart Early Learning, G8 Education, Affinity Education, Guardian Community Early Learning Centres, and Think Childcare Services. For OSHC, these are Camp Australia, OSHClub, TheirCare, Team Holiday, and the Roman Catholic Archdiocese of Brisbane.</w:t>
      </w:r>
    </w:p>
  </w:footnote>
  <w:footnote w:id="25">
    <w:p w14:paraId="4E485559" w14:textId="77777777" w:rsidR="00BC3D30" w:rsidRDefault="00BC3D30" w:rsidP="00BC3D30">
      <w:pPr>
        <w:pStyle w:val="FootnoteText"/>
      </w:pPr>
      <w:r w:rsidRPr="25ED7569">
        <w:rPr>
          <w:rStyle w:val="FootnoteReference"/>
        </w:rPr>
        <w:footnoteRef/>
      </w:r>
      <w:r>
        <w:t xml:space="preserve"> This resource helps families find suitable services and guides them through the process: </w:t>
      </w:r>
      <w:hyperlink r:id="rId1" w:history="1">
        <w:r w:rsidRPr="25ED7569">
          <w:rPr>
            <w:rStyle w:val="Hyperlink"/>
          </w:rPr>
          <w:t>Home | Early Childhood Education &amp; Care | StartingBlocks.gov.au</w:t>
        </w:r>
      </w:hyperlink>
    </w:p>
  </w:footnote>
  <w:footnote w:id="26">
    <w:p w14:paraId="47FF1C8F" w14:textId="77777777" w:rsidR="00BC3D30" w:rsidRDefault="00BC3D30" w:rsidP="00BC3D30">
      <w:pPr>
        <w:pStyle w:val="FootnoteText"/>
      </w:pPr>
      <w:r>
        <w:rPr>
          <w:rStyle w:val="FootnoteReference"/>
        </w:rPr>
        <w:footnoteRef/>
      </w:r>
      <w:r>
        <w:t xml:space="preserve"> Average occupancy calculated for services that have some additional capacity.</w:t>
      </w:r>
    </w:p>
  </w:footnote>
  <w:footnote w:id="27">
    <w:p w14:paraId="20F78300" w14:textId="77777777" w:rsidR="00BC3D30" w:rsidRDefault="00BC3D30" w:rsidP="00BC3D30">
      <w:pPr>
        <w:pStyle w:val="FootnoteText"/>
      </w:pPr>
      <w:r>
        <w:rPr>
          <w:rStyle w:val="FootnoteReference"/>
        </w:rPr>
        <w:footnoteRef/>
      </w:r>
      <w:r>
        <w:t xml:space="preserve"> Not pictured. Calculated based on responses in the NWC to “</w:t>
      </w:r>
      <w:r w:rsidRPr="008247BF">
        <w:t>Maximum number of children to whom care is offered at any one time</w:t>
      </w:r>
      <w:r>
        <w:t>”.</w:t>
      </w:r>
    </w:p>
  </w:footnote>
  <w:footnote w:id="28">
    <w:p w14:paraId="526963CD" w14:textId="77777777" w:rsidR="00BC3D30" w:rsidRDefault="00BC3D30" w:rsidP="00BC3D30">
      <w:pPr>
        <w:pStyle w:val="FootnoteText"/>
      </w:pPr>
      <w:r>
        <w:rPr>
          <w:rStyle w:val="FootnoteReference"/>
        </w:rPr>
        <w:footnoteRef/>
      </w:r>
      <w:r>
        <w:t xml:space="preserve"> If, for example, service providers </w:t>
      </w:r>
      <w:proofErr w:type="gramStart"/>
      <w:r>
        <w:t>are able to</w:t>
      </w:r>
      <w:proofErr w:type="gramEnd"/>
      <w:r>
        <w:t xml:space="preserve"> use staff across a number of individual centres to accommodate temporary demand fluctuations.</w:t>
      </w:r>
    </w:p>
  </w:footnote>
  <w:footnote w:id="29">
    <w:p w14:paraId="75ADD9CA" w14:textId="77777777" w:rsidR="00F47B0F" w:rsidRDefault="00F47B0F" w:rsidP="00F47B0F">
      <w:pPr>
        <w:pStyle w:val="FootnoteText"/>
      </w:pPr>
      <w:r>
        <w:rPr>
          <w:rStyle w:val="FootnoteReference"/>
        </w:rPr>
        <w:footnoteRef/>
      </w:r>
      <w:r>
        <w:t xml:space="preserve"> Please see Figure 2 above for details of occupations included within each ANZSCO Unit Group.</w:t>
      </w:r>
    </w:p>
    <w:p w14:paraId="2988FF8A" w14:textId="77777777" w:rsidR="00F47B0F" w:rsidRDefault="00F47B0F" w:rsidP="00F47B0F">
      <w:pPr>
        <w:pStyle w:val="FootnoteText"/>
      </w:pPr>
      <w:r w:rsidRPr="00645F9F">
        <w:t xml:space="preserve">These statistics are based on all respondents in the relevant occupation groups, including those outside the scope of the ECEC workforce for this report, such as </w:t>
      </w:r>
      <w:r w:rsidRPr="005C0040">
        <w:rPr>
          <w:i/>
          <w:iCs/>
        </w:rPr>
        <w:t>Teacher Aides</w:t>
      </w:r>
      <w:r w:rsidRPr="00645F9F">
        <w:t xml:space="preserve"> within Education Aides and </w:t>
      </w:r>
      <w:r w:rsidRPr="005C0040">
        <w:rPr>
          <w:i/>
          <w:iCs/>
        </w:rPr>
        <w:t>Nannies</w:t>
      </w:r>
      <w:r w:rsidRPr="00645F9F">
        <w:t xml:space="preserve"> working in informal arrangements in the home within </w:t>
      </w:r>
      <w:r w:rsidRPr="0037361A">
        <w:t>Child Carers</w:t>
      </w:r>
      <w:r w:rsidRPr="00645F9F">
        <w:t>.</w:t>
      </w:r>
    </w:p>
  </w:footnote>
  <w:footnote w:id="30">
    <w:p w14:paraId="07C00D01" w14:textId="77777777" w:rsidR="00F47B0F" w:rsidRDefault="00F47B0F" w:rsidP="00F47B0F">
      <w:pPr>
        <w:pStyle w:val="FootnoteText"/>
      </w:pPr>
      <w:r>
        <w:rPr>
          <w:rStyle w:val="FootnoteReference"/>
        </w:rPr>
        <w:footnoteRef/>
      </w:r>
      <w:r>
        <w:t xml:space="preserve"> NA = Not applicable </w:t>
      </w:r>
    </w:p>
  </w:footnote>
  <w:footnote w:id="31">
    <w:p w14:paraId="6DBF97DB" w14:textId="77777777" w:rsidR="00F47B0F" w:rsidRDefault="00F47B0F" w:rsidP="00F47B0F">
      <w:pPr>
        <w:pStyle w:val="FootnoteText"/>
      </w:pPr>
      <w:r>
        <w:rPr>
          <w:rStyle w:val="FootnoteReference"/>
        </w:rPr>
        <w:footnoteRef/>
      </w:r>
      <w:r>
        <w:t xml:space="preserve"> To minimise the risk of identifying individuals in aggregates, the ABS uses the technique of perturbation (random adjustment of data) to protect the confidentiality of the data. These adjusts may result in the sum of rows/columns to differ from table totals.</w:t>
      </w:r>
    </w:p>
  </w:footnote>
  <w:footnote w:id="32">
    <w:p w14:paraId="6A31AB1C" w14:textId="77777777" w:rsidR="00F47B0F" w:rsidRDefault="00F47B0F" w:rsidP="00F47B0F">
      <w:pPr>
        <w:pStyle w:val="FootnoteText"/>
      </w:pPr>
      <w:r>
        <w:rPr>
          <w:rStyle w:val="FootnoteReference"/>
        </w:rPr>
        <w:footnoteRef/>
      </w:r>
      <w:r>
        <w:t xml:space="preserve"> The ABS r</w:t>
      </w:r>
      <w:r w:rsidRPr="007A6616">
        <w:rPr>
          <w:sz w:val="18"/>
          <w:szCs w:val="18"/>
        </w:rPr>
        <w:t>andomly adjust</w:t>
      </w:r>
      <w:r>
        <w:rPr>
          <w:sz w:val="18"/>
          <w:szCs w:val="18"/>
        </w:rPr>
        <w:t>s data</w:t>
      </w:r>
      <w:r w:rsidRPr="007A6616">
        <w:rPr>
          <w:sz w:val="18"/>
          <w:szCs w:val="18"/>
        </w:rPr>
        <w:t xml:space="preserve"> to avoid the release of confidential </w:t>
      </w:r>
      <w:r>
        <w:rPr>
          <w:sz w:val="18"/>
          <w:szCs w:val="18"/>
        </w:rPr>
        <w:t>information</w:t>
      </w:r>
      <w:r w:rsidRPr="007A6616">
        <w:rPr>
          <w:sz w:val="18"/>
          <w:szCs w:val="18"/>
        </w:rPr>
        <w:t>. Discrepancies may occur between sums of the component items and totals</w:t>
      </w:r>
      <w:r>
        <w:rPr>
          <w:sz w:val="18"/>
          <w:szCs w:val="18"/>
        </w:rPr>
        <w:t xml:space="preserve">, resulting in proportion totals not equalling 100% for some occupations. Please note, in cases where totals do not equal 100%, caution should be used. </w:t>
      </w:r>
    </w:p>
  </w:footnote>
  <w:footnote w:id="33">
    <w:p w14:paraId="0E7E496F" w14:textId="77777777" w:rsidR="00F47B0F" w:rsidRDefault="00F47B0F" w:rsidP="00F47B0F">
      <w:pPr>
        <w:pStyle w:val="FootnoteText"/>
      </w:pPr>
      <w:r>
        <w:rPr>
          <w:rStyle w:val="FootnoteReference"/>
        </w:rPr>
        <w:footnoteRef/>
      </w:r>
      <w:r>
        <w:t xml:space="preserve"> Children’s Services Employee Level 3.1 is for those with Certificate III ECE qualified staff and is used as the ‘standard rate’ minimum weekly rate in Clause 14-Minimum wages in the award. </w:t>
      </w:r>
    </w:p>
  </w:footnote>
  <w:footnote w:id="34">
    <w:p w14:paraId="1DD3EF42" w14:textId="77777777" w:rsidR="00F47B0F" w:rsidRDefault="00F47B0F" w:rsidP="00F47B0F">
      <w:pPr>
        <w:pStyle w:val="FootnoteText"/>
      </w:pPr>
      <w:r>
        <w:rPr>
          <w:rStyle w:val="FootnoteReference"/>
        </w:rPr>
        <w:footnoteRef/>
      </w:r>
      <w:r>
        <w:t xml:space="preserve"> Contact staff include primary contact workers—who mainly have direct contact with children, including educators, teachers, teachers’ assistants/aides, specialist teachers and therapists–and other contact workers—who have some duties involving direct contact with children, including centre managers, coordinators principals, and deputy principals. </w:t>
      </w:r>
    </w:p>
    <w:p w14:paraId="668E78D6" w14:textId="77777777" w:rsidR="00F47B0F" w:rsidRDefault="00F47B0F" w:rsidP="00F47B0F">
      <w:pPr>
        <w:pStyle w:val="FootnoteText"/>
      </w:pPr>
    </w:p>
    <w:p w14:paraId="02BE9CFC" w14:textId="77777777" w:rsidR="00F47B0F" w:rsidRDefault="00F47B0F" w:rsidP="00F47B0F">
      <w:pPr>
        <w:pStyle w:val="FootnoteText"/>
      </w:pPr>
      <w:r>
        <w:t>Typical number of children is the total number of children on a typical day.</w:t>
      </w:r>
    </w:p>
  </w:footnote>
  <w:footnote w:id="35">
    <w:p w14:paraId="659930F5" w14:textId="77777777" w:rsidR="00F47B0F" w:rsidRDefault="00F47B0F" w:rsidP="00F47B0F">
      <w:pPr>
        <w:pStyle w:val="FootnoteText"/>
      </w:pPr>
      <w:r>
        <w:rPr>
          <w:rStyle w:val="FootnoteReference"/>
        </w:rPr>
        <w:footnoteRef/>
      </w:r>
      <w:r>
        <w:t xml:space="preserve"> The ‘Regional’ category aggregates remoteness areas ‘Inner Regional’ and ‘Outer Regional’. ‘Remote’ aggregates ‘Remote’ and ‘Very Remote’.</w:t>
      </w:r>
    </w:p>
  </w:footnote>
  <w:footnote w:id="36">
    <w:p w14:paraId="40F816CD" w14:textId="77777777" w:rsidR="00F47B0F" w:rsidRDefault="00F47B0F" w:rsidP="00F47B0F">
      <w:pPr>
        <w:pStyle w:val="FootnoteText"/>
      </w:pPr>
      <w:r w:rsidRPr="390B2E1F">
        <w:rPr>
          <w:rStyle w:val="FootnoteReference"/>
        </w:rPr>
        <w:footnoteRef/>
      </w:r>
      <w:r>
        <w:t xml:space="preserve"> Service level ratios are aggregated weighting by the number of children.</w:t>
      </w:r>
    </w:p>
  </w:footnote>
  <w:footnote w:id="37">
    <w:p w14:paraId="088F8141" w14:textId="77777777" w:rsidR="00F47B0F" w:rsidRDefault="00F47B0F" w:rsidP="00F47B0F">
      <w:pPr>
        <w:pStyle w:val="FootnoteText"/>
      </w:pPr>
      <w:r w:rsidRPr="7739DBBB">
        <w:rPr>
          <w:rStyle w:val="FootnoteReference"/>
        </w:rPr>
        <w:footnoteRef/>
      </w:r>
      <w:r>
        <w:t xml:space="preserve"> Service level ratios are aggregated weighting by the number of children.</w:t>
      </w:r>
    </w:p>
  </w:footnote>
  <w:footnote w:id="38">
    <w:p w14:paraId="045E58BC" w14:textId="77777777" w:rsidR="00F47B0F" w:rsidRDefault="00F47B0F" w:rsidP="00F47B0F">
      <w:pPr>
        <w:pStyle w:val="FootnoteText"/>
      </w:pPr>
      <w:r>
        <w:rPr>
          <w:rStyle w:val="FootnoteReference"/>
        </w:rPr>
        <w:footnoteRef/>
      </w:r>
      <w:r>
        <w:t xml:space="preserve"> Measured as the number of contact staff left in the past 12 months divided by the current number of contact staff. </w:t>
      </w:r>
    </w:p>
  </w:footnote>
  <w:footnote w:id="39">
    <w:p w14:paraId="327EC7AA" w14:textId="77777777" w:rsidR="00F47B0F" w:rsidRPr="005069D2" w:rsidRDefault="00F47B0F" w:rsidP="00887E52">
      <w:pPr>
        <w:pStyle w:val="FootnoteText"/>
      </w:pPr>
      <w:r w:rsidRPr="19106EE8">
        <w:rPr>
          <w:rStyle w:val="FootnoteReference"/>
        </w:rPr>
        <w:footnoteRef/>
      </w:r>
      <w:r>
        <w:t xml:space="preserve"> </w:t>
      </w:r>
      <w:r w:rsidRPr="19106EE8">
        <w:t>Aggregation across services weights by the number of contact staff.</w:t>
      </w:r>
    </w:p>
  </w:footnote>
  <w:footnote w:id="40">
    <w:p w14:paraId="44BE9468" w14:textId="77777777" w:rsidR="00F47B0F" w:rsidRPr="005069D2" w:rsidRDefault="00F47B0F" w:rsidP="00887E52">
      <w:pPr>
        <w:pStyle w:val="FootnoteText"/>
      </w:pPr>
      <w:r w:rsidRPr="19106EE8">
        <w:rPr>
          <w:rStyle w:val="FootnoteReference"/>
        </w:rPr>
        <w:footnoteRef/>
      </w:r>
      <w:r>
        <w:t xml:space="preserve"> </w:t>
      </w:r>
      <w:r w:rsidRPr="19106EE8">
        <w:t>Aggregation across services weight</w:t>
      </w:r>
      <w:r>
        <w:t>s</w:t>
      </w:r>
      <w:r w:rsidRPr="19106EE8">
        <w:t xml:space="preserve"> by the number of contact staff.</w:t>
      </w:r>
    </w:p>
  </w:footnote>
  <w:footnote w:id="41">
    <w:p w14:paraId="5E5036D7" w14:textId="77777777" w:rsidR="00F47B0F" w:rsidRDefault="00F47B0F" w:rsidP="00F47B0F">
      <w:pPr>
        <w:pStyle w:val="FootnoteText"/>
      </w:pPr>
      <w:r>
        <w:rPr>
          <w:rStyle w:val="FootnoteReference"/>
        </w:rPr>
        <w:footnoteRef/>
      </w:r>
      <w:r>
        <w:t xml:space="preserve"> </w:t>
      </w:r>
      <w:r w:rsidRPr="19106EE8">
        <w:rPr>
          <w:sz w:val="18"/>
          <w:szCs w:val="18"/>
        </w:rPr>
        <w:t>Aggregation across services weights by the number of contact staff</w:t>
      </w:r>
      <w:r>
        <w:rPr>
          <w:sz w:val="18"/>
          <w:szCs w:val="18"/>
        </w:rPr>
        <w:t>.</w:t>
      </w:r>
    </w:p>
  </w:footnote>
  <w:footnote w:id="42">
    <w:p w14:paraId="4654C6DF" w14:textId="77777777" w:rsidR="00F47B0F" w:rsidRDefault="00F47B0F" w:rsidP="00F47B0F">
      <w:pPr>
        <w:pStyle w:val="FootnoteText"/>
      </w:pPr>
      <w:r>
        <w:rPr>
          <w:rStyle w:val="FootnoteReference"/>
        </w:rPr>
        <w:footnoteRef/>
      </w:r>
      <w:r>
        <w:t xml:space="preserve"> </w:t>
      </w:r>
      <w:r w:rsidRPr="19106EE8">
        <w:rPr>
          <w:sz w:val="18"/>
          <w:szCs w:val="18"/>
        </w:rPr>
        <w:t>Aggregation across services weights by the number of contact staff</w:t>
      </w:r>
      <w:r>
        <w:rPr>
          <w:sz w:val="18"/>
          <w:szCs w:val="18"/>
        </w:rPr>
        <w:t>.</w:t>
      </w:r>
    </w:p>
  </w:footnote>
  <w:footnote w:id="43">
    <w:p w14:paraId="3D5E4103" w14:textId="77777777" w:rsidR="00F47B0F" w:rsidRDefault="00F47B0F" w:rsidP="00F47B0F">
      <w:pPr>
        <w:pStyle w:val="FootnoteText"/>
      </w:pPr>
      <w:r>
        <w:rPr>
          <w:rStyle w:val="FootnoteReference"/>
        </w:rPr>
        <w:footnoteRef/>
      </w:r>
      <w:r>
        <w:t xml:space="preserve"> Published </w:t>
      </w:r>
      <w:hyperlink r:id="rId2" w:history="1">
        <w:r>
          <w:rPr>
            <w:rStyle w:val="Hyperlink"/>
          </w:rPr>
          <w:t>Data on Occupation Mobility: Unpacking Workers Movements | Jobs and Skills Australia</w:t>
        </w:r>
      </w:hyperlink>
      <w:r>
        <w:t xml:space="preserve">. The use of personal income tax data for occupational analysis presents several limitations, including that individuals are not required to update the occupation field, and that it does not capture individuals who do not pay tax. </w:t>
      </w:r>
    </w:p>
  </w:footnote>
  <w:footnote w:id="44">
    <w:p w14:paraId="4D64C120" w14:textId="77777777" w:rsidR="00846EE4" w:rsidRDefault="00846EE4" w:rsidP="00846EE4">
      <w:pPr>
        <w:pStyle w:val="FootnoteText"/>
      </w:pPr>
      <w:r>
        <w:rPr>
          <w:rStyle w:val="FootnoteReference"/>
        </w:rPr>
        <w:footnoteRef/>
      </w:r>
      <w:r>
        <w:t xml:space="preserve"> The current in force Training Package for Children’s Education Care dates from 2021 when substantial changes were made, including to entry requirements.</w:t>
      </w:r>
    </w:p>
  </w:footnote>
  <w:footnote w:id="45">
    <w:p w14:paraId="2D51D93E" w14:textId="77777777" w:rsidR="00846EE4" w:rsidRDefault="00846EE4" w:rsidP="00846EE4">
      <w:pPr>
        <w:pStyle w:val="FootnoteText"/>
      </w:pPr>
      <w:r>
        <w:rPr>
          <w:rStyle w:val="FootnoteReference"/>
        </w:rPr>
        <w:footnoteRef/>
      </w:r>
      <w:r>
        <w:t xml:space="preserve"> Source: NCVER (2023) Total VET Activity program enrolments. Included are CHC30113, CHC30121, CHC40113, CHC41208, CHC41208, CHC50113, CHC50121, CHC50202, CHC50213, CHC50221</w:t>
      </w:r>
    </w:p>
  </w:footnote>
  <w:footnote w:id="46">
    <w:p w14:paraId="3807F997" w14:textId="77777777" w:rsidR="00846EE4" w:rsidRDefault="00846EE4" w:rsidP="00846EE4">
      <w:pPr>
        <w:pStyle w:val="FootnoteText"/>
      </w:pPr>
      <w:r>
        <w:rPr>
          <w:rStyle w:val="FootnoteReference"/>
        </w:rPr>
        <w:footnoteRef/>
      </w:r>
      <w:r>
        <w:t xml:space="preserve"> National Skills Agreement, 2023, A28. Initial National Priorities, including ‘Sustaining essential care services.’</w:t>
      </w:r>
    </w:p>
  </w:footnote>
  <w:footnote w:id="47">
    <w:p w14:paraId="24FED612" w14:textId="77777777" w:rsidR="00846EE4" w:rsidRPr="00435E84" w:rsidRDefault="00846EE4" w:rsidP="00846EE4">
      <w:pPr>
        <w:pStyle w:val="FootnoteText"/>
      </w:pPr>
      <w:r w:rsidRPr="00435E84">
        <w:rPr>
          <w:rStyle w:val="FootnoteReference"/>
        </w:rPr>
        <w:footnoteRef/>
      </w:r>
      <w:r w:rsidRPr="00435E84">
        <w:t xml:space="preserve"> JSA (2023). VET Student Outcomes – Top 100 courses, VET National Data Asset (VNDA).</w:t>
      </w:r>
    </w:p>
  </w:footnote>
  <w:footnote w:id="48">
    <w:p w14:paraId="5F673D90" w14:textId="77777777" w:rsidR="00846EE4" w:rsidRPr="00435E84" w:rsidRDefault="00846EE4" w:rsidP="00846EE4">
      <w:pPr>
        <w:pStyle w:val="FootnoteText"/>
      </w:pPr>
      <w:r w:rsidRPr="00435E84">
        <w:rPr>
          <w:rStyle w:val="FootnoteReference"/>
        </w:rPr>
        <w:footnoteRef/>
      </w:r>
      <w:r w:rsidRPr="00435E84">
        <w:t xml:space="preserve"> Columns ‘Employed</w:t>
      </w:r>
      <w:proofErr w:type="gramStart"/>
      <w:r w:rsidRPr="00435E84">
        <w:t>’</w:t>
      </w:r>
      <w:proofErr w:type="gramEnd"/>
      <w:r w:rsidRPr="00435E84">
        <w:t xml:space="preserve"> and ‘Income’ refer to nominal income in FY18-19, the year following completion of training. ‘Income uplift’ represents median change in income following training completion for individuals employed prior to commencing training. “Gained emp.” represents the proportion of graduates that were not employed prior to commencing training who were employed in FY18-19.</w:t>
      </w:r>
    </w:p>
  </w:footnote>
  <w:footnote w:id="49">
    <w:p w14:paraId="16B1B307" w14:textId="77777777" w:rsidR="00846EE4" w:rsidRDefault="00846EE4" w:rsidP="00701210">
      <w:pPr>
        <w:pStyle w:val="FootnoteText"/>
      </w:pPr>
      <w:r w:rsidRPr="00435E84">
        <w:rPr>
          <w:rStyle w:val="FootnoteReference"/>
        </w:rPr>
        <w:footnoteRef/>
      </w:r>
      <w:r w:rsidRPr="00435E84">
        <w:t xml:space="preserve"> Excludes programs in the 'Agriculture, Environment, and Related Technologies', 'Architecture and Building’ and ‘Engineering and Related Technologies’ fields of education. For Certificate III and above qualifications.</w:t>
      </w:r>
      <w:r w:rsidRPr="00AC5B96">
        <w:t xml:space="preserve"> </w:t>
      </w:r>
    </w:p>
  </w:footnote>
  <w:footnote w:id="50">
    <w:p w14:paraId="3A2DD4BB" w14:textId="77777777" w:rsidR="00846EE4" w:rsidRDefault="00846EE4" w:rsidP="00846EE4">
      <w:pPr>
        <w:pStyle w:val="FootnoteText"/>
      </w:pPr>
      <w:r>
        <w:rPr>
          <w:rStyle w:val="FootnoteReference"/>
        </w:rPr>
        <w:footnoteRef/>
      </w:r>
      <w:r>
        <w:t xml:space="preserve"> It should be noted that there is a high degree of missing data in the Basis of Admission collection. </w:t>
      </w:r>
    </w:p>
  </w:footnote>
  <w:footnote w:id="51">
    <w:p w14:paraId="0B46E4D3" w14:textId="77777777" w:rsidR="00846EE4" w:rsidRDefault="00846EE4" w:rsidP="00846EE4">
      <w:pPr>
        <w:pStyle w:val="FootnoteText"/>
        <w:rPr>
          <w:lang w:eastAsia="en-AU"/>
        </w:rPr>
      </w:pPr>
      <w:r w:rsidRPr="2E303D11">
        <w:rPr>
          <w:rStyle w:val="FootnoteReference"/>
        </w:rPr>
        <w:footnoteRef/>
      </w:r>
      <w:r>
        <w:t xml:space="preserve"> </w:t>
      </w:r>
      <w:r w:rsidRPr="2E303D11">
        <w:rPr>
          <w:lang w:eastAsia="en-AU"/>
        </w:rPr>
        <w:t>Commencing students(a): 4 years completions Rates. Data for ECEC higher education is based on courses with a primary field of education 070101 Teacher Education: Early Childhood. This is to ensure consistency in the measure of completions going forward and to maintain robustness to changes in the composition of individual courses within the FoE structures. There are courses with a primary FoE of 070103 Teacher Education: Primary but with ECEC as a secondary FoE, indicating possible additional supply not captured in the analysis. However, JSA analysis suggests that only around 5% of these students go on to an ECEC role following completion.</w:t>
      </w:r>
    </w:p>
  </w:footnote>
  <w:footnote w:id="52">
    <w:p w14:paraId="39C532CB" w14:textId="77777777" w:rsidR="00846EE4" w:rsidRDefault="00846EE4" w:rsidP="00846EE4">
      <w:pPr>
        <w:pStyle w:val="FootnoteText"/>
      </w:pPr>
      <w:r w:rsidRPr="2E303D11">
        <w:rPr>
          <w:rStyle w:val="FootnoteReference"/>
        </w:rPr>
        <w:footnoteRef/>
      </w:r>
      <w:r>
        <w:t xml:space="preserve"> Values have been rounded to the nearest 5, therefore cannot be summed to equal totals. All data is publicly available on DataBuilder.</w:t>
      </w:r>
    </w:p>
  </w:footnote>
  <w:footnote w:id="53">
    <w:p w14:paraId="7C4DEFFF" w14:textId="77777777" w:rsidR="006212DA" w:rsidRPr="00896065" w:rsidRDefault="006212DA" w:rsidP="00D22563">
      <w:pPr>
        <w:pStyle w:val="FootnoteText"/>
      </w:pPr>
      <w:r w:rsidRPr="00D22563">
        <w:rPr>
          <w:rStyle w:val="FootnoteReference"/>
        </w:rPr>
        <w:footnoteRef/>
      </w:r>
      <w:r w:rsidRPr="00896065">
        <w:t xml:space="preserve"> Incremental refers to </w:t>
      </w:r>
      <w:r w:rsidRPr="00D22563">
        <w:t>additional</w:t>
      </w:r>
      <w:r w:rsidRPr="00896065">
        <w:t xml:space="preserve"> demand relative to 2021 levels. Additional service demand relative to 2021 levels, is converted to ‘incremental’ workforce demand with the ratios. This is then added to the 2021 actual workforce numbers (adjusted for unmet demand).</w:t>
      </w:r>
    </w:p>
  </w:footnote>
  <w:footnote w:id="54">
    <w:p w14:paraId="54FD09B0" w14:textId="77777777" w:rsidR="006212DA" w:rsidRPr="00896065" w:rsidRDefault="006212DA" w:rsidP="006212DA">
      <w:pPr>
        <w:pStyle w:val="FootnoteText"/>
      </w:pPr>
      <w:r w:rsidRPr="00D22563">
        <w:rPr>
          <w:rStyle w:val="FootnoteReference"/>
        </w:rPr>
        <w:footnoteRef/>
      </w:r>
      <w:r w:rsidRPr="00896065">
        <w:t xml:space="preserve"> Ratio waivers have been captured but not staffing waivers. Unmet workforce demand captures the additional workers required by services with ratio related staffing waivers. That is, they have insufficient educators given their level of service demand. Qualification related staffing waivers have not been modelled within unmet workforce demand, as while the workers may not have the appropriate qualifications, their labour is captured within 2021 employed workers. </w:t>
      </w:r>
    </w:p>
  </w:footnote>
  <w:footnote w:id="55">
    <w:p w14:paraId="0A698F1D" w14:textId="77777777" w:rsidR="006212DA" w:rsidRDefault="006212DA" w:rsidP="006212DA">
      <w:pPr>
        <w:pStyle w:val="FootnoteText"/>
      </w:pPr>
      <w:r w:rsidRPr="00D22563">
        <w:rPr>
          <w:rStyle w:val="FootnoteReference"/>
        </w:rPr>
        <w:footnoteRef/>
      </w:r>
      <w:r w:rsidRPr="00896065">
        <w:t xml:space="preserve"> I</w:t>
      </w:r>
      <w:r w:rsidRPr="00896065">
        <w:rPr>
          <w:rStyle w:val="cf01"/>
          <w:rFonts w:ascii="Arial" w:hAnsi="Arial" w:cstheme="minorBidi"/>
          <w:sz w:val="20"/>
          <w:szCs w:val="20"/>
        </w:rPr>
        <w:t>t is assumed that the actual employment-to-demand ratio captures current working conditions and is only adjusted for the sustainable working conditions.</w:t>
      </w:r>
    </w:p>
  </w:footnote>
  <w:footnote w:id="56">
    <w:p w14:paraId="0EA40DC6" w14:textId="77777777" w:rsidR="006212DA" w:rsidRDefault="006212DA" w:rsidP="006212DA">
      <w:pPr>
        <w:pStyle w:val="FootnoteText"/>
      </w:pPr>
      <w:r>
        <w:rPr>
          <w:rStyle w:val="FootnoteReference"/>
        </w:rPr>
        <w:footnoteRef/>
      </w:r>
      <w:r>
        <w:t xml:space="preserve"> In line with draft recommendation 6.2 in the </w:t>
      </w:r>
      <w:r>
        <w:rPr>
          <w:i/>
          <w:iCs/>
        </w:rPr>
        <w:t>Draft</w:t>
      </w:r>
      <w:r>
        <w:t xml:space="preserve"> </w:t>
      </w:r>
      <w:r>
        <w:rPr>
          <w:i/>
          <w:iCs/>
        </w:rPr>
        <w:t>Productivity Commission Report</w:t>
      </w:r>
      <w:r>
        <w:t>, this involves modifications to the CCS to allow all families access up to 30 hours or three days of subsidised care per week without an activity requirement, and ensure families with an annual income at or below $80,000 are eligible for a subsidy rate of 100% of the fee, up to the hourly rate cap.</w:t>
      </w:r>
    </w:p>
  </w:footnote>
  <w:footnote w:id="57">
    <w:p w14:paraId="46B12E49" w14:textId="77777777" w:rsidR="006212DA" w:rsidRDefault="006212DA" w:rsidP="006212DA">
      <w:pPr>
        <w:pStyle w:val="FootnoteText"/>
      </w:pPr>
      <w:r>
        <w:rPr>
          <w:rStyle w:val="FootnoteReference"/>
        </w:rPr>
        <w:footnoteRef/>
      </w:r>
      <w:r>
        <w:t xml:space="preserve"> </w:t>
      </w:r>
      <w:r w:rsidRPr="001E5821">
        <w:rPr>
          <w:sz w:val="18"/>
          <w:szCs w:val="18"/>
        </w:rPr>
        <w:t>2021 for the 2021 results. 2022 rates were adopted as the baseline for all subsequent years.</w:t>
      </w:r>
    </w:p>
  </w:footnote>
  <w:footnote w:id="58">
    <w:p w14:paraId="164979B1" w14:textId="77777777" w:rsidR="006212DA" w:rsidRDefault="006212DA" w:rsidP="006212DA">
      <w:pPr>
        <w:pStyle w:val="FootnoteText"/>
      </w:pPr>
      <w:r>
        <w:rPr>
          <w:rStyle w:val="FootnoteReference"/>
        </w:rPr>
        <w:footnoteRef/>
      </w:r>
      <w:r>
        <w:t xml:space="preserve"> Deloitte Access Economics modelling estimates that labour force participation for primary carers with children 0-12 is likely to increase from 81% in 2023/24 to 82% in 2033/34.</w:t>
      </w:r>
    </w:p>
  </w:footnote>
  <w:footnote w:id="59">
    <w:p w14:paraId="1BCE469B" w14:textId="77777777" w:rsidR="006212DA" w:rsidRDefault="006212DA" w:rsidP="006212DA">
      <w:pPr>
        <w:pStyle w:val="FootnoteText"/>
      </w:pPr>
      <w:r>
        <w:rPr>
          <w:rStyle w:val="FootnoteReference"/>
        </w:rPr>
        <w:footnoteRef/>
      </w:r>
      <w:r>
        <w:t xml:space="preserve"> </w:t>
      </w:r>
      <w:r w:rsidRPr="00B2733D">
        <w:rPr>
          <w:sz w:val="18"/>
          <w:szCs w:val="18"/>
        </w:rPr>
        <w:t>Compound Annual Growth Rate</w:t>
      </w:r>
    </w:p>
  </w:footnote>
  <w:footnote w:id="60">
    <w:p w14:paraId="537770D7" w14:textId="77777777" w:rsidR="006212DA" w:rsidRDefault="006212DA" w:rsidP="00D22563">
      <w:pPr>
        <w:pStyle w:val="FootnoteText"/>
      </w:pPr>
      <w:r>
        <w:rPr>
          <w:rStyle w:val="FootnoteReference"/>
        </w:rPr>
        <w:footnoteRef/>
      </w:r>
      <w:r>
        <w:t xml:space="preserve"> Modelled numbers are a </w:t>
      </w:r>
      <w:r w:rsidRPr="00D22563">
        <w:t>headcount</w:t>
      </w:r>
      <w:r>
        <w:t>.</w:t>
      </w:r>
    </w:p>
  </w:footnote>
  <w:footnote w:id="61">
    <w:p w14:paraId="2830BB5A" w14:textId="77777777" w:rsidR="006212DA" w:rsidRPr="00D01277" w:rsidRDefault="006212DA" w:rsidP="00D22563">
      <w:pPr>
        <w:pStyle w:val="FootnoteText"/>
      </w:pPr>
      <w:r w:rsidRPr="00D01277">
        <w:rPr>
          <w:rStyle w:val="FootnoteReference"/>
          <w:sz w:val="18"/>
          <w:szCs w:val="18"/>
        </w:rPr>
        <w:footnoteRef/>
      </w:r>
      <w:r w:rsidRPr="00D01277">
        <w:t xml:space="preserve"> Current workforce demand is expected to be around 260,000 staff (the same as the Committed policies scenario). The </w:t>
      </w:r>
      <w:r w:rsidRPr="00D22563">
        <w:t>outlined</w:t>
      </w:r>
      <w:r w:rsidRPr="00D01277">
        <w:t xml:space="preserve"> polices in the Universal scenario come into effect during the forecast period. </w:t>
      </w:r>
    </w:p>
  </w:footnote>
  <w:footnote w:id="62">
    <w:p w14:paraId="70903DF7" w14:textId="77777777" w:rsidR="006212DA" w:rsidRDefault="006212DA" w:rsidP="006212DA">
      <w:pPr>
        <w:pStyle w:val="FootnoteText"/>
      </w:pPr>
      <w:r w:rsidRPr="00D01277">
        <w:rPr>
          <w:rStyle w:val="FootnoteReference"/>
          <w:sz w:val="18"/>
          <w:szCs w:val="18"/>
        </w:rPr>
        <w:footnoteRef/>
      </w:r>
      <w:r w:rsidRPr="00D01277">
        <w:rPr>
          <w:sz w:val="18"/>
          <w:szCs w:val="18"/>
        </w:rPr>
        <w:t xml:space="preserve"> The total incudes </w:t>
      </w:r>
      <w:r w:rsidRPr="00D01277">
        <w:rPr>
          <w:i/>
          <w:iCs/>
          <w:sz w:val="18"/>
          <w:szCs w:val="18"/>
        </w:rPr>
        <w:t>Education Aides</w:t>
      </w:r>
      <w:r w:rsidRPr="00D01277">
        <w:rPr>
          <w:sz w:val="18"/>
          <w:szCs w:val="18"/>
        </w:rPr>
        <w:t xml:space="preserve"> working in ECEC.</w:t>
      </w:r>
    </w:p>
  </w:footnote>
  <w:footnote w:id="63">
    <w:p w14:paraId="68A61780" w14:textId="77777777" w:rsidR="006212DA" w:rsidRDefault="006212DA" w:rsidP="006212DA">
      <w:pPr>
        <w:pStyle w:val="FootnoteText"/>
      </w:pPr>
      <w:r>
        <w:rPr>
          <w:rStyle w:val="FootnoteReference"/>
        </w:rPr>
        <w:footnoteRef/>
      </w:r>
      <w:r>
        <w:t xml:space="preserve"> </w:t>
      </w:r>
      <w:r w:rsidRPr="000D4073">
        <w:rPr>
          <w:sz w:val="18"/>
          <w:szCs w:val="18"/>
        </w:rPr>
        <w:t>Compound Annual Growth Rate</w:t>
      </w:r>
    </w:p>
  </w:footnote>
  <w:footnote w:id="64">
    <w:p w14:paraId="46E0838F" w14:textId="77777777" w:rsidR="006212DA" w:rsidRDefault="006212DA" w:rsidP="006212DA">
      <w:pPr>
        <w:pStyle w:val="FootnoteText"/>
      </w:pPr>
      <w:r>
        <w:rPr>
          <w:rStyle w:val="FootnoteReference"/>
        </w:rPr>
        <w:footnoteRef/>
      </w:r>
      <w:r>
        <w:t xml:space="preserve"> </w:t>
      </w:r>
      <w:r w:rsidRPr="00B2733D">
        <w:rPr>
          <w:sz w:val="18"/>
          <w:szCs w:val="18"/>
        </w:rPr>
        <w:t>Compound Annual Growth Rate</w:t>
      </w:r>
    </w:p>
  </w:footnote>
  <w:footnote w:id="65">
    <w:p w14:paraId="2E23DAAB" w14:textId="77777777" w:rsidR="006212DA" w:rsidRDefault="006212DA" w:rsidP="006212DA">
      <w:pPr>
        <w:pStyle w:val="FootnoteText"/>
      </w:pPr>
      <w:r>
        <w:rPr>
          <w:rStyle w:val="FootnoteReference"/>
        </w:rPr>
        <w:footnoteRef/>
      </w:r>
      <w:r>
        <w:t xml:space="preserve"> </w:t>
      </w:r>
      <w:r>
        <w:rPr>
          <w:sz w:val="18"/>
          <w:szCs w:val="18"/>
        </w:rPr>
        <w:t xml:space="preserve">The total incudes </w:t>
      </w:r>
      <w:r w:rsidRPr="00DA2903">
        <w:rPr>
          <w:i/>
          <w:iCs/>
          <w:sz w:val="18"/>
          <w:szCs w:val="18"/>
        </w:rPr>
        <w:t>Education Aides</w:t>
      </w:r>
      <w:r>
        <w:rPr>
          <w:sz w:val="18"/>
          <w:szCs w:val="18"/>
        </w:rPr>
        <w:t>.</w:t>
      </w:r>
    </w:p>
  </w:footnote>
  <w:footnote w:id="66">
    <w:p w14:paraId="3088A42B" w14:textId="77777777" w:rsidR="006212DA" w:rsidRDefault="006212DA" w:rsidP="006212DA">
      <w:pPr>
        <w:pStyle w:val="FootnoteText"/>
      </w:pPr>
      <w:r>
        <w:rPr>
          <w:rStyle w:val="FootnoteReference"/>
        </w:rPr>
        <w:footnoteRef/>
      </w:r>
      <w:r>
        <w:t xml:space="preserve"> </w:t>
      </w:r>
      <w:r w:rsidRPr="00B2733D">
        <w:rPr>
          <w:sz w:val="18"/>
          <w:szCs w:val="18"/>
        </w:rPr>
        <w:t>Compound Annual Growth Rate</w:t>
      </w:r>
    </w:p>
  </w:footnote>
  <w:footnote w:id="67">
    <w:p w14:paraId="050EDB7E" w14:textId="77777777" w:rsidR="006212DA" w:rsidRDefault="006212DA" w:rsidP="006212DA">
      <w:pPr>
        <w:pStyle w:val="FootnoteText"/>
      </w:pPr>
      <w:r>
        <w:rPr>
          <w:rStyle w:val="FootnoteReference"/>
        </w:rPr>
        <w:footnoteRef/>
      </w:r>
      <w:r>
        <w:t xml:space="preserve"> </w:t>
      </w:r>
      <w:r w:rsidRPr="000527C1">
        <w:rPr>
          <w:color w:val="auto"/>
          <w:sz w:val="18"/>
          <w:szCs w:val="18"/>
        </w:rPr>
        <w:t xml:space="preserve">The ECEC workforce total includes </w:t>
      </w:r>
      <w:r w:rsidRPr="000527C1">
        <w:rPr>
          <w:i/>
          <w:iCs/>
          <w:color w:val="auto"/>
          <w:sz w:val="18"/>
          <w:szCs w:val="18"/>
        </w:rPr>
        <w:t>Education Aides</w:t>
      </w:r>
      <w:r>
        <w:rPr>
          <w:i/>
          <w:iCs/>
          <w:color w:val="auto"/>
          <w:sz w:val="18"/>
          <w:szCs w:val="18"/>
        </w:rPr>
        <w:t>.</w:t>
      </w:r>
    </w:p>
  </w:footnote>
  <w:footnote w:id="68">
    <w:p w14:paraId="26072A65" w14:textId="77777777" w:rsidR="006212DA" w:rsidRDefault="006212DA" w:rsidP="006212DA">
      <w:pPr>
        <w:pStyle w:val="FootnoteText"/>
      </w:pPr>
      <w:r>
        <w:rPr>
          <w:rStyle w:val="FootnoteReference"/>
        </w:rPr>
        <w:footnoteRef/>
      </w:r>
      <w:r>
        <w:t xml:space="preserve"> </w:t>
      </w:r>
      <w:r>
        <w:rPr>
          <w:sz w:val="18"/>
          <w:szCs w:val="18"/>
        </w:rPr>
        <w:t>Each SA4 is approximately assigned to the ASGS remoteness structure, given SA4s do not align perfectly to ARIA regions.</w:t>
      </w:r>
    </w:p>
  </w:footnote>
  <w:footnote w:id="69">
    <w:p w14:paraId="2804F60C" w14:textId="77777777" w:rsidR="00694586" w:rsidRDefault="00694586" w:rsidP="00694586">
      <w:pPr>
        <w:pStyle w:val="FootnoteText"/>
      </w:pPr>
      <w:r>
        <w:rPr>
          <w:rStyle w:val="FootnoteReference"/>
        </w:rPr>
        <w:footnoteRef/>
      </w:r>
      <w:r>
        <w:t xml:space="preserve"> Widely used English language testing system - </w:t>
      </w:r>
      <w:r w:rsidRPr="00BA2CF8">
        <w:t>https://ielts.com.au/australia</w:t>
      </w:r>
    </w:p>
  </w:footnote>
  <w:footnote w:id="70">
    <w:p w14:paraId="0357B4C6" w14:textId="77777777" w:rsidR="00442C59" w:rsidRDefault="00442C59" w:rsidP="00442C59">
      <w:pPr>
        <w:pStyle w:val="FootnoteText"/>
      </w:pPr>
      <w:r>
        <w:rPr>
          <w:rStyle w:val="FootnoteReference"/>
        </w:rPr>
        <w:footnoteRef/>
      </w:r>
      <w:r>
        <w:t xml:space="preserve"> Affordability based on gross median rents for a </w:t>
      </w:r>
      <w:proofErr w:type="gramStart"/>
      <w:r>
        <w:t>one bedroom</w:t>
      </w:r>
      <w:proofErr w:type="gramEnd"/>
      <w:r>
        <w:t xml:space="preserve"> dwelling versus the commencing award rate for Certificate III, Diploma, and Director level educators (2021). Categories of affordability based on Eacott (2024): Very affordable (0-20%), Acceptably affordable (20-25%), Moderately unaffordable (25-30%), Highly unaffordable (30-38%), Severely unaffordable (38-60%), and </w:t>
      </w:r>
      <w:proofErr w:type="gramStart"/>
      <w:r>
        <w:t>Extremely</w:t>
      </w:r>
      <w:proofErr w:type="gramEnd"/>
      <w:r>
        <w:t xml:space="preserve"> unaffordable (60% and above).</w:t>
      </w:r>
    </w:p>
  </w:footnote>
  <w:footnote w:id="71">
    <w:p w14:paraId="56BEB1B9" w14:textId="77777777" w:rsidR="00442C59" w:rsidRPr="005E319A" w:rsidRDefault="00442C59" w:rsidP="00442C59">
      <w:pPr>
        <w:pStyle w:val="FootnoteText"/>
      </w:pPr>
      <w:r>
        <w:rPr>
          <w:rStyle w:val="FootnoteReference"/>
        </w:rPr>
        <w:footnoteRef/>
      </w:r>
      <w:r>
        <w:t xml:space="preserve"> SWA Data for 2021-22 are preliminary (denoted by a ‘p’) and subject to revision in future years as </w:t>
      </w:r>
      <w:r w:rsidRPr="005E319A">
        <w:t>further claims are finalised. 'Serious claims' are claims involving one working week or more off work.</w:t>
      </w:r>
    </w:p>
  </w:footnote>
  <w:footnote w:id="72">
    <w:p w14:paraId="6CB4DCF9" w14:textId="77777777" w:rsidR="00442C59" w:rsidRDefault="00442C59" w:rsidP="00442C59">
      <w:pPr>
        <w:pStyle w:val="FootnoteText"/>
        <w:rPr>
          <w:rFonts w:eastAsia="Arial" w:cs="Arial"/>
          <w:sz w:val="18"/>
          <w:szCs w:val="18"/>
        </w:rPr>
      </w:pPr>
      <w:r w:rsidRPr="005E319A">
        <w:rPr>
          <w:rStyle w:val="FootnoteReference"/>
        </w:rPr>
        <w:footnoteRef/>
      </w:r>
      <w:r w:rsidRPr="005E319A">
        <w:t xml:space="preserve"> </w:t>
      </w:r>
      <w:r w:rsidRPr="005E319A">
        <w:rPr>
          <w:rFonts w:eastAsia="Arial" w:cs="Arial"/>
        </w:rPr>
        <w:t>Serious claims are defined as accepted workers’ compensation claims which have resulted in one or more working weeks lost (excluding fatalities and journey claims). 2021-22 data are preliminary (denoted by ‘p’). Revisions in preliminary results are likely over future years as open claims are finalised. A break in series occurred in 2021-22 for work-related injury frequency rates as improvements were made to the estimates of the working population covered by workers’ compensation schemes. As a result, Safe Work Australia advises caution when comparing 2021-22 figures to previous years of data.</w:t>
      </w:r>
      <w:r w:rsidRPr="45E3AAC1">
        <w:rPr>
          <w:rFonts w:eastAsia="Arial" w:cs="Arial"/>
          <w:sz w:val="18"/>
          <w:szCs w:val="18"/>
        </w:rPr>
        <w:t xml:space="preserve">  </w:t>
      </w:r>
    </w:p>
  </w:footnote>
  <w:footnote w:id="73">
    <w:p w14:paraId="718E2355" w14:textId="77777777" w:rsidR="00442C59" w:rsidRPr="004C7B96" w:rsidRDefault="00442C59" w:rsidP="00442C59">
      <w:pPr>
        <w:pStyle w:val="FootnoteText"/>
      </w:pPr>
      <w:r w:rsidRPr="004C7B96">
        <w:rPr>
          <w:rStyle w:val="FootnoteReference"/>
        </w:rPr>
        <w:footnoteRef/>
      </w:r>
      <w:r w:rsidRPr="004C7B96">
        <w:t xml:space="preserve"> </w:t>
      </w:r>
      <w:r w:rsidRPr="004C7B96">
        <w:rPr>
          <w:rFonts w:eastAsia="Arial" w:cs="Arial"/>
        </w:rPr>
        <w:t xml:space="preserve">Serious claims are defined as accepted workers’ compensation claims which have resulted in one or more working weeks lost (excluding fatalities and journey claims). 2021-22 data are preliminary (denoted by ‘p’). Revisions in preliminary results are likely over future years as open claims are finalised.  A break in series occurred in 2021-22 for work-related injury frequency rates as improvements were made to the estimates of the working population covered by workers’ compensation schemes. As a result, Safe Work Australia advises caution when comparing 2021-22 figures to previous years of data.  </w:t>
      </w:r>
    </w:p>
  </w:footnote>
  <w:footnote w:id="74">
    <w:p w14:paraId="5B6DD9E9" w14:textId="77777777" w:rsidR="00A2332E" w:rsidRDefault="00A2332E" w:rsidP="00A2332E">
      <w:pPr>
        <w:pStyle w:val="FootnoteText"/>
      </w:pPr>
      <w:r>
        <w:rPr>
          <w:rStyle w:val="FootnoteReference"/>
        </w:rPr>
        <w:footnoteRef/>
      </w:r>
      <w:r>
        <w:t xml:space="preserve"> </w:t>
      </w:r>
      <w:hyperlink r:id="rId3" w:anchor="anzsco-assessment-criteria" w:history="1">
        <w:r>
          <w:rPr>
            <w:rStyle w:val="Hyperlink"/>
          </w:rPr>
          <w:t xml:space="preserve"> ANZSCO Assessment Criteria | Australian Bureau of Statistics (abs.gov.au)</w:t>
        </w:r>
      </w:hyperlink>
    </w:p>
  </w:footnote>
  <w:footnote w:id="75">
    <w:p w14:paraId="204DB536" w14:textId="77777777" w:rsidR="00A2332E" w:rsidRDefault="00A2332E" w:rsidP="00A2332E">
      <w:pPr>
        <w:pStyle w:val="FootnoteText"/>
      </w:pPr>
      <w:r>
        <w:rPr>
          <w:rStyle w:val="FootnoteReference"/>
        </w:rPr>
        <w:footnoteRef/>
      </w:r>
      <w:r>
        <w:t xml:space="preserve"> </w:t>
      </w:r>
      <w:hyperlink r:id="rId4" w:history="1">
        <w:r>
          <w:rPr>
            <w:rStyle w:val="Hyperlink"/>
          </w:rPr>
          <w:t>ANZSCO [Preliminary] Proposed Changes (abs.gov.au)</w:t>
        </w:r>
      </w:hyperlink>
    </w:p>
  </w:footnote>
  <w:footnote w:id="76">
    <w:p w14:paraId="602D8BDE" w14:textId="77777777" w:rsidR="00A2332E" w:rsidRDefault="00A2332E" w:rsidP="00A2332E">
      <w:pPr>
        <w:pStyle w:val="FootnoteText"/>
      </w:pPr>
      <w:r>
        <w:rPr>
          <w:rStyle w:val="FootnoteReference"/>
        </w:rPr>
        <w:footnoteRef/>
      </w:r>
      <w:r>
        <w:t xml:space="preserve"> </w:t>
      </w:r>
      <w:r w:rsidRPr="414580AC">
        <w:rPr>
          <w:sz w:val="18"/>
          <w:szCs w:val="18"/>
        </w:rPr>
        <w:t>Terms used are based on the language JSA chooses to use in this report, reflecting current sector practice and anticipating changes which may be reflected in 2024 ANZSCO updates</w:t>
      </w:r>
      <w:r>
        <w:rPr>
          <w:sz w:val="18"/>
          <w:szCs w:val="18"/>
        </w:rPr>
        <w:t>.</w:t>
      </w:r>
    </w:p>
  </w:footnote>
  <w:footnote w:id="77">
    <w:p w14:paraId="4E5BA6C7" w14:textId="77777777" w:rsidR="00A2332E" w:rsidRDefault="00A2332E" w:rsidP="00A2332E">
      <w:pPr>
        <w:pStyle w:val="FootnoteText"/>
      </w:pPr>
      <w:r>
        <w:rPr>
          <w:rStyle w:val="FootnoteReference"/>
        </w:rPr>
        <w:footnoteRef/>
      </w:r>
      <w:r>
        <w:t xml:space="preserve"> The full title of this ANZSIC title is Private Households Employing Staff and </w:t>
      </w:r>
      <w:r w:rsidRPr="00D21917">
        <w:t>Undifferentiated Goods and Service-Producing Activities of Households own Use</w:t>
      </w:r>
    </w:p>
  </w:footnote>
  <w:footnote w:id="78">
    <w:p w14:paraId="2D1A060C" w14:textId="77777777" w:rsidR="00A2332E" w:rsidRDefault="00A2332E" w:rsidP="00A2332E">
      <w:pPr>
        <w:pStyle w:val="FootnoteText"/>
      </w:pPr>
      <w:r>
        <w:rPr>
          <w:rStyle w:val="FootnoteReference"/>
        </w:rPr>
        <w:footnoteRef/>
      </w:r>
      <w:r>
        <w:t xml:space="preserve"> For children aged 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E14CC" w14:textId="77777777" w:rsidR="00CB49CA" w:rsidRDefault="00CB49CA">
    <w:pPr>
      <w:pStyle w:val="Header"/>
    </w:pPr>
    <w:r>
      <w:rPr>
        <w:noProof/>
      </w:rPr>
      <mc:AlternateContent>
        <mc:Choice Requires="wps">
          <w:drawing>
            <wp:anchor distT="0" distB="0" distL="0" distR="0" simplePos="0" relativeHeight="251653632" behindDoc="0" locked="0" layoutInCell="1" allowOverlap="1" wp14:anchorId="5EB83069" wp14:editId="5B261378">
              <wp:simplePos x="635" y="635"/>
              <wp:positionH relativeFrom="page">
                <wp:align>center</wp:align>
              </wp:positionH>
              <wp:positionV relativeFrom="page">
                <wp:align>top</wp:align>
              </wp:positionV>
              <wp:extent cx="443865" cy="443865"/>
              <wp:effectExtent l="0" t="0" r="1270" b="16510"/>
              <wp:wrapNone/>
              <wp:docPr id="1202209300" name="Text Box 5"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5C7617" w14:textId="77777777" w:rsidR="00CB49CA" w:rsidRPr="00150F6D" w:rsidRDefault="00CB49CA" w:rsidP="00150F6D">
                          <w:pPr>
                            <w:spacing w:after="0"/>
                            <w:rPr>
                              <w:rFonts w:eastAsia="Arial" w:cs="Arial"/>
                              <w:noProof/>
                              <w:color w:val="FF0000"/>
                              <w:sz w:val="24"/>
                              <w:szCs w:val="24"/>
                            </w:rPr>
                          </w:pPr>
                          <w:r w:rsidRPr="00150F6D">
                            <w:rPr>
                              <w:rFonts w:eastAsia="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B83069" id="_x0000_t202" coordsize="21600,21600" o:spt="202" path="m,l,21600r21600,l21600,xe">
              <v:stroke joinstyle="miter"/>
              <v:path gradientshapeok="t" o:connecttype="rect"/>
            </v:shapetype>
            <v:shape id="Text Box 5" o:spid="_x0000_s1028" type="#_x0000_t202" alt="OFFICIAL: Sensitive" style="position:absolute;margin-left:0;margin-top:0;width:34.95pt;height:34.95pt;z-index:2516536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545C7617" w14:textId="77777777" w:rsidR="00CB49CA" w:rsidRPr="00150F6D" w:rsidRDefault="00CB49CA" w:rsidP="00150F6D">
                    <w:pPr>
                      <w:spacing w:after="0"/>
                      <w:rPr>
                        <w:rFonts w:eastAsia="Arial" w:cs="Arial"/>
                        <w:noProof/>
                        <w:color w:val="FF0000"/>
                        <w:sz w:val="24"/>
                        <w:szCs w:val="24"/>
                      </w:rPr>
                    </w:pPr>
                    <w:r w:rsidRPr="00150F6D">
                      <w:rPr>
                        <w:rFonts w:eastAsia="Arial" w:cs="Arial"/>
                        <w:noProof/>
                        <w:color w:val="FF0000"/>
                        <w:sz w:val="24"/>
                        <w:szCs w:val="24"/>
                      </w:rPr>
                      <w:t>OFFICIAL: Sensitive</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812E29" w14:textId="76FBFF56" w:rsidR="005D6170" w:rsidRDefault="005D6170">
    <w:pPr>
      <w:pStyle w:val="Header"/>
    </w:pPr>
    <w:r>
      <w:rPr>
        <w:noProof/>
      </w:rPr>
      <mc:AlternateContent>
        <mc:Choice Requires="wpg">
          <w:drawing>
            <wp:anchor distT="0" distB="0" distL="114300" distR="114300" simplePos="0" relativeHeight="251661824" behindDoc="0" locked="0" layoutInCell="1" allowOverlap="1" wp14:anchorId="752B6F5C" wp14:editId="6F2C2B51">
              <wp:simplePos x="0" y="0"/>
              <wp:positionH relativeFrom="page">
                <wp:posOffset>3877937</wp:posOffset>
              </wp:positionH>
              <wp:positionV relativeFrom="page">
                <wp:posOffset>288290</wp:posOffset>
              </wp:positionV>
              <wp:extent cx="3682800" cy="324000"/>
              <wp:effectExtent l="0" t="0" r="0" b="0"/>
              <wp:wrapNone/>
              <wp:docPr id="1641391051" name="Group 16413910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682800" cy="324000"/>
                        <a:chOff x="-1004511" y="0"/>
                        <a:chExt cx="3681321" cy="324000"/>
                      </a:xfrm>
                    </wpg:grpSpPr>
                    <wps:wsp>
                      <wps:cNvPr id="1206904610" name="Rectangle 1206904610"/>
                      <wps:cNvSpPr/>
                      <wps:spPr>
                        <a:xfrm>
                          <a:off x="-1004511" y="0"/>
                          <a:ext cx="2706869" cy="324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F23250" w14:textId="77777777" w:rsidR="005D6170" w:rsidRDefault="00F07A0B" w:rsidP="00E412CF">
                            <w:pPr>
                              <w:spacing w:after="0" w:line="240" w:lineRule="auto"/>
                              <w:jc w:val="right"/>
                            </w:pPr>
                            <w:r>
                              <w:t>CHAPTER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3643871" name="Rectangle 1363643871"/>
                      <wps:cNvSpPr/>
                      <wps:spPr>
                        <a:xfrm>
                          <a:off x="1666875" y="0"/>
                          <a:ext cx="1009935" cy="324000"/>
                        </a:xfrm>
                        <a:prstGeom prst="rect">
                          <a:avLst/>
                        </a:prstGeom>
                        <a:solidFill>
                          <a:srgbClr val="FBD4E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2B6F5C" id="Group 1641391051" o:spid="_x0000_s1046" alt="&quot;&quot;" style="position:absolute;margin-left:305.35pt;margin-top:22.7pt;width:290pt;height:25.5pt;z-index:251661824;mso-position-horizontal-relative:page;mso-position-vertical-relative:page;mso-width-relative:margin;mso-height-relative:margin" coordorigin="-10045" coordsize="36813,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">
              <v:rect id="Rectangle 1206904610" o:spid="_x0000_s1047" style="position:absolute;left:-10045;width:27068;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" fillcolor="white [3212]" stroked="f" strokeweight="1pt">
                <v:textbox>
                  <w:txbxContent>
                    <w:p w14:paraId="7BF23250" w14:textId="77777777" w:rsidR="005D6170" w:rsidRDefault="00F07A0B" w:rsidP="00E412CF">
                      <w:pPr>
                        <w:spacing w:after="0" w:line="240" w:lineRule="auto"/>
                        <w:jc w:val="right"/>
                      </w:pPr>
                      <w:r>
                        <w:t>CHAPTER 4</w:t>
                      </w:r>
                    </w:p>
                  </w:txbxContent>
                </v:textbox>
              </v:rect>
              <v:rect id="Rectangle 1363643871" o:spid="_x0000_s1048" style="position:absolute;left:16668;width:1010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" fillcolor="#fbd4e2" stroked="f" strokeweight="1pt"/>
              <w10:wrap anchorx="page" anchory="page"/>
            </v:group>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16D669" w14:textId="3FC02B69" w:rsidR="005D6170" w:rsidRDefault="005D6170">
    <w:pPr>
      <w:pStyle w:val="Header"/>
    </w:pPr>
    <w:r>
      <w:rPr>
        <w:noProof/>
      </w:rPr>
      <mc:AlternateContent>
        <mc:Choice Requires="wpg">
          <w:drawing>
            <wp:anchor distT="0" distB="0" distL="114300" distR="114300" simplePos="0" relativeHeight="251662848" behindDoc="0" locked="0" layoutInCell="1" allowOverlap="1" wp14:anchorId="42C3EF07" wp14:editId="4A4CD234">
              <wp:simplePos x="0" y="0"/>
              <wp:positionH relativeFrom="page">
                <wp:posOffset>3877937</wp:posOffset>
              </wp:positionH>
              <wp:positionV relativeFrom="page">
                <wp:posOffset>288290</wp:posOffset>
              </wp:positionV>
              <wp:extent cx="3682800" cy="324000"/>
              <wp:effectExtent l="0" t="0" r="0" b="0"/>
              <wp:wrapNone/>
              <wp:docPr id="1903906203" name="Group 19039062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682800" cy="324000"/>
                        <a:chOff x="-1004511" y="0"/>
                        <a:chExt cx="3681321" cy="324000"/>
                      </a:xfrm>
                    </wpg:grpSpPr>
                    <wps:wsp>
                      <wps:cNvPr id="1843820972" name="Rectangle 1843820972"/>
                      <wps:cNvSpPr/>
                      <wps:spPr>
                        <a:xfrm>
                          <a:off x="-1004511" y="0"/>
                          <a:ext cx="2706869" cy="324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7C56B2" w14:textId="77777777" w:rsidR="005D6170" w:rsidRDefault="00F07A0B" w:rsidP="00E412CF">
                            <w:pPr>
                              <w:spacing w:after="0" w:line="240" w:lineRule="auto"/>
                              <w:jc w:val="right"/>
                            </w:pPr>
                            <w:r>
                              <w:t>CHAPTER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2491988" name="Rectangle 872491988"/>
                      <wps:cNvSpPr/>
                      <wps:spPr>
                        <a:xfrm>
                          <a:off x="1666875" y="0"/>
                          <a:ext cx="1009935" cy="324000"/>
                        </a:xfrm>
                        <a:prstGeom prst="rect">
                          <a:avLst/>
                        </a:prstGeom>
                        <a:solidFill>
                          <a:srgbClr val="CFE9F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C3EF07" id="Group 1903906203" o:spid="_x0000_s1049" alt="&quot;&quot;" style="position:absolute;margin-left:305.35pt;margin-top:22.7pt;width:290pt;height:25.5pt;z-index:251662848;mso-position-horizontal-relative:page;mso-position-vertical-relative:page;mso-width-relative:margin;mso-height-relative:margin" coordorigin="-10045" coordsize="36813,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">
              <v:rect id="Rectangle 1843820972" o:spid="_x0000_s1050" style="position:absolute;left:-10045;width:27068;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" fillcolor="white [3212]" stroked="f" strokeweight="1pt">
                <v:textbox>
                  <w:txbxContent>
                    <w:p w14:paraId="6A7C56B2" w14:textId="77777777" w:rsidR="005D6170" w:rsidRDefault="00F07A0B" w:rsidP="00E412CF">
                      <w:pPr>
                        <w:spacing w:after="0" w:line="240" w:lineRule="auto"/>
                        <w:jc w:val="right"/>
                      </w:pPr>
                      <w:r>
                        <w:t>CHAPTER 5</w:t>
                      </w:r>
                    </w:p>
                  </w:txbxContent>
                </v:textbox>
              </v:rect>
              <v:rect id="Rectangle 872491988" o:spid="_x0000_s1051" style="position:absolute;left:16668;width:1010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" fillcolor="#cfe9fa" stroked="f" strokeweight="1pt"/>
              <w10:wrap anchorx="page" anchory="page"/>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D0377" w14:textId="34040FB5" w:rsidR="005D6170" w:rsidRDefault="005D6170">
    <w:pPr>
      <w:pStyle w:val="Header"/>
    </w:pPr>
    <w:r>
      <w:rPr>
        <w:noProof/>
      </w:rPr>
      <mc:AlternateContent>
        <mc:Choice Requires="wpg">
          <w:drawing>
            <wp:anchor distT="0" distB="0" distL="114300" distR="114300" simplePos="0" relativeHeight="251663872" behindDoc="0" locked="0" layoutInCell="1" allowOverlap="1" wp14:anchorId="430164EA" wp14:editId="0F5DCBC0">
              <wp:simplePos x="0" y="0"/>
              <wp:positionH relativeFrom="page">
                <wp:posOffset>3877937</wp:posOffset>
              </wp:positionH>
              <wp:positionV relativeFrom="page">
                <wp:posOffset>288290</wp:posOffset>
              </wp:positionV>
              <wp:extent cx="3682800" cy="324000"/>
              <wp:effectExtent l="0" t="0" r="0" b="0"/>
              <wp:wrapNone/>
              <wp:docPr id="975375977" name="Group 9753759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682800" cy="324000"/>
                        <a:chOff x="-1004511" y="0"/>
                        <a:chExt cx="3681321" cy="324000"/>
                      </a:xfrm>
                    </wpg:grpSpPr>
                    <wps:wsp>
                      <wps:cNvPr id="196987883" name="Rectangle 196987883"/>
                      <wps:cNvSpPr/>
                      <wps:spPr>
                        <a:xfrm>
                          <a:off x="-1004511" y="0"/>
                          <a:ext cx="2706869" cy="324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EE5CDA" w14:textId="77777777" w:rsidR="005D6170" w:rsidRDefault="00F07A0B" w:rsidP="00E412CF">
                            <w:pPr>
                              <w:spacing w:after="0" w:line="240" w:lineRule="auto"/>
                              <w:jc w:val="right"/>
                            </w:pPr>
                            <w:r>
                              <w:t>CHAPTER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5731358" name="Rectangle 1785731358"/>
                      <wps:cNvSpPr/>
                      <wps:spPr>
                        <a:xfrm>
                          <a:off x="1666875" y="0"/>
                          <a:ext cx="1009935" cy="32400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0164EA" id="Group 975375977" o:spid="_x0000_s1052" alt="&quot;&quot;" style="position:absolute;margin-left:305.35pt;margin-top:22.7pt;width:290pt;height:25.5pt;z-index:251663872;mso-position-horizontal-relative:page;mso-position-vertical-relative:page;mso-width-relative:margin;mso-height-relative:margin" coordorigin="-10045" coordsize="36813,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">
              <v:rect id="Rectangle 196987883" o:spid="_x0000_s1053" style="position:absolute;left:-10045;width:27068;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" fillcolor="white [3212]" stroked="f" strokeweight="1pt">
                <v:textbox>
                  <w:txbxContent>
                    <w:p w14:paraId="74EE5CDA" w14:textId="77777777" w:rsidR="005D6170" w:rsidRDefault="00F07A0B" w:rsidP="00E412CF">
                      <w:pPr>
                        <w:spacing w:after="0" w:line="240" w:lineRule="auto"/>
                        <w:jc w:val="right"/>
                      </w:pPr>
                      <w:r>
                        <w:t>CHAPTER 6</w:t>
                      </w:r>
                    </w:p>
                  </w:txbxContent>
                </v:textbox>
              </v:rect>
              <v:rect id="Rectangle 1785731358" o:spid="_x0000_s1054" style="position:absolute;left:16668;width:1010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" fillcolor="#d2de5a [3214]" stroked="f" strokeweight="1pt"/>
              <w10:wrap anchorx="page" anchory="page"/>
            </v:group>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E96F8" w14:textId="6BADFEBB" w:rsidR="00A2332E" w:rsidRDefault="00A2332E">
    <w:pPr>
      <w:pStyle w:val="Header"/>
    </w:pPr>
    <w:r>
      <w:rPr>
        <w:noProof/>
      </w:rPr>
      <mc:AlternateContent>
        <mc:Choice Requires="wpg">
          <w:drawing>
            <wp:anchor distT="0" distB="0" distL="114300" distR="114300" simplePos="0" relativeHeight="251666944" behindDoc="0" locked="0" layoutInCell="1" allowOverlap="1" wp14:anchorId="47B998DA" wp14:editId="711A7F6B">
              <wp:simplePos x="0" y="0"/>
              <wp:positionH relativeFrom="page">
                <wp:align>right</wp:align>
              </wp:positionH>
              <wp:positionV relativeFrom="page">
                <wp:posOffset>288290</wp:posOffset>
              </wp:positionV>
              <wp:extent cx="3682800" cy="324000"/>
              <wp:effectExtent l="0" t="0" r="0" b="0"/>
              <wp:wrapNone/>
              <wp:docPr id="677883660" name="Group 6778836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682800" cy="324000"/>
                        <a:chOff x="-1004511" y="0"/>
                        <a:chExt cx="3681321" cy="324000"/>
                      </a:xfrm>
                    </wpg:grpSpPr>
                    <wps:wsp>
                      <wps:cNvPr id="1077633544" name="Rectangle 1077633544"/>
                      <wps:cNvSpPr/>
                      <wps:spPr>
                        <a:xfrm>
                          <a:off x="-1004511" y="0"/>
                          <a:ext cx="2706869" cy="324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66C776" w14:textId="77777777" w:rsidR="00A2332E" w:rsidRDefault="00A2332E" w:rsidP="001816D2">
                            <w:pPr>
                              <w:spacing w:after="0" w:line="240" w:lineRule="auto"/>
                              <w:jc w:val="right"/>
                            </w:pPr>
                            <w:r>
                              <w:t>APPENDIX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6227099" name="Rectangle 936227099"/>
                      <wps:cNvSpPr/>
                      <wps:spPr>
                        <a:xfrm>
                          <a:off x="1666875" y="0"/>
                          <a:ext cx="1009935" cy="324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B998DA" id="Group 677883660" o:spid="_x0000_s1055" alt="&quot;&quot;" style="position:absolute;margin-left:238.8pt;margin-top:22.7pt;width:290pt;height:25.5pt;z-index:251666944;mso-position-horizontal:right;mso-position-horizontal-relative:page;mso-position-vertical-relative:page;mso-width-relative:margin;mso-height-relative:margin" coordorigin="-10045" coordsize="36813,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">
              <v:rect id="Rectangle 1077633544" o:spid="_x0000_s1056" style="position:absolute;left:-10045;width:27068;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" fillcolor="white [3212]" stroked="f" strokeweight="1pt">
                <v:textbox>
                  <w:txbxContent>
                    <w:p w14:paraId="5A66C776" w14:textId="77777777" w:rsidR="00A2332E" w:rsidRDefault="00A2332E" w:rsidP="001816D2">
                      <w:pPr>
                        <w:spacing w:after="0" w:line="240" w:lineRule="auto"/>
                        <w:jc w:val="right"/>
                      </w:pPr>
                      <w:r>
                        <w:t>APPENDIX</w:t>
                      </w:r>
                    </w:p>
                  </w:txbxContent>
                </v:textbox>
              </v:rect>
              <v:rect id="Rectangle 936227099" o:spid="_x0000_s1057" style="position:absolute;left:16668;width:1010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" fillcolor="#441170 [3215]" stroked="f" strokeweight="1pt"/>
              <w10:wrap anchorx="page" anchory="page"/>
            </v:group>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CC331" w14:textId="77777777" w:rsidR="00A2332E" w:rsidRDefault="00A2332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D69996" w14:textId="77777777" w:rsidR="00A2332E" w:rsidRDefault="00A2332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7A7E59" w14:textId="77777777" w:rsidR="00A2332E" w:rsidRDefault="00A2332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A8AFB2" w14:textId="5C7EC402" w:rsidR="00A2332E" w:rsidRDefault="00A2332E">
    <w:pPr>
      <w:pStyle w:val="Header"/>
    </w:pPr>
    <w:r>
      <w:rPr>
        <w:noProof/>
      </w:rPr>
      <mc:AlternateContent>
        <mc:Choice Requires="wpg">
          <w:drawing>
            <wp:anchor distT="0" distB="0" distL="114300" distR="114300" simplePos="0" relativeHeight="251664896" behindDoc="0" locked="0" layoutInCell="1" allowOverlap="1" wp14:anchorId="7A31B4D8" wp14:editId="5FF3B8B4">
              <wp:simplePos x="0" y="0"/>
              <wp:positionH relativeFrom="page">
                <wp:align>right</wp:align>
              </wp:positionH>
              <wp:positionV relativeFrom="paragraph">
                <wp:posOffset>228600</wp:posOffset>
              </wp:positionV>
              <wp:extent cx="3681321" cy="324000"/>
              <wp:effectExtent l="0" t="0" r="0" b="0"/>
              <wp:wrapNone/>
              <wp:docPr id="1333597748" name="Group 13335977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681321" cy="324000"/>
                        <a:chOff x="-1004511" y="0"/>
                        <a:chExt cx="3681321" cy="324000"/>
                      </a:xfrm>
                    </wpg:grpSpPr>
                    <wps:wsp>
                      <wps:cNvPr id="1424695060" name="Rectangle 1424695060"/>
                      <wps:cNvSpPr/>
                      <wps:spPr>
                        <a:xfrm>
                          <a:off x="-1004511" y="0"/>
                          <a:ext cx="2706869" cy="324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857E81" w14:textId="77777777" w:rsidR="00A2332E" w:rsidRDefault="00A2332E" w:rsidP="00E36978">
                            <w:pPr>
                              <w:spacing w:after="0" w:line="240" w:lineRule="auto"/>
                              <w:jc w:val="right"/>
                            </w:pPr>
                            <w:r>
                              <w:t>REFERENCES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8252069" name="Rectangle 998252069"/>
                      <wps:cNvSpPr/>
                      <wps:spPr>
                        <a:xfrm>
                          <a:off x="1666875" y="0"/>
                          <a:ext cx="1009935" cy="324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A31B4D8" id="Group 1333597748" o:spid="_x0000_s1058" alt="&quot;&quot;" style="position:absolute;margin-left:238.65pt;margin-top:18pt;width:289.85pt;height:25.5pt;z-index:251664896;mso-position-horizontal:right;mso-position-horizontal-relative:page;mso-width-relative:margin" coordorigin="-10045" coordsize="36813,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">
              <v:rect id="Rectangle 1424695060" o:spid="_x0000_s1059" style="position:absolute;left:-10045;width:27068;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" fillcolor="white [3212]" stroked="f" strokeweight="1pt">
                <v:textbox>
                  <w:txbxContent>
                    <w:p w14:paraId="51857E81" w14:textId="77777777" w:rsidR="00A2332E" w:rsidRDefault="00A2332E" w:rsidP="00E36978">
                      <w:pPr>
                        <w:spacing w:after="0" w:line="240" w:lineRule="auto"/>
                        <w:jc w:val="right"/>
                      </w:pPr>
                      <w:r>
                        <w:t>REFERENCES</w:t>
                      </w:r>
                    </w:p>
                  </w:txbxContent>
                </v:textbox>
              </v:rect>
              <v:rect id="Rectangle 998252069" o:spid="_x0000_s1060" style="position:absolute;left:16668;width:1010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" fillcolor="#441170 [3215]" stroked="f" strokeweight="1pt"/>
              <w10:wrap anchorx="page"/>
            </v:group>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9E41F" w14:textId="2401C382" w:rsidR="00A2332E" w:rsidRDefault="00A2332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191C6" w14:textId="77777777" w:rsidR="00F07A0B" w:rsidRDefault="00F07A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0CB49CA" w14:paraId="660AD405" w14:textId="77777777" w:rsidTr="42777653">
      <w:trPr>
        <w:trHeight w:val="300"/>
      </w:trPr>
      <w:tc>
        <w:tcPr>
          <w:tcW w:w="3005" w:type="dxa"/>
        </w:tcPr>
        <w:p w14:paraId="3BF820BD" w14:textId="77777777" w:rsidR="00CB49CA" w:rsidRDefault="00CB49CA" w:rsidP="42777653">
          <w:pPr>
            <w:pStyle w:val="Header"/>
            <w:ind w:left="-115"/>
          </w:pPr>
        </w:p>
      </w:tc>
      <w:tc>
        <w:tcPr>
          <w:tcW w:w="3005" w:type="dxa"/>
        </w:tcPr>
        <w:p w14:paraId="390CD9C3" w14:textId="77777777" w:rsidR="00CB49CA" w:rsidRDefault="00CB49CA" w:rsidP="42777653">
          <w:pPr>
            <w:pStyle w:val="Header"/>
            <w:jc w:val="center"/>
          </w:pPr>
        </w:p>
      </w:tc>
      <w:tc>
        <w:tcPr>
          <w:tcW w:w="3005" w:type="dxa"/>
        </w:tcPr>
        <w:p w14:paraId="3D0AE548" w14:textId="77777777" w:rsidR="00CB49CA" w:rsidRDefault="00CB49CA" w:rsidP="42777653">
          <w:pPr>
            <w:pStyle w:val="Header"/>
            <w:ind w:right="-115"/>
            <w:jc w:val="right"/>
          </w:pPr>
        </w:p>
      </w:tc>
    </w:tr>
  </w:tbl>
  <w:p w14:paraId="4874ADFD" w14:textId="0C8BBA31" w:rsidR="00CB49CA" w:rsidRDefault="00CB49CA" w:rsidP="42777653">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94A4B" w14:textId="77777777" w:rsidR="00F07A0B" w:rsidRDefault="00F07A0B">
    <w:pPr>
      <w:pStyle w:val="Header"/>
    </w:pPr>
    <w:r>
      <w:rPr>
        <w:noProof/>
      </w:rPr>
      <mc:AlternateContent>
        <mc:Choice Requires="wpg">
          <w:drawing>
            <wp:anchor distT="0" distB="0" distL="114300" distR="114300" simplePos="0" relativeHeight="251665920" behindDoc="0" locked="0" layoutInCell="1" allowOverlap="1" wp14:anchorId="460D55EF" wp14:editId="08A682AD">
              <wp:simplePos x="0" y="0"/>
              <wp:positionH relativeFrom="page">
                <wp:align>right</wp:align>
              </wp:positionH>
              <wp:positionV relativeFrom="paragraph">
                <wp:posOffset>-123825</wp:posOffset>
              </wp:positionV>
              <wp:extent cx="3681321" cy="324000"/>
              <wp:effectExtent l="0" t="0" r="0" b="0"/>
              <wp:wrapNone/>
              <wp:docPr id="2029152109" name="Group 20291521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681321" cy="324000"/>
                        <a:chOff x="-1004511" y="0"/>
                        <a:chExt cx="3681321" cy="324000"/>
                      </a:xfrm>
                    </wpg:grpSpPr>
                    <wps:wsp>
                      <wps:cNvPr id="315215621" name="Rectangle 315215621"/>
                      <wps:cNvSpPr/>
                      <wps:spPr>
                        <a:xfrm>
                          <a:off x="-1004511" y="0"/>
                          <a:ext cx="2706869" cy="324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B61E33" w14:textId="77777777" w:rsidR="00F07A0B" w:rsidRDefault="00F07A0B" w:rsidP="00E36978">
                            <w:pPr>
                              <w:spacing w:after="0" w:line="240" w:lineRule="auto"/>
                              <w:jc w:val="right"/>
                            </w:pPr>
                            <w:r>
                              <w:t>DATA SOURCES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1411309" name="Rectangle 1271411309"/>
                      <wps:cNvSpPr/>
                      <wps:spPr>
                        <a:xfrm>
                          <a:off x="1666875" y="0"/>
                          <a:ext cx="1009935" cy="324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60D55EF" id="Group 2029152109" o:spid="_x0000_s1061" alt="&quot;&quot;" style="position:absolute;margin-left:238.65pt;margin-top:-9.75pt;width:289.85pt;height:25.5pt;z-index:251665920;mso-position-horizontal:right;mso-position-horizontal-relative:page;mso-width-relative:margin" coordorigin="-10045" coordsize="36813,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">
              <v:rect id="Rectangle 315215621" o:spid="_x0000_s1062" style="position:absolute;left:-10045;width:27068;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" fillcolor="white [3212]" stroked="f" strokeweight="1pt">
                <v:textbox>
                  <w:txbxContent>
                    <w:p w14:paraId="72B61E33" w14:textId="77777777" w:rsidR="00F07A0B" w:rsidRDefault="00F07A0B" w:rsidP="00E36978">
                      <w:pPr>
                        <w:spacing w:after="0" w:line="240" w:lineRule="auto"/>
                        <w:jc w:val="right"/>
                      </w:pPr>
                      <w:r>
                        <w:t>DATA SOURCES</w:t>
                      </w:r>
                    </w:p>
                  </w:txbxContent>
                </v:textbox>
              </v:rect>
              <v:rect id="Rectangle 1271411309" o:spid="_x0000_s1063" style="position:absolute;left:16668;width:1010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" fillcolor="#441170 [3215]" stroked="f" strokeweight="1pt"/>
              <w10:wrap anchorx="page"/>
            </v:group>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533341" w14:textId="77777777" w:rsidR="00F07A0B" w:rsidRDefault="00F07A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7AB36" w14:textId="77777777" w:rsidR="00CB49CA" w:rsidRDefault="00CB49CA">
    <w:pPr>
      <w:pStyle w:val="Header"/>
    </w:pPr>
    <w:r>
      <w:rPr>
        <w:noProof/>
      </w:rPr>
      <mc:AlternateContent>
        <mc:Choice Requires="wps">
          <w:drawing>
            <wp:anchor distT="0" distB="0" distL="0" distR="0" simplePos="0" relativeHeight="251652608" behindDoc="0" locked="0" layoutInCell="1" allowOverlap="1" wp14:anchorId="21239A77" wp14:editId="6DE979A8">
              <wp:simplePos x="635" y="635"/>
              <wp:positionH relativeFrom="page">
                <wp:align>center</wp:align>
              </wp:positionH>
              <wp:positionV relativeFrom="page">
                <wp:align>top</wp:align>
              </wp:positionV>
              <wp:extent cx="443865" cy="443865"/>
              <wp:effectExtent l="0" t="0" r="1270" b="16510"/>
              <wp:wrapNone/>
              <wp:docPr id="820814027" name="Text Box 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5F4487" w14:textId="77777777" w:rsidR="00CB49CA" w:rsidRPr="00150F6D" w:rsidRDefault="00CB49CA" w:rsidP="00150F6D">
                          <w:pPr>
                            <w:spacing w:after="0"/>
                            <w:rPr>
                              <w:rFonts w:eastAsia="Arial" w:cs="Arial"/>
                              <w:noProof/>
                              <w:color w:val="FF0000"/>
                              <w:sz w:val="24"/>
                              <w:szCs w:val="24"/>
                            </w:rPr>
                          </w:pPr>
                          <w:r w:rsidRPr="00150F6D">
                            <w:rPr>
                              <w:rFonts w:eastAsia="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239A77" id="_x0000_t202" coordsize="21600,21600" o:spt="202" path="m,l,21600r21600,l21600,xe">
              <v:stroke joinstyle="miter"/>
              <v:path gradientshapeok="t" o:connecttype="rect"/>
            </v:shapetype>
            <v:shape id="Text Box 4" o:spid="_x0000_s1030" type="#_x0000_t202" alt="OFFICIAL: Sensitive" style="position:absolute;margin-left:0;margin-top:0;width:34.95pt;height:34.95pt;z-index:2516526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565F4487" w14:textId="77777777" w:rsidR="00CB49CA" w:rsidRPr="00150F6D" w:rsidRDefault="00CB49CA" w:rsidP="00150F6D">
                    <w:pPr>
                      <w:spacing w:after="0"/>
                      <w:rPr>
                        <w:rFonts w:eastAsia="Arial" w:cs="Arial"/>
                        <w:noProof/>
                        <w:color w:val="FF0000"/>
                        <w:sz w:val="24"/>
                        <w:szCs w:val="24"/>
                      </w:rPr>
                    </w:pPr>
                    <w:r w:rsidRPr="00150F6D">
                      <w:rPr>
                        <w:rFonts w:eastAsia="Arial" w:cs="Arial"/>
                        <w:noProof/>
                        <w:color w:val="FF0000"/>
                        <w:sz w:val="24"/>
                        <w:szCs w:val="24"/>
                      </w:rPr>
                      <w:t>OFFICIAL: Sensitive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DAADB" w14:textId="77777777" w:rsidR="00BB12AD" w:rsidRDefault="00BB12AD">
    <w:pPr>
      <w:pStyle w:val="Header"/>
    </w:pPr>
    <w:r>
      <w:rPr>
        <w:noProof/>
      </w:rPr>
      <mc:AlternateContent>
        <mc:Choice Requires="wps">
          <w:drawing>
            <wp:anchor distT="0" distB="0" distL="0" distR="0" simplePos="0" relativeHeight="251648512" behindDoc="0" locked="0" layoutInCell="1" allowOverlap="1" wp14:anchorId="6ABAC500" wp14:editId="2852B7B7">
              <wp:simplePos x="635" y="635"/>
              <wp:positionH relativeFrom="page">
                <wp:align>center</wp:align>
              </wp:positionH>
              <wp:positionV relativeFrom="page">
                <wp:align>top</wp:align>
              </wp:positionV>
              <wp:extent cx="443865" cy="443865"/>
              <wp:effectExtent l="0" t="0" r="1270" b="16510"/>
              <wp:wrapNone/>
              <wp:docPr id="1137943643" name="Text Box 5"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E6A4B5" w14:textId="77777777" w:rsidR="00BB12AD" w:rsidRPr="00150F6D" w:rsidRDefault="00BB12AD" w:rsidP="008056A2">
                          <w:pPr>
                            <w:spacing w:after="0"/>
                            <w:rPr>
                              <w:rFonts w:eastAsia="Arial" w:cs="Arial"/>
                              <w:noProof/>
                              <w:color w:val="FF0000"/>
                              <w:sz w:val="24"/>
                              <w:szCs w:val="24"/>
                            </w:rPr>
                          </w:pPr>
                          <w:r w:rsidRPr="00150F6D">
                            <w:rPr>
                              <w:rFonts w:eastAsia="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BAC500" id="_x0000_t202" coordsize="21600,21600" o:spt="202" path="m,l,21600r21600,l21600,xe">
              <v:stroke joinstyle="miter"/>
              <v:path gradientshapeok="t" o:connecttype="rect"/>
            </v:shapetype>
            <v:shape id="_x0000_s1032" type="#_x0000_t202" alt="OFFICIAL: Sensitive" style="position:absolute;margin-left:0;margin-top:0;width:34.95pt;height:34.95pt;z-index:2516485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32E6A4B5" w14:textId="77777777" w:rsidR="00BB12AD" w:rsidRPr="00150F6D" w:rsidRDefault="00BB12AD" w:rsidP="008056A2">
                    <w:pPr>
                      <w:spacing w:after="0"/>
                      <w:rPr>
                        <w:rFonts w:eastAsia="Arial" w:cs="Arial"/>
                        <w:noProof/>
                        <w:color w:val="FF0000"/>
                        <w:sz w:val="24"/>
                        <w:szCs w:val="24"/>
                      </w:rPr>
                    </w:pPr>
                    <w:r w:rsidRPr="00150F6D">
                      <w:rPr>
                        <w:rFonts w:eastAsia="Arial" w:cs="Arial"/>
                        <w:noProof/>
                        <w:color w:val="FF0000"/>
                        <w:sz w:val="24"/>
                        <w:szCs w:val="24"/>
                      </w:rPr>
                      <w:t>OFFICIAL: Sensitive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8CDA5" w14:textId="31C32D72" w:rsidR="00BB12AD" w:rsidRDefault="00BD1A65">
    <w:pPr>
      <w:pStyle w:val="Header"/>
    </w:pPr>
    <w:r>
      <w:rPr>
        <w:noProof/>
      </w:rPr>
      <mc:AlternateContent>
        <mc:Choice Requires="wps">
          <w:drawing>
            <wp:anchor distT="0" distB="0" distL="114300" distR="114300" simplePos="0" relativeHeight="251651584" behindDoc="0" locked="0" layoutInCell="1" allowOverlap="1" wp14:anchorId="1195FA34" wp14:editId="76AFE8D5">
              <wp:simplePos x="0" y="0"/>
              <wp:positionH relativeFrom="column">
                <wp:posOffset>2966357</wp:posOffset>
              </wp:positionH>
              <wp:positionV relativeFrom="page">
                <wp:posOffset>288290</wp:posOffset>
              </wp:positionV>
              <wp:extent cx="2707200" cy="324000"/>
              <wp:effectExtent l="0" t="0" r="0" b="0"/>
              <wp:wrapNone/>
              <wp:docPr id="1549088779" name="Rectangle 1"/>
              <wp:cNvGraphicFramePr/>
              <a:graphic xmlns:a="http://schemas.openxmlformats.org/drawingml/2006/main">
                <a:graphicData uri="http://schemas.microsoft.com/office/word/2010/wordprocessingShape">
                  <wps:wsp>
                    <wps:cNvSpPr/>
                    <wps:spPr>
                      <a:xfrm>
                        <a:off x="0" y="0"/>
                        <a:ext cx="2707200" cy="324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DEECB2" w14:textId="77777777" w:rsidR="003224A2" w:rsidRDefault="003224A2" w:rsidP="003224A2">
                          <w:pPr>
                            <w:spacing w:after="0" w:line="240" w:lineRule="auto"/>
                            <w:jc w:val="right"/>
                          </w:pPr>
                          <w:r>
                            <w:t>EXECUTIVE SUMMARY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95FA34" id="Rectangle 1" o:spid="_x0000_s1033" style="position:absolute;margin-left:233.55pt;margin-top:22.7pt;width:213.15pt;height:2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" fillcolor="white [3212]" stroked="f" strokeweight="1pt">
              <v:textbox>
                <w:txbxContent>
                  <w:p w14:paraId="4FDEECB2" w14:textId="77777777" w:rsidR="003224A2" w:rsidRDefault="003224A2" w:rsidP="003224A2">
                    <w:pPr>
                      <w:spacing w:after="0" w:line="240" w:lineRule="auto"/>
                      <w:jc w:val="right"/>
                    </w:pPr>
                    <w:r>
                      <w:t>EXECUTIVE SUMMARY</w:t>
                    </w:r>
                  </w:p>
                </w:txbxContent>
              </v:textbox>
              <w10:wrap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4D9D4" w14:textId="77777777" w:rsidR="00BB12AD" w:rsidRDefault="00BB12AD">
    <w:pPr>
      <w:pStyle w:val="Header"/>
    </w:pPr>
    <w:r>
      <w:rPr>
        <w:noProof/>
      </w:rPr>
      <mc:AlternateContent>
        <mc:Choice Requires="wps">
          <w:drawing>
            <wp:anchor distT="0" distB="0" distL="0" distR="0" simplePos="0" relativeHeight="251647488" behindDoc="0" locked="0" layoutInCell="1" allowOverlap="1" wp14:anchorId="1276C3F7" wp14:editId="1B124E4E">
              <wp:simplePos x="635" y="635"/>
              <wp:positionH relativeFrom="page">
                <wp:align>center</wp:align>
              </wp:positionH>
              <wp:positionV relativeFrom="page">
                <wp:align>top</wp:align>
              </wp:positionV>
              <wp:extent cx="443865" cy="443865"/>
              <wp:effectExtent l="0" t="0" r="1270" b="16510"/>
              <wp:wrapNone/>
              <wp:docPr id="311539033" name="Text Box 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434B9D" w14:textId="77777777" w:rsidR="00BB12AD" w:rsidRPr="00150F6D" w:rsidRDefault="00BB12AD" w:rsidP="008056A2">
                          <w:pPr>
                            <w:spacing w:after="0"/>
                            <w:rPr>
                              <w:rFonts w:eastAsia="Arial" w:cs="Arial"/>
                              <w:noProof/>
                              <w:color w:val="FF0000"/>
                              <w:sz w:val="24"/>
                              <w:szCs w:val="24"/>
                            </w:rPr>
                          </w:pPr>
                          <w:r w:rsidRPr="00150F6D">
                            <w:rPr>
                              <w:rFonts w:eastAsia="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76C3F7" id="_x0000_t202" coordsize="21600,21600" o:spt="202" path="m,l,21600r21600,l21600,xe">
              <v:stroke joinstyle="miter"/>
              <v:path gradientshapeok="t" o:connecttype="rect"/>
            </v:shapetype>
            <v:shape id="_x0000_s1035" type="#_x0000_t202" alt="OFFICIAL: Sensitive" style="position:absolute;margin-left:0;margin-top:0;width:34.95pt;height:34.95pt;z-index:2516474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74434B9D" w14:textId="77777777" w:rsidR="00BB12AD" w:rsidRPr="00150F6D" w:rsidRDefault="00BB12AD" w:rsidP="008056A2">
                    <w:pPr>
                      <w:spacing w:after="0"/>
                      <w:rPr>
                        <w:rFonts w:eastAsia="Arial" w:cs="Arial"/>
                        <w:noProof/>
                        <w:color w:val="FF0000"/>
                        <w:sz w:val="24"/>
                        <w:szCs w:val="24"/>
                      </w:rPr>
                    </w:pPr>
                    <w:r w:rsidRPr="00150F6D">
                      <w:rPr>
                        <w:rFonts w:eastAsia="Arial" w:cs="Arial"/>
                        <w:noProof/>
                        <w:color w:val="FF0000"/>
                        <w:sz w:val="24"/>
                        <w:szCs w:val="24"/>
                      </w:rPr>
                      <w:t>OFFICIAL: Sensitive</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9F05B9" w14:textId="119E2630" w:rsidR="004A6BF1" w:rsidRDefault="004A6BF1">
    <w:pPr>
      <w:pStyle w:val="Header"/>
    </w:pPr>
    <w:r>
      <w:rPr>
        <w:noProof/>
      </w:rPr>
      <mc:AlternateContent>
        <mc:Choice Requires="wpg">
          <w:drawing>
            <wp:anchor distT="0" distB="0" distL="114300" distR="114300" simplePos="0" relativeHeight="251656704" behindDoc="0" locked="0" layoutInCell="1" allowOverlap="1" wp14:anchorId="240D8A59" wp14:editId="715D77CE">
              <wp:simplePos x="0" y="0"/>
              <wp:positionH relativeFrom="page">
                <wp:align>right</wp:align>
              </wp:positionH>
              <wp:positionV relativeFrom="page">
                <wp:posOffset>288290</wp:posOffset>
              </wp:positionV>
              <wp:extent cx="3560400" cy="324000"/>
              <wp:effectExtent l="0" t="0" r="2540" b="0"/>
              <wp:wrapNone/>
              <wp:docPr id="792727806" name="Group 7927278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560400" cy="324000"/>
                        <a:chOff x="-883325" y="0"/>
                        <a:chExt cx="3560135" cy="324000"/>
                      </a:xfrm>
                    </wpg:grpSpPr>
                    <wps:wsp>
                      <wps:cNvPr id="1454039095" name="Rectangle 1454039095"/>
                      <wps:cNvSpPr/>
                      <wps:spPr>
                        <a:xfrm>
                          <a:off x="-883325" y="0"/>
                          <a:ext cx="2585919" cy="324000"/>
                        </a:xfrm>
                        <a:prstGeom prst="rect">
                          <a:avLst/>
                        </a:prstGeom>
                        <a:solidFill>
                          <a:srgbClr val="FFFFFF"/>
                        </a:solidFill>
                        <a:ln w="12700" cap="flat" cmpd="sng" algn="ctr">
                          <a:noFill/>
                          <a:prstDash val="solid"/>
                          <a:miter lim="800000"/>
                        </a:ln>
                        <a:effectLst/>
                      </wps:spPr>
                      <wps:txbx>
                        <w:txbxContent>
                          <w:p w14:paraId="7B93A5E3" w14:textId="77777777" w:rsidR="004A6BF1" w:rsidRDefault="004A6BF1" w:rsidP="004367E3">
                            <w:pPr>
                              <w:spacing w:after="0" w:line="240" w:lineRule="auto"/>
                              <w:jc w:val="right"/>
                            </w:pPr>
                            <w:r>
                              <w:t>INTRODUCTION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6114458" name="Rectangle 1496114458"/>
                      <wps:cNvSpPr/>
                      <wps:spPr>
                        <a:xfrm>
                          <a:off x="1666875" y="0"/>
                          <a:ext cx="1009935" cy="324000"/>
                        </a:xfrm>
                        <a:prstGeom prst="rect">
                          <a:avLst/>
                        </a:prstGeom>
                        <a:solidFill>
                          <a:srgbClr val="D5A3F9"/>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40D8A59" id="Group 792727806" o:spid="_x0000_s1037" alt="&quot;&quot;" style="position:absolute;margin-left:229.15pt;margin-top:22.7pt;width:280.35pt;height:25.5pt;z-index:251656704;mso-position-horizontal:right;mso-position-horizontal-relative:page;mso-position-vertical-relative:page;mso-width-relative:margin;mso-height-relative:margin" coordorigin="-8833" coordsize="35601,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">
              <v:rect id="Rectangle 1454039095" o:spid="_x0000_s1038" style="position:absolute;left:-8833;width:25858;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" stroked="f" strokeweight="1pt">
                <v:textbox>
                  <w:txbxContent>
                    <w:p w14:paraId="7B93A5E3" w14:textId="77777777" w:rsidR="004A6BF1" w:rsidRDefault="004A6BF1" w:rsidP="004367E3">
                      <w:pPr>
                        <w:spacing w:after="0" w:line="240" w:lineRule="auto"/>
                        <w:jc w:val="right"/>
                      </w:pPr>
                      <w:r>
                        <w:t>INTRODUCTION</w:t>
                      </w:r>
                    </w:p>
                  </w:txbxContent>
                </v:textbox>
              </v:rect>
              <v:rect id="Rectangle 1496114458" o:spid="_x0000_s1039" style="position:absolute;left:16668;width:1010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" fillcolor="#d5a3f9" stroked="f" strokeweight="1pt"/>
              <w10:wrap anchorx="page" anchory="pag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D8D06" w14:textId="45663DF9" w:rsidR="005D6170" w:rsidRDefault="005D6170">
    <w:pPr>
      <w:pStyle w:val="Header"/>
    </w:pPr>
    <w:r>
      <w:rPr>
        <w:noProof/>
      </w:rPr>
      <mc:AlternateContent>
        <mc:Choice Requires="wpg">
          <w:drawing>
            <wp:anchor distT="0" distB="0" distL="114300" distR="114300" simplePos="0" relativeHeight="251657728" behindDoc="0" locked="0" layoutInCell="1" allowOverlap="1" wp14:anchorId="719D6B1C" wp14:editId="2D0BEC5C">
              <wp:simplePos x="0" y="0"/>
              <wp:positionH relativeFrom="page">
                <wp:posOffset>3877937</wp:posOffset>
              </wp:positionH>
              <wp:positionV relativeFrom="page">
                <wp:posOffset>288290</wp:posOffset>
              </wp:positionV>
              <wp:extent cx="3682800" cy="324000"/>
              <wp:effectExtent l="0" t="0" r="0" b="0"/>
              <wp:wrapNone/>
              <wp:docPr id="1341085345" name="Group 13410853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682800" cy="324000"/>
                        <a:chOff x="-1004511" y="0"/>
                        <a:chExt cx="3681321" cy="324000"/>
                      </a:xfrm>
                    </wpg:grpSpPr>
                    <wps:wsp>
                      <wps:cNvPr id="1341085346" name="Rectangle 1341085346"/>
                      <wps:cNvSpPr/>
                      <wps:spPr>
                        <a:xfrm>
                          <a:off x="-1004511" y="0"/>
                          <a:ext cx="2706869" cy="324000"/>
                        </a:xfrm>
                        <a:prstGeom prst="rect">
                          <a:avLst/>
                        </a:prstGeom>
                        <a:solidFill>
                          <a:srgbClr val="FFFFFF"/>
                        </a:solidFill>
                        <a:ln w="12700" cap="flat" cmpd="sng" algn="ctr">
                          <a:noFill/>
                          <a:prstDash val="solid"/>
                          <a:miter lim="800000"/>
                        </a:ln>
                        <a:effectLst/>
                      </wps:spPr>
                      <wps:txbx>
                        <w:txbxContent>
                          <w:p w14:paraId="29BAE485" w14:textId="77777777" w:rsidR="005D6170" w:rsidRDefault="00F07A0B" w:rsidP="00E412CF">
                            <w:pPr>
                              <w:spacing w:after="0" w:line="240" w:lineRule="auto"/>
                              <w:jc w:val="right"/>
                            </w:pPr>
                            <w:r>
                              <w:t>CHAPTER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1085347" name="Rectangle 1341085347"/>
                      <wps:cNvSpPr/>
                      <wps:spPr>
                        <a:xfrm>
                          <a:off x="1666875" y="0"/>
                          <a:ext cx="1009935" cy="324000"/>
                        </a:xfrm>
                        <a:prstGeom prst="rect">
                          <a:avLst/>
                        </a:prstGeom>
                        <a:solidFill>
                          <a:srgbClr val="E0D1F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9D6B1C" id="Group 1341085345" o:spid="_x0000_s1040" alt="&quot;&quot;" style="position:absolute;margin-left:305.35pt;margin-top:22.7pt;width:290pt;height:25.5pt;z-index:251657728;mso-position-horizontal-relative:page;mso-position-vertical-relative:page;mso-width-relative:margin;mso-height-relative:margin" coordorigin="-10045" coordsize="36813,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">
              <v:rect id="Rectangle 1341085346" o:spid="_x0000_s1041" style="position:absolute;left:-10045;width:27068;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" stroked="f" strokeweight="1pt">
                <v:textbox>
                  <w:txbxContent>
                    <w:p w14:paraId="29BAE485" w14:textId="77777777" w:rsidR="005D6170" w:rsidRDefault="00F07A0B" w:rsidP="00E412CF">
                      <w:pPr>
                        <w:spacing w:after="0" w:line="240" w:lineRule="auto"/>
                        <w:jc w:val="right"/>
                      </w:pPr>
                      <w:r>
                        <w:t>CHAPTER 1</w:t>
                      </w:r>
                    </w:p>
                  </w:txbxContent>
                </v:textbox>
              </v:rect>
              <v:rect id="Rectangle 1341085347" o:spid="_x0000_s1042" style="position:absolute;left:16668;width:1010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" fillcolor="#e0d1f5" stroked="f" strokeweight="1pt"/>
              <w10:wrap anchorx="page" anchory="pag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0C14F" w14:textId="2DC4781F" w:rsidR="00F07A0B" w:rsidRDefault="00F07A0B">
    <w:pPr>
      <w:pStyle w:val="Header"/>
    </w:pPr>
    <w:r>
      <w:rPr>
        <w:noProof/>
      </w:rPr>
      <mc:AlternateContent>
        <mc:Choice Requires="wpg">
          <w:drawing>
            <wp:anchor distT="0" distB="0" distL="114300" distR="114300" simplePos="0" relativeHeight="251660800" behindDoc="0" locked="0" layoutInCell="1" allowOverlap="1" wp14:anchorId="5AE66B92" wp14:editId="171D8FFB">
              <wp:simplePos x="0" y="0"/>
              <wp:positionH relativeFrom="page">
                <wp:align>right</wp:align>
              </wp:positionH>
              <wp:positionV relativeFrom="page">
                <wp:posOffset>288290</wp:posOffset>
              </wp:positionV>
              <wp:extent cx="3682800" cy="324000"/>
              <wp:effectExtent l="0" t="0" r="0" b="0"/>
              <wp:wrapNone/>
              <wp:docPr id="1683411285" name="Group 16834112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682800" cy="324000"/>
                        <a:chOff x="-1004511" y="0"/>
                        <a:chExt cx="3681321" cy="324000"/>
                      </a:xfrm>
                    </wpg:grpSpPr>
                    <wps:wsp>
                      <wps:cNvPr id="1624283317" name="Rectangle 1624283317"/>
                      <wps:cNvSpPr/>
                      <wps:spPr>
                        <a:xfrm>
                          <a:off x="-1004511" y="0"/>
                          <a:ext cx="2706869" cy="324000"/>
                        </a:xfrm>
                        <a:prstGeom prst="rect">
                          <a:avLst/>
                        </a:prstGeom>
                        <a:solidFill>
                          <a:srgbClr val="FFFFFF"/>
                        </a:solidFill>
                        <a:ln w="12700" cap="flat" cmpd="sng" algn="ctr">
                          <a:noFill/>
                          <a:prstDash val="solid"/>
                          <a:miter lim="800000"/>
                        </a:ln>
                        <a:effectLst/>
                      </wps:spPr>
                      <wps:txbx>
                        <w:txbxContent>
                          <w:p w14:paraId="5D3A5BCD" w14:textId="77777777" w:rsidR="00F07A0B" w:rsidRDefault="00F07A0B" w:rsidP="0020792A">
                            <w:pPr>
                              <w:spacing w:after="0" w:line="240" w:lineRule="auto"/>
                              <w:jc w:val="right"/>
                            </w:pPr>
                            <w:r>
                              <w:t>CHAPTER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7682292" name="Rectangle 1537682292"/>
                      <wps:cNvSpPr/>
                      <wps:spPr>
                        <a:xfrm>
                          <a:off x="1666875" y="0"/>
                          <a:ext cx="1009935" cy="324000"/>
                        </a:xfrm>
                        <a:prstGeom prst="rect">
                          <a:avLst/>
                        </a:prstGeom>
                        <a:solidFill>
                          <a:srgbClr val="DAE3F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E66B92" id="Group 1683411285" o:spid="_x0000_s1043" alt="&quot;&quot;" style="position:absolute;margin-left:238.8pt;margin-top:22.7pt;width:290pt;height:25.5pt;z-index:251660800;mso-position-horizontal:right;mso-position-horizontal-relative:page;mso-position-vertical-relative:page;mso-width-relative:margin;mso-height-relative:margin" coordorigin="-10045" coordsize="36813,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">
              <v:rect id="Rectangle 1624283317" o:spid="_x0000_s1044" style="position:absolute;left:-10045;width:27068;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" stroked="f" strokeweight="1pt">
                <v:textbox>
                  <w:txbxContent>
                    <w:p w14:paraId="5D3A5BCD" w14:textId="77777777" w:rsidR="00F07A0B" w:rsidRDefault="00F07A0B" w:rsidP="0020792A">
                      <w:pPr>
                        <w:spacing w:after="0" w:line="240" w:lineRule="auto"/>
                        <w:jc w:val="right"/>
                      </w:pPr>
                      <w:r>
                        <w:t>CHAPTER 3</w:t>
                      </w:r>
                    </w:p>
                  </w:txbxContent>
                </v:textbox>
              </v:rect>
              <v:rect id="Rectangle 1537682292" o:spid="_x0000_s1045" style="position:absolute;left:16668;width:1010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" fillcolor="#dae3f5" stroked="f" strokeweight="1p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15086"/>
    <w:multiLevelType w:val="multilevel"/>
    <w:tmpl w:val="CA5EFD84"/>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7D77FCD"/>
    <w:multiLevelType w:val="hybridMultilevel"/>
    <w:tmpl w:val="74CAE7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4A486F"/>
    <w:multiLevelType w:val="hybridMultilevel"/>
    <w:tmpl w:val="DD3CEBD8"/>
    <w:lvl w:ilvl="0" w:tplc="2EA6DE0C">
      <w:start w:val="1"/>
      <w:numFmt w:val="bullet"/>
      <w:lvlText w:val="•"/>
      <w:lvlJc w:val="left"/>
      <w:pPr>
        <w:tabs>
          <w:tab w:val="num" w:pos="360"/>
        </w:tabs>
        <w:ind w:left="360" w:hanging="360"/>
      </w:pPr>
      <w:rPr>
        <w:rFonts w:ascii="Arial" w:hAnsi="Arial" w:hint="default"/>
      </w:rPr>
    </w:lvl>
    <w:lvl w:ilvl="1" w:tplc="055C1B5E" w:tentative="1">
      <w:start w:val="1"/>
      <w:numFmt w:val="bullet"/>
      <w:lvlText w:val="•"/>
      <w:lvlJc w:val="left"/>
      <w:pPr>
        <w:tabs>
          <w:tab w:val="num" w:pos="1080"/>
        </w:tabs>
        <w:ind w:left="1080" w:hanging="360"/>
      </w:pPr>
      <w:rPr>
        <w:rFonts w:ascii="Arial" w:hAnsi="Arial" w:hint="default"/>
      </w:rPr>
    </w:lvl>
    <w:lvl w:ilvl="2" w:tplc="41224978" w:tentative="1">
      <w:start w:val="1"/>
      <w:numFmt w:val="bullet"/>
      <w:lvlText w:val="•"/>
      <w:lvlJc w:val="left"/>
      <w:pPr>
        <w:tabs>
          <w:tab w:val="num" w:pos="1800"/>
        </w:tabs>
        <w:ind w:left="1800" w:hanging="360"/>
      </w:pPr>
      <w:rPr>
        <w:rFonts w:ascii="Arial" w:hAnsi="Arial" w:hint="default"/>
      </w:rPr>
    </w:lvl>
    <w:lvl w:ilvl="3" w:tplc="D26C0E30" w:tentative="1">
      <w:start w:val="1"/>
      <w:numFmt w:val="bullet"/>
      <w:lvlText w:val="•"/>
      <w:lvlJc w:val="left"/>
      <w:pPr>
        <w:tabs>
          <w:tab w:val="num" w:pos="2520"/>
        </w:tabs>
        <w:ind w:left="2520" w:hanging="360"/>
      </w:pPr>
      <w:rPr>
        <w:rFonts w:ascii="Arial" w:hAnsi="Arial" w:hint="default"/>
      </w:rPr>
    </w:lvl>
    <w:lvl w:ilvl="4" w:tplc="C43E1B48" w:tentative="1">
      <w:start w:val="1"/>
      <w:numFmt w:val="bullet"/>
      <w:lvlText w:val="•"/>
      <w:lvlJc w:val="left"/>
      <w:pPr>
        <w:tabs>
          <w:tab w:val="num" w:pos="3240"/>
        </w:tabs>
        <w:ind w:left="3240" w:hanging="360"/>
      </w:pPr>
      <w:rPr>
        <w:rFonts w:ascii="Arial" w:hAnsi="Arial" w:hint="default"/>
      </w:rPr>
    </w:lvl>
    <w:lvl w:ilvl="5" w:tplc="0C50DEA0" w:tentative="1">
      <w:start w:val="1"/>
      <w:numFmt w:val="bullet"/>
      <w:lvlText w:val="•"/>
      <w:lvlJc w:val="left"/>
      <w:pPr>
        <w:tabs>
          <w:tab w:val="num" w:pos="3960"/>
        </w:tabs>
        <w:ind w:left="3960" w:hanging="360"/>
      </w:pPr>
      <w:rPr>
        <w:rFonts w:ascii="Arial" w:hAnsi="Arial" w:hint="default"/>
      </w:rPr>
    </w:lvl>
    <w:lvl w:ilvl="6" w:tplc="567C4302" w:tentative="1">
      <w:start w:val="1"/>
      <w:numFmt w:val="bullet"/>
      <w:lvlText w:val="•"/>
      <w:lvlJc w:val="left"/>
      <w:pPr>
        <w:tabs>
          <w:tab w:val="num" w:pos="4680"/>
        </w:tabs>
        <w:ind w:left="4680" w:hanging="360"/>
      </w:pPr>
      <w:rPr>
        <w:rFonts w:ascii="Arial" w:hAnsi="Arial" w:hint="default"/>
      </w:rPr>
    </w:lvl>
    <w:lvl w:ilvl="7" w:tplc="1E98374A" w:tentative="1">
      <w:start w:val="1"/>
      <w:numFmt w:val="bullet"/>
      <w:lvlText w:val="•"/>
      <w:lvlJc w:val="left"/>
      <w:pPr>
        <w:tabs>
          <w:tab w:val="num" w:pos="5400"/>
        </w:tabs>
        <w:ind w:left="5400" w:hanging="360"/>
      </w:pPr>
      <w:rPr>
        <w:rFonts w:ascii="Arial" w:hAnsi="Arial" w:hint="default"/>
      </w:rPr>
    </w:lvl>
    <w:lvl w:ilvl="8" w:tplc="8C1EBDAE"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122A77A1"/>
    <w:multiLevelType w:val="hybridMultilevel"/>
    <w:tmpl w:val="646E525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3530790"/>
    <w:multiLevelType w:val="hybridMultilevel"/>
    <w:tmpl w:val="0E54ED2E"/>
    <w:lvl w:ilvl="0" w:tplc="FFFFFFFF">
      <w:start w:val="1"/>
      <w:numFmt w:val="lowerRoman"/>
      <w:lvlText w:val="%1."/>
      <w:lvlJc w:val="right"/>
      <w:pPr>
        <w:ind w:left="108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D585F53"/>
    <w:multiLevelType w:val="multilevel"/>
    <w:tmpl w:val="3DD44284"/>
    <w:name w:val="ListBullets"/>
    <w:lvl w:ilvl="0">
      <w:start w:val="1"/>
      <w:numFmt w:val="bullet"/>
      <w:pStyle w:val="ListBullet"/>
      <w:lvlText w:val="•"/>
      <w:lvlJc w:val="left"/>
      <w:pPr>
        <w:ind w:left="340" w:hanging="340"/>
      </w:pPr>
      <w:rPr>
        <w:rFonts w:ascii="Calibri" w:hAnsi="Calibri" w:hint="default"/>
        <w:color w:val="auto"/>
      </w:rPr>
    </w:lvl>
    <w:lvl w:ilvl="1">
      <w:start w:val="1"/>
      <w:numFmt w:val="bullet"/>
      <w:pStyle w:val="ListBullet2"/>
      <w:lvlText w:val="–"/>
      <w:lvlJc w:val="left"/>
      <w:pPr>
        <w:ind w:left="680" w:hanging="340"/>
      </w:pPr>
      <w:rPr>
        <w:rFonts w:ascii="Arial" w:hAnsi="Arial" w:hint="default"/>
        <w:color w:val="auto"/>
      </w:rPr>
    </w:lvl>
    <w:lvl w:ilvl="2">
      <w:start w:val="1"/>
      <w:numFmt w:val="bullet"/>
      <w:pStyle w:val="ListBullet3"/>
      <w:lvlText w:val="○"/>
      <w:lvlJc w:val="left"/>
      <w:pPr>
        <w:ind w:left="1020" w:hanging="340"/>
      </w:pPr>
      <w:rPr>
        <w:rFonts w:ascii="Times New Roman" w:hAnsi="Times New Roman" w:cs="Times New Roman" w:hint="default"/>
        <w:color w:val="auto"/>
      </w:rPr>
    </w:lvl>
    <w:lvl w:ilvl="3">
      <w:start w:val="1"/>
      <w:numFmt w:val="bullet"/>
      <w:pStyle w:val="ListBullet4"/>
      <w:lvlText w:val="•"/>
      <w:lvlJc w:val="left"/>
      <w:pPr>
        <w:ind w:left="1360" w:hanging="340"/>
      </w:pPr>
      <w:rPr>
        <w:rFonts w:ascii="Arial" w:hAnsi="Arial" w:hint="default"/>
        <w:color w:val="auto"/>
      </w:rPr>
    </w:lvl>
    <w:lvl w:ilvl="4">
      <w:start w:val="1"/>
      <w:numFmt w:val="none"/>
      <w:lvlText w:val=""/>
      <w:lvlJc w:val="left"/>
      <w:pPr>
        <w:tabs>
          <w:tab w:val="num" w:pos="1712"/>
        </w:tabs>
        <w:ind w:left="1700" w:hanging="340"/>
      </w:pPr>
      <w:rPr>
        <w:rFonts w:hint="default"/>
      </w:rPr>
    </w:lvl>
    <w:lvl w:ilvl="5">
      <w:start w:val="1"/>
      <w:numFmt w:val="none"/>
      <w:lvlText w:val=""/>
      <w:lvlJc w:val="left"/>
      <w:pPr>
        <w:tabs>
          <w:tab w:val="num" w:pos="2069"/>
        </w:tabs>
        <w:ind w:left="2040" w:hanging="340"/>
      </w:pPr>
      <w:rPr>
        <w:rFonts w:hint="default"/>
      </w:rPr>
    </w:lvl>
    <w:lvl w:ilvl="6">
      <w:start w:val="1"/>
      <w:numFmt w:val="none"/>
      <w:lvlText w:val=""/>
      <w:lvlJc w:val="left"/>
      <w:pPr>
        <w:tabs>
          <w:tab w:val="num" w:pos="2426"/>
        </w:tabs>
        <w:ind w:left="2380" w:hanging="340"/>
      </w:pPr>
      <w:rPr>
        <w:rFonts w:hint="default"/>
      </w:rPr>
    </w:lvl>
    <w:lvl w:ilvl="7">
      <w:start w:val="1"/>
      <w:numFmt w:val="none"/>
      <w:lvlText w:val=""/>
      <w:lvlJc w:val="left"/>
      <w:pPr>
        <w:tabs>
          <w:tab w:val="num" w:pos="2783"/>
        </w:tabs>
        <w:ind w:left="2720" w:hanging="340"/>
      </w:pPr>
      <w:rPr>
        <w:rFonts w:hint="default"/>
      </w:rPr>
    </w:lvl>
    <w:lvl w:ilvl="8">
      <w:start w:val="1"/>
      <w:numFmt w:val="none"/>
      <w:lvlText w:val=""/>
      <w:lvlJc w:val="left"/>
      <w:pPr>
        <w:tabs>
          <w:tab w:val="num" w:pos="3140"/>
        </w:tabs>
        <w:ind w:left="3060" w:hanging="340"/>
      </w:pPr>
      <w:rPr>
        <w:rFonts w:hint="default"/>
      </w:rPr>
    </w:lvl>
  </w:abstractNum>
  <w:abstractNum w:abstractNumId="6" w15:restartNumberingAfterBreak="0">
    <w:nsid w:val="31DD2F68"/>
    <w:multiLevelType w:val="hybridMultilevel"/>
    <w:tmpl w:val="C25E46F0"/>
    <w:lvl w:ilvl="0" w:tplc="D2128216">
      <w:start w:val="1"/>
      <w:numFmt w:val="bullet"/>
      <w:lvlText w:val="•"/>
      <w:lvlJc w:val="left"/>
      <w:pPr>
        <w:tabs>
          <w:tab w:val="num" w:pos="360"/>
        </w:tabs>
        <w:ind w:left="360" w:hanging="360"/>
      </w:pPr>
      <w:rPr>
        <w:rFonts w:ascii="Arial" w:hAnsi="Arial" w:hint="default"/>
      </w:rPr>
    </w:lvl>
    <w:lvl w:ilvl="1" w:tplc="0A769694" w:tentative="1">
      <w:start w:val="1"/>
      <w:numFmt w:val="bullet"/>
      <w:lvlText w:val="•"/>
      <w:lvlJc w:val="left"/>
      <w:pPr>
        <w:tabs>
          <w:tab w:val="num" w:pos="1080"/>
        </w:tabs>
        <w:ind w:left="1080" w:hanging="360"/>
      </w:pPr>
      <w:rPr>
        <w:rFonts w:ascii="Arial" w:hAnsi="Arial" w:hint="default"/>
      </w:rPr>
    </w:lvl>
    <w:lvl w:ilvl="2" w:tplc="4F640114" w:tentative="1">
      <w:start w:val="1"/>
      <w:numFmt w:val="bullet"/>
      <w:lvlText w:val="•"/>
      <w:lvlJc w:val="left"/>
      <w:pPr>
        <w:tabs>
          <w:tab w:val="num" w:pos="1800"/>
        </w:tabs>
        <w:ind w:left="1800" w:hanging="360"/>
      </w:pPr>
      <w:rPr>
        <w:rFonts w:ascii="Arial" w:hAnsi="Arial" w:hint="default"/>
      </w:rPr>
    </w:lvl>
    <w:lvl w:ilvl="3" w:tplc="C344C166" w:tentative="1">
      <w:start w:val="1"/>
      <w:numFmt w:val="bullet"/>
      <w:lvlText w:val="•"/>
      <w:lvlJc w:val="left"/>
      <w:pPr>
        <w:tabs>
          <w:tab w:val="num" w:pos="2520"/>
        </w:tabs>
        <w:ind w:left="2520" w:hanging="360"/>
      </w:pPr>
      <w:rPr>
        <w:rFonts w:ascii="Arial" w:hAnsi="Arial" w:hint="default"/>
      </w:rPr>
    </w:lvl>
    <w:lvl w:ilvl="4" w:tplc="D772AC3A" w:tentative="1">
      <w:start w:val="1"/>
      <w:numFmt w:val="bullet"/>
      <w:lvlText w:val="•"/>
      <w:lvlJc w:val="left"/>
      <w:pPr>
        <w:tabs>
          <w:tab w:val="num" w:pos="3240"/>
        </w:tabs>
        <w:ind w:left="3240" w:hanging="360"/>
      </w:pPr>
      <w:rPr>
        <w:rFonts w:ascii="Arial" w:hAnsi="Arial" w:hint="default"/>
      </w:rPr>
    </w:lvl>
    <w:lvl w:ilvl="5" w:tplc="C0783196" w:tentative="1">
      <w:start w:val="1"/>
      <w:numFmt w:val="bullet"/>
      <w:lvlText w:val="•"/>
      <w:lvlJc w:val="left"/>
      <w:pPr>
        <w:tabs>
          <w:tab w:val="num" w:pos="3960"/>
        </w:tabs>
        <w:ind w:left="3960" w:hanging="360"/>
      </w:pPr>
      <w:rPr>
        <w:rFonts w:ascii="Arial" w:hAnsi="Arial" w:hint="default"/>
      </w:rPr>
    </w:lvl>
    <w:lvl w:ilvl="6" w:tplc="BDFE43B8" w:tentative="1">
      <w:start w:val="1"/>
      <w:numFmt w:val="bullet"/>
      <w:lvlText w:val="•"/>
      <w:lvlJc w:val="left"/>
      <w:pPr>
        <w:tabs>
          <w:tab w:val="num" w:pos="4680"/>
        </w:tabs>
        <w:ind w:left="4680" w:hanging="360"/>
      </w:pPr>
      <w:rPr>
        <w:rFonts w:ascii="Arial" w:hAnsi="Arial" w:hint="default"/>
      </w:rPr>
    </w:lvl>
    <w:lvl w:ilvl="7" w:tplc="4CE8C6C8" w:tentative="1">
      <w:start w:val="1"/>
      <w:numFmt w:val="bullet"/>
      <w:lvlText w:val="•"/>
      <w:lvlJc w:val="left"/>
      <w:pPr>
        <w:tabs>
          <w:tab w:val="num" w:pos="5400"/>
        </w:tabs>
        <w:ind w:left="5400" w:hanging="360"/>
      </w:pPr>
      <w:rPr>
        <w:rFonts w:ascii="Arial" w:hAnsi="Arial" w:hint="default"/>
      </w:rPr>
    </w:lvl>
    <w:lvl w:ilvl="8" w:tplc="89C4B9C8"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34DC0715"/>
    <w:multiLevelType w:val="hybridMultilevel"/>
    <w:tmpl w:val="0E54ED2E"/>
    <w:lvl w:ilvl="0" w:tplc="FFFFFFFF">
      <w:start w:val="1"/>
      <w:numFmt w:val="lowerRoman"/>
      <w:lvlText w:val="%1."/>
      <w:lvlJc w:val="right"/>
      <w:pPr>
        <w:ind w:left="1251" w:hanging="180"/>
      </w:pPr>
    </w:lvl>
    <w:lvl w:ilvl="1" w:tplc="FFFFFFFF" w:tentative="1">
      <w:start w:val="1"/>
      <w:numFmt w:val="lowerLetter"/>
      <w:lvlText w:val="%2."/>
      <w:lvlJc w:val="left"/>
      <w:pPr>
        <w:ind w:left="1611" w:hanging="360"/>
      </w:pPr>
    </w:lvl>
    <w:lvl w:ilvl="2" w:tplc="FFFFFFFF" w:tentative="1">
      <w:start w:val="1"/>
      <w:numFmt w:val="lowerRoman"/>
      <w:lvlText w:val="%3."/>
      <w:lvlJc w:val="right"/>
      <w:pPr>
        <w:ind w:left="2331" w:hanging="180"/>
      </w:pPr>
    </w:lvl>
    <w:lvl w:ilvl="3" w:tplc="FFFFFFFF" w:tentative="1">
      <w:start w:val="1"/>
      <w:numFmt w:val="decimal"/>
      <w:lvlText w:val="%4."/>
      <w:lvlJc w:val="left"/>
      <w:pPr>
        <w:ind w:left="3051" w:hanging="360"/>
      </w:pPr>
    </w:lvl>
    <w:lvl w:ilvl="4" w:tplc="FFFFFFFF" w:tentative="1">
      <w:start w:val="1"/>
      <w:numFmt w:val="lowerLetter"/>
      <w:lvlText w:val="%5."/>
      <w:lvlJc w:val="left"/>
      <w:pPr>
        <w:ind w:left="3771" w:hanging="360"/>
      </w:pPr>
    </w:lvl>
    <w:lvl w:ilvl="5" w:tplc="FFFFFFFF" w:tentative="1">
      <w:start w:val="1"/>
      <w:numFmt w:val="lowerRoman"/>
      <w:lvlText w:val="%6."/>
      <w:lvlJc w:val="right"/>
      <w:pPr>
        <w:ind w:left="4491" w:hanging="180"/>
      </w:pPr>
    </w:lvl>
    <w:lvl w:ilvl="6" w:tplc="FFFFFFFF" w:tentative="1">
      <w:start w:val="1"/>
      <w:numFmt w:val="decimal"/>
      <w:lvlText w:val="%7."/>
      <w:lvlJc w:val="left"/>
      <w:pPr>
        <w:ind w:left="5211" w:hanging="360"/>
      </w:pPr>
    </w:lvl>
    <w:lvl w:ilvl="7" w:tplc="FFFFFFFF" w:tentative="1">
      <w:start w:val="1"/>
      <w:numFmt w:val="lowerLetter"/>
      <w:lvlText w:val="%8."/>
      <w:lvlJc w:val="left"/>
      <w:pPr>
        <w:ind w:left="5931" w:hanging="360"/>
      </w:pPr>
    </w:lvl>
    <w:lvl w:ilvl="8" w:tplc="FFFFFFFF" w:tentative="1">
      <w:start w:val="1"/>
      <w:numFmt w:val="lowerRoman"/>
      <w:lvlText w:val="%9."/>
      <w:lvlJc w:val="right"/>
      <w:pPr>
        <w:ind w:left="6651" w:hanging="180"/>
      </w:pPr>
    </w:lvl>
  </w:abstractNum>
  <w:abstractNum w:abstractNumId="8" w15:restartNumberingAfterBreak="0">
    <w:nsid w:val="38752432"/>
    <w:multiLevelType w:val="hybridMultilevel"/>
    <w:tmpl w:val="71461E06"/>
    <w:lvl w:ilvl="0" w:tplc="287A2886">
      <w:start w:val="1"/>
      <w:numFmt w:val="lowerRoman"/>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9" w15:restartNumberingAfterBreak="0">
    <w:nsid w:val="39941650"/>
    <w:multiLevelType w:val="hybridMultilevel"/>
    <w:tmpl w:val="4C329762"/>
    <w:lvl w:ilvl="0" w:tplc="FFFFFFFF">
      <w:start w:val="1"/>
      <w:numFmt w:val="lowerRoman"/>
      <w:lvlText w:val="%1."/>
      <w:lvlJc w:val="left"/>
      <w:pPr>
        <w:ind w:left="180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BF44D8F"/>
    <w:multiLevelType w:val="hybridMultilevel"/>
    <w:tmpl w:val="D9BEDD08"/>
    <w:lvl w:ilvl="0" w:tplc="0C09000F">
      <w:start w:val="1"/>
      <w:numFmt w:val="decimal"/>
      <w:lvlText w:val="%1."/>
      <w:lvlJc w:val="left"/>
      <w:pPr>
        <w:ind w:left="1080" w:hanging="360"/>
      </w:p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1" w15:restartNumberingAfterBreak="0">
    <w:nsid w:val="3C1C36D5"/>
    <w:multiLevelType w:val="hybridMultilevel"/>
    <w:tmpl w:val="D2BC21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E993F71"/>
    <w:multiLevelType w:val="hybridMultilevel"/>
    <w:tmpl w:val="167ACE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0373E4E"/>
    <w:multiLevelType w:val="hybridMultilevel"/>
    <w:tmpl w:val="8AB81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0B5305B"/>
    <w:multiLevelType w:val="hybridMultilevel"/>
    <w:tmpl w:val="CADE3372"/>
    <w:lvl w:ilvl="0" w:tplc="9FC85D6E">
      <w:start w:val="1"/>
      <w:numFmt w:val="lowerRoman"/>
      <w:suff w:val="space"/>
      <w:lvlText w:val="%1."/>
      <w:lvlJc w:val="right"/>
      <w:pPr>
        <w:ind w:left="1800" w:hanging="360"/>
      </w:pPr>
      <w:rPr>
        <w:rFonts w:hint="default"/>
      </w:rPr>
    </w:lvl>
    <w:lvl w:ilvl="1" w:tplc="0C090019" w:tentative="1">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15" w15:restartNumberingAfterBreak="0">
    <w:nsid w:val="43EB43F6"/>
    <w:multiLevelType w:val="hybridMultilevel"/>
    <w:tmpl w:val="0E54ED2E"/>
    <w:lvl w:ilvl="0" w:tplc="FFFFFFFF">
      <w:start w:val="1"/>
      <w:numFmt w:val="lowerRoman"/>
      <w:lvlText w:val="%1."/>
      <w:lvlJc w:val="right"/>
      <w:pPr>
        <w:ind w:left="1431" w:hanging="180"/>
      </w:pPr>
    </w:lvl>
    <w:lvl w:ilvl="1" w:tplc="FFFFFFFF" w:tentative="1">
      <w:start w:val="1"/>
      <w:numFmt w:val="lowerLetter"/>
      <w:lvlText w:val="%2."/>
      <w:lvlJc w:val="left"/>
      <w:pPr>
        <w:ind w:left="1791" w:hanging="360"/>
      </w:pPr>
    </w:lvl>
    <w:lvl w:ilvl="2" w:tplc="FFFFFFFF" w:tentative="1">
      <w:start w:val="1"/>
      <w:numFmt w:val="lowerRoman"/>
      <w:lvlText w:val="%3."/>
      <w:lvlJc w:val="right"/>
      <w:pPr>
        <w:ind w:left="2511" w:hanging="180"/>
      </w:pPr>
    </w:lvl>
    <w:lvl w:ilvl="3" w:tplc="FFFFFFFF" w:tentative="1">
      <w:start w:val="1"/>
      <w:numFmt w:val="decimal"/>
      <w:lvlText w:val="%4."/>
      <w:lvlJc w:val="left"/>
      <w:pPr>
        <w:ind w:left="3231" w:hanging="360"/>
      </w:pPr>
    </w:lvl>
    <w:lvl w:ilvl="4" w:tplc="FFFFFFFF" w:tentative="1">
      <w:start w:val="1"/>
      <w:numFmt w:val="lowerLetter"/>
      <w:lvlText w:val="%5."/>
      <w:lvlJc w:val="left"/>
      <w:pPr>
        <w:ind w:left="3951" w:hanging="360"/>
      </w:pPr>
    </w:lvl>
    <w:lvl w:ilvl="5" w:tplc="FFFFFFFF" w:tentative="1">
      <w:start w:val="1"/>
      <w:numFmt w:val="lowerRoman"/>
      <w:lvlText w:val="%6."/>
      <w:lvlJc w:val="right"/>
      <w:pPr>
        <w:ind w:left="4671" w:hanging="180"/>
      </w:pPr>
    </w:lvl>
    <w:lvl w:ilvl="6" w:tplc="FFFFFFFF" w:tentative="1">
      <w:start w:val="1"/>
      <w:numFmt w:val="decimal"/>
      <w:lvlText w:val="%7."/>
      <w:lvlJc w:val="left"/>
      <w:pPr>
        <w:ind w:left="5391" w:hanging="360"/>
      </w:pPr>
    </w:lvl>
    <w:lvl w:ilvl="7" w:tplc="FFFFFFFF" w:tentative="1">
      <w:start w:val="1"/>
      <w:numFmt w:val="lowerLetter"/>
      <w:lvlText w:val="%8."/>
      <w:lvlJc w:val="left"/>
      <w:pPr>
        <w:ind w:left="6111" w:hanging="360"/>
      </w:pPr>
    </w:lvl>
    <w:lvl w:ilvl="8" w:tplc="FFFFFFFF" w:tentative="1">
      <w:start w:val="1"/>
      <w:numFmt w:val="lowerRoman"/>
      <w:lvlText w:val="%9."/>
      <w:lvlJc w:val="right"/>
      <w:pPr>
        <w:ind w:left="6831" w:hanging="180"/>
      </w:pPr>
    </w:lvl>
  </w:abstractNum>
  <w:abstractNum w:abstractNumId="16" w15:restartNumberingAfterBreak="0">
    <w:nsid w:val="479E4AA6"/>
    <w:multiLevelType w:val="hybridMultilevel"/>
    <w:tmpl w:val="A27843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87F683C"/>
    <w:multiLevelType w:val="hybridMultilevel"/>
    <w:tmpl w:val="0E54ED2E"/>
    <w:lvl w:ilvl="0" w:tplc="94D66EA4">
      <w:start w:val="1"/>
      <w:numFmt w:val="lowerRoman"/>
      <w:lvlText w:val="%1."/>
      <w:lvlJc w:val="right"/>
      <w:pPr>
        <w:ind w:left="1080" w:hanging="18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9586ED1"/>
    <w:multiLevelType w:val="hybridMultilevel"/>
    <w:tmpl w:val="4C329762"/>
    <w:lvl w:ilvl="0" w:tplc="FFFFFFFF">
      <w:start w:val="1"/>
      <w:numFmt w:val="lowerRoman"/>
      <w:lvlText w:val="%1."/>
      <w:lvlJc w:val="left"/>
      <w:pPr>
        <w:ind w:left="180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A1E69AE"/>
    <w:multiLevelType w:val="multilevel"/>
    <w:tmpl w:val="D6C49C6A"/>
    <w:lvl w:ilvl="0">
      <w:start w:val="1"/>
      <w:numFmt w:val="decimal"/>
      <w:pStyle w:val="Finding"/>
      <w:lvlText w:val="F%1."/>
      <w:lvlJc w:val="left"/>
      <w:pPr>
        <w:ind w:left="360" w:hanging="360"/>
      </w:pPr>
      <w:rPr>
        <w:rFonts w:hint="default"/>
        <w:b/>
        <w:bCs/>
        <w:i w:val="0"/>
        <w:iCs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D0F654E"/>
    <w:multiLevelType w:val="hybridMultilevel"/>
    <w:tmpl w:val="508222E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E425ABD"/>
    <w:multiLevelType w:val="hybridMultilevel"/>
    <w:tmpl w:val="84C292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5E570463"/>
    <w:multiLevelType w:val="hybridMultilevel"/>
    <w:tmpl w:val="80EA0F44"/>
    <w:lvl w:ilvl="0" w:tplc="FFFFFFFF">
      <w:start w:val="1"/>
      <w:numFmt w:val="decimal"/>
      <w:lvlText w:val="%1."/>
      <w:lvlJc w:val="left"/>
      <w:pPr>
        <w:ind w:left="720" w:hanging="360"/>
      </w:pPr>
      <w:rPr>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EB04648"/>
    <w:multiLevelType w:val="hybridMultilevel"/>
    <w:tmpl w:val="71461E06"/>
    <w:lvl w:ilvl="0" w:tplc="FFFFFFFF">
      <w:start w:val="1"/>
      <w:numFmt w:val="lowerRoman"/>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4" w15:restartNumberingAfterBreak="0">
    <w:nsid w:val="61D45710"/>
    <w:multiLevelType w:val="hybridMultilevel"/>
    <w:tmpl w:val="818A28CA"/>
    <w:lvl w:ilvl="0" w:tplc="4CB65D14">
      <w:start w:val="1"/>
      <w:numFmt w:val="bullet"/>
      <w:lvlText w:val="•"/>
      <w:lvlJc w:val="left"/>
      <w:pPr>
        <w:tabs>
          <w:tab w:val="num" w:pos="360"/>
        </w:tabs>
        <w:ind w:left="360" w:hanging="360"/>
      </w:pPr>
      <w:rPr>
        <w:rFonts w:ascii="Arial" w:hAnsi="Arial" w:hint="default"/>
      </w:rPr>
    </w:lvl>
    <w:lvl w:ilvl="1" w:tplc="46129616" w:tentative="1">
      <w:start w:val="1"/>
      <w:numFmt w:val="bullet"/>
      <w:lvlText w:val="•"/>
      <w:lvlJc w:val="left"/>
      <w:pPr>
        <w:tabs>
          <w:tab w:val="num" w:pos="1080"/>
        </w:tabs>
        <w:ind w:left="1080" w:hanging="360"/>
      </w:pPr>
      <w:rPr>
        <w:rFonts w:ascii="Arial" w:hAnsi="Arial" w:hint="default"/>
      </w:rPr>
    </w:lvl>
    <w:lvl w:ilvl="2" w:tplc="699E4FEC" w:tentative="1">
      <w:start w:val="1"/>
      <w:numFmt w:val="bullet"/>
      <w:lvlText w:val="•"/>
      <w:lvlJc w:val="left"/>
      <w:pPr>
        <w:tabs>
          <w:tab w:val="num" w:pos="1800"/>
        </w:tabs>
        <w:ind w:left="1800" w:hanging="360"/>
      </w:pPr>
      <w:rPr>
        <w:rFonts w:ascii="Arial" w:hAnsi="Arial" w:hint="default"/>
      </w:rPr>
    </w:lvl>
    <w:lvl w:ilvl="3" w:tplc="9C2CBEAA" w:tentative="1">
      <w:start w:val="1"/>
      <w:numFmt w:val="bullet"/>
      <w:lvlText w:val="•"/>
      <w:lvlJc w:val="left"/>
      <w:pPr>
        <w:tabs>
          <w:tab w:val="num" w:pos="2520"/>
        </w:tabs>
        <w:ind w:left="2520" w:hanging="360"/>
      </w:pPr>
      <w:rPr>
        <w:rFonts w:ascii="Arial" w:hAnsi="Arial" w:hint="default"/>
      </w:rPr>
    </w:lvl>
    <w:lvl w:ilvl="4" w:tplc="FAC4C92C" w:tentative="1">
      <w:start w:val="1"/>
      <w:numFmt w:val="bullet"/>
      <w:lvlText w:val="•"/>
      <w:lvlJc w:val="left"/>
      <w:pPr>
        <w:tabs>
          <w:tab w:val="num" w:pos="3240"/>
        </w:tabs>
        <w:ind w:left="3240" w:hanging="360"/>
      </w:pPr>
      <w:rPr>
        <w:rFonts w:ascii="Arial" w:hAnsi="Arial" w:hint="default"/>
      </w:rPr>
    </w:lvl>
    <w:lvl w:ilvl="5" w:tplc="59EAD876" w:tentative="1">
      <w:start w:val="1"/>
      <w:numFmt w:val="bullet"/>
      <w:lvlText w:val="•"/>
      <w:lvlJc w:val="left"/>
      <w:pPr>
        <w:tabs>
          <w:tab w:val="num" w:pos="3960"/>
        </w:tabs>
        <w:ind w:left="3960" w:hanging="360"/>
      </w:pPr>
      <w:rPr>
        <w:rFonts w:ascii="Arial" w:hAnsi="Arial" w:hint="default"/>
      </w:rPr>
    </w:lvl>
    <w:lvl w:ilvl="6" w:tplc="BF023022" w:tentative="1">
      <w:start w:val="1"/>
      <w:numFmt w:val="bullet"/>
      <w:lvlText w:val="•"/>
      <w:lvlJc w:val="left"/>
      <w:pPr>
        <w:tabs>
          <w:tab w:val="num" w:pos="4680"/>
        </w:tabs>
        <w:ind w:left="4680" w:hanging="360"/>
      </w:pPr>
      <w:rPr>
        <w:rFonts w:ascii="Arial" w:hAnsi="Arial" w:hint="default"/>
      </w:rPr>
    </w:lvl>
    <w:lvl w:ilvl="7" w:tplc="DF28A5C4" w:tentative="1">
      <w:start w:val="1"/>
      <w:numFmt w:val="bullet"/>
      <w:lvlText w:val="•"/>
      <w:lvlJc w:val="left"/>
      <w:pPr>
        <w:tabs>
          <w:tab w:val="num" w:pos="5400"/>
        </w:tabs>
        <w:ind w:left="5400" w:hanging="360"/>
      </w:pPr>
      <w:rPr>
        <w:rFonts w:ascii="Arial" w:hAnsi="Arial" w:hint="default"/>
      </w:rPr>
    </w:lvl>
    <w:lvl w:ilvl="8" w:tplc="E5BAAF0C" w:tentative="1">
      <w:start w:val="1"/>
      <w:numFmt w:val="bullet"/>
      <w:lvlText w:val="•"/>
      <w:lvlJc w:val="left"/>
      <w:pPr>
        <w:tabs>
          <w:tab w:val="num" w:pos="6120"/>
        </w:tabs>
        <w:ind w:left="6120" w:hanging="360"/>
      </w:pPr>
      <w:rPr>
        <w:rFonts w:ascii="Arial" w:hAnsi="Arial" w:hint="default"/>
      </w:rPr>
    </w:lvl>
  </w:abstractNum>
  <w:abstractNum w:abstractNumId="25" w15:restartNumberingAfterBreak="0">
    <w:nsid w:val="636A176D"/>
    <w:multiLevelType w:val="hybridMultilevel"/>
    <w:tmpl w:val="0E54ED2E"/>
    <w:lvl w:ilvl="0" w:tplc="FFFFFFFF">
      <w:start w:val="1"/>
      <w:numFmt w:val="lowerRoman"/>
      <w:lvlText w:val="%1."/>
      <w:lvlJc w:val="right"/>
      <w:pPr>
        <w:ind w:left="1431" w:hanging="180"/>
      </w:pPr>
    </w:lvl>
    <w:lvl w:ilvl="1" w:tplc="FFFFFFFF" w:tentative="1">
      <w:start w:val="1"/>
      <w:numFmt w:val="lowerLetter"/>
      <w:lvlText w:val="%2."/>
      <w:lvlJc w:val="left"/>
      <w:pPr>
        <w:ind w:left="1791" w:hanging="360"/>
      </w:pPr>
    </w:lvl>
    <w:lvl w:ilvl="2" w:tplc="FFFFFFFF" w:tentative="1">
      <w:start w:val="1"/>
      <w:numFmt w:val="lowerRoman"/>
      <w:lvlText w:val="%3."/>
      <w:lvlJc w:val="right"/>
      <w:pPr>
        <w:ind w:left="2511" w:hanging="180"/>
      </w:pPr>
    </w:lvl>
    <w:lvl w:ilvl="3" w:tplc="FFFFFFFF" w:tentative="1">
      <w:start w:val="1"/>
      <w:numFmt w:val="decimal"/>
      <w:lvlText w:val="%4."/>
      <w:lvlJc w:val="left"/>
      <w:pPr>
        <w:ind w:left="3231" w:hanging="360"/>
      </w:pPr>
    </w:lvl>
    <w:lvl w:ilvl="4" w:tplc="FFFFFFFF" w:tentative="1">
      <w:start w:val="1"/>
      <w:numFmt w:val="lowerLetter"/>
      <w:lvlText w:val="%5."/>
      <w:lvlJc w:val="left"/>
      <w:pPr>
        <w:ind w:left="3951" w:hanging="360"/>
      </w:pPr>
    </w:lvl>
    <w:lvl w:ilvl="5" w:tplc="FFFFFFFF" w:tentative="1">
      <w:start w:val="1"/>
      <w:numFmt w:val="lowerRoman"/>
      <w:lvlText w:val="%6."/>
      <w:lvlJc w:val="right"/>
      <w:pPr>
        <w:ind w:left="4671" w:hanging="180"/>
      </w:pPr>
    </w:lvl>
    <w:lvl w:ilvl="6" w:tplc="FFFFFFFF" w:tentative="1">
      <w:start w:val="1"/>
      <w:numFmt w:val="decimal"/>
      <w:lvlText w:val="%7."/>
      <w:lvlJc w:val="left"/>
      <w:pPr>
        <w:ind w:left="5391" w:hanging="360"/>
      </w:pPr>
    </w:lvl>
    <w:lvl w:ilvl="7" w:tplc="FFFFFFFF" w:tentative="1">
      <w:start w:val="1"/>
      <w:numFmt w:val="lowerLetter"/>
      <w:lvlText w:val="%8."/>
      <w:lvlJc w:val="left"/>
      <w:pPr>
        <w:ind w:left="6111" w:hanging="360"/>
      </w:pPr>
    </w:lvl>
    <w:lvl w:ilvl="8" w:tplc="FFFFFFFF" w:tentative="1">
      <w:start w:val="1"/>
      <w:numFmt w:val="lowerRoman"/>
      <w:lvlText w:val="%9."/>
      <w:lvlJc w:val="right"/>
      <w:pPr>
        <w:ind w:left="6831" w:hanging="180"/>
      </w:pPr>
    </w:lvl>
  </w:abstractNum>
  <w:abstractNum w:abstractNumId="26" w15:restartNumberingAfterBreak="0">
    <w:nsid w:val="67707FD5"/>
    <w:multiLevelType w:val="hybridMultilevel"/>
    <w:tmpl w:val="90DE29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AFB5FEE"/>
    <w:multiLevelType w:val="hybridMultilevel"/>
    <w:tmpl w:val="071ADFE8"/>
    <w:lvl w:ilvl="0" w:tplc="1DB4000C">
      <w:start w:val="1"/>
      <w:numFmt w:val="bullet"/>
      <w:lvlText w:val="•"/>
      <w:lvlJc w:val="left"/>
      <w:pPr>
        <w:tabs>
          <w:tab w:val="num" w:pos="360"/>
        </w:tabs>
        <w:ind w:left="360" w:hanging="360"/>
      </w:pPr>
      <w:rPr>
        <w:rFonts w:ascii="Arial" w:hAnsi="Arial" w:hint="default"/>
      </w:rPr>
    </w:lvl>
    <w:lvl w:ilvl="1" w:tplc="4476B4BC" w:tentative="1">
      <w:start w:val="1"/>
      <w:numFmt w:val="bullet"/>
      <w:lvlText w:val="•"/>
      <w:lvlJc w:val="left"/>
      <w:pPr>
        <w:tabs>
          <w:tab w:val="num" w:pos="1080"/>
        </w:tabs>
        <w:ind w:left="1080" w:hanging="360"/>
      </w:pPr>
      <w:rPr>
        <w:rFonts w:ascii="Arial" w:hAnsi="Arial" w:hint="default"/>
      </w:rPr>
    </w:lvl>
    <w:lvl w:ilvl="2" w:tplc="3BC0C7F8" w:tentative="1">
      <w:start w:val="1"/>
      <w:numFmt w:val="bullet"/>
      <w:lvlText w:val="•"/>
      <w:lvlJc w:val="left"/>
      <w:pPr>
        <w:tabs>
          <w:tab w:val="num" w:pos="1800"/>
        </w:tabs>
        <w:ind w:left="1800" w:hanging="360"/>
      </w:pPr>
      <w:rPr>
        <w:rFonts w:ascii="Arial" w:hAnsi="Arial" w:hint="default"/>
      </w:rPr>
    </w:lvl>
    <w:lvl w:ilvl="3" w:tplc="FEFE2316" w:tentative="1">
      <w:start w:val="1"/>
      <w:numFmt w:val="bullet"/>
      <w:lvlText w:val="•"/>
      <w:lvlJc w:val="left"/>
      <w:pPr>
        <w:tabs>
          <w:tab w:val="num" w:pos="2520"/>
        </w:tabs>
        <w:ind w:left="2520" w:hanging="360"/>
      </w:pPr>
      <w:rPr>
        <w:rFonts w:ascii="Arial" w:hAnsi="Arial" w:hint="default"/>
      </w:rPr>
    </w:lvl>
    <w:lvl w:ilvl="4" w:tplc="6E8A429A" w:tentative="1">
      <w:start w:val="1"/>
      <w:numFmt w:val="bullet"/>
      <w:lvlText w:val="•"/>
      <w:lvlJc w:val="left"/>
      <w:pPr>
        <w:tabs>
          <w:tab w:val="num" w:pos="3240"/>
        </w:tabs>
        <w:ind w:left="3240" w:hanging="360"/>
      </w:pPr>
      <w:rPr>
        <w:rFonts w:ascii="Arial" w:hAnsi="Arial" w:hint="default"/>
      </w:rPr>
    </w:lvl>
    <w:lvl w:ilvl="5" w:tplc="7C207980" w:tentative="1">
      <w:start w:val="1"/>
      <w:numFmt w:val="bullet"/>
      <w:lvlText w:val="•"/>
      <w:lvlJc w:val="left"/>
      <w:pPr>
        <w:tabs>
          <w:tab w:val="num" w:pos="3960"/>
        </w:tabs>
        <w:ind w:left="3960" w:hanging="360"/>
      </w:pPr>
      <w:rPr>
        <w:rFonts w:ascii="Arial" w:hAnsi="Arial" w:hint="default"/>
      </w:rPr>
    </w:lvl>
    <w:lvl w:ilvl="6" w:tplc="92AE8138" w:tentative="1">
      <w:start w:val="1"/>
      <w:numFmt w:val="bullet"/>
      <w:lvlText w:val="•"/>
      <w:lvlJc w:val="left"/>
      <w:pPr>
        <w:tabs>
          <w:tab w:val="num" w:pos="4680"/>
        </w:tabs>
        <w:ind w:left="4680" w:hanging="360"/>
      </w:pPr>
      <w:rPr>
        <w:rFonts w:ascii="Arial" w:hAnsi="Arial" w:hint="default"/>
      </w:rPr>
    </w:lvl>
    <w:lvl w:ilvl="7" w:tplc="C0F62A96" w:tentative="1">
      <w:start w:val="1"/>
      <w:numFmt w:val="bullet"/>
      <w:lvlText w:val="•"/>
      <w:lvlJc w:val="left"/>
      <w:pPr>
        <w:tabs>
          <w:tab w:val="num" w:pos="5400"/>
        </w:tabs>
        <w:ind w:left="5400" w:hanging="360"/>
      </w:pPr>
      <w:rPr>
        <w:rFonts w:ascii="Arial" w:hAnsi="Arial" w:hint="default"/>
      </w:rPr>
    </w:lvl>
    <w:lvl w:ilvl="8" w:tplc="08A03854" w:tentative="1">
      <w:start w:val="1"/>
      <w:numFmt w:val="bullet"/>
      <w:lvlText w:val="•"/>
      <w:lvlJc w:val="left"/>
      <w:pPr>
        <w:tabs>
          <w:tab w:val="num" w:pos="6120"/>
        </w:tabs>
        <w:ind w:left="6120" w:hanging="360"/>
      </w:pPr>
      <w:rPr>
        <w:rFonts w:ascii="Arial" w:hAnsi="Arial" w:hint="default"/>
      </w:rPr>
    </w:lvl>
  </w:abstractNum>
  <w:abstractNum w:abstractNumId="28" w15:restartNumberingAfterBreak="0">
    <w:nsid w:val="6BA55C1C"/>
    <w:multiLevelType w:val="hybridMultilevel"/>
    <w:tmpl w:val="BC3008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1C449A5"/>
    <w:multiLevelType w:val="hybridMultilevel"/>
    <w:tmpl w:val="170A5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2344C47"/>
    <w:multiLevelType w:val="hybridMultilevel"/>
    <w:tmpl w:val="D64016A4"/>
    <w:lvl w:ilvl="0" w:tplc="182A5890">
      <w:start w:val="1"/>
      <w:numFmt w:val="decimal"/>
      <w:lvlText w:val="%1."/>
      <w:lvlJc w:val="left"/>
      <w:pPr>
        <w:ind w:left="720" w:hanging="360"/>
      </w:pPr>
    </w:lvl>
    <w:lvl w:ilvl="1" w:tplc="1F046186">
      <w:start w:val="1"/>
      <w:numFmt w:val="lowerLetter"/>
      <w:lvlText w:val="%2."/>
      <w:lvlJc w:val="left"/>
      <w:pPr>
        <w:ind w:left="1440" w:hanging="360"/>
      </w:pPr>
    </w:lvl>
    <w:lvl w:ilvl="2" w:tplc="CA0CE200">
      <w:start w:val="1"/>
      <w:numFmt w:val="lowerRoman"/>
      <w:lvlText w:val="%3."/>
      <w:lvlJc w:val="right"/>
      <w:pPr>
        <w:ind w:left="2160" w:hanging="180"/>
      </w:pPr>
    </w:lvl>
    <w:lvl w:ilvl="3" w:tplc="94E0BF06">
      <w:start w:val="1"/>
      <w:numFmt w:val="decimal"/>
      <w:lvlText w:val="%4."/>
      <w:lvlJc w:val="left"/>
      <w:pPr>
        <w:ind w:left="2880" w:hanging="360"/>
      </w:pPr>
    </w:lvl>
    <w:lvl w:ilvl="4" w:tplc="E0746FE6">
      <w:start w:val="1"/>
      <w:numFmt w:val="lowerLetter"/>
      <w:lvlText w:val="%5."/>
      <w:lvlJc w:val="left"/>
      <w:pPr>
        <w:ind w:left="3600" w:hanging="360"/>
      </w:pPr>
    </w:lvl>
    <w:lvl w:ilvl="5" w:tplc="431E475C">
      <w:start w:val="1"/>
      <w:numFmt w:val="lowerRoman"/>
      <w:lvlText w:val="%6."/>
      <w:lvlJc w:val="right"/>
      <w:pPr>
        <w:ind w:left="4320" w:hanging="180"/>
      </w:pPr>
    </w:lvl>
    <w:lvl w:ilvl="6" w:tplc="02F002A0">
      <w:start w:val="1"/>
      <w:numFmt w:val="decimal"/>
      <w:lvlText w:val="%7."/>
      <w:lvlJc w:val="left"/>
      <w:pPr>
        <w:ind w:left="5040" w:hanging="360"/>
      </w:pPr>
    </w:lvl>
    <w:lvl w:ilvl="7" w:tplc="2A5697CC">
      <w:start w:val="1"/>
      <w:numFmt w:val="lowerLetter"/>
      <w:lvlText w:val="%8."/>
      <w:lvlJc w:val="left"/>
      <w:pPr>
        <w:ind w:left="5760" w:hanging="360"/>
      </w:pPr>
    </w:lvl>
    <w:lvl w:ilvl="8" w:tplc="DF10076C">
      <w:start w:val="1"/>
      <w:numFmt w:val="lowerRoman"/>
      <w:lvlText w:val="%9."/>
      <w:lvlJc w:val="right"/>
      <w:pPr>
        <w:ind w:left="6480" w:hanging="180"/>
      </w:pPr>
    </w:lvl>
  </w:abstractNum>
  <w:abstractNum w:abstractNumId="31" w15:restartNumberingAfterBreak="0">
    <w:nsid w:val="7A5737FB"/>
    <w:multiLevelType w:val="hybridMultilevel"/>
    <w:tmpl w:val="95AC72A4"/>
    <w:lvl w:ilvl="0" w:tplc="747AE518">
      <w:start w:val="1"/>
      <w:numFmt w:val="decimal"/>
      <w:pStyle w:val="ListParagraph"/>
      <w:suff w:val="space"/>
      <w:lvlText w:val="R%1."/>
      <w:lvlJc w:val="left"/>
      <w:pPr>
        <w:ind w:left="1080" w:hanging="360"/>
      </w:pPr>
      <w:rPr>
        <w:rFonts w:hint="default"/>
        <w:sz w:val="22"/>
        <w:szCs w:val="22"/>
      </w:rPr>
    </w:lvl>
    <w:lvl w:ilvl="1" w:tplc="DE0E7C70">
      <w:start w:val="1"/>
      <w:numFmt w:val="lowerLetter"/>
      <w:pStyle w:val="Recs"/>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2047246184">
    <w:abstractNumId w:val="5"/>
  </w:num>
  <w:num w:numId="2" w16cid:durableId="19398677">
    <w:abstractNumId w:val="19"/>
  </w:num>
  <w:num w:numId="3" w16cid:durableId="2062973355">
    <w:abstractNumId w:val="21"/>
  </w:num>
  <w:num w:numId="4" w16cid:durableId="1343161222">
    <w:abstractNumId w:val="19"/>
  </w:num>
  <w:num w:numId="5" w16cid:durableId="141197213">
    <w:abstractNumId w:val="31"/>
  </w:num>
  <w:num w:numId="6" w16cid:durableId="1610965737">
    <w:abstractNumId w:val="13"/>
  </w:num>
  <w:num w:numId="7" w16cid:durableId="428163211">
    <w:abstractNumId w:val="17"/>
  </w:num>
  <w:num w:numId="8" w16cid:durableId="116067591">
    <w:abstractNumId w:val="15"/>
  </w:num>
  <w:num w:numId="9" w16cid:durableId="1689870612">
    <w:abstractNumId w:val="7"/>
  </w:num>
  <w:num w:numId="10" w16cid:durableId="1283920103">
    <w:abstractNumId w:val="4"/>
  </w:num>
  <w:num w:numId="11" w16cid:durableId="1911495586">
    <w:abstractNumId w:val="25"/>
  </w:num>
  <w:num w:numId="12" w16cid:durableId="682903354">
    <w:abstractNumId w:val="27"/>
  </w:num>
  <w:num w:numId="13" w16cid:durableId="739519874">
    <w:abstractNumId w:val="2"/>
  </w:num>
  <w:num w:numId="14" w16cid:durableId="1739281253">
    <w:abstractNumId w:val="6"/>
  </w:num>
  <w:num w:numId="15" w16cid:durableId="1709377753">
    <w:abstractNumId w:val="24"/>
  </w:num>
  <w:num w:numId="16" w16cid:durableId="1927224533">
    <w:abstractNumId w:val="22"/>
  </w:num>
  <w:num w:numId="17" w16cid:durableId="1969969377">
    <w:abstractNumId w:val="28"/>
  </w:num>
  <w:num w:numId="18" w16cid:durableId="1003439447">
    <w:abstractNumId w:val="30"/>
  </w:num>
  <w:num w:numId="19" w16cid:durableId="1016464803">
    <w:abstractNumId w:val="10"/>
  </w:num>
  <w:num w:numId="20" w16cid:durableId="67002935">
    <w:abstractNumId w:val="3"/>
  </w:num>
  <w:num w:numId="21" w16cid:durableId="1843354216">
    <w:abstractNumId w:val="1"/>
  </w:num>
  <w:num w:numId="22" w16cid:durableId="8734263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00836914">
    <w:abstractNumId w:val="8"/>
  </w:num>
  <w:num w:numId="24" w16cid:durableId="1782141673">
    <w:abstractNumId w:val="23"/>
  </w:num>
  <w:num w:numId="25" w16cid:durableId="1267343226">
    <w:abstractNumId w:val="9"/>
  </w:num>
  <w:num w:numId="26" w16cid:durableId="177231005">
    <w:abstractNumId w:val="18"/>
  </w:num>
  <w:num w:numId="27" w16cid:durableId="497118864">
    <w:abstractNumId w:val="16"/>
  </w:num>
  <w:num w:numId="28" w16cid:durableId="294993958">
    <w:abstractNumId w:val="11"/>
  </w:num>
  <w:num w:numId="29" w16cid:durableId="943806895">
    <w:abstractNumId w:val="26"/>
  </w:num>
  <w:num w:numId="30" w16cid:durableId="897517576">
    <w:abstractNumId w:val="14"/>
  </w:num>
  <w:num w:numId="31" w16cid:durableId="687830553">
    <w:abstractNumId w:val="29"/>
  </w:num>
  <w:num w:numId="32" w16cid:durableId="766192400">
    <w:abstractNumId w:val="12"/>
  </w:num>
  <w:num w:numId="33" w16cid:durableId="278529293">
    <w:abstractNumId w:val="0"/>
  </w:num>
  <w:num w:numId="34" w16cid:durableId="673076198">
    <w:abstractNumId w:val="2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218"/>
    <w:rsid w:val="00000058"/>
    <w:rsid w:val="00000285"/>
    <w:rsid w:val="000002FC"/>
    <w:rsid w:val="00000A83"/>
    <w:rsid w:val="00000A8F"/>
    <w:rsid w:val="00000B43"/>
    <w:rsid w:val="00000BC1"/>
    <w:rsid w:val="00000C00"/>
    <w:rsid w:val="000010AB"/>
    <w:rsid w:val="00001206"/>
    <w:rsid w:val="00001AA3"/>
    <w:rsid w:val="00001D78"/>
    <w:rsid w:val="00001EDD"/>
    <w:rsid w:val="00002406"/>
    <w:rsid w:val="00002555"/>
    <w:rsid w:val="0000267E"/>
    <w:rsid w:val="000026CE"/>
    <w:rsid w:val="0000274A"/>
    <w:rsid w:val="00002DE2"/>
    <w:rsid w:val="00002F8E"/>
    <w:rsid w:val="0000313B"/>
    <w:rsid w:val="0000330E"/>
    <w:rsid w:val="000034F5"/>
    <w:rsid w:val="000036FF"/>
    <w:rsid w:val="0000376B"/>
    <w:rsid w:val="00003951"/>
    <w:rsid w:val="0000396B"/>
    <w:rsid w:val="00003AF9"/>
    <w:rsid w:val="00003D08"/>
    <w:rsid w:val="00003FFE"/>
    <w:rsid w:val="000042FF"/>
    <w:rsid w:val="00004CED"/>
    <w:rsid w:val="00004FB2"/>
    <w:rsid w:val="000052D6"/>
    <w:rsid w:val="000053CB"/>
    <w:rsid w:val="000054D8"/>
    <w:rsid w:val="000055D1"/>
    <w:rsid w:val="00005748"/>
    <w:rsid w:val="00005768"/>
    <w:rsid w:val="000057FE"/>
    <w:rsid w:val="00005BF8"/>
    <w:rsid w:val="00005E45"/>
    <w:rsid w:val="00005F2D"/>
    <w:rsid w:val="0000644E"/>
    <w:rsid w:val="000066B5"/>
    <w:rsid w:val="0000680B"/>
    <w:rsid w:val="00006A49"/>
    <w:rsid w:val="0000720F"/>
    <w:rsid w:val="00007662"/>
    <w:rsid w:val="00007787"/>
    <w:rsid w:val="00007D7D"/>
    <w:rsid w:val="00010269"/>
    <w:rsid w:val="00010615"/>
    <w:rsid w:val="000107C1"/>
    <w:rsid w:val="00011007"/>
    <w:rsid w:val="00011058"/>
    <w:rsid w:val="00011385"/>
    <w:rsid w:val="000116C8"/>
    <w:rsid w:val="000120D3"/>
    <w:rsid w:val="00012151"/>
    <w:rsid w:val="000122DB"/>
    <w:rsid w:val="0001236B"/>
    <w:rsid w:val="0001272B"/>
    <w:rsid w:val="00012816"/>
    <w:rsid w:val="0001284F"/>
    <w:rsid w:val="000129D8"/>
    <w:rsid w:val="00012A21"/>
    <w:rsid w:val="00012D0B"/>
    <w:rsid w:val="00013151"/>
    <w:rsid w:val="0001384B"/>
    <w:rsid w:val="00013A12"/>
    <w:rsid w:val="00013CFA"/>
    <w:rsid w:val="00013F80"/>
    <w:rsid w:val="00014009"/>
    <w:rsid w:val="000147D5"/>
    <w:rsid w:val="00014A84"/>
    <w:rsid w:val="00014F2F"/>
    <w:rsid w:val="00015633"/>
    <w:rsid w:val="00015C67"/>
    <w:rsid w:val="00015DA7"/>
    <w:rsid w:val="00015E4C"/>
    <w:rsid w:val="00016293"/>
    <w:rsid w:val="00016873"/>
    <w:rsid w:val="000168A8"/>
    <w:rsid w:val="00016BF6"/>
    <w:rsid w:val="00016FD1"/>
    <w:rsid w:val="00017045"/>
    <w:rsid w:val="00017054"/>
    <w:rsid w:val="000171B4"/>
    <w:rsid w:val="0001725A"/>
    <w:rsid w:val="00017383"/>
    <w:rsid w:val="00017785"/>
    <w:rsid w:val="00017D2D"/>
    <w:rsid w:val="00017EEC"/>
    <w:rsid w:val="00017F97"/>
    <w:rsid w:val="0002005D"/>
    <w:rsid w:val="000200CC"/>
    <w:rsid w:val="000201B1"/>
    <w:rsid w:val="00020296"/>
    <w:rsid w:val="0002059D"/>
    <w:rsid w:val="000205DB"/>
    <w:rsid w:val="000208AE"/>
    <w:rsid w:val="00020BC0"/>
    <w:rsid w:val="00020D5B"/>
    <w:rsid w:val="00020FFF"/>
    <w:rsid w:val="000218E6"/>
    <w:rsid w:val="000219B5"/>
    <w:rsid w:val="00021B84"/>
    <w:rsid w:val="00021CBD"/>
    <w:rsid w:val="00022200"/>
    <w:rsid w:val="0002245E"/>
    <w:rsid w:val="00022521"/>
    <w:rsid w:val="0002259A"/>
    <w:rsid w:val="00022894"/>
    <w:rsid w:val="00022907"/>
    <w:rsid w:val="00022925"/>
    <w:rsid w:val="00022996"/>
    <w:rsid w:val="00022D03"/>
    <w:rsid w:val="00022DE5"/>
    <w:rsid w:val="00022EBB"/>
    <w:rsid w:val="00022FC5"/>
    <w:rsid w:val="00023376"/>
    <w:rsid w:val="00023671"/>
    <w:rsid w:val="000236CA"/>
    <w:rsid w:val="00023BD2"/>
    <w:rsid w:val="00023C31"/>
    <w:rsid w:val="00024191"/>
    <w:rsid w:val="00024352"/>
    <w:rsid w:val="00024AC2"/>
    <w:rsid w:val="00025537"/>
    <w:rsid w:val="00025766"/>
    <w:rsid w:val="00025940"/>
    <w:rsid w:val="000259B5"/>
    <w:rsid w:val="000259D0"/>
    <w:rsid w:val="00025C3C"/>
    <w:rsid w:val="00025D5C"/>
    <w:rsid w:val="000262D1"/>
    <w:rsid w:val="0002653B"/>
    <w:rsid w:val="000269CD"/>
    <w:rsid w:val="00026C1D"/>
    <w:rsid w:val="00027A44"/>
    <w:rsid w:val="00027A4D"/>
    <w:rsid w:val="00027CAF"/>
    <w:rsid w:val="00027F24"/>
    <w:rsid w:val="00027F5B"/>
    <w:rsid w:val="00027F65"/>
    <w:rsid w:val="0003049C"/>
    <w:rsid w:val="000308CF"/>
    <w:rsid w:val="00030AB2"/>
    <w:rsid w:val="00031463"/>
    <w:rsid w:val="00031AB3"/>
    <w:rsid w:val="00031D8C"/>
    <w:rsid w:val="00031F1A"/>
    <w:rsid w:val="000320D2"/>
    <w:rsid w:val="00032623"/>
    <w:rsid w:val="000327FD"/>
    <w:rsid w:val="0003284A"/>
    <w:rsid w:val="000328D4"/>
    <w:rsid w:val="00032925"/>
    <w:rsid w:val="00032C62"/>
    <w:rsid w:val="000336C3"/>
    <w:rsid w:val="000336C4"/>
    <w:rsid w:val="00033796"/>
    <w:rsid w:val="00033BE6"/>
    <w:rsid w:val="00033C68"/>
    <w:rsid w:val="00033EDD"/>
    <w:rsid w:val="00034217"/>
    <w:rsid w:val="000347AA"/>
    <w:rsid w:val="00034ED0"/>
    <w:rsid w:val="000350F0"/>
    <w:rsid w:val="000351EE"/>
    <w:rsid w:val="0003555A"/>
    <w:rsid w:val="00035623"/>
    <w:rsid w:val="000358CB"/>
    <w:rsid w:val="00035937"/>
    <w:rsid w:val="0003596B"/>
    <w:rsid w:val="00035B11"/>
    <w:rsid w:val="00035C13"/>
    <w:rsid w:val="00035C3E"/>
    <w:rsid w:val="000360C6"/>
    <w:rsid w:val="00036275"/>
    <w:rsid w:val="000362DE"/>
    <w:rsid w:val="00036336"/>
    <w:rsid w:val="00036423"/>
    <w:rsid w:val="000364F3"/>
    <w:rsid w:val="00036556"/>
    <w:rsid w:val="00036711"/>
    <w:rsid w:val="00036AB6"/>
    <w:rsid w:val="00036BBF"/>
    <w:rsid w:val="00036CB6"/>
    <w:rsid w:val="00037072"/>
    <w:rsid w:val="000374BC"/>
    <w:rsid w:val="000378AF"/>
    <w:rsid w:val="000379C2"/>
    <w:rsid w:val="00037B57"/>
    <w:rsid w:val="00037B8E"/>
    <w:rsid w:val="00037C96"/>
    <w:rsid w:val="00037CF1"/>
    <w:rsid w:val="00037EB9"/>
    <w:rsid w:val="000404CE"/>
    <w:rsid w:val="00040564"/>
    <w:rsid w:val="000405A4"/>
    <w:rsid w:val="00040EF3"/>
    <w:rsid w:val="00040FCE"/>
    <w:rsid w:val="00041104"/>
    <w:rsid w:val="00041347"/>
    <w:rsid w:val="00041751"/>
    <w:rsid w:val="0004176A"/>
    <w:rsid w:val="0004219F"/>
    <w:rsid w:val="00042247"/>
    <w:rsid w:val="00042611"/>
    <w:rsid w:val="000426A5"/>
    <w:rsid w:val="00042896"/>
    <w:rsid w:val="000429C2"/>
    <w:rsid w:val="00042DAA"/>
    <w:rsid w:val="00042EDF"/>
    <w:rsid w:val="000430F9"/>
    <w:rsid w:val="0004327C"/>
    <w:rsid w:val="000433A4"/>
    <w:rsid w:val="000439E0"/>
    <w:rsid w:val="00043C12"/>
    <w:rsid w:val="00043E4C"/>
    <w:rsid w:val="00043F4D"/>
    <w:rsid w:val="00043F58"/>
    <w:rsid w:val="000440B3"/>
    <w:rsid w:val="000440E8"/>
    <w:rsid w:val="00044A26"/>
    <w:rsid w:val="00044D83"/>
    <w:rsid w:val="00044DE7"/>
    <w:rsid w:val="00044EF2"/>
    <w:rsid w:val="00044FBE"/>
    <w:rsid w:val="00044FD9"/>
    <w:rsid w:val="000451D9"/>
    <w:rsid w:val="00045538"/>
    <w:rsid w:val="000456C3"/>
    <w:rsid w:val="00045874"/>
    <w:rsid w:val="000458C1"/>
    <w:rsid w:val="00045D38"/>
    <w:rsid w:val="000468BF"/>
    <w:rsid w:val="000473BE"/>
    <w:rsid w:val="0004761E"/>
    <w:rsid w:val="0004778C"/>
    <w:rsid w:val="000479B4"/>
    <w:rsid w:val="00047A5B"/>
    <w:rsid w:val="00047B11"/>
    <w:rsid w:val="00047C99"/>
    <w:rsid w:val="00047D52"/>
    <w:rsid w:val="00047F00"/>
    <w:rsid w:val="0005063D"/>
    <w:rsid w:val="00050F0F"/>
    <w:rsid w:val="00051223"/>
    <w:rsid w:val="0005146C"/>
    <w:rsid w:val="00051684"/>
    <w:rsid w:val="00051783"/>
    <w:rsid w:val="00051DC7"/>
    <w:rsid w:val="00051F21"/>
    <w:rsid w:val="00051F7C"/>
    <w:rsid w:val="000522B7"/>
    <w:rsid w:val="00052337"/>
    <w:rsid w:val="000523A6"/>
    <w:rsid w:val="00052808"/>
    <w:rsid w:val="00052E33"/>
    <w:rsid w:val="000530E5"/>
    <w:rsid w:val="0005354D"/>
    <w:rsid w:val="0005360B"/>
    <w:rsid w:val="000536C3"/>
    <w:rsid w:val="00053708"/>
    <w:rsid w:val="0005370C"/>
    <w:rsid w:val="000537C4"/>
    <w:rsid w:val="00053938"/>
    <w:rsid w:val="00053AB4"/>
    <w:rsid w:val="00053F6E"/>
    <w:rsid w:val="000540D3"/>
    <w:rsid w:val="0005438C"/>
    <w:rsid w:val="000544A7"/>
    <w:rsid w:val="00054849"/>
    <w:rsid w:val="000548AB"/>
    <w:rsid w:val="00054AD6"/>
    <w:rsid w:val="00054B2B"/>
    <w:rsid w:val="00054C2C"/>
    <w:rsid w:val="00054CF7"/>
    <w:rsid w:val="00055531"/>
    <w:rsid w:val="000556F0"/>
    <w:rsid w:val="00055D11"/>
    <w:rsid w:val="00055D8E"/>
    <w:rsid w:val="0005652F"/>
    <w:rsid w:val="00056685"/>
    <w:rsid w:val="0005675A"/>
    <w:rsid w:val="00056BC0"/>
    <w:rsid w:val="00056ED5"/>
    <w:rsid w:val="000576E9"/>
    <w:rsid w:val="000578BA"/>
    <w:rsid w:val="00057A75"/>
    <w:rsid w:val="00057DB3"/>
    <w:rsid w:val="00057F31"/>
    <w:rsid w:val="00057F48"/>
    <w:rsid w:val="00057FB2"/>
    <w:rsid w:val="000606EF"/>
    <w:rsid w:val="00060808"/>
    <w:rsid w:val="00060907"/>
    <w:rsid w:val="00060957"/>
    <w:rsid w:val="00060A68"/>
    <w:rsid w:val="00060C8E"/>
    <w:rsid w:val="00060EBA"/>
    <w:rsid w:val="000617B8"/>
    <w:rsid w:val="000620D8"/>
    <w:rsid w:val="0006221E"/>
    <w:rsid w:val="000622A1"/>
    <w:rsid w:val="000626A2"/>
    <w:rsid w:val="00062747"/>
    <w:rsid w:val="00063504"/>
    <w:rsid w:val="0006388E"/>
    <w:rsid w:val="00063954"/>
    <w:rsid w:val="00063C10"/>
    <w:rsid w:val="00063CF2"/>
    <w:rsid w:val="00063DB3"/>
    <w:rsid w:val="00063E33"/>
    <w:rsid w:val="00063F80"/>
    <w:rsid w:val="0006417F"/>
    <w:rsid w:val="000645E8"/>
    <w:rsid w:val="00064D5B"/>
    <w:rsid w:val="00064EBA"/>
    <w:rsid w:val="00064EFF"/>
    <w:rsid w:val="00065046"/>
    <w:rsid w:val="000653DC"/>
    <w:rsid w:val="00065719"/>
    <w:rsid w:val="00065A48"/>
    <w:rsid w:val="00065E45"/>
    <w:rsid w:val="00065EFB"/>
    <w:rsid w:val="000663DE"/>
    <w:rsid w:val="0006688A"/>
    <w:rsid w:val="00066F69"/>
    <w:rsid w:val="00067132"/>
    <w:rsid w:val="000672BC"/>
    <w:rsid w:val="000674B1"/>
    <w:rsid w:val="0006795B"/>
    <w:rsid w:val="00067F70"/>
    <w:rsid w:val="00067F88"/>
    <w:rsid w:val="000700ED"/>
    <w:rsid w:val="00070277"/>
    <w:rsid w:val="00070517"/>
    <w:rsid w:val="00070862"/>
    <w:rsid w:val="00070956"/>
    <w:rsid w:val="00070AA4"/>
    <w:rsid w:val="00070AB9"/>
    <w:rsid w:val="00070E35"/>
    <w:rsid w:val="000715DD"/>
    <w:rsid w:val="000719B0"/>
    <w:rsid w:val="00071CBD"/>
    <w:rsid w:val="000720FD"/>
    <w:rsid w:val="0007234E"/>
    <w:rsid w:val="00072483"/>
    <w:rsid w:val="000725E5"/>
    <w:rsid w:val="00072731"/>
    <w:rsid w:val="00072785"/>
    <w:rsid w:val="00072BBE"/>
    <w:rsid w:val="00072F0A"/>
    <w:rsid w:val="00073356"/>
    <w:rsid w:val="0007374E"/>
    <w:rsid w:val="00073823"/>
    <w:rsid w:val="0007382B"/>
    <w:rsid w:val="000739EB"/>
    <w:rsid w:val="00073B3A"/>
    <w:rsid w:val="00073CDB"/>
    <w:rsid w:val="000742D8"/>
    <w:rsid w:val="00074378"/>
    <w:rsid w:val="0007484B"/>
    <w:rsid w:val="00074860"/>
    <w:rsid w:val="00074A77"/>
    <w:rsid w:val="00074AB1"/>
    <w:rsid w:val="00074B08"/>
    <w:rsid w:val="00074D14"/>
    <w:rsid w:val="00074E6E"/>
    <w:rsid w:val="00074EE6"/>
    <w:rsid w:val="000753B1"/>
    <w:rsid w:val="000758F2"/>
    <w:rsid w:val="000759A2"/>
    <w:rsid w:val="00075AD7"/>
    <w:rsid w:val="00075D49"/>
    <w:rsid w:val="00076074"/>
    <w:rsid w:val="00076291"/>
    <w:rsid w:val="000763CA"/>
    <w:rsid w:val="0007657F"/>
    <w:rsid w:val="00076595"/>
    <w:rsid w:val="00076707"/>
    <w:rsid w:val="00076964"/>
    <w:rsid w:val="00076A82"/>
    <w:rsid w:val="00076DE3"/>
    <w:rsid w:val="00076F9B"/>
    <w:rsid w:val="00077035"/>
    <w:rsid w:val="000772AD"/>
    <w:rsid w:val="000774E6"/>
    <w:rsid w:val="00077513"/>
    <w:rsid w:val="00077A4E"/>
    <w:rsid w:val="00077DB8"/>
    <w:rsid w:val="00077E77"/>
    <w:rsid w:val="00077ED7"/>
    <w:rsid w:val="00077FB6"/>
    <w:rsid w:val="00080AEA"/>
    <w:rsid w:val="00080E8F"/>
    <w:rsid w:val="00081399"/>
    <w:rsid w:val="000814B3"/>
    <w:rsid w:val="000817E7"/>
    <w:rsid w:val="0008182A"/>
    <w:rsid w:val="000819B2"/>
    <w:rsid w:val="00081BAA"/>
    <w:rsid w:val="00081C4E"/>
    <w:rsid w:val="00081EDB"/>
    <w:rsid w:val="00081FF7"/>
    <w:rsid w:val="00082158"/>
    <w:rsid w:val="0008251F"/>
    <w:rsid w:val="000826F7"/>
    <w:rsid w:val="00082824"/>
    <w:rsid w:val="000829EF"/>
    <w:rsid w:val="00082AAC"/>
    <w:rsid w:val="00082B38"/>
    <w:rsid w:val="00082D8B"/>
    <w:rsid w:val="00082F36"/>
    <w:rsid w:val="000831BA"/>
    <w:rsid w:val="00083325"/>
    <w:rsid w:val="0008379C"/>
    <w:rsid w:val="00084012"/>
    <w:rsid w:val="00084072"/>
    <w:rsid w:val="00084A2C"/>
    <w:rsid w:val="00084D08"/>
    <w:rsid w:val="00084DD0"/>
    <w:rsid w:val="00084E4D"/>
    <w:rsid w:val="00084F1D"/>
    <w:rsid w:val="0008522E"/>
    <w:rsid w:val="00085A8A"/>
    <w:rsid w:val="00085EF8"/>
    <w:rsid w:val="00085F8B"/>
    <w:rsid w:val="0008618F"/>
    <w:rsid w:val="000863C9"/>
    <w:rsid w:val="000864A3"/>
    <w:rsid w:val="000865DA"/>
    <w:rsid w:val="000866E1"/>
    <w:rsid w:val="000867B1"/>
    <w:rsid w:val="00086901"/>
    <w:rsid w:val="00086AED"/>
    <w:rsid w:val="00086DBF"/>
    <w:rsid w:val="00087598"/>
    <w:rsid w:val="00087909"/>
    <w:rsid w:val="00087968"/>
    <w:rsid w:val="00087E4C"/>
    <w:rsid w:val="00087FDF"/>
    <w:rsid w:val="00090187"/>
    <w:rsid w:val="0009040A"/>
    <w:rsid w:val="000905C0"/>
    <w:rsid w:val="00090D2F"/>
    <w:rsid w:val="00090F66"/>
    <w:rsid w:val="0009125B"/>
    <w:rsid w:val="0009137A"/>
    <w:rsid w:val="00091982"/>
    <w:rsid w:val="00091B72"/>
    <w:rsid w:val="00091D7D"/>
    <w:rsid w:val="00092142"/>
    <w:rsid w:val="000930A9"/>
    <w:rsid w:val="000930AC"/>
    <w:rsid w:val="0009347E"/>
    <w:rsid w:val="0009388A"/>
    <w:rsid w:val="00093A11"/>
    <w:rsid w:val="00093BB7"/>
    <w:rsid w:val="00093DA3"/>
    <w:rsid w:val="00093FAD"/>
    <w:rsid w:val="00094188"/>
    <w:rsid w:val="0009454E"/>
    <w:rsid w:val="0009471C"/>
    <w:rsid w:val="00094DDA"/>
    <w:rsid w:val="00094FD7"/>
    <w:rsid w:val="000955F7"/>
    <w:rsid w:val="00095E11"/>
    <w:rsid w:val="00095EBD"/>
    <w:rsid w:val="000962C8"/>
    <w:rsid w:val="000965EA"/>
    <w:rsid w:val="000966B8"/>
    <w:rsid w:val="00096776"/>
    <w:rsid w:val="000968A6"/>
    <w:rsid w:val="00096C78"/>
    <w:rsid w:val="00096D20"/>
    <w:rsid w:val="00096D28"/>
    <w:rsid w:val="00096FDA"/>
    <w:rsid w:val="000972FC"/>
    <w:rsid w:val="000976AD"/>
    <w:rsid w:val="00097840"/>
    <w:rsid w:val="000978F6"/>
    <w:rsid w:val="0009798D"/>
    <w:rsid w:val="00097BC6"/>
    <w:rsid w:val="00097E32"/>
    <w:rsid w:val="00097F02"/>
    <w:rsid w:val="000A007B"/>
    <w:rsid w:val="000A0511"/>
    <w:rsid w:val="000A06D9"/>
    <w:rsid w:val="000A0CA3"/>
    <w:rsid w:val="000A1026"/>
    <w:rsid w:val="000A1111"/>
    <w:rsid w:val="000A145A"/>
    <w:rsid w:val="000A1506"/>
    <w:rsid w:val="000A17F4"/>
    <w:rsid w:val="000A186F"/>
    <w:rsid w:val="000A188E"/>
    <w:rsid w:val="000A194B"/>
    <w:rsid w:val="000A1EA0"/>
    <w:rsid w:val="000A1F5E"/>
    <w:rsid w:val="000A20AE"/>
    <w:rsid w:val="000A2192"/>
    <w:rsid w:val="000A2393"/>
    <w:rsid w:val="000A255A"/>
    <w:rsid w:val="000A28B1"/>
    <w:rsid w:val="000A293F"/>
    <w:rsid w:val="000A2CA9"/>
    <w:rsid w:val="000A31CE"/>
    <w:rsid w:val="000A335A"/>
    <w:rsid w:val="000A34A9"/>
    <w:rsid w:val="000A3524"/>
    <w:rsid w:val="000A3562"/>
    <w:rsid w:val="000A3A50"/>
    <w:rsid w:val="000A3B92"/>
    <w:rsid w:val="000A3B96"/>
    <w:rsid w:val="000A3CD3"/>
    <w:rsid w:val="000A3CD9"/>
    <w:rsid w:val="000A42B2"/>
    <w:rsid w:val="000A46D6"/>
    <w:rsid w:val="000A4A3C"/>
    <w:rsid w:val="000A4F43"/>
    <w:rsid w:val="000A4FD1"/>
    <w:rsid w:val="000A51A3"/>
    <w:rsid w:val="000A5225"/>
    <w:rsid w:val="000A5396"/>
    <w:rsid w:val="000A5F77"/>
    <w:rsid w:val="000A6732"/>
    <w:rsid w:val="000A67B4"/>
    <w:rsid w:val="000A6FA1"/>
    <w:rsid w:val="000A76B0"/>
    <w:rsid w:val="000A7715"/>
    <w:rsid w:val="000A77E7"/>
    <w:rsid w:val="000A7E22"/>
    <w:rsid w:val="000A7F1E"/>
    <w:rsid w:val="000A7F3D"/>
    <w:rsid w:val="000A7F99"/>
    <w:rsid w:val="000A7FD2"/>
    <w:rsid w:val="000B003C"/>
    <w:rsid w:val="000B0339"/>
    <w:rsid w:val="000B0C21"/>
    <w:rsid w:val="000B0E5B"/>
    <w:rsid w:val="000B1107"/>
    <w:rsid w:val="000B175E"/>
    <w:rsid w:val="000B1B60"/>
    <w:rsid w:val="000B1D35"/>
    <w:rsid w:val="000B1E57"/>
    <w:rsid w:val="000B2032"/>
    <w:rsid w:val="000B233F"/>
    <w:rsid w:val="000B278A"/>
    <w:rsid w:val="000B290E"/>
    <w:rsid w:val="000B33FF"/>
    <w:rsid w:val="000B35BE"/>
    <w:rsid w:val="000B3B2E"/>
    <w:rsid w:val="000B410B"/>
    <w:rsid w:val="000B43DD"/>
    <w:rsid w:val="000B440F"/>
    <w:rsid w:val="000B472F"/>
    <w:rsid w:val="000B4843"/>
    <w:rsid w:val="000B486E"/>
    <w:rsid w:val="000B557C"/>
    <w:rsid w:val="000B5C17"/>
    <w:rsid w:val="000B6324"/>
    <w:rsid w:val="000B63B2"/>
    <w:rsid w:val="000B666F"/>
    <w:rsid w:val="000B69E4"/>
    <w:rsid w:val="000B6AAD"/>
    <w:rsid w:val="000B6B3D"/>
    <w:rsid w:val="000B6B8E"/>
    <w:rsid w:val="000B6E1D"/>
    <w:rsid w:val="000B7402"/>
    <w:rsid w:val="000B761B"/>
    <w:rsid w:val="000B76E3"/>
    <w:rsid w:val="000B7745"/>
    <w:rsid w:val="000B7776"/>
    <w:rsid w:val="000B7E0E"/>
    <w:rsid w:val="000B7E6A"/>
    <w:rsid w:val="000B7F6D"/>
    <w:rsid w:val="000C01CD"/>
    <w:rsid w:val="000C02AE"/>
    <w:rsid w:val="000C02DD"/>
    <w:rsid w:val="000C04EC"/>
    <w:rsid w:val="000C05C7"/>
    <w:rsid w:val="000C0BA2"/>
    <w:rsid w:val="000C0C83"/>
    <w:rsid w:val="000C0CF8"/>
    <w:rsid w:val="000C0D14"/>
    <w:rsid w:val="000C10B6"/>
    <w:rsid w:val="000C12E8"/>
    <w:rsid w:val="000C15A6"/>
    <w:rsid w:val="000C15C4"/>
    <w:rsid w:val="000C1F34"/>
    <w:rsid w:val="000C2101"/>
    <w:rsid w:val="000C2270"/>
    <w:rsid w:val="000C235C"/>
    <w:rsid w:val="000C2987"/>
    <w:rsid w:val="000C2AF1"/>
    <w:rsid w:val="000C2D65"/>
    <w:rsid w:val="000C3069"/>
    <w:rsid w:val="000C3490"/>
    <w:rsid w:val="000C34BE"/>
    <w:rsid w:val="000C3570"/>
    <w:rsid w:val="000C3829"/>
    <w:rsid w:val="000C3872"/>
    <w:rsid w:val="000C3C54"/>
    <w:rsid w:val="000C3CAC"/>
    <w:rsid w:val="000C3EBB"/>
    <w:rsid w:val="000C4286"/>
    <w:rsid w:val="000C4370"/>
    <w:rsid w:val="000C4A86"/>
    <w:rsid w:val="000C4C88"/>
    <w:rsid w:val="000C4EC5"/>
    <w:rsid w:val="000C4FDB"/>
    <w:rsid w:val="000C5255"/>
    <w:rsid w:val="000C535B"/>
    <w:rsid w:val="000C54D2"/>
    <w:rsid w:val="000C5628"/>
    <w:rsid w:val="000C590B"/>
    <w:rsid w:val="000C5AA7"/>
    <w:rsid w:val="000C5C56"/>
    <w:rsid w:val="000C5D06"/>
    <w:rsid w:val="000C5EEB"/>
    <w:rsid w:val="000C61DA"/>
    <w:rsid w:val="000C621C"/>
    <w:rsid w:val="000C62AB"/>
    <w:rsid w:val="000C6606"/>
    <w:rsid w:val="000C6727"/>
    <w:rsid w:val="000C6802"/>
    <w:rsid w:val="000C7076"/>
    <w:rsid w:val="000C70F3"/>
    <w:rsid w:val="000C783F"/>
    <w:rsid w:val="000C7CA2"/>
    <w:rsid w:val="000C7DAC"/>
    <w:rsid w:val="000D0300"/>
    <w:rsid w:val="000D0374"/>
    <w:rsid w:val="000D07AF"/>
    <w:rsid w:val="000D0BBA"/>
    <w:rsid w:val="000D0D66"/>
    <w:rsid w:val="000D1034"/>
    <w:rsid w:val="000D1280"/>
    <w:rsid w:val="000D143E"/>
    <w:rsid w:val="000D20D1"/>
    <w:rsid w:val="000D227C"/>
    <w:rsid w:val="000D2353"/>
    <w:rsid w:val="000D24B3"/>
    <w:rsid w:val="000D2545"/>
    <w:rsid w:val="000D264E"/>
    <w:rsid w:val="000D268E"/>
    <w:rsid w:val="000D2737"/>
    <w:rsid w:val="000D2F72"/>
    <w:rsid w:val="000D3687"/>
    <w:rsid w:val="000D36D3"/>
    <w:rsid w:val="000D3C72"/>
    <w:rsid w:val="000D3D48"/>
    <w:rsid w:val="000D4372"/>
    <w:rsid w:val="000D454D"/>
    <w:rsid w:val="000D47C8"/>
    <w:rsid w:val="000D48D8"/>
    <w:rsid w:val="000D4A39"/>
    <w:rsid w:val="000D4AB4"/>
    <w:rsid w:val="000D5300"/>
    <w:rsid w:val="000D539E"/>
    <w:rsid w:val="000D586B"/>
    <w:rsid w:val="000D596C"/>
    <w:rsid w:val="000D5AF8"/>
    <w:rsid w:val="000D5BC5"/>
    <w:rsid w:val="000D610E"/>
    <w:rsid w:val="000D6745"/>
    <w:rsid w:val="000D67C4"/>
    <w:rsid w:val="000D6C40"/>
    <w:rsid w:val="000D6E40"/>
    <w:rsid w:val="000D7104"/>
    <w:rsid w:val="000D718C"/>
    <w:rsid w:val="000D7207"/>
    <w:rsid w:val="000D7373"/>
    <w:rsid w:val="000D7622"/>
    <w:rsid w:val="000D79C0"/>
    <w:rsid w:val="000D7B5E"/>
    <w:rsid w:val="000D7E71"/>
    <w:rsid w:val="000E0010"/>
    <w:rsid w:val="000E00AC"/>
    <w:rsid w:val="000E016E"/>
    <w:rsid w:val="000E034C"/>
    <w:rsid w:val="000E044C"/>
    <w:rsid w:val="000E0854"/>
    <w:rsid w:val="000E0ADF"/>
    <w:rsid w:val="000E0E26"/>
    <w:rsid w:val="000E1111"/>
    <w:rsid w:val="000E15FF"/>
    <w:rsid w:val="000E191E"/>
    <w:rsid w:val="000E197D"/>
    <w:rsid w:val="000E19F8"/>
    <w:rsid w:val="000E1BC3"/>
    <w:rsid w:val="000E1F73"/>
    <w:rsid w:val="000E2139"/>
    <w:rsid w:val="000E224E"/>
    <w:rsid w:val="000E237C"/>
    <w:rsid w:val="000E2BF4"/>
    <w:rsid w:val="000E2F13"/>
    <w:rsid w:val="000E301D"/>
    <w:rsid w:val="000E34E7"/>
    <w:rsid w:val="000E37A4"/>
    <w:rsid w:val="000E38BA"/>
    <w:rsid w:val="000E391A"/>
    <w:rsid w:val="000E3C29"/>
    <w:rsid w:val="000E3CDF"/>
    <w:rsid w:val="000E4726"/>
    <w:rsid w:val="000E502E"/>
    <w:rsid w:val="000E509F"/>
    <w:rsid w:val="000E55E5"/>
    <w:rsid w:val="000E58AF"/>
    <w:rsid w:val="000E5959"/>
    <w:rsid w:val="000E5ADF"/>
    <w:rsid w:val="000E5E18"/>
    <w:rsid w:val="000E5EBA"/>
    <w:rsid w:val="000E6363"/>
    <w:rsid w:val="000E672E"/>
    <w:rsid w:val="000E68C1"/>
    <w:rsid w:val="000E6A03"/>
    <w:rsid w:val="000E6D6A"/>
    <w:rsid w:val="000E6DB7"/>
    <w:rsid w:val="000E7042"/>
    <w:rsid w:val="000E7123"/>
    <w:rsid w:val="000E74AE"/>
    <w:rsid w:val="000E785A"/>
    <w:rsid w:val="000E7ADF"/>
    <w:rsid w:val="000E7BD5"/>
    <w:rsid w:val="000E7EBE"/>
    <w:rsid w:val="000F0299"/>
    <w:rsid w:val="000F0301"/>
    <w:rsid w:val="000F0415"/>
    <w:rsid w:val="000F041B"/>
    <w:rsid w:val="000F04E5"/>
    <w:rsid w:val="000F04EE"/>
    <w:rsid w:val="000F079C"/>
    <w:rsid w:val="000F0CD4"/>
    <w:rsid w:val="000F1037"/>
    <w:rsid w:val="000F10FD"/>
    <w:rsid w:val="000F167E"/>
    <w:rsid w:val="000F187A"/>
    <w:rsid w:val="000F1A1A"/>
    <w:rsid w:val="000F1B20"/>
    <w:rsid w:val="000F1ECC"/>
    <w:rsid w:val="000F1F5D"/>
    <w:rsid w:val="000F1F9B"/>
    <w:rsid w:val="000F21E5"/>
    <w:rsid w:val="000F2759"/>
    <w:rsid w:val="000F2A21"/>
    <w:rsid w:val="000F3094"/>
    <w:rsid w:val="000F3505"/>
    <w:rsid w:val="000F3CD7"/>
    <w:rsid w:val="000F3DFE"/>
    <w:rsid w:val="000F3F36"/>
    <w:rsid w:val="000F40D6"/>
    <w:rsid w:val="000F41C1"/>
    <w:rsid w:val="000F428F"/>
    <w:rsid w:val="000F4563"/>
    <w:rsid w:val="000F4645"/>
    <w:rsid w:val="000F4790"/>
    <w:rsid w:val="000F4831"/>
    <w:rsid w:val="000F4964"/>
    <w:rsid w:val="000F49B7"/>
    <w:rsid w:val="000F4C1C"/>
    <w:rsid w:val="000F54FC"/>
    <w:rsid w:val="000F585F"/>
    <w:rsid w:val="000F58E4"/>
    <w:rsid w:val="000F596B"/>
    <w:rsid w:val="000F5EAA"/>
    <w:rsid w:val="000F6013"/>
    <w:rsid w:val="000F610B"/>
    <w:rsid w:val="000F631B"/>
    <w:rsid w:val="000F667D"/>
    <w:rsid w:val="000F6840"/>
    <w:rsid w:val="000F6884"/>
    <w:rsid w:val="000F71D8"/>
    <w:rsid w:val="000F73CF"/>
    <w:rsid w:val="000F7581"/>
    <w:rsid w:val="000F7AE8"/>
    <w:rsid w:val="0010016E"/>
    <w:rsid w:val="0010023B"/>
    <w:rsid w:val="00100633"/>
    <w:rsid w:val="0010063F"/>
    <w:rsid w:val="001006FD"/>
    <w:rsid w:val="00100D9C"/>
    <w:rsid w:val="0010131C"/>
    <w:rsid w:val="00101391"/>
    <w:rsid w:val="00101988"/>
    <w:rsid w:val="00101A18"/>
    <w:rsid w:val="00101B08"/>
    <w:rsid w:val="00101E2D"/>
    <w:rsid w:val="00101EC3"/>
    <w:rsid w:val="0010211E"/>
    <w:rsid w:val="00102394"/>
    <w:rsid w:val="001023DC"/>
    <w:rsid w:val="001024EF"/>
    <w:rsid w:val="0010253B"/>
    <w:rsid w:val="00102595"/>
    <w:rsid w:val="001025D5"/>
    <w:rsid w:val="00102712"/>
    <w:rsid w:val="0010281A"/>
    <w:rsid w:val="00102CE0"/>
    <w:rsid w:val="00102F0E"/>
    <w:rsid w:val="00102F5C"/>
    <w:rsid w:val="001031D5"/>
    <w:rsid w:val="001035C1"/>
    <w:rsid w:val="001036F2"/>
    <w:rsid w:val="00103AF9"/>
    <w:rsid w:val="00103D36"/>
    <w:rsid w:val="00104150"/>
    <w:rsid w:val="0010423C"/>
    <w:rsid w:val="00104579"/>
    <w:rsid w:val="001045A5"/>
    <w:rsid w:val="00104694"/>
    <w:rsid w:val="0010474F"/>
    <w:rsid w:val="0010477B"/>
    <w:rsid w:val="0010499C"/>
    <w:rsid w:val="00104C31"/>
    <w:rsid w:val="00104F75"/>
    <w:rsid w:val="0010513F"/>
    <w:rsid w:val="00105145"/>
    <w:rsid w:val="0010514F"/>
    <w:rsid w:val="001051D9"/>
    <w:rsid w:val="0010560D"/>
    <w:rsid w:val="00105ABB"/>
    <w:rsid w:val="00105E05"/>
    <w:rsid w:val="0010634F"/>
    <w:rsid w:val="001064AE"/>
    <w:rsid w:val="00106F42"/>
    <w:rsid w:val="00107240"/>
    <w:rsid w:val="001074E1"/>
    <w:rsid w:val="001078C1"/>
    <w:rsid w:val="001079AB"/>
    <w:rsid w:val="00107A59"/>
    <w:rsid w:val="00107A89"/>
    <w:rsid w:val="00107B31"/>
    <w:rsid w:val="00110751"/>
    <w:rsid w:val="001108CF"/>
    <w:rsid w:val="0011093A"/>
    <w:rsid w:val="00110AE3"/>
    <w:rsid w:val="00110CD3"/>
    <w:rsid w:val="00110DC9"/>
    <w:rsid w:val="00111203"/>
    <w:rsid w:val="0011183B"/>
    <w:rsid w:val="00111EA0"/>
    <w:rsid w:val="0011229A"/>
    <w:rsid w:val="00112301"/>
    <w:rsid w:val="001124BB"/>
    <w:rsid w:val="001127C0"/>
    <w:rsid w:val="001128D7"/>
    <w:rsid w:val="00112FBB"/>
    <w:rsid w:val="001130FE"/>
    <w:rsid w:val="001131EA"/>
    <w:rsid w:val="001132DD"/>
    <w:rsid w:val="00113404"/>
    <w:rsid w:val="001134C7"/>
    <w:rsid w:val="001134FA"/>
    <w:rsid w:val="001136D3"/>
    <w:rsid w:val="001136F4"/>
    <w:rsid w:val="00113A91"/>
    <w:rsid w:val="00113F4D"/>
    <w:rsid w:val="0011427F"/>
    <w:rsid w:val="001146BA"/>
    <w:rsid w:val="00114892"/>
    <w:rsid w:val="00114CFC"/>
    <w:rsid w:val="001150DB"/>
    <w:rsid w:val="001151A8"/>
    <w:rsid w:val="00115490"/>
    <w:rsid w:val="001157CA"/>
    <w:rsid w:val="00115A28"/>
    <w:rsid w:val="00115F10"/>
    <w:rsid w:val="00115F37"/>
    <w:rsid w:val="0011629E"/>
    <w:rsid w:val="0011666A"/>
    <w:rsid w:val="0011666B"/>
    <w:rsid w:val="00116AD3"/>
    <w:rsid w:val="00116D4C"/>
    <w:rsid w:val="00116DCE"/>
    <w:rsid w:val="00117094"/>
    <w:rsid w:val="0011751A"/>
    <w:rsid w:val="00117750"/>
    <w:rsid w:val="001178EA"/>
    <w:rsid w:val="00117ACF"/>
    <w:rsid w:val="00117AF9"/>
    <w:rsid w:val="00117C4B"/>
    <w:rsid w:val="00117C74"/>
    <w:rsid w:val="00117E91"/>
    <w:rsid w:val="00117F16"/>
    <w:rsid w:val="00117F3F"/>
    <w:rsid w:val="00117FB2"/>
    <w:rsid w:val="001202E0"/>
    <w:rsid w:val="0012040B"/>
    <w:rsid w:val="00120698"/>
    <w:rsid w:val="00120A59"/>
    <w:rsid w:val="00120D4A"/>
    <w:rsid w:val="0012145E"/>
    <w:rsid w:val="001214BE"/>
    <w:rsid w:val="00121822"/>
    <w:rsid w:val="00121834"/>
    <w:rsid w:val="0012186E"/>
    <w:rsid w:val="001219E8"/>
    <w:rsid w:val="0012219C"/>
    <w:rsid w:val="00122456"/>
    <w:rsid w:val="00122607"/>
    <w:rsid w:val="001226A6"/>
    <w:rsid w:val="00122952"/>
    <w:rsid w:val="001229AE"/>
    <w:rsid w:val="001229CD"/>
    <w:rsid w:val="00122A84"/>
    <w:rsid w:val="00123048"/>
    <w:rsid w:val="0012314F"/>
    <w:rsid w:val="001231A7"/>
    <w:rsid w:val="001235AC"/>
    <w:rsid w:val="00123716"/>
    <w:rsid w:val="0012399A"/>
    <w:rsid w:val="001239DB"/>
    <w:rsid w:val="00123ADF"/>
    <w:rsid w:val="00124346"/>
    <w:rsid w:val="0012436A"/>
    <w:rsid w:val="0012447B"/>
    <w:rsid w:val="001246D2"/>
    <w:rsid w:val="00124936"/>
    <w:rsid w:val="00124AA3"/>
    <w:rsid w:val="00124B0A"/>
    <w:rsid w:val="00124B94"/>
    <w:rsid w:val="00124CA7"/>
    <w:rsid w:val="00125389"/>
    <w:rsid w:val="00125771"/>
    <w:rsid w:val="00125C36"/>
    <w:rsid w:val="00125D70"/>
    <w:rsid w:val="001260F6"/>
    <w:rsid w:val="00126B15"/>
    <w:rsid w:val="00126F02"/>
    <w:rsid w:val="001273E0"/>
    <w:rsid w:val="00127439"/>
    <w:rsid w:val="00127957"/>
    <w:rsid w:val="00127C18"/>
    <w:rsid w:val="00127C92"/>
    <w:rsid w:val="00127D31"/>
    <w:rsid w:val="00127F44"/>
    <w:rsid w:val="001300CD"/>
    <w:rsid w:val="0013013F"/>
    <w:rsid w:val="001301C9"/>
    <w:rsid w:val="0013057F"/>
    <w:rsid w:val="00130840"/>
    <w:rsid w:val="00130935"/>
    <w:rsid w:val="00130956"/>
    <w:rsid w:val="00130E0C"/>
    <w:rsid w:val="00130F10"/>
    <w:rsid w:val="00131417"/>
    <w:rsid w:val="001314AC"/>
    <w:rsid w:val="00131529"/>
    <w:rsid w:val="001315DE"/>
    <w:rsid w:val="00131656"/>
    <w:rsid w:val="00131758"/>
    <w:rsid w:val="0013197F"/>
    <w:rsid w:val="00131A37"/>
    <w:rsid w:val="00132016"/>
    <w:rsid w:val="00132162"/>
    <w:rsid w:val="00132247"/>
    <w:rsid w:val="00132329"/>
    <w:rsid w:val="0013233A"/>
    <w:rsid w:val="001334B8"/>
    <w:rsid w:val="00133543"/>
    <w:rsid w:val="00133705"/>
    <w:rsid w:val="001337B3"/>
    <w:rsid w:val="001339A2"/>
    <w:rsid w:val="00133B2F"/>
    <w:rsid w:val="00133E32"/>
    <w:rsid w:val="0013410D"/>
    <w:rsid w:val="001343B8"/>
    <w:rsid w:val="001343DE"/>
    <w:rsid w:val="001346B8"/>
    <w:rsid w:val="001347EC"/>
    <w:rsid w:val="0013482B"/>
    <w:rsid w:val="00134AA0"/>
    <w:rsid w:val="00134EE2"/>
    <w:rsid w:val="00134FFF"/>
    <w:rsid w:val="0013509D"/>
    <w:rsid w:val="00135126"/>
    <w:rsid w:val="001352D8"/>
    <w:rsid w:val="00135628"/>
    <w:rsid w:val="00135952"/>
    <w:rsid w:val="00135AF1"/>
    <w:rsid w:val="00135CC3"/>
    <w:rsid w:val="00135E2C"/>
    <w:rsid w:val="0013625B"/>
    <w:rsid w:val="00136282"/>
    <w:rsid w:val="00136299"/>
    <w:rsid w:val="0013695A"/>
    <w:rsid w:val="00136C0C"/>
    <w:rsid w:val="001373C3"/>
    <w:rsid w:val="001373EB"/>
    <w:rsid w:val="00137472"/>
    <w:rsid w:val="00137703"/>
    <w:rsid w:val="00137A4C"/>
    <w:rsid w:val="00137D4A"/>
    <w:rsid w:val="00137D53"/>
    <w:rsid w:val="00137E0C"/>
    <w:rsid w:val="00137F0F"/>
    <w:rsid w:val="00140003"/>
    <w:rsid w:val="00140164"/>
    <w:rsid w:val="001408F4"/>
    <w:rsid w:val="00141210"/>
    <w:rsid w:val="0014129B"/>
    <w:rsid w:val="0014144E"/>
    <w:rsid w:val="001414AB"/>
    <w:rsid w:val="001414BF"/>
    <w:rsid w:val="0014158E"/>
    <w:rsid w:val="001415D1"/>
    <w:rsid w:val="00141A92"/>
    <w:rsid w:val="00141C45"/>
    <w:rsid w:val="00141F44"/>
    <w:rsid w:val="00142398"/>
    <w:rsid w:val="001423E3"/>
    <w:rsid w:val="00142445"/>
    <w:rsid w:val="001428F7"/>
    <w:rsid w:val="00142969"/>
    <w:rsid w:val="00143083"/>
    <w:rsid w:val="001431C4"/>
    <w:rsid w:val="00143208"/>
    <w:rsid w:val="00143564"/>
    <w:rsid w:val="0014361E"/>
    <w:rsid w:val="001438A5"/>
    <w:rsid w:val="00143996"/>
    <w:rsid w:val="00143A58"/>
    <w:rsid w:val="00143E32"/>
    <w:rsid w:val="0014423B"/>
    <w:rsid w:val="00144588"/>
    <w:rsid w:val="00144724"/>
    <w:rsid w:val="00144776"/>
    <w:rsid w:val="001449D6"/>
    <w:rsid w:val="00145324"/>
    <w:rsid w:val="0014579D"/>
    <w:rsid w:val="001457D1"/>
    <w:rsid w:val="0014591D"/>
    <w:rsid w:val="00145CE3"/>
    <w:rsid w:val="0014638E"/>
    <w:rsid w:val="00146407"/>
    <w:rsid w:val="001467F4"/>
    <w:rsid w:val="00146851"/>
    <w:rsid w:val="001474EE"/>
    <w:rsid w:val="00147560"/>
    <w:rsid w:val="0014786A"/>
    <w:rsid w:val="00147BE5"/>
    <w:rsid w:val="00147CAA"/>
    <w:rsid w:val="00147DF8"/>
    <w:rsid w:val="001500FE"/>
    <w:rsid w:val="0015010A"/>
    <w:rsid w:val="00150491"/>
    <w:rsid w:val="00150709"/>
    <w:rsid w:val="00150802"/>
    <w:rsid w:val="00150DC1"/>
    <w:rsid w:val="00150EC5"/>
    <w:rsid w:val="0015130D"/>
    <w:rsid w:val="00151541"/>
    <w:rsid w:val="001519E0"/>
    <w:rsid w:val="00151BE0"/>
    <w:rsid w:val="00151CAF"/>
    <w:rsid w:val="001521E0"/>
    <w:rsid w:val="001526D9"/>
    <w:rsid w:val="00152716"/>
    <w:rsid w:val="00152C96"/>
    <w:rsid w:val="00153483"/>
    <w:rsid w:val="0015359A"/>
    <w:rsid w:val="001535ED"/>
    <w:rsid w:val="001539E3"/>
    <w:rsid w:val="00153DCF"/>
    <w:rsid w:val="00154693"/>
    <w:rsid w:val="00154A13"/>
    <w:rsid w:val="00154E41"/>
    <w:rsid w:val="0015538A"/>
    <w:rsid w:val="001555A4"/>
    <w:rsid w:val="001555D0"/>
    <w:rsid w:val="00155C4C"/>
    <w:rsid w:val="00156195"/>
    <w:rsid w:val="00156546"/>
    <w:rsid w:val="0015689C"/>
    <w:rsid w:val="00156B51"/>
    <w:rsid w:val="00157136"/>
    <w:rsid w:val="001574C4"/>
    <w:rsid w:val="00157D59"/>
    <w:rsid w:val="00157FDB"/>
    <w:rsid w:val="0016041C"/>
    <w:rsid w:val="001606B7"/>
    <w:rsid w:val="00160AB7"/>
    <w:rsid w:val="00160E97"/>
    <w:rsid w:val="00161196"/>
    <w:rsid w:val="0016171A"/>
    <w:rsid w:val="001617F4"/>
    <w:rsid w:val="00161936"/>
    <w:rsid w:val="00161A21"/>
    <w:rsid w:val="00161BBB"/>
    <w:rsid w:val="00161BBF"/>
    <w:rsid w:val="00161CD2"/>
    <w:rsid w:val="001624AB"/>
    <w:rsid w:val="00162504"/>
    <w:rsid w:val="0016289A"/>
    <w:rsid w:val="00162A1B"/>
    <w:rsid w:val="0016314C"/>
    <w:rsid w:val="00163622"/>
    <w:rsid w:val="0016385D"/>
    <w:rsid w:val="00163D32"/>
    <w:rsid w:val="00163F35"/>
    <w:rsid w:val="0016433C"/>
    <w:rsid w:val="0016448E"/>
    <w:rsid w:val="00164614"/>
    <w:rsid w:val="00164789"/>
    <w:rsid w:val="00164826"/>
    <w:rsid w:val="00164BF9"/>
    <w:rsid w:val="00164F5C"/>
    <w:rsid w:val="0016597B"/>
    <w:rsid w:val="00165B6F"/>
    <w:rsid w:val="00166765"/>
    <w:rsid w:val="00166EB0"/>
    <w:rsid w:val="00167603"/>
    <w:rsid w:val="0016781C"/>
    <w:rsid w:val="00167859"/>
    <w:rsid w:val="00167874"/>
    <w:rsid w:val="00167D8A"/>
    <w:rsid w:val="0017019F"/>
    <w:rsid w:val="0017085B"/>
    <w:rsid w:val="00170D8E"/>
    <w:rsid w:val="00170FBE"/>
    <w:rsid w:val="0017115E"/>
    <w:rsid w:val="001711BD"/>
    <w:rsid w:val="001715D9"/>
    <w:rsid w:val="001717BA"/>
    <w:rsid w:val="00171964"/>
    <w:rsid w:val="00171CFA"/>
    <w:rsid w:val="00171EC3"/>
    <w:rsid w:val="001722F6"/>
    <w:rsid w:val="00172457"/>
    <w:rsid w:val="0017279B"/>
    <w:rsid w:val="00172D80"/>
    <w:rsid w:val="0017325E"/>
    <w:rsid w:val="00173951"/>
    <w:rsid w:val="00173E07"/>
    <w:rsid w:val="00173EEE"/>
    <w:rsid w:val="00174589"/>
    <w:rsid w:val="0017478D"/>
    <w:rsid w:val="00174D56"/>
    <w:rsid w:val="00174E71"/>
    <w:rsid w:val="0017519D"/>
    <w:rsid w:val="0017522A"/>
    <w:rsid w:val="001755E4"/>
    <w:rsid w:val="00175980"/>
    <w:rsid w:val="00175A1B"/>
    <w:rsid w:val="00175D70"/>
    <w:rsid w:val="00175F78"/>
    <w:rsid w:val="00175F8C"/>
    <w:rsid w:val="0017641D"/>
    <w:rsid w:val="00176C3C"/>
    <w:rsid w:val="00176D32"/>
    <w:rsid w:val="00176E1F"/>
    <w:rsid w:val="0017781B"/>
    <w:rsid w:val="00177965"/>
    <w:rsid w:val="001779C9"/>
    <w:rsid w:val="001800B4"/>
    <w:rsid w:val="0018029C"/>
    <w:rsid w:val="001802D5"/>
    <w:rsid w:val="00180456"/>
    <w:rsid w:val="00180811"/>
    <w:rsid w:val="00180C21"/>
    <w:rsid w:val="00180EE4"/>
    <w:rsid w:val="0018144A"/>
    <w:rsid w:val="00181539"/>
    <w:rsid w:val="001815BD"/>
    <w:rsid w:val="00181761"/>
    <w:rsid w:val="001818FA"/>
    <w:rsid w:val="00181931"/>
    <w:rsid w:val="001819CE"/>
    <w:rsid w:val="0018201A"/>
    <w:rsid w:val="00182051"/>
    <w:rsid w:val="00182460"/>
    <w:rsid w:val="00182812"/>
    <w:rsid w:val="00182AA3"/>
    <w:rsid w:val="00182C6F"/>
    <w:rsid w:val="00182E5A"/>
    <w:rsid w:val="00182EC3"/>
    <w:rsid w:val="00182FB6"/>
    <w:rsid w:val="001833E6"/>
    <w:rsid w:val="00183401"/>
    <w:rsid w:val="0018358B"/>
    <w:rsid w:val="00183650"/>
    <w:rsid w:val="00183737"/>
    <w:rsid w:val="00183A77"/>
    <w:rsid w:val="00183F59"/>
    <w:rsid w:val="0018400F"/>
    <w:rsid w:val="00184055"/>
    <w:rsid w:val="001843E2"/>
    <w:rsid w:val="001847DF"/>
    <w:rsid w:val="00184856"/>
    <w:rsid w:val="00184D0C"/>
    <w:rsid w:val="0018504D"/>
    <w:rsid w:val="001850CF"/>
    <w:rsid w:val="0018512E"/>
    <w:rsid w:val="001856C9"/>
    <w:rsid w:val="001856CA"/>
    <w:rsid w:val="00185894"/>
    <w:rsid w:val="00185915"/>
    <w:rsid w:val="00185960"/>
    <w:rsid w:val="00185B56"/>
    <w:rsid w:val="00185B72"/>
    <w:rsid w:val="00185D8D"/>
    <w:rsid w:val="00185F65"/>
    <w:rsid w:val="001861D2"/>
    <w:rsid w:val="0018631E"/>
    <w:rsid w:val="001863A7"/>
    <w:rsid w:val="001863BC"/>
    <w:rsid w:val="00186C80"/>
    <w:rsid w:val="00186E67"/>
    <w:rsid w:val="00187057"/>
    <w:rsid w:val="00187112"/>
    <w:rsid w:val="0018716C"/>
    <w:rsid w:val="001872CB"/>
    <w:rsid w:val="00187A20"/>
    <w:rsid w:val="00187ACE"/>
    <w:rsid w:val="00187ADB"/>
    <w:rsid w:val="00187E4C"/>
    <w:rsid w:val="00190055"/>
    <w:rsid w:val="0019040C"/>
    <w:rsid w:val="001905A7"/>
    <w:rsid w:val="001905DE"/>
    <w:rsid w:val="00190731"/>
    <w:rsid w:val="00190950"/>
    <w:rsid w:val="00190A9F"/>
    <w:rsid w:val="00190E04"/>
    <w:rsid w:val="00190FA3"/>
    <w:rsid w:val="001911CB"/>
    <w:rsid w:val="00191487"/>
    <w:rsid w:val="0019155C"/>
    <w:rsid w:val="00191828"/>
    <w:rsid w:val="00191DFB"/>
    <w:rsid w:val="00192389"/>
    <w:rsid w:val="001923F4"/>
    <w:rsid w:val="00192659"/>
    <w:rsid w:val="00192851"/>
    <w:rsid w:val="00192A7C"/>
    <w:rsid w:val="00192BED"/>
    <w:rsid w:val="00192CFB"/>
    <w:rsid w:val="00193256"/>
    <w:rsid w:val="00193737"/>
    <w:rsid w:val="00193A03"/>
    <w:rsid w:val="00193E7B"/>
    <w:rsid w:val="001942F3"/>
    <w:rsid w:val="001944BA"/>
    <w:rsid w:val="00194A84"/>
    <w:rsid w:val="001954B8"/>
    <w:rsid w:val="00195A11"/>
    <w:rsid w:val="00195A53"/>
    <w:rsid w:val="00196579"/>
    <w:rsid w:val="00196629"/>
    <w:rsid w:val="0019688A"/>
    <w:rsid w:val="001969D0"/>
    <w:rsid w:val="00196C9C"/>
    <w:rsid w:val="00196ED1"/>
    <w:rsid w:val="00196ED4"/>
    <w:rsid w:val="00196FC8"/>
    <w:rsid w:val="001972D7"/>
    <w:rsid w:val="001972F3"/>
    <w:rsid w:val="001972FC"/>
    <w:rsid w:val="0019774C"/>
    <w:rsid w:val="00197A31"/>
    <w:rsid w:val="00197A8E"/>
    <w:rsid w:val="00197BB6"/>
    <w:rsid w:val="00197D13"/>
    <w:rsid w:val="00197E17"/>
    <w:rsid w:val="00197E1C"/>
    <w:rsid w:val="00197ED9"/>
    <w:rsid w:val="001A0941"/>
    <w:rsid w:val="001A09A6"/>
    <w:rsid w:val="001A0A83"/>
    <w:rsid w:val="001A0EB4"/>
    <w:rsid w:val="001A1050"/>
    <w:rsid w:val="001A148F"/>
    <w:rsid w:val="001A1819"/>
    <w:rsid w:val="001A1A34"/>
    <w:rsid w:val="001A1D2D"/>
    <w:rsid w:val="001A1D70"/>
    <w:rsid w:val="001A2A73"/>
    <w:rsid w:val="001A2B7A"/>
    <w:rsid w:val="001A2E4F"/>
    <w:rsid w:val="001A3158"/>
    <w:rsid w:val="001A3495"/>
    <w:rsid w:val="001A3673"/>
    <w:rsid w:val="001A3906"/>
    <w:rsid w:val="001A3ABE"/>
    <w:rsid w:val="001A3FCA"/>
    <w:rsid w:val="001A40FB"/>
    <w:rsid w:val="001A4419"/>
    <w:rsid w:val="001A4743"/>
    <w:rsid w:val="001A488D"/>
    <w:rsid w:val="001A4922"/>
    <w:rsid w:val="001A4E0F"/>
    <w:rsid w:val="001A58EC"/>
    <w:rsid w:val="001A5935"/>
    <w:rsid w:val="001A6085"/>
    <w:rsid w:val="001A60FE"/>
    <w:rsid w:val="001A6281"/>
    <w:rsid w:val="001A6331"/>
    <w:rsid w:val="001A660A"/>
    <w:rsid w:val="001A6773"/>
    <w:rsid w:val="001A6B85"/>
    <w:rsid w:val="001A6F21"/>
    <w:rsid w:val="001A704D"/>
    <w:rsid w:val="001A72C1"/>
    <w:rsid w:val="001A7340"/>
    <w:rsid w:val="001A7532"/>
    <w:rsid w:val="001A7721"/>
    <w:rsid w:val="001A7900"/>
    <w:rsid w:val="001A79B6"/>
    <w:rsid w:val="001A7AC1"/>
    <w:rsid w:val="001A7AD8"/>
    <w:rsid w:val="001A7BF7"/>
    <w:rsid w:val="001A7ECA"/>
    <w:rsid w:val="001B00FA"/>
    <w:rsid w:val="001B03D5"/>
    <w:rsid w:val="001B0409"/>
    <w:rsid w:val="001B0921"/>
    <w:rsid w:val="001B0932"/>
    <w:rsid w:val="001B0A83"/>
    <w:rsid w:val="001B0CED"/>
    <w:rsid w:val="001B0D03"/>
    <w:rsid w:val="001B0EF5"/>
    <w:rsid w:val="001B1188"/>
    <w:rsid w:val="001B1383"/>
    <w:rsid w:val="001B14CB"/>
    <w:rsid w:val="001B17B4"/>
    <w:rsid w:val="001B1A5C"/>
    <w:rsid w:val="001B23F9"/>
    <w:rsid w:val="001B2484"/>
    <w:rsid w:val="001B254B"/>
    <w:rsid w:val="001B257F"/>
    <w:rsid w:val="001B30DE"/>
    <w:rsid w:val="001B3174"/>
    <w:rsid w:val="001B3397"/>
    <w:rsid w:val="001B3509"/>
    <w:rsid w:val="001B383A"/>
    <w:rsid w:val="001B38B1"/>
    <w:rsid w:val="001B3D13"/>
    <w:rsid w:val="001B4113"/>
    <w:rsid w:val="001B42C1"/>
    <w:rsid w:val="001B4ADE"/>
    <w:rsid w:val="001B4B44"/>
    <w:rsid w:val="001B4E59"/>
    <w:rsid w:val="001B4EB7"/>
    <w:rsid w:val="001B5129"/>
    <w:rsid w:val="001B51EF"/>
    <w:rsid w:val="001B5694"/>
    <w:rsid w:val="001B57FE"/>
    <w:rsid w:val="001B58FB"/>
    <w:rsid w:val="001B643F"/>
    <w:rsid w:val="001B6819"/>
    <w:rsid w:val="001B6966"/>
    <w:rsid w:val="001B6D38"/>
    <w:rsid w:val="001B751B"/>
    <w:rsid w:val="001B7A8A"/>
    <w:rsid w:val="001C0232"/>
    <w:rsid w:val="001C0567"/>
    <w:rsid w:val="001C0988"/>
    <w:rsid w:val="001C0C59"/>
    <w:rsid w:val="001C0CB2"/>
    <w:rsid w:val="001C0D18"/>
    <w:rsid w:val="001C10E0"/>
    <w:rsid w:val="001C12CB"/>
    <w:rsid w:val="001C13E8"/>
    <w:rsid w:val="001C1459"/>
    <w:rsid w:val="001C152D"/>
    <w:rsid w:val="001C15C5"/>
    <w:rsid w:val="001C1606"/>
    <w:rsid w:val="001C1959"/>
    <w:rsid w:val="001C1AFE"/>
    <w:rsid w:val="001C1B8F"/>
    <w:rsid w:val="001C1BBE"/>
    <w:rsid w:val="001C1CF3"/>
    <w:rsid w:val="001C1F0F"/>
    <w:rsid w:val="001C1F17"/>
    <w:rsid w:val="001C2144"/>
    <w:rsid w:val="001C22A0"/>
    <w:rsid w:val="001C256E"/>
    <w:rsid w:val="001C2577"/>
    <w:rsid w:val="001C26AA"/>
    <w:rsid w:val="001C2779"/>
    <w:rsid w:val="001C2833"/>
    <w:rsid w:val="001C2AA3"/>
    <w:rsid w:val="001C2D3F"/>
    <w:rsid w:val="001C2E6A"/>
    <w:rsid w:val="001C329F"/>
    <w:rsid w:val="001C348F"/>
    <w:rsid w:val="001C381D"/>
    <w:rsid w:val="001C39B2"/>
    <w:rsid w:val="001C3D64"/>
    <w:rsid w:val="001C3E72"/>
    <w:rsid w:val="001C448A"/>
    <w:rsid w:val="001C4722"/>
    <w:rsid w:val="001C4819"/>
    <w:rsid w:val="001C4995"/>
    <w:rsid w:val="001C50F5"/>
    <w:rsid w:val="001C5739"/>
    <w:rsid w:val="001C5C12"/>
    <w:rsid w:val="001C5F97"/>
    <w:rsid w:val="001C5FC6"/>
    <w:rsid w:val="001C610B"/>
    <w:rsid w:val="001C63E4"/>
    <w:rsid w:val="001C647F"/>
    <w:rsid w:val="001C66E5"/>
    <w:rsid w:val="001C67C7"/>
    <w:rsid w:val="001C6B57"/>
    <w:rsid w:val="001C6FF5"/>
    <w:rsid w:val="001C70A7"/>
    <w:rsid w:val="001C71E4"/>
    <w:rsid w:val="001C75A9"/>
    <w:rsid w:val="001C7606"/>
    <w:rsid w:val="001C7755"/>
    <w:rsid w:val="001C78F6"/>
    <w:rsid w:val="001C7939"/>
    <w:rsid w:val="001C7BDD"/>
    <w:rsid w:val="001C7D09"/>
    <w:rsid w:val="001C7D77"/>
    <w:rsid w:val="001D00BE"/>
    <w:rsid w:val="001D042C"/>
    <w:rsid w:val="001D081D"/>
    <w:rsid w:val="001D0C6F"/>
    <w:rsid w:val="001D1060"/>
    <w:rsid w:val="001D134B"/>
    <w:rsid w:val="001D13B0"/>
    <w:rsid w:val="001D1556"/>
    <w:rsid w:val="001D18C8"/>
    <w:rsid w:val="001D18F5"/>
    <w:rsid w:val="001D1A95"/>
    <w:rsid w:val="001D1BCC"/>
    <w:rsid w:val="001D1D8D"/>
    <w:rsid w:val="001D2095"/>
    <w:rsid w:val="001D2219"/>
    <w:rsid w:val="001D24AA"/>
    <w:rsid w:val="001D2560"/>
    <w:rsid w:val="001D25C8"/>
    <w:rsid w:val="001D2BC8"/>
    <w:rsid w:val="001D2F29"/>
    <w:rsid w:val="001D308E"/>
    <w:rsid w:val="001D3B56"/>
    <w:rsid w:val="001D48D0"/>
    <w:rsid w:val="001D49EE"/>
    <w:rsid w:val="001D4CC1"/>
    <w:rsid w:val="001D4FB3"/>
    <w:rsid w:val="001D4FC1"/>
    <w:rsid w:val="001D4FE7"/>
    <w:rsid w:val="001D552A"/>
    <w:rsid w:val="001D5544"/>
    <w:rsid w:val="001D55D2"/>
    <w:rsid w:val="001D5860"/>
    <w:rsid w:val="001D586A"/>
    <w:rsid w:val="001D5B62"/>
    <w:rsid w:val="001D60FE"/>
    <w:rsid w:val="001D613D"/>
    <w:rsid w:val="001D61F5"/>
    <w:rsid w:val="001D6327"/>
    <w:rsid w:val="001D654E"/>
    <w:rsid w:val="001D6721"/>
    <w:rsid w:val="001D676C"/>
    <w:rsid w:val="001D690F"/>
    <w:rsid w:val="001D6A7A"/>
    <w:rsid w:val="001D6ADD"/>
    <w:rsid w:val="001D6BF5"/>
    <w:rsid w:val="001D6EF5"/>
    <w:rsid w:val="001D723A"/>
    <w:rsid w:val="001D77E3"/>
    <w:rsid w:val="001D7F52"/>
    <w:rsid w:val="001D7FA6"/>
    <w:rsid w:val="001E00F2"/>
    <w:rsid w:val="001E04C0"/>
    <w:rsid w:val="001E0694"/>
    <w:rsid w:val="001E06C8"/>
    <w:rsid w:val="001E078F"/>
    <w:rsid w:val="001E08A5"/>
    <w:rsid w:val="001E09DB"/>
    <w:rsid w:val="001E0C17"/>
    <w:rsid w:val="001E0C25"/>
    <w:rsid w:val="001E1961"/>
    <w:rsid w:val="001E1ADA"/>
    <w:rsid w:val="001E1C07"/>
    <w:rsid w:val="001E1D76"/>
    <w:rsid w:val="001E2403"/>
    <w:rsid w:val="001E2587"/>
    <w:rsid w:val="001E25EC"/>
    <w:rsid w:val="001E2D87"/>
    <w:rsid w:val="001E30E3"/>
    <w:rsid w:val="001E3273"/>
    <w:rsid w:val="001E3877"/>
    <w:rsid w:val="001E3C93"/>
    <w:rsid w:val="001E4119"/>
    <w:rsid w:val="001E414E"/>
    <w:rsid w:val="001E4217"/>
    <w:rsid w:val="001E4263"/>
    <w:rsid w:val="001E4423"/>
    <w:rsid w:val="001E4504"/>
    <w:rsid w:val="001E49C1"/>
    <w:rsid w:val="001E4AF6"/>
    <w:rsid w:val="001E50F2"/>
    <w:rsid w:val="001E5501"/>
    <w:rsid w:val="001E5AD5"/>
    <w:rsid w:val="001E5BAA"/>
    <w:rsid w:val="001E5E21"/>
    <w:rsid w:val="001E5E3F"/>
    <w:rsid w:val="001E6368"/>
    <w:rsid w:val="001E665A"/>
    <w:rsid w:val="001E67AB"/>
    <w:rsid w:val="001E6B8C"/>
    <w:rsid w:val="001E6EEB"/>
    <w:rsid w:val="001E7130"/>
    <w:rsid w:val="001E7692"/>
    <w:rsid w:val="001E76E1"/>
    <w:rsid w:val="001E7AF1"/>
    <w:rsid w:val="001E7CDD"/>
    <w:rsid w:val="001E7D5B"/>
    <w:rsid w:val="001EC47C"/>
    <w:rsid w:val="001F00B0"/>
    <w:rsid w:val="001F00FF"/>
    <w:rsid w:val="001F02BF"/>
    <w:rsid w:val="001F034B"/>
    <w:rsid w:val="001F061C"/>
    <w:rsid w:val="001F063F"/>
    <w:rsid w:val="001F074B"/>
    <w:rsid w:val="001F08E7"/>
    <w:rsid w:val="001F09DC"/>
    <w:rsid w:val="001F0E8F"/>
    <w:rsid w:val="001F0F49"/>
    <w:rsid w:val="001F1848"/>
    <w:rsid w:val="001F1DEE"/>
    <w:rsid w:val="001F1E2D"/>
    <w:rsid w:val="001F22F1"/>
    <w:rsid w:val="001F25E4"/>
    <w:rsid w:val="001F2941"/>
    <w:rsid w:val="001F30F2"/>
    <w:rsid w:val="001F3483"/>
    <w:rsid w:val="001F37E4"/>
    <w:rsid w:val="001F39C1"/>
    <w:rsid w:val="001F3A1B"/>
    <w:rsid w:val="001F3ADE"/>
    <w:rsid w:val="001F4BCD"/>
    <w:rsid w:val="001F5009"/>
    <w:rsid w:val="001F509F"/>
    <w:rsid w:val="001F50C5"/>
    <w:rsid w:val="001F57F5"/>
    <w:rsid w:val="001F58FB"/>
    <w:rsid w:val="001F59D3"/>
    <w:rsid w:val="001F5DAC"/>
    <w:rsid w:val="001F5DE3"/>
    <w:rsid w:val="001F5EBF"/>
    <w:rsid w:val="001F61A5"/>
    <w:rsid w:val="001F62D3"/>
    <w:rsid w:val="001F6601"/>
    <w:rsid w:val="001F6630"/>
    <w:rsid w:val="001F6B21"/>
    <w:rsid w:val="001F6D49"/>
    <w:rsid w:val="001F7379"/>
    <w:rsid w:val="001F755B"/>
    <w:rsid w:val="001F7666"/>
    <w:rsid w:val="001F7733"/>
    <w:rsid w:val="001F7775"/>
    <w:rsid w:val="002001D0"/>
    <w:rsid w:val="002006FA"/>
    <w:rsid w:val="00200794"/>
    <w:rsid w:val="002007BF"/>
    <w:rsid w:val="00200C42"/>
    <w:rsid w:val="00200CF3"/>
    <w:rsid w:val="00200D09"/>
    <w:rsid w:val="0020170F"/>
    <w:rsid w:val="0020173E"/>
    <w:rsid w:val="00201967"/>
    <w:rsid w:val="00201984"/>
    <w:rsid w:val="00201D91"/>
    <w:rsid w:val="00201E5A"/>
    <w:rsid w:val="002020B3"/>
    <w:rsid w:val="00203204"/>
    <w:rsid w:val="0020344D"/>
    <w:rsid w:val="0020358F"/>
    <w:rsid w:val="002037E7"/>
    <w:rsid w:val="00203ABC"/>
    <w:rsid w:val="002049CD"/>
    <w:rsid w:val="00204E80"/>
    <w:rsid w:val="00205077"/>
    <w:rsid w:val="002052D0"/>
    <w:rsid w:val="002052DA"/>
    <w:rsid w:val="0020552A"/>
    <w:rsid w:val="002055FF"/>
    <w:rsid w:val="00205907"/>
    <w:rsid w:val="00205A80"/>
    <w:rsid w:val="00206249"/>
    <w:rsid w:val="002062CF"/>
    <w:rsid w:val="00206892"/>
    <w:rsid w:val="002068C5"/>
    <w:rsid w:val="00206A0E"/>
    <w:rsid w:val="00206C60"/>
    <w:rsid w:val="00206DF6"/>
    <w:rsid w:val="00206E9B"/>
    <w:rsid w:val="00207026"/>
    <w:rsid w:val="0020763C"/>
    <w:rsid w:val="00207A2D"/>
    <w:rsid w:val="00207A49"/>
    <w:rsid w:val="00210170"/>
    <w:rsid w:val="00210531"/>
    <w:rsid w:val="00210719"/>
    <w:rsid w:val="00210B30"/>
    <w:rsid w:val="0021134D"/>
    <w:rsid w:val="002114A8"/>
    <w:rsid w:val="00211E5C"/>
    <w:rsid w:val="00211F59"/>
    <w:rsid w:val="00212346"/>
    <w:rsid w:val="00212364"/>
    <w:rsid w:val="002123C9"/>
    <w:rsid w:val="00212635"/>
    <w:rsid w:val="00212ACA"/>
    <w:rsid w:val="00213304"/>
    <w:rsid w:val="002135C5"/>
    <w:rsid w:val="00213917"/>
    <w:rsid w:val="00213ADF"/>
    <w:rsid w:val="00213B38"/>
    <w:rsid w:val="00213BC8"/>
    <w:rsid w:val="00213D5C"/>
    <w:rsid w:val="00213DC6"/>
    <w:rsid w:val="00213E80"/>
    <w:rsid w:val="00213EC2"/>
    <w:rsid w:val="00214289"/>
    <w:rsid w:val="00214578"/>
    <w:rsid w:val="002147AA"/>
    <w:rsid w:val="00214A4B"/>
    <w:rsid w:val="00214B1A"/>
    <w:rsid w:val="00214C0D"/>
    <w:rsid w:val="00214EE6"/>
    <w:rsid w:val="0021500B"/>
    <w:rsid w:val="002151CD"/>
    <w:rsid w:val="00215571"/>
    <w:rsid w:val="002156A8"/>
    <w:rsid w:val="00215784"/>
    <w:rsid w:val="002158F3"/>
    <w:rsid w:val="002159EA"/>
    <w:rsid w:val="002160CE"/>
    <w:rsid w:val="0021610A"/>
    <w:rsid w:val="002162AB"/>
    <w:rsid w:val="0021638B"/>
    <w:rsid w:val="002163B4"/>
    <w:rsid w:val="002163D4"/>
    <w:rsid w:val="00216625"/>
    <w:rsid w:val="00216654"/>
    <w:rsid w:val="00216C29"/>
    <w:rsid w:val="00216DFF"/>
    <w:rsid w:val="00216E29"/>
    <w:rsid w:val="0021724B"/>
    <w:rsid w:val="002177C5"/>
    <w:rsid w:val="00217BB1"/>
    <w:rsid w:val="00217E05"/>
    <w:rsid w:val="00217E86"/>
    <w:rsid w:val="00220251"/>
    <w:rsid w:val="0022093A"/>
    <w:rsid w:val="00220AB4"/>
    <w:rsid w:val="002210A5"/>
    <w:rsid w:val="00221233"/>
    <w:rsid w:val="002213BB"/>
    <w:rsid w:val="0022141E"/>
    <w:rsid w:val="002217A5"/>
    <w:rsid w:val="00221AC6"/>
    <w:rsid w:val="00221C52"/>
    <w:rsid w:val="00221D59"/>
    <w:rsid w:val="0022212F"/>
    <w:rsid w:val="002222E7"/>
    <w:rsid w:val="002226B7"/>
    <w:rsid w:val="0022280D"/>
    <w:rsid w:val="00222AE8"/>
    <w:rsid w:val="00223092"/>
    <w:rsid w:val="002231A9"/>
    <w:rsid w:val="0022320F"/>
    <w:rsid w:val="002232B3"/>
    <w:rsid w:val="002232EC"/>
    <w:rsid w:val="00223352"/>
    <w:rsid w:val="0022370A"/>
    <w:rsid w:val="00223775"/>
    <w:rsid w:val="0022398F"/>
    <w:rsid w:val="00223ABA"/>
    <w:rsid w:val="00223C9D"/>
    <w:rsid w:val="00223CC5"/>
    <w:rsid w:val="00223EDA"/>
    <w:rsid w:val="002249C3"/>
    <w:rsid w:val="002251A2"/>
    <w:rsid w:val="002251B8"/>
    <w:rsid w:val="00225933"/>
    <w:rsid w:val="00225AA6"/>
    <w:rsid w:val="00225CF8"/>
    <w:rsid w:val="00225FC6"/>
    <w:rsid w:val="002260FD"/>
    <w:rsid w:val="002264A9"/>
    <w:rsid w:val="0022679A"/>
    <w:rsid w:val="00227311"/>
    <w:rsid w:val="002276C8"/>
    <w:rsid w:val="002279AA"/>
    <w:rsid w:val="00230207"/>
    <w:rsid w:val="002303B0"/>
    <w:rsid w:val="0023049D"/>
    <w:rsid w:val="002305C4"/>
    <w:rsid w:val="002308DB"/>
    <w:rsid w:val="00230B56"/>
    <w:rsid w:val="00230BC5"/>
    <w:rsid w:val="00230C28"/>
    <w:rsid w:val="00230D7F"/>
    <w:rsid w:val="00231139"/>
    <w:rsid w:val="00231300"/>
    <w:rsid w:val="00231889"/>
    <w:rsid w:val="00231B0C"/>
    <w:rsid w:val="00231BB2"/>
    <w:rsid w:val="00231BDF"/>
    <w:rsid w:val="00231CEF"/>
    <w:rsid w:val="00231D59"/>
    <w:rsid w:val="0023295C"/>
    <w:rsid w:val="00232B75"/>
    <w:rsid w:val="00232D87"/>
    <w:rsid w:val="00233552"/>
    <w:rsid w:val="00233B23"/>
    <w:rsid w:val="00233BFB"/>
    <w:rsid w:val="00233CCD"/>
    <w:rsid w:val="00233CEE"/>
    <w:rsid w:val="00233DE8"/>
    <w:rsid w:val="00233DF8"/>
    <w:rsid w:val="00234096"/>
    <w:rsid w:val="00234582"/>
    <w:rsid w:val="00234A06"/>
    <w:rsid w:val="00234CA7"/>
    <w:rsid w:val="002350AA"/>
    <w:rsid w:val="0023514B"/>
    <w:rsid w:val="0023524F"/>
    <w:rsid w:val="00235F28"/>
    <w:rsid w:val="0023624E"/>
    <w:rsid w:val="0023670D"/>
    <w:rsid w:val="0023680B"/>
    <w:rsid w:val="00236862"/>
    <w:rsid w:val="00236FCB"/>
    <w:rsid w:val="002373E7"/>
    <w:rsid w:val="00237555"/>
    <w:rsid w:val="002375D7"/>
    <w:rsid w:val="00237874"/>
    <w:rsid w:val="00237C5C"/>
    <w:rsid w:val="00237F66"/>
    <w:rsid w:val="0024026E"/>
    <w:rsid w:val="00240455"/>
    <w:rsid w:val="0024061D"/>
    <w:rsid w:val="00240D73"/>
    <w:rsid w:val="00240FE5"/>
    <w:rsid w:val="00241094"/>
    <w:rsid w:val="00241240"/>
    <w:rsid w:val="002412CF"/>
    <w:rsid w:val="002416FE"/>
    <w:rsid w:val="00241924"/>
    <w:rsid w:val="00242126"/>
    <w:rsid w:val="00242347"/>
    <w:rsid w:val="002423E1"/>
    <w:rsid w:val="0024242E"/>
    <w:rsid w:val="002428CA"/>
    <w:rsid w:val="00242B87"/>
    <w:rsid w:val="00242D53"/>
    <w:rsid w:val="002430E8"/>
    <w:rsid w:val="002431B4"/>
    <w:rsid w:val="00243254"/>
    <w:rsid w:val="0024346E"/>
    <w:rsid w:val="002434BA"/>
    <w:rsid w:val="00243900"/>
    <w:rsid w:val="0024392D"/>
    <w:rsid w:val="00243C53"/>
    <w:rsid w:val="00243DE8"/>
    <w:rsid w:val="0024405E"/>
    <w:rsid w:val="00244277"/>
    <w:rsid w:val="00244487"/>
    <w:rsid w:val="002448C4"/>
    <w:rsid w:val="00244B43"/>
    <w:rsid w:val="00244CE2"/>
    <w:rsid w:val="00244FC5"/>
    <w:rsid w:val="00245387"/>
    <w:rsid w:val="002454BB"/>
    <w:rsid w:val="00245517"/>
    <w:rsid w:val="002458C3"/>
    <w:rsid w:val="00245CA6"/>
    <w:rsid w:val="00245D96"/>
    <w:rsid w:val="00245D9F"/>
    <w:rsid w:val="00245F04"/>
    <w:rsid w:val="0024615D"/>
    <w:rsid w:val="002464EE"/>
    <w:rsid w:val="00246600"/>
    <w:rsid w:val="002469A0"/>
    <w:rsid w:val="00246C6B"/>
    <w:rsid w:val="00246D53"/>
    <w:rsid w:val="00246D5C"/>
    <w:rsid w:val="00247076"/>
    <w:rsid w:val="00247298"/>
    <w:rsid w:val="0024730C"/>
    <w:rsid w:val="0024753C"/>
    <w:rsid w:val="0024759C"/>
    <w:rsid w:val="002475EE"/>
    <w:rsid w:val="00247965"/>
    <w:rsid w:val="00247B2E"/>
    <w:rsid w:val="002506BD"/>
    <w:rsid w:val="00250777"/>
    <w:rsid w:val="0025077C"/>
    <w:rsid w:val="00250796"/>
    <w:rsid w:val="00250A73"/>
    <w:rsid w:val="00250B85"/>
    <w:rsid w:val="00251099"/>
    <w:rsid w:val="002510A7"/>
    <w:rsid w:val="002511BA"/>
    <w:rsid w:val="0025143C"/>
    <w:rsid w:val="00251871"/>
    <w:rsid w:val="00251A8B"/>
    <w:rsid w:val="002520F1"/>
    <w:rsid w:val="00252DCB"/>
    <w:rsid w:val="00252ECF"/>
    <w:rsid w:val="002536FB"/>
    <w:rsid w:val="002537F9"/>
    <w:rsid w:val="00253D8F"/>
    <w:rsid w:val="00254098"/>
    <w:rsid w:val="002541EE"/>
    <w:rsid w:val="002544EA"/>
    <w:rsid w:val="0025484D"/>
    <w:rsid w:val="00254C5F"/>
    <w:rsid w:val="00254D6C"/>
    <w:rsid w:val="002552B2"/>
    <w:rsid w:val="00255702"/>
    <w:rsid w:val="00255881"/>
    <w:rsid w:val="00255989"/>
    <w:rsid w:val="00255A14"/>
    <w:rsid w:val="00255C7B"/>
    <w:rsid w:val="00255D5A"/>
    <w:rsid w:val="00255D65"/>
    <w:rsid w:val="00256156"/>
    <w:rsid w:val="00256311"/>
    <w:rsid w:val="002563DD"/>
    <w:rsid w:val="0025645D"/>
    <w:rsid w:val="002564EA"/>
    <w:rsid w:val="00256933"/>
    <w:rsid w:val="00256F05"/>
    <w:rsid w:val="00256F9C"/>
    <w:rsid w:val="00257113"/>
    <w:rsid w:val="00257192"/>
    <w:rsid w:val="002574AB"/>
    <w:rsid w:val="00257AFA"/>
    <w:rsid w:val="00257E3B"/>
    <w:rsid w:val="00257F06"/>
    <w:rsid w:val="002607C6"/>
    <w:rsid w:val="00260A58"/>
    <w:rsid w:val="00260A65"/>
    <w:rsid w:val="00260E12"/>
    <w:rsid w:val="00261137"/>
    <w:rsid w:val="00261200"/>
    <w:rsid w:val="0026128C"/>
    <w:rsid w:val="002614EA"/>
    <w:rsid w:val="002618DF"/>
    <w:rsid w:val="00261B5B"/>
    <w:rsid w:val="00261BEF"/>
    <w:rsid w:val="00261D00"/>
    <w:rsid w:val="00261D6E"/>
    <w:rsid w:val="00262481"/>
    <w:rsid w:val="002624E4"/>
    <w:rsid w:val="002625DA"/>
    <w:rsid w:val="00262655"/>
    <w:rsid w:val="0026292C"/>
    <w:rsid w:val="00262A24"/>
    <w:rsid w:val="002633D9"/>
    <w:rsid w:val="002634EF"/>
    <w:rsid w:val="002636F0"/>
    <w:rsid w:val="0026427B"/>
    <w:rsid w:val="002644F1"/>
    <w:rsid w:val="002645B4"/>
    <w:rsid w:val="002647C8"/>
    <w:rsid w:val="00264A88"/>
    <w:rsid w:val="00264EB1"/>
    <w:rsid w:val="00265099"/>
    <w:rsid w:val="0026525A"/>
    <w:rsid w:val="00265537"/>
    <w:rsid w:val="00265B09"/>
    <w:rsid w:val="00265F99"/>
    <w:rsid w:val="00266139"/>
    <w:rsid w:val="0026695F"/>
    <w:rsid w:val="00266DA3"/>
    <w:rsid w:val="00267014"/>
    <w:rsid w:val="00267096"/>
    <w:rsid w:val="00267194"/>
    <w:rsid w:val="00267298"/>
    <w:rsid w:val="002672FF"/>
    <w:rsid w:val="00267599"/>
    <w:rsid w:val="002679F7"/>
    <w:rsid w:val="00267DF2"/>
    <w:rsid w:val="0027024C"/>
    <w:rsid w:val="00270546"/>
    <w:rsid w:val="002705B7"/>
    <w:rsid w:val="00270C92"/>
    <w:rsid w:val="00270D35"/>
    <w:rsid w:val="00270D36"/>
    <w:rsid w:val="00270D3B"/>
    <w:rsid w:val="00270F1E"/>
    <w:rsid w:val="00271093"/>
    <w:rsid w:val="002710BD"/>
    <w:rsid w:val="002717A9"/>
    <w:rsid w:val="002720D3"/>
    <w:rsid w:val="002721CA"/>
    <w:rsid w:val="002724B9"/>
    <w:rsid w:val="002729B6"/>
    <w:rsid w:val="00272AF2"/>
    <w:rsid w:val="00273069"/>
    <w:rsid w:val="0027340D"/>
    <w:rsid w:val="002735DF"/>
    <w:rsid w:val="0027365C"/>
    <w:rsid w:val="00273672"/>
    <w:rsid w:val="00274480"/>
    <w:rsid w:val="0027494C"/>
    <w:rsid w:val="00274C82"/>
    <w:rsid w:val="00274FBA"/>
    <w:rsid w:val="0027511C"/>
    <w:rsid w:val="00275159"/>
    <w:rsid w:val="00275164"/>
    <w:rsid w:val="00275165"/>
    <w:rsid w:val="002751BE"/>
    <w:rsid w:val="00275302"/>
    <w:rsid w:val="00275810"/>
    <w:rsid w:val="00275ADD"/>
    <w:rsid w:val="002766DF"/>
    <w:rsid w:val="0027685B"/>
    <w:rsid w:val="00276B42"/>
    <w:rsid w:val="00276B83"/>
    <w:rsid w:val="00276DBE"/>
    <w:rsid w:val="00277473"/>
    <w:rsid w:val="0027748F"/>
    <w:rsid w:val="002775ED"/>
    <w:rsid w:val="00277B80"/>
    <w:rsid w:val="00277D52"/>
    <w:rsid w:val="00277F6A"/>
    <w:rsid w:val="00280293"/>
    <w:rsid w:val="00280359"/>
    <w:rsid w:val="00280AC6"/>
    <w:rsid w:val="00280CCA"/>
    <w:rsid w:val="00280D09"/>
    <w:rsid w:val="00280D95"/>
    <w:rsid w:val="00280DCC"/>
    <w:rsid w:val="00280E6A"/>
    <w:rsid w:val="00280F2C"/>
    <w:rsid w:val="00281065"/>
    <w:rsid w:val="00281092"/>
    <w:rsid w:val="002811CD"/>
    <w:rsid w:val="00281545"/>
    <w:rsid w:val="00281848"/>
    <w:rsid w:val="00281A8F"/>
    <w:rsid w:val="00281C34"/>
    <w:rsid w:val="002824C3"/>
    <w:rsid w:val="00282644"/>
    <w:rsid w:val="00282EDC"/>
    <w:rsid w:val="00282F22"/>
    <w:rsid w:val="00283821"/>
    <w:rsid w:val="00283CF2"/>
    <w:rsid w:val="00283DC1"/>
    <w:rsid w:val="00283E04"/>
    <w:rsid w:val="00284376"/>
    <w:rsid w:val="00284570"/>
    <w:rsid w:val="00284815"/>
    <w:rsid w:val="00284B2C"/>
    <w:rsid w:val="00285B0F"/>
    <w:rsid w:val="00285D36"/>
    <w:rsid w:val="0028604A"/>
    <w:rsid w:val="00286274"/>
    <w:rsid w:val="002862D2"/>
    <w:rsid w:val="00286796"/>
    <w:rsid w:val="00286CA0"/>
    <w:rsid w:val="002870AF"/>
    <w:rsid w:val="00287182"/>
    <w:rsid w:val="002871B7"/>
    <w:rsid w:val="002873FC"/>
    <w:rsid w:val="00287517"/>
    <w:rsid w:val="00287EF2"/>
    <w:rsid w:val="002900DA"/>
    <w:rsid w:val="0029049C"/>
    <w:rsid w:val="002904FB"/>
    <w:rsid w:val="0029057D"/>
    <w:rsid w:val="00290BA1"/>
    <w:rsid w:val="00290DAC"/>
    <w:rsid w:val="00290DCB"/>
    <w:rsid w:val="00290EC2"/>
    <w:rsid w:val="0029112D"/>
    <w:rsid w:val="0029135A"/>
    <w:rsid w:val="0029170D"/>
    <w:rsid w:val="0029180B"/>
    <w:rsid w:val="0029196F"/>
    <w:rsid w:val="00291AAC"/>
    <w:rsid w:val="00291C2A"/>
    <w:rsid w:val="00291E36"/>
    <w:rsid w:val="00291F17"/>
    <w:rsid w:val="0029223D"/>
    <w:rsid w:val="002923EF"/>
    <w:rsid w:val="0029251D"/>
    <w:rsid w:val="00292766"/>
    <w:rsid w:val="00292A96"/>
    <w:rsid w:val="00292D1E"/>
    <w:rsid w:val="00292E04"/>
    <w:rsid w:val="00292F7F"/>
    <w:rsid w:val="00292FA9"/>
    <w:rsid w:val="00293071"/>
    <w:rsid w:val="00293347"/>
    <w:rsid w:val="00293424"/>
    <w:rsid w:val="00293C02"/>
    <w:rsid w:val="00293C61"/>
    <w:rsid w:val="002943A4"/>
    <w:rsid w:val="002943DE"/>
    <w:rsid w:val="00294578"/>
    <w:rsid w:val="00294D1B"/>
    <w:rsid w:val="00294EDE"/>
    <w:rsid w:val="00294F3A"/>
    <w:rsid w:val="002950ED"/>
    <w:rsid w:val="002952F6"/>
    <w:rsid w:val="00295429"/>
    <w:rsid w:val="002957B2"/>
    <w:rsid w:val="00295876"/>
    <w:rsid w:val="00295B1B"/>
    <w:rsid w:val="00295BDB"/>
    <w:rsid w:val="00295F5C"/>
    <w:rsid w:val="002960E6"/>
    <w:rsid w:val="002960F6"/>
    <w:rsid w:val="00296220"/>
    <w:rsid w:val="0029632E"/>
    <w:rsid w:val="002963A5"/>
    <w:rsid w:val="002963CE"/>
    <w:rsid w:val="00296487"/>
    <w:rsid w:val="002967BF"/>
    <w:rsid w:val="00296879"/>
    <w:rsid w:val="002969A0"/>
    <w:rsid w:val="00296AF1"/>
    <w:rsid w:val="00296D0B"/>
    <w:rsid w:val="00297A05"/>
    <w:rsid w:val="002A0676"/>
    <w:rsid w:val="002A06B9"/>
    <w:rsid w:val="002A0710"/>
    <w:rsid w:val="002A0B2D"/>
    <w:rsid w:val="002A0EEB"/>
    <w:rsid w:val="002A12CD"/>
    <w:rsid w:val="002A1435"/>
    <w:rsid w:val="002A144F"/>
    <w:rsid w:val="002A1684"/>
    <w:rsid w:val="002A176D"/>
    <w:rsid w:val="002A19D4"/>
    <w:rsid w:val="002A1D1C"/>
    <w:rsid w:val="002A1D6B"/>
    <w:rsid w:val="002A1DB1"/>
    <w:rsid w:val="002A20ED"/>
    <w:rsid w:val="002A2631"/>
    <w:rsid w:val="002A26E0"/>
    <w:rsid w:val="002A2A85"/>
    <w:rsid w:val="002A2B3F"/>
    <w:rsid w:val="002A2CD0"/>
    <w:rsid w:val="002A3036"/>
    <w:rsid w:val="002A332B"/>
    <w:rsid w:val="002A3485"/>
    <w:rsid w:val="002A35E6"/>
    <w:rsid w:val="002A3633"/>
    <w:rsid w:val="002A375C"/>
    <w:rsid w:val="002A3F39"/>
    <w:rsid w:val="002A400D"/>
    <w:rsid w:val="002A4086"/>
    <w:rsid w:val="002A42BF"/>
    <w:rsid w:val="002A4815"/>
    <w:rsid w:val="002A48C1"/>
    <w:rsid w:val="002A4B17"/>
    <w:rsid w:val="002A4E17"/>
    <w:rsid w:val="002A4FCE"/>
    <w:rsid w:val="002A52C9"/>
    <w:rsid w:val="002A5458"/>
    <w:rsid w:val="002A5520"/>
    <w:rsid w:val="002A5A88"/>
    <w:rsid w:val="002A5D81"/>
    <w:rsid w:val="002A6399"/>
    <w:rsid w:val="002A6635"/>
    <w:rsid w:val="002A6989"/>
    <w:rsid w:val="002A6C3C"/>
    <w:rsid w:val="002A6CA6"/>
    <w:rsid w:val="002A70E0"/>
    <w:rsid w:val="002A7182"/>
    <w:rsid w:val="002A71AC"/>
    <w:rsid w:val="002A73A5"/>
    <w:rsid w:val="002A7950"/>
    <w:rsid w:val="002A799D"/>
    <w:rsid w:val="002A7B52"/>
    <w:rsid w:val="002A7B65"/>
    <w:rsid w:val="002A7FA8"/>
    <w:rsid w:val="002B01B4"/>
    <w:rsid w:val="002B0313"/>
    <w:rsid w:val="002B0639"/>
    <w:rsid w:val="002B092F"/>
    <w:rsid w:val="002B0977"/>
    <w:rsid w:val="002B0B19"/>
    <w:rsid w:val="002B0E1E"/>
    <w:rsid w:val="002B1385"/>
    <w:rsid w:val="002B141D"/>
    <w:rsid w:val="002B166E"/>
    <w:rsid w:val="002B1CD2"/>
    <w:rsid w:val="002B24D8"/>
    <w:rsid w:val="002B26A9"/>
    <w:rsid w:val="002B296B"/>
    <w:rsid w:val="002B2EC9"/>
    <w:rsid w:val="002B2F7A"/>
    <w:rsid w:val="002B3924"/>
    <w:rsid w:val="002B3A93"/>
    <w:rsid w:val="002B3BC0"/>
    <w:rsid w:val="002B47BE"/>
    <w:rsid w:val="002B4D05"/>
    <w:rsid w:val="002B4D79"/>
    <w:rsid w:val="002B4E55"/>
    <w:rsid w:val="002B4F06"/>
    <w:rsid w:val="002B5209"/>
    <w:rsid w:val="002B54A2"/>
    <w:rsid w:val="002B5B87"/>
    <w:rsid w:val="002B5DEA"/>
    <w:rsid w:val="002B5DF9"/>
    <w:rsid w:val="002B601E"/>
    <w:rsid w:val="002B6041"/>
    <w:rsid w:val="002B61C3"/>
    <w:rsid w:val="002B61D0"/>
    <w:rsid w:val="002B664E"/>
    <w:rsid w:val="002B669F"/>
    <w:rsid w:val="002B6723"/>
    <w:rsid w:val="002B6A9B"/>
    <w:rsid w:val="002B6B04"/>
    <w:rsid w:val="002B6D81"/>
    <w:rsid w:val="002B71F5"/>
    <w:rsid w:val="002B7343"/>
    <w:rsid w:val="002B739D"/>
    <w:rsid w:val="002B73E9"/>
    <w:rsid w:val="002B7555"/>
    <w:rsid w:val="002C034E"/>
    <w:rsid w:val="002C0484"/>
    <w:rsid w:val="002C0944"/>
    <w:rsid w:val="002C1011"/>
    <w:rsid w:val="002C1163"/>
    <w:rsid w:val="002C1224"/>
    <w:rsid w:val="002C12DD"/>
    <w:rsid w:val="002C13FC"/>
    <w:rsid w:val="002C1691"/>
    <w:rsid w:val="002C1A83"/>
    <w:rsid w:val="002C1F03"/>
    <w:rsid w:val="002C2812"/>
    <w:rsid w:val="002C2A31"/>
    <w:rsid w:val="002C2CFA"/>
    <w:rsid w:val="002C2D1B"/>
    <w:rsid w:val="002C2D61"/>
    <w:rsid w:val="002C2FC9"/>
    <w:rsid w:val="002C30E8"/>
    <w:rsid w:val="002C3184"/>
    <w:rsid w:val="002C31AF"/>
    <w:rsid w:val="002C3204"/>
    <w:rsid w:val="002C32B4"/>
    <w:rsid w:val="002C332A"/>
    <w:rsid w:val="002C35E3"/>
    <w:rsid w:val="002C36C0"/>
    <w:rsid w:val="002C388C"/>
    <w:rsid w:val="002C3B9C"/>
    <w:rsid w:val="002C3EC8"/>
    <w:rsid w:val="002C4533"/>
    <w:rsid w:val="002C4646"/>
    <w:rsid w:val="002C49DE"/>
    <w:rsid w:val="002C509F"/>
    <w:rsid w:val="002C51CB"/>
    <w:rsid w:val="002C537E"/>
    <w:rsid w:val="002C5825"/>
    <w:rsid w:val="002C59E4"/>
    <w:rsid w:val="002C5A3D"/>
    <w:rsid w:val="002C5F3C"/>
    <w:rsid w:val="002C6009"/>
    <w:rsid w:val="002C69EB"/>
    <w:rsid w:val="002C718A"/>
    <w:rsid w:val="002C7478"/>
    <w:rsid w:val="002C74E4"/>
    <w:rsid w:val="002C7602"/>
    <w:rsid w:val="002C78B4"/>
    <w:rsid w:val="002C7BB7"/>
    <w:rsid w:val="002C7D06"/>
    <w:rsid w:val="002C7D2C"/>
    <w:rsid w:val="002C7F44"/>
    <w:rsid w:val="002C7FBC"/>
    <w:rsid w:val="002D0258"/>
    <w:rsid w:val="002D0356"/>
    <w:rsid w:val="002D0605"/>
    <w:rsid w:val="002D06B9"/>
    <w:rsid w:val="002D0A3D"/>
    <w:rsid w:val="002D0D17"/>
    <w:rsid w:val="002D1045"/>
    <w:rsid w:val="002D10D3"/>
    <w:rsid w:val="002D1139"/>
    <w:rsid w:val="002D13EF"/>
    <w:rsid w:val="002D177D"/>
    <w:rsid w:val="002D18FD"/>
    <w:rsid w:val="002D1945"/>
    <w:rsid w:val="002D20E1"/>
    <w:rsid w:val="002D2120"/>
    <w:rsid w:val="002D222D"/>
    <w:rsid w:val="002D2339"/>
    <w:rsid w:val="002D25B2"/>
    <w:rsid w:val="002D27A9"/>
    <w:rsid w:val="002D287E"/>
    <w:rsid w:val="002D3BDC"/>
    <w:rsid w:val="002D3CFC"/>
    <w:rsid w:val="002D40A0"/>
    <w:rsid w:val="002D413B"/>
    <w:rsid w:val="002D446E"/>
    <w:rsid w:val="002D44B2"/>
    <w:rsid w:val="002D44C2"/>
    <w:rsid w:val="002D47D0"/>
    <w:rsid w:val="002D4897"/>
    <w:rsid w:val="002D490C"/>
    <w:rsid w:val="002D4A30"/>
    <w:rsid w:val="002D4A7B"/>
    <w:rsid w:val="002D4B71"/>
    <w:rsid w:val="002D4D11"/>
    <w:rsid w:val="002D4F7E"/>
    <w:rsid w:val="002D5014"/>
    <w:rsid w:val="002D506F"/>
    <w:rsid w:val="002D58FF"/>
    <w:rsid w:val="002D5F4B"/>
    <w:rsid w:val="002D6211"/>
    <w:rsid w:val="002D634A"/>
    <w:rsid w:val="002D6768"/>
    <w:rsid w:val="002D6804"/>
    <w:rsid w:val="002D68E2"/>
    <w:rsid w:val="002D699F"/>
    <w:rsid w:val="002D6A21"/>
    <w:rsid w:val="002D6A38"/>
    <w:rsid w:val="002D6A77"/>
    <w:rsid w:val="002D6ECF"/>
    <w:rsid w:val="002D7011"/>
    <w:rsid w:val="002D70AA"/>
    <w:rsid w:val="002D72E6"/>
    <w:rsid w:val="002D732A"/>
    <w:rsid w:val="002D747B"/>
    <w:rsid w:val="002D7548"/>
    <w:rsid w:val="002D7768"/>
    <w:rsid w:val="002D776B"/>
    <w:rsid w:val="002D7813"/>
    <w:rsid w:val="002D7CB3"/>
    <w:rsid w:val="002D7DE3"/>
    <w:rsid w:val="002D7F0E"/>
    <w:rsid w:val="002E0030"/>
    <w:rsid w:val="002E04E8"/>
    <w:rsid w:val="002E0AB0"/>
    <w:rsid w:val="002E0ACF"/>
    <w:rsid w:val="002E0D2C"/>
    <w:rsid w:val="002E0E18"/>
    <w:rsid w:val="002E1019"/>
    <w:rsid w:val="002E1353"/>
    <w:rsid w:val="002E1446"/>
    <w:rsid w:val="002E144B"/>
    <w:rsid w:val="002E1498"/>
    <w:rsid w:val="002E14AF"/>
    <w:rsid w:val="002E14F1"/>
    <w:rsid w:val="002E1646"/>
    <w:rsid w:val="002E1660"/>
    <w:rsid w:val="002E1837"/>
    <w:rsid w:val="002E1FD2"/>
    <w:rsid w:val="002E26C3"/>
    <w:rsid w:val="002E299E"/>
    <w:rsid w:val="002E32B1"/>
    <w:rsid w:val="002E35C5"/>
    <w:rsid w:val="002E3627"/>
    <w:rsid w:val="002E3669"/>
    <w:rsid w:val="002E3D53"/>
    <w:rsid w:val="002E3D87"/>
    <w:rsid w:val="002E3E8D"/>
    <w:rsid w:val="002E42C8"/>
    <w:rsid w:val="002E46C0"/>
    <w:rsid w:val="002E478C"/>
    <w:rsid w:val="002E4CE8"/>
    <w:rsid w:val="002E4D1E"/>
    <w:rsid w:val="002E4EEA"/>
    <w:rsid w:val="002E51A5"/>
    <w:rsid w:val="002E54F0"/>
    <w:rsid w:val="002E563F"/>
    <w:rsid w:val="002E5DD0"/>
    <w:rsid w:val="002E5F1F"/>
    <w:rsid w:val="002E5F6B"/>
    <w:rsid w:val="002E621D"/>
    <w:rsid w:val="002E65C0"/>
    <w:rsid w:val="002E6ACA"/>
    <w:rsid w:val="002E6B83"/>
    <w:rsid w:val="002E6C02"/>
    <w:rsid w:val="002E6C5A"/>
    <w:rsid w:val="002E6CD2"/>
    <w:rsid w:val="002E6E2F"/>
    <w:rsid w:val="002E7153"/>
    <w:rsid w:val="002E7228"/>
    <w:rsid w:val="002E7313"/>
    <w:rsid w:val="002E74F9"/>
    <w:rsid w:val="002E7C2D"/>
    <w:rsid w:val="002F0086"/>
    <w:rsid w:val="002F015E"/>
    <w:rsid w:val="002F0367"/>
    <w:rsid w:val="002F0C88"/>
    <w:rsid w:val="002F0CD9"/>
    <w:rsid w:val="002F0E6C"/>
    <w:rsid w:val="002F165F"/>
    <w:rsid w:val="002F17C4"/>
    <w:rsid w:val="002F1A7B"/>
    <w:rsid w:val="002F1C38"/>
    <w:rsid w:val="002F1E73"/>
    <w:rsid w:val="002F26E2"/>
    <w:rsid w:val="002F2816"/>
    <w:rsid w:val="002F292A"/>
    <w:rsid w:val="002F2C3C"/>
    <w:rsid w:val="002F30EF"/>
    <w:rsid w:val="002F32C9"/>
    <w:rsid w:val="002F36A2"/>
    <w:rsid w:val="002F3E6D"/>
    <w:rsid w:val="002F3EB5"/>
    <w:rsid w:val="002F4124"/>
    <w:rsid w:val="002F4384"/>
    <w:rsid w:val="002F4755"/>
    <w:rsid w:val="002F535B"/>
    <w:rsid w:val="002F53E0"/>
    <w:rsid w:val="002F5690"/>
    <w:rsid w:val="002F6027"/>
    <w:rsid w:val="002F6249"/>
    <w:rsid w:val="002F6D7D"/>
    <w:rsid w:val="002F6DEE"/>
    <w:rsid w:val="002F7490"/>
    <w:rsid w:val="002F7B6E"/>
    <w:rsid w:val="00300262"/>
    <w:rsid w:val="003008DE"/>
    <w:rsid w:val="00300C07"/>
    <w:rsid w:val="00300E87"/>
    <w:rsid w:val="00300EE1"/>
    <w:rsid w:val="00301040"/>
    <w:rsid w:val="00301328"/>
    <w:rsid w:val="003013A5"/>
    <w:rsid w:val="003013BE"/>
    <w:rsid w:val="00301771"/>
    <w:rsid w:val="003018F0"/>
    <w:rsid w:val="00301F72"/>
    <w:rsid w:val="0030226C"/>
    <w:rsid w:val="003025F9"/>
    <w:rsid w:val="003027FF"/>
    <w:rsid w:val="003029FF"/>
    <w:rsid w:val="00302AAB"/>
    <w:rsid w:val="00302D7D"/>
    <w:rsid w:val="00302E0C"/>
    <w:rsid w:val="00302E4C"/>
    <w:rsid w:val="00302FE3"/>
    <w:rsid w:val="00303338"/>
    <w:rsid w:val="003033B0"/>
    <w:rsid w:val="003036BF"/>
    <w:rsid w:val="00303831"/>
    <w:rsid w:val="003043AE"/>
    <w:rsid w:val="003043C8"/>
    <w:rsid w:val="003046B0"/>
    <w:rsid w:val="003046D4"/>
    <w:rsid w:val="0030473D"/>
    <w:rsid w:val="003047FB"/>
    <w:rsid w:val="00304D4B"/>
    <w:rsid w:val="00304D73"/>
    <w:rsid w:val="00304D92"/>
    <w:rsid w:val="00304F5D"/>
    <w:rsid w:val="003050E8"/>
    <w:rsid w:val="00305219"/>
    <w:rsid w:val="00305CDC"/>
    <w:rsid w:val="00305CE6"/>
    <w:rsid w:val="00305E0D"/>
    <w:rsid w:val="003060CC"/>
    <w:rsid w:val="00306187"/>
    <w:rsid w:val="003071ED"/>
    <w:rsid w:val="00307610"/>
    <w:rsid w:val="00307745"/>
    <w:rsid w:val="003077F6"/>
    <w:rsid w:val="00307887"/>
    <w:rsid w:val="00310CA1"/>
    <w:rsid w:val="00310EF8"/>
    <w:rsid w:val="00310F63"/>
    <w:rsid w:val="00310FC9"/>
    <w:rsid w:val="0031143D"/>
    <w:rsid w:val="00311C14"/>
    <w:rsid w:val="00311CC1"/>
    <w:rsid w:val="003122E1"/>
    <w:rsid w:val="0031295A"/>
    <w:rsid w:val="00312E61"/>
    <w:rsid w:val="00313427"/>
    <w:rsid w:val="003136EF"/>
    <w:rsid w:val="00313957"/>
    <w:rsid w:val="00313B29"/>
    <w:rsid w:val="00313B3F"/>
    <w:rsid w:val="00313B80"/>
    <w:rsid w:val="00313F75"/>
    <w:rsid w:val="003140BF"/>
    <w:rsid w:val="0031434C"/>
    <w:rsid w:val="00314D83"/>
    <w:rsid w:val="00314DAA"/>
    <w:rsid w:val="00314E27"/>
    <w:rsid w:val="00315060"/>
    <w:rsid w:val="0031518F"/>
    <w:rsid w:val="003151DB"/>
    <w:rsid w:val="0031528B"/>
    <w:rsid w:val="0031585B"/>
    <w:rsid w:val="00315A71"/>
    <w:rsid w:val="00315DA3"/>
    <w:rsid w:val="00315FC7"/>
    <w:rsid w:val="0031660A"/>
    <w:rsid w:val="00316C0B"/>
    <w:rsid w:val="00316E61"/>
    <w:rsid w:val="0031721F"/>
    <w:rsid w:val="003175A4"/>
    <w:rsid w:val="00317839"/>
    <w:rsid w:val="003179A4"/>
    <w:rsid w:val="00317A3E"/>
    <w:rsid w:val="00317E6A"/>
    <w:rsid w:val="00320335"/>
    <w:rsid w:val="003203EB"/>
    <w:rsid w:val="0032063B"/>
    <w:rsid w:val="00320852"/>
    <w:rsid w:val="00320BF5"/>
    <w:rsid w:val="0032113D"/>
    <w:rsid w:val="003211E9"/>
    <w:rsid w:val="00321491"/>
    <w:rsid w:val="00321572"/>
    <w:rsid w:val="00321912"/>
    <w:rsid w:val="003222E9"/>
    <w:rsid w:val="00322334"/>
    <w:rsid w:val="00322375"/>
    <w:rsid w:val="003224A2"/>
    <w:rsid w:val="003226A2"/>
    <w:rsid w:val="003228F5"/>
    <w:rsid w:val="00322AF9"/>
    <w:rsid w:val="00322CA0"/>
    <w:rsid w:val="00322CF7"/>
    <w:rsid w:val="00322D33"/>
    <w:rsid w:val="00322E10"/>
    <w:rsid w:val="003234D1"/>
    <w:rsid w:val="003236FF"/>
    <w:rsid w:val="00323A20"/>
    <w:rsid w:val="00323AA8"/>
    <w:rsid w:val="00323B92"/>
    <w:rsid w:val="0032423D"/>
    <w:rsid w:val="00324545"/>
    <w:rsid w:val="0032465E"/>
    <w:rsid w:val="00324D73"/>
    <w:rsid w:val="00324E95"/>
    <w:rsid w:val="00324F61"/>
    <w:rsid w:val="00325088"/>
    <w:rsid w:val="003254BF"/>
    <w:rsid w:val="00325552"/>
    <w:rsid w:val="0032573D"/>
    <w:rsid w:val="00325B5B"/>
    <w:rsid w:val="00325D50"/>
    <w:rsid w:val="00325EF6"/>
    <w:rsid w:val="003260F9"/>
    <w:rsid w:val="0032668C"/>
    <w:rsid w:val="00326A84"/>
    <w:rsid w:val="003270B7"/>
    <w:rsid w:val="0032710E"/>
    <w:rsid w:val="0032742C"/>
    <w:rsid w:val="00327513"/>
    <w:rsid w:val="00327AB4"/>
    <w:rsid w:val="00327AC9"/>
    <w:rsid w:val="00327EBE"/>
    <w:rsid w:val="0033003B"/>
    <w:rsid w:val="0033014B"/>
    <w:rsid w:val="00330642"/>
    <w:rsid w:val="00330722"/>
    <w:rsid w:val="00331079"/>
    <w:rsid w:val="003312BF"/>
    <w:rsid w:val="00331A81"/>
    <w:rsid w:val="00331B50"/>
    <w:rsid w:val="00331BA7"/>
    <w:rsid w:val="0033200A"/>
    <w:rsid w:val="00332206"/>
    <w:rsid w:val="0033254A"/>
    <w:rsid w:val="00332646"/>
    <w:rsid w:val="003328C1"/>
    <w:rsid w:val="00332989"/>
    <w:rsid w:val="00332B8E"/>
    <w:rsid w:val="00332C56"/>
    <w:rsid w:val="00332CA8"/>
    <w:rsid w:val="00332D41"/>
    <w:rsid w:val="00333012"/>
    <w:rsid w:val="0033316C"/>
    <w:rsid w:val="00333248"/>
    <w:rsid w:val="00333510"/>
    <w:rsid w:val="0033352E"/>
    <w:rsid w:val="003335F0"/>
    <w:rsid w:val="003337FF"/>
    <w:rsid w:val="00333AA0"/>
    <w:rsid w:val="00333B0F"/>
    <w:rsid w:val="00333B71"/>
    <w:rsid w:val="00333E16"/>
    <w:rsid w:val="00333E56"/>
    <w:rsid w:val="00333F24"/>
    <w:rsid w:val="003340D0"/>
    <w:rsid w:val="00334330"/>
    <w:rsid w:val="0033461A"/>
    <w:rsid w:val="00334CED"/>
    <w:rsid w:val="00334E75"/>
    <w:rsid w:val="00334FC6"/>
    <w:rsid w:val="00335056"/>
    <w:rsid w:val="003353FC"/>
    <w:rsid w:val="0033569A"/>
    <w:rsid w:val="00335A7C"/>
    <w:rsid w:val="00335B4E"/>
    <w:rsid w:val="00336075"/>
    <w:rsid w:val="003364D9"/>
    <w:rsid w:val="00336C93"/>
    <w:rsid w:val="00336D55"/>
    <w:rsid w:val="00336D8B"/>
    <w:rsid w:val="00337351"/>
    <w:rsid w:val="0033742E"/>
    <w:rsid w:val="00337A52"/>
    <w:rsid w:val="00337B75"/>
    <w:rsid w:val="00337D4B"/>
    <w:rsid w:val="00337EA5"/>
    <w:rsid w:val="0034014A"/>
    <w:rsid w:val="00340151"/>
    <w:rsid w:val="003402D9"/>
    <w:rsid w:val="003403E1"/>
    <w:rsid w:val="0034041F"/>
    <w:rsid w:val="00340540"/>
    <w:rsid w:val="00340755"/>
    <w:rsid w:val="003408B1"/>
    <w:rsid w:val="00340AEE"/>
    <w:rsid w:val="00341378"/>
    <w:rsid w:val="00341383"/>
    <w:rsid w:val="00341386"/>
    <w:rsid w:val="0034141C"/>
    <w:rsid w:val="003419D3"/>
    <w:rsid w:val="00341C98"/>
    <w:rsid w:val="00341CDB"/>
    <w:rsid w:val="00341F88"/>
    <w:rsid w:val="00342161"/>
    <w:rsid w:val="003421E5"/>
    <w:rsid w:val="0034228D"/>
    <w:rsid w:val="00342569"/>
    <w:rsid w:val="00342674"/>
    <w:rsid w:val="00342AFB"/>
    <w:rsid w:val="00342B5B"/>
    <w:rsid w:val="00342BCD"/>
    <w:rsid w:val="00342F5A"/>
    <w:rsid w:val="003430DC"/>
    <w:rsid w:val="00343584"/>
    <w:rsid w:val="003437F1"/>
    <w:rsid w:val="003439BE"/>
    <w:rsid w:val="00343BF5"/>
    <w:rsid w:val="00343C63"/>
    <w:rsid w:val="00343FBB"/>
    <w:rsid w:val="00344112"/>
    <w:rsid w:val="003442B5"/>
    <w:rsid w:val="00344801"/>
    <w:rsid w:val="003448D3"/>
    <w:rsid w:val="003448F2"/>
    <w:rsid w:val="003449D1"/>
    <w:rsid w:val="00344F61"/>
    <w:rsid w:val="003455BD"/>
    <w:rsid w:val="00345815"/>
    <w:rsid w:val="00345C7A"/>
    <w:rsid w:val="00345CA0"/>
    <w:rsid w:val="00345CA8"/>
    <w:rsid w:val="00345D96"/>
    <w:rsid w:val="00345DF2"/>
    <w:rsid w:val="00346133"/>
    <w:rsid w:val="003464E0"/>
    <w:rsid w:val="00346630"/>
    <w:rsid w:val="00346891"/>
    <w:rsid w:val="003468A4"/>
    <w:rsid w:val="00346A50"/>
    <w:rsid w:val="00346D72"/>
    <w:rsid w:val="00346D78"/>
    <w:rsid w:val="003470AE"/>
    <w:rsid w:val="0034788D"/>
    <w:rsid w:val="0034789A"/>
    <w:rsid w:val="00347C9C"/>
    <w:rsid w:val="00347DD5"/>
    <w:rsid w:val="0035005F"/>
    <w:rsid w:val="0035031F"/>
    <w:rsid w:val="00350322"/>
    <w:rsid w:val="003503DC"/>
    <w:rsid w:val="00350814"/>
    <w:rsid w:val="003508A6"/>
    <w:rsid w:val="00350ACF"/>
    <w:rsid w:val="00350B5F"/>
    <w:rsid w:val="00350CC2"/>
    <w:rsid w:val="00350D22"/>
    <w:rsid w:val="00350D2A"/>
    <w:rsid w:val="00350EF0"/>
    <w:rsid w:val="00350F87"/>
    <w:rsid w:val="003510AB"/>
    <w:rsid w:val="00351153"/>
    <w:rsid w:val="0035131B"/>
    <w:rsid w:val="00351678"/>
    <w:rsid w:val="003517F5"/>
    <w:rsid w:val="00351863"/>
    <w:rsid w:val="00351985"/>
    <w:rsid w:val="00351CAC"/>
    <w:rsid w:val="00351E59"/>
    <w:rsid w:val="00351F59"/>
    <w:rsid w:val="00351FEC"/>
    <w:rsid w:val="003521B7"/>
    <w:rsid w:val="00352218"/>
    <w:rsid w:val="00352226"/>
    <w:rsid w:val="003522B7"/>
    <w:rsid w:val="00352592"/>
    <w:rsid w:val="00352625"/>
    <w:rsid w:val="00352C5C"/>
    <w:rsid w:val="00352ECC"/>
    <w:rsid w:val="00352F90"/>
    <w:rsid w:val="003530A5"/>
    <w:rsid w:val="00353280"/>
    <w:rsid w:val="00353356"/>
    <w:rsid w:val="00353802"/>
    <w:rsid w:val="003538D7"/>
    <w:rsid w:val="00353A4B"/>
    <w:rsid w:val="00353AA6"/>
    <w:rsid w:val="00353ACE"/>
    <w:rsid w:val="00353C8D"/>
    <w:rsid w:val="00353CB7"/>
    <w:rsid w:val="00353D39"/>
    <w:rsid w:val="00353E05"/>
    <w:rsid w:val="00353E98"/>
    <w:rsid w:val="00354262"/>
    <w:rsid w:val="0035438A"/>
    <w:rsid w:val="00354765"/>
    <w:rsid w:val="003547A1"/>
    <w:rsid w:val="0035485A"/>
    <w:rsid w:val="00354889"/>
    <w:rsid w:val="00354AD3"/>
    <w:rsid w:val="00354B3C"/>
    <w:rsid w:val="00354D59"/>
    <w:rsid w:val="0035523B"/>
    <w:rsid w:val="00355274"/>
    <w:rsid w:val="003552F3"/>
    <w:rsid w:val="0035584C"/>
    <w:rsid w:val="0035596D"/>
    <w:rsid w:val="00355993"/>
    <w:rsid w:val="00355BF9"/>
    <w:rsid w:val="00355E2F"/>
    <w:rsid w:val="00355ED9"/>
    <w:rsid w:val="003565B5"/>
    <w:rsid w:val="00356AD8"/>
    <w:rsid w:val="00356FB7"/>
    <w:rsid w:val="00357246"/>
    <w:rsid w:val="003573F2"/>
    <w:rsid w:val="003576A3"/>
    <w:rsid w:val="00357702"/>
    <w:rsid w:val="003577A4"/>
    <w:rsid w:val="0035797E"/>
    <w:rsid w:val="00357BB4"/>
    <w:rsid w:val="00357DEC"/>
    <w:rsid w:val="0036034B"/>
    <w:rsid w:val="0036052A"/>
    <w:rsid w:val="003617FF"/>
    <w:rsid w:val="0036209D"/>
    <w:rsid w:val="00362156"/>
    <w:rsid w:val="003621CB"/>
    <w:rsid w:val="003622E3"/>
    <w:rsid w:val="003626A6"/>
    <w:rsid w:val="003626E4"/>
    <w:rsid w:val="00362766"/>
    <w:rsid w:val="00362B1E"/>
    <w:rsid w:val="00362B48"/>
    <w:rsid w:val="00362B90"/>
    <w:rsid w:val="00362C4A"/>
    <w:rsid w:val="00362D94"/>
    <w:rsid w:val="00362EE9"/>
    <w:rsid w:val="00362FF5"/>
    <w:rsid w:val="00362FF7"/>
    <w:rsid w:val="00363135"/>
    <w:rsid w:val="003634C2"/>
    <w:rsid w:val="0036355F"/>
    <w:rsid w:val="003636BC"/>
    <w:rsid w:val="00363B8D"/>
    <w:rsid w:val="00364CFE"/>
    <w:rsid w:val="00364DE1"/>
    <w:rsid w:val="00364F7B"/>
    <w:rsid w:val="00365151"/>
    <w:rsid w:val="00365335"/>
    <w:rsid w:val="003656F0"/>
    <w:rsid w:val="00365841"/>
    <w:rsid w:val="00365AA3"/>
    <w:rsid w:val="00365AE2"/>
    <w:rsid w:val="00365AF7"/>
    <w:rsid w:val="00365CB9"/>
    <w:rsid w:val="0036600D"/>
    <w:rsid w:val="0036621A"/>
    <w:rsid w:val="003664A7"/>
    <w:rsid w:val="00366923"/>
    <w:rsid w:val="00366AC7"/>
    <w:rsid w:val="00366C66"/>
    <w:rsid w:val="00366F3F"/>
    <w:rsid w:val="003670E5"/>
    <w:rsid w:val="00367104"/>
    <w:rsid w:val="003675CF"/>
    <w:rsid w:val="00367622"/>
    <w:rsid w:val="00367F8D"/>
    <w:rsid w:val="003708C1"/>
    <w:rsid w:val="0037096B"/>
    <w:rsid w:val="00370D77"/>
    <w:rsid w:val="00370DE7"/>
    <w:rsid w:val="00371034"/>
    <w:rsid w:val="00371980"/>
    <w:rsid w:val="003722D3"/>
    <w:rsid w:val="00372480"/>
    <w:rsid w:val="00372744"/>
    <w:rsid w:val="00372B50"/>
    <w:rsid w:val="00372E45"/>
    <w:rsid w:val="00372FA4"/>
    <w:rsid w:val="003731C2"/>
    <w:rsid w:val="00373559"/>
    <w:rsid w:val="003735FF"/>
    <w:rsid w:val="0037361A"/>
    <w:rsid w:val="00373960"/>
    <w:rsid w:val="00373AA2"/>
    <w:rsid w:val="00373BB4"/>
    <w:rsid w:val="00373E44"/>
    <w:rsid w:val="00374179"/>
    <w:rsid w:val="003741D8"/>
    <w:rsid w:val="0037427D"/>
    <w:rsid w:val="00374394"/>
    <w:rsid w:val="00374526"/>
    <w:rsid w:val="003745BE"/>
    <w:rsid w:val="00374E6E"/>
    <w:rsid w:val="00374FCE"/>
    <w:rsid w:val="00374FDF"/>
    <w:rsid w:val="003753CF"/>
    <w:rsid w:val="003761DF"/>
    <w:rsid w:val="003769D1"/>
    <w:rsid w:val="00376A10"/>
    <w:rsid w:val="00376DD2"/>
    <w:rsid w:val="0037702A"/>
    <w:rsid w:val="0037705E"/>
    <w:rsid w:val="00377071"/>
    <w:rsid w:val="00377210"/>
    <w:rsid w:val="003772BF"/>
    <w:rsid w:val="003776A4"/>
    <w:rsid w:val="003776D0"/>
    <w:rsid w:val="0037790B"/>
    <w:rsid w:val="00377B56"/>
    <w:rsid w:val="00377BE6"/>
    <w:rsid w:val="00377E6C"/>
    <w:rsid w:val="00380315"/>
    <w:rsid w:val="003804BF"/>
    <w:rsid w:val="00380714"/>
    <w:rsid w:val="00380782"/>
    <w:rsid w:val="00380B69"/>
    <w:rsid w:val="00380BF2"/>
    <w:rsid w:val="00380C9C"/>
    <w:rsid w:val="00380E8C"/>
    <w:rsid w:val="00380FF9"/>
    <w:rsid w:val="00381039"/>
    <w:rsid w:val="00381557"/>
    <w:rsid w:val="00381829"/>
    <w:rsid w:val="0038190D"/>
    <w:rsid w:val="00381912"/>
    <w:rsid w:val="00381A9A"/>
    <w:rsid w:val="00381FF9"/>
    <w:rsid w:val="00382418"/>
    <w:rsid w:val="00382A2A"/>
    <w:rsid w:val="00382C96"/>
    <w:rsid w:val="00382F33"/>
    <w:rsid w:val="0038330C"/>
    <w:rsid w:val="00383832"/>
    <w:rsid w:val="00383837"/>
    <w:rsid w:val="00383B53"/>
    <w:rsid w:val="00383BB1"/>
    <w:rsid w:val="00383F04"/>
    <w:rsid w:val="003843CA"/>
    <w:rsid w:val="0038460E"/>
    <w:rsid w:val="0038475A"/>
    <w:rsid w:val="0038480A"/>
    <w:rsid w:val="003848A7"/>
    <w:rsid w:val="00384932"/>
    <w:rsid w:val="00384A86"/>
    <w:rsid w:val="0038530C"/>
    <w:rsid w:val="0038530D"/>
    <w:rsid w:val="00385666"/>
    <w:rsid w:val="003856AE"/>
    <w:rsid w:val="003857E7"/>
    <w:rsid w:val="00385996"/>
    <w:rsid w:val="00385BFF"/>
    <w:rsid w:val="00385F41"/>
    <w:rsid w:val="00385FF3"/>
    <w:rsid w:val="003860F2"/>
    <w:rsid w:val="003865C3"/>
    <w:rsid w:val="00386655"/>
    <w:rsid w:val="00386870"/>
    <w:rsid w:val="00386EE9"/>
    <w:rsid w:val="0038711A"/>
    <w:rsid w:val="00387441"/>
    <w:rsid w:val="00387C58"/>
    <w:rsid w:val="00387CE5"/>
    <w:rsid w:val="00387F17"/>
    <w:rsid w:val="00390117"/>
    <w:rsid w:val="003902A0"/>
    <w:rsid w:val="00390FBC"/>
    <w:rsid w:val="0039115D"/>
    <w:rsid w:val="00391163"/>
    <w:rsid w:val="0039122E"/>
    <w:rsid w:val="00391500"/>
    <w:rsid w:val="0039170D"/>
    <w:rsid w:val="0039193F"/>
    <w:rsid w:val="00391DE5"/>
    <w:rsid w:val="00391E5D"/>
    <w:rsid w:val="00392402"/>
    <w:rsid w:val="003926FD"/>
    <w:rsid w:val="003929F2"/>
    <w:rsid w:val="00392C3A"/>
    <w:rsid w:val="00392D2B"/>
    <w:rsid w:val="00392D79"/>
    <w:rsid w:val="00392FAB"/>
    <w:rsid w:val="003931DD"/>
    <w:rsid w:val="00393384"/>
    <w:rsid w:val="003938E2"/>
    <w:rsid w:val="00393C95"/>
    <w:rsid w:val="00393E2D"/>
    <w:rsid w:val="00393EA0"/>
    <w:rsid w:val="00393EA6"/>
    <w:rsid w:val="00393FB8"/>
    <w:rsid w:val="00394709"/>
    <w:rsid w:val="003947AF"/>
    <w:rsid w:val="003947C9"/>
    <w:rsid w:val="0039493B"/>
    <w:rsid w:val="00394AD3"/>
    <w:rsid w:val="0039506E"/>
    <w:rsid w:val="003953D1"/>
    <w:rsid w:val="003955C9"/>
    <w:rsid w:val="0039597F"/>
    <w:rsid w:val="003959C8"/>
    <w:rsid w:val="00396254"/>
    <w:rsid w:val="00396319"/>
    <w:rsid w:val="0039699D"/>
    <w:rsid w:val="0039718F"/>
    <w:rsid w:val="003971EB"/>
    <w:rsid w:val="0039732C"/>
    <w:rsid w:val="00397A5D"/>
    <w:rsid w:val="00397B0F"/>
    <w:rsid w:val="00397D27"/>
    <w:rsid w:val="00397EAD"/>
    <w:rsid w:val="003A0025"/>
    <w:rsid w:val="003A0935"/>
    <w:rsid w:val="003A0A0F"/>
    <w:rsid w:val="003A10B2"/>
    <w:rsid w:val="003A1204"/>
    <w:rsid w:val="003A1283"/>
    <w:rsid w:val="003A12DD"/>
    <w:rsid w:val="003A14B3"/>
    <w:rsid w:val="003A14FC"/>
    <w:rsid w:val="003A154B"/>
    <w:rsid w:val="003A15DF"/>
    <w:rsid w:val="003A17CD"/>
    <w:rsid w:val="003A1A27"/>
    <w:rsid w:val="003A1B91"/>
    <w:rsid w:val="003A1D44"/>
    <w:rsid w:val="003A1EF6"/>
    <w:rsid w:val="003A201B"/>
    <w:rsid w:val="003A221E"/>
    <w:rsid w:val="003A2337"/>
    <w:rsid w:val="003A23CC"/>
    <w:rsid w:val="003A2652"/>
    <w:rsid w:val="003A2BBA"/>
    <w:rsid w:val="003A316D"/>
    <w:rsid w:val="003A3170"/>
    <w:rsid w:val="003A3643"/>
    <w:rsid w:val="003A3770"/>
    <w:rsid w:val="003A3AE9"/>
    <w:rsid w:val="003A3E58"/>
    <w:rsid w:val="003A3E67"/>
    <w:rsid w:val="003A3EA1"/>
    <w:rsid w:val="003A46D0"/>
    <w:rsid w:val="003A4703"/>
    <w:rsid w:val="003A4ED3"/>
    <w:rsid w:val="003A51C7"/>
    <w:rsid w:val="003A56CE"/>
    <w:rsid w:val="003A5A4A"/>
    <w:rsid w:val="003A5C53"/>
    <w:rsid w:val="003A5F9E"/>
    <w:rsid w:val="003A6021"/>
    <w:rsid w:val="003A6140"/>
    <w:rsid w:val="003A66A3"/>
    <w:rsid w:val="003A6B88"/>
    <w:rsid w:val="003A7202"/>
    <w:rsid w:val="003A7383"/>
    <w:rsid w:val="003A7480"/>
    <w:rsid w:val="003A7B2B"/>
    <w:rsid w:val="003A7C61"/>
    <w:rsid w:val="003A7D3B"/>
    <w:rsid w:val="003A7F4D"/>
    <w:rsid w:val="003B0498"/>
    <w:rsid w:val="003B071D"/>
    <w:rsid w:val="003B0BAF"/>
    <w:rsid w:val="003B0C58"/>
    <w:rsid w:val="003B1157"/>
    <w:rsid w:val="003B14A3"/>
    <w:rsid w:val="003B152A"/>
    <w:rsid w:val="003B188F"/>
    <w:rsid w:val="003B1BE3"/>
    <w:rsid w:val="003B1D39"/>
    <w:rsid w:val="003B2165"/>
    <w:rsid w:val="003B26A9"/>
    <w:rsid w:val="003B287E"/>
    <w:rsid w:val="003B295E"/>
    <w:rsid w:val="003B29DA"/>
    <w:rsid w:val="003B2F8F"/>
    <w:rsid w:val="003B303F"/>
    <w:rsid w:val="003B35BD"/>
    <w:rsid w:val="003B370B"/>
    <w:rsid w:val="003B399F"/>
    <w:rsid w:val="003B403A"/>
    <w:rsid w:val="003B4362"/>
    <w:rsid w:val="003B446B"/>
    <w:rsid w:val="003B474F"/>
    <w:rsid w:val="003B483C"/>
    <w:rsid w:val="003B4A8B"/>
    <w:rsid w:val="003B4C11"/>
    <w:rsid w:val="003B4E8A"/>
    <w:rsid w:val="003B4ECA"/>
    <w:rsid w:val="003B517A"/>
    <w:rsid w:val="003B5306"/>
    <w:rsid w:val="003B5350"/>
    <w:rsid w:val="003B53C2"/>
    <w:rsid w:val="003B5497"/>
    <w:rsid w:val="003B5659"/>
    <w:rsid w:val="003B5982"/>
    <w:rsid w:val="003B5C0E"/>
    <w:rsid w:val="003B5D16"/>
    <w:rsid w:val="003B5E64"/>
    <w:rsid w:val="003B5E7D"/>
    <w:rsid w:val="003B5F53"/>
    <w:rsid w:val="003B60DF"/>
    <w:rsid w:val="003B661F"/>
    <w:rsid w:val="003B6841"/>
    <w:rsid w:val="003B6AB5"/>
    <w:rsid w:val="003B6CCC"/>
    <w:rsid w:val="003B718C"/>
    <w:rsid w:val="003B71A2"/>
    <w:rsid w:val="003B72B4"/>
    <w:rsid w:val="003B72D4"/>
    <w:rsid w:val="003B7307"/>
    <w:rsid w:val="003B7309"/>
    <w:rsid w:val="003C05D7"/>
    <w:rsid w:val="003C076B"/>
    <w:rsid w:val="003C0E86"/>
    <w:rsid w:val="003C12F2"/>
    <w:rsid w:val="003C12F7"/>
    <w:rsid w:val="003C144D"/>
    <w:rsid w:val="003C17B5"/>
    <w:rsid w:val="003C1841"/>
    <w:rsid w:val="003C1A47"/>
    <w:rsid w:val="003C1D46"/>
    <w:rsid w:val="003C1D50"/>
    <w:rsid w:val="003C21AF"/>
    <w:rsid w:val="003C237F"/>
    <w:rsid w:val="003C2521"/>
    <w:rsid w:val="003C2564"/>
    <w:rsid w:val="003C2786"/>
    <w:rsid w:val="003C27A5"/>
    <w:rsid w:val="003C29BA"/>
    <w:rsid w:val="003C29ED"/>
    <w:rsid w:val="003C2C61"/>
    <w:rsid w:val="003C2D09"/>
    <w:rsid w:val="003C2F93"/>
    <w:rsid w:val="003C3170"/>
    <w:rsid w:val="003C31B4"/>
    <w:rsid w:val="003C338B"/>
    <w:rsid w:val="003C34FF"/>
    <w:rsid w:val="003C3743"/>
    <w:rsid w:val="003C383C"/>
    <w:rsid w:val="003C3E54"/>
    <w:rsid w:val="003C3EC5"/>
    <w:rsid w:val="003C4482"/>
    <w:rsid w:val="003C46AE"/>
    <w:rsid w:val="003C48D3"/>
    <w:rsid w:val="003C4B16"/>
    <w:rsid w:val="003C4C79"/>
    <w:rsid w:val="003C4EAD"/>
    <w:rsid w:val="003C5D90"/>
    <w:rsid w:val="003C602E"/>
    <w:rsid w:val="003C650D"/>
    <w:rsid w:val="003C654A"/>
    <w:rsid w:val="003C65B0"/>
    <w:rsid w:val="003C6825"/>
    <w:rsid w:val="003C6874"/>
    <w:rsid w:val="003C6D94"/>
    <w:rsid w:val="003C7054"/>
    <w:rsid w:val="003C752A"/>
    <w:rsid w:val="003C7714"/>
    <w:rsid w:val="003C7976"/>
    <w:rsid w:val="003C79F2"/>
    <w:rsid w:val="003C7E30"/>
    <w:rsid w:val="003D00ED"/>
    <w:rsid w:val="003D02B2"/>
    <w:rsid w:val="003D02B9"/>
    <w:rsid w:val="003D09A7"/>
    <w:rsid w:val="003D0D5D"/>
    <w:rsid w:val="003D0DF4"/>
    <w:rsid w:val="003D1386"/>
    <w:rsid w:val="003D1526"/>
    <w:rsid w:val="003D15E1"/>
    <w:rsid w:val="003D178D"/>
    <w:rsid w:val="003D1F46"/>
    <w:rsid w:val="003D20A2"/>
    <w:rsid w:val="003D21F8"/>
    <w:rsid w:val="003D23C1"/>
    <w:rsid w:val="003D25ED"/>
    <w:rsid w:val="003D28CF"/>
    <w:rsid w:val="003D2B03"/>
    <w:rsid w:val="003D2E2E"/>
    <w:rsid w:val="003D304F"/>
    <w:rsid w:val="003D318D"/>
    <w:rsid w:val="003D3455"/>
    <w:rsid w:val="003D3657"/>
    <w:rsid w:val="003D36FD"/>
    <w:rsid w:val="003D3CE1"/>
    <w:rsid w:val="003D3E52"/>
    <w:rsid w:val="003D40E9"/>
    <w:rsid w:val="003D42E2"/>
    <w:rsid w:val="003D4438"/>
    <w:rsid w:val="003D4AE7"/>
    <w:rsid w:val="003D4D6D"/>
    <w:rsid w:val="003D4EB6"/>
    <w:rsid w:val="003D50BB"/>
    <w:rsid w:val="003D5250"/>
    <w:rsid w:val="003D5B12"/>
    <w:rsid w:val="003D5C52"/>
    <w:rsid w:val="003D5F13"/>
    <w:rsid w:val="003D5FA2"/>
    <w:rsid w:val="003D64C6"/>
    <w:rsid w:val="003D6597"/>
    <w:rsid w:val="003D6699"/>
    <w:rsid w:val="003D6B89"/>
    <w:rsid w:val="003D6FD5"/>
    <w:rsid w:val="003D70A3"/>
    <w:rsid w:val="003D710E"/>
    <w:rsid w:val="003D71F1"/>
    <w:rsid w:val="003D7369"/>
    <w:rsid w:val="003D77D5"/>
    <w:rsid w:val="003D782B"/>
    <w:rsid w:val="003D7BF0"/>
    <w:rsid w:val="003D7CCF"/>
    <w:rsid w:val="003D7FC9"/>
    <w:rsid w:val="003E00CE"/>
    <w:rsid w:val="003E0636"/>
    <w:rsid w:val="003E0854"/>
    <w:rsid w:val="003E0942"/>
    <w:rsid w:val="003E13CD"/>
    <w:rsid w:val="003E1425"/>
    <w:rsid w:val="003E14E3"/>
    <w:rsid w:val="003E1C7C"/>
    <w:rsid w:val="003E1DD7"/>
    <w:rsid w:val="003E2089"/>
    <w:rsid w:val="003E2751"/>
    <w:rsid w:val="003E28FC"/>
    <w:rsid w:val="003E2941"/>
    <w:rsid w:val="003E2B7E"/>
    <w:rsid w:val="003E3078"/>
    <w:rsid w:val="003E30E1"/>
    <w:rsid w:val="003E3383"/>
    <w:rsid w:val="003E3395"/>
    <w:rsid w:val="003E35E3"/>
    <w:rsid w:val="003E3719"/>
    <w:rsid w:val="003E38C5"/>
    <w:rsid w:val="003E39B2"/>
    <w:rsid w:val="003E4073"/>
    <w:rsid w:val="003E45E4"/>
    <w:rsid w:val="003E48FE"/>
    <w:rsid w:val="003E49A8"/>
    <w:rsid w:val="003E4BCF"/>
    <w:rsid w:val="003E4D30"/>
    <w:rsid w:val="003E5109"/>
    <w:rsid w:val="003E5180"/>
    <w:rsid w:val="003E54D9"/>
    <w:rsid w:val="003E5A23"/>
    <w:rsid w:val="003E5BEE"/>
    <w:rsid w:val="003E5CAC"/>
    <w:rsid w:val="003E61FC"/>
    <w:rsid w:val="003E6371"/>
    <w:rsid w:val="003E655F"/>
    <w:rsid w:val="003E6731"/>
    <w:rsid w:val="003E6B91"/>
    <w:rsid w:val="003E6C25"/>
    <w:rsid w:val="003E6CE2"/>
    <w:rsid w:val="003E6E03"/>
    <w:rsid w:val="003E7197"/>
    <w:rsid w:val="003E743D"/>
    <w:rsid w:val="003E7450"/>
    <w:rsid w:val="003E776D"/>
    <w:rsid w:val="003E7B70"/>
    <w:rsid w:val="003F012E"/>
    <w:rsid w:val="003F04CC"/>
    <w:rsid w:val="003F0739"/>
    <w:rsid w:val="003F074A"/>
    <w:rsid w:val="003F0E1B"/>
    <w:rsid w:val="003F1017"/>
    <w:rsid w:val="003F1069"/>
    <w:rsid w:val="003F13C1"/>
    <w:rsid w:val="003F16A3"/>
    <w:rsid w:val="003F172E"/>
    <w:rsid w:val="003F1730"/>
    <w:rsid w:val="003F267A"/>
    <w:rsid w:val="003F276F"/>
    <w:rsid w:val="003F2A95"/>
    <w:rsid w:val="003F2AFB"/>
    <w:rsid w:val="003F2B18"/>
    <w:rsid w:val="003F322C"/>
    <w:rsid w:val="003F3B7D"/>
    <w:rsid w:val="003F3CF8"/>
    <w:rsid w:val="003F4510"/>
    <w:rsid w:val="003F46A1"/>
    <w:rsid w:val="003F4731"/>
    <w:rsid w:val="003F4E59"/>
    <w:rsid w:val="003F4F89"/>
    <w:rsid w:val="003F5152"/>
    <w:rsid w:val="003F5560"/>
    <w:rsid w:val="003F5BAD"/>
    <w:rsid w:val="003F5D1B"/>
    <w:rsid w:val="003F6211"/>
    <w:rsid w:val="003F655F"/>
    <w:rsid w:val="003F6668"/>
    <w:rsid w:val="003F6AD1"/>
    <w:rsid w:val="003F6C10"/>
    <w:rsid w:val="003F6C40"/>
    <w:rsid w:val="003F6C60"/>
    <w:rsid w:val="003F6CF6"/>
    <w:rsid w:val="003F6D17"/>
    <w:rsid w:val="003F6F91"/>
    <w:rsid w:val="003F72EB"/>
    <w:rsid w:val="003F792C"/>
    <w:rsid w:val="003F7FA4"/>
    <w:rsid w:val="00400099"/>
    <w:rsid w:val="00400323"/>
    <w:rsid w:val="004008E6"/>
    <w:rsid w:val="00400990"/>
    <w:rsid w:val="00400ABA"/>
    <w:rsid w:val="0040131A"/>
    <w:rsid w:val="004014C4"/>
    <w:rsid w:val="00401F65"/>
    <w:rsid w:val="00401F67"/>
    <w:rsid w:val="0040202D"/>
    <w:rsid w:val="00402045"/>
    <w:rsid w:val="0040255F"/>
    <w:rsid w:val="004026CF"/>
    <w:rsid w:val="0040271F"/>
    <w:rsid w:val="00402D38"/>
    <w:rsid w:val="00402E52"/>
    <w:rsid w:val="00402E98"/>
    <w:rsid w:val="004032B3"/>
    <w:rsid w:val="004032DC"/>
    <w:rsid w:val="00403424"/>
    <w:rsid w:val="00403956"/>
    <w:rsid w:val="00403BC4"/>
    <w:rsid w:val="00403C7D"/>
    <w:rsid w:val="00403E9E"/>
    <w:rsid w:val="00404032"/>
    <w:rsid w:val="00404207"/>
    <w:rsid w:val="0040426E"/>
    <w:rsid w:val="0040437D"/>
    <w:rsid w:val="00404463"/>
    <w:rsid w:val="00404B7E"/>
    <w:rsid w:val="00404B8B"/>
    <w:rsid w:val="00404DF1"/>
    <w:rsid w:val="00404EA5"/>
    <w:rsid w:val="00405126"/>
    <w:rsid w:val="004057B7"/>
    <w:rsid w:val="00405842"/>
    <w:rsid w:val="00405869"/>
    <w:rsid w:val="00405A41"/>
    <w:rsid w:val="00405E27"/>
    <w:rsid w:val="00405EB4"/>
    <w:rsid w:val="00405EEA"/>
    <w:rsid w:val="00405F9A"/>
    <w:rsid w:val="00406810"/>
    <w:rsid w:val="0040695E"/>
    <w:rsid w:val="004069E0"/>
    <w:rsid w:val="00406CD0"/>
    <w:rsid w:val="00406E7D"/>
    <w:rsid w:val="00406F6B"/>
    <w:rsid w:val="00407A4D"/>
    <w:rsid w:val="00407D0F"/>
    <w:rsid w:val="00407D82"/>
    <w:rsid w:val="00407FF0"/>
    <w:rsid w:val="004103BF"/>
    <w:rsid w:val="00411032"/>
    <w:rsid w:val="004113C4"/>
    <w:rsid w:val="00411A4C"/>
    <w:rsid w:val="004120A6"/>
    <w:rsid w:val="0041220A"/>
    <w:rsid w:val="00412393"/>
    <w:rsid w:val="004129AF"/>
    <w:rsid w:val="00412E02"/>
    <w:rsid w:val="00413603"/>
    <w:rsid w:val="004136F3"/>
    <w:rsid w:val="004137FB"/>
    <w:rsid w:val="00413BC6"/>
    <w:rsid w:val="00414019"/>
    <w:rsid w:val="00414602"/>
    <w:rsid w:val="004146B4"/>
    <w:rsid w:val="004146D0"/>
    <w:rsid w:val="00414841"/>
    <w:rsid w:val="004149EE"/>
    <w:rsid w:val="00414A4A"/>
    <w:rsid w:val="00414EAB"/>
    <w:rsid w:val="004152BE"/>
    <w:rsid w:val="004152F2"/>
    <w:rsid w:val="004153CC"/>
    <w:rsid w:val="004153FC"/>
    <w:rsid w:val="00415F04"/>
    <w:rsid w:val="00415F62"/>
    <w:rsid w:val="0041619A"/>
    <w:rsid w:val="00416260"/>
    <w:rsid w:val="004162BD"/>
    <w:rsid w:val="00416478"/>
    <w:rsid w:val="004167B0"/>
    <w:rsid w:val="004169EC"/>
    <w:rsid w:val="00416E07"/>
    <w:rsid w:val="00417049"/>
    <w:rsid w:val="00417382"/>
    <w:rsid w:val="00417684"/>
    <w:rsid w:val="00417B0E"/>
    <w:rsid w:val="00417EB1"/>
    <w:rsid w:val="004200C5"/>
    <w:rsid w:val="004201DC"/>
    <w:rsid w:val="00420947"/>
    <w:rsid w:val="00420BD7"/>
    <w:rsid w:val="00420EB2"/>
    <w:rsid w:val="00420FE3"/>
    <w:rsid w:val="00421598"/>
    <w:rsid w:val="0042167E"/>
    <w:rsid w:val="0042171F"/>
    <w:rsid w:val="00421799"/>
    <w:rsid w:val="004218C4"/>
    <w:rsid w:val="004218CB"/>
    <w:rsid w:val="00421A27"/>
    <w:rsid w:val="00421AE4"/>
    <w:rsid w:val="0042208E"/>
    <w:rsid w:val="004221D5"/>
    <w:rsid w:val="00422779"/>
    <w:rsid w:val="00422A5A"/>
    <w:rsid w:val="00422A5E"/>
    <w:rsid w:val="00422A9C"/>
    <w:rsid w:val="00422AD4"/>
    <w:rsid w:val="00423489"/>
    <w:rsid w:val="004238D8"/>
    <w:rsid w:val="00423D1F"/>
    <w:rsid w:val="00423DC1"/>
    <w:rsid w:val="004241CF"/>
    <w:rsid w:val="00424551"/>
    <w:rsid w:val="004245AA"/>
    <w:rsid w:val="00424611"/>
    <w:rsid w:val="004247F3"/>
    <w:rsid w:val="0042486D"/>
    <w:rsid w:val="004248D0"/>
    <w:rsid w:val="00424A0D"/>
    <w:rsid w:val="00424A8C"/>
    <w:rsid w:val="00424ED2"/>
    <w:rsid w:val="00425121"/>
    <w:rsid w:val="00425311"/>
    <w:rsid w:val="00425430"/>
    <w:rsid w:val="004254E9"/>
    <w:rsid w:val="00425557"/>
    <w:rsid w:val="00425819"/>
    <w:rsid w:val="00425BFE"/>
    <w:rsid w:val="00425C46"/>
    <w:rsid w:val="00426231"/>
    <w:rsid w:val="004263FF"/>
    <w:rsid w:val="004265D9"/>
    <w:rsid w:val="0042669B"/>
    <w:rsid w:val="00426B28"/>
    <w:rsid w:val="00426E91"/>
    <w:rsid w:val="0042709C"/>
    <w:rsid w:val="00427118"/>
    <w:rsid w:val="00427846"/>
    <w:rsid w:val="0042C020"/>
    <w:rsid w:val="00430A9E"/>
    <w:rsid w:val="00430F22"/>
    <w:rsid w:val="004310E0"/>
    <w:rsid w:val="00431104"/>
    <w:rsid w:val="00431351"/>
    <w:rsid w:val="00431405"/>
    <w:rsid w:val="00431543"/>
    <w:rsid w:val="00431B66"/>
    <w:rsid w:val="00431BE4"/>
    <w:rsid w:val="00431BFC"/>
    <w:rsid w:val="00431CF7"/>
    <w:rsid w:val="00431F7B"/>
    <w:rsid w:val="004320FE"/>
    <w:rsid w:val="00432239"/>
    <w:rsid w:val="00432245"/>
    <w:rsid w:val="00432323"/>
    <w:rsid w:val="0043250F"/>
    <w:rsid w:val="004329CC"/>
    <w:rsid w:val="00432D7E"/>
    <w:rsid w:val="00432EA7"/>
    <w:rsid w:val="004330CA"/>
    <w:rsid w:val="004337A3"/>
    <w:rsid w:val="00433B6A"/>
    <w:rsid w:val="00433BA9"/>
    <w:rsid w:val="00433CA8"/>
    <w:rsid w:val="00434097"/>
    <w:rsid w:val="004340E6"/>
    <w:rsid w:val="0043424D"/>
    <w:rsid w:val="0043433A"/>
    <w:rsid w:val="0043434B"/>
    <w:rsid w:val="0043434D"/>
    <w:rsid w:val="00434CEA"/>
    <w:rsid w:val="00434E1D"/>
    <w:rsid w:val="00434E81"/>
    <w:rsid w:val="004350D0"/>
    <w:rsid w:val="004351CB"/>
    <w:rsid w:val="00435347"/>
    <w:rsid w:val="004353DA"/>
    <w:rsid w:val="00435815"/>
    <w:rsid w:val="00435B90"/>
    <w:rsid w:val="00436303"/>
    <w:rsid w:val="0043668A"/>
    <w:rsid w:val="004367B6"/>
    <w:rsid w:val="004368E8"/>
    <w:rsid w:val="00436C11"/>
    <w:rsid w:val="004377C8"/>
    <w:rsid w:val="004377EB"/>
    <w:rsid w:val="00437835"/>
    <w:rsid w:val="00437869"/>
    <w:rsid w:val="004378BE"/>
    <w:rsid w:val="00437A3D"/>
    <w:rsid w:val="00437DA0"/>
    <w:rsid w:val="00440A60"/>
    <w:rsid w:val="00440C82"/>
    <w:rsid w:val="0044109F"/>
    <w:rsid w:val="00441102"/>
    <w:rsid w:val="004414A8"/>
    <w:rsid w:val="00441ADB"/>
    <w:rsid w:val="00441C97"/>
    <w:rsid w:val="00442482"/>
    <w:rsid w:val="004424A0"/>
    <w:rsid w:val="00442912"/>
    <w:rsid w:val="00442C59"/>
    <w:rsid w:val="00442E2F"/>
    <w:rsid w:val="00443403"/>
    <w:rsid w:val="00443796"/>
    <w:rsid w:val="004438A6"/>
    <w:rsid w:val="004439CD"/>
    <w:rsid w:val="00443C8C"/>
    <w:rsid w:val="00443E95"/>
    <w:rsid w:val="004440ED"/>
    <w:rsid w:val="00444165"/>
    <w:rsid w:val="00444377"/>
    <w:rsid w:val="00444442"/>
    <w:rsid w:val="00444634"/>
    <w:rsid w:val="00444B56"/>
    <w:rsid w:val="00444D00"/>
    <w:rsid w:val="00444D67"/>
    <w:rsid w:val="00444DD1"/>
    <w:rsid w:val="00444E4E"/>
    <w:rsid w:val="0044504A"/>
    <w:rsid w:val="004452ED"/>
    <w:rsid w:val="00445792"/>
    <w:rsid w:val="00445963"/>
    <w:rsid w:val="00445EEE"/>
    <w:rsid w:val="00446312"/>
    <w:rsid w:val="00446373"/>
    <w:rsid w:val="004463D7"/>
    <w:rsid w:val="004463E4"/>
    <w:rsid w:val="004467B9"/>
    <w:rsid w:val="00446B27"/>
    <w:rsid w:val="00446B9A"/>
    <w:rsid w:val="00446C21"/>
    <w:rsid w:val="0044709D"/>
    <w:rsid w:val="004470E9"/>
    <w:rsid w:val="004471AB"/>
    <w:rsid w:val="0044764C"/>
    <w:rsid w:val="004476DE"/>
    <w:rsid w:val="00447887"/>
    <w:rsid w:val="00447E40"/>
    <w:rsid w:val="00450117"/>
    <w:rsid w:val="004507F3"/>
    <w:rsid w:val="00450A26"/>
    <w:rsid w:val="00450AB4"/>
    <w:rsid w:val="00450B71"/>
    <w:rsid w:val="00450EC7"/>
    <w:rsid w:val="00451022"/>
    <w:rsid w:val="0045116E"/>
    <w:rsid w:val="004511C4"/>
    <w:rsid w:val="004516AE"/>
    <w:rsid w:val="00451B45"/>
    <w:rsid w:val="004520C5"/>
    <w:rsid w:val="00452605"/>
    <w:rsid w:val="004527AF"/>
    <w:rsid w:val="00452884"/>
    <w:rsid w:val="00452DED"/>
    <w:rsid w:val="00452FCF"/>
    <w:rsid w:val="004530DD"/>
    <w:rsid w:val="0045345E"/>
    <w:rsid w:val="00453920"/>
    <w:rsid w:val="00453B44"/>
    <w:rsid w:val="00453BFC"/>
    <w:rsid w:val="00453DCB"/>
    <w:rsid w:val="00453E06"/>
    <w:rsid w:val="004543EB"/>
    <w:rsid w:val="004546F7"/>
    <w:rsid w:val="0045473A"/>
    <w:rsid w:val="00454B77"/>
    <w:rsid w:val="00455262"/>
    <w:rsid w:val="004553A7"/>
    <w:rsid w:val="004553AC"/>
    <w:rsid w:val="0045570F"/>
    <w:rsid w:val="00455731"/>
    <w:rsid w:val="00455825"/>
    <w:rsid w:val="00455C18"/>
    <w:rsid w:val="00455CB1"/>
    <w:rsid w:val="00455CDD"/>
    <w:rsid w:val="00456873"/>
    <w:rsid w:val="004568E3"/>
    <w:rsid w:val="00456AF4"/>
    <w:rsid w:val="0045703C"/>
    <w:rsid w:val="00460106"/>
    <w:rsid w:val="004601FF"/>
    <w:rsid w:val="004602C6"/>
    <w:rsid w:val="00460461"/>
    <w:rsid w:val="00460681"/>
    <w:rsid w:val="00460841"/>
    <w:rsid w:val="0046099A"/>
    <w:rsid w:val="00460C45"/>
    <w:rsid w:val="00461CDE"/>
    <w:rsid w:val="00461CF4"/>
    <w:rsid w:val="00462177"/>
    <w:rsid w:val="00462285"/>
    <w:rsid w:val="0046231E"/>
    <w:rsid w:val="0046299E"/>
    <w:rsid w:val="00462AA1"/>
    <w:rsid w:val="00462D81"/>
    <w:rsid w:val="00462DFA"/>
    <w:rsid w:val="00462E4E"/>
    <w:rsid w:val="00463253"/>
    <w:rsid w:val="00463475"/>
    <w:rsid w:val="0046347B"/>
    <w:rsid w:val="0046393B"/>
    <w:rsid w:val="00463BAD"/>
    <w:rsid w:val="00463D6E"/>
    <w:rsid w:val="00464684"/>
    <w:rsid w:val="00464708"/>
    <w:rsid w:val="00464799"/>
    <w:rsid w:val="004647E5"/>
    <w:rsid w:val="00464914"/>
    <w:rsid w:val="00464C14"/>
    <w:rsid w:val="0046509F"/>
    <w:rsid w:val="004652AA"/>
    <w:rsid w:val="00465736"/>
    <w:rsid w:val="004657A5"/>
    <w:rsid w:val="00466463"/>
    <w:rsid w:val="004668E3"/>
    <w:rsid w:val="004668EE"/>
    <w:rsid w:val="004675CC"/>
    <w:rsid w:val="004677AE"/>
    <w:rsid w:val="004678C0"/>
    <w:rsid w:val="00467C34"/>
    <w:rsid w:val="00467D89"/>
    <w:rsid w:val="00467D9A"/>
    <w:rsid w:val="00467FE0"/>
    <w:rsid w:val="00468ECB"/>
    <w:rsid w:val="00470519"/>
    <w:rsid w:val="0047056B"/>
    <w:rsid w:val="00470608"/>
    <w:rsid w:val="0047086A"/>
    <w:rsid w:val="00470E1F"/>
    <w:rsid w:val="004715A9"/>
    <w:rsid w:val="004715DC"/>
    <w:rsid w:val="00471929"/>
    <w:rsid w:val="00471B2E"/>
    <w:rsid w:val="00471EE8"/>
    <w:rsid w:val="00472018"/>
    <w:rsid w:val="00472244"/>
    <w:rsid w:val="00472290"/>
    <w:rsid w:val="00472ACA"/>
    <w:rsid w:val="00473383"/>
    <w:rsid w:val="004739D0"/>
    <w:rsid w:val="00473D77"/>
    <w:rsid w:val="00474037"/>
    <w:rsid w:val="004742C8"/>
    <w:rsid w:val="004742FE"/>
    <w:rsid w:val="004743BD"/>
    <w:rsid w:val="004747AC"/>
    <w:rsid w:val="00474A62"/>
    <w:rsid w:val="0047502E"/>
    <w:rsid w:val="004754F0"/>
    <w:rsid w:val="004757BB"/>
    <w:rsid w:val="00475A1F"/>
    <w:rsid w:val="00475B7D"/>
    <w:rsid w:val="00475BE0"/>
    <w:rsid w:val="00475BE5"/>
    <w:rsid w:val="00475BFD"/>
    <w:rsid w:val="00476476"/>
    <w:rsid w:val="004764CA"/>
    <w:rsid w:val="00476AE0"/>
    <w:rsid w:val="00476E65"/>
    <w:rsid w:val="004770F8"/>
    <w:rsid w:val="00477134"/>
    <w:rsid w:val="004771ED"/>
    <w:rsid w:val="004772A2"/>
    <w:rsid w:val="004773D3"/>
    <w:rsid w:val="004777E0"/>
    <w:rsid w:val="0047780F"/>
    <w:rsid w:val="00477D68"/>
    <w:rsid w:val="00480205"/>
    <w:rsid w:val="00480325"/>
    <w:rsid w:val="0048045E"/>
    <w:rsid w:val="0048078C"/>
    <w:rsid w:val="004807DB"/>
    <w:rsid w:val="00480871"/>
    <w:rsid w:val="00480999"/>
    <w:rsid w:val="00480ADF"/>
    <w:rsid w:val="00480C6B"/>
    <w:rsid w:val="004817E8"/>
    <w:rsid w:val="004818B5"/>
    <w:rsid w:val="00481934"/>
    <w:rsid w:val="004819A1"/>
    <w:rsid w:val="00481C61"/>
    <w:rsid w:val="00482240"/>
    <w:rsid w:val="0048236A"/>
    <w:rsid w:val="004825F3"/>
    <w:rsid w:val="004826FB"/>
    <w:rsid w:val="0048286A"/>
    <w:rsid w:val="00482A62"/>
    <w:rsid w:val="00482AB5"/>
    <w:rsid w:val="00482B1F"/>
    <w:rsid w:val="00482BAA"/>
    <w:rsid w:val="00482F0E"/>
    <w:rsid w:val="00483017"/>
    <w:rsid w:val="004832B6"/>
    <w:rsid w:val="0048351C"/>
    <w:rsid w:val="00483A9B"/>
    <w:rsid w:val="00483ACC"/>
    <w:rsid w:val="0048404E"/>
    <w:rsid w:val="004840C8"/>
    <w:rsid w:val="0048441E"/>
    <w:rsid w:val="00484621"/>
    <w:rsid w:val="004850F0"/>
    <w:rsid w:val="00485226"/>
    <w:rsid w:val="004853C7"/>
    <w:rsid w:val="004855F6"/>
    <w:rsid w:val="004858E1"/>
    <w:rsid w:val="004859FE"/>
    <w:rsid w:val="00485ABF"/>
    <w:rsid w:val="00485B0A"/>
    <w:rsid w:val="00485B81"/>
    <w:rsid w:val="00485C2F"/>
    <w:rsid w:val="00485F63"/>
    <w:rsid w:val="00485F7F"/>
    <w:rsid w:val="004863A5"/>
    <w:rsid w:val="0048643C"/>
    <w:rsid w:val="00486493"/>
    <w:rsid w:val="00486606"/>
    <w:rsid w:val="00486945"/>
    <w:rsid w:val="00486A07"/>
    <w:rsid w:val="00486B22"/>
    <w:rsid w:val="00486DFA"/>
    <w:rsid w:val="004872DB"/>
    <w:rsid w:val="00487478"/>
    <w:rsid w:val="00487565"/>
    <w:rsid w:val="004878AB"/>
    <w:rsid w:val="00487A8C"/>
    <w:rsid w:val="00487CD4"/>
    <w:rsid w:val="00490415"/>
    <w:rsid w:val="0049067C"/>
    <w:rsid w:val="004906C5"/>
    <w:rsid w:val="00490BA1"/>
    <w:rsid w:val="00490DD7"/>
    <w:rsid w:val="00490E84"/>
    <w:rsid w:val="00490F79"/>
    <w:rsid w:val="0049125C"/>
    <w:rsid w:val="004915D1"/>
    <w:rsid w:val="004919A8"/>
    <w:rsid w:val="00491CCC"/>
    <w:rsid w:val="00491CEB"/>
    <w:rsid w:val="004925EC"/>
    <w:rsid w:val="00492781"/>
    <w:rsid w:val="00492888"/>
    <w:rsid w:val="00492940"/>
    <w:rsid w:val="00492A1E"/>
    <w:rsid w:val="00492A46"/>
    <w:rsid w:val="00492B0F"/>
    <w:rsid w:val="0049308B"/>
    <w:rsid w:val="004930C7"/>
    <w:rsid w:val="00493639"/>
    <w:rsid w:val="0049377E"/>
    <w:rsid w:val="004939E6"/>
    <w:rsid w:val="00493CEF"/>
    <w:rsid w:val="00493D94"/>
    <w:rsid w:val="00493E31"/>
    <w:rsid w:val="00494030"/>
    <w:rsid w:val="004943A1"/>
    <w:rsid w:val="004943B1"/>
    <w:rsid w:val="00494417"/>
    <w:rsid w:val="004944A0"/>
    <w:rsid w:val="004944C8"/>
    <w:rsid w:val="00494756"/>
    <w:rsid w:val="004949F9"/>
    <w:rsid w:val="00494BA7"/>
    <w:rsid w:val="00494D4F"/>
    <w:rsid w:val="004953F4"/>
    <w:rsid w:val="0049570E"/>
    <w:rsid w:val="00495712"/>
    <w:rsid w:val="004959E6"/>
    <w:rsid w:val="00495F19"/>
    <w:rsid w:val="004960E0"/>
    <w:rsid w:val="00496431"/>
    <w:rsid w:val="00496B28"/>
    <w:rsid w:val="00496BB2"/>
    <w:rsid w:val="004973BF"/>
    <w:rsid w:val="004A0A05"/>
    <w:rsid w:val="004A0E31"/>
    <w:rsid w:val="004A0E55"/>
    <w:rsid w:val="004A1306"/>
    <w:rsid w:val="004A1DB4"/>
    <w:rsid w:val="004A204E"/>
    <w:rsid w:val="004A22EB"/>
    <w:rsid w:val="004A2398"/>
    <w:rsid w:val="004A299B"/>
    <w:rsid w:val="004A2CCF"/>
    <w:rsid w:val="004A30C8"/>
    <w:rsid w:val="004A3427"/>
    <w:rsid w:val="004A345E"/>
    <w:rsid w:val="004A3514"/>
    <w:rsid w:val="004A3A41"/>
    <w:rsid w:val="004A3A49"/>
    <w:rsid w:val="004A3CD5"/>
    <w:rsid w:val="004A41BC"/>
    <w:rsid w:val="004A42BA"/>
    <w:rsid w:val="004A4773"/>
    <w:rsid w:val="004A4982"/>
    <w:rsid w:val="004A4DA2"/>
    <w:rsid w:val="004A5062"/>
    <w:rsid w:val="004A51FA"/>
    <w:rsid w:val="004A5587"/>
    <w:rsid w:val="004A5B9A"/>
    <w:rsid w:val="004A61B1"/>
    <w:rsid w:val="004A69C8"/>
    <w:rsid w:val="004A6BF1"/>
    <w:rsid w:val="004A6BF4"/>
    <w:rsid w:val="004A6E00"/>
    <w:rsid w:val="004A7071"/>
    <w:rsid w:val="004A7303"/>
    <w:rsid w:val="004A7467"/>
    <w:rsid w:val="004A7635"/>
    <w:rsid w:val="004A7C18"/>
    <w:rsid w:val="004A7DF2"/>
    <w:rsid w:val="004A7E94"/>
    <w:rsid w:val="004B0286"/>
    <w:rsid w:val="004B0421"/>
    <w:rsid w:val="004B0698"/>
    <w:rsid w:val="004B0B83"/>
    <w:rsid w:val="004B0CC8"/>
    <w:rsid w:val="004B0F73"/>
    <w:rsid w:val="004B1251"/>
    <w:rsid w:val="004B1777"/>
    <w:rsid w:val="004B19B4"/>
    <w:rsid w:val="004B1E35"/>
    <w:rsid w:val="004B215C"/>
    <w:rsid w:val="004B249D"/>
    <w:rsid w:val="004B2947"/>
    <w:rsid w:val="004B297E"/>
    <w:rsid w:val="004B2BF1"/>
    <w:rsid w:val="004B2D1F"/>
    <w:rsid w:val="004B2F6F"/>
    <w:rsid w:val="004B36E2"/>
    <w:rsid w:val="004B3A10"/>
    <w:rsid w:val="004B3B4E"/>
    <w:rsid w:val="004B3D4B"/>
    <w:rsid w:val="004B3DD9"/>
    <w:rsid w:val="004B4481"/>
    <w:rsid w:val="004B4668"/>
    <w:rsid w:val="004B5D68"/>
    <w:rsid w:val="004B5D87"/>
    <w:rsid w:val="004B5DF4"/>
    <w:rsid w:val="004B5EA1"/>
    <w:rsid w:val="004B5F96"/>
    <w:rsid w:val="004B5FBE"/>
    <w:rsid w:val="004B6185"/>
    <w:rsid w:val="004B6218"/>
    <w:rsid w:val="004B6994"/>
    <w:rsid w:val="004B71D6"/>
    <w:rsid w:val="004B7500"/>
    <w:rsid w:val="004B76DC"/>
    <w:rsid w:val="004B7915"/>
    <w:rsid w:val="004B7954"/>
    <w:rsid w:val="004B79CD"/>
    <w:rsid w:val="004B7BE7"/>
    <w:rsid w:val="004C053F"/>
    <w:rsid w:val="004C070D"/>
    <w:rsid w:val="004C088B"/>
    <w:rsid w:val="004C0EBE"/>
    <w:rsid w:val="004C0FBA"/>
    <w:rsid w:val="004C15CF"/>
    <w:rsid w:val="004C1691"/>
    <w:rsid w:val="004C1824"/>
    <w:rsid w:val="004C1AAC"/>
    <w:rsid w:val="004C1E38"/>
    <w:rsid w:val="004C20A1"/>
    <w:rsid w:val="004C21D7"/>
    <w:rsid w:val="004C22F4"/>
    <w:rsid w:val="004C24AB"/>
    <w:rsid w:val="004C2755"/>
    <w:rsid w:val="004C2B21"/>
    <w:rsid w:val="004C2CE2"/>
    <w:rsid w:val="004C34BE"/>
    <w:rsid w:val="004C3524"/>
    <w:rsid w:val="004C3576"/>
    <w:rsid w:val="004C3BD9"/>
    <w:rsid w:val="004C3C00"/>
    <w:rsid w:val="004C43B6"/>
    <w:rsid w:val="004C4517"/>
    <w:rsid w:val="004C470F"/>
    <w:rsid w:val="004C4A92"/>
    <w:rsid w:val="004C4B41"/>
    <w:rsid w:val="004C4EEA"/>
    <w:rsid w:val="004C51F9"/>
    <w:rsid w:val="004C535B"/>
    <w:rsid w:val="004C58A5"/>
    <w:rsid w:val="004C5C14"/>
    <w:rsid w:val="004C62BA"/>
    <w:rsid w:val="004C6442"/>
    <w:rsid w:val="004C6B7D"/>
    <w:rsid w:val="004C705B"/>
    <w:rsid w:val="004C7358"/>
    <w:rsid w:val="004C7365"/>
    <w:rsid w:val="004C74A4"/>
    <w:rsid w:val="004C74F2"/>
    <w:rsid w:val="004C7600"/>
    <w:rsid w:val="004C780A"/>
    <w:rsid w:val="004C796A"/>
    <w:rsid w:val="004C7D5E"/>
    <w:rsid w:val="004C7DAB"/>
    <w:rsid w:val="004C7ECC"/>
    <w:rsid w:val="004D00DE"/>
    <w:rsid w:val="004D01D7"/>
    <w:rsid w:val="004D02AA"/>
    <w:rsid w:val="004D040B"/>
    <w:rsid w:val="004D0A24"/>
    <w:rsid w:val="004D0A3A"/>
    <w:rsid w:val="004D0B65"/>
    <w:rsid w:val="004D0D44"/>
    <w:rsid w:val="004D12F2"/>
    <w:rsid w:val="004D17C9"/>
    <w:rsid w:val="004D1F35"/>
    <w:rsid w:val="004D1FC9"/>
    <w:rsid w:val="004D2041"/>
    <w:rsid w:val="004D21EC"/>
    <w:rsid w:val="004D22A5"/>
    <w:rsid w:val="004D23A8"/>
    <w:rsid w:val="004D2422"/>
    <w:rsid w:val="004D2BEA"/>
    <w:rsid w:val="004D2C00"/>
    <w:rsid w:val="004D2DE4"/>
    <w:rsid w:val="004D3224"/>
    <w:rsid w:val="004D362C"/>
    <w:rsid w:val="004D372B"/>
    <w:rsid w:val="004D3A08"/>
    <w:rsid w:val="004D3ACD"/>
    <w:rsid w:val="004D3BA3"/>
    <w:rsid w:val="004D3D48"/>
    <w:rsid w:val="004D3E1D"/>
    <w:rsid w:val="004D4400"/>
    <w:rsid w:val="004D4814"/>
    <w:rsid w:val="004D4AC4"/>
    <w:rsid w:val="004D4C6E"/>
    <w:rsid w:val="004D4CD2"/>
    <w:rsid w:val="004D4FDD"/>
    <w:rsid w:val="004D5033"/>
    <w:rsid w:val="004D53D5"/>
    <w:rsid w:val="004D5661"/>
    <w:rsid w:val="004D5A80"/>
    <w:rsid w:val="004D5A96"/>
    <w:rsid w:val="004D5FBF"/>
    <w:rsid w:val="004D5FD7"/>
    <w:rsid w:val="004D618A"/>
    <w:rsid w:val="004D6840"/>
    <w:rsid w:val="004D6CD1"/>
    <w:rsid w:val="004D6EF9"/>
    <w:rsid w:val="004D7123"/>
    <w:rsid w:val="004D77E1"/>
    <w:rsid w:val="004D7FE2"/>
    <w:rsid w:val="004E0011"/>
    <w:rsid w:val="004E0016"/>
    <w:rsid w:val="004E051B"/>
    <w:rsid w:val="004E05BE"/>
    <w:rsid w:val="004E0709"/>
    <w:rsid w:val="004E08B7"/>
    <w:rsid w:val="004E0ADA"/>
    <w:rsid w:val="004E0D3D"/>
    <w:rsid w:val="004E0E72"/>
    <w:rsid w:val="004E0E78"/>
    <w:rsid w:val="004E0F41"/>
    <w:rsid w:val="004E0FDA"/>
    <w:rsid w:val="004E1595"/>
    <w:rsid w:val="004E15A8"/>
    <w:rsid w:val="004E1648"/>
    <w:rsid w:val="004E1923"/>
    <w:rsid w:val="004E1E0E"/>
    <w:rsid w:val="004E1E20"/>
    <w:rsid w:val="004E2314"/>
    <w:rsid w:val="004E2663"/>
    <w:rsid w:val="004E294A"/>
    <w:rsid w:val="004E299D"/>
    <w:rsid w:val="004E2E4F"/>
    <w:rsid w:val="004E3683"/>
    <w:rsid w:val="004E38DD"/>
    <w:rsid w:val="004E3D56"/>
    <w:rsid w:val="004E3FCF"/>
    <w:rsid w:val="004E42D8"/>
    <w:rsid w:val="004E4304"/>
    <w:rsid w:val="004E4566"/>
    <w:rsid w:val="004E45E5"/>
    <w:rsid w:val="004E4718"/>
    <w:rsid w:val="004E487C"/>
    <w:rsid w:val="004E4D83"/>
    <w:rsid w:val="004E4F61"/>
    <w:rsid w:val="004E5381"/>
    <w:rsid w:val="004E53FF"/>
    <w:rsid w:val="004E5596"/>
    <w:rsid w:val="004E55EC"/>
    <w:rsid w:val="004E56D9"/>
    <w:rsid w:val="004E5762"/>
    <w:rsid w:val="004E57A8"/>
    <w:rsid w:val="004E5D06"/>
    <w:rsid w:val="004E6022"/>
    <w:rsid w:val="004E60FD"/>
    <w:rsid w:val="004E62C8"/>
    <w:rsid w:val="004E65DE"/>
    <w:rsid w:val="004E6737"/>
    <w:rsid w:val="004E6B1B"/>
    <w:rsid w:val="004E6CCF"/>
    <w:rsid w:val="004E6F8A"/>
    <w:rsid w:val="004E70BE"/>
    <w:rsid w:val="004E70CC"/>
    <w:rsid w:val="004E73C3"/>
    <w:rsid w:val="004E7CF9"/>
    <w:rsid w:val="004F02BA"/>
    <w:rsid w:val="004F0333"/>
    <w:rsid w:val="004F10EC"/>
    <w:rsid w:val="004F110E"/>
    <w:rsid w:val="004F14A5"/>
    <w:rsid w:val="004F1A6D"/>
    <w:rsid w:val="004F21B0"/>
    <w:rsid w:val="004F229E"/>
    <w:rsid w:val="004F251F"/>
    <w:rsid w:val="004F259D"/>
    <w:rsid w:val="004F25BE"/>
    <w:rsid w:val="004F26D6"/>
    <w:rsid w:val="004F28C8"/>
    <w:rsid w:val="004F2A73"/>
    <w:rsid w:val="004F2B92"/>
    <w:rsid w:val="004F2CA3"/>
    <w:rsid w:val="004F3095"/>
    <w:rsid w:val="004F3210"/>
    <w:rsid w:val="004F325B"/>
    <w:rsid w:val="004F3623"/>
    <w:rsid w:val="004F375D"/>
    <w:rsid w:val="004F37BE"/>
    <w:rsid w:val="004F385C"/>
    <w:rsid w:val="004F3B00"/>
    <w:rsid w:val="004F3B42"/>
    <w:rsid w:val="004F44E4"/>
    <w:rsid w:val="004F4582"/>
    <w:rsid w:val="004F4761"/>
    <w:rsid w:val="004F47A3"/>
    <w:rsid w:val="004F489A"/>
    <w:rsid w:val="004F4991"/>
    <w:rsid w:val="004F4B0C"/>
    <w:rsid w:val="004F4E6A"/>
    <w:rsid w:val="004F5279"/>
    <w:rsid w:val="004F5391"/>
    <w:rsid w:val="004F53B0"/>
    <w:rsid w:val="004F541A"/>
    <w:rsid w:val="004F541F"/>
    <w:rsid w:val="004F5520"/>
    <w:rsid w:val="004F5B42"/>
    <w:rsid w:val="004F5E21"/>
    <w:rsid w:val="004F5F81"/>
    <w:rsid w:val="004F6455"/>
    <w:rsid w:val="004F656D"/>
    <w:rsid w:val="004F690B"/>
    <w:rsid w:val="004F6B52"/>
    <w:rsid w:val="004F7060"/>
    <w:rsid w:val="004F713F"/>
    <w:rsid w:val="004F731C"/>
    <w:rsid w:val="004F74E5"/>
    <w:rsid w:val="004F77A7"/>
    <w:rsid w:val="004F7921"/>
    <w:rsid w:val="004F7D54"/>
    <w:rsid w:val="004F7D84"/>
    <w:rsid w:val="004F7FF9"/>
    <w:rsid w:val="00500008"/>
    <w:rsid w:val="00500195"/>
    <w:rsid w:val="0050042D"/>
    <w:rsid w:val="005005B9"/>
    <w:rsid w:val="00500765"/>
    <w:rsid w:val="0050081E"/>
    <w:rsid w:val="00500A87"/>
    <w:rsid w:val="00500D7D"/>
    <w:rsid w:val="00500EB9"/>
    <w:rsid w:val="00500F27"/>
    <w:rsid w:val="005012C8"/>
    <w:rsid w:val="0050149D"/>
    <w:rsid w:val="00501837"/>
    <w:rsid w:val="00501954"/>
    <w:rsid w:val="00501DB1"/>
    <w:rsid w:val="00501E0B"/>
    <w:rsid w:val="00501EB7"/>
    <w:rsid w:val="00501F44"/>
    <w:rsid w:val="00502706"/>
    <w:rsid w:val="00502712"/>
    <w:rsid w:val="005029AF"/>
    <w:rsid w:val="00502AF9"/>
    <w:rsid w:val="00502D35"/>
    <w:rsid w:val="00502F33"/>
    <w:rsid w:val="00502FAD"/>
    <w:rsid w:val="0050306E"/>
    <w:rsid w:val="005030B7"/>
    <w:rsid w:val="00503306"/>
    <w:rsid w:val="00503700"/>
    <w:rsid w:val="005039E9"/>
    <w:rsid w:val="0050483D"/>
    <w:rsid w:val="00504926"/>
    <w:rsid w:val="005049B5"/>
    <w:rsid w:val="005049D0"/>
    <w:rsid w:val="005049DB"/>
    <w:rsid w:val="00504CC0"/>
    <w:rsid w:val="00504ED9"/>
    <w:rsid w:val="0050500F"/>
    <w:rsid w:val="005056B1"/>
    <w:rsid w:val="005058D8"/>
    <w:rsid w:val="005059BF"/>
    <w:rsid w:val="00505AE6"/>
    <w:rsid w:val="00505EE8"/>
    <w:rsid w:val="00505F57"/>
    <w:rsid w:val="0050640E"/>
    <w:rsid w:val="0050643A"/>
    <w:rsid w:val="005066D7"/>
    <w:rsid w:val="00506B4B"/>
    <w:rsid w:val="00507088"/>
    <w:rsid w:val="0050756C"/>
    <w:rsid w:val="00507579"/>
    <w:rsid w:val="005076AC"/>
    <w:rsid w:val="005078F9"/>
    <w:rsid w:val="00507D46"/>
    <w:rsid w:val="00507F20"/>
    <w:rsid w:val="0051002D"/>
    <w:rsid w:val="00510070"/>
    <w:rsid w:val="0051024A"/>
    <w:rsid w:val="00510452"/>
    <w:rsid w:val="005107F4"/>
    <w:rsid w:val="0051092B"/>
    <w:rsid w:val="0051098B"/>
    <w:rsid w:val="005109B7"/>
    <w:rsid w:val="00510A96"/>
    <w:rsid w:val="00510B3E"/>
    <w:rsid w:val="00510C25"/>
    <w:rsid w:val="005115B9"/>
    <w:rsid w:val="0051177A"/>
    <w:rsid w:val="00511ADA"/>
    <w:rsid w:val="005126DB"/>
    <w:rsid w:val="005126F1"/>
    <w:rsid w:val="005128A3"/>
    <w:rsid w:val="00512BEE"/>
    <w:rsid w:val="00512DA8"/>
    <w:rsid w:val="005136BF"/>
    <w:rsid w:val="005137BD"/>
    <w:rsid w:val="00513AF8"/>
    <w:rsid w:val="00513C8F"/>
    <w:rsid w:val="00513CCC"/>
    <w:rsid w:val="00513E09"/>
    <w:rsid w:val="00514043"/>
    <w:rsid w:val="00514197"/>
    <w:rsid w:val="005141BF"/>
    <w:rsid w:val="00514351"/>
    <w:rsid w:val="00514762"/>
    <w:rsid w:val="00514AEF"/>
    <w:rsid w:val="00514BED"/>
    <w:rsid w:val="00514F39"/>
    <w:rsid w:val="00514FDF"/>
    <w:rsid w:val="0051507F"/>
    <w:rsid w:val="00515193"/>
    <w:rsid w:val="00515464"/>
    <w:rsid w:val="0051555C"/>
    <w:rsid w:val="0051562C"/>
    <w:rsid w:val="00515BF4"/>
    <w:rsid w:val="00515C1B"/>
    <w:rsid w:val="00515E6E"/>
    <w:rsid w:val="00516B24"/>
    <w:rsid w:val="00516B43"/>
    <w:rsid w:val="00516FE5"/>
    <w:rsid w:val="00517329"/>
    <w:rsid w:val="005173EF"/>
    <w:rsid w:val="00517426"/>
    <w:rsid w:val="00517503"/>
    <w:rsid w:val="005179D3"/>
    <w:rsid w:val="0052047E"/>
    <w:rsid w:val="0052050E"/>
    <w:rsid w:val="005207CE"/>
    <w:rsid w:val="005208B9"/>
    <w:rsid w:val="00520C13"/>
    <w:rsid w:val="00520C25"/>
    <w:rsid w:val="00520C53"/>
    <w:rsid w:val="0052111D"/>
    <w:rsid w:val="005213D8"/>
    <w:rsid w:val="005216AB"/>
    <w:rsid w:val="005216B7"/>
    <w:rsid w:val="00521811"/>
    <w:rsid w:val="00521D5E"/>
    <w:rsid w:val="005222B4"/>
    <w:rsid w:val="005226A2"/>
    <w:rsid w:val="0052276B"/>
    <w:rsid w:val="00522CE3"/>
    <w:rsid w:val="00522CF6"/>
    <w:rsid w:val="00523662"/>
    <w:rsid w:val="00523B10"/>
    <w:rsid w:val="00523D40"/>
    <w:rsid w:val="00523F0F"/>
    <w:rsid w:val="005240A5"/>
    <w:rsid w:val="005240A9"/>
    <w:rsid w:val="005241FC"/>
    <w:rsid w:val="00524429"/>
    <w:rsid w:val="00524848"/>
    <w:rsid w:val="00524E35"/>
    <w:rsid w:val="0052509F"/>
    <w:rsid w:val="00525112"/>
    <w:rsid w:val="00525376"/>
    <w:rsid w:val="0052568C"/>
    <w:rsid w:val="005258F1"/>
    <w:rsid w:val="00525C64"/>
    <w:rsid w:val="00525E64"/>
    <w:rsid w:val="0052601F"/>
    <w:rsid w:val="005263BC"/>
    <w:rsid w:val="00526606"/>
    <w:rsid w:val="00526A1F"/>
    <w:rsid w:val="00526CA9"/>
    <w:rsid w:val="00527248"/>
    <w:rsid w:val="0052765D"/>
    <w:rsid w:val="0052775E"/>
    <w:rsid w:val="00527A09"/>
    <w:rsid w:val="00527A2A"/>
    <w:rsid w:val="00527C12"/>
    <w:rsid w:val="00527C56"/>
    <w:rsid w:val="00527CB2"/>
    <w:rsid w:val="00527DAA"/>
    <w:rsid w:val="00527FF8"/>
    <w:rsid w:val="0052A2C5"/>
    <w:rsid w:val="00530363"/>
    <w:rsid w:val="00530630"/>
    <w:rsid w:val="0053088B"/>
    <w:rsid w:val="005309FC"/>
    <w:rsid w:val="00530BCF"/>
    <w:rsid w:val="005310FF"/>
    <w:rsid w:val="0053113B"/>
    <w:rsid w:val="005312D2"/>
    <w:rsid w:val="00531678"/>
    <w:rsid w:val="00531F7E"/>
    <w:rsid w:val="0053269A"/>
    <w:rsid w:val="005328D9"/>
    <w:rsid w:val="00532FFD"/>
    <w:rsid w:val="00533332"/>
    <w:rsid w:val="0053371F"/>
    <w:rsid w:val="00533971"/>
    <w:rsid w:val="00534244"/>
    <w:rsid w:val="0053441D"/>
    <w:rsid w:val="00534833"/>
    <w:rsid w:val="005348EE"/>
    <w:rsid w:val="00534F89"/>
    <w:rsid w:val="00534F9D"/>
    <w:rsid w:val="005352DF"/>
    <w:rsid w:val="00535364"/>
    <w:rsid w:val="00535623"/>
    <w:rsid w:val="00535721"/>
    <w:rsid w:val="00535758"/>
    <w:rsid w:val="005357D9"/>
    <w:rsid w:val="005358B1"/>
    <w:rsid w:val="00535916"/>
    <w:rsid w:val="0053593D"/>
    <w:rsid w:val="0053612E"/>
    <w:rsid w:val="005361BA"/>
    <w:rsid w:val="00536686"/>
    <w:rsid w:val="00536977"/>
    <w:rsid w:val="00536FF5"/>
    <w:rsid w:val="00537BCA"/>
    <w:rsid w:val="00537EF7"/>
    <w:rsid w:val="0054022D"/>
    <w:rsid w:val="0054082D"/>
    <w:rsid w:val="00540C4E"/>
    <w:rsid w:val="00540CA2"/>
    <w:rsid w:val="00540CEF"/>
    <w:rsid w:val="00540F96"/>
    <w:rsid w:val="005410ED"/>
    <w:rsid w:val="005411A8"/>
    <w:rsid w:val="005413DE"/>
    <w:rsid w:val="00541566"/>
    <w:rsid w:val="0054158A"/>
    <w:rsid w:val="00541674"/>
    <w:rsid w:val="00541AC5"/>
    <w:rsid w:val="005422A8"/>
    <w:rsid w:val="00542369"/>
    <w:rsid w:val="005424F4"/>
    <w:rsid w:val="005437F7"/>
    <w:rsid w:val="0054397C"/>
    <w:rsid w:val="00543CF9"/>
    <w:rsid w:val="00543D06"/>
    <w:rsid w:val="00544695"/>
    <w:rsid w:val="0054490F"/>
    <w:rsid w:val="00544A09"/>
    <w:rsid w:val="00544CAE"/>
    <w:rsid w:val="00544EBC"/>
    <w:rsid w:val="00545320"/>
    <w:rsid w:val="00545435"/>
    <w:rsid w:val="0054593E"/>
    <w:rsid w:val="00545C93"/>
    <w:rsid w:val="0054603D"/>
    <w:rsid w:val="005462EE"/>
    <w:rsid w:val="0054651B"/>
    <w:rsid w:val="00546B2D"/>
    <w:rsid w:val="00546F30"/>
    <w:rsid w:val="00546F97"/>
    <w:rsid w:val="005474A1"/>
    <w:rsid w:val="005477F3"/>
    <w:rsid w:val="005479F7"/>
    <w:rsid w:val="00547F0C"/>
    <w:rsid w:val="00547FE5"/>
    <w:rsid w:val="005501AB"/>
    <w:rsid w:val="005503E2"/>
    <w:rsid w:val="00550646"/>
    <w:rsid w:val="0055074A"/>
    <w:rsid w:val="0055097D"/>
    <w:rsid w:val="00550A90"/>
    <w:rsid w:val="00550AB2"/>
    <w:rsid w:val="00550DAE"/>
    <w:rsid w:val="005513C1"/>
    <w:rsid w:val="0055157E"/>
    <w:rsid w:val="00551818"/>
    <w:rsid w:val="005519AD"/>
    <w:rsid w:val="00551A48"/>
    <w:rsid w:val="00551DF8"/>
    <w:rsid w:val="005521A8"/>
    <w:rsid w:val="005521CB"/>
    <w:rsid w:val="00552550"/>
    <w:rsid w:val="00552974"/>
    <w:rsid w:val="00552B54"/>
    <w:rsid w:val="00552C87"/>
    <w:rsid w:val="00552F63"/>
    <w:rsid w:val="0055373A"/>
    <w:rsid w:val="005537C5"/>
    <w:rsid w:val="00553A8E"/>
    <w:rsid w:val="00553F30"/>
    <w:rsid w:val="005543E1"/>
    <w:rsid w:val="00554678"/>
    <w:rsid w:val="00554DC6"/>
    <w:rsid w:val="00554E86"/>
    <w:rsid w:val="00554F10"/>
    <w:rsid w:val="00554F8D"/>
    <w:rsid w:val="00554FDC"/>
    <w:rsid w:val="00555F5E"/>
    <w:rsid w:val="0055632B"/>
    <w:rsid w:val="00556599"/>
    <w:rsid w:val="0055674A"/>
    <w:rsid w:val="005567FD"/>
    <w:rsid w:val="00556A07"/>
    <w:rsid w:val="00556CA8"/>
    <w:rsid w:val="00556E45"/>
    <w:rsid w:val="00556F74"/>
    <w:rsid w:val="00557477"/>
    <w:rsid w:val="005576A2"/>
    <w:rsid w:val="005576FA"/>
    <w:rsid w:val="00557764"/>
    <w:rsid w:val="0055776B"/>
    <w:rsid w:val="00557896"/>
    <w:rsid w:val="00557957"/>
    <w:rsid w:val="00557E94"/>
    <w:rsid w:val="0056007A"/>
    <w:rsid w:val="005602D0"/>
    <w:rsid w:val="00560330"/>
    <w:rsid w:val="0056045F"/>
    <w:rsid w:val="00560579"/>
    <w:rsid w:val="0056084C"/>
    <w:rsid w:val="005609DF"/>
    <w:rsid w:val="00560BF2"/>
    <w:rsid w:val="005613D9"/>
    <w:rsid w:val="0056149A"/>
    <w:rsid w:val="00561B01"/>
    <w:rsid w:val="00561EE4"/>
    <w:rsid w:val="00561EF6"/>
    <w:rsid w:val="005620CA"/>
    <w:rsid w:val="005625EC"/>
    <w:rsid w:val="00562744"/>
    <w:rsid w:val="00562BE6"/>
    <w:rsid w:val="00562DF7"/>
    <w:rsid w:val="005630B3"/>
    <w:rsid w:val="005631F3"/>
    <w:rsid w:val="005632A4"/>
    <w:rsid w:val="005636D8"/>
    <w:rsid w:val="00563855"/>
    <w:rsid w:val="00563CBD"/>
    <w:rsid w:val="00563F81"/>
    <w:rsid w:val="0056413A"/>
    <w:rsid w:val="005649D2"/>
    <w:rsid w:val="00564AAD"/>
    <w:rsid w:val="00564B73"/>
    <w:rsid w:val="00564E5D"/>
    <w:rsid w:val="00564F3F"/>
    <w:rsid w:val="005653E3"/>
    <w:rsid w:val="0056556B"/>
    <w:rsid w:val="00565990"/>
    <w:rsid w:val="00565BFF"/>
    <w:rsid w:val="00565C59"/>
    <w:rsid w:val="00566478"/>
    <w:rsid w:val="0056687E"/>
    <w:rsid w:val="00566B93"/>
    <w:rsid w:val="00566D1C"/>
    <w:rsid w:val="00566E7F"/>
    <w:rsid w:val="0056740A"/>
    <w:rsid w:val="005674AF"/>
    <w:rsid w:val="005677DA"/>
    <w:rsid w:val="005678E5"/>
    <w:rsid w:val="00567A8A"/>
    <w:rsid w:val="00567C49"/>
    <w:rsid w:val="00567E50"/>
    <w:rsid w:val="0057020A"/>
    <w:rsid w:val="005703BD"/>
    <w:rsid w:val="0057042D"/>
    <w:rsid w:val="00570913"/>
    <w:rsid w:val="00570CAF"/>
    <w:rsid w:val="00570D97"/>
    <w:rsid w:val="0057118B"/>
    <w:rsid w:val="00571343"/>
    <w:rsid w:val="0057143D"/>
    <w:rsid w:val="00571659"/>
    <w:rsid w:val="00571885"/>
    <w:rsid w:val="00571DA1"/>
    <w:rsid w:val="00572133"/>
    <w:rsid w:val="005723C3"/>
    <w:rsid w:val="005725D2"/>
    <w:rsid w:val="005727AE"/>
    <w:rsid w:val="005727E7"/>
    <w:rsid w:val="00572A79"/>
    <w:rsid w:val="00573100"/>
    <w:rsid w:val="00573601"/>
    <w:rsid w:val="00573756"/>
    <w:rsid w:val="00573A13"/>
    <w:rsid w:val="0057446B"/>
    <w:rsid w:val="005744FD"/>
    <w:rsid w:val="0057476B"/>
    <w:rsid w:val="00574D8E"/>
    <w:rsid w:val="00575177"/>
    <w:rsid w:val="00575514"/>
    <w:rsid w:val="00575574"/>
    <w:rsid w:val="005755DB"/>
    <w:rsid w:val="005757D3"/>
    <w:rsid w:val="00575A81"/>
    <w:rsid w:val="00575E31"/>
    <w:rsid w:val="00575E8F"/>
    <w:rsid w:val="00576249"/>
    <w:rsid w:val="00576636"/>
    <w:rsid w:val="005768C0"/>
    <w:rsid w:val="00576C15"/>
    <w:rsid w:val="00576F40"/>
    <w:rsid w:val="005771BA"/>
    <w:rsid w:val="005775F8"/>
    <w:rsid w:val="0057763B"/>
    <w:rsid w:val="00577657"/>
    <w:rsid w:val="00577B7C"/>
    <w:rsid w:val="00577E46"/>
    <w:rsid w:val="005801C7"/>
    <w:rsid w:val="00580512"/>
    <w:rsid w:val="00580918"/>
    <w:rsid w:val="00580ABE"/>
    <w:rsid w:val="00580C4B"/>
    <w:rsid w:val="00580D2B"/>
    <w:rsid w:val="00581224"/>
    <w:rsid w:val="005814D9"/>
    <w:rsid w:val="005816E5"/>
    <w:rsid w:val="005819A8"/>
    <w:rsid w:val="00581C23"/>
    <w:rsid w:val="00581E80"/>
    <w:rsid w:val="00582373"/>
    <w:rsid w:val="00582623"/>
    <w:rsid w:val="00582729"/>
    <w:rsid w:val="00582899"/>
    <w:rsid w:val="00582EA8"/>
    <w:rsid w:val="00583142"/>
    <w:rsid w:val="005831F6"/>
    <w:rsid w:val="00583658"/>
    <w:rsid w:val="00583668"/>
    <w:rsid w:val="005837EE"/>
    <w:rsid w:val="005837FB"/>
    <w:rsid w:val="00583E11"/>
    <w:rsid w:val="00584574"/>
    <w:rsid w:val="00584602"/>
    <w:rsid w:val="00584901"/>
    <w:rsid w:val="00584D09"/>
    <w:rsid w:val="00584E18"/>
    <w:rsid w:val="00584EA0"/>
    <w:rsid w:val="005859D8"/>
    <w:rsid w:val="005859F0"/>
    <w:rsid w:val="00585BFF"/>
    <w:rsid w:val="00585C0E"/>
    <w:rsid w:val="00585C72"/>
    <w:rsid w:val="00585D57"/>
    <w:rsid w:val="00585E67"/>
    <w:rsid w:val="00586779"/>
    <w:rsid w:val="00586B9D"/>
    <w:rsid w:val="00586D18"/>
    <w:rsid w:val="00586D5B"/>
    <w:rsid w:val="00586DC9"/>
    <w:rsid w:val="00586FC1"/>
    <w:rsid w:val="00586FE5"/>
    <w:rsid w:val="0058700E"/>
    <w:rsid w:val="0058712F"/>
    <w:rsid w:val="0058727F"/>
    <w:rsid w:val="00587484"/>
    <w:rsid w:val="005874C6"/>
    <w:rsid w:val="00590305"/>
    <w:rsid w:val="00590453"/>
    <w:rsid w:val="0059061D"/>
    <w:rsid w:val="005906E6"/>
    <w:rsid w:val="00590830"/>
    <w:rsid w:val="00590C5A"/>
    <w:rsid w:val="00590D5C"/>
    <w:rsid w:val="00590F45"/>
    <w:rsid w:val="0059102F"/>
    <w:rsid w:val="00591229"/>
    <w:rsid w:val="00591253"/>
    <w:rsid w:val="0059197F"/>
    <w:rsid w:val="005919F3"/>
    <w:rsid w:val="00591A2B"/>
    <w:rsid w:val="00591A35"/>
    <w:rsid w:val="00591A7C"/>
    <w:rsid w:val="00591B96"/>
    <w:rsid w:val="00591D5C"/>
    <w:rsid w:val="00592233"/>
    <w:rsid w:val="00592284"/>
    <w:rsid w:val="00592357"/>
    <w:rsid w:val="00592378"/>
    <w:rsid w:val="005923A5"/>
    <w:rsid w:val="0059282F"/>
    <w:rsid w:val="00592932"/>
    <w:rsid w:val="00592ACF"/>
    <w:rsid w:val="00592AD4"/>
    <w:rsid w:val="00592FB5"/>
    <w:rsid w:val="005930B9"/>
    <w:rsid w:val="00593798"/>
    <w:rsid w:val="005944BF"/>
    <w:rsid w:val="005944DC"/>
    <w:rsid w:val="00594683"/>
    <w:rsid w:val="005946C5"/>
    <w:rsid w:val="005948C9"/>
    <w:rsid w:val="00594A5C"/>
    <w:rsid w:val="00594C71"/>
    <w:rsid w:val="005952E3"/>
    <w:rsid w:val="00595790"/>
    <w:rsid w:val="00595976"/>
    <w:rsid w:val="00595A43"/>
    <w:rsid w:val="00595B15"/>
    <w:rsid w:val="00595B53"/>
    <w:rsid w:val="00595D2C"/>
    <w:rsid w:val="00595E56"/>
    <w:rsid w:val="005960CF"/>
    <w:rsid w:val="005961A0"/>
    <w:rsid w:val="005962E0"/>
    <w:rsid w:val="00596528"/>
    <w:rsid w:val="00596565"/>
    <w:rsid w:val="0059685F"/>
    <w:rsid w:val="005969B7"/>
    <w:rsid w:val="00596BE2"/>
    <w:rsid w:val="00596C2E"/>
    <w:rsid w:val="00596E3F"/>
    <w:rsid w:val="00596F69"/>
    <w:rsid w:val="005970D5"/>
    <w:rsid w:val="00597245"/>
    <w:rsid w:val="00597346"/>
    <w:rsid w:val="005974D7"/>
    <w:rsid w:val="005974FF"/>
    <w:rsid w:val="00597B46"/>
    <w:rsid w:val="00597BBD"/>
    <w:rsid w:val="00597EF7"/>
    <w:rsid w:val="005A041D"/>
    <w:rsid w:val="005A0650"/>
    <w:rsid w:val="005A08B1"/>
    <w:rsid w:val="005A0B71"/>
    <w:rsid w:val="005A0E00"/>
    <w:rsid w:val="005A0E14"/>
    <w:rsid w:val="005A0F8B"/>
    <w:rsid w:val="005A10C6"/>
    <w:rsid w:val="005A121B"/>
    <w:rsid w:val="005A150B"/>
    <w:rsid w:val="005A1759"/>
    <w:rsid w:val="005A182F"/>
    <w:rsid w:val="005A1955"/>
    <w:rsid w:val="005A195D"/>
    <w:rsid w:val="005A2862"/>
    <w:rsid w:val="005A2A39"/>
    <w:rsid w:val="005A3438"/>
    <w:rsid w:val="005A368B"/>
    <w:rsid w:val="005A3733"/>
    <w:rsid w:val="005A38AF"/>
    <w:rsid w:val="005A3B19"/>
    <w:rsid w:val="005A3CF9"/>
    <w:rsid w:val="005A4149"/>
    <w:rsid w:val="005A41ED"/>
    <w:rsid w:val="005A425D"/>
    <w:rsid w:val="005A4644"/>
    <w:rsid w:val="005A4824"/>
    <w:rsid w:val="005A4917"/>
    <w:rsid w:val="005A4A69"/>
    <w:rsid w:val="005A4B4F"/>
    <w:rsid w:val="005A4C35"/>
    <w:rsid w:val="005A4C40"/>
    <w:rsid w:val="005A4F84"/>
    <w:rsid w:val="005A51E3"/>
    <w:rsid w:val="005A52B9"/>
    <w:rsid w:val="005A596D"/>
    <w:rsid w:val="005A5CA4"/>
    <w:rsid w:val="005A60BD"/>
    <w:rsid w:val="005A6169"/>
    <w:rsid w:val="005A6665"/>
    <w:rsid w:val="005A66DD"/>
    <w:rsid w:val="005A68CF"/>
    <w:rsid w:val="005A6DC6"/>
    <w:rsid w:val="005A715D"/>
    <w:rsid w:val="005A722A"/>
    <w:rsid w:val="005A7718"/>
    <w:rsid w:val="005A7C61"/>
    <w:rsid w:val="005A7D57"/>
    <w:rsid w:val="005B0098"/>
    <w:rsid w:val="005B00F8"/>
    <w:rsid w:val="005B0A78"/>
    <w:rsid w:val="005B0A8D"/>
    <w:rsid w:val="005B0CD4"/>
    <w:rsid w:val="005B0E80"/>
    <w:rsid w:val="005B10B8"/>
    <w:rsid w:val="005B116E"/>
    <w:rsid w:val="005B172A"/>
    <w:rsid w:val="005B1954"/>
    <w:rsid w:val="005B1B02"/>
    <w:rsid w:val="005B1D18"/>
    <w:rsid w:val="005B1F32"/>
    <w:rsid w:val="005B20A2"/>
    <w:rsid w:val="005B2318"/>
    <w:rsid w:val="005B274B"/>
    <w:rsid w:val="005B2E54"/>
    <w:rsid w:val="005B2EB6"/>
    <w:rsid w:val="005B3085"/>
    <w:rsid w:val="005B30E1"/>
    <w:rsid w:val="005B33B4"/>
    <w:rsid w:val="005B346E"/>
    <w:rsid w:val="005B3536"/>
    <w:rsid w:val="005B356C"/>
    <w:rsid w:val="005B357B"/>
    <w:rsid w:val="005B36C4"/>
    <w:rsid w:val="005B3997"/>
    <w:rsid w:val="005B3A2D"/>
    <w:rsid w:val="005B3A30"/>
    <w:rsid w:val="005B3F14"/>
    <w:rsid w:val="005B4034"/>
    <w:rsid w:val="005B414A"/>
    <w:rsid w:val="005B415A"/>
    <w:rsid w:val="005B42E9"/>
    <w:rsid w:val="005B44A0"/>
    <w:rsid w:val="005B46CF"/>
    <w:rsid w:val="005B5160"/>
    <w:rsid w:val="005B5258"/>
    <w:rsid w:val="005B54BF"/>
    <w:rsid w:val="005B59C0"/>
    <w:rsid w:val="005B5A41"/>
    <w:rsid w:val="005B5C5F"/>
    <w:rsid w:val="005B5D4C"/>
    <w:rsid w:val="005B5E59"/>
    <w:rsid w:val="005B5EE1"/>
    <w:rsid w:val="005B6027"/>
    <w:rsid w:val="005B60AC"/>
    <w:rsid w:val="005B6693"/>
    <w:rsid w:val="005B677E"/>
    <w:rsid w:val="005B69C3"/>
    <w:rsid w:val="005B6F83"/>
    <w:rsid w:val="005B6F91"/>
    <w:rsid w:val="005B6FB2"/>
    <w:rsid w:val="005B6FF0"/>
    <w:rsid w:val="005B7052"/>
    <w:rsid w:val="005B70FC"/>
    <w:rsid w:val="005B72A0"/>
    <w:rsid w:val="005B792B"/>
    <w:rsid w:val="005B793A"/>
    <w:rsid w:val="005B7B0E"/>
    <w:rsid w:val="005C0040"/>
    <w:rsid w:val="005C004B"/>
    <w:rsid w:val="005C0084"/>
    <w:rsid w:val="005C04B1"/>
    <w:rsid w:val="005C0721"/>
    <w:rsid w:val="005C0D10"/>
    <w:rsid w:val="005C0D62"/>
    <w:rsid w:val="005C15E7"/>
    <w:rsid w:val="005C1691"/>
    <w:rsid w:val="005C177B"/>
    <w:rsid w:val="005C18B7"/>
    <w:rsid w:val="005C199D"/>
    <w:rsid w:val="005C1B0C"/>
    <w:rsid w:val="005C226D"/>
    <w:rsid w:val="005C2849"/>
    <w:rsid w:val="005C2D0E"/>
    <w:rsid w:val="005C2D3E"/>
    <w:rsid w:val="005C2EED"/>
    <w:rsid w:val="005C2FE2"/>
    <w:rsid w:val="005C307C"/>
    <w:rsid w:val="005C31F5"/>
    <w:rsid w:val="005C33AD"/>
    <w:rsid w:val="005C34C0"/>
    <w:rsid w:val="005C3891"/>
    <w:rsid w:val="005C3923"/>
    <w:rsid w:val="005C3A93"/>
    <w:rsid w:val="005C3CE9"/>
    <w:rsid w:val="005C3E09"/>
    <w:rsid w:val="005C40C7"/>
    <w:rsid w:val="005C422F"/>
    <w:rsid w:val="005C432D"/>
    <w:rsid w:val="005C4882"/>
    <w:rsid w:val="005C48A1"/>
    <w:rsid w:val="005C4A5E"/>
    <w:rsid w:val="005C503D"/>
    <w:rsid w:val="005C5180"/>
    <w:rsid w:val="005C52DF"/>
    <w:rsid w:val="005C5442"/>
    <w:rsid w:val="005C55D1"/>
    <w:rsid w:val="005C572D"/>
    <w:rsid w:val="005C5AB0"/>
    <w:rsid w:val="005C5AB8"/>
    <w:rsid w:val="005C5D05"/>
    <w:rsid w:val="005C61DB"/>
    <w:rsid w:val="005C6265"/>
    <w:rsid w:val="005C6471"/>
    <w:rsid w:val="005C67E7"/>
    <w:rsid w:val="005C68EA"/>
    <w:rsid w:val="005C7099"/>
    <w:rsid w:val="005C7118"/>
    <w:rsid w:val="005C71A0"/>
    <w:rsid w:val="005C727B"/>
    <w:rsid w:val="005C74BE"/>
    <w:rsid w:val="005C7B96"/>
    <w:rsid w:val="005C7C2C"/>
    <w:rsid w:val="005C7C73"/>
    <w:rsid w:val="005D002B"/>
    <w:rsid w:val="005D0304"/>
    <w:rsid w:val="005D0A2B"/>
    <w:rsid w:val="005D0C1B"/>
    <w:rsid w:val="005D0CAE"/>
    <w:rsid w:val="005D0CC7"/>
    <w:rsid w:val="005D0D08"/>
    <w:rsid w:val="005D0F0F"/>
    <w:rsid w:val="005D1365"/>
    <w:rsid w:val="005D15E7"/>
    <w:rsid w:val="005D18A6"/>
    <w:rsid w:val="005D1B73"/>
    <w:rsid w:val="005D215F"/>
    <w:rsid w:val="005D23A7"/>
    <w:rsid w:val="005D268E"/>
    <w:rsid w:val="005D2705"/>
    <w:rsid w:val="005D2C0F"/>
    <w:rsid w:val="005D2D70"/>
    <w:rsid w:val="005D2E86"/>
    <w:rsid w:val="005D2F3A"/>
    <w:rsid w:val="005D2F87"/>
    <w:rsid w:val="005D3181"/>
    <w:rsid w:val="005D31E2"/>
    <w:rsid w:val="005D3694"/>
    <w:rsid w:val="005D389C"/>
    <w:rsid w:val="005D3927"/>
    <w:rsid w:val="005D3CB2"/>
    <w:rsid w:val="005D467D"/>
    <w:rsid w:val="005D4A4E"/>
    <w:rsid w:val="005D4CD5"/>
    <w:rsid w:val="005D4D1B"/>
    <w:rsid w:val="005D4F9F"/>
    <w:rsid w:val="005D5178"/>
    <w:rsid w:val="005D55BC"/>
    <w:rsid w:val="005D5626"/>
    <w:rsid w:val="005D5C23"/>
    <w:rsid w:val="005D5D0A"/>
    <w:rsid w:val="005D5EA2"/>
    <w:rsid w:val="005D613A"/>
    <w:rsid w:val="005D6170"/>
    <w:rsid w:val="005D61AA"/>
    <w:rsid w:val="005D6200"/>
    <w:rsid w:val="005D6294"/>
    <w:rsid w:val="005D6444"/>
    <w:rsid w:val="005D650B"/>
    <w:rsid w:val="005D658A"/>
    <w:rsid w:val="005D67B6"/>
    <w:rsid w:val="005D67F5"/>
    <w:rsid w:val="005D6C50"/>
    <w:rsid w:val="005D6EBA"/>
    <w:rsid w:val="005D74AD"/>
    <w:rsid w:val="005D7628"/>
    <w:rsid w:val="005D7E95"/>
    <w:rsid w:val="005E002A"/>
    <w:rsid w:val="005E0174"/>
    <w:rsid w:val="005E0286"/>
    <w:rsid w:val="005E052F"/>
    <w:rsid w:val="005E0A9D"/>
    <w:rsid w:val="005E0D4E"/>
    <w:rsid w:val="005E0D97"/>
    <w:rsid w:val="005E0F76"/>
    <w:rsid w:val="005E1482"/>
    <w:rsid w:val="005E14FB"/>
    <w:rsid w:val="005E192B"/>
    <w:rsid w:val="005E197E"/>
    <w:rsid w:val="005E1B9A"/>
    <w:rsid w:val="005E1F6B"/>
    <w:rsid w:val="005E28DB"/>
    <w:rsid w:val="005E2C70"/>
    <w:rsid w:val="005E2CAF"/>
    <w:rsid w:val="005E2E44"/>
    <w:rsid w:val="005E315A"/>
    <w:rsid w:val="005E330A"/>
    <w:rsid w:val="005E3363"/>
    <w:rsid w:val="005E34D8"/>
    <w:rsid w:val="005E3785"/>
    <w:rsid w:val="005E3C5C"/>
    <w:rsid w:val="005E3FB2"/>
    <w:rsid w:val="005E425F"/>
    <w:rsid w:val="005E4393"/>
    <w:rsid w:val="005E447A"/>
    <w:rsid w:val="005E451D"/>
    <w:rsid w:val="005E45F0"/>
    <w:rsid w:val="005E478A"/>
    <w:rsid w:val="005E49D8"/>
    <w:rsid w:val="005E4CFD"/>
    <w:rsid w:val="005E4E9E"/>
    <w:rsid w:val="005E5000"/>
    <w:rsid w:val="005E5175"/>
    <w:rsid w:val="005E550D"/>
    <w:rsid w:val="005E5614"/>
    <w:rsid w:val="005E61CA"/>
    <w:rsid w:val="005E644F"/>
    <w:rsid w:val="005E656C"/>
    <w:rsid w:val="005E6B21"/>
    <w:rsid w:val="005E73E4"/>
    <w:rsid w:val="005E748C"/>
    <w:rsid w:val="005E7A1D"/>
    <w:rsid w:val="005E7B1C"/>
    <w:rsid w:val="005E7F10"/>
    <w:rsid w:val="005F0CDE"/>
    <w:rsid w:val="005F0F49"/>
    <w:rsid w:val="005F1479"/>
    <w:rsid w:val="005F1527"/>
    <w:rsid w:val="005F1585"/>
    <w:rsid w:val="005F15E7"/>
    <w:rsid w:val="005F17DE"/>
    <w:rsid w:val="005F18C1"/>
    <w:rsid w:val="005F196B"/>
    <w:rsid w:val="005F1B70"/>
    <w:rsid w:val="005F1E8D"/>
    <w:rsid w:val="005F209F"/>
    <w:rsid w:val="005F20A0"/>
    <w:rsid w:val="005F227D"/>
    <w:rsid w:val="005F2458"/>
    <w:rsid w:val="005F2867"/>
    <w:rsid w:val="005F2A35"/>
    <w:rsid w:val="005F2B73"/>
    <w:rsid w:val="005F2BE5"/>
    <w:rsid w:val="005F2D9C"/>
    <w:rsid w:val="005F311D"/>
    <w:rsid w:val="005F325C"/>
    <w:rsid w:val="005F3442"/>
    <w:rsid w:val="005F3581"/>
    <w:rsid w:val="005F36FF"/>
    <w:rsid w:val="005F3747"/>
    <w:rsid w:val="005F3801"/>
    <w:rsid w:val="005F3912"/>
    <w:rsid w:val="005F3922"/>
    <w:rsid w:val="005F3CAD"/>
    <w:rsid w:val="005F41ED"/>
    <w:rsid w:val="005F42ED"/>
    <w:rsid w:val="005F43B5"/>
    <w:rsid w:val="005F43DB"/>
    <w:rsid w:val="005F46FC"/>
    <w:rsid w:val="005F4757"/>
    <w:rsid w:val="005F4B57"/>
    <w:rsid w:val="005F4BA2"/>
    <w:rsid w:val="005F5011"/>
    <w:rsid w:val="005F5423"/>
    <w:rsid w:val="005F55F8"/>
    <w:rsid w:val="005F56BD"/>
    <w:rsid w:val="005F5AB9"/>
    <w:rsid w:val="005F5B31"/>
    <w:rsid w:val="005F5C34"/>
    <w:rsid w:val="005F5E1E"/>
    <w:rsid w:val="005F5E33"/>
    <w:rsid w:val="005F5E55"/>
    <w:rsid w:val="005F689E"/>
    <w:rsid w:val="005F698C"/>
    <w:rsid w:val="005F6A54"/>
    <w:rsid w:val="005F6D5E"/>
    <w:rsid w:val="005F6D8E"/>
    <w:rsid w:val="005F6FC9"/>
    <w:rsid w:val="005F703C"/>
    <w:rsid w:val="005F7432"/>
    <w:rsid w:val="005F7827"/>
    <w:rsid w:val="005F78B4"/>
    <w:rsid w:val="005F7921"/>
    <w:rsid w:val="005F7936"/>
    <w:rsid w:val="005F7B3D"/>
    <w:rsid w:val="005F7B89"/>
    <w:rsid w:val="005F7C52"/>
    <w:rsid w:val="005F7FB4"/>
    <w:rsid w:val="006000DD"/>
    <w:rsid w:val="006000FA"/>
    <w:rsid w:val="006002CD"/>
    <w:rsid w:val="00600328"/>
    <w:rsid w:val="00600606"/>
    <w:rsid w:val="00600743"/>
    <w:rsid w:val="006007B0"/>
    <w:rsid w:val="00600947"/>
    <w:rsid w:val="00600959"/>
    <w:rsid w:val="00600D2D"/>
    <w:rsid w:val="00600F26"/>
    <w:rsid w:val="00601156"/>
    <w:rsid w:val="00601B88"/>
    <w:rsid w:val="00601F86"/>
    <w:rsid w:val="00602073"/>
    <w:rsid w:val="00602581"/>
    <w:rsid w:val="006029D6"/>
    <w:rsid w:val="006031D4"/>
    <w:rsid w:val="006034A4"/>
    <w:rsid w:val="006035FE"/>
    <w:rsid w:val="006036A8"/>
    <w:rsid w:val="00603763"/>
    <w:rsid w:val="00603969"/>
    <w:rsid w:val="00603CE5"/>
    <w:rsid w:val="00603D8A"/>
    <w:rsid w:val="006041C2"/>
    <w:rsid w:val="00604613"/>
    <w:rsid w:val="00604B28"/>
    <w:rsid w:val="00604BF5"/>
    <w:rsid w:val="00605347"/>
    <w:rsid w:val="00605B36"/>
    <w:rsid w:val="00605B79"/>
    <w:rsid w:val="00605D45"/>
    <w:rsid w:val="00605E3C"/>
    <w:rsid w:val="00605F24"/>
    <w:rsid w:val="0060636D"/>
    <w:rsid w:val="00606468"/>
    <w:rsid w:val="006066C4"/>
    <w:rsid w:val="00606A88"/>
    <w:rsid w:val="00606B27"/>
    <w:rsid w:val="00606E67"/>
    <w:rsid w:val="006070FD"/>
    <w:rsid w:val="00607D60"/>
    <w:rsid w:val="00607D6B"/>
    <w:rsid w:val="00607D96"/>
    <w:rsid w:val="006105C3"/>
    <w:rsid w:val="0061071E"/>
    <w:rsid w:val="00610A20"/>
    <w:rsid w:val="00610C6C"/>
    <w:rsid w:val="00611419"/>
    <w:rsid w:val="00611BDE"/>
    <w:rsid w:val="006127CE"/>
    <w:rsid w:val="00612C93"/>
    <w:rsid w:val="00612CCC"/>
    <w:rsid w:val="006132F0"/>
    <w:rsid w:val="00613450"/>
    <w:rsid w:val="00613E14"/>
    <w:rsid w:val="00613E8D"/>
    <w:rsid w:val="00613F5E"/>
    <w:rsid w:val="0061411C"/>
    <w:rsid w:val="006141BC"/>
    <w:rsid w:val="0061442F"/>
    <w:rsid w:val="00614525"/>
    <w:rsid w:val="00614DAA"/>
    <w:rsid w:val="00615156"/>
    <w:rsid w:val="00615A30"/>
    <w:rsid w:val="00615CA7"/>
    <w:rsid w:val="00615FBB"/>
    <w:rsid w:val="0061613F"/>
    <w:rsid w:val="006162B5"/>
    <w:rsid w:val="006162F2"/>
    <w:rsid w:val="00616362"/>
    <w:rsid w:val="006167F7"/>
    <w:rsid w:val="00616BE0"/>
    <w:rsid w:val="0061765F"/>
    <w:rsid w:val="006177F4"/>
    <w:rsid w:val="00617E3F"/>
    <w:rsid w:val="00617F3C"/>
    <w:rsid w:val="00617F44"/>
    <w:rsid w:val="006201B2"/>
    <w:rsid w:val="00620488"/>
    <w:rsid w:val="00620610"/>
    <w:rsid w:val="00620768"/>
    <w:rsid w:val="00620904"/>
    <w:rsid w:val="006209F8"/>
    <w:rsid w:val="00620A31"/>
    <w:rsid w:val="00620AB2"/>
    <w:rsid w:val="00620B2A"/>
    <w:rsid w:val="00620CE0"/>
    <w:rsid w:val="00620D26"/>
    <w:rsid w:val="00620EB5"/>
    <w:rsid w:val="00621260"/>
    <w:rsid w:val="006212DA"/>
    <w:rsid w:val="006214C8"/>
    <w:rsid w:val="006217FC"/>
    <w:rsid w:val="006217FD"/>
    <w:rsid w:val="00621986"/>
    <w:rsid w:val="0062198E"/>
    <w:rsid w:val="00621B57"/>
    <w:rsid w:val="00621C07"/>
    <w:rsid w:val="00621DD8"/>
    <w:rsid w:val="00622738"/>
    <w:rsid w:val="006228C9"/>
    <w:rsid w:val="0062295C"/>
    <w:rsid w:val="00622A3B"/>
    <w:rsid w:val="00622A87"/>
    <w:rsid w:val="00622BCC"/>
    <w:rsid w:val="00622C40"/>
    <w:rsid w:val="00622D6B"/>
    <w:rsid w:val="00623202"/>
    <w:rsid w:val="00623B05"/>
    <w:rsid w:val="00623B14"/>
    <w:rsid w:val="00624009"/>
    <w:rsid w:val="006241C4"/>
    <w:rsid w:val="006248CB"/>
    <w:rsid w:val="00624961"/>
    <w:rsid w:val="00624A47"/>
    <w:rsid w:val="0062518D"/>
    <w:rsid w:val="006251CA"/>
    <w:rsid w:val="00625659"/>
    <w:rsid w:val="00625A66"/>
    <w:rsid w:val="00625B18"/>
    <w:rsid w:val="00625F8C"/>
    <w:rsid w:val="006266E1"/>
    <w:rsid w:val="00626AAE"/>
    <w:rsid w:val="00626AFA"/>
    <w:rsid w:val="00626C19"/>
    <w:rsid w:val="00626CD7"/>
    <w:rsid w:val="00626E37"/>
    <w:rsid w:val="0062711F"/>
    <w:rsid w:val="006271AE"/>
    <w:rsid w:val="0062743C"/>
    <w:rsid w:val="00627539"/>
    <w:rsid w:val="0062754F"/>
    <w:rsid w:val="00627671"/>
    <w:rsid w:val="006277E3"/>
    <w:rsid w:val="00627A11"/>
    <w:rsid w:val="00627D65"/>
    <w:rsid w:val="00627FA6"/>
    <w:rsid w:val="00630107"/>
    <w:rsid w:val="006305B6"/>
    <w:rsid w:val="00630B87"/>
    <w:rsid w:val="00630EA1"/>
    <w:rsid w:val="00630FA9"/>
    <w:rsid w:val="00630FF6"/>
    <w:rsid w:val="00631079"/>
    <w:rsid w:val="006310D3"/>
    <w:rsid w:val="006313F7"/>
    <w:rsid w:val="006317F3"/>
    <w:rsid w:val="006318CF"/>
    <w:rsid w:val="00631FC5"/>
    <w:rsid w:val="0063204D"/>
    <w:rsid w:val="006322E8"/>
    <w:rsid w:val="006328FD"/>
    <w:rsid w:val="00632953"/>
    <w:rsid w:val="00632A72"/>
    <w:rsid w:val="00632AB1"/>
    <w:rsid w:val="00632DC6"/>
    <w:rsid w:val="00632F56"/>
    <w:rsid w:val="0063312A"/>
    <w:rsid w:val="00633A3D"/>
    <w:rsid w:val="00633AC4"/>
    <w:rsid w:val="00633BFE"/>
    <w:rsid w:val="00633DB2"/>
    <w:rsid w:val="006346FB"/>
    <w:rsid w:val="0063485E"/>
    <w:rsid w:val="006349CF"/>
    <w:rsid w:val="00634B51"/>
    <w:rsid w:val="0063501E"/>
    <w:rsid w:val="0063507B"/>
    <w:rsid w:val="0063623F"/>
    <w:rsid w:val="00636408"/>
    <w:rsid w:val="006365E3"/>
    <w:rsid w:val="00636E2F"/>
    <w:rsid w:val="006371D0"/>
    <w:rsid w:val="006373E5"/>
    <w:rsid w:val="00637570"/>
    <w:rsid w:val="00637759"/>
    <w:rsid w:val="0063793F"/>
    <w:rsid w:val="0063EBA7"/>
    <w:rsid w:val="0064002D"/>
    <w:rsid w:val="00640A64"/>
    <w:rsid w:val="00641213"/>
    <w:rsid w:val="00641249"/>
    <w:rsid w:val="006419F8"/>
    <w:rsid w:val="00641A96"/>
    <w:rsid w:val="00641B5D"/>
    <w:rsid w:val="00641B7B"/>
    <w:rsid w:val="00641FF4"/>
    <w:rsid w:val="00642001"/>
    <w:rsid w:val="006420F1"/>
    <w:rsid w:val="0064229C"/>
    <w:rsid w:val="0064278E"/>
    <w:rsid w:val="00642B3F"/>
    <w:rsid w:val="00642C70"/>
    <w:rsid w:val="0064324C"/>
    <w:rsid w:val="00643908"/>
    <w:rsid w:val="00643967"/>
    <w:rsid w:val="006440D1"/>
    <w:rsid w:val="00644478"/>
    <w:rsid w:val="006446BC"/>
    <w:rsid w:val="00644759"/>
    <w:rsid w:val="00644763"/>
    <w:rsid w:val="00644AFF"/>
    <w:rsid w:val="00644E20"/>
    <w:rsid w:val="00644F35"/>
    <w:rsid w:val="006451BD"/>
    <w:rsid w:val="00646306"/>
    <w:rsid w:val="0064636D"/>
    <w:rsid w:val="006465AA"/>
    <w:rsid w:val="00646870"/>
    <w:rsid w:val="00646911"/>
    <w:rsid w:val="00646DE1"/>
    <w:rsid w:val="00646DEE"/>
    <w:rsid w:val="00646F7A"/>
    <w:rsid w:val="006472E9"/>
    <w:rsid w:val="006475C1"/>
    <w:rsid w:val="00647B22"/>
    <w:rsid w:val="00647D26"/>
    <w:rsid w:val="00647FA6"/>
    <w:rsid w:val="00647FE9"/>
    <w:rsid w:val="006500D7"/>
    <w:rsid w:val="0065019D"/>
    <w:rsid w:val="006502CB"/>
    <w:rsid w:val="00650316"/>
    <w:rsid w:val="006504F0"/>
    <w:rsid w:val="00650613"/>
    <w:rsid w:val="00650623"/>
    <w:rsid w:val="00650688"/>
    <w:rsid w:val="00650818"/>
    <w:rsid w:val="006508D1"/>
    <w:rsid w:val="00650945"/>
    <w:rsid w:val="00650B2C"/>
    <w:rsid w:val="00650F6B"/>
    <w:rsid w:val="00650F86"/>
    <w:rsid w:val="00651533"/>
    <w:rsid w:val="0065175A"/>
    <w:rsid w:val="006517A4"/>
    <w:rsid w:val="006520C9"/>
    <w:rsid w:val="0065223D"/>
    <w:rsid w:val="006523EB"/>
    <w:rsid w:val="00652477"/>
    <w:rsid w:val="00652622"/>
    <w:rsid w:val="00652AE4"/>
    <w:rsid w:val="00652E3E"/>
    <w:rsid w:val="0065321B"/>
    <w:rsid w:val="006532F8"/>
    <w:rsid w:val="0065346D"/>
    <w:rsid w:val="00653591"/>
    <w:rsid w:val="006536DE"/>
    <w:rsid w:val="00653A27"/>
    <w:rsid w:val="00653AB5"/>
    <w:rsid w:val="00653B56"/>
    <w:rsid w:val="00653FC3"/>
    <w:rsid w:val="00653FE6"/>
    <w:rsid w:val="006541C9"/>
    <w:rsid w:val="00654977"/>
    <w:rsid w:val="00654C63"/>
    <w:rsid w:val="00654E15"/>
    <w:rsid w:val="00654F48"/>
    <w:rsid w:val="0065506F"/>
    <w:rsid w:val="0065520D"/>
    <w:rsid w:val="0065549F"/>
    <w:rsid w:val="00655627"/>
    <w:rsid w:val="00655712"/>
    <w:rsid w:val="0065644D"/>
    <w:rsid w:val="00656601"/>
    <w:rsid w:val="006566BC"/>
    <w:rsid w:val="006566D6"/>
    <w:rsid w:val="00656734"/>
    <w:rsid w:val="006567E4"/>
    <w:rsid w:val="0065682D"/>
    <w:rsid w:val="0065702B"/>
    <w:rsid w:val="0065708D"/>
    <w:rsid w:val="00657413"/>
    <w:rsid w:val="00657705"/>
    <w:rsid w:val="006578D9"/>
    <w:rsid w:val="00657ADB"/>
    <w:rsid w:val="00657C6F"/>
    <w:rsid w:val="00660136"/>
    <w:rsid w:val="006601EE"/>
    <w:rsid w:val="0066026B"/>
    <w:rsid w:val="0066038D"/>
    <w:rsid w:val="006606E0"/>
    <w:rsid w:val="0066080A"/>
    <w:rsid w:val="00660894"/>
    <w:rsid w:val="006608C2"/>
    <w:rsid w:val="006609D7"/>
    <w:rsid w:val="00660BA7"/>
    <w:rsid w:val="00660E0D"/>
    <w:rsid w:val="006610AB"/>
    <w:rsid w:val="006610DD"/>
    <w:rsid w:val="00661380"/>
    <w:rsid w:val="00661587"/>
    <w:rsid w:val="006615EB"/>
    <w:rsid w:val="00661932"/>
    <w:rsid w:val="00661F1D"/>
    <w:rsid w:val="00661FF5"/>
    <w:rsid w:val="0066212D"/>
    <w:rsid w:val="0066213E"/>
    <w:rsid w:val="00662272"/>
    <w:rsid w:val="006623B0"/>
    <w:rsid w:val="006624F6"/>
    <w:rsid w:val="0066270A"/>
    <w:rsid w:val="006630F8"/>
    <w:rsid w:val="00663789"/>
    <w:rsid w:val="006637D1"/>
    <w:rsid w:val="00663C7F"/>
    <w:rsid w:val="00664318"/>
    <w:rsid w:val="006643CF"/>
    <w:rsid w:val="006646AA"/>
    <w:rsid w:val="0066493C"/>
    <w:rsid w:val="00664FC1"/>
    <w:rsid w:val="00664FF5"/>
    <w:rsid w:val="0066562F"/>
    <w:rsid w:val="00665A7F"/>
    <w:rsid w:val="00665B6D"/>
    <w:rsid w:val="00665EB4"/>
    <w:rsid w:val="00666528"/>
    <w:rsid w:val="00666566"/>
    <w:rsid w:val="006666AB"/>
    <w:rsid w:val="00666776"/>
    <w:rsid w:val="006667C8"/>
    <w:rsid w:val="00666ADE"/>
    <w:rsid w:val="00666E88"/>
    <w:rsid w:val="006670A4"/>
    <w:rsid w:val="0066717E"/>
    <w:rsid w:val="0066751C"/>
    <w:rsid w:val="00667651"/>
    <w:rsid w:val="00667AD5"/>
    <w:rsid w:val="00667D1E"/>
    <w:rsid w:val="00667DD9"/>
    <w:rsid w:val="00667F0E"/>
    <w:rsid w:val="006701D4"/>
    <w:rsid w:val="0067040A"/>
    <w:rsid w:val="00670CBB"/>
    <w:rsid w:val="0067115B"/>
    <w:rsid w:val="00671930"/>
    <w:rsid w:val="006722E2"/>
    <w:rsid w:val="006722F6"/>
    <w:rsid w:val="0067276F"/>
    <w:rsid w:val="00672857"/>
    <w:rsid w:val="00672B5E"/>
    <w:rsid w:val="00672CAA"/>
    <w:rsid w:val="00672CF9"/>
    <w:rsid w:val="006731C6"/>
    <w:rsid w:val="00673281"/>
    <w:rsid w:val="00673804"/>
    <w:rsid w:val="00673C59"/>
    <w:rsid w:val="00673E00"/>
    <w:rsid w:val="00673EA8"/>
    <w:rsid w:val="00674419"/>
    <w:rsid w:val="006744E1"/>
    <w:rsid w:val="0067453C"/>
    <w:rsid w:val="00675426"/>
    <w:rsid w:val="0067559B"/>
    <w:rsid w:val="00675A74"/>
    <w:rsid w:val="00675BC2"/>
    <w:rsid w:val="00675FC0"/>
    <w:rsid w:val="00676011"/>
    <w:rsid w:val="00676086"/>
    <w:rsid w:val="00676A4E"/>
    <w:rsid w:val="00676AA2"/>
    <w:rsid w:val="00677034"/>
    <w:rsid w:val="00677133"/>
    <w:rsid w:val="006771A7"/>
    <w:rsid w:val="00677F3C"/>
    <w:rsid w:val="00677F7E"/>
    <w:rsid w:val="00680360"/>
    <w:rsid w:val="006804E9"/>
    <w:rsid w:val="006808BC"/>
    <w:rsid w:val="00680C6A"/>
    <w:rsid w:val="0068126D"/>
    <w:rsid w:val="00681569"/>
    <w:rsid w:val="00681608"/>
    <w:rsid w:val="00681810"/>
    <w:rsid w:val="0068190A"/>
    <w:rsid w:val="00681B0E"/>
    <w:rsid w:val="00681D71"/>
    <w:rsid w:val="00682119"/>
    <w:rsid w:val="00682192"/>
    <w:rsid w:val="0068225C"/>
    <w:rsid w:val="006822A5"/>
    <w:rsid w:val="0068260E"/>
    <w:rsid w:val="00682731"/>
    <w:rsid w:val="00682A1E"/>
    <w:rsid w:val="00682A23"/>
    <w:rsid w:val="00682DCE"/>
    <w:rsid w:val="00682F5D"/>
    <w:rsid w:val="0068345C"/>
    <w:rsid w:val="00683CDE"/>
    <w:rsid w:val="00683F49"/>
    <w:rsid w:val="00683F4A"/>
    <w:rsid w:val="00684925"/>
    <w:rsid w:val="00684DD4"/>
    <w:rsid w:val="00684DD9"/>
    <w:rsid w:val="00684F5C"/>
    <w:rsid w:val="00685315"/>
    <w:rsid w:val="006853DF"/>
    <w:rsid w:val="006858BA"/>
    <w:rsid w:val="00685B0A"/>
    <w:rsid w:val="00685B1E"/>
    <w:rsid w:val="00685D63"/>
    <w:rsid w:val="00685FE8"/>
    <w:rsid w:val="006861B0"/>
    <w:rsid w:val="00686999"/>
    <w:rsid w:val="0068782B"/>
    <w:rsid w:val="00687F8A"/>
    <w:rsid w:val="0069008C"/>
    <w:rsid w:val="0069021D"/>
    <w:rsid w:val="006909D5"/>
    <w:rsid w:val="0069112D"/>
    <w:rsid w:val="00691485"/>
    <w:rsid w:val="0069171D"/>
    <w:rsid w:val="00691A79"/>
    <w:rsid w:val="00691B2D"/>
    <w:rsid w:val="00691FBC"/>
    <w:rsid w:val="00692556"/>
    <w:rsid w:val="00692772"/>
    <w:rsid w:val="006927ED"/>
    <w:rsid w:val="00692885"/>
    <w:rsid w:val="00692891"/>
    <w:rsid w:val="00692B13"/>
    <w:rsid w:val="00692B63"/>
    <w:rsid w:val="00692CFA"/>
    <w:rsid w:val="0069311C"/>
    <w:rsid w:val="006934F8"/>
    <w:rsid w:val="0069350D"/>
    <w:rsid w:val="0069359F"/>
    <w:rsid w:val="006936F1"/>
    <w:rsid w:val="00693E00"/>
    <w:rsid w:val="00694396"/>
    <w:rsid w:val="00694586"/>
    <w:rsid w:val="00694858"/>
    <w:rsid w:val="006948BA"/>
    <w:rsid w:val="00694A1B"/>
    <w:rsid w:val="00694C5E"/>
    <w:rsid w:val="006950E7"/>
    <w:rsid w:val="0069511B"/>
    <w:rsid w:val="00695B7C"/>
    <w:rsid w:val="00695BCA"/>
    <w:rsid w:val="00695BF3"/>
    <w:rsid w:val="0069608C"/>
    <w:rsid w:val="0069642D"/>
    <w:rsid w:val="00696A1F"/>
    <w:rsid w:val="00696A81"/>
    <w:rsid w:val="006972C9"/>
    <w:rsid w:val="00697361"/>
    <w:rsid w:val="0069765B"/>
    <w:rsid w:val="006976B2"/>
    <w:rsid w:val="006976D1"/>
    <w:rsid w:val="006978E7"/>
    <w:rsid w:val="00697AC2"/>
    <w:rsid w:val="00697AC5"/>
    <w:rsid w:val="00697C79"/>
    <w:rsid w:val="00697CF8"/>
    <w:rsid w:val="006A00F5"/>
    <w:rsid w:val="006A0214"/>
    <w:rsid w:val="006A03A2"/>
    <w:rsid w:val="006A04A1"/>
    <w:rsid w:val="006A0945"/>
    <w:rsid w:val="006A136A"/>
    <w:rsid w:val="006A1A13"/>
    <w:rsid w:val="006A1D5C"/>
    <w:rsid w:val="006A21E6"/>
    <w:rsid w:val="006A231B"/>
    <w:rsid w:val="006A2740"/>
    <w:rsid w:val="006A2867"/>
    <w:rsid w:val="006A2994"/>
    <w:rsid w:val="006A2DF5"/>
    <w:rsid w:val="006A30B1"/>
    <w:rsid w:val="006A3269"/>
    <w:rsid w:val="006A329A"/>
    <w:rsid w:val="006A3983"/>
    <w:rsid w:val="006A3B2A"/>
    <w:rsid w:val="006A3FCC"/>
    <w:rsid w:val="006A4A0A"/>
    <w:rsid w:val="006A4A31"/>
    <w:rsid w:val="006A53B7"/>
    <w:rsid w:val="006A598D"/>
    <w:rsid w:val="006A5A70"/>
    <w:rsid w:val="006A5AB0"/>
    <w:rsid w:val="006A5AEA"/>
    <w:rsid w:val="006A5CF9"/>
    <w:rsid w:val="006A5EDC"/>
    <w:rsid w:val="006A62C1"/>
    <w:rsid w:val="006A636A"/>
    <w:rsid w:val="006A65B1"/>
    <w:rsid w:val="006A66A2"/>
    <w:rsid w:val="006A6F20"/>
    <w:rsid w:val="006A7311"/>
    <w:rsid w:val="006A74FB"/>
    <w:rsid w:val="006A7913"/>
    <w:rsid w:val="006A7994"/>
    <w:rsid w:val="006A7B08"/>
    <w:rsid w:val="006A7F5C"/>
    <w:rsid w:val="006B0069"/>
    <w:rsid w:val="006B00C7"/>
    <w:rsid w:val="006B041D"/>
    <w:rsid w:val="006B054A"/>
    <w:rsid w:val="006B0661"/>
    <w:rsid w:val="006B0C34"/>
    <w:rsid w:val="006B0D17"/>
    <w:rsid w:val="006B0E17"/>
    <w:rsid w:val="006B0F75"/>
    <w:rsid w:val="006B1083"/>
    <w:rsid w:val="006B10EA"/>
    <w:rsid w:val="006B1292"/>
    <w:rsid w:val="006B12C2"/>
    <w:rsid w:val="006B14E3"/>
    <w:rsid w:val="006B1729"/>
    <w:rsid w:val="006B19DF"/>
    <w:rsid w:val="006B1B39"/>
    <w:rsid w:val="006B1BB7"/>
    <w:rsid w:val="006B1C58"/>
    <w:rsid w:val="006B1DC0"/>
    <w:rsid w:val="006B208B"/>
    <w:rsid w:val="006B20B2"/>
    <w:rsid w:val="006B275C"/>
    <w:rsid w:val="006B2782"/>
    <w:rsid w:val="006B295C"/>
    <w:rsid w:val="006B2E84"/>
    <w:rsid w:val="006B30AD"/>
    <w:rsid w:val="006B35CC"/>
    <w:rsid w:val="006B368B"/>
    <w:rsid w:val="006B3BFC"/>
    <w:rsid w:val="006B3CFE"/>
    <w:rsid w:val="006B3FEB"/>
    <w:rsid w:val="006B410B"/>
    <w:rsid w:val="006B4CBC"/>
    <w:rsid w:val="006B4D29"/>
    <w:rsid w:val="006B4ED1"/>
    <w:rsid w:val="006B52FF"/>
    <w:rsid w:val="006B5611"/>
    <w:rsid w:val="006B588B"/>
    <w:rsid w:val="006B58D3"/>
    <w:rsid w:val="006B5919"/>
    <w:rsid w:val="006B5966"/>
    <w:rsid w:val="006B5D93"/>
    <w:rsid w:val="006B6052"/>
    <w:rsid w:val="006B60C7"/>
    <w:rsid w:val="006B6129"/>
    <w:rsid w:val="006B61DC"/>
    <w:rsid w:val="006B6299"/>
    <w:rsid w:val="006B6371"/>
    <w:rsid w:val="006B6418"/>
    <w:rsid w:val="006B677B"/>
    <w:rsid w:val="006B68C0"/>
    <w:rsid w:val="006B697A"/>
    <w:rsid w:val="006B6A2C"/>
    <w:rsid w:val="006B6BED"/>
    <w:rsid w:val="006B7572"/>
    <w:rsid w:val="006B77C3"/>
    <w:rsid w:val="006B78C5"/>
    <w:rsid w:val="006B7986"/>
    <w:rsid w:val="006B7ABD"/>
    <w:rsid w:val="006B7B20"/>
    <w:rsid w:val="006B7B37"/>
    <w:rsid w:val="006B7B63"/>
    <w:rsid w:val="006B7DDE"/>
    <w:rsid w:val="006B7E70"/>
    <w:rsid w:val="006C0034"/>
    <w:rsid w:val="006C006D"/>
    <w:rsid w:val="006C02F4"/>
    <w:rsid w:val="006C06BF"/>
    <w:rsid w:val="006C094C"/>
    <w:rsid w:val="006C096A"/>
    <w:rsid w:val="006C0CEC"/>
    <w:rsid w:val="006C16E4"/>
    <w:rsid w:val="006C1B61"/>
    <w:rsid w:val="006C1B7C"/>
    <w:rsid w:val="006C1EDE"/>
    <w:rsid w:val="006C21AF"/>
    <w:rsid w:val="006C2520"/>
    <w:rsid w:val="006C2A0A"/>
    <w:rsid w:val="006C2AB9"/>
    <w:rsid w:val="006C2B84"/>
    <w:rsid w:val="006C2BF9"/>
    <w:rsid w:val="006C2DE5"/>
    <w:rsid w:val="006C2F13"/>
    <w:rsid w:val="006C2F82"/>
    <w:rsid w:val="006C302E"/>
    <w:rsid w:val="006C3296"/>
    <w:rsid w:val="006C33A3"/>
    <w:rsid w:val="006C364B"/>
    <w:rsid w:val="006C3AEA"/>
    <w:rsid w:val="006C3BCC"/>
    <w:rsid w:val="006C3DED"/>
    <w:rsid w:val="006C3F96"/>
    <w:rsid w:val="006C448A"/>
    <w:rsid w:val="006C44BC"/>
    <w:rsid w:val="006C460B"/>
    <w:rsid w:val="006C463B"/>
    <w:rsid w:val="006C49A5"/>
    <w:rsid w:val="006C4B3B"/>
    <w:rsid w:val="006C51B0"/>
    <w:rsid w:val="006C5278"/>
    <w:rsid w:val="006C577F"/>
    <w:rsid w:val="006C579E"/>
    <w:rsid w:val="006C58E0"/>
    <w:rsid w:val="006C5F2A"/>
    <w:rsid w:val="006C665B"/>
    <w:rsid w:val="006C665F"/>
    <w:rsid w:val="006C66CE"/>
    <w:rsid w:val="006C6E11"/>
    <w:rsid w:val="006C730C"/>
    <w:rsid w:val="006C7451"/>
    <w:rsid w:val="006C7704"/>
    <w:rsid w:val="006C7739"/>
    <w:rsid w:val="006C79B0"/>
    <w:rsid w:val="006D006A"/>
    <w:rsid w:val="006D04E6"/>
    <w:rsid w:val="006D0590"/>
    <w:rsid w:val="006D0C82"/>
    <w:rsid w:val="006D0DDF"/>
    <w:rsid w:val="006D1224"/>
    <w:rsid w:val="006D15EA"/>
    <w:rsid w:val="006D1608"/>
    <w:rsid w:val="006D19DA"/>
    <w:rsid w:val="006D1B0A"/>
    <w:rsid w:val="006D1DF1"/>
    <w:rsid w:val="006D2273"/>
    <w:rsid w:val="006D22D5"/>
    <w:rsid w:val="006D264E"/>
    <w:rsid w:val="006D2DF0"/>
    <w:rsid w:val="006D3148"/>
    <w:rsid w:val="006D317D"/>
    <w:rsid w:val="006D3281"/>
    <w:rsid w:val="006D3FBE"/>
    <w:rsid w:val="006D4778"/>
    <w:rsid w:val="006D4A68"/>
    <w:rsid w:val="006D4CE7"/>
    <w:rsid w:val="006D4F6C"/>
    <w:rsid w:val="006D5093"/>
    <w:rsid w:val="006D5370"/>
    <w:rsid w:val="006D54E3"/>
    <w:rsid w:val="006D648C"/>
    <w:rsid w:val="006D6901"/>
    <w:rsid w:val="006D69C4"/>
    <w:rsid w:val="006D6BA9"/>
    <w:rsid w:val="006D6C52"/>
    <w:rsid w:val="006D6DAB"/>
    <w:rsid w:val="006D6F50"/>
    <w:rsid w:val="006D703B"/>
    <w:rsid w:val="006D7058"/>
    <w:rsid w:val="006D74F0"/>
    <w:rsid w:val="006D7602"/>
    <w:rsid w:val="006D7862"/>
    <w:rsid w:val="006D7959"/>
    <w:rsid w:val="006D7A87"/>
    <w:rsid w:val="006D7D6B"/>
    <w:rsid w:val="006E0366"/>
    <w:rsid w:val="006E03B1"/>
    <w:rsid w:val="006E0604"/>
    <w:rsid w:val="006E0D5B"/>
    <w:rsid w:val="006E1070"/>
    <w:rsid w:val="006E1136"/>
    <w:rsid w:val="006E122F"/>
    <w:rsid w:val="006E1733"/>
    <w:rsid w:val="006E1764"/>
    <w:rsid w:val="006E1CB1"/>
    <w:rsid w:val="006E1F75"/>
    <w:rsid w:val="006E2214"/>
    <w:rsid w:val="006E24DF"/>
    <w:rsid w:val="006E2547"/>
    <w:rsid w:val="006E27B9"/>
    <w:rsid w:val="006E27EE"/>
    <w:rsid w:val="006E29C3"/>
    <w:rsid w:val="006E2C01"/>
    <w:rsid w:val="006E2C95"/>
    <w:rsid w:val="006E2CDD"/>
    <w:rsid w:val="006E2F2D"/>
    <w:rsid w:val="006E2FFD"/>
    <w:rsid w:val="006E308C"/>
    <w:rsid w:val="006E3116"/>
    <w:rsid w:val="006E31FA"/>
    <w:rsid w:val="006E331B"/>
    <w:rsid w:val="006E3388"/>
    <w:rsid w:val="006E36CC"/>
    <w:rsid w:val="006E386F"/>
    <w:rsid w:val="006E398E"/>
    <w:rsid w:val="006E39AA"/>
    <w:rsid w:val="006E3CB5"/>
    <w:rsid w:val="006E3EDA"/>
    <w:rsid w:val="006E3F53"/>
    <w:rsid w:val="006E422B"/>
    <w:rsid w:val="006E44B3"/>
    <w:rsid w:val="006E4A14"/>
    <w:rsid w:val="006E4B7D"/>
    <w:rsid w:val="006E51B3"/>
    <w:rsid w:val="006E5395"/>
    <w:rsid w:val="006E5468"/>
    <w:rsid w:val="006E548C"/>
    <w:rsid w:val="006E5C07"/>
    <w:rsid w:val="006E5C16"/>
    <w:rsid w:val="006E5C5E"/>
    <w:rsid w:val="006E5F7D"/>
    <w:rsid w:val="006E61EA"/>
    <w:rsid w:val="006E6589"/>
    <w:rsid w:val="006E65AC"/>
    <w:rsid w:val="006E6779"/>
    <w:rsid w:val="006E682A"/>
    <w:rsid w:val="006E6AAA"/>
    <w:rsid w:val="006E6AB2"/>
    <w:rsid w:val="006E6B6C"/>
    <w:rsid w:val="006E6D37"/>
    <w:rsid w:val="006E6DA7"/>
    <w:rsid w:val="006E6E12"/>
    <w:rsid w:val="006E77BE"/>
    <w:rsid w:val="006E79CB"/>
    <w:rsid w:val="006F009B"/>
    <w:rsid w:val="006F0F1D"/>
    <w:rsid w:val="006F115B"/>
    <w:rsid w:val="006F1325"/>
    <w:rsid w:val="006F1461"/>
    <w:rsid w:val="006F19C2"/>
    <w:rsid w:val="006F1A79"/>
    <w:rsid w:val="006F1B14"/>
    <w:rsid w:val="006F1B90"/>
    <w:rsid w:val="006F1D25"/>
    <w:rsid w:val="006F2196"/>
    <w:rsid w:val="006F25EC"/>
    <w:rsid w:val="006F2605"/>
    <w:rsid w:val="006F27E1"/>
    <w:rsid w:val="006F2FA2"/>
    <w:rsid w:val="006F3000"/>
    <w:rsid w:val="006F306C"/>
    <w:rsid w:val="006F3092"/>
    <w:rsid w:val="006F31C1"/>
    <w:rsid w:val="006F328E"/>
    <w:rsid w:val="006F3344"/>
    <w:rsid w:val="006F336A"/>
    <w:rsid w:val="006F3431"/>
    <w:rsid w:val="006F36D2"/>
    <w:rsid w:val="006F3EC3"/>
    <w:rsid w:val="006F446D"/>
    <w:rsid w:val="006F4634"/>
    <w:rsid w:val="006F47C0"/>
    <w:rsid w:val="006F4DF5"/>
    <w:rsid w:val="006F5806"/>
    <w:rsid w:val="006F59B3"/>
    <w:rsid w:val="006F5B27"/>
    <w:rsid w:val="006F5B8F"/>
    <w:rsid w:val="006F5F1F"/>
    <w:rsid w:val="006F632D"/>
    <w:rsid w:val="006F643F"/>
    <w:rsid w:val="006F65AF"/>
    <w:rsid w:val="006F694F"/>
    <w:rsid w:val="006F6C07"/>
    <w:rsid w:val="006F6DFB"/>
    <w:rsid w:val="006F6ED5"/>
    <w:rsid w:val="006F70B3"/>
    <w:rsid w:val="006F751A"/>
    <w:rsid w:val="006F7520"/>
    <w:rsid w:val="006F7670"/>
    <w:rsid w:val="006F77B7"/>
    <w:rsid w:val="006F7B75"/>
    <w:rsid w:val="007003C9"/>
    <w:rsid w:val="0070087E"/>
    <w:rsid w:val="007008CB"/>
    <w:rsid w:val="007009D8"/>
    <w:rsid w:val="00700BC9"/>
    <w:rsid w:val="00700CF0"/>
    <w:rsid w:val="00700FFB"/>
    <w:rsid w:val="00701210"/>
    <w:rsid w:val="0070192D"/>
    <w:rsid w:val="007021BA"/>
    <w:rsid w:val="007022B6"/>
    <w:rsid w:val="00702992"/>
    <w:rsid w:val="0070299A"/>
    <w:rsid w:val="00702CB5"/>
    <w:rsid w:val="00702F91"/>
    <w:rsid w:val="00703260"/>
    <w:rsid w:val="00703337"/>
    <w:rsid w:val="0070381D"/>
    <w:rsid w:val="00703820"/>
    <w:rsid w:val="00703D31"/>
    <w:rsid w:val="00703D4C"/>
    <w:rsid w:val="00704853"/>
    <w:rsid w:val="0070491F"/>
    <w:rsid w:val="0070550F"/>
    <w:rsid w:val="00705A26"/>
    <w:rsid w:val="00705AD5"/>
    <w:rsid w:val="00705CF7"/>
    <w:rsid w:val="00706018"/>
    <w:rsid w:val="00706A3A"/>
    <w:rsid w:val="00706FD1"/>
    <w:rsid w:val="00707223"/>
    <w:rsid w:val="00707535"/>
    <w:rsid w:val="00707637"/>
    <w:rsid w:val="0070771E"/>
    <w:rsid w:val="00707B42"/>
    <w:rsid w:val="00707B85"/>
    <w:rsid w:val="007100CA"/>
    <w:rsid w:val="007102B1"/>
    <w:rsid w:val="0071053C"/>
    <w:rsid w:val="00710DAA"/>
    <w:rsid w:val="00710F80"/>
    <w:rsid w:val="00711364"/>
    <w:rsid w:val="00711473"/>
    <w:rsid w:val="007115FD"/>
    <w:rsid w:val="007117F1"/>
    <w:rsid w:val="00711E03"/>
    <w:rsid w:val="00711E19"/>
    <w:rsid w:val="00711F4B"/>
    <w:rsid w:val="00712085"/>
    <w:rsid w:val="00712271"/>
    <w:rsid w:val="00712386"/>
    <w:rsid w:val="007127B5"/>
    <w:rsid w:val="00712AC0"/>
    <w:rsid w:val="00712C1E"/>
    <w:rsid w:val="00712D81"/>
    <w:rsid w:val="007130B8"/>
    <w:rsid w:val="0071344F"/>
    <w:rsid w:val="007136E5"/>
    <w:rsid w:val="007136E6"/>
    <w:rsid w:val="00713C26"/>
    <w:rsid w:val="00713F0D"/>
    <w:rsid w:val="00713FAB"/>
    <w:rsid w:val="00713FD3"/>
    <w:rsid w:val="00714451"/>
    <w:rsid w:val="0071492A"/>
    <w:rsid w:val="007154DE"/>
    <w:rsid w:val="00715502"/>
    <w:rsid w:val="00715645"/>
    <w:rsid w:val="00715737"/>
    <w:rsid w:val="0071573D"/>
    <w:rsid w:val="00715A79"/>
    <w:rsid w:val="00715B28"/>
    <w:rsid w:val="00715EDD"/>
    <w:rsid w:val="007160E7"/>
    <w:rsid w:val="0071663D"/>
    <w:rsid w:val="007168FB"/>
    <w:rsid w:val="007168FC"/>
    <w:rsid w:val="00716939"/>
    <w:rsid w:val="00716AAE"/>
    <w:rsid w:val="00716B54"/>
    <w:rsid w:val="00716CA5"/>
    <w:rsid w:val="007170C4"/>
    <w:rsid w:val="007175FA"/>
    <w:rsid w:val="007177A7"/>
    <w:rsid w:val="007178C6"/>
    <w:rsid w:val="00717B18"/>
    <w:rsid w:val="00717C92"/>
    <w:rsid w:val="00717EDC"/>
    <w:rsid w:val="00720287"/>
    <w:rsid w:val="007202C5"/>
    <w:rsid w:val="0072046A"/>
    <w:rsid w:val="00720482"/>
    <w:rsid w:val="00720659"/>
    <w:rsid w:val="007206A7"/>
    <w:rsid w:val="00720A0C"/>
    <w:rsid w:val="00720BCA"/>
    <w:rsid w:val="00720E35"/>
    <w:rsid w:val="007211B0"/>
    <w:rsid w:val="0072121B"/>
    <w:rsid w:val="0072175F"/>
    <w:rsid w:val="00721AFB"/>
    <w:rsid w:val="00721B1A"/>
    <w:rsid w:val="00721C4B"/>
    <w:rsid w:val="00721E57"/>
    <w:rsid w:val="00722010"/>
    <w:rsid w:val="0072221F"/>
    <w:rsid w:val="007225A2"/>
    <w:rsid w:val="007226C6"/>
    <w:rsid w:val="007227FB"/>
    <w:rsid w:val="00722D43"/>
    <w:rsid w:val="00723087"/>
    <w:rsid w:val="007230D8"/>
    <w:rsid w:val="0072349C"/>
    <w:rsid w:val="00723639"/>
    <w:rsid w:val="00723AF6"/>
    <w:rsid w:val="00723B3A"/>
    <w:rsid w:val="00723C3B"/>
    <w:rsid w:val="00723CD5"/>
    <w:rsid w:val="00723F4E"/>
    <w:rsid w:val="00723F8E"/>
    <w:rsid w:val="0072422A"/>
    <w:rsid w:val="00724425"/>
    <w:rsid w:val="007247A3"/>
    <w:rsid w:val="00724C4A"/>
    <w:rsid w:val="00724DC3"/>
    <w:rsid w:val="00725C9E"/>
    <w:rsid w:val="00725E10"/>
    <w:rsid w:val="00725E1F"/>
    <w:rsid w:val="0072616C"/>
    <w:rsid w:val="00726692"/>
    <w:rsid w:val="007268EB"/>
    <w:rsid w:val="00726A2B"/>
    <w:rsid w:val="00726B85"/>
    <w:rsid w:val="00726D35"/>
    <w:rsid w:val="00726DA3"/>
    <w:rsid w:val="00726DEE"/>
    <w:rsid w:val="00726E16"/>
    <w:rsid w:val="00726E51"/>
    <w:rsid w:val="00726F7D"/>
    <w:rsid w:val="00726FD9"/>
    <w:rsid w:val="0072712E"/>
    <w:rsid w:val="0072765F"/>
    <w:rsid w:val="0072792A"/>
    <w:rsid w:val="00727BFA"/>
    <w:rsid w:val="0073012C"/>
    <w:rsid w:val="007301CE"/>
    <w:rsid w:val="0073031E"/>
    <w:rsid w:val="007303EA"/>
    <w:rsid w:val="007304B1"/>
    <w:rsid w:val="00730C35"/>
    <w:rsid w:val="00730DB6"/>
    <w:rsid w:val="007310BB"/>
    <w:rsid w:val="007310E2"/>
    <w:rsid w:val="00731445"/>
    <w:rsid w:val="0073146F"/>
    <w:rsid w:val="007316A8"/>
    <w:rsid w:val="007318F4"/>
    <w:rsid w:val="007322D2"/>
    <w:rsid w:val="007323D0"/>
    <w:rsid w:val="007324B8"/>
    <w:rsid w:val="007324E7"/>
    <w:rsid w:val="007328AF"/>
    <w:rsid w:val="007328B5"/>
    <w:rsid w:val="00732B6F"/>
    <w:rsid w:val="00732D4E"/>
    <w:rsid w:val="00732EB2"/>
    <w:rsid w:val="00733043"/>
    <w:rsid w:val="00733200"/>
    <w:rsid w:val="00733311"/>
    <w:rsid w:val="007334E4"/>
    <w:rsid w:val="00733B2D"/>
    <w:rsid w:val="00733C07"/>
    <w:rsid w:val="00733CB9"/>
    <w:rsid w:val="00733DC2"/>
    <w:rsid w:val="00733F6D"/>
    <w:rsid w:val="00734002"/>
    <w:rsid w:val="00734112"/>
    <w:rsid w:val="00734587"/>
    <w:rsid w:val="007345B2"/>
    <w:rsid w:val="00734787"/>
    <w:rsid w:val="00734ABA"/>
    <w:rsid w:val="0073513A"/>
    <w:rsid w:val="00735B4C"/>
    <w:rsid w:val="00735BF0"/>
    <w:rsid w:val="00735DBF"/>
    <w:rsid w:val="00735F15"/>
    <w:rsid w:val="007366D5"/>
    <w:rsid w:val="007368E3"/>
    <w:rsid w:val="00736BBD"/>
    <w:rsid w:val="00736C31"/>
    <w:rsid w:val="00736EF2"/>
    <w:rsid w:val="00736FE3"/>
    <w:rsid w:val="007371B3"/>
    <w:rsid w:val="007374F9"/>
    <w:rsid w:val="00737640"/>
    <w:rsid w:val="00737666"/>
    <w:rsid w:val="007377DA"/>
    <w:rsid w:val="00737884"/>
    <w:rsid w:val="007378B5"/>
    <w:rsid w:val="00737AF9"/>
    <w:rsid w:val="00737D78"/>
    <w:rsid w:val="00737DDD"/>
    <w:rsid w:val="00737F5C"/>
    <w:rsid w:val="0073E80A"/>
    <w:rsid w:val="0074014C"/>
    <w:rsid w:val="00740726"/>
    <w:rsid w:val="007409E5"/>
    <w:rsid w:val="00740E9B"/>
    <w:rsid w:val="00740FB6"/>
    <w:rsid w:val="0074119C"/>
    <w:rsid w:val="007416FD"/>
    <w:rsid w:val="0074175F"/>
    <w:rsid w:val="0074196D"/>
    <w:rsid w:val="00741A2D"/>
    <w:rsid w:val="0074216B"/>
    <w:rsid w:val="007423D2"/>
    <w:rsid w:val="00742411"/>
    <w:rsid w:val="0074250A"/>
    <w:rsid w:val="00742D32"/>
    <w:rsid w:val="00743046"/>
    <w:rsid w:val="00743054"/>
    <w:rsid w:val="00743136"/>
    <w:rsid w:val="007438AE"/>
    <w:rsid w:val="00744228"/>
    <w:rsid w:val="00744BA6"/>
    <w:rsid w:val="00744D21"/>
    <w:rsid w:val="00744EB4"/>
    <w:rsid w:val="00744FAB"/>
    <w:rsid w:val="00745055"/>
    <w:rsid w:val="007454B8"/>
    <w:rsid w:val="00745511"/>
    <w:rsid w:val="0074559D"/>
    <w:rsid w:val="0074566B"/>
    <w:rsid w:val="00745689"/>
    <w:rsid w:val="00745AE6"/>
    <w:rsid w:val="00745CC0"/>
    <w:rsid w:val="00745E9F"/>
    <w:rsid w:val="00745FCE"/>
    <w:rsid w:val="00745FDF"/>
    <w:rsid w:val="0074651F"/>
    <w:rsid w:val="0074679A"/>
    <w:rsid w:val="00746A2C"/>
    <w:rsid w:val="00746A43"/>
    <w:rsid w:val="00746AD3"/>
    <w:rsid w:val="007472BC"/>
    <w:rsid w:val="0074759B"/>
    <w:rsid w:val="00747803"/>
    <w:rsid w:val="00747873"/>
    <w:rsid w:val="007479BA"/>
    <w:rsid w:val="00747A85"/>
    <w:rsid w:val="00747D74"/>
    <w:rsid w:val="00747ECE"/>
    <w:rsid w:val="00750802"/>
    <w:rsid w:val="0075089A"/>
    <w:rsid w:val="00750EC8"/>
    <w:rsid w:val="00750F19"/>
    <w:rsid w:val="0075111E"/>
    <w:rsid w:val="007514A5"/>
    <w:rsid w:val="00751699"/>
    <w:rsid w:val="007518B4"/>
    <w:rsid w:val="0075218B"/>
    <w:rsid w:val="0075221C"/>
    <w:rsid w:val="00752866"/>
    <w:rsid w:val="00752B29"/>
    <w:rsid w:val="00752CE2"/>
    <w:rsid w:val="00752F17"/>
    <w:rsid w:val="00753064"/>
    <w:rsid w:val="0075347E"/>
    <w:rsid w:val="00753B95"/>
    <w:rsid w:val="00753BB7"/>
    <w:rsid w:val="00753DC5"/>
    <w:rsid w:val="0075419C"/>
    <w:rsid w:val="00754285"/>
    <w:rsid w:val="007546ED"/>
    <w:rsid w:val="00754787"/>
    <w:rsid w:val="00754AB9"/>
    <w:rsid w:val="00754B20"/>
    <w:rsid w:val="007553EF"/>
    <w:rsid w:val="00755478"/>
    <w:rsid w:val="007554D7"/>
    <w:rsid w:val="00755690"/>
    <w:rsid w:val="007556AB"/>
    <w:rsid w:val="007557CC"/>
    <w:rsid w:val="0075583E"/>
    <w:rsid w:val="0075586D"/>
    <w:rsid w:val="00755A25"/>
    <w:rsid w:val="00755F11"/>
    <w:rsid w:val="00755F9D"/>
    <w:rsid w:val="00756082"/>
    <w:rsid w:val="00756398"/>
    <w:rsid w:val="007564A9"/>
    <w:rsid w:val="0075665D"/>
    <w:rsid w:val="0075678F"/>
    <w:rsid w:val="00756F51"/>
    <w:rsid w:val="00756FB3"/>
    <w:rsid w:val="0075707F"/>
    <w:rsid w:val="0075796A"/>
    <w:rsid w:val="00757ACD"/>
    <w:rsid w:val="00757B8D"/>
    <w:rsid w:val="00757CB0"/>
    <w:rsid w:val="00757D2C"/>
    <w:rsid w:val="00757D6A"/>
    <w:rsid w:val="00760069"/>
    <w:rsid w:val="00760255"/>
    <w:rsid w:val="007608C8"/>
    <w:rsid w:val="00760938"/>
    <w:rsid w:val="00760B81"/>
    <w:rsid w:val="00760B8A"/>
    <w:rsid w:val="00760E4A"/>
    <w:rsid w:val="00761242"/>
    <w:rsid w:val="0076138B"/>
    <w:rsid w:val="007615AD"/>
    <w:rsid w:val="00761CB0"/>
    <w:rsid w:val="00761D0F"/>
    <w:rsid w:val="0076208A"/>
    <w:rsid w:val="00762534"/>
    <w:rsid w:val="00762640"/>
    <w:rsid w:val="00762862"/>
    <w:rsid w:val="00762881"/>
    <w:rsid w:val="00762BB3"/>
    <w:rsid w:val="00762BDD"/>
    <w:rsid w:val="00762CC1"/>
    <w:rsid w:val="00762D2F"/>
    <w:rsid w:val="00762DF5"/>
    <w:rsid w:val="00762E08"/>
    <w:rsid w:val="007631EF"/>
    <w:rsid w:val="00763351"/>
    <w:rsid w:val="0076341A"/>
    <w:rsid w:val="0076366B"/>
    <w:rsid w:val="0076385B"/>
    <w:rsid w:val="007639F2"/>
    <w:rsid w:val="00763CE9"/>
    <w:rsid w:val="00763D35"/>
    <w:rsid w:val="00763EAB"/>
    <w:rsid w:val="0076408E"/>
    <w:rsid w:val="0076412D"/>
    <w:rsid w:val="00764135"/>
    <w:rsid w:val="0076458C"/>
    <w:rsid w:val="007645CD"/>
    <w:rsid w:val="007648EE"/>
    <w:rsid w:val="00764D4C"/>
    <w:rsid w:val="00765120"/>
    <w:rsid w:val="0076514C"/>
    <w:rsid w:val="00765220"/>
    <w:rsid w:val="00765E1B"/>
    <w:rsid w:val="00765F06"/>
    <w:rsid w:val="007661AE"/>
    <w:rsid w:val="00766306"/>
    <w:rsid w:val="0076644A"/>
    <w:rsid w:val="007666E1"/>
    <w:rsid w:val="00766A2D"/>
    <w:rsid w:val="00766BD1"/>
    <w:rsid w:val="00766FF1"/>
    <w:rsid w:val="0076750D"/>
    <w:rsid w:val="00767626"/>
    <w:rsid w:val="00767B43"/>
    <w:rsid w:val="00767C3A"/>
    <w:rsid w:val="007700B5"/>
    <w:rsid w:val="00770109"/>
    <w:rsid w:val="00770508"/>
    <w:rsid w:val="007705F0"/>
    <w:rsid w:val="00770DD6"/>
    <w:rsid w:val="00771241"/>
    <w:rsid w:val="007712E2"/>
    <w:rsid w:val="00771E87"/>
    <w:rsid w:val="0077210A"/>
    <w:rsid w:val="00772262"/>
    <w:rsid w:val="007725D1"/>
    <w:rsid w:val="00772839"/>
    <w:rsid w:val="007728F1"/>
    <w:rsid w:val="00772B7F"/>
    <w:rsid w:val="0077324A"/>
    <w:rsid w:val="0077357A"/>
    <w:rsid w:val="00773888"/>
    <w:rsid w:val="0077396D"/>
    <w:rsid w:val="00773A59"/>
    <w:rsid w:val="00773ECA"/>
    <w:rsid w:val="00773FA6"/>
    <w:rsid w:val="007742C5"/>
    <w:rsid w:val="007743CE"/>
    <w:rsid w:val="0077444F"/>
    <w:rsid w:val="007746E8"/>
    <w:rsid w:val="007747E6"/>
    <w:rsid w:val="007748C6"/>
    <w:rsid w:val="00774A1A"/>
    <w:rsid w:val="00774A71"/>
    <w:rsid w:val="00774AEF"/>
    <w:rsid w:val="00774B7D"/>
    <w:rsid w:val="00774F11"/>
    <w:rsid w:val="00774F1A"/>
    <w:rsid w:val="00775045"/>
    <w:rsid w:val="0077512D"/>
    <w:rsid w:val="0077518C"/>
    <w:rsid w:val="007752BF"/>
    <w:rsid w:val="00775401"/>
    <w:rsid w:val="00775542"/>
    <w:rsid w:val="0077590A"/>
    <w:rsid w:val="00775B9C"/>
    <w:rsid w:val="00775D47"/>
    <w:rsid w:val="00775F25"/>
    <w:rsid w:val="00775FCF"/>
    <w:rsid w:val="0077609E"/>
    <w:rsid w:val="0077646A"/>
    <w:rsid w:val="00776997"/>
    <w:rsid w:val="00776B60"/>
    <w:rsid w:val="00776C95"/>
    <w:rsid w:val="00777088"/>
    <w:rsid w:val="007771BF"/>
    <w:rsid w:val="007775E2"/>
    <w:rsid w:val="0077768C"/>
    <w:rsid w:val="00777B42"/>
    <w:rsid w:val="00777D6A"/>
    <w:rsid w:val="00780033"/>
    <w:rsid w:val="00780305"/>
    <w:rsid w:val="00781288"/>
    <w:rsid w:val="007813EF"/>
    <w:rsid w:val="0078154F"/>
    <w:rsid w:val="00781EFF"/>
    <w:rsid w:val="0078231E"/>
    <w:rsid w:val="00782490"/>
    <w:rsid w:val="007826E2"/>
    <w:rsid w:val="007828D2"/>
    <w:rsid w:val="007829CB"/>
    <w:rsid w:val="00782D66"/>
    <w:rsid w:val="00782DB7"/>
    <w:rsid w:val="00783303"/>
    <w:rsid w:val="0078372D"/>
    <w:rsid w:val="0078394D"/>
    <w:rsid w:val="00783A18"/>
    <w:rsid w:val="00783E26"/>
    <w:rsid w:val="00783E2D"/>
    <w:rsid w:val="007841D7"/>
    <w:rsid w:val="00784410"/>
    <w:rsid w:val="00784448"/>
    <w:rsid w:val="0078449F"/>
    <w:rsid w:val="0078455A"/>
    <w:rsid w:val="00784935"/>
    <w:rsid w:val="00784A26"/>
    <w:rsid w:val="00784AB5"/>
    <w:rsid w:val="00784C42"/>
    <w:rsid w:val="00784D2D"/>
    <w:rsid w:val="00785036"/>
    <w:rsid w:val="007850DA"/>
    <w:rsid w:val="00785238"/>
    <w:rsid w:val="0078564C"/>
    <w:rsid w:val="007857B0"/>
    <w:rsid w:val="007859FF"/>
    <w:rsid w:val="00785B2B"/>
    <w:rsid w:val="00785BA3"/>
    <w:rsid w:val="00785E8C"/>
    <w:rsid w:val="00785F3A"/>
    <w:rsid w:val="007862B8"/>
    <w:rsid w:val="0078660C"/>
    <w:rsid w:val="00786701"/>
    <w:rsid w:val="00786962"/>
    <w:rsid w:val="00786B5B"/>
    <w:rsid w:val="00786DB9"/>
    <w:rsid w:val="00787460"/>
    <w:rsid w:val="00790962"/>
    <w:rsid w:val="007909A4"/>
    <w:rsid w:val="00790F4D"/>
    <w:rsid w:val="00790FCD"/>
    <w:rsid w:val="00791163"/>
    <w:rsid w:val="00792034"/>
    <w:rsid w:val="007920E0"/>
    <w:rsid w:val="007927C9"/>
    <w:rsid w:val="00792E1D"/>
    <w:rsid w:val="00792E72"/>
    <w:rsid w:val="007932C6"/>
    <w:rsid w:val="00793755"/>
    <w:rsid w:val="00793A60"/>
    <w:rsid w:val="00793A99"/>
    <w:rsid w:val="00793CD1"/>
    <w:rsid w:val="00794040"/>
    <w:rsid w:val="007940B6"/>
    <w:rsid w:val="00794410"/>
    <w:rsid w:val="00794423"/>
    <w:rsid w:val="0079443D"/>
    <w:rsid w:val="00794639"/>
    <w:rsid w:val="00794CA2"/>
    <w:rsid w:val="007954CE"/>
    <w:rsid w:val="00795D65"/>
    <w:rsid w:val="00795FA3"/>
    <w:rsid w:val="0079647B"/>
    <w:rsid w:val="00796DA2"/>
    <w:rsid w:val="00796DB2"/>
    <w:rsid w:val="00797184"/>
    <w:rsid w:val="007976D8"/>
    <w:rsid w:val="00797743"/>
    <w:rsid w:val="007979A7"/>
    <w:rsid w:val="00797C47"/>
    <w:rsid w:val="00797C64"/>
    <w:rsid w:val="00797F0D"/>
    <w:rsid w:val="007A01EA"/>
    <w:rsid w:val="007A0507"/>
    <w:rsid w:val="007A066A"/>
    <w:rsid w:val="007A0961"/>
    <w:rsid w:val="007A120B"/>
    <w:rsid w:val="007A1580"/>
    <w:rsid w:val="007A1775"/>
    <w:rsid w:val="007A182B"/>
    <w:rsid w:val="007A1B79"/>
    <w:rsid w:val="007A1D55"/>
    <w:rsid w:val="007A1E26"/>
    <w:rsid w:val="007A1E38"/>
    <w:rsid w:val="007A22EF"/>
    <w:rsid w:val="007A2A4F"/>
    <w:rsid w:val="007A2C73"/>
    <w:rsid w:val="007A32E9"/>
    <w:rsid w:val="007A332C"/>
    <w:rsid w:val="007A358B"/>
    <w:rsid w:val="007A3767"/>
    <w:rsid w:val="007A378C"/>
    <w:rsid w:val="007A37CC"/>
    <w:rsid w:val="007A3F61"/>
    <w:rsid w:val="007A415F"/>
    <w:rsid w:val="007A42CB"/>
    <w:rsid w:val="007A430C"/>
    <w:rsid w:val="007A439C"/>
    <w:rsid w:val="007A43EF"/>
    <w:rsid w:val="007A4C87"/>
    <w:rsid w:val="007A4E3C"/>
    <w:rsid w:val="007A5232"/>
    <w:rsid w:val="007A53FE"/>
    <w:rsid w:val="007A553F"/>
    <w:rsid w:val="007A59DE"/>
    <w:rsid w:val="007A5B36"/>
    <w:rsid w:val="007A5CDB"/>
    <w:rsid w:val="007A5E0A"/>
    <w:rsid w:val="007A6035"/>
    <w:rsid w:val="007A6737"/>
    <w:rsid w:val="007A67EB"/>
    <w:rsid w:val="007A6DB4"/>
    <w:rsid w:val="007A72E3"/>
    <w:rsid w:val="007A7449"/>
    <w:rsid w:val="007A77A8"/>
    <w:rsid w:val="007A7DFE"/>
    <w:rsid w:val="007A7ED7"/>
    <w:rsid w:val="007A7FE1"/>
    <w:rsid w:val="007B0244"/>
    <w:rsid w:val="007B05F8"/>
    <w:rsid w:val="007B0689"/>
    <w:rsid w:val="007B06AA"/>
    <w:rsid w:val="007B09FC"/>
    <w:rsid w:val="007B100A"/>
    <w:rsid w:val="007B145E"/>
    <w:rsid w:val="007B17D6"/>
    <w:rsid w:val="007B1A7E"/>
    <w:rsid w:val="007B1C44"/>
    <w:rsid w:val="007B1CD5"/>
    <w:rsid w:val="007B1D4F"/>
    <w:rsid w:val="007B20D0"/>
    <w:rsid w:val="007B21A5"/>
    <w:rsid w:val="007B2308"/>
    <w:rsid w:val="007B2868"/>
    <w:rsid w:val="007B290A"/>
    <w:rsid w:val="007B2952"/>
    <w:rsid w:val="007B2AD6"/>
    <w:rsid w:val="007B352E"/>
    <w:rsid w:val="007B3B6B"/>
    <w:rsid w:val="007B43FA"/>
    <w:rsid w:val="007B4684"/>
    <w:rsid w:val="007B492D"/>
    <w:rsid w:val="007B4B11"/>
    <w:rsid w:val="007B4DED"/>
    <w:rsid w:val="007B4F61"/>
    <w:rsid w:val="007B5404"/>
    <w:rsid w:val="007B54A5"/>
    <w:rsid w:val="007B60F2"/>
    <w:rsid w:val="007B67FB"/>
    <w:rsid w:val="007B681A"/>
    <w:rsid w:val="007B6843"/>
    <w:rsid w:val="007B6B06"/>
    <w:rsid w:val="007B6B90"/>
    <w:rsid w:val="007B6D21"/>
    <w:rsid w:val="007B6F23"/>
    <w:rsid w:val="007B716E"/>
    <w:rsid w:val="007B7625"/>
    <w:rsid w:val="007B78C2"/>
    <w:rsid w:val="007B7F82"/>
    <w:rsid w:val="007C00C5"/>
    <w:rsid w:val="007C02D6"/>
    <w:rsid w:val="007C0908"/>
    <w:rsid w:val="007C0BF6"/>
    <w:rsid w:val="007C0BFD"/>
    <w:rsid w:val="007C0C15"/>
    <w:rsid w:val="007C0E5B"/>
    <w:rsid w:val="007C12D9"/>
    <w:rsid w:val="007C1904"/>
    <w:rsid w:val="007C1A8A"/>
    <w:rsid w:val="007C1D89"/>
    <w:rsid w:val="007C1DA3"/>
    <w:rsid w:val="007C1DFE"/>
    <w:rsid w:val="007C20D4"/>
    <w:rsid w:val="007C23D9"/>
    <w:rsid w:val="007C2494"/>
    <w:rsid w:val="007C259B"/>
    <w:rsid w:val="007C26C0"/>
    <w:rsid w:val="007C3030"/>
    <w:rsid w:val="007C3063"/>
    <w:rsid w:val="007C3A50"/>
    <w:rsid w:val="007C3CD2"/>
    <w:rsid w:val="007C3F0C"/>
    <w:rsid w:val="007C402B"/>
    <w:rsid w:val="007C410D"/>
    <w:rsid w:val="007C46E1"/>
    <w:rsid w:val="007C4837"/>
    <w:rsid w:val="007C48EE"/>
    <w:rsid w:val="007C4A0D"/>
    <w:rsid w:val="007C4D8B"/>
    <w:rsid w:val="007C4F3D"/>
    <w:rsid w:val="007C5FB3"/>
    <w:rsid w:val="007C603B"/>
    <w:rsid w:val="007C60CD"/>
    <w:rsid w:val="007C617C"/>
    <w:rsid w:val="007C61ED"/>
    <w:rsid w:val="007C6342"/>
    <w:rsid w:val="007C6A53"/>
    <w:rsid w:val="007C6AEC"/>
    <w:rsid w:val="007C6EB5"/>
    <w:rsid w:val="007C7310"/>
    <w:rsid w:val="007C7320"/>
    <w:rsid w:val="007C76E1"/>
    <w:rsid w:val="007C7907"/>
    <w:rsid w:val="007C7922"/>
    <w:rsid w:val="007C79D5"/>
    <w:rsid w:val="007C7AC9"/>
    <w:rsid w:val="007C7C66"/>
    <w:rsid w:val="007C7CF2"/>
    <w:rsid w:val="007C7CF4"/>
    <w:rsid w:val="007C7DFC"/>
    <w:rsid w:val="007D0033"/>
    <w:rsid w:val="007D00FF"/>
    <w:rsid w:val="007D015D"/>
    <w:rsid w:val="007D0169"/>
    <w:rsid w:val="007D05FB"/>
    <w:rsid w:val="007D0C10"/>
    <w:rsid w:val="007D0E3A"/>
    <w:rsid w:val="007D1026"/>
    <w:rsid w:val="007D106B"/>
    <w:rsid w:val="007D1338"/>
    <w:rsid w:val="007D1EAB"/>
    <w:rsid w:val="007D22AD"/>
    <w:rsid w:val="007D2C2E"/>
    <w:rsid w:val="007D2D4D"/>
    <w:rsid w:val="007D2EBB"/>
    <w:rsid w:val="007D30B7"/>
    <w:rsid w:val="007D3195"/>
    <w:rsid w:val="007D31B6"/>
    <w:rsid w:val="007D34C2"/>
    <w:rsid w:val="007D3CEE"/>
    <w:rsid w:val="007D3ED2"/>
    <w:rsid w:val="007D3FA3"/>
    <w:rsid w:val="007D402C"/>
    <w:rsid w:val="007D41DA"/>
    <w:rsid w:val="007D45CA"/>
    <w:rsid w:val="007D4C3E"/>
    <w:rsid w:val="007D4DBD"/>
    <w:rsid w:val="007D51E4"/>
    <w:rsid w:val="007D5687"/>
    <w:rsid w:val="007D5919"/>
    <w:rsid w:val="007D596D"/>
    <w:rsid w:val="007D5B2E"/>
    <w:rsid w:val="007D5C54"/>
    <w:rsid w:val="007D5EA1"/>
    <w:rsid w:val="007D60AD"/>
    <w:rsid w:val="007D7518"/>
    <w:rsid w:val="007D799D"/>
    <w:rsid w:val="007E03CA"/>
    <w:rsid w:val="007E07F6"/>
    <w:rsid w:val="007E0917"/>
    <w:rsid w:val="007E0BF2"/>
    <w:rsid w:val="007E0C24"/>
    <w:rsid w:val="007E0E5F"/>
    <w:rsid w:val="007E0FD1"/>
    <w:rsid w:val="007E1A90"/>
    <w:rsid w:val="007E1D34"/>
    <w:rsid w:val="007E1DFE"/>
    <w:rsid w:val="007E2013"/>
    <w:rsid w:val="007E20C7"/>
    <w:rsid w:val="007E2252"/>
    <w:rsid w:val="007E22B9"/>
    <w:rsid w:val="007E264F"/>
    <w:rsid w:val="007E26A6"/>
    <w:rsid w:val="007E26C4"/>
    <w:rsid w:val="007E2755"/>
    <w:rsid w:val="007E2A7E"/>
    <w:rsid w:val="007E2C07"/>
    <w:rsid w:val="007E2C1F"/>
    <w:rsid w:val="007E30AC"/>
    <w:rsid w:val="007E30DD"/>
    <w:rsid w:val="007E352B"/>
    <w:rsid w:val="007E3B48"/>
    <w:rsid w:val="007E3C86"/>
    <w:rsid w:val="007E3D1F"/>
    <w:rsid w:val="007E3FF2"/>
    <w:rsid w:val="007E42D9"/>
    <w:rsid w:val="007E4302"/>
    <w:rsid w:val="007E44B2"/>
    <w:rsid w:val="007E482B"/>
    <w:rsid w:val="007E5577"/>
    <w:rsid w:val="007E58A7"/>
    <w:rsid w:val="007E5D57"/>
    <w:rsid w:val="007E5F1B"/>
    <w:rsid w:val="007E5FEE"/>
    <w:rsid w:val="007E6449"/>
    <w:rsid w:val="007E6669"/>
    <w:rsid w:val="007E69B8"/>
    <w:rsid w:val="007E6C39"/>
    <w:rsid w:val="007E70CF"/>
    <w:rsid w:val="007E791B"/>
    <w:rsid w:val="007E7B88"/>
    <w:rsid w:val="007E7D1A"/>
    <w:rsid w:val="007E7D2A"/>
    <w:rsid w:val="007E7D55"/>
    <w:rsid w:val="007F04FD"/>
    <w:rsid w:val="007F06A2"/>
    <w:rsid w:val="007F0A69"/>
    <w:rsid w:val="007F0BA3"/>
    <w:rsid w:val="007F0D68"/>
    <w:rsid w:val="007F1153"/>
    <w:rsid w:val="007F132B"/>
    <w:rsid w:val="007F15CF"/>
    <w:rsid w:val="007F1964"/>
    <w:rsid w:val="007F1C0B"/>
    <w:rsid w:val="007F1C34"/>
    <w:rsid w:val="007F1E2B"/>
    <w:rsid w:val="007F1F14"/>
    <w:rsid w:val="007F2219"/>
    <w:rsid w:val="007F2359"/>
    <w:rsid w:val="007F252B"/>
    <w:rsid w:val="007F28F9"/>
    <w:rsid w:val="007F2A7E"/>
    <w:rsid w:val="007F3187"/>
    <w:rsid w:val="007F3429"/>
    <w:rsid w:val="007F3568"/>
    <w:rsid w:val="007F35D0"/>
    <w:rsid w:val="007F3756"/>
    <w:rsid w:val="007F3841"/>
    <w:rsid w:val="007F3927"/>
    <w:rsid w:val="007F3EDE"/>
    <w:rsid w:val="007F3FE2"/>
    <w:rsid w:val="007F408B"/>
    <w:rsid w:val="007F40B3"/>
    <w:rsid w:val="007F4799"/>
    <w:rsid w:val="007F4804"/>
    <w:rsid w:val="007F4ACF"/>
    <w:rsid w:val="007F548D"/>
    <w:rsid w:val="007F57FD"/>
    <w:rsid w:val="007F5825"/>
    <w:rsid w:val="007F587E"/>
    <w:rsid w:val="007F59CA"/>
    <w:rsid w:val="007F5CB3"/>
    <w:rsid w:val="007F5D89"/>
    <w:rsid w:val="007F5DBB"/>
    <w:rsid w:val="007F6836"/>
    <w:rsid w:val="007F691E"/>
    <w:rsid w:val="007F6DB9"/>
    <w:rsid w:val="007F6E9E"/>
    <w:rsid w:val="007F741A"/>
    <w:rsid w:val="007F7B4D"/>
    <w:rsid w:val="007F7DBD"/>
    <w:rsid w:val="007F7E09"/>
    <w:rsid w:val="007F7E88"/>
    <w:rsid w:val="008001F7"/>
    <w:rsid w:val="00800352"/>
    <w:rsid w:val="008005C1"/>
    <w:rsid w:val="008007F0"/>
    <w:rsid w:val="00800A36"/>
    <w:rsid w:val="00800A9C"/>
    <w:rsid w:val="00801051"/>
    <w:rsid w:val="0080156C"/>
    <w:rsid w:val="00801864"/>
    <w:rsid w:val="008018BB"/>
    <w:rsid w:val="008018FF"/>
    <w:rsid w:val="00801B40"/>
    <w:rsid w:val="008021AA"/>
    <w:rsid w:val="008022AF"/>
    <w:rsid w:val="008022C9"/>
    <w:rsid w:val="008023FF"/>
    <w:rsid w:val="008029A5"/>
    <w:rsid w:val="00802ADB"/>
    <w:rsid w:val="00802E28"/>
    <w:rsid w:val="00802F0D"/>
    <w:rsid w:val="00802F6B"/>
    <w:rsid w:val="00802F9B"/>
    <w:rsid w:val="0080316B"/>
    <w:rsid w:val="008033D4"/>
    <w:rsid w:val="00803603"/>
    <w:rsid w:val="008038D9"/>
    <w:rsid w:val="0080395A"/>
    <w:rsid w:val="00803A8B"/>
    <w:rsid w:val="00803B94"/>
    <w:rsid w:val="00804096"/>
    <w:rsid w:val="00804155"/>
    <w:rsid w:val="008044B1"/>
    <w:rsid w:val="008048E8"/>
    <w:rsid w:val="00804999"/>
    <w:rsid w:val="00804CAF"/>
    <w:rsid w:val="00804E10"/>
    <w:rsid w:val="00804EB4"/>
    <w:rsid w:val="00805474"/>
    <w:rsid w:val="008055C3"/>
    <w:rsid w:val="0080563B"/>
    <w:rsid w:val="008056A2"/>
    <w:rsid w:val="00805BA4"/>
    <w:rsid w:val="00805E5C"/>
    <w:rsid w:val="00805E87"/>
    <w:rsid w:val="0080622A"/>
    <w:rsid w:val="0080630D"/>
    <w:rsid w:val="00806357"/>
    <w:rsid w:val="0080651E"/>
    <w:rsid w:val="008065A3"/>
    <w:rsid w:val="00806688"/>
    <w:rsid w:val="008066FE"/>
    <w:rsid w:val="008067A3"/>
    <w:rsid w:val="00807C0B"/>
    <w:rsid w:val="00807CCF"/>
    <w:rsid w:val="00807D00"/>
    <w:rsid w:val="00807F99"/>
    <w:rsid w:val="00810298"/>
    <w:rsid w:val="00810789"/>
    <w:rsid w:val="00810FB2"/>
    <w:rsid w:val="00811020"/>
    <w:rsid w:val="0081136A"/>
    <w:rsid w:val="008116DF"/>
    <w:rsid w:val="00811827"/>
    <w:rsid w:val="0081192B"/>
    <w:rsid w:val="00811939"/>
    <w:rsid w:val="00811B37"/>
    <w:rsid w:val="00811B99"/>
    <w:rsid w:val="00811D38"/>
    <w:rsid w:val="00812056"/>
    <w:rsid w:val="00812B2D"/>
    <w:rsid w:val="00813577"/>
    <w:rsid w:val="008136D4"/>
    <w:rsid w:val="0081387A"/>
    <w:rsid w:val="00813BA4"/>
    <w:rsid w:val="00813E8B"/>
    <w:rsid w:val="00814237"/>
    <w:rsid w:val="008143B0"/>
    <w:rsid w:val="00814CBF"/>
    <w:rsid w:val="00814D30"/>
    <w:rsid w:val="00814E22"/>
    <w:rsid w:val="00815183"/>
    <w:rsid w:val="00815712"/>
    <w:rsid w:val="00815AE0"/>
    <w:rsid w:val="00816020"/>
    <w:rsid w:val="00816148"/>
    <w:rsid w:val="008162C2"/>
    <w:rsid w:val="00816949"/>
    <w:rsid w:val="00816CDD"/>
    <w:rsid w:val="00816FB6"/>
    <w:rsid w:val="00817124"/>
    <w:rsid w:val="0081715E"/>
    <w:rsid w:val="008173EA"/>
    <w:rsid w:val="0081747B"/>
    <w:rsid w:val="00817955"/>
    <w:rsid w:val="00817AA5"/>
    <w:rsid w:val="00817BF2"/>
    <w:rsid w:val="00817E9C"/>
    <w:rsid w:val="00817F94"/>
    <w:rsid w:val="008202F0"/>
    <w:rsid w:val="00820676"/>
    <w:rsid w:val="008206E7"/>
    <w:rsid w:val="008207D6"/>
    <w:rsid w:val="008208B9"/>
    <w:rsid w:val="00820AE4"/>
    <w:rsid w:val="00820D1B"/>
    <w:rsid w:val="008211BE"/>
    <w:rsid w:val="008218F0"/>
    <w:rsid w:val="00821956"/>
    <w:rsid w:val="00821AB4"/>
    <w:rsid w:val="00821D06"/>
    <w:rsid w:val="00821D32"/>
    <w:rsid w:val="0082225B"/>
    <w:rsid w:val="00822638"/>
    <w:rsid w:val="008227B9"/>
    <w:rsid w:val="00822D07"/>
    <w:rsid w:val="00823B18"/>
    <w:rsid w:val="00823DA8"/>
    <w:rsid w:val="00823EB2"/>
    <w:rsid w:val="00823EDD"/>
    <w:rsid w:val="00824072"/>
    <w:rsid w:val="0082433A"/>
    <w:rsid w:val="0082462F"/>
    <w:rsid w:val="0082469B"/>
    <w:rsid w:val="00824742"/>
    <w:rsid w:val="00824972"/>
    <w:rsid w:val="00824B5A"/>
    <w:rsid w:val="00824B69"/>
    <w:rsid w:val="00824D59"/>
    <w:rsid w:val="00824DA9"/>
    <w:rsid w:val="00824F66"/>
    <w:rsid w:val="00825040"/>
    <w:rsid w:val="00825057"/>
    <w:rsid w:val="00825373"/>
    <w:rsid w:val="008253B5"/>
    <w:rsid w:val="008256B3"/>
    <w:rsid w:val="0082582E"/>
    <w:rsid w:val="008259E3"/>
    <w:rsid w:val="00825C31"/>
    <w:rsid w:val="00825C6C"/>
    <w:rsid w:val="008260AF"/>
    <w:rsid w:val="0082653A"/>
    <w:rsid w:val="00826748"/>
    <w:rsid w:val="008267CB"/>
    <w:rsid w:val="00826EB5"/>
    <w:rsid w:val="00826F13"/>
    <w:rsid w:val="0082731F"/>
    <w:rsid w:val="00827331"/>
    <w:rsid w:val="0082743A"/>
    <w:rsid w:val="00827815"/>
    <w:rsid w:val="00827B37"/>
    <w:rsid w:val="00827FEE"/>
    <w:rsid w:val="0083014D"/>
    <w:rsid w:val="00830176"/>
    <w:rsid w:val="0083025F"/>
    <w:rsid w:val="00830906"/>
    <w:rsid w:val="008309CC"/>
    <w:rsid w:val="008309CF"/>
    <w:rsid w:val="00830A81"/>
    <w:rsid w:val="00830B24"/>
    <w:rsid w:val="00830C49"/>
    <w:rsid w:val="00831265"/>
    <w:rsid w:val="008312F3"/>
    <w:rsid w:val="00831588"/>
    <w:rsid w:val="0083198B"/>
    <w:rsid w:val="0083198F"/>
    <w:rsid w:val="00831A19"/>
    <w:rsid w:val="008320BD"/>
    <w:rsid w:val="00832219"/>
    <w:rsid w:val="008323E0"/>
    <w:rsid w:val="008326A2"/>
    <w:rsid w:val="0083290F"/>
    <w:rsid w:val="0083291C"/>
    <w:rsid w:val="00832A6A"/>
    <w:rsid w:val="00832C2E"/>
    <w:rsid w:val="00832CA1"/>
    <w:rsid w:val="00833584"/>
    <w:rsid w:val="0083397B"/>
    <w:rsid w:val="008339B0"/>
    <w:rsid w:val="00833D80"/>
    <w:rsid w:val="008341FC"/>
    <w:rsid w:val="0083434C"/>
    <w:rsid w:val="008343D4"/>
    <w:rsid w:val="008344A6"/>
    <w:rsid w:val="008346CD"/>
    <w:rsid w:val="008346E0"/>
    <w:rsid w:val="00834958"/>
    <w:rsid w:val="0083495A"/>
    <w:rsid w:val="00834EA4"/>
    <w:rsid w:val="00835230"/>
    <w:rsid w:val="00835350"/>
    <w:rsid w:val="00835633"/>
    <w:rsid w:val="00835667"/>
    <w:rsid w:val="00835687"/>
    <w:rsid w:val="0083570C"/>
    <w:rsid w:val="008359EE"/>
    <w:rsid w:val="008359FA"/>
    <w:rsid w:val="00835A10"/>
    <w:rsid w:val="00835A62"/>
    <w:rsid w:val="00835BDE"/>
    <w:rsid w:val="00835DB5"/>
    <w:rsid w:val="008364B9"/>
    <w:rsid w:val="00836792"/>
    <w:rsid w:val="00836C46"/>
    <w:rsid w:val="00836CAB"/>
    <w:rsid w:val="00836E16"/>
    <w:rsid w:val="00836F90"/>
    <w:rsid w:val="00837076"/>
    <w:rsid w:val="008379FE"/>
    <w:rsid w:val="00837A66"/>
    <w:rsid w:val="00840029"/>
    <w:rsid w:val="00840363"/>
    <w:rsid w:val="0084072A"/>
    <w:rsid w:val="00840D0B"/>
    <w:rsid w:val="00840DAA"/>
    <w:rsid w:val="00840DB7"/>
    <w:rsid w:val="00841123"/>
    <w:rsid w:val="00841AA6"/>
    <w:rsid w:val="00841D58"/>
    <w:rsid w:val="0084207F"/>
    <w:rsid w:val="0084220E"/>
    <w:rsid w:val="0084263F"/>
    <w:rsid w:val="008428FA"/>
    <w:rsid w:val="0084296C"/>
    <w:rsid w:val="00842C0B"/>
    <w:rsid w:val="00842EF2"/>
    <w:rsid w:val="00842F7A"/>
    <w:rsid w:val="00843319"/>
    <w:rsid w:val="0084331E"/>
    <w:rsid w:val="00843335"/>
    <w:rsid w:val="0084339C"/>
    <w:rsid w:val="008433E1"/>
    <w:rsid w:val="0084386E"/>
    <w:rsid w:val="00843951"/>
    <w:rsid w:val="00843C13"/>
    <w:rsid w:val="00843FD4"/>
    <w:rsid w:val="008442A4"/>
    <w:rsid w:val="00844679"/>
    <w:rsid w:val="00844A9B"/>
    <w:rsid w:val="00844C1D"/>
    <w:rsid w:val="00844F8D"/>
    <w:rsid w:val="00845240"/>
    <w:rsid w:val="008453BA"/>
    <w:rsid w:val="008454F8"/>
    <w:rsid w:val="0084551B"/>
    <w:rsid w:val="0084580B"/>
    <w:rsid w:val="008459EC"/>
    <w:rsid w:val="00845ED7"/>
    <w:rsid w:val="00846150"/>
    <w:rsid w:val="00846779"/>
    <w:rsid w:val="00846983"/>
    <w:rsid w:val="00846E20"/>
    <w:rsid w:val="00846EE4"/>
    <w:rsid w:val="00846F0F"/>
    <w:rsid w:val="00846F3E"/>
    <w:rsid w:val="0084707E"/>
    <w:rsid w:val="00847095"/>
    <w:rsid w:val="00847196"/>
    <w:rsid w:val="008473AE"/>
    <w:rsid w:val="0084771E"/>
    <w:rsid w:val="0084775D"/>
    <w:rsid w:val="00847828"/>
    <w:rsid w:val="0084792F"/>
    <w:rsid w:val="00847EAF"/>
    <w:rsid w:val="00847EBD"/>
    <w:rsid w:val="00847EE9"/>
    <w:rsid w:val="0085018E"/>
    <w:rsid w:val="008504D5"/>
    <w:rsid w:val="0085073A"/>
    <w:rsid w:val="00850837"/>
    <w:rsid w:val="00850989"/>
    <w:rsid w:val="008509AE"/>
    <w:rsid w:val="0085121E"/>
    <w:rsid w:val="008515E3"/>
    <w:rsid w:val="00851AF2"/>
    <w:rsid w:val="00851CF5"/>
    <w:rsid w:val="00851D42"/>
    <w:rsid w:val="00852409"/>
    <w:rsid w:val="00852728"/>
    <w:rsid w:val="00852784"/>
    <w:rsid w:val="00852823"/>
    <w:rsid w:val="00852971"/>
    <w:rsid w:val="0085353D"/>
    <w:rsid w:val="00853589"/>
    <w:rsid w:val="00854194"/>
    <w:rsid w:val="008542EF"/>
    <w:rsid w:val="00854871"/>
    <w:rsid w:val="00854E7A"/>
    <w:rsid w:val="00854EE6"/>
    <w:rsid w:val="00855378"/>
    <w:rsid w:val="00855656"/>
    <w:rsid w:val="00855880"/>
    <w:rsid w:val="00855A49"/>
    <w:rsid w:val="00855AAA"/>
    <w:rsid w:val="00855C37"/>
    <w:rsid w:val="00855EE1"/>
    <w:rsid w:val="00855F09"/>
    <w:rsid w:val="00855F84"/>
    <w:rsid w:val="00856072"/>
    <w:rsid w:val="0085607A"/>
    <w:rsid w:val="008560C8"/>
    <w:rsid w:val="00856381"/>
    <w:rsid w:val="008563C1"/>
    <w:rsid w:val="00856586"/>
    <w:rsid w:val="008565BE"/>
    <w:rsid w:val="00856879"/>
    <w:rsid w:val="0085691E"/>
    <w:rsid w:val="00856ACA"/>
    <w:rsid w:val="00856D47"/>
    <w:rsid w:val="00856F34"/>
    <w:rsid w:val="008574AC"/>
    <w:rsid w:val="00857502"/>
    <w:rsid w:val="0085764E"/>
    <w:rsid w:val="00857799"/>
    <w:rsid w:val="0085782B"/>
    <w:rsid w:val="00857878"/>
    <w:rsid w:val="00857DEB"/>
    <w:rsid w:val="00857E1B"/>
    <w:rsid w:val="00857E6F"/>
    <w:rsid w:val="008600F9"/>
    <w:rsid w:val="0086022B"/>
    <w:rsid w:val="008602A7"/>
    <w:rsid w:val="008602BC"/>
    <w:rsid w:val="008606C3"/>
    <w:rsid w:val="00860A08"/>
    <w:rsid w:val="00860FAE"/>
    <w:rsid w:val="008612ED"/>
    <w:rsid w:val="00861332"/>
    <w:rsid w:val="00861461"/>
    <w:rsid w:val="00861BFE"/>
    <w:rsid w:val="00861F60"/>
    <w:rsid w:val="00862225"/>
    <w:rsid w:val="008622D0"/>
    <w:rsid w:val="0086297C"/>
    <w:rsid w:val="00862C5F"/>
    <w:rsid w:val="0086300B"/>
    <w:rsid w:val="0086315F"/>
    <w:rsid w:val="00863333"/>
    <w:rsid w:val="0086340C"/>
    <w:rsid w:val="008634C2"/>
    <w:rsid w:val="008636FA"/>
    <w:rsid w:val="00863AB5"/>
    <w:rsid w:val="00863E68"/>
    <w:rsid w:val="0086404E"/>
    <w:rsid w:val="00864362"/>
    <w:rsid w:val="008644AC"/>
    <w:rsid w:val="008644EC"/>
    <w:rsid w:val="00864619"/>
    <w:rsid w:val="00864CA9"/>
    <w:rsid w:val="00864EEA"/>
    <w:rsid w:val="00864F98"/>
    <w:rsid w:val="008654B7"/>
    <w:rsid w:val="00865856"/>
    <w:rsid w:val="0086596B"/>
    <w:rsid w:val="00865ABF"/>
    <w:rsid w:val="00865D12"/>
    <w:rsid w:val="00865E4F"/>
    <w:rsid w:val="008660B4"/>
    <w:rsid w:val="0086610A"/>
    <w:rsid w:val="00866134"/>
    <w:rsid w:val="00866456"/>
    <w:rsid w:val="008665AD"/>
    <w:rsid w:val="00866663"/>
    <w:rsid w:val="008668CF"/>
    <w:rsid w:val="0086698C"/>
    <w:rsid w:val="00866A44"/>
    <w:rsid w:val="00866D77"/>
    <w:rsid w:val="0086722D"/>
    <w:rsid w:val="008674D6"/>
    <w:rsid w:val="0086750B"/>
    <w:rsid w:val="008675B0"/>
    <w:rsid w:val="00867764"/>
    <w:rsid w:val="00867871"/>
    <w:rsid w:val="008679C5"/>
    <w:rsid w:val="00867A2F"/>
    <w:rsid w:val="00867D69"/>
    <w:rsid w:val="00867DF2"/>
    <w:rsid w:val="00867E95"/>
    <w:rsid w:val="0086B9D5"/>
    <w:rsid w:val="008701D8"/>
    <w:rsid w:val="00870821"/>
    <w:rsid w:val="008708DA"/>
    <w:rsid w:val="0087095B"/>
    <w:rsid w:val="0087098C"/>
    <w:rsid w:val="00870A33"/>
    <w:rsid w:val="00870E13"/>
    <w:rsid w:val="00870E16"/>
    <w:rsid w:val="00870FDA"/>
    <w:rsid w:val="00871011"/>
    <w:rsid w:val="008711A1"/>
    <w:rsid w:val="008715B2"/>
    <w:rsid w:val="008716A2"/>
    <w:rsid w:val="0087194C"/>
    <w:rsid w:val="008719C4"/>
    <w:rsid w:val="00871F28"/>
    <w:rsid w:val="00872110"/>
    <w:rsid w:val="00872BE1"/>
    <w:rsid w:val="00872CD1"/>
    <w:rsid w:val="00872E3A"/>
    <w:rsid w:val="00872F3A"/>
    <w:rsid w:val="00873074"/>
    <w:rsid w:val="008731F9"/>
    <w:rsid w:val="008733DD"/>
    <w:rsid w:val="0087346E"/>
    <w:rsid w:val="0087352B"/>
    <w:rsid w:val="00873558"/>
    <w:rsid w:val="008738C9"/>
    <w:rsid w:val="0087392C"/>
    <w:rsid w:val="00873A93"/>
    <w:rsid w:val="00873BE7"/>
    <w:rsid w:val="00873F23"/>
    <w:rsid w:val="00873FF7"/>
    <w:rsid w:val="0087427B"/>
    <w:rsid w:val="00874903"/>
    <w:rsid w:val="008749EE"/>
    <w:rsid w:val="008750A3"/>
    <w:rsid w:val="0087531D"/>
    <w:rsid w:val="008755C6"/>
    <w:rsid w:val="0087585D"/>
    <w:rsid w:val="0087598D"/>
    <w:rsid w:val="008759D1"/>
    <w:rsid w:val="00875CB0"/>
    <w:rsid w:val="00875F49"/>
    <w:rsid w:val="008760E1"/>
    <w:rsid w:val="00876487"/>
    <w:rsid w:val="008765E9"/>
    <w:rsid w:val="00876B31"/>
    <w:rsid w:val="00876D8C"/>
    <w:rsid w:val="0087706C"/>
    <w:rsid w:val="00877346"/>
    <w:rsid w:val="00877416"/>
    <w:rsid w:val="00877E14"/>
    <w:rsid w:val="00877FBF"/>
    <w:rsid w:val="0088043E"/>
    <w:rsid w:val="008810D2"/>
    <w:rsid w:val="008812CD"/>
    <w:rsid w:val="00881332"/>
    <w:rsid w:val="00881457"/>
    <w:rsid w:val="00881512"/>
    <w:rsid w:val="00881B2A"/>
    <w:rsid w:val="00881F43"/>
    <w:rsid w:val="00881FF8"/>
    <w:rsid w:val="00882DE1"/>
    <w:rsid w:val="0088360B"/>
    <w:rsid w:val="00884147"/>
    <w:rsid w:val="00884305"/>
    <w:rsid w:val="008844E7"/>
    <w:rsid w:val="008847C7"/>
    <w:rsid w:val="00884933"/>
    <w:rsid w:val="008849E8"/>
    <w:rsid w:val="00884A29"/>
    <w:rsid w:val="00884AFE"/>
    <w:rsid w:val="00884C0B"/>
    <w:rsid w:val="00885108"/>
    <w:rsid w:val="0088517A"/>
    <w:rsid w:val="00885194"/>
    <w:rsid w:val="008857DB"/>
    <w:rsid w:val="008859B6"/>
    <w:rsid w:val="00885B2A"/>
    <w:rsid w:val="00885C7F"/>
    <w:rsid w:val="00885DA6"/>
    <w:rsid w:val="008861E1"/>
    <w:rsid w:val="00886637"/>
    <w:rsid w:val="00886686"/>
    <w:rsid w:val="008869DF"/>
    <w:rsid w:val="00886A91"/>
    <w:rsid w:val="00886B66"/>
    <w:rsid w:val="00886BB2"/>
    <w:rsid w:val="00886FFF"/>
    <w:rsid w:val="00887023"/>
    <w:rsid w:val="008872E6"/>
    <w:rsid w:val="008873FF"/>
    <w:rsid w:val="00887939"/>
    <w:rsid w:val="00887E52"/>
    <w:rsid w:val="00887EF8"/>
    <w:rsid w:val="00890333"/>
    <w:rsid w:val="008904AA"/>
    <w:rsid w:val="00890624"/>
    <w:rsid w:val="00890D9D"/>
    <w:rsid w:val="00890EE3"/>
    <w:rsid w:val="00891005"/>
    <w:rsid w:val="008910BB"/>
    <w:rsid w:val="00891197"/>
    <w:rsid w:val="008912F3"/>
    <w:rsid w:val="00891473"/>
    <w:rsid w:val="008915F1"/>
    <w:rsid w:val="008916CB"/>
    <w:rsid w:val="00891779"/>
    <w:rsid w:val="00891A8A"/>
    <w:rsid w:val="00891ED5"/>
    <w:rsid w:val="0089225D"/>
    <w:rsid w:val="00892510"/>
    <w:rsid w:val="0089254B"/>
    <w:rsid w:val="008927F6"/>
    <w:rsid w:val="00893264"/>
    <w:rsid w:val="008933E5"/>
    <w:rsid w:val="0089343D"/>
    <w:rsid w:val="0089382F"/>
    <w:rsid w:val="00893BCE"/>
    <w:rsid w:val="00893E76"/>
    <w:rsid w:val="00893F69"/>
    <w:rsid w:val="00894103"/>
    <w:rsid w:val="008946CE"/>
    <w:rsid w:val="00894791"/>
    <w:rsid w:val="008948A9"/>
    <w:rsid w:val="00894909"/>
    <w:rsid w:val="00894A15"/>
    <w:rsid w:val="00894C48"/>
    <w:rsid w:val="008952D8"/>
    <w:rsid w:val="008955AC"/>
    <w:rsid w:val="00895777"/>
    <w:rsid w:val="008959EC"/>
    <w:rsid w:val="00895AFA"/>
    <w:rsid w:val="00895F4B"/>
    <w:rsid w:val="00896BBB"/>
    <w:rsid w:val="00896CD8"/>
    <w:rsid w:val="00896E0A"/>
    <w:rsid w:val="00896E7B"/>
    <w:rsid w:val="00896FAD"/>
    <w:rsid w:val="00897006"/>
    <w:rsid w:val="00897153"/>
    <w:rsid w:val="008971C8"/>
    <w:rsid w:val="008973A3"/>
    <w:rsid w:val="00897827"/>
    <w:rsid w:val="008978F9"/>
    <w:rsid w:val="00897991"/>
    <w:rsid w:val="00897D29"/>
    <w:rsid w:val="008A077F"/>
    <w:rsid w:val="008A0885"/>
    <w:rsid w:val="008A0D2E"/>
    <w:rsid w:val="008A0DB9"/>
    <w:rsid w:val="008A15A5"/>
    <w:rsid w:val="008A1768"/>
    <w:rsid w:val="008A1B18"/>
    <w:rsid w:val="008A1C02"/>
    <w:rsid w:val="008A1EB2"/>
    <w:rsid w:val="008A1F4D"/>
    <w:rsid w:val="008A213F"/>
    <w:rsid w:val="008A2248"/>
    <w:rsid w:val="008A243D"/>
    <w:rsid w:val="008A2486"/>
    <w:rsid w:val="008A24BE"/>
    <w:rsid w:val="008A2D06"/>
    <w:rsid w:val="008A2E09"/>
    <w:rsid w:val="008A3024"/>
    <w:rsid w:val="008A3187"/>
    <w:rsid w:val="008A39E1"/>
    <w:rsid w:val="008A41DE"/>
    <w:rsid w:val="008A46A6"/>
    <w:rsid w:val="008A47CF"/>
    <w:rsid w:val="008A4958"/>
    <w:rsid w:val="008A4C65"/>
    <w:rsid w:val="008A53A0"/>
    <w:rsid w:val="008A55E2"/>
    <w:rsid w:val="008A5662"/>
    <w:rsid w:val="008A56B4"/>
    <w:rsid w:val="008A59E2"/>
    <w:rsid w:val="008A5EA4"/>
    <w:rsid w:val="008A603E"/>
    <w:rsid w:val="008A6150"/>
    <w:rsid w:val="008A6964"/>
    <w:rsid w:val="008A6AAC"/>
    <w:rsid w:val="008A7360"/>
    <w:rsid w:val="008A73CD"/>
    <w:rsid w:val="008A7404"/>
    <w:rsid w:val="008A749A"/>
    <w:rsid w:val="008A794F"/>
    <w:rsid w:val="008A7BC2"/>
    <w:rsid w:val="008A7ED9"/>
    <w:rsid w:val="008A7F14"/>
    <w:rsid w:val="008A7F7E"/>
    <w:rsid w:val="008B04EC"/>
    <w:rsid w:val="008B061D"/>
    <w:rsid w:val="008B0698"/>
    <w:rsid w:val="008B0705"/>
    <w:rsid w:val="008B0BB5"/>
    <w:rsid w:val="008B12A6"/>
    <w:rsid w:val="008B140F"/>
    <w:rsid w:val="008B1AF6"/>
    <w:rsid w:val="008B209F"/>
    <w:rsid w:val="008B24F8"/>
    <w:rsid w:val="008B2575"/>
    <w:rsid w:val="008B2B97"/>
    <w:rsid w:val="008B2D1B"/>
    <w:rsid w:val="008B2DF5"/>
    <w:rsid w:val="008B2FD6"/>
    <w:rsid w:val="008B3310"/>
    <w:rsid w:val="008B34FD"/>
    <w:rsid w:val="008B3553"/>
    <w:rsid w:val="008B35B3"/>
    <w:rsid w:val="008B374C"/>
    <w:rsid w:val="008B3BA7"/>
    <w:rsid w:val="008B3ED0"/>
    <w:rsid w:val="008B400A"/>
    <w:rsid w:val="008B41F4"/>
    <w:rsid w:val="008B4215"/>
    <w:rsid w:val="008B4664"/>
    <w:rsid w:val="008B475F"/>
    <w:rsid w:val="008B5B42"/>
    <w:rsid w:val="008B60E2"/>
    <w:rsid w:val="008B65C5"/>
    <w:rsid w:val="008B67E7"/>
    <w:rsid w:val="008B6A73"/>
    <w:rsid w:val="008B720A"/>
    <w:rsid w:val="008B7326"/>
    <w:rsid w:val="008B7644"/>
    <w:rsid w:val="008B7A13"/>
    <w:rsid w:val="008B7AB4"/>
    <w:rsid w:val="008C0071"/>
    <w:rsid w:val="008C0590"/>
    <w:rsid w:val="008C0627"/>
    <w:rsid w:val="008C06CA"/>
    <w:rsid w:val="008C0A61"/>
    <w:rsid w:val="008C0CAE"/>
    <w:rsid w:val="008C174A"/>
    <w:rsid w:val="008C176A"/>
    <w:rsid w:val="008C17B0"/>
    <w:rsid w:val="008C1B69"/>
    <w:rsid w:val="008C1BA7"/>
    <w:rsid w:val="008C1DE2"/>
    <w:rsid w:val="008C205B"/>
    <w:rsid w:val="008C2072"/>
    <w:rsid w:val="008C20C0"/>
    <w:rsid w:val="008C21E1"/>
    <w:rsid w:val="008C22BF"/>
    <w:rsid w:val="008C233B"/>
    <w:rsid w:val="008C24FD"/>
    <w:rsid w:val="008C28CA"/>
    <w:rsid w:val="008C2D1F"/>
    <w:rsid w:val="008C2DB8"/>
    <w:rsid w:val="008C3192"/>
    <w:rsid w:val="008C31D7"/>
    <w:rsid w:val="008C3528"/>
    <w:rsid w:val="008C3570"/>
    <w:rsid w:val="008C36C6"/>
    <w:rsid w:val="008C375B"/>
    <w:rsid w:val="008C3BCD"/>
    <w:rsid w:val="008C3DD5"/>
    <w:rsid w:val="008C3F5D"/>
    <w:rsid w:val="008C40E8"/>
    <w:rsid w:val="008C438A"/>
    <w:rsid w:val="008C497E"/>
    <w:rsid w:val="008C4A73"/>
    <w:rsid w:val="008C4ABA"/>
    <w:rsid w:val="008C4AE2"/>
    <w:rsid w:val="008C4CE5"/>
    <w:rsid w:val="008C4D8E"/>
    <w:rsid w:val="008C537A"/>
    <w:rsid w:val="008C59FA"/>
    <w:rsid w:val="008C639D"/>
    <w:rsid w:val="008C6599"/>
    <w:rsid w:val="008C6764"/>
    <w:rsid w:val="008C6A11"/>
    <w:rsid w:val="008C703B"/>
    <w:rsid w:val="008C7105"/>
    <w:rsid w:val="008C7161"/>
    <w:rsid w:val="008C72F9"/>
    <w:rsid w:val="008C73F8"/>
    <w:rsid w:val="008C74CC"/>
    <w:rsid w:val="008C7A1E"/>
    <w:rsid w:val="008C7A70"/>
    <w:rsid w:val="008C7BF8"/>
    <w:rsid w:val="008C7CE9"/>
    <w:rsid w:val="008C7E70"/>
    <w:rsid w:val="008D07A0"/>
    <w:rsid w:val="008D0B30"/>
    <w:rsid w:val="008D0EE2"/>
    <w:rsid w:val="008D163A"/>
    <w:rsid w:val="008D18AF"/>
    <w:rsid w:val="008D1A99"/>
    <w:rsid w:val="008D1FCD"/>
    <w:rsid w:val="008D2061"/>
    <w:rsid w:val="008D2889"/>
    <w:rsid w:val="008D2A90"/>
    <w:rsid w:val="008D2C31"/>
    <w:rsid w:val="008D2DEB"/>
    <w:rsid w:val="008D30D7"/>
    <w:rsid w:val="008D34E8"/>
    <w:rsid w:val="008D3811"/>
    <w:rsid w:val="008D389B"/>
    <w:rsid w:val="008D39DF"/>
    <w:rsid w:val="008D3D5D"/>
    <w:rsid w:val="008D3DC3"/>
    <w:rsid w:val="008D3FB9"/>
    <w:rsid w:val="008D4393"/>
    <w:rsid w:val="008D44DB"/>
    <w:rsid w:val="008D46A5"/>
    <w:rsid w:val="008D4C39"/>
    <w:rsid w:val="008D4DB9"/>
    <w:rsid w:val="008D4E11"/>
    <w:rsid w:val="008D4F0F"/>
    <w:rsid w:val="008D4F7C"/>
    <w:rsid w:val="008D5037"/>
    <w:rsid w:val="008D5188"/>
    <w:rsid w:val="008D519D"/>
    <w:rsid w:val="008D52B0"/>
    <w:rsid w:val="008D5E00"/>
    <w:rsid w:val="008D5FDD"/>
    <w:rsid w:val="008D6441"/>
    <w:rsid w:val="008D6473"/>
    <w:rsid w:val="008D666E"/>
    <w:rsid w:val="008D6CDF"/>
    <w:rsid w:val="008D74E6"/>
    <w:rsid w:val="008D76F6"/>
    <w:rsid w:val="008D7DFF"/>
    <w:rsid w:val="008E0B80"/>
    <w:rsid w:val="008E0C1E"/>
    <w:rsid w:val="008E0C26"/>
    <w:rsid w:val="008E0DF7"/>
    <w:rsid w:val="008E0F71"/>
    <w:rsid w:val="008E0FC3"/>
    <w:rsid w:val="008E1636"/>
    <w:rsid w:val="008E1CDF"/>
    <w:rsid w:val="008E1D7A"/>
    <w:rsid w:val="008E1F9F"/>
    <w:rsid w:val="008E1FF9"/>
    <w:rsid w:val="008E230E"/>
    <w:rsid w:val="008E2E86"/>
    <w:rsid w:val="008E30C0"/>
    <w:rsid w:val="008E3984"/>
    <w:rsid w:val="008E3A45"/>
    <w:rsid w:val="008E3A68"/>
    <w:rsid w:val="008E3ADD"/>
    <w:rsid w:val="008E40DA"/>
    <w:rsid w:val="008E45BE"/>
    <w:rsid w:val="008E45F9"/>
    <w:rsid w:val="008E4890"/>
    <w:rsid w:val="008E4C56"/>
    <w:rsid w:val="008E5849"/>
    <w:rsid w:val="008E5AE8"/>
    <w:rsid w:val="008E6B31"/>
    <w:rsid w:val="008E6CE4"/>
    <w:rsid w:val="008E6D9A"/>
    <w:rsid w:val="008E6DBB"/>
    <w:rsid w:val="008E6EEF"/>
    <w:rsid w:val="008E6F17"/>
    <w:rsid w:val="008E74FD"/>
    <w:rsid w:val="008E7871"/>
    <w:rsid w:val="008E790A"/>
    <w:rsid w:val="008E7EB5"/>
    <w:rsid w:val="008F031E"/>
    <w:rsid w:val="008F0375"/>
    <w:rsid w:val="008F08FF"/>
    <w:rsid w:val="008F09D9"/>
    <w:rsid w:val="008F0B6F"/>
    <w:rsid w:val="008F0C15"/>
    <w:rsid w:val="008F0CDF"/>
    <w:rsid w:val="008F0F14"/>
    <w:rsid w:val="008F0F7C"/>
    <w:rsid w:val="008F111D"/>
    <w:rsid w:val="008F1384"/>
    <w:rsid w:val="008F13E8"/>
    <w:rsid w:val="008F1449"/>
    <w:rsid w:val="008F14E4"/>
    <w:rsid w:val="008F182D"/>
    <w:rsid w:val="008F1A66"/>
    <w:rsid w:val="008F1EA9"/>
    <w:rsid w:val="008F1F80"/>
    <w:rsid w:val="008F257A"/>
    <w:rsid w:val="008F2665"/>
    <w:rsid w:val="008F2EB4"/>
    <w:rsid w:val="008F305E"/>
    <w:rsid w:val="008F398D"/>
    <w:rsid w:val="008F3B56"/>
    <w:rsid w:val="008F3D81"/>
    <w:rsid w:val="008F3DFF"/>
    <w:rsid w:val="008F4270"/>
    <w:rsid w:val="008F54FC"/>
    <w:rsid w:val="008F5797"/>
    <w:rsid w:val="008F5C36"/>
    <w:rsid w:val="008F5ED8"/>
    <w:rsid w:val="008F5F10"/>
    <w:rsid w:val="008F5FF3"/>
    <w:rsid w:val="008F61AA"/>
    <w:rsid w:val="008F61BA"/>
    <w:rsid w:val="008F6224"/>
    <w:rsid w:val="008F62DA"/>
    <w:rsid w:val="008F64C4"/>
    <w:rsid w:val="008F6CBF"/>
    <w:rsid w:val="008F6F5B"/>
    <w:rsid w:val="008F705E"/>
    <w:rsid w:val="008F72C7"/>
    <w:rsid w:val="008F79A9"/>
    <w:rsid w:val="008F79DE"/>
    <w:rsid w:val="008F7D56"/>
    <w:rsid w:val="008F7DA8"/>
    <w:rsid w:val="0090040D"/>
    <w:rsid w:val="0090054E"/>
    <w:rsid w:val="009007E8"/>
    <w:rsid w:val="009008AB"/>
    <w:rsid w:val="0090090C"/>
    <w:rsid w:val="00900C0B"/>
    <w:rsid w:val="009010E7"/>
    <w:rsid w:val="0090154B"/>
    <w:rsid w:val="00901627"/>
    <w:rsid w:val="00901632"/>
    <w:rsid w:val="00901699"/>
    <w:rsid w:val="009017B0"/>
    <w:rsid w:val="00901805"/>
    <w:rsid w:val="00902660"/>
    <w:rsid w:val="00902872"/>
    <w:rsid w:val="00902AB6"/>
    <w:rsid w:val="00902B1D"/>
    <w:rsid w:val="00902B62"/>
    <w:rsid w:val="00902BB6"/>
    <w:rsid w:val="00902FDB"/>
    <w:rsid w:val="009030F1"/>
    <w:rsid w:val="00903242"/>
    <w:rsid w:val="00903376"/>
    <w:rsid w:val="0090338A"/>
    <w:rsid w:val="00903744"/>
    <w:rsid w:val="00903797"/>
    <w:rsid w:val="00903D84"/>
    <w:rsid w:val="00903DBA"/>
    <w:rsid w:val="00904076"/>
    <w:rsid w:val="009042F4"/>
    <w:rsid w:val="009046CF"/>
    <w:rsid w:val="00904BB0"/>
    <w:rsid w:val="00904F7A"/>
    <w:rsid w:val="009051AA"/>
    <w:rsid w:val="009052D7"/>
    <w:rsid w:val="00905519"/>
    <w:rsid w:val="009058FD"/>
    <w:rsid w:val="00905AA5"/>
    <w:rsid w:val="00905E10"/>
    <w:rsid w:val="009062AE"/>
    <w:rsid w:val="0090654B"/>
    <w:rsid w:val="0090683A"/>
    <w:rsid w:val="00906C51"/>
    <w:rsid w:val="00906CAD"/>
    <w:rsid w:val="00906E3B"/>
    <w:rsid w:val="00906FEF"/>
    <w:rsid w:val="0090707D"/>
    <w:rsid w:val="009075C8"/>
    <w:rsid w:val="0090763D"/>
    <w:rsid w:val="009076E6"/>
    <w:rsid w:val="009100CF"/>
    <w:rsid w:val="00910163"/>
    <w:rsid w:val="00910273"/>
    <w:rsid w:val="0091027A"/>
    <w:rsid w:val="009103C4"/>
    <w:rsid w:val="009103EF"/>
    <w:rsid w:val="00910811"/>
    <w:rsid w:val="00910835"/>
    <w:rsid w:val="0091093F"/>
    <w:rsid w:val="00910C51"/>
    <w:rsid w:val="00910CFE"/>
    <w:rsid w:val="009111E2"/>
    <w:rsid w:val="00911B37"/>
    <w:rsid w:val="00911CBC"/>
    <w:rsid w:val="0091206A"/>
    <w:rsid w:val="0091213C"/>
    <w:rsid w:val="0091221A"/>
    <w:rsid w:val="00912228"/>
    <w:rsid w:val="00912888"/>
    <w:rsid w:val="00912E2D"/>
    <w:rsid w:val="00913117"/>
    <w:rsid w:val="0091334F"/>
    <w:rsid w:val="00913489"/>
    <w:rsid w:val="0091351F"/>
    <w:rsid w:val="009135C0"/>
    <w:rsid w:val="0091362C"/>
    <w:rsid w:val="00913AAB"/>
    <w:rsid w:val="00913E3B"/>
    <w:rsid w:val="009146DE"/>
    <w:rsid w:val="009147C0"/>
    <w:rsid w:val="009147CF"/>
    <w:rsid w:val="00914AC3"/>
    <w:rsid w:val="009150C1"/>
    <w:rsid w:val="00915ABE"/>
    <w:rsid w:val="00915B81"/>
    <w:rsid w:val="00915DD4"/>
    <w:rsid w:val="00916048"/>
    <w:rsid w:val="009161F6"/>
    <w:rsid w:val="00916367"/>
    <w:rsid w:val="009166C6"/>
    <w:rsid w:val="009166ED"/>
    <w:rsid w:val="00916E69"/>
    <w:rsid w:val="00916E79"/>
    <w:rsid w:val="00916EC7"/>
    <w:rsid w:val="00917132"/>
    <w:rsid w:val="00917B47"/>
    <w:rsid w:val="00917E0E"/>
    <w:rsid w:val="009202C3"/>
    <w:rsid w:val="0092058E"/>
    <w:rsid w:val="009206E3"/>
    <w:rsid w:val="009208BE"/>
    <w:rsid w:val="00920DF2"/>
    <w:rsid w:val="009211E5"/>
    <w:rsid w:val="009212F3"/>
    <w:rsid w:val="00921683"/>
    <w:rsid w:val="00921A51"/>
    <w:rsid w:val="00921ADF"/>
    <w:rsid w:val="00922052"/>
    <w:rsid w:val="0092215D"/>
    <w:rsid w:val="00922187"/>
    <w:rsid w:val="00922374"/>
    <w:rsid w:val="00923260"/>
    <w:rsid w:val="009236D0"/>
    <w:rsid w:val="00923AC7"/>
    <w:rsid w:val="00923E15"/>
    <w:rsid w:val="00923E31"/>
    <w:rsid w:val="00924205"/>
    <w:rsid w:val="00924551"/>
    <w:rsid w:val="009246DC"/>
    <w:rsid w:val="00925466"/>
    <w:rsid w:val="009255CC"/>
    <w:rsid w:val="009256D2"/>
    <w:rsid w:val="00925DBF"/>
    <w:rsid w:val="009260FC"/>
    <w:rsid w:val="00926662"/>
    <w:rsid w:val="009266D2"/>
    <w:rsid w:val="00926871"/>
    <w:rsid w:val="00926906"/>
    <w:rsid w:val="0092699E"/>
    <w:rsid w:val="00926A31"/>
    <w:rsid w:val="00926AD6"/>
    <w:rsid w:val="00926AF5"/>
    <w:rsid w:val="00926BC2"/>
    <w:rsid w:val="00926CB7"/>
    <w:rsid w:val="00926E33"/>
    <w:rsid w:val="00927101"/>
    <w:rsid w:val="0092755F"/>
    <w:rsid w:val="0092763B"/>
    <w:rsid w:val="009276BC"/>
    <w:rsid w:val="00927BA2"/>
    <w:rsid w:val="00927E14"/>
    <w:rsid w:val="00927ED5"/>
    <w:rsid w:val="009304A7"/>
    <w:rsid w:val="00930609"/>
    <w:rsid w:val="009309CC"/>
    <w:rsid w:val="00930C5B"/>
    <w:rsid w:val="00930D13"/>
    <w:rsid w:val="00930D15"/>
    <w:rsid w:val="0093107E"/>
    <w:rsid w:val="00931268"/>
    <w:rsid w:val="00931B47"/>
    <w:rsid w:val="00931E90"/>
    <w:rsid w:val="0093252C"/>
    <w:rsid w:val="0093260F"/>
    <w:rsid w:val="009326D8"/>
    <w:rsid w:val="009326DB"/>
    <w:rsid w:val="009327C3"/>
    <w:rsid w:val="00933677"/>
    <w:rsid w:val="009336A7"/>
    <w:rsid w:val="009337B1"/>
    <w:rsid w:val="00933867"/>
    <w:rsid w:val="00933A73"/>
    <w:rsid w:val="00933C20"/>
    <w:rsid w:val="00933C57"/>
    <w:rsid w:val="00933D1B"/>
    <w:rsid w:val="00933E03"/>
    <w:rsid w:val="00934195"/>
    <w:rsid w:val="0093436A"/>
    <w:rsid w:val="00934640"/>
    <w:rsid w:val="009347B9"/>
    <w:rsid w:val="00934930"/>
    <w:rsid w:val="00934A23"/>
    <w:rsid w:val="00934A53"/>
    <w:rsid w:val="00934DB2"/>
    <w:rsid w:val="009350B3"/>
    <w:rsid w:val="00935196"/>
    <w:rsid w:val="00935E4B"/>
    <w:rsid w:val="00936031"/>
    <w:rsid w:val="00936363"/>
    <w:rsid w:val="00936430"/>
    <w:rsid w:val="009364E5"/>
    <w:rsid w:val="00936695"/>
    <w:rsid w:val="009366C1"/>
    <w:rsid w:val="00936753"/>
    <w:rsid w:val="00936A7F"/>
    <w:rsid w:val="00936E84"/>
    <w:rsid w:val="0093728D"/>
    <w:rsid w:val="00937340"/>
    <w:rsid w:val="009373E8"/>
    <w:rsid w:val="009377C9"/>
    <w:rsid w:val="00937896"/>
    <w:rsid w:val="0093793E"/>
    <w:rsid w:val="00937A92"/>
    <w:rsid w:val="00937C54"/>
    <w:rsid w:val="00937C5E"/>
    <w:rsid w:val="00937D02"/>
    <w:rsid w:val="00937F38"/>
    <w:rsid w:val="00937FC5"/>
    <w:rsid w:val="009402F0"/>
    <w:rsid w:val="009404F8"/>
    <w:rsid w:val="009407F2"/>
    <w:rsid w:val="009409A3"/>
    <w:rsid w:val="00940E7E"/>
    <w:rsid w:val="00940F9F"/>
    <w:rsid w:val="009411DF"/>
    <w:rsid w:val="0094154F"/>
    <w:rsid w:val="0094185C"/>
    <w:rsid w:val="00941BC7"/>
    <w:rsid w:val="00941D43"/>
    <w:rsid w:val="00942082"/>
    <w:rsid w:val="009421EF"/>
    <w:rsid w:val="0094221C"/>
    <w:rsid w:val="00942259"/>
    <w:rsid w:val="00942423"/>
    <w:rsid w:val="009424CC"/>
    <w:rsid w:val="00942552"/>
    <w:rsid w:val="009426F3"/>
    <w:rsid w:val="00942BBF"/>
    <w:rsid w:val="00942E6D"/>
    <w:rsid w:val="00942F57"/>
    <w:rsid w:val="00943091"/>
    <w:rsid w:val="00943117"/>
    <w:rsid w:val="0094365F"/>
    <w:rsid w:val="00943B33"/>
    <w:rsid w:val="0094445C"/>
    <w:rsid w:val="00944630"/>
    <w:rsid w:val="009449B6"/>
    <w:rsid w:val="00944FAE"/>
    <w:rsid w:val="00945012"/>
    <w:rsid w:val="009451E9"/>
    <w:rsid w:val="0094523E"/>
    <w:rsid w:val="00945372"/>
    <w:rsid w:val="00945736"/>
    <w:rsid w:val="009458F7"/>
    <w:rsid w:val="00945A35"/>
    <w:rsid w:val="00945AF0"/>
    <w:rsid w:val="009464D6"/>
    <w:rsid w:val="0094678A"/>
    <w:rsid w:val="009470F1"/>
    <w:rsid w:val="00947472"/>
    <w:rsid w:val="009478EC"/>
    <w:rsid w:val="009500FE"/>
    <w:rsid w:val="00950377"/>
    <w:rsid w:val="00950660"/>
    <w:rsid w:val="009506FA"/>
    <w:rsid w:val="0095084B"/>
    <w:rsid w:val="00950A5E"/>
    <w:rsid w:val="00950A65"/>
    <w:rsid w:val="00950EA8"/>
    <w:rsid w:val="0095101B"/>
    <w:rsid w:val="0095121C"/>
    <w:rsid w:val="009512E0"/>
    <w:rsid w:val="00951355"/>
    <w:rsid w:val="0095143C"/>
    <w:rsid w:val="00951A63"/>
    <w:rsid w:val="00951B2E"/>
    <w:rsid w:val="00952077"/>
    <w:rsid w:val="009520D4"/>
    <w:rsid w:val="00952772"/>
    <w:rsid w:val="009527A5"/>
    <w:rsid w:val="009528CD"/>
    <w:rsid w:val="00954259"/>
    <w:rsid w:val="009542A7"/>
    <w:rsid w:val="00954D99"/>
    <w:rsid w:val="00955090"/>
    <w:rsid w:val="0095510C"/>
    <w:rsid w:val="00955270"/>
    <w:rsid w:val="0095566B"/>
    <w:rsid w:val="00955798"/>
    <w:rsid w:val="00955F92"/>
    <w:rsid w:val="009563B3"/>
    <w:rsid w:val="009563CD"/>
    <w:rsid w:val="00956600"/>
    <w:rsid w:val="0095694C"/>
    <w:rsid w:val="00956A10"/>
    <w:rsid w:val="00956FCA"/>
    <w:rsid w:val="0095724E"/>
    <w:rsid w:val="00957602"/>
    <w:rsid w:val="009576A7"/>
    <w:rsid w:val="00957917"/>
    <w:rsid w:val="00957C08"/>
    <w:rsid w:val="00957C9B"/>
    <w:rsid w:val="00957CCA"/>
    <w:rsid w:val="00957CEB"/>
    <w:rsid w:val="00957D57"/>
    <w:rsid w:val="00957F12"/>
    <w:rsid w:val="0096049C"/>
    <w:rsid w:val="00960AC4"/>
    <w:rsid w:val="00960F02"/>
    <w:rsid w:val="00961252"/>
    <w:rsid w:val="009612A0"/>
    <w:rsid w:val="00961EDF"/>
    <w:rsid w:val="00961EF2"/>
    <w:rsid w:val="00961FA4"/>
    <w:rsid w:val="0096248B"/>
    <w:rsid w:val="009625C0"/>
    <w:rsid w:val="0096267D"/>
    <w:rsid w:val="009626B4"/>
    <w:rsid w:val="009626FC"/>
    <w:rsid w:val="009627FF"/>
    <w:rsid w:val="009628DF"/>
    <w:rsid w:val="00962C8B"/>
    <w:rsid w:val="00962E98"/>
    <w:rsid w:val="00962F11"/>
    <w:rsid w:val="00962FBD"/>
    <w:rsid w:val="00963565"/>
    <w:rsid w:val="009636A0"/>
    <w:rsid w:val="009636BA"/>
    <w:rsid w:val="00963778"/>
    <w:rsid w:val="009637C6"/>
    <w:rsid w:val="009639ED"/>
    <w:rsid w:val="00963B47"/>
    <w:rsid w:val="00963F49"/>
    <w:rsid w:val="009640C1"/>
    <w:rsid w:val="00964719"/>
    <w:rsid w:val="00964792"/>
    <w:rsid w:val="009648DA"/>
    <w:rsid w:val="00964BE3"/>
    <w:rsid w:val="00964C78"/>
    <w:rsid w:val="00964D2E"/>
    <w:rsid w:val="00964D45"/>
    <w:rsid w:val="0096506F"/>
    <w:rsid w:val="0096509C"/>
    <w:rsid w:val="009650CE"/>
    <w:rsid w:val="00965874"/>
    <w:rsid w:val="009659AD"/>
    <w:rsid w:val="00965BD6"/>
    <w:rsid w:val="009663A9"/>
    <w:rsid w:val="009665B6"/>
    <w:rsid w:val="0096679B"/>
    <w:rsid w:val="00966AC1"/>
    <w:rsid w:val="00966B73"/>
    <w:rsid w:val="00966BA8"/>
    <w:rsid w:val="00966C00"/>
    <w:rsid w:val="0096723B"/>
    <w:rsid w:val="0096728C"/>
    <w:rsid w:val="009674EA"/>
    <w:rsid w:val="009674F6"/>
    <w:rsid w:val="009675C6"/>
    <w:rsid w:val="009675FA"/>
    <w:rsid w:val="009678E7"/>
    <w:rsid w:val="00967985"/>
    <w:rsid w:val="00967AD4"/>
    <w:rsid w:val="00967C37"/>
    <w:rsid w:val="00967D1A"/>
    <w:rsid w:val="0097023A"/>
    <w:rsid w:val="009703F9"/>
    <w:rsid w:val="009703FA"/>
    <w:rsid w:val="00970479"/>
    <w:rsid w:val="00970D88"/>
    <w:rsid w:val="00970F2F"/>
    <w:rsid w:val="00971111"/>
    <w:rsid w:val="0097175E"/>
    <w:rsid w:val="009717DF"/>
    <w:rsid w:val="00971B05"/>
    <w:rsid w:val="00971B9C"/>
    <w:rsid w:val="00971D10"/>
    <w:rsid w:val="00971DBD"/>
    <w:rsid w:val="00971DE5"/>
    <w:rsid w:val="00972144"/>
    <w:rsid w:val="00972736"/>
    <w:rsid w:val="0097291D"/>
    <w:rsid w:val="00972A8E"/>
    <w:rsid w:val="00972D4D"/>
    <w:rsid w:val="0097390C"/>
    <w:rsid w:val="00973AD2"/>
    <w:rsid w:val="00973E7A"/>
    <w:rsid w:val="009742A8"/>
    <w:rsid w:val="009743AA"/>
    <w:rsid w:val="009745E7"/>
    <w:rsid w:val="0097464E"/>
    <w:rsid w:val="00974681"/>
    <w:rsid w:val="00974707"/>
    <w:rsid w:val="00974B0F"/>
    <w:rsid w:val="00974C4C"/>
    <w:rsid w:val="00974EB2"/>
    <w:rsid w:val="00974F1B"/>
    <w:rsid w:val="00975019"/>
    <w:rsid w:val="00975A9D"/>
    <w:rsid w:val="0097626F"/>
    <w:rsid w:val="00976466"/>
    <w:rsid w:val="0097647E"/>
    <w:rsid w:val="0097664A"/>
    <w:rsid w:val="00976780"/>
    <w:rsid w:val="0097697E"/>
    <w:rsid w:val="00976AAA"/>
    <w:rsid w:val="00976C24"/>
    <w:rsid w:val="00976C87"/>
    <w:rsid w:val="0097700A"/>
    <w:rsid w:val="009772F3"/>
    <w:rsid w:val="009775D3"/>
    <w:rsid w:val="00977759"/>
    <w:rsid w:val="00977C43"/>
    <w:rsid w:val="00977CC2"/>
    <w:rsid w:val="00980002"/>
    <w:rsid w:val="00980321"/>
    <w:rsid w:val="0098046A"/>
    <w:rsid w:val="009807C2"/>
    <w:rsid w:val="009808D8"/>
    <w:rsid w:val="00980CC7"/>
    <w:rsid w:val="00980FFD"/>
    <w:rsid w:val="00981014"/>
    <w:rsid w:val="009811B4"/>
    <w:rsid w:val="009813EB"/>
    <w:rsid w:val="009815CE"/>
    <w:rsid w:val="00981650"/>
    <w:rsid w:val="009818AF"/>
    <w:rsid w:val="00981B9C"/>
    <w:rsid w:val="00981C67"/>
    <w:rsid w:val="00981C78"/>
    <w:rsid w:val="00981D0D"/>
    <w:rsid w:val="00981F66"/>
    <w:rsid w:val="009821DF"/>
    <w:rsid w:val="009824C3"/>
    <w:rsid w:val="00982B85"/>
    <w:rsid w:val="00982B87"/>
    <w:rsid w:val="00982DE4"/>
    <w:rsid w:val="00983211"/>
    <w:rsid w:val="00983327"/>
    <w:rsid w:val="0098353D"/>
    <w:rsid w:val="00983B78"/>
    <w:rsid w:val="00983BF6"/>
    <w:rsid w:val="00985159"/>
    <w:rsid w:val="00985318"/>
    <w:rsid w:val="00985CE0"/>
    <w:rsid w:val="00986331"/>
    <w:rsid w:val="009865C0"/>
    <w:rsid w:val="009866BC"/>
    <w:rsid w:val="00986715"/>
    <w:rsid w:val="00986A14"/>
    <w:rsid w:val="00986B6F"/>
    <w:rsid w:val="00987188"/>
    <w:rsid w:val="00987BF5"/>
    <w:rsid w:val="0099022B"/>
    <w:rsid w:val="00990595"/>
    <w:rsid w:val="009905B5"/>
    <w:rsid w:val="009906F5"/>
    <w:rsid w:val="00990856"/>
    <w:rsid w:val="00990979"/>
    <w:rsid w:val="009909F6"/>
    <w:rsid w:val="009910F9"/>
    <w:rsid w:val="0099118B"/>
    <w:rsid w:val="009914AB"/>
    <w:rsid w:val="009917E9"/>
    <w:rsid w:val="00991B71"/>
    <w:rsid w:val="00991DED"/>
    <w:rsid w:val="0099257A"/>
    <w:rsid w:val="0099261E"/>
    <w:rsid w:val="009928B4"/>
    <w:rsid w:val="00992C03"/>
    <w:rsid w:val="0099307E"/>
    <w:rsid w:val="009932EB"/>
    <w:rsid w:val="009935B5"/>
    <w:rsid w:val="00993604"/>
    <w:rsid w:val="00993701"/>
    <w:rsid w:val="00993741"/>
    <w:rsid w:val="0099374C"/>
    <w:rsid w:val="00993790"/>
    <w:rsid w:val="009939E5"/>
    <w:rsid w:val="00993A46"/>
    <w:rsid w:val="00993C00"/>
    <w:rsid w:val="00993D21"/>
    <w:rsid w:val="00993FBF"/>
    <w:rsid w:val="00994144"/>
    <w:rsid w:val="009942D7"/>
    <w:rsid w:val="009943B7"/>
    <w:rsid w:val="00994593"/>
    <w:rsid w:val="00994949"/>
    <w:rsid w:val="00994BD5"/>
    <w:rsid w:val="00995B73"/>
    <w:rsid w:val="00995C8D"/>
    <w:rsid w:val="0099606B"/>
    <w:rsid w:val="0099662E"/>
    <w:rsid w:val="009967BA"/>
    <w:rsid w:val="00996851"/>
    <w:rsid w:val="00996915"/>
    <w:rsid w:val="00996918"/>
    <w:rsid w:val="00996D7E"/>
    <w:rsid w:val="009971D1"/>
    <w:rsid w:val="00997741"/>
    <w:rsid w:val="009977D0"/>
    <w:rsid w:val="00997C38"/>
    <w:rsid w:val="009A0102"/>
    <w:rsid w:val="009A029A"/>
    <w:rsid w:val="009A0839"/>
    <w:rsid w:val="009A0C1D"/>
    <w:rsid w:val="009A0E76"/>
    <w:rsid w:val="009A0F0A"/>
    <w:rsid w:val="009A141D"/>
    <w:rsid w:val="009A1702"/>
    <w:rsid w:val="009A173A"/>
    <w:rsid w:val="009A17BF"/>
    <w:rsid w:val="009A182A"/>
    <w:rsid w:val="009A1878"/>
    <w:rsid w:val="009A18FA"/>
    <w:rsid w:val="009A1A50"/>
    <w:rsid w:val="009A1D4C"/>
    <w:rsid w:val="009A208C"/>
    <w:rsid w:val="009A2152"/>
    <w:rsid w:val="009A2525"/>
    <w:rsid w:val="009A2C11"/>
    <w:rsid w:val="009A2F3E"/>
    <w:rsid w:val="009A2FF0"/>
    <w:rsid w:val="009A3AA9"/>
    <w:rsid w:val="009A3B28"/>
    <w:rsid w:val="009A42A8"/>
    <w:rsid w:val="009A5022"/>
    <w:rsid w:val="009A5407"/>
    <w:rsid w:val="009A5B12"/>
    <w:rsid w:val="009A5BC4"/>
    <w:rsid w:val="009A5C0D"/>
    <w:rsid w:val="009A5EDE"/>
    <w:rsid w:val="009A62DB"/>
    <w:rsid w:val="009A692B"/>
    <w:rsid w:val="009A6A07"/>
    <w:rsid w:val="009A6E43"/>
    <w:rsid w:val="009A70E7"/>
    <w:rsid w:val="009A711C"/>
    <w:rsid w:val="009A729D"/>
    <w:rsid w:val="009A7655"/>
    <w:rsid w:val="009A76E3"/>
    <w:rsid w:val="009A7C90"/>
    <w:rsid w:val="009A7FAF"/>
    <w:rsid w:val="009B03B4"/>
    <w:rsid w:val="009B04AD"/>
    <w:rsid w:val="009B0510"/>
    <w:rsid w:val="009B0590"/>
    <w:rsid w:val="009B07B8"/>
    <w:rsid w:val="009B0B67"/>
    <w:rsid w:val="009B0C5F"/>
    <w:rsid w:val="009B10F3"/>
    <w:rsid w:val="009B1223"/>
    <w:rsid w:val="009B13E6"/>
    <w:rsid w:val="009B1420"/>
    <w:rsid w:val="009B14E8"/>
    <w:rsid w:val="009B19ED"/>
    <w:rsid w:val="009B1A5A"/>
    <w:rsid w:val="009B1A9C"/>
    <w:rsid w:val="009B1C97"/>
    <w:rsid w:val="009B245F"/>
    <w:rsid w:val="009B2B23"/>
    <w:rsid w:val="009B314E"/>
    <w:rsid w:val="009B3334"/>
    <w:rsid w:val="009B33D2"/>
    <w:rsid w:val="009B34AC"/>
    <w:rsid w:val="009B3771"/>
    <w:rsid w:val="009B3C78"/>
    <w:rsid w:val="009B41E9"/>
    <w:rsid w:val="009B4292"/>
    <w:rsid w:val="009B4331"/>
    <w:rsid w:val="009B43EA"/>
    <w:rsid w:val="009B48EE"/>
    <w:rsid w:val="009B4E16"/>
    <w:rsid w:val="009B522F"/>
    <w:rsid w:val="009B5465"/>
    <w:rsid w:val="009B55DA"/>
    <w:rsid w:val="009B5B47"/>
    <w:rsid w:val="009B5CAE"/>
    <w:rsid w:val="009B5ECA"/>
    <w:rsid w:val="009B5EE7"/>
    <w:rsid w:val="009B5F3D"/>
    <w:rsid w:val="009B643B"/>
    <w:rsid w:val="009B64F4"/>
    <w:rsid w:val="009B67EA"/>
    <w:rsid w:val="009B6CF6"/>
    <w:rsid w:val="009B6FD1"/>
    <w:rsid w:val="009B710F"/>
    <w:rsid w:val="009B734E"/>
    <w:rsid w:val="009B7728"/>
    <w:rsid w:val="009B780F"/>
    <w:rsid w:val="009B7AC7"/>
    <w:rsid w:val="009B7E2B"/>
    <w:rsid w:val="009C0127"/>
    <w:rsid w:val="009C08A9"/>
    <w:rsid w:val="009C0A43"/>
    <w:rsid w:val="009C10B5"/>
    <w:rsid w:val="009C12D4"/>
    <w:rsid w:val="009C157E"/>
    <w:rsid w:val="009C1A03"/>
    <w:rsid w:val="009C1BF4"/>
    <w:rsid w:val="009C1F78"/>
    <w:rsid w:val="009C2286"/>
    <w:rsid w:val="009C2505"/>
    <w:rsid w:val="009C2639"/>
    <w:rsid w:val="009C31AA"/>
    <w:rsid w:val="009C32EA"/>
    <w:rsid w:val="009C34AB"/>
    <w:rsid w:val="009C3659"/>
    <w:rsid w:val="009C36E2"/>
    <w:rsid w:val="009C3CB0"/>
    <w:rsid w:val="009C3E54"/>
    <w:rsid w:val="009C4060"/>
    <w:rsid w:val="009C4455"/>
    <w:rsid w:val="009C4CD3"/>
    <w:rsid w:val="009C4D8C"/>
    <w:rsid w:val="009C52FF"/>
    <w:rsid w:val="009C5861"/>
    <w:rsid w:val="009C58CB"/>
    <w:rsid w:val="009C5B69"/>
    <w:rsid w:val="009C5EC8"/>
    <w:rsid w:val="009C5FD9"/>
    <w:rsid w:val="009C63BE"/>
    <w:rsid w:val="009C711F"/>
    <w:rsid w:val="009C71A4"/>
    <w:rsid w:val="009C742F"/>
    <w:rsid w:val="009C7828"/>
    <w:rsid w:val="009D0332"/>
    <w:rsid w:val="009D03F5"/>
    <w:rsid w:val="009D04AA"/>
    <w:rsid w:val="009D0E82"/>
    <w:rsid w:val="009D10F7"/>
    <w:rsid w:val="009D166D"/>
    <w:rsid w:val="009D1782"/>
    <w:rsid w:val="009D1A85"/>
    <w:rsid w:val="009D1AE6"/>
    <w:rsid w:val="009D1CCA"/>
    <w:rsid w:val="009D1E67"/>
    <w:rsid w:val="009D2448"/>
    <w:rsid w:val="009D249D"/>
    <w:rsid w:val="009D24CE"/>
    <w:rsid w:val="009D26F2"/>
    <w:rsid w:val="009D2A79"/>
    <w:rsid w:val="009D2BEA"/>
    <w:rsid w:val="009D2C4B"/>
    <w:rsid w:val="009D2CE0"/>
    <w:rsid w:val="009D3026"/>
    <w:rsid w:val="009D33AB"/>
    <w:rsid w:val="009D38A7"/>
    <w:rsid w:val="009D4170"/>
    <w:rsid w:val="009D432D"/>
    <w:rsid w:val="009D4AFA"/>
    <w:rsid w:val="009D5291"/>
    <w:rsid w:val="009D58AC"/>
    <w:rsid w:val="009D5929"/>
    <w:rsid w:val="009D5A36"/>
    <w:rsid w:val="009D5D13"/>
    <w:rsid w:val="009D63CE"/>
    <w:rsid w:val="009D6539"/>
    <w:rsid w:val="009D699B"/>
    <w:rsid w:val="009D7379"/>
    <w:rsid w:val="009D73F1"/>
    <w:rsid w:val="009D76C1"/>
    <w:rsid w:val="009D7BDA"/>
    <w:rsid w:val="009D7DC4"/>
    <w:rsid w:val="009E08B6"/>
    <w:rsid w:val="009E09C1"/>
    <w:rsid w:val="009E0A73"/>
    <w:rsid w:val="009E0E02"/>
    <w:rsid w:val="009E1029"/>
    <w:rsid w:val="009E1309"/>
    <w:rsid w:val="009E152A"/>
    <w:rsid w:val="009E1549"/>
    <w:rsid w:val="009E1563"/>
    <w:rsid w:val="009E1663"/>
    <w:rsid w:val="009E18EC"/>
    <w:rsid w:val="009E1B60"/>
    <w:rsid w:val="009E1CCA"/>
    <w:rsid w:val="009E1DAA"/>
    <w:rsid w:val="009E2514"/>
    <w:rsid w:val="009E270F"/>
    <w:rsid w:val="009E2838"/>
    <w:rsid w:val="009E2EA5"/>
    <w:rsid w:val="009E2EB5"/>
    <w:rsid w:val="009E2EBB"/>
    <w:rsid w:val="009E32B4"/>
    <w:rsid w:val="009E34E5"/>
    <w:rsid w:val="009E363A"/>
    <w:rsid w:val="009E373F"/>
    <w:rsid w:val="009E389E"/>
    <w:rsid w:val="009E3B3F"/>
    <w:rsid w:val="009E3DC8"/>
    <w:rsid w:val="009E3E51"/>
    <w:rsid w:val="009E4014"/>
    <w:rsid w:val="009E4054"/>
    <w:rsid w:val="009E423C"/>
    <w:rsid w:val="009E4C8A"/>
    <w:rsid w:val="009E4D07"/>
    <w:rsid w:val="009E4D50"/>
    <w:rsid w:val="009E4EF8"/>
    <w:rsid w:val="009E50D7"/>
    <w:rsid w:val="009E51AC"/>
    <w:rsid w:val="009E52CE"/>
    <w:rsid w:val="009E5785"/>
    <w:rsid w:val="009E57F5"/>
    <w:rsid w:val="009E5A2E"/>
    <w:rsid w:val="009E5B8D"/>
    <w:rsid w:val="009E5D61"/>
    <w:rsid w:val="009E5D6C"/>
    <w:rsid w:val="009E6155"/>
    <w:rsid w:val="009E6211"/>
    <w:rsid w:val="009E6402"/>
    <w:rsid w:val="009E641F"/>
    <w:rsid w:val="009E6F85"/>
    <w:rsid w:val="009E712F"/>
    <w:rsid w:val="009E716B"/>
    <w:rsid w:val="009E71D7"/>
    <w:rsid w:val="009E7DF0"/>
    <w:rsid w:val="009F0000"/>
    <w:rsid w:val="009F01BA"/>
    <w:rsid w:val="009F0341"/>
    <w:rsid w:val="009F059A"/>
    <w:rsid w:val="009F0857"/>
    <w:rsid w:val="009F0A06"/>
    <w:rsid w:val="009F0AA7"/>
    <w:rsid w:val="009F1361"/>
    <w:rsid w:val="009F16F8"/>
    <w:rsid w:val="009F1B81"/>
    <w:rsid w:val="009F1BFA"/>
    <w:rsid w:val="009F1D19"/>
    <w:rsid w:val="009F1D91"/>
    <w:rsid w:val="009F1DB3"/>
    <w:rsid w:val="009F1F99"/>
    <w:rsid w:val="009F21D2"/>
    <w:rsid w:val="009F262F"/>
    <w:rsid w:val="009F2648"/>
    <w:rsid w:val="009F2A27"/>
    <w:rsid w:val="009F2B19"/>
    <w:rsid w:val="009F2D51"/>
    <w:rsid w:val="009F2EF0"/>
    <w:rsid w:val="009F3101"/>
    <w:rsid w:val="009F335C"/>
    <w:rsid w:val="009F36EF"/>
    <w:rsid w:val="009F3ADC"/>
    <w:rsid w:val="009F3C3C"/>
    <w:rsid w:val="009F443E"/>
    <w:rsid w:val="009F448B"/>
    <w:rsid w:val="009F453C"/>
    <w:rsid w:val="009F4558"/>
    <w:rsid w:val="009F467A"/>
    <w:rsid w:val="009F4905"/>
    <w:rsid w:val="009F4A08"/>
    <w:rsid w:val="009F5027"/>
    <w:rsid w:val="009F5208"/>
    <w:rsid w:val="009F526F"/>
    <w:rsid w:val="009F5838"/>
    <w:rsid w:val="009F5B75"/>
    <w:rsid w:val="009F5E91"/>
    <w:rsid w:val="009F609E"/>
    <w:rsid w:val="009F61E5"/>
    <w:rsid w:val="009F624C"/>
    <w:rsid w:val="009F666C"/>
    <w:rsid w:val="009F669E"/>
    <w:rsid w:val="009F685D"/>
    <w:rsid w:val="009F6AF5"/>
    <w:rsid w:val="009F6D5A"/>
    <w:rsid w:val="009F6D5C"/>
    <w:rsid w:val="009F7A5A"/>
    <w:rsid w:val="00A0077D"/>
    <w:rsid w:val="00A00A78"/>
    <w:rsid w:val="00A00D64"/>
    <w:rsid w:val="00A01187"/>
    <w:rsid w:val="00A01894"/>
    <w:rsid w:val="00A01D1E"/>
    <w:rsid w:val="00A01EB6"/>
    <w:rsid w:val="00A02A0D"/>
    <w:rsid w:val="00A02BBA"/>
    <w:rsid w:val="00A02E27"/>
    <w:rsid w:val="00A02F50"/>
    <w:rsid w:val="00A03041"/>
    <w:rsid w:val="00A030DE"/>
    <w:rsid w:val="00A03262"/>
    <w:rsid w:val="00A0332D"/>
    <w:rsid w:val="00A03398"/>
    <w:rsid w:val="00A0362E"/>
    <w:rsid w:val="00A039F7"/>
    <w:rsid w:val="00A0424B"/>
    <w:rsid w:val="00A050E2"/>
    <w:rsid w:val="00A05256"/>
    <w:rsid w:val="00A052DA"/>
    <w:rsid w:val="00A0541B"/>
    <w:rsid w:val="00A054DA"/>
    <w:rsid w:val="00A055D2"/>
    <w:rsid w:val="00A05878"/>
    <w:rsid w:val="00A058C1"/>
    <w:rsid w:val="00A05BDF"/>
    <w:rsid w:val="00A05F26"/>
    <w:rsid w:val="00A06097"/>
    <w:rsid w:val="00A0640A"/>
    <w:rsid w:val="00A064EE"/>
    <w:rsid w:val="00A065BA"/>
    <w:rsid w:val="00A06832"/>
    <w:rsid w:val="00A06EBF"/>
    <w:rsid w:val="00A070AE"/>
    <w:rsid w:val="00A071D9"/>
    <w:rsid w:val="00A0749B"/>
    <w:rsid w:val="00A075E2"/>
    <w:rsid w:val="00A079FB"/>
    <w:rsid w:val="00A07F23"/>
    <w:rsid w:val="00A102E5"/>
    <w:rsid w:val="00A10695"/>
    <w:rsid w:val="00A10902"/>
    <w:rsid w:val="00A10BBF"/>
    <w:rsid w:val="00A10DA3"/>
    <w:rsid w:val="00A110B9"/>
    <w:rsid w:val="00A11A28"/>
    <w:rsid w:val="00A11D19"/>
    <w:rsid w:val="00A11ECE"/>
    <w:rsid w:val="00A11F4D"/>
    <w:rsid w:val="00A122F7"/>
    <w:rsid w:val="00A12622"/>
    <w:rsid w:val="00A126A1"/>
    <w:rsid w:val="00A1270E"/>
    <w:rsid w:val="00A12841"/>
    <w:rsid w:val="00A12882"/>
    <w:rsid w:val="00A1291C"/>
    <w:rsid w:val="00A12B84"/>
    <w:rsid w:val="00A1305F"/>
    <w:rsid w:val="00A13284"/>
    <w:rsid w:val="00A13691"/>
    <w:rsid w:val="00A13B5E"/>
    <w:rsid w:val="00A13D14"/>
    <w:rsid w:val="00A14347"/>
    <w:rsid w:val="00A14813"/>
    <w:rsid w:val="00A14AEF"/>
    <w:rsid w:val="00A14B07"/>
    <w:rsid w:val="00A14C36"/>
    <w:rsid w:val="00A14CE1"/>
    <w:rsid w:val="00A151EE"/>
    <w:rsid w:val="00A152E2"/>
    <w:rsid w:val="00A15A55"/>
    <w:rsid w:val="00A15C94"/>
    <w:rsid w:val="00A15D2A"/>
    <w:rsid w:val="00A15FAF"/>
    <w:rsid w:val="00A1644C"/>
    <w:rsid w:val="00A1671A"/>
    <w:rsid w:val="00A16957"/>
    <w:rsid w:val="00A16988"/>
    <w:rsid w:val="00A16E70"/>
    <w:rsid w:val="00A16FEE"/>
    <w:rsid w:val="00A175C6"/>
    <w:rsid w:val="00A179E0"/>
    <w:rsid w:val="00A17E8B"/>
    <w:rsid w:val="00A2001E"/>
    <w:rsid w:val="00A201C2"/>
    <w:rsid w:val="00A203F1"/>
    <w:rsid w:val="00A203FD"/>
    <w:rsid w:val="00A204B2"/>
    <w:rsid w:val="00A20958"/>
    <w:rsid w:val="00A20B47"/>
    <w:rsid w:val="00A20D74"/>
    <w:rsid w:val="00A21079"/>
    <w:rsid w:val="00A2139B"/>
    <w:rsid w:val="00A2153C"/>
    <w:rsid w:val="00A2185F"/>
    <w:rsid w:val="00A218F1"/>
    <w:rsid w:val="00A21B92"/>
    <w:rsid w:val="00A21C98"/>
    <w:rsid w:val="00A21EEE"/>
    <w:rsid w:val="00A21FFF"/>
    <w:rsid w:val="00A220B4"/>
    <w:rsid w:val="00A2226F"/>
    <w:rsid w:val="00A22467"/>
    <w:rsid w:val="00A22942"/>
    <w:rsid w:val="00A22CB7"/>
    <w:rsid w:val="00A22D51"/>
    <w:rsid w:val="00A22FED"/>
    <w:rsid w:val="00A2302D"/>
    <w:rsid w:val="00A23057"/>
    <w:rsid w:val="00A23306"/>
    <w:rsid w:val="00A2332E"/>
    <w:rsid w:val="00A23422"/>
    <w:rsid w:val="00A2373D"/>
    <w:rsid w:val="00A2407B"/>
    <w:rsid w:val="00A240CA"/>
    <w:rsid w:val="00A2452C"/>
    <w:rsid w:val="00A2469C"/>
    <w:rsid w:val="00A24DA9"/>
    <w:rsid w:val="00A24E00"/>
    <w:rsid w:val="00A24F4C"/>
    <w:rsid w:val="00A25061"/>
    <w:rsid w:val="00A25278"/>
    <w:rsid w:val="00A25294"/>
    <w:rsid w:val="00A2552E"/>
    <w:rsid w:val="00A25548"/>
    <w:rsid w:val="00A259FE"/>
    <w:rsid w:val="00A25C88"/>
    <w:rsid w:val="00A25E10"/>
    <w:rsid w:val="00A25F31"/>
    <w:rsid w:val="00A2617A"/>
    <w:rsid w:val="00A261E4"/>
    <w:rsid w:val="00A26A21"/>
    <w:rsid w:val="00A26BC9"/>
    <w:rsid w:val="00A26DED"/>
    <w:rsid w:val="00A26DF7"/>
    <w:rsid w:val="00A27434"/>
    <w:rsid w:val="00A27816"/>
    <w:rsid w:val="00A27878"/>
    <w:rsid w:val="00A27ED9"/>
    <w:rsid w:val="00A27FBF"/>
    <w:rsid w:val="00A30228"/>
    <w:rsid w:val="00A30243"/>
    <w:rsid w:val="00A303DC"/>
    <w:rsid w:val="00A3043E"/>
    <w:rsid w:val="00A30533"/>
    <w:rsid w:val="00A30779"/>
    <w:rsid w:val="00A308D8"/>
    <w:rsid w:val="00A30AA7"/>
    <w:rsid w:val="00A30B39"/>
    <w:rsid w:val="00A30B3D"/>
    <w:rsid w:val="00A30BF6"/>
    <w:rsid w:val="00A30D37"/>
    <w:rsid w:val="00A31294"/>
    <w:rsid w:val="00A31569"/>
    <w:rsid w:val="00A31ACD"/>
    <w:rsid w:val="00A31B08"/>
    <w:rsid w:val="00A32447"/>
    <w:rsid w:val="00A334B1"/>
    <w:rsid w:val="00A3369D"/>
    <w:rsid w:val="00A33768"/>
    <w:rsid w:val="00A33776"/>
    <w:rsid w:val="00A338F2"/>
    <w:rsid w:val="00A33D30"/>
    <w:rsid w:val="00A33E50"/>
    <w:rsid w:val="00A33FF0"/>
    <w:rsid w:val="00A340F0"/>
    <w:rsid w:val="00A349E9"/>
    <w:rsid w:val="00A34CE5"/>
    <w:rsid w:val="00A34DB4"/>
    <w:rsid w:val="00A34F75"/>
    <w:rsid w:val="00A350BE"/>
    <w:rsid w:val="00A3542A"/>
    <w:rsid w:val="00A35AA6"/>
    <w:rsid w:val="00A36712"/>
    <w:rsid w:val="00A36732"/>
    <w:rsid w:val="00A36840"/>
    <w:rsid w:val="00A36969"/>
    <w:rsid w:val="00A36A47"/>
    <w:rsid w:val="00A36C2F"/>
    <w:rsid w:val="00A36FC8"/>
    <w:rsid w:val="00A3720E"/>
    <w:rsid w:val="00A375A5"/>
    <w:rsid w:val="00A378DD"/>
    <w:rsid w:val="00A379D8"/>
    <w:rsid w:val="00A37CF4"/>
    <w:rsid w:val="00A400D2"/>
    <w:rsid w:val="00A404D2"/>
    <w:rsid w:val="00A40854"/>
    <w:rsid w:val="00A40BD6"/>
    <w:rsid w:val="00A414DF"/>
    <w:rsid w:val="00A41801"/>
    <w:rsid w:val="00A4197C"/>
    <w:rsid w:val="00A41A12"/>
    <w:rsid w:val="00A41B95"/>
    <w:rsid w:val="00A41BF5"/>
    <w:rsid w:val="00A41D1E"/>
    <w:rsid w:val="00A41D77"/>
    <w:rsid w:val="00A41DE8"/>
    <w:rsid w:val="00A421DD"/>
    <w:rsid w:val="00A422A9"/>
    <w:rsid w:val="00A426B7"/>
    <w:rsid w:val="00A426FC"/>
    <w:rsid w:val="00A427CD"/>
    <w:rsid w:val="00A42814"/>
    <w:rsid w:val="00A4286B"/>
    <w:rsid w:val="00A42B2E"/>
    <w:rsid w:val="00A43021"/>
    <w:rsid w:val="00A434FC"/>
    <w:rsid w:val="00A43735"/>
    <w:rsid w:val="00A43881"/>
    <w:rsid w:val="00A43A0A"/>
    <w:rsid w:val="00A43B1E"/>
    <w:rsid w:val="00A43CE4"/>
    <w:rsid w:val="00A43D81"/>
    <w:rsid w:val="00A44077"/>
    <w:rsid w:val="00A441DF"/>
    <w:rsid w:val="00A4461A"/>
    <w:rsid w:val="00A4461F"/>
    <w:rsid w:val="00A4489D"/>
    <w:rsid w:val="00A44BDC"/>
    <w:rsid w:val="00A45459"/>
    <w:rsid w:val="00A4573B"/>
    <w:rsid w:val="00A45752"/>
    <w:rsid w:val="00A4585B"/>
    <w:rsid w:val="00A459DE"/>
    <w:rsid w:val="00A45B98"/>
    <w:rsid w:val="00A45DD8"/>
    <w:rsid w:val="00A46164"/>
    <w:rsid w:val="00A46319"/>
    <w:rsid w:val="00A463A3"/>
    <w:rsid w:val="00A46573"/>
    <w:rsid w:val="00A46989"/>
    <w:rsid w:val="00A46F91"/>
    <w:rsid w:val="00A47224"/>
    <w:rsid w:val="00A472FA"/>
    <w:rsid w:val="00A476E1"/>
    <w:rsid w:val="00A47876"/>
    <w:rsid w:val="00A47CC1"/>
    <w:rsid w:val="00A47FAE"/>
    <w:rsid w:val="00A501D6"/>
    <w:rsid w:val="00A50653"/>
    <w:rsid w:val="00A5067C"/>
    <w:rsid w:val="00A5084E"/>
    <w:rsid w:val="00A50D68"/>
    <w:rsid w:val="00A51028"/>
    <w:rsid w:val="00A51350"/>
    <w:rsid w:val="00A5153D"/>
    <w:rsid w:val="00A517A7"/>
    <w:rsid w:val="00A517DE"/>
    <w:rsid w:val="00A51C3A"/>
    <w:rsid w:val="00A51CB0"/>
    <w:rsid w:val="00A51CDD"/>
    <w:rsid w:val="00A52009"/>
    <w:rsid w:val="00A5214D"/>
    <w:rsid w:val="00A525BD"/>
    <w:rsid w:val="00A52A5B"/>
    <w:rsid w:val="00A52C28"/>
    <w:rsid w:val="00A52DF8"/>
    <w:rsid w:val="00A532EE"/>
    <w:rsid w:val="00A5351F"/>
    <w:rsid w:val="00A53AC9"/>
    <w:rsid w:val="00A53C1B"/>
    <w:rsid w:val="00A54218"/>
    <w:rsid w:val="00A54542"/>
    <w:rsid w:val="00A54D31"/>
    <w:rsid w:val="00A5508E"/>
    <w:rsid w:val="00A5541F"/>
    <w:rsid w:val="00A555D3"/>
    <w:rsid w:val="00A55755"/>
    <w:rsid w:val="00A55792"/>
    <w:rsid w:val="00A557D1"/>
    <w:rsid w:val="00A55AA1"/>
    <w:rsid w:val="00A56101"/>
    <w:rsid w:val="00A56236"/>
    <w:rsid w:val="00A562A7"/>
    <w:rsid w:val="00A562E4"/>
    <w:rsid w:val="00A56B4E"/>
    <w:rsid w:val="00A56FB8"/>
    <w:rsid w:val="00A5704B"/>
    <w:rsid w:val="00A57A05"/>
    <w:rsid w:val="00A57A39"/>
    <w:rsid w:val="00A57B0C"/>
    <w:rsid w:val="00A60377"/>
    <w:rsid w:val="00A60464"/>
    <w:rsid w:val="00A606DA"/>
    <w:rsid w:val="00A6079A"/>
    <w:rsid w:val="00A607CF"/>
    <w:rsid w:val="00A608C1"/>
    <w:rsid w:val="00A6120E"/>
    <w:rsid w:val="00A61210"/>
    <w:rsid w:val="00A6121C"/>
    <w:rsid w:val="00A617AD"/>
    <w:rsid w:val="00A61B2C"/>
    <w:rsid w:val="00A61EDF"/>
    <w:rsid w:val="00A61EE5"/>
    <w:rsid w:val="00A620F3"/>
    <w:rsid w:val="00A62207"/>
    <w:rsid w:val="00A62209"/>
    <w:rsid w:val="00A62216"/>
    <w:rsid w:val="00A6228F"/>
    <w:rsid w:val="00A624AA"/>
    <w:rsid w:val="00A6265F"/>
    <w:rsid w:val="00A6284A"/>
    <w:rsid w:val="00A628EC"/>
    <w:rsid w:val="00A62934"/>
    <w:rsid w:val="00A62B8A"/>
    <w:rsid w:val="00A62BBB"/>
    <w:rsid w:val="00A63088"/>
    <w:rsid w:val="00A6319A"/>
    <w:rsid w:val="00A63899"/>
    <w:rsid w:val="00A63DBF"/>
    <w:rsid w:val="00A63DDA"/>
    <w:rsid w:val="00A63ECE"/>
    <w:rsid w:val="00A63F89"/>
    <w:rsid w:val="00A64313"/>
    <w:rsid w:val="00A64543"/>
    <w:rsid w:val="00A645EE"/>
    <w:rsid w:val="00A64CB3"/>
    <w:rsid w:val="00A64CF4"/>
    <w:rsid w:val="00A64E04"/>
    <w:rsid w:val="00A65087"/>
    <w:rsid w:val="00A6543F"/>
    <w:rsid w:val="00A65548"/>
    <w:rsid w:val="00A65619"/>
    <w:rsid w:val="00A656FB"/>
    <w:rsid w:val="00A65D0E"/>
    <w:rsid w:val="00A65F56"/>
    <w:rsid w:val="00A66174"/>
    <w:rsid w:val="00A6664E"/>
    <w:rsid w:val="00A66A06"/>
    <w:rsid w:val="00A66CD1"/>
    <w:rsid w:val="00A66E98"/>
    <w:rsid w:val="00A66EBF"/>
    <w:rsid w:val="00A66FB5"/>
    <w:rsid w:val="00A66FF0"/>
    <w:rsid w:val="00A67011"/>
    <w:rsid w:val="00A67BE6"/>
    <w:rsid w:val="00A70015"/>
    <w:rsid w:val="00A70276"/>
    <w:rsid w:val="00A70341"/>
    <w:rsid w:val="00A7071F"/>
    <w:rsid w:val="00A707E3"/>
    <w:rsid w:val="00A7081B"/>
    <w:rsid w:val="00A70A4D"/>
    <w:rsid w:val="00A70AB7"/>
    <w:rsid w:val="00A70D7C"/>
    <w:rsid w:val="00A70FA5"/>
    <w:rsid w:val="00A71809"/>
    <w:rsid w:val="00A71A9A"/>
    <w:rsid w:val="00A72007"/>
    <w:rsid w:val="00A72151"/>
    <w:rsid w:val="00A7240D"/>
    <w:rsid w:val="00A725F0"/>
    <w:rsid w:val="00A726E1"/>
    <w:rsid w:val="00A7287A"/>
    <w:rsid w:val="00A72FFD"/>
    <w:rsid w:val="00A730DD"/>
    <w:rsid w:val="00A73198"/>
    <w:rsid w:val="00A732D3"/>
    <w:rsid w:val="00A732E6"/>
    <w:rsid w:val="00A7358D"/>
    <w:rsid w:val="00A73A6D"/>
    <w:rsid w:val="00A73BF0"/>
    <w:rsid w:val="00A73DE7"/>
    <w:rsid w:val="00A73E60"/>
    <w:rsid w:val="00A744DB"/>
    <w:rsid w:val="00A74523"/>
    <w:rsid w:val="00A7487C"/>
    <w:rsid w:val="00A74896"/>
    <w:rsid w:val="00A74997"/>
    <w:rsid w:val="00A74AEF"/>
    <w:rsid w:val="00A74BF2"/>
    <w:rsid w:val="00A74CD3"/>
    <w:rsid w:val="00A74DAF"/>
    <w:rsid w:val="00A74FAB"/>
    <w:rsid w:val="00A752D3"/>
    <w:rsid w:val="00A7532A"/>
    <w:rsid w:val="00A755D9"/>
    <w:rsid w:val="00A75715"/>
    <w:rsid w:val="00A75817"/>
    <w:rsid w:val="00A75EE5"/>
    <w:rsid w:val="00A76051"/>
    <w:rsid w:val="00A760E3"/>
    <w:rsid w:val="00A76312"/>
    <w:rsid w:val="00A7639A"/>
    <w:rsid w:val="00A764CF"/>
    <w:rsid w:val="00A76983"/>
    <w:rsid w:val="00A77125"/>
    <w:rsid w:val="00A77316"/>
    <w:rsid w:val="00A774AE"/>
    <w:rsid w:val="00A77917"/>
    <w:rsid w:val="00A77A13"/>
    <w:rsid w:val="00A77E20"/>
    <w:rsid w:val="00A80253"/>
    <w:rsid w:val="00A8060B"/>
    <w:rsid w:val="00A808BD"/>
    <w:rsid w:val="00A80917"/>
    <w:rsid w:val="00A80AC0"/>
    <w:rsid w:val="00A80CF2"/>
    <w:rsid w:val="00A80E09"/>
    <w:rsid w:val="00A80EE4"/>
    <w:rsid w:val="00A81085"/>
    <w:rsid w:val="00A810A6"/>
    <w:rsid w:val="00A81193"/>
    <w:rsid w:val="00A81209"/>
    <w:rsid w:val="00A813DF"/>
    <w:rsid w:val="00A817E3"/>
    <w:rsid w:val="00A81927"/>
    <w:rsid w:val="00A81AC6"/>
    <w:rsid w:val="00A81C00"/>
    <w:rsid w:val="00A8202F"/>
    <w:rsid w:val="00A8208A"/>
    <w:rsid w:val="00A8276B"/>
    <w:rsid w:val="00A82897"/>
    <w:rsid w:val="00A82AC9"/>
    <w:rsid w:val="00A82DB4"/>
    <w:rsid w:val="00A836A7"/>
    <w:rsid w:val="00A836FA"/>
    <w:rsid w:val="00A8385E"/>
    <w:rsid w:val="00A83B69"/>
    <w:rsid w:val="00A83DB7"/>
    <w:rsid w:val="00A83EE4"/>
    <w:rsid w:val="00A84129"/>
    <w:rsid w:val="00A843E6"/>
    <w:rsid w:val="00A84A7D"/>
    <w:rsid w:val="00A84BFD"/>
    <w:rsid w:val="00A84C3C"/>
    <w:rsid w:val="00A84CF7"/>
    <w:rsid w:val="00A84EBB"/>
    <w:rsid w:val="00A84EFD"/>
    <w:rsid w:val="00A85121"/>
    <w:rsid w:val="00A85134"/>
    <w:rsid w:val="00A852D7"/>
    <w:rsid w:val="00A856B7"/>
    <w:rsid w:val="00A85A6A"/>
    <w:rsid w:val="00A85BCC"/>
    <w:rsid w:val="00A85DD1"/>
    <w:rsid w:val="00A85FA3"/>
    <w:rsid w:val="00A86139"/>
    <w:rsid w:val="00A8613E"/>
    <w:rsid w:val="00A8652A"/>
    <w:rsid w:val="00A867C0"/>
    <w:rsid w:val="00A86D0F"/>
    <w:rsid w:val="00A8723E"/>
    <w:rsid w:val="00A87298"/>
    <w:rsid w:val="00A87A5D"/>
    <w:rsid w:val="00A87C4E"/>
    <w:rsid w:val="00A87DB4"/>
    <w:rsid w:val="00A87F9F"/>
    <w:rsid w:val="00A87FE8"/>
    <w:rsid w:val="00A90055"/>
    <w:rsid w:val="00A900E8"/>
    <w:rsid w:val="00A9012A"/>
    <w:rsid w:val="00A901E5"/>
    <w:rsid w:val="00A90451"/>
    <w:rsid w:val="00A904FE"/>
    <w:rsid w:val="00A90B8F"/>
    <w:rsid w:val="00A90BCA"/>
    <w:rsid w:val="00A90C43"/>
    <w:rsid w:val="00A90D31"/>
    <w:rsid w:val="00A90D7D"/>
    <w:rsid w:val="00A90DC9"/>
    <w:rsid w:val="00A9109B"/>
    <w:rsid w:val="00A9114A"/>
    <w:rsid w:val="00A91211"/>
    <w:rsid w:val="00A9127C"/>
    <w:rsid w:val="00A91376"/>
    <w:rsid w:val="00A9194C"/>
    <w:rsid w:val="00A91AE5"/>
    <w:rsid w:val="00A91AF9"/>
    <w:rsid w:val="00A91D01"/>
    <w:rsid w:val="00A91D71"/>
    <w:rsid w:val="00A923A6"/>
    <w:rsid w:val="00A92616"/>
    <w:rsid w:val="00A92847"/>
    <w:rsid w:val="00A92C78"/>
    <w:rsid w:val="00A93096"/>
    <w:rsid w:val="00A932DA"/>
    <w:rsid w:val="00A93AB8"/>
    <w:rsid w:val="00A93DF6"/>
    <w:rsid w:val="00A93EE7"/>
    <w:rsid w:val="00A93EF6"/>
    <w:rsid w:val="00A9415C"/>
    <w:rsid w:val="00A9447F"/>
    <w:rsid w:val="00A94552"/>
    <w:rsid w:val="00A945A2"/>
    <w:rsid w:val="00A949C1"/>
    <w:rsid w:val="00A94AA5"/>
    <w:rsid w:val="00A94ACD"/>
    <w:rsid w:val="00A94CD3"/>
    <w:rsid w:val="00A94D0B"/>
    <w:rsid w:val="00A94E02"/>
    <w:rsid w:val="00A94E9C"/>
    <w:rsid w:val="00A953D5"/>
    <w:rsid w:val="00A9577F"/>
    <w:rsid w:val="00A959AA"/>
    <w:rsid w:val="00A959E4"/>
    <w:rsid w:val="00A95EED"/>
    <w:rsid w:val="00A96354"/>
    <w:rsid w:val="00A96B17"/>
    <w:rsid w:val="00A971B8"/>
    <w:rsid w:val="00A971CC"/>
    <w:rsid w:val="00A972A4"/>
    <w:rsid w:val="00A97449"/>
    <w:rsid w:val="00A97B96"/>
    <w:rsid w:val="00A97BA9"/>
    <w:rsid w:val="00A97C82"/>
    <w:rsid w:val="00A97DEA"/>
    <w:rsid w:val="00A97EA1"/>
    <w:rsid w:val="00A97FE0"/>
    <w:rsid w:val="00AA0168"/>
    <w:rsid w:val="00AA021F"/>
    <w:rsid w:val="00AA0380"/>
    <w:rsid w:val="00AA053F"/>
    <w:rsid w:val="00AA09CD"/>
    <w:rsid w:val="00AA0B9B"/>
    <w:rsid w:val="00AA0C82"/>
    <w:rsid w:val="00AA0D6A"/>
    <w:rsid w:val="00AA0E53"/>
    <w:rsid w:val="00AA0E73"/>
    <w:rsid w:val="00AA11E5"/>
    <w:rsid w:val="00AA1D3F"/>
    <w:rsid w:val="00AA20C7"/>
    <w:rsid w:val="00AA23E7"/>
    <w:rsid w:val="00AA2A80"/>
    <w:rsid w:val="00AA2C31"/>
    <w:rsid w:val="00AA2F83"/>
    <w:rsid w:val="00AA301F"/>
    <w:rsid w:val="00AA32A2"/>
    <w:rsid w:val="00AA360A"/>
    <w:rsid w:val="00AA3697"/>
    <w:rsid w:val="00AA388D"/>
    <w:rsid w:val="00AA3AB2"/>
    <w:rsid w:val="00AA3ED3"/>
    <w:rsid w:val="00AA4A92"/>
    <w:rsid w:val="00AA4AA5"/>
    <w:rsid w:val="00AA4AB3"/>
    <w:rsid w:val="00AA4AC9"/>
    <w:rsid w:val="00AA4E00"/>
    <w:rsid w:val="00AA4F88"/>
    <w:rsid w:val="00AA503E"/>
    <w:rsid w:val="00AA5062"/>
    <w:rsid w:val="00AA507D"/>
    <w:rsid w:val="00AA5321"/>
    <w:rsid w:val="00AA53A9"/>
    <w:rsid w:val="00AA5539"/>
    <w:rsid w:val="00AA575B"/>
    <w:rsid w:val="00AA6101"/>
    <w:rsid w:val="00AA63F3"/>
    <w:rsid w:val="00AA687A"/>
    <w:rsid w:val="00AA6884"/>
    <w:rsid w:val="00AA695C"/>
    <w:rsid w:val="00AA69E4"/>
    <w:rsid w:val="00AA6AE6"/>
    <w:rsid w:val="00AA6DFC"/>
    <w:rsid w:val="00AA6F4E"/>
    <w:rsid w:val="00AA7395"/>
    <w:rsid w:val="00AA7796"/>
    <w:rsid w:val="00AA7881"/>
    <w:rsid w:val="00AA795C"/>
    <w:rsid w:val="00AA7BDD"/>
    <w:rsid w:val="00AA7E72"/>
    <w:rsid w:val="00AA7EE5"/>
    <w:rsid w:val="00AA7FB5"/>
    <w:rsid w:val="00AB0033"/>
    <w:rsid w:val="00AB0323"/>
    <w:rsid w:val="00AB082F"/>
    <w:rsid w:val="00AB0A64"/>
    <w:rsid w:val="00AB0B76"/>
    <w:rsid w:val="00AB0C03"/>
    <w:rsid w:val="00AB0D5B"/>
    <w:rsid w:val="00AB0DBF"/>
    <w:rsid w:val="00AB11D6"/>
    <w:rsid w:val="00AB1244"/>
    <w:rsid w:val="00AB13F6"/>
    <w:rsid w:val="00AB15C7"/>
    <w:rsid w:val="00AB1A4C"/>
    <w:rsid w:val="00AB2108"/>
    <w:rsid w:val="00AB232F"/>
    <w:rsid w:val="00AB25A0"/>
    <w:rsid w:val="00AB2792"/>
    <w:rsid w:val="00AB2A42"/>
    <w:rsid w:val="00AB2A75"/>
    <w:rsid w:val="00AB3948"/>
    <w:rsid w:val="00AB3AD8"/>
    <w:rsid w:val="00AB3C30"/>
    <w:rsid w:val="00AB3CA3"/>
    <w:rsid w:val="00AB44A4"/>
    <w:rsid w:val="00AB46AB"/>
    <w:rsid w:val="00AB484C"/>
    <w:rsid w:val="00AB4B7D"/>
    <w:rsid w:val="00AB4C7A"/>
    <w:rsid w:val="00AB4C8F"/>
    <w:rsid w:val="00AB4DD6"/>
    <w:rsid w:val="00AB4F49"/>
    <w:rsid w:val="00AB4FE9"/>
    <w:rsid w:val="00AB5307"/>
    <w:rsid w:val="00AB53FE"/>
    <w:rsid w:val="00AB56C8"/>
    <w:rsid w:val="00AB5F92"/>
    <w:rsid w:val="00AB6174"/>
    <w:rsid w:val="00AB6895"/>
    <w:rsid w:val="00AB69BA"/>
    <w:rsid w:val="00AB6BF6"/>
    <w:rsid w:val="00AB71DF"/>
    <w:rsid w:val="00AB73EC"/>
    <w:rsid w:val="00AB74C5"/>
    <w:rsid w:val="00AB7657"/>
    <w:rsid w:val="00AB7909"/>
    <w:rsid w:val="00AB7C05"/>
    <w:rsid w:val="00ABB551"/>
    <w:rsid w:val="00AC000A"/>
    <w:rsid w:val="00AC020E"/>
    <w:rsid w:val="00AC0227"/>
    <w:rsid w:val="00AC0519"/>
    <w:rsid w:val="00AC05A7"/>
    <w:rsid w:val="00AC08D2"/>
    <w:rsid w:val="00AC12BC"/>
    <w:rsid w:val="00AC13CB"/>
    <w:rsid w:val="00AC1508"/>
    <w:rsid w:val="00AC162B"/>
    <w:rsid w:val="00AC1807"/>
    <w:rsid w:val="00AC1808"/>
    <w:rsid w:val="00AC1BEE"/>
    <w:rsid w:val="00AC1D8B"/>
    <w:rsid w:val="00AC1EA2"/>
    <w:rsid w:val="00AC28C6"/>
    <w:rsid w:val="00AC2B3F"/>
    <w:rsid w:val="00AC2CCD"/>
    <w:rsid w:val="00AC2F25"/>
    <w:rsid w:val="00AC30A9"/>
    <w:rsid w:val="00AC30FE"/>
    <w:rsid w:val="00AC36F0"/>
    <w:rsid w:val="00AC370B"/>
    <w:rsid w:val="00AC3CBB"/>
    <w:rsid w:val="00AC3D4C"/>
    <w:rsid w:val="00AC4067"/>
    <w:rsid w:val="00AC41E4"/>
    <w:rsid w:val="00AC46BB"/>
    <w:rsid w:val="00AC478B"/>
    <w:rsid w:val="00AC4B4D"/>
    <w:rsid w:val="00AC4BDA"/>
    <w:rsid w:val="00AC4C25"/>
    <w:rsid w:val="00AC5417"/>
    <w:rsid w:val="00AC5460"/>
    <w:rsid w:val="00AC5648"/>
    <w:rsid w:val="00AC56C2"/>
    <w:rsid w:val="00AC56F6"/>
    <w:rsid w:val="00AC5969"/>
    <w:rsid w:val="00AC5B07"/>
    <w:rsid w:val="00AC5D0E"/>
    <w:rsid w:val="00AC5E63"/>
    <w:rsid w:val="00AC60DC"/>
    <w:rsid w:val="00AC6566"/>
    <w:rsid w:val="00AC66EC"/>
    <w:rsid w:val="00AC6987"/>
    <w:rsid w:val="00AC6B32"/>
    <w:rsid w:val="00AC6F0E"/>
    <w:rsid w:val="00AC70B8"/>
    <w:rsid w:val="00AC7696"/>
    <w:rsid w:val="00AC78F2"/>
    <w:rsid w:val="00AD00FD"/>
    <w:rsid w:val="00AD0262"/>
    <w:rsid w:val="00AD02A5"/>
    <w:rsid w:val="00AD0388"/>
    <w:rsid w:val="00AD0395"/>
    <w:rsid w:val="00AD0759"/>
    <w:rsid w:val="00AD08CA"/>
    <w:rsid w:val="00AD0A41"/>
    <w:rsid w:val="00AD0B6C"/>
    <w:rsid w:val="00AD0C81"/>
    <w:rsid w:val="00AD14B8"/>
    <w:rsid w:val="00AD1711"/>
    <w:rsid w:val="00AD177E"/>
    <w:rsid w:val="00AD1B00"/>
    <w:rsid w:val="00AD1C5D"/>
    <w:rsid w:val="00AD1C9C"/>
    <w:rsid w:val="00AD1CC1"/>
    <w:rsid w:val="00AD1EB1"/>
    <w:rsid w:val="00AD2145"/>
    <w:rsid w:val="00AD23E6"/>
    <w:rsid w:val="00AD2571"/>
    <w:rsid w:val="00AD2603"/>
    <w:rsid w:val="00AD2656"/>
    <w:rsid w:val="00AD2BC6"/>
    <w:rsid w:val="00AD2DB5"/>
    <w:rsid w:val="00AD2DFC"/>
    <w:rsid w:val="00AD2E7A"/>
    <w:rsid w:val="00AD327C"/>
    <w:rsid w:val="00AD3456"/>
    <w:rsid w:val="00AD388E"/>
    <w:rsid w:val="00AD38DA"/>
    <w:rsid w:val="00AD3B18"/>
    <w:rsid w:val="00AD3B9B"/>
    <w:rsid w:val="00AD3BB8"/>
    <w:rsid w:val="00AD402B"/>
    <w:rsid w:val="00AD4500"/>
    <w:rsid w:val="00AD49FC"/>
    <w:rsid w:val="00AD4AD9"/>
    <w:rsid w:val="00AD4B9E"/>
    <w:rsid w:val="00AD50E3"/>
    <w:rsid w:val="00AD541B"/>
    <w:rsid w:val="00AD5877"/>
    <w:rsid w:val="00AD5B5E"/>
    <w:rsid w:val="00AD5D78"/>
    <w:rsid w:val="00AD5E68"/>
    <w:rsid w:val="00AD63BF"/>
    <w:rsid w:val="00AD6577"/>
    <w:rsid w:val="00AD6DC9"/>
    <w:rsid w:val="00AD70B7"/>
    <w:rsid w:val="00AD7321"/>
    <w:rsid w:val="00AD7383"/>
    <w:rsid w:val="00AD7A7A"/>
    <w:rsid w:val="00AD7AF7"/>
    <w:rsid w:val="00AD7B30"/>
    <w:rsid w:val="00AD7D6D"/>
    <w:rsid w:val="00AD7D8B"/>
    <w:rsid w:val="00AE096C"/>
    <w:rsid w:val="00AE0D8E"/>
    <w:rsid w:val="00AE0F2B"/>
    <w:rsid w:val="00AE1707"/>
    <w:rsid w:val="00AE1953"/>
    <w:rsid w:val="00AE1AA6"/>
    <w:rsid w:val="00AE1CB4"/>
    <w:rsid w:val="00AE1EED"/>
    <w:rsid w:val="00AE2001"/>
    <w:rsid w:val="00AE2230"/>
    <w:rsid w:val="00AE27B2"/>
    <w:rsid w:val="00AE29C8"/>
    <w:rsid w:val="00AE2A78"/>
    <w:rsid w:val="00AE2AAD"/>
    <w:rsid w:val="00AE310C"/>
    <w:rsid w:val="00AE31AF"/>
    <w:rsid w:val="00AE3348"/>
    <w:rsid w:val="00AE39B4"/>
    <w:rsid w:val="00AE3A02"/>
    <w:rsid w:val="00AE3C55"/>
    <w:rsid w:val="00AE3DF2"/>
    <w:rsid w:val="00AE41B9"/>
    <w:rsid w:val="00AE47AA"/>
    <w:rsid w:val="00AE495D"/>
    <w:rsid w:val="00AE4AA1"/>
    <w:rsid w:val="00AE5196"/>
    <w:rsid w:val="00AE559F"/>
    <w:rsid w:val="00AE5E3E"/>
    <w:rsid w:val="00AE5F5D"/>
    <w:rsid w:val="00AE6025"/>
    <w:rsid w:val="00AE622E"/>
    <w:rsid w:val="00AE632C"/>
    <w:rsid w:val="00AE6536"/>
    <w:rsid w:val="00AE67C9"/>
    <w:rsid w:val="00AE68CA"/>
    <w:rsid w:val="00AE69A2"/>
    <w:rsid w:val="00AE69E9"/>
    <w:rsid w:val="00AE6FDA"/>
    <w:rsid w:val="00AE7113"/>
    <w:rsid w:val="00AE712E"/>
    <w:rsid w:val="00AE758C"/>
    <w:rsid w:val="00AE7639"/>
    <w:rsid w:val="00AE78B1"/>
    <w:rsid w:val="00AE7A1A"/>
    <w:rsid w:val="00AE9B09"/>
    <w:rsid w:val="00AF0030"/>
    <w:rsid w:val="00AF0263"/>
    <w:rsid w:val="00AF0610"/>
    <w:rsid w:val="00AF10AC"/>
    <w:rsid w:val="00AF10F1"/>
    <w:rsid w:val="00AF147F"/>
    <w:rsid w:val="00AF1993"/>
    <w:rsid w:val="00AF1A22"/>
    <w:rsid w:val="00AF1B8A"/>
    <w:rsid w:val="00AF1D85"/>
    <w:rsid w:val="00AF1D8F"/>
    <w:rsid w:val="00AF2447"/>
    <w:rsid w:val="00AF2579"/>
    <w:rsid w:val="00AF2893"/>
    <w:rsid w:val="00AF290F"/>
    <w:rsid w:val="00AF2F6F"/>
    <w:rsid w:val="00AF3407"/>
    <w:rsid w:val="00AF3906"/>
    <w:rsid w:val="00AF4300"/>
    <w:rsid w:val="00AF44BD"/>
    <w:rsid w:val="00AF4855"/>
    <w:rsid w:val="00AF4BE7"/>
    <w:rsid w:val="00AF4CB6"/>
    <w:rsid w:val="00AF4FD6"/>
    <w:rsid w:val="00AF5303"/>
    <w:rsid w:val="00AF57B3"/>
    <w:rsid w:val="00AF58B3"/>
    <w:rsid w:val="00AF58D5"/>
    <w:rsid w:val="00AF5AE5"/>
    <w:rsid w:val="00AF6026"/>
    <w:rsid w:val="00AF696E"/>
    <w:rsid w:val="00AF6AB0"/>
    <w:rsid w:val="00AF6D14"/>
    <w:rsid w:val="00AF6F88"/>
    <w:rsid w:val="00AF7827"/>
    <w:rsid w:val="00B002C6"/>
    <w:rsid w:val="00B003A1"/>
    <w:rsid w:val="00B006FE"/>
    <w:rsid w:val="00B00959"/>
    <w:rsid w:val="00B00B1E"/>
    <w:rsid w:val="00B01054"/>
    <w:rsid w:val="00B010BD"/>
    <w:rsid w:val="00B012AB"/>
    <w:rsid w:val="00B01302"/>
    <w:rsid w:val="00B0169A"/>
    <w:rsid w:val="00B01ADF"/>
    <w:rsid w:val="00B023AA"/>
    <w:rsid w:val="00B025CC"/>
    <w:rsid w:val="00B0282B"/>
    <w:rsid w:val="00B02CA8"/>
    <w:rsid w:val="00B02D32"/>
    <w:rsid w:val="00B030E8"/>
    <w:rsid w:val="00B033A1"/>
    <w:rsid w:val="00B0358D"/>
    <w:rsid w:val="00B035D7"/>
    <w:rsid w:val="00B0371D"/>
    <w:rsid w:val="00B037A0"/>
    <w:rsid w:val="00B038F5"/>
    <w:rsid w:val="00B03FB8"/>
    <w:rsid w:val="00B04874"/>
    <w:rsid w:val="00B048A4"/>
    <w:rsid w:val="00B04E3B"/>
    <w:rsid w:val="00B0531D"/>
    <w:rsid w:val="00B053D8"/>
    <w:rsid w:val="00B0599B"/>
    <w:rsid w:val="00B05C16"/>
    <w:rsid w:val="00B06520"/>
    <w:rsid w:val="00B06617"/>
    <w:rsid w:val="00B06921"/>
    <w:rsid w:val="00B06AA9"/>
    <w:rsid w:val="00B06D52"/>
    <w:rsid w:val="00B06FB7"/>
    <w:rsid w:val="00B0732E"/>
    <w:rsid w:val="00B0762C"/>
    <w:rsid w:val="00B07D5B"/>
    <w:rsid w:val="00B07FB7"/>
    <w:rsid w:val="00B102F2"/>
    <w:rsid w:val="00B10316"/>
    <w:rsid w:val="00B10707"/>
    <w:rsid w:val="00B10781"/>
    <w:rsid w:val="00B1083B"/>
    <w:rsid w:val="00B108F5"/>
    <w:rsid w:val="00B1099A"/>
    <w:rsid w:val="00B10F0A"/>
    <w:rsid w:val="00B11A08"/>
    <w:rsid w:val="00B11E54"/>
    <w:rsid w:val="00B120C3"/>
    <w:rsid w:val="00B1214B"/>
    <w:rsid w:val="00B1220B"/>
    <w:rsid w:val="00B1220D"/>
    <w:rsid w:val="00B122A6"/>
    <w:rsid w:val="00B123F4"/>
    <w:rsid w:val="00B1247C"/>
    <w:rsid w:val="00B12498"/>
    <w:rsid w:val="00B12A0A"/>
    <w:rsid w:val="00B12C5F"/>
    <w:rsid w:val="00B12C7F"/>
    <w:rsid w:val="00B12E7A"/>
    <w:rsid w:val="00B13218"/>
    <w:rsid w:val="00B132AC"/>
    <w:rsid w:val="00B13681"/>
    <w:rsid w:val="00B137F9"/>
    <w:rsid w:val="00B139E9"/>
    <w:rsid w:val="00B13BFC"/>
    <w:rsid w:val="00B13F4E"/>
    <w:rsid w:val="00B13FB0"/>
    <w:rsid w:val="00B13FDD"/>
    <w:rsid w:val="00B142D0"/>
    <w:rsid w:val="00B143C8"/>
    <w:rsid w:val="00B14573"/>
    <w:rsid w:val="00B14C44"/>
    <w:rsid w:val="00B14D91"/>
    <w:rsid w:val="00B14F48"/>
    <w:rsid w:val="00B150BE"/>
    <w:rsid w:val="00B153B3"/>
    <w:rsid w:val="00B15645"/>
    <w:rsid w:val="00B15742"/>
    <w:rsid w:val="00B1578C"/>
    <w:rsid w:val="00B15EDE"/>
    <w:rsid w:val="00B165D3"/>
    <w:rsid w:val="00B16985"/>
    <w:rsid w:val="00B16C6A"/>
    <w:rsid w:val="00B17002"/>
    <w:rsid w:val="00B1707B"/>
    <w:rsid w:val="00B17661"/>
    <w:rsid w:val="00B1775A"/>
    <w:rsid w:val="00B17949"/>
    <w:rsid w:val="00B17A48"/>
    <w:rsid w:val="00B17D7E"/>
    <w:rsid w:val="00B200C1"/>
    <w:rsid w:val="00B202FC"/>
    <w:rsid w:val="00B2036C"/>
    <w:rsid w:val="00B20694"/>
    <w:rsid w:val="00B20743"/>
    <w:rsid w:val="00B20762"/>
    <w:rsid w:val="00B20784"/>
    <w:rsid w:val="00B209B5"/>
    <w:rsid w:val="00B20B85"/>
    <w:rsid w:val="00B211E6"/>
    <w:rsid w:val="00B2141C"/>
    <w:rsid w:val="00B217D2"/>
    <w:rsid w:val="00B21916"/>
    <w:rsid w:val="00B21A9F"/>
    <w:rsid w:val="00B21BDD"/>
    <w:rsid w:val="00B21C91"/>
    <w:rsid w:val="00B22170"/>
    <w:rsid w:val="00B22885"/>
    <w:rsid w:val="00B22E77"/>
    <w:rsid w:val="00B22FD3"/>
    <w:rsid w:val="00B231F1"/>
    <w:rsid w:val="00B2356E"/>
    <w:rsid w:val="00B239ED"/>
    <w:rsid w:val="00B23A73"/>
    <w:rsid w:val="00B23EEF"/>
    <w:rsid w:val="00B23FF4"/>
    <w:rsid w:val="00B24308"/>
    <w:rsid w:val="00B24495"/>
    <w:rsid w:val="00B244FF"/>
    <w:rsid w:val="00B245A8"/>
    <w:rsid w:val="00B25046"/>
    <w:rsid w:val="00B25D2B"/>
    <w:rsid w:val="00B260B6"/>
    <w:rsid w:val="00B26253"/>
    <w:rsid w:val="00B26361"/>
    <w:rsid w:val="00B264B6"/>
    <w:rsid w:val="00B26605"/>
    <w:rsid w:val="00B2674F"/>
    <w:rsid w:val="00B2711E"/>
    <w:rsid w:val="00B27539"/>
    <w:rsid w:val="00B275AC"/>
    <w:rsid w:val="00B27734"/>
    <w:rsid w:val="00B27881"/>
    <w:rsid w:val="00B27AEA"/>
    <w:rsid w:val="00B301C9"/>
    <w:rsid w:val="00B30542"/>
    <w:rsid w:val="00B3073F"/>
    <w:rsid w:val="00B309AF"/>
    <w:rsid w:val="00B30B53"/>
    <w:rsid w:val="00B30EA9"/>
    <w:rsid w:val="00B3130B"/>
    <w:rsid w:val="00B316E2"/>
    <w:rsid w:val="00B31A38"/>
    <w:rsid w:val="00B31D11"/>
    <w:rsid w:val="00B31D90"/>
    <w:rsid w:val="00B327BB"/>
    <w:rsid w:val="00B32B66"/>
    <w:rsid w:val="00B333D4"/>
    <w:rsid w:val="00B33942"/>
    <w:rsid w:val="00B33B8D"/>
    <w:rsid w:val="00B33C0A"/>
    <w:rsid w:val="00B33DF6"/>
    <w:rsid w:val="00B33E95"/>
    <w:rsid w:val="00B3403A"/>
    <w:rsid w:val="00B341F2"/>
    <w:rsid w:val="00B3436B"/>
    <w:rsid w:val="00B346CA"/>
    <w:rsid w:val="00B34985"/>
    <w:rsid w:val="00B3516F"/>
    <w:rsid w:val="00B3517D"/>
    <w:rsid w:val="00B3544A"/>
    <w:rsid w:val="00B35634"/>
    <w:rsid w:val="00B356AA"/>
    <w:rsid w:val="00B35DF5"/>
    <w:rsid w:val="00B3608D"/>
    <w:rsid w:val="00B365A6"/>
    <w:rsid w:val="00B3665F"/>
    <w:rsid w:val="00B3697E"/>
    <w:rsid w:val="00B369A5"/>
    <w:rsid w:val="00B36BF3"/>
    <w:rsid w:val="00B36C11"/>
    <w:rsid w:val="00B37189"/>
    <w:rsid w:val="00B3731F"/>
    <w:rsid w:val="00B37565"/>
    <w:rsid w:val="00B37667"/>
    <w:rsid w:val="00B37682"/>
    <w:rsid w:val="00B378BB"/>
    <w:rsid w:val="00B37FB7"/>
    <w:rsid w:val="00B40555"/>
    <w:rsid w:val="00B406A3"/>
    <w:rsid w:val="00B406F3"/>
    <w:rsid w:val="00B40957"/>
    <w:rsid w:val="00B40BF2"/>
    <w:rsid w:val="00B40E77"/>
    <w:rsid w:val="00B40F29"/>
    <w:rsid w:val="00B415D5"/>
    <w:rsid w:val="00B41982"/>
    <w:rsid w:val="00B41C88"/>
    <w:rsid w:val="00B41DF5"/>
    <w:rsid w:val="00B41EA4"/>
    <w:rsid w:val="00B42241"/>
    <w:rsid w:val="00B42667"/>
    <w:rsid w:val="00B42C00"/>
    <w:rsid w:val="00B432FF"/>
    <w:rsid w:val="00B43941"/>
    <w:rsid w:val="00B439C5"/>
    <w:rsid w:val="00B439CF"/>
    <w:rsid w:val="00B43CAD"/>
    <w:rsid w:val="00B43D52"/>
    <w:rsid w:val="00B440F9"/>
    <w:rsid w:val="00B442F6"/>
    <w:rsid w:val="00B446A7"/>
    <w:rsid w:val="00B44773"/>
    <w:rsid w:val="00B4486A"/>
    <w:rsid w:val="00B44A7B"/>
    <w:rsid w:val="00B44B61"/>
    <w:rsid w:val="00B44BFF"/>
    <w:rsid w:val="00B44E87"/>
    <w:rsid w:val="00B44F6B"/>
    <w:rsid w:val="00B45089"/>
    <w:rsid w:val="00B45851"/>
    <w:rsid w:val="00B45A1F"/>
    <w:rsid w:val="00B45A85"/>
    <w:rsid w:val="00B45DED"/>
    <w:rsid w:val="00B45E6F"/>
    <w:rsid w:val="00B4609F"/>
    <w:rsid w:val="00B460BB"/>
    <w:rsid w:val="00B46172"/>
    <w:rsid w:val="00B46357"/>
    <w:rsid w:val="00B46376"/>
    <w:rsid w:val="00B46902"/>
    <w:rsid w:val="00B46C7C"/>
    <w:rsid w:val="00B46DC2"/>
    <w:rsid w:val="00B470A5"/>
    <w:rsid w:val="00B47413"/>
    <w:rsid w:val="00B5000B"/>
    <w:rsid w:val="00B5013D"/>
    <w:rsid w:val="00B5037E"/>
    <w:rsid w:val="00B50B50"/>
    <w:rsid w:val="00B50BCC"/>
    <w:rsid w:val="00B50E67"/>
    <w:rsid w:val="00B50EF0"/>
    <w:rsid w:val="00B514C5"/>
    <w:rsid w:val="00B515F2"/>
    <w:rsid w:val="00B5167A"/>
    <w:rsid w:val="00B51AEF"/>
    <w:rsid w:val="00B5202C"/>
    <w:rsid w:val="00B521A0"/>
    <w:rsid w:val="00B5232C"/>
    <w:rsid w:val="00B52347"/>
    <w:rsid w:val="00B526F4"/>
    <w:rsid w:val="00B52752"/>
    <w:rsid w:val="00B52A21"/>
    <w:rsid w:val="00B52A2E"/>
    <w:rsid w:val="00B52D51"/>
    <w:rsid w:val="00B531CA"/>
    <w:rsid w:val="00B532DB"/>
    <w:rsid w:val="00B537F6"/>
    <w:rsid w:val="00B53AA3"/>
    <w:rsid w:val="00B53AC2"/>
    <w:rsid w:val="00B53AF0"/>
    <w:rsid w:val="00B53BA1"/>
    <w:rsid w:val="00B53EA7"/>
    <w:rsid w:val="00B540D3"/>
    <w:rsid w:val="00B54253"/>
    <w:rsid w:val="00B545CC"/>
    <w:rsid w:val="00B545DC"/>
    <w:rsid w:val="00B54794"/>
    <w:rsid w:val="00B547A7"/>
    <w:rsid w:val="00B54E47"/>
    <w:rsid w:val="00B54E51"/>
    <w:rsid w:val="00B5508C"/>
    <w:rsid w:val="00B55480"/>
    <w:rsid w:val="00B55646"/>
    <w:rsid w:val="00B5599B"/>
    <w:rsid w:val="00B55AE4"/>
    <w:rsid w:val="00B55BE3"/>
    <w:rsid w:val="00B55BFC"/>
    <w:rsid w:val="00B55C43"/>
    <w:rsid w:val="00B55DFA"/>
    <w:rsid w:val="00B563CF"/>
    <w:rsid w:val="00B56B78"/>
    <w:rsid w:val="00B56CBA"/>
    <w:rsid w:val="00B56F73"/>
    <w:rsid w:val="00B5734F"/>
    <w:rsid w:val="00B57AAF"/>
    <w:rsid w:val="00B57ADA"/>
    <w:rsid w:val="00B57BC1"/>
    <w:rsid w:val="00B57CD2"/>
    <w:rsid w:val="00B60030"/>
    <w:rsid w:val="00B603AD"/>
    <w:rsid w:val="00B6079B"/>
    <w:rsid w:val="00B609B6"/>
    <w:rsid w:val="00B61430"/>
    <w:rsid w:val="00B61664"/>
    <w:rsid w:val="00B61C2E"/>
    <w:rsid w:val="00B61C32"/>
    <w:rsid w:val="00B61F87"/>
    <w:rsid w:val="00B63069"/>
    <w:rsid w:val="00B631F8"/>
    <w:rsid w:val="00B63417"/>
    <w:rsid w:val="00B634E8"/>
    <w:rsid w:val="00B6391C"/>
    <w:rsid w:val="00B63B61"/>
    <w:rsid w:val="00B63BBD"/>
    <w:rsid w:val="00B63D2E"/>
    <w:rsid w:val="00B63DCC"/>
    <w:rsid w:val="00B63ED6"/>
    <w:rsid w:val="00B63FFB"/>
    <w:rsid w:val="00B645B3"/>
    <w:rsid w:val="00B648FF"/>
    <w:rsid w:val="00B64AB8"/>
    <w:rsid w:val="00B64E2F"/>
    <w:rsid w:val="00B64FA0"/>
    <w:rsid w:val="00B64FD1"/>
    <w:rsid w:val="00B6508A"/>
    <w:rsid w:val="00B65667"/>
    <w:rsid w:val="00B657FD"/>
    <w:rsid w:val="00B65CD1"/>
    <w:rsid w:val="00B65CF5"/>
    <w:rsid w:val="00B663EF"/>
    <w:rsid w:val="00B6641E"/>
    <w:rsid w:val="00B66A8F"/>
    <w:rsid w:val="00B66CCE"/>
    <w:rsid w:val="00B66FCD"/>
    <w:rsid w:val="00B671FB"/>
    <w:rsid w:val="00B678B2"/>
    <w:rsid w:val="00B67AB9"/>
    <w:rsid w:val="00B67B6B"/>
    <w:rsid w:val="00B67C70"/>
    <w:rsid w:val="00B67F6B"/>
    <w:rsid w:val="00B70035"/>
    <w:rsid w:val="00B70079"/>
    <w:rsid w:val="00B704BA"/>
    <w:rsid w:val="00B7058E"/>
    <w:rsid w:val="00B70BC5"/>
    <w:rsid w:val="00B71051"/>
    <w:rsid w:val="00B71171"/>
    <w:rsid w:val="00B7173C"/>
    <w:rsid w:val="00B71A11"/>
    <w:rsid w:val="00B71A8D"/>
    <w:rsid w:val="00B71ADB"/>
    <w:rsid w:val="00B71CC9"/>
    <w:rsid w:val="00B71ED3"/>
    <w:rsid w:val="00B722AB"/>
    <w:rsid w:val="00B722FB"/>
    <w:rsid w:val="00B723BC"/>
    <w:rsid w:val="00B72580"/>
    <w:rsid w:val="00B7278E"/>
    <w:rsid w:val="00B72831"/>
    <w:rsid w:val="00B72A04"/>
    <w:rsid w:val="00B72A3B"/>
    <w:rsid w:val="00B72A6C"/>
    <w:rsid w:val="00B72B74"/>
    <w:rsid w:val="00B72BDF"/>
    <w:rsid w:val="00B72D01"/>
    <w:rsid w:val="00B72F0F"/>
    <w:rsid w:val="00B73650"/>
    <w:rsid w:val="00B737BE"/>
    <w:rsid w:val="00B739C0"/>
    <w:rsid w:val="00B740B0"/>
    <w:rsid w:val="00B747D3"/>
    <w:rsid w:val="00B74A14"/>
    <w:rsid w:val="00B74CD0"/>
    <w:rsid w:val="00B74FEB"/>
    <w:rsid w:val="00B751CD"/>
    <w:rsid w:val="00B757C7"/>
    <w:rsid w:val="00B75BBB"/>
    <w:rsid w:val="00B75C54"/>
    <w:rsid w:val="00B76534"/>
    <w:rsid w:val="00B767D7"/>
    <w:rsid w:val="00B767EF"/>
    <w:rsid w:val="00B769CF"/>
    <w:rsid w:val="00B76BA7"/>
    <w:rsid w:val="00B76C35"/>
    <w:rsid w:val="00B76DB3"/>
    <w:rsid w:val="00B770D9"/>
    <w:rsid w:val="00B7729C"/>
    <w:rsid w:val="00B7743F"/>
    <w:rsid w:val="00B774C8"/>
    <w:rsid w:val="00B777CC"/>
    <w:rsid w:val="00B779D2"/>
    <w:rsid w:val="00B779E9"/>
    <w:rsid w:val="00B77B38"/>
    <w:rsid w:val="00B77D9F"/>
    <w:rsid w:val="00B77E7B"/>
    <w:rsid w:val="00B80A8C"/>
    <w:rsid w:val="00B811F9"/>
    <w:rsid w:val="00B8143F"/>
    <w:rsid w:val="00B81557"/>
    <w:rsid w:val="00B81BB6"/>
    <w:rsid w:val="00B81C8F"/>
    <w:rsid w:val="00B81D07"/>
    <w:rsid w:val="00B81E2B"/>
    <w:rsid w:val="00B82196"/>
    <w:rsid w:val="00B82349"/>
    <w:rsid w:val="00B82918"/>
    <w:rsid w:val="00B82FF8"/>
    <w:rsid w:val="00B83078"/>
    <w:rsid w:val="00B83961"/>
    <w:rsid w:val="00B83980"/>
    <w:rsid w:val="00B83E22"/>
    <w:rsid w:val="00B83E28"/>
    <w:rsid w:val="00B83E77"/>
    <w:rsid w:val="00B83FB0"/>
    <w:rsid w:val="00B84774"/>
    <w:rsid w:val="00B84B31"/>
    <w:rsid w:val="00B84D52"/>
    <w:rsid w:val="00B84DFB"/>
    <w:rsid w:val="00B85098"/>
    <w:rsid w:val="00B8527A"/>
    <w:rsid w:val="00B857CE"/>
    <w:rsid w:val="00B857F9"/>
    <w:rsid w:val="00B85B23"/>
    <w:rsid w:val="00B85FDA"/>
    <w:rsid w:val="00B85FF2"/>
    <w:rsid w:val="00B86486"/>
    <w:rsid w:val="00B86892"/>
    <w:rsid w:val="00B86ABA"/>
    <w:rsid w:val="00B86BAD"/>
    <w:rsid w:val="00B86ED2"/>
    <w:rsid w:val="00B872FF"/>
    <w:rsid w:val="00B8747B"/>
    <w:rsid w:val="00B87838"/>
    <w:rsid w:val="00B87A22"/>
    <w:rsid w:val="00B87DBB"/>
    <w:rsid w:val="00B87E86"/>
    <w:rsid w:val="00B87EB5"/>
    <w:rsid w:val="00B87F72"/>
    <w:rsid w:val="00B8D164"/>
    <w:rsid w:val="00B90153"/>
    <w:rsid w:val="00B9016F"/>
    <w:rsid w:val="00B904F3"/>
    <w:rsid w:val="00B90A08"/>
    <w:rsid w:val="00B90CEF"/>
    <w:rsid w:val="00B90DB8"/>
    <w:rsid w:val="00B91457"/>
    <w:rsid w:val="00B91567"/>
    <w:rsid w:val="00B9185F"/>
    <w:rsid w:val="00B9192A"/>
    <w:rsid w:val="00B91A0D"/>
    <w:rsid w:val="00B91BBE"/>
    <w:rsid w:val="00B91FE8"/>
    <w:rsid w:val="00B920F0"/>
    <w:rsid w:val="00B92246"/>
    <w:rsid w:val="00B925DA"/>
    <w:rsid w:val="00B92703"/>
    <w:rsid w:val="00B929FC"/>
    <w:rsid w:val="00B92ACE"/>
    <w:rsid w:val="00B92B6A"/>
    <w:rsid w:val="00B933A7"/>
    <w:rsid w:val="00B93D79"/>
    <w:rsid w:val="00B93F51"/>
    <w:rsid w:val="00B94111"/>
    <w:rsid w:val="00B94297"/>
    <w:rsid w:val="00B9488F"/>
    <w:rsid w:val="00B94915"/>
    <w:rsid w:val="00B94BF6"/>
    <w:rsid w:val="00B94E19"/>
    <w:rsid w:val="00B94E87"/>
    <w:rsid w:val="00B94EB6"/>
    <w:rsid w:val="00B95043"/>
    <w:rsid w:val="00B95170"/>
    <w:rsid w:val="00B951AA"/>
    <w:rsid w:val="00B952CB"/>
    <w:rsid w:val="00B9547E"/>
    <w:rsid w:val="00B95536"/>
    <w:rsid w:val="00B956D2"/>
    <w:rsid w:val="00B9575B"/>
    <w:rsid w:val="00B95915"/>
    <w:rsid w:val="00B95D74"/>
    <w:rsid w:val="00B95EB0"/>
    <w:rsid w:val="00B95FED"/>
    <w:rsid w:val="00B96730"/>
    <w:rsid w:val="00B96D70"/>
    <w:rsid w:val="00B96DE8"/>
    <w:rsid w:val="00B97075"/>
    <w:rsid w:val="00B972C2"/>
    <w:rsid w:val="00B97726"/>
    <w:rsid w:val="00B97784"/>
    <w:rsid w:val="00B97C63"/>
    <w:rsid w:val="00B97FDD"/>
    <w:rsid w:val="00BA0074"/>
    <w:rsid w:val="00BA096C"/>
    <w:rsid w:val="00BA0974"/>
    <w:rsid w:val="00BA0D22"/>
    <w:rsid w:val="00BA0DDB"/>
    <w:rsid w:val="00BA0E53"/>
    <w:rsid w:val="00BA11DB"/>
    <w:rsid w:val="00BA18F6"/>
    <w:rsid w:val="00BA1908"/>
    <w:rsid w:val="00BA19CE"/>
    <w:rsid w:val="00BA1DB4"/>
    <w:rsid w:val="00BA1DDE"/>
    <w:rsid w:val="00BA21F4"/>
    <w:rsid w:val="00BA2316"/>
    <w:rsid w:val="00BA24B3"/>
    <w:rsid w:val="00BA2700"/>
    <w:rsid w:val="00BA339D"/>
    <w:rsid w:val="00BA3797"/>
    <w:rsid w:val="00BA390E"/>
    <w:rsid w:val="00BA3D7E"/>
    <w:rsid w:val="00BA4131"/>
    <w:rsid w:val="00BA43F3"/>
    <w:rsid w:val="00BA44F1"/>
    <w:rsid w:val="00BA4640"/>
    <w:rsid w:val="00BA47BA"/>
    <w:rsid w:val="00BA4997"/>
    <w:rsid w:val="00BA4AB8"/>
    <w:rsid w:val="00BA4AEB"/>
    <w:rsid w:val="00BA54D0"/>
    <w:rsid w:val="00BA5627"/>
    <w:rsid w:val="00BA5902"/>
    <w:rsid w:val="00BA5F50"/>
    <w:rsid w:val="00BA620D"/>
    <w:rsid w:val="00BA6310"/>
    <w:rsid w:val="00BA6975"/>
    <w:rsid w:val="00BA6B75"/>
    <w:rsid w:val="00BA755E"/>
    <w:rsid w:val="00BA7A05"/>
    <w:rsid w:val="00BB0109"/>
    <w:rsid w:val="00BB04F4"/>
    <w:rsid w:val="00BB0B54"/>
    <w:rsid w:val="00BB0CF7"/>
    <w:rsid w:val="00BB0F82"/>
    <w:rsid w:val="00BB108D"/>
    <w:rsid w:val="00BB11E1"/>
    <w:rsid w:val="00BB11F0"/>
    <w:rsid w:val="00BB12AD"/>
    <w:rsid w:val="00BB12CA"/>
    <w:rsid w:val="00BB15D4"/>
    <w:rsid w:val="00BB1606"/>
    <w:rsid w:val="00BB16CF"/>
    <w:rsid w:val="00BB17DD"/>
    <w:rsid w:val="00BB1B59"/>
    <w:rsid w:val="00BB2098"/>
    <w:rsid w:val="00BB2183"/>
    <w:rsid w:val="00BB21C6"/>
    <w:rsid w:val="00BB231E"/>
    <w:rsid w:val="00BB25AC"/>
    <w:rsid w:val="00BB28FA"/>
    <w:rsid w:val="00BB2DC1"/>
    <w:rsid w:val="00BB2E09"/>
    <w:rsid w:val="00BB3117"/>
    <w:rsid w:val="00BB3AB7"/>
    <w:rsid w:val="00BB3B81"/>
    <w:rsid w:val="00BB3D5F"/>
    <w:rsid w:val="00BB4002"/>
    <w:rsid w:val="00BB430D"/>
    <w:rsid w:val="00BB44EE"/>
    <w:rsid w:val="00BB4516"/>
    <w:rsid w:val="00BB4557"/>
    <w:rsid w:val="00BB47F2"/>
    <w:rsid w:val="00BB4808"/>
    <w:rsid w:val="00BB4D36"/>
    <w:rsid w:val="00BB4DD4"/>
    <w:rsid w:val="00BB52B4"/>
    <w:rsid w:val="00BB53B4"/>
    <w:rsid w:val="00BB56EA"/>
    <w:rsid w:val="00BB6006"/>
    <w:rsid w:val="00BB61F8"/>
    <w:rsid w:val="00BB624C"/>
    <w:rsid w:val="00BB62D5"/>
    <w:rsid w:val="00BB64EA"/>
    <w:rsid w:val="00BB683D"/>
    <w:rsid w:val="00BB6A37"/>
    <w:rsid w:val="00BB6AB6"/>
    <w:rsid w:val="00BB6E47"/>
    <w:rsid w:val="00BB7315"/>
    <w:rsid w:val="00BB7632"/>
    <w:rsid w:val="00BB7743"/>
    <w:rsid w:val="00BB778B"/>
    <w:rsid w:val="00BB78B4"/>
    <w:rsid w:val="00BB7902"/>
    <w:rsid w:val="00BB79B3"/>
    <w:rsid w:val="00BB7B1A"/>
    <w:rsid w:val="00BC047D"/>
    <w:rsid w:val="00BC09A4"/>
    <w:rsid w:val="00BC0C1B"/>
    <w:rsid w:val="00BC0CD7"/>
    <w:rsid w:val="00BC102A"/>
    <w:rsid w:val="00BC12B3"/>
    <w:rsid w:val="00BC157A"/>
    <w:rsid w:val="00BC16B0"/>
    <w:rsid w:val="00BC1894"/>
    <w:rsid w:val="00BC1997"/>
    <w:rsid w:val="00BC1DA8"/>
    <w:rsid w:val="00BC251D"/>
    <w:rsid w:val="00BC2688"/>
    <w:rsid w:val="00BC29CB"/>
    <w:rsid w:val="00BC2E7B"/>
    <w:rsid w:val="00BC30C8"/>
    <w:rsid w:val="00BC338C"/>
    <w:rsid w:val="00BC344F"/>
    <w:rsid w:val="00BC3910"/>
    <w:rsid w:val="00BC392D"/>
    <w:rsid w:val="00BC3972"/>
    <w:rsid w:val="00BC3AFB"/>
    <w:rsid w:val="00BC3CC4"/>
    <w:rsid w:val="00BC3CD2"/>
    <w:rsid w:val="00BC3D30"/>
    <w:rsid w:val="00BC3DE0"/>
    <w:rsid w:val="00BC3E72"/>
    <w:rsid w:val="00BC3FB8"/>
    <w:rsid w:val="00BC4388"/>
    <w:rsid w:val="00BC44A5"/>
    <w:rsid w:val="00BC467A"/>
    <w:rsid w:val="00BC46A4"/>
    <w:rsid w:val="00BC4A1B"/>
    <w:rsid w:val="00BC4C47"/>
    <w:rsid w:val="00BC4DEB"/>
    <w:rsid w:val="00BC4DF6"/>
    <w:rsid w:val="00BC4E1F"/>
    <w:rsid w:val="00BC4F9A"/>
    <w:rsid w:val="00BC5568"/>
    <w:rsid w:val="00BC5672"/>
    <w:rsid w:val="00BC5742"/>
    <w:rsid w:val="00BC57F0"/>
    <w:rsid w:val="00BC5B02"/>
    <w:rsid w:val="00BC6129"/>
    <w:rsid w:val="00BC62F3"/>
    <w:rsid w:val="00BC6B02"/>
    <w:rsid w:val="00BC6C1A"/>
    <w:rsid w:val="00BC6CBB"/>
    <w:rsid w:val="00BC6E04"/>
    <w:rsid w:val="00BC6E28"/>
    <w:rsid w:val="00BC6F1E"/>
    <w:rsid w:val="00BC6F82"/>
    <w:rsid w:val="00BC7255"/>
    <w:rsid w:val="00BC7285"/>
    <w:rsid w:val="00BC7286"/>
    <w:rsid w:val="00BC75A3"/>
    <w:rsid w:val="00BC765F"/>
    <w:rsid w:val="00BC788C"/>
    <w:rsid w:val="00BC78C4"/>
    <w:rsid w:val="00BC7B92"/>
    <w:rsid w:val="00BC7DFA"/>
    <w:rsid w:val="00BC7F04"/>
    <w:rsid w:val="00BD0262"/>
    <w:rsid w:val="00BD067E"/>
    <w:rsid w:val="00BD094B"/>
    <w:rsid w:val="00BD0DCA"/>
    <w:rsid w:val="00BD0F73"/>
    <w:rsid w:val="00BD1105"/>
    <w:rsid w:val="00BD1207"/>
    <w:rsid w:val="00BD15FC"/>
    <w:rsid w:val="00BD1709"/>
    <w:rsid w:val="00BD173F"/>
    <w:rsid w:val="00BD193C"/>
    <w:rsid w:val="00BD1A55"/>
    <w:rsid w:val="00BD1A65"/>
    <w:rsid w:val="00BD1CEF"/>
    <w:rsid w:val="00BD1F83"/>
    <w:rsid w:val="00BD238B"/>
    <w:rsid w:val="00BD2A5E"/>
    <w:rsid w:val="00BD2D8A"/>
    <w:rsid w:val="00BD2F22"/>
    <w:rsid w:val="00BD3084"/>
    <w:rsid w:val="00BD3085"/>
    <w:rsid w:val="00BD32AC"/>
    <w:rsid w:val="00BD3799"/>
    <w:rsid w:val="00BD415C"/>
    <w:rsid w:val="00BD4243"/>
    <w:rsid w:val="00BD44A1"/>
    <w:rsid w:val="00BD4609"/>
    <w:rsid w:val="00BD4737"/>
    <w:rsid w:val="00BD4984"/>
    <w:rsid w:val="00BD4F5E"/>
    <w:rsid w:val="00BD5035"/>
    <w:rsid w:val="00BD53D7"/>
    <w:rsid w:val="00BD5491"/>
    <w:rsid w:val="00BD5C0B"/>
    <w:rsid w:val="00BD5D2F"/>
    <w:rsid w:val="00BD6255"/>
    <w:rsid w:val="00BD6A6C"/>
    <w:rsid w:val="00BD7421"/>
    <w:rsid w:val="00BD7D45"/>
    <w:rsid w:val="00BD7D91"/>
    <w:rsid w:val="00BE0340"/>
    <w:rsid w:val="00BE039B"/>
    <w:rsid w:val="00BE0458"/>
    <w:rsid w:val="00BE04C6"/>
    <w:rsid w:val="00BE0627"/>
    <w:rsid w:val="00BE06B5"/>
    <w:rsid w:val="00BE07F3"/>
    <w:rsid w:val="00BE0902"/>
    <w:rsid w:val="00BE0EBB"/>
    <w:rsid w:val="00BE0FFD"/>
    <w:rsid w:val="00BE1186"/>
    <w:rsid w:val="00BE15B7"/>
    <w:rsid w:val="00BE19E3"/>
    <w:rsid w:val="00BE1A36"/>
    <w:rsid w:val="00BE1C37"/>
    <w:rsid w:val="00BE1CCC"/>
    <w:rsid w:val="00BE1CEC"/>
    <w:rsid w:val="00BE1E60"/>
    <w:rsid w:val="00BE2332"/>
    <w:rsid w:val="00BE23EF"/>
    <w:rsid w:val="00BE24DF"/>
    <w:rsid w:val="00BE2637"/>
    <w:rsid w:val="00BE269C"/>
    <w:rsid w:val="00BE29B1"/>
    <w:rsid w:val="00BE2A93"/>
    <w:rsid w:val="00BE2B1A"/>
    <w:rsid w:val="00BE33D7"/>
    <w:rsid w:val="00BE3600"/>
    <w:rsid w:val="00BE3812"/>
    <w:rsid w:val="00BE3D75"/>
    <w:rsid w:val="00BE3EA7"/>
    <w:rsid w:val="00BE3EB6"/>
    <w:rsid w:val="00BE4168"/>
    <w:rsid w:val="00BE4587"/>
    <w:rsid w:val="00BE49FB"/>
    <w:rsid w:val="00BE4EB0"/>
    <w:rsid w:val="00BE5206"/>
    <w:rsid w:val="00BE5400"/>
    <w:rsid w:val="00BE5581"/>
    <w:rsid w:val="00BE5B1B"/>
    <w:rsid w:val="00BE619A"/>
    <w:rsid w:val="00BE68F3"/>
    <w:rsid w:val="00BE696C"/>
    <w:rsid w:val="00BE6B78"/>
    <w:rsid w:val="00BE6E72"/>
    <w:rsid w:val="00BE6FE5"/>
    <w:rsid w:val="00BE714A"/>
    <w:rsid w:val="00BE72E8"/>
    <w:rsid w:val="00BE7C94"/>
    <w:rsid w:val="00BE7DFA"/>
    <w:rsid w:val="00BF00BF"/>
    <w:rsid w:val="00BF032D"/>
    <w:rsid w:val="00BF06E9"/>
    <w:rsid w:val="00BF0BE1"/>
    <w:rsid w:val="00BF0C0E"/>
    <w:rsid w:val="00BF13B2"/>
    <w:rsid w:val="00BF13BD"/>
    <w:rsid w:val="00BF13CC"/>
    <w:rsid w:val="00BF1517"/>
    <w:rsid w:val="00BF1C92"/>
    <w:rsid w:val="00BF1D1D"/>
    <w:rsid w:val="00BF1F3D"/>
    <w:rsid w:val="00BF2093"/>
    <w:rsid w:val="00BF22B6"/>
    <w:rsid w:val="00BF22F6"/>
    <w:rsid w:val="00BF2539"/>
    <w:rsid w:val="00BF302E"/>
    <w:rsid w:val="00BF34EF"/>
    <w:rsid w:val="00BF3722"/>
    <w:rsid w:val="00BF38E6"/>
    <w:rsid w:val="00BF3C52"/>
    <w:rsid w:val="00BF4089"/>
    <w:rsid w:val="00BF4130"/>
    <w:rsid w:val="00BF4139"/>
    <w:rsid w:val="00BF465F"/>
    <w:rsid w:val="00BF4675"/>
    <w:rsid w:val="00BF4D48"/>
    <w:rsid w:val="00BF4D64"/>
    <w:rsid w:val="00BF4F16"/>
    <w:rsid w:val="00BF5A7A"/>
    <w:rsid w:val="00BF5DAE"/>
    <w:rsid w:val="00BF68D0"/>
    <w:rsid w:val="00BF6C01"/>
    <w:rsid w:val="00BF6C9A"/>
    <w:rsid w:val="00BF6CD2"/>
    <w:rsid w:val="00BF6DBA"/>
    <w:rsid w:val="00BF6DC7"/>
    <w:rsid w:val="00BF71C3"/>
    <w:rsid w:val="00BF760C"/>
    <w:rsid w:val="00BF7894"/>
    <w:rsid w:val="00BF797B"/>
    <w:rsid w:val="00BF7E72"/>
    <w:rsid w:val="00C00074"/>
    <w:rsid w:val="00C0014C"/>
    <w:rsid w:val="00C001C0"/>
    <w:rsid w:val="00C002B1"/>
    <w:rsid w:val="00C00361"/>
    <w:rsid w:val="00C00643"/>
    <w:rsid w:val="00C00BF8"/>
    <w:rsid w:val="00C01150"/>
    <w:rsid w:val="00C0128F"/>
    <w:rsid w:val="00C01AA8"/>
    <w:rsid w:val="00C01C37"/>
    <w:rsid w:val="00C01F76"/>
    <w:rsid w:val="00C02226"/>
    <w:rsid w:val="00C0267E"/>
    <w:rsid w:val="00C02936"/>
    <w:rsid w:val="00C02C81"/>
    <w:rsid w:val="00C02EBC"/>
    <w:rsid w:val="00C02ED8"/>
    <w:rsid w:val="00C03263"/>
    <w:rsid w:val="00C037FE"/>
    <w:rsid w:val="00C03EAB"/>
    <w:rsid w:val="00C03EE1"/>
    <w:rsid w:val="00C03F16"/>
    <w:rsid w:val="00C04485"/>
    <w:rsid w:val="00C045C3"/>
    <w:rsid w:val="00C04DF1"/>
    <w:rsid w:val="00C05B8D"/>
    <w:rsid w:val="00C060EB"/>
    <w:rsid w:val="00C06258"/>
    <w:rsid w:val="00C062B3"/>
    <w:rsid w:val="00C06307"/>
    <w:rsid w:val="00C06313"/>
    <w:rsid w:val="00C06348"/>
    <w:rsid w:val="00C063F2"/>
    <w:rsid w:val="00C065B2"/>
    <w:rsid w:val="00C06743"/>
    <w:rsid w:val="00C067F4"/>
    <w:rsid w:val="00C068C9"/>
    <w:rsid w:val="00C06A41"/>
    <w:rsid w:val="00C06AE0"/>
    <w:rsid w:val="00C070CD"/>
    <w:rsid w:val="00C07A69"/>
    <w:rsid w:val="00C07A8D"/>
    <w:rsid w:val="00C101B7"/>
    <w:rsid w:val="00C10309"/>
    <w:rsid w:val="00C10337"/>
    <w:rsid w:val="00C10452"/>
    <w:rsid w:val="00C10C4B"/>
    <w:rsid w:val="00C1105F"/>
    <w:rsid w:val="00C11128"/>
    <w:rsid w:val="00C1134F"/>
    <w:rsid w:val="00C119B2"/>
    <w:rsid w:val="00C11B3C"/>
    <w:rsid w:val="00C11BD1"/>
    <w:rsid w:val="00C11C23"/>
    <w:rsid w:val="00C1205B"/>
    <w:rsid w:val="00C1219B"/>
    <w:rsid w:val="00C12469"/>
    <w:rsid w:val="00C12DF6"/>
    <w:rsid w:val="00C1341A"/>
    <w:rsid w:val="00C13474"/>
    <w:rsid w:val="00C137C1"/>
    <w:rsid w:val="00C13ACA"/>
    <w:rsid w:val="00C13B24"/>
    <w:rsid w:val="00C13BEF"/>
    <w:rsid w:val="00C13DA2"/>
    <w:rsid w:val="00C14052"/>
    <w:rsid w:val="00C14207"/>
    <w:rsid w:val="00C1425F"/>
    <w:rsid w:val="00C145EC"/>
    <w:rsid w:val="00C1505E"/>
    <w:rsid w:val="00C154B0"/>
    <w:rsid w:val="00C15B05"/>
    <w:rsid w:val="00C15D51"/>
    <w:rsid w:val="00C15D56"/>
    <w:rsid w:val="00C15E68"/>
    <w:rsid w:val="00C1655F"/>
    <w:rsid w:val="00C165C6"/>
    <w:rsid w:val="00C16912"/>
    <w:rsid w:val="00C169FE"/>
    <w:rsid w:val="00C16C97"/>
    <w:rsid w:val="00C17300"/>
    <w:rsid w:val="00C1746F"/>
    <w:rsid w:val="00C175CC"/>
    <w:rsid w:val="00C176C5"/>
    <w:rsid w:val="00C17980"/>
    <w:rsid w:val="00C17A35"/>
    <w:rsid w:val="00C17D9C"/>
    <w:rsid w:val="00C17EFE"/>
    <w:rsid w:val="00C20061"/>
    <w:rsid w:val="00C200FA"/>
    <w:rsid w:val="00C2013C"/>
    <w:rsid w:val="00C20577"/>
    <w:rsid w:val="00C205A2"/>
    <w:rsid w:val="00C205B0"/>
    <w:rsid w:val="00C20B56"/>
    <w:rsid w:val="00C20EB9"/>
    <w:rsid w:val="00C20F89"/>
    <w:rsid w:val="00C20FD6"/>
    <w:rsid w:val="00C212C8"/>
    <w:rsid w:val="00C21837"/>
    <w:rsid w:val="00C21E18"/>
    <w:rsid w:val="00C21E65"/>
    <w:rsid w:val="00C21FEC"/>
    <w:rsid w:val="00C22D35"/>
    <w:rsid w:val="00C23029"/>
    <w:rsid w:val="00C2324F"/>
    <w:rsid w:val="00C23497"/>
    <w:rsid w:val="00C236DB"/>
    <w:rsid w:val="00C23D2E"/>
    <w:rsid w:val="00C23D30"/>
    <w:rsid w:val="00C23E07"/>
    <w:rsid w:val="00C246FF"/>
    <w:rsid w:val="00C248DA"/>
    <w:rsid w:val="00C24BD6"/>
    <w:rsid w:val="00C24CBD"/>
    <w:rsid w:val="00C24E08"/>
    <w:rsid w:val="00C24FBA"/>
    <w:rsid w:val="00C251D0"/>
    <w:rsid w:val="00C25758"/>
    <w:rsid w:val="00C25A22"/>
    <w:rsid w:val="00C25ACB"/>
    <w:rsid w:val="00C25B00"/>
    <w:rsid w:val="00C25B0B"/>
    <w:rsid w:val="00C25E07"/>
    <w:rsid w:val="00C25E2B"/>
    <w:rsid w:val="00C260DB"/>
    <w:rsid w:val="00C26365"/>
    <w:rsid w:val="00C264FD"/>
    <w:rsid w:val="00C265E6"/>
    <w:rsid w:val="00C268C9"/>
    <w:rsid w:val="00C27083"/>
    <w:rsid w:val="00C27887"/>
    <w:rsid w:val="00C27AFC"/>
    <w:rsid w:val="00C27D06"/>
    <w:rsid w:val="00C27DCA"/>
    <w:rsid w:val="00C27DEE"/>
    <w:rsid w:val="00C27E82"/>
    <w:rsid w:val="00C27FB3"/>
    <w:rsid w:val="00C27FFB"/>
    <w:rsid w:val="00C3026F"/>
    <w:rsid w:val="00C30309"/>
    <w:rsid w:val="00C30582"/>
    <w:rsid w:val="00C3066D"/>
    <w:rsid w:val="00C3082E"/>
    <w:rsid w:val="00C308E1"/>
    <w:rsid w:val="00C30920"/>
    <w:rsid w:val="00C30AF2"/>
    <w:rsid w:val="00C30BB2"/>
    <w:rsid w:val="00C30D6C"/>
    <w:rsid w:val="00C31112"/>
    <w:rsid w:val="00C31657"/>
    <w:rsid w:val="00C31663"/>
    <w:rsid w:val="00C31752"/>
    <w:rsid w:val="00C31A47"/>
    <w:rsid w:val="00C31B31"/>
    <w:rsid w:val="00C31D44"/>
    <w:rsid w:val="00C3235C"/>
    <w:rsid w:val="00C3252A"/>
    <w:rsid w:val="00C327E0"/>
    <w:rsid w:val="00C32E4D"/>
    <w:rsid w:val="00C32F3B"/>
    <w:rsid w:val="00C333EF"/>
    <w:rsid w:val="00C3341B"/>
    <w:rsid w:val="00C3358B"/>
    <w:rsid w:val="00C336E8"/>
    <w:rsid w:val="00C33980"/>
    <w:rsid w:val="00C33B71"/>
    <w:rsid w:val="00C33D6D"/>
    <w:rsid w:val="00C33E60"/>
    <w:rsid w:val="00C34305"/>
    <w:rsid w:val="00C344D5"/>
    <w:rsid w:val="00C34523"/>
    <w:rsid w:val="00C345EC"/>
    <w:rsid w:val="00C346BB"/>
    <w:rsid w:val="00C34D06"/>
    <w:rsid w:val="00C3517F"/>
    <w:rsid w:val="00C3562B"/>
    <w:rsid w:val="00C35BD6"/>
    <w:rsid w:val="00C35D91"/>
    <w:rsid w:val="00C36013"/>
    <w:rsid w:val="00C361DD"/>
    <w:rsid w:val="00C364B9"/>
    <w:rsid w:val="00C369A0"/>
    <w:rsid w:val="00C36CBD"/>
    <w:rsid w:val="00C37212"/>
    <w:rsid w:val="00C37281"/>
    <w:rsid w:val="00C37438"/>
    <w:rsid w:val="00C37489"/>
    <w:rsid w:val="00C375ED"/>
    <w:rsid w:val="00C37745"/>
    <w:rsid w:val="00C37C8D"/>
    <w:rsid w:val="00C37F3B"/>
    <w:rsid w:val="00C37F75"/>
    <w:rsid w:val="00C402E5"/>
    <w:rsid w:val="00C405C8"/>
    <w:rsid w:val="00C40704"/>
    <w:rsid w:val="00C4082C"/>
    <w:rsid w:val="00C409C2"/>
    <w:rsid w:val="00C40AD7"/>
    <w:rsid w:val="00C40E20"/>
    <w:rsid w:val="00C411E0"/>
    <w:rsid w:val="00C418C3"/>
    <w:rsid w:val="00C423A4"/>
    <w:rsid w:val="00C42980"/>
    <w:rsid w:val="00C42ABA"/>
    <w:rsid w:val="00C42DE1"/>
    <w:rsid w:val="00C42F96"/>
    <w:rsid w:val="00C43018"/>
    <w:rsid w:val="00C43289"/>
    <w:rsid w:val="00C436A2"/>
    <w:rsid w:val="00C43722"/>
    <w:rsid w:val="00C43755"/>
    <w:rsid w:val="00C43E1B"/>
    <w:rsid w:val="00C442C2"/>
    <w:rsid w:val="00C443FD"/>
    <w:rsid w:val="00C44517"/>
    <w:rsid w:val="00C4464E"/>
    <w:rsid w:val="00C44A2E"/>
    <w:rsid w:val="00C45168"/>
    <w:rsid w:val="00C45502"/>
    <w:rsid w:val="00C45644"/>
    <w:rsid w:val="00C45A65"/>
    <w:rsid w:val="00C45B46"/>
    <w:rsid w:val="00C45E77"/>
    <w:rsid w:val="00C45EFD"/>
    <w:rsid w:val="00C462B1"/>
    <w:rsid w:val="00C46A82"/>
    <w:rsid w:val="00C46ACA"/>
    <w:rsid w:val="00C46D28"/>
    <w:rsid w:val="00C47BC3"/>
    <w:rsid w:val="00C47F2F"/>
    <w:rsid w:val="00C502BA"/>
    <w:rsid w:val="00C50601"/>
    <w:rsid w:val="00C50663"/>
    <w:rsid w:val="00C507D5"/>
    <w:rsid w:val="00C5082D"/>
    <w:rsid w:val="00C50DDB"/>
    <w:rsid w:val="00C50E1C"/>
    <w:rsid w:val="00C50E21"/>
    <w:rsid w:val="00C50E34"/>
    <w:rsid w:val="00C51079"/>
    <w:rsid w:val="00C5115E"/>
    <w:rsid w:val="00C51208"/>
    <w:rsid w:val="00C51466"/>
    <w:rsid w:val="00C516BF"/>
    <w:rsid w:val="00C518FA"/>
    <w:rsid w:val="00C5198E"/>
    <w:rsid w:val="00C51C9F"/>
    <w:rsid w:val="00C51D62"/>
    <w:rsid w:val="00C51F22"/>
    <w:rsid w:val="00C523E3"/>
    <w:rsid w:val="00C526C8"/>
    <w:rsid w:val="00C52B41"/>
    <w:rsid w:val="00C52E0C"/>
    <w:rsid w:val="00C52E38"/>
    <w:rsid w:val="00C52FB2"/>
    <w:rsid w:val="00C530C5"/>
    <w:rsid w:val="00C53599"/>
    <w:rsid w:val="00C53703"/>
    <w:rsid w:val="00C53CBC"/>
    <w:rsid w:val="00C541A3"/>
    <w:rsid w:val="00C5422B"/>
    <w:rsid w:val="00C54695"/>
    <w:rsid w:val="00C547F3"/>
    <w:rsid w:val="00C549CA"/>
    <w:rsid w:val="00C551A4"/>
    <w:rsid w:val="00C551EE"/>
    <w:rsid w:val="00C5576B"/>
    <w:rsid w:val="00C559B2"/>
    <w:rsid w:val="00C55A15"/>
    <w:rsid w:val="00C55ECC"/>
    <w:rsid w:val="00C55F4B"/>
    <w:rsid w:val="00C5686B"/>
    <w:rsid w:val="00C56B28"/>
    <w:rsid w:val="00C56C78"/>
    <w:rsid w:val="00C56D38"/>
    <w:rsid w:val="00C570BD"/>
    <w:rsid w:val="00C570CF"/>
    <w:rsid w:val="00C57322"/>
    <w:rsid w:val="00C57413"/>
    <w:rsid w:val="00C57CD8"/>
    <w:rsid w:val="00C57F85"/>
    <w:rsid w:val="00C60502"/>
    <w:rsid w:val="00C60E27"/>
    <w:rsid w:val="00C60EF3"/>
    <w:rsid w:val="00C61011"/>
    <w:rsid w:val="00C613C2"/>
    <w:rsid w:val="00C614A8"/>
    <w:rsid w:val="00C6185A"/>
    <w:rsid w:val="00C619ED"/>
    <w:rsid w:val="00C61AF5"/>
    <w:rsid w:val="00C61F9F"/>
    <w:rsid w:val="00C622C0"/>
    <w:rsid w:val="00C623CE"/>
    <w:rsid w:val="00C62401"/>
    <w:rsid w:val="00C62716"/>
    <w:rsid w:val="00C628A0"/>
    <w:rsid w:val="00C62C51"/>
    <w:rsid w:val="00C62F70"/>
    <w:rsid w:val="00C62FC4"/>
    <w:rsid w:val="00C6318C"/>
    <w:rsid w:val="00C632AA"/>
    <w:rsid w:val="00C63E1E"/>
    <w:rsid w:val="00C63F88"/>
    <w:rsid w:val="00C642C6"/>
    <w:rsid w:val="00C643ED"/>
    <w:rsid w:val="00C64520"/>
    <w:rsid w:val="00C64AF7"/>
    <w:rsid w:val="00C64D75"/>
    <w:rsid w:val="00C64FD9"/>
    <w:rsid w:val="00C6538C"/>
    <w:rsid w:val="00C65704"/>
    <w:rsid w:val="00C65869"/>
    <w:rsid w:val="00C658A5"/>
    <w:rsid w:val="00C65BC8"/>
    <w:rsid w:val="00C65F7A"/>
    <w:rsid w:val="00C6656C"/>
    <w:rsid w:val="00C6665B"/>
    <w:rsid w:val="00C668EE"/>
    <w:rsid w:val="00C66CE1"/>
    <w:rsid w:val="00C66FA4"/>
    <w:rsid w:val="00C67495"/>
    <w:rsid w:val="00C676F0"/>
    <w:rsid w:val="00C67AA1"/>
    <w:rsid w:val="00C67B06"/>
    <w:rsid w:val="00C67BA7"/>
    <w:rsid w:val="00C67C2E"/>
    <w:rsid w:val="00C67D4B"/>
    <w:rsid w:val="00C70041"/>
    <w:rsid w:val="00C702C2"/>
    <w:rsid w:val="00C703C6"/>
    <w:rsid w:val="00C70699"/>
    <w:rsid w:val="00C70AA0"/>
    <w:rsid w:val="00C70CB3"/>
    <w:rsid w:val="00C70E87"/>
    <w:rsid w:val="00C70E9F"/>
    <w:rsid w:val="00C70F33"/>
    <w:rsid w:val="00C70F3E"/>
    <w:rsid w:val="00C70F45"/>
    <w:rsid w:val="00C7124E"/>
    <w:rsid w:val="00C713E4"/>
    <w:rsid w:val="00C71754"/>
    <w:rsid w:val="00C71D2C"/>
    <w:rsid w:val="00C71E24"/>
    <w:rsid w:val="00C723FB"/>
    <w:rsid w:val="00C724E5"/>
    <w:rsid w:val="00C72879"/>
    <w:rsid w:val="00C72EF6"/>
    <w:rsid w:val="00C733CD"/>
    <w:rsid w:val="00C73505"/>
    <w:rsid w:val="00C735B5"/>
    <w:rsid w:val="00C736DF"/>
    <w:rsid w:val="00C73770"/>
    <w:rsid w:val="00C73CB9"/>
    <w:rsid w:val="00C73E6C"/>
    <w:rsid w:val="00C73ED2"/>
    <w:rsid w:val="00C741A3"/>
    <w:rsid w:val="00C742F1"/>
    <w:rsid w:val="00C748E8"/>
    <w:rsid w:val="00C748F6"/>
    <w:rsid w:val="00C749C4"/>
    <w:rsid w:val="00C74CD6"/>
    <w:rsid w:val="00C74D2E"/>
    <w:rsid w:val="00C75154"/>
    <w:rsid w:val="00C752EC"/>
    <w:rsid w:val="00C7555C"/>
    <w:rsid w:val="00C755BB"/>
    <w:rsid w:val="00C759B7"/>
    <w:rsid w:val="00C759F3"/>
    <w:rsid w:val="00C75D76"/>
    <w:rsid w:val="00C75DC0"/>
    <w:rsid w:val="00C7630F"/>
    <w:rsid w:val="00C7653E"/>
    <w:rsid w:val="00C76D30"/>
    <w:rsid w:val="00C76D3E"/>
    <w:rsid w:val="00C771E7"/>
    <w:rsid w:val="00C773AA"/>
    <w:rsid w:val="00C773E6"/>
    <w:rsid w:val="00C77605"/>
    <w:rsid w:val="00C77645"/>
    <w:rsid w:val="00C7775D"/>
    <w:rsid w:val="00C7784A"/>
    <w:rsid w:val="00C77F2A"/>
    <w:rsid w:val="00C77F6E"/>
    <w:rsid w:val="00C80238"/>
    <w:rsid w:val="00C8039D"/>
    <w:rsid w:val="00C80429"/>
    <w:rsid w:val="00C80482"/>
    <w:rsid w:val="00C80614"/>
    <w:rsid w:val="00C806CB"/>
    <w:rsid w:val="00C80A9F"/>
    <w:rsid w:val="00C80C50"/>
    <w:rsid w:val="00C80FC7"/>
    <w:rsid w:val="00C8113C"/>
    <w:rsid w:val="00C81163"/>
    <w:rsid w:val="00C81268"/>
    <w:rsid w:val="00C812E9"/>
    <w:rsid w:val="00C81325"/>
    <w:rsid w:val="00C815A0"/>
    <w:rsid w:val="00C815A4"/>
    <w:rsid w:val="00C818D1"/>
    <w:rsid w:val="00C81AA3"/>
    <w:rsid w:val="00C81D4F"/>
    <w:rsid w:val="00C81F99"/>
    <w:rsid w:val="00C82058"/>
    <w:rsid w:val="00C8232F"/>
    <w:rsid w:val="00C82420"/>
    <w:rsid w:val="00C82430"/>
    <w:rsid w:val="00C826AD"/>
    <w:rsid w:val="00C826F3"/>
    <w:rsid w:val="00C82778"/>
    <w:rsid w:val="00C829C8"/>
    <w:rsid w:val="00C82F40"/>
    <w:rsid w:val="00C830AA"/>
    <w:rsid w:val="00C8326F"/>
    <w:rsid w:val="00C83494"/>
    <w:rsid w:val="00C83737"/>
    <w:rsid w:val="00C83B19"/>
    <w:rsid w:val="00C83B3F"/>
    <w:rsid w:val="00C83C0C"/>
    <w:rsid w:val="00C83D10"/>
    <w:rsid w:val="00C83DEF"/>
    <w:rsid w:val="00C84010"/>
    <w:rsid w:val="00C845EA"/>
    <w:rsid w:val="00C84673"/>
    <w:rsid w:val="00C84B60"/>
    <w:rsid w:val="00C84BCA"/>
    <w:rsid w:val="00C84E6B"/>
    <w:rsid w:val="00C84E83"/>
    <w:rsid w:val="00C84F3F"/>
    <w:rsid w:val="00C84FB0"/>
    <w:rsid w:val="00C85501"/>
    <w:rsid w:val="00C855F3"/>
    <w:rsid w:val="00C8591A"/>
    <w:rsid w:val="00C85B21"/>
    <w:rsid w:val="00C85C68"/>
    <w:rsid w:val="00C85FE8"/>
    <w:rsid w:val="00C860C8"/>
    <w:rsid w:val="00C8618F"/>
    <w:rsid w:val="00C8650A"/>
    <w:rsid w:val="00C8684C"/>
    <w:rsid w:val="00C868EA"/>
    <w:rsid w:val="00C8696E"/>
    <w:rsid w:val="00C86A33"/>
    <w:rsid w:val="00C86D42"/>
    <w:rsid w:val="00C86FA9"/>
    <w:rsid w:val="00C872D1"/>
    <w:rsid w:val="00C87327"/>
    <w:rsid w:val="00C87410"/>
    <w:rsid w:val="00C878EF"/>
    <w:rsid w:val="00C87B85"/>
    <w:rsid w:val="00C902A2"/>
    <w:rsid w:val="00C90786"/>
    <w:rsid w:val="00C90C66"/>
    <w:rsid w:val="00C90E0C"/>
    <w:rsid w:val="00C910B3"/>
    <w:rsid w:val="00C91170"/>
    <w:rsid w:val="00C91228"/>
    <w:rsid w:val="00C9139D"/>
    <w:rsid w:val="00C915F1"/>
    <w:rsid w:val="00C9168F"/>
    <w:rsid w:val="00C91707"/>
    <w:rsid w:val="00C91968"/>
    <w:rsid w:val="00C91B0D"/>
    <w:rsid w:val="00C91F4E"/>
    <w:rsid w:val="00C92566"/>
    <w:rsid w:val="00C926FF"/>
    <w:rsid w:val="00C92AB5"/>
    <w:rsid w:val="00C92C0A"/>
    <w:rsid w:val="00C92E4C"/>
    <w:rsid w:val="00C92F19"/>
    <w:rsid w:val="00C92F22"/>
    <w:rsid w:val="00C941BB"/>
    <w:rsid w:val="00C94251"/>
    <w:rsid w:val="00C942A2"/>
    <w:rsid w:val="00C9460E"/>
    <w:rsid w:val="00C94B0C"/>
    <w:rsid w:val="00C94D43"/>
    <w:rsid w:val="00C94E6A"/>
    <w:rsid w:val="00C94F5F"/>
    <w:rsid w:val="00C95734"/>
    <w:rsid w:val="00C95CE7"/>
    <w:rsid w:val="00C95DD0"/>
    <w:rsid w:val="00C95DD6"/>
    <w:rsid w:val="00C95ECE"/>
    <w:rsid w:val="00C9680F"/>
    <w:rsid w:val="00C96818"/>
    <w:rsid w:val="00C96A56"/>
    <w:rsid w:val="00C96D93"/>
    <w:rsid w:val="00C96DE8"/>
    <w:rsid w:val="00C96E3C"/>
    <w:rsid w:val="00C96F1E"/>
    <w:rsid w:val="00CA03F0"/>
    <w:rsid w:val="00CA056D"/>
    <w:rsid w:val="00CA0607"/>
    <w:rsid w:val="00CA0A85"/>
    <w:rsid w:val="00CA0D61"/>
    <w:rsid w:val="00CA11EF"/>
    <w:rsid w:val="00CA14E1"/>
    <w:rsid w:val="00CA19AF"/>
    <w:rsid w:val="00CA1E06"/>
    <w:rsid w:val="00CA1F01"/>
    <w:rsid w:val="00CA1F1E"/>
    <w:rsid w:val="00CA2170"/>
    <w:rsid w:val="00CA23C7"/>
    <w:rsid w:val="00CA25EC"/>
    <w:rsid w:val="00CA2B1E"/>
    <w:rsid w:val="00CA2FA6"/>
    <w:rsid w:val="00CA341E"/>
    <w:rsid w:val="00CA39DA"/>
    <w:rsid w:val="00CA3CC8"/>
    <w:rsid w:val="00CA4005"/>
    <w:rsid w:val="00CA4130"/>
    <w:rsid w:val="00CA4269"/>
    <w:rsid w:val="00CA4F37"/>
    <w:rsid w:val="00CA5105"/>
    <w:rsid w:val="00CA512E"/>
    <w:rsid w:val="00CA5792"/>
    <w:rsid w:val="00CA5983"/>
    <w:rsid w:val="00CA5A19"/>
    <w:rsid w:val="00CA5B3B"/>
    <w:rsid w:val="00CA5B6B"/>
    <w:rsid w:val="00CA6152"/>
    <w:rsid w:val="00CA61CC"/>
    <w:rsid w:val="00CA6237"/>
    <w:rsid w:val="00CA6246"/>
    <w:rsid w:val="00CA643F"/>
    <w:rsid w:val="00CA64AC"/>
    <w:rsid w:val="00CA64B9"/>
    <w:rsid w:val="00CA65BB"/>
    <w:rsid w:val="00CA66E0"/>
    <w:rsid w:val="00CA6820"/>
    <w:rsid w:val="00CA6D3B"/>
    <w:rsid w:val="00CA6FD7"/>
    <w:rsid w:val="00CA7010"/>
    <w:rsid w:val="00CA73C1"/>
    <w:rsid w:val="00CA78E3"/>
    <w:rsid w:val="00CA79B9"/>
    <w:rsid w:val="00CA7C57"/>
    <w:rsid w:val="00CB04CB"/>
    <w:rsid w:val="00CB08A0"/>
    <w:rsid w:val="00CB08A6"/>
    <w:rsid w:val="00CB08D4"/>
    <w:rsid w:val="00CB0ECC"/>
    <w:rsid w:val="00CB0EE8"/>
    <w:rsid w:val="00CB1305"/>
    <w:rsid w:val="00CB16A1"/>
    <w:rsid w:val="00CB193A"/>
    <w:rsid w:val="00CB19AF"/>
    <w:rsid w:val="00CB1B1F"/>
    <w:rsid w:val="00CB1C94"/>
    <w:rsid w:val="00CB2593"/>
    <w:rsid w:val="00CB2686"/>
    <w:rsid w:val="00CB27BA"/>
    <w:rsid w:val="00CB2923"/>
    <w:rsid w:val="00CB29EC"/>
    <w:rsid w:val="00CB2A1A"/>
    <w:rsid w:val="00CB2A56"/>
    <w:rsid w:val="00CB2B53"/>
    <w:rsid w:val="00CB2D1E"/>
    <w:rsid w:val="00CB2DA5"/>
    <w:rsid w:val="00CB2EB0"/>
    <w:rsid w:val="00CB3169"/>
    <w:rsid w:val="00CB3202"/>
    <w:rsid w:val="00CB33F7"/>
    <w:rsid w:val="00CB3AAF"/>
    <w:rsid w:val="00CB3C1D"/>
    <w:rsid w:val="00CB4114"/>
    <w:rsid w:val="00CB4903"/>
    <w:rsid w:val="00CB49CA"/>
    <w:rsid w:val="00CB4B43"/>
    <w:rsid w:val="00CB4BA1"/>
    <w:rsid w:val="00CB4C9A"/>
    <w:rsid w:val="00CB50C1"/>
    <w:rsid w:val="00CB53A5"/>
    <w:rsid w:val="00CB5730"/>
    <w:rsid w:val="00CB5864"/>
    <w:rsid w:val="00CB59EE"/>
    <w:rsid w:val="00CB5DCB"/>
    <w:rsid w:val="00CB5DFF"/>
    <w:rsid w:val="00CB617E"/>
    <w:rsid w:val="00CB6487"/>
    <w:rsid w:val="00CB654C"/>
    <w:rsid w:val="00CB66FD"/>
    <w:rsid w:val="00CB674D"/>
    <w:rsid w:val="00CB6C66"/>
    <w:rsid w:val="00CB73FC"/>
    <w:rsid w:val="00CB7CAF"/>
    <w:rsid w:val="00CB7E0C"/>
    <w:rsid w:val="00CC009C"/>
    <w:rsid w:val="00CC0260"/>
    <w:rsid w:val="00CC031A"/>
    <w:rsid w:val="00CC04F7"/>
    <w:rsid w:val="00CC05C5"/>
    <w:rsid w:val="00CC06E6"/>
    <w:rsid w:val="00CC088C"/>
    <w:rsid w:val="00CC0D27"/>
    <w:rsid w:val="00CC0D34"/>
    <w:rsid w:val="00CC0DC1"/>
    <w:rsid w:val="00CC0DDB"/>
    <w:rsid w:val="00CC1359"/>
    <w:rsid w:val="00CC1495"/>
    <w:rsid w:val="00CC1559"/>
    <w:rsid w:val="00CC1813"/>
    <w:rsid w:val="00CC187A"/>
    <w:rsid w:val="00CC1CA8"/>
    <w:rsid w:val="00CC1E0F"/>
    <w:rsid w:val="00CC1E2D"/>
    <w:rsid w:val="00CC1E57"/>
    <w:rsid w:val="00CC1F76"/>
    <w:rsid w:val="00CC234A"/>
    <w:rsid w:val="00CC245C"/>
    <w:rsid w:val="00CC27F0"/>
    <w:rsid w:val="00CC2DE9"/>
    <w:rsid w:val="00CC2EC1"/>
    <w:rsid w:val="00CC3046"/>
    <w:rsid w:val="00CC31D3"/>
    <w:rsid w:val="00CC34FD"/>
    <w:rsid w:val="00CC3D37"/>
    <w:rsid w:val="00CC466C"/>
    <w:rsid w:val="00CC4F23"/>
    <w:rsid w:val="00CC4FA1"/>
    <w:rsid w:val="00CC4FE0"/>
    <w:rsid w:val="00CC57CD"/>
    <w:rsid w:val="00CC5996"/>
    <w:rsid w:val="00CC5B8E"/>
    <w:rsid w:val="00CC5ECF"/>
    <w:rsid w:val="00CC5FBD"/>
    <w:rsid w:val="00CC6210"/>
    <w:rsid w:val="00CC67F0"/>
    <w:rsid w:val="00CC69D0"/>
    <w:rsid w:val="00CC738A"/>
    <w:rsid w:val="00CC7611"/>
    <w:rsid w:val="00CC78C7"/>
    <w:rsid w:val="00CC7A2E"/>
    <w:rsid w:val="00CC7AD3"/>
    <w:rsid w:val="00CC7BC4"/>
    <w:rsid w:val="00CC7FA4"/>
    <w:rsid w:val="00CC7FBB"/>
    <w:rsid w:val="00CD01DE"/>
    <w:rsid w:val="00CD033F"/>
    <w:rsid w:val="00CD038C"/>
    <w:rsid w:val="00CD03B1"/>
    <w:rsid w:val="00CD0493"/>
    <w:rsid w:val="00CD065A"/>
    <w:rsid w:val="00CD06DF"/>
    <w:rsid w:val="00CD0AF4"/>
    <w:rsid w:val="00CD10D9"/>
    <w:rsid w:val="00CD113C"/>
    <w:rsid w:val="00CD15DC"/>
    <w:rsid w:val="00CD16EF"/>
    <w:rsid w:val="00CD19E7"/>
    <w:rsid w:val="00CD1B2E"/>
    <w:rsid w:val="00CD1C6D"/>
    <w:rsid w:val="00CD1F19"/>
    <w:rsid w:val="00CD2512"/>
    <w:rsid w:val="00CD25DA"/>
    <w:rsid w:val="00CD292C"/>
    <w:rsid w:val="00CD2B22"/>
    <w:rsid w:val="00CD2E87"/>
    <w:rsid w:val="00CD3048"/>
    <w:rsid w:val="00CD3B2A"/>
    <w:rsid w:val="00CD3E40"/>
    <w:rsid w:val="00CD4223"/>
    <w:rsid w:val="00CD4389"/>
    <w:rsid w:val="00CD4B1A"/>
    <w:rsid w:val="00CD4D87"/>
    <w:rsid w:val="00CD4E62"/>
    <w:rsid w:val="00CD50E2"/>
    <w:rsid w:val="00CD5186"/>
    <w:rsid w:val="00CD59BA"/>
    <w:rsid w:val="00CD5E15"/>
    <w:rsid w:val="00CD5F62"/>
    <w:rsid w:val="00CD61BD"/>
    <w:rsid w:val="00CD61DE"/>
    <w:rsid w:val="00CD6C8C"/>
    <w:rsid w:val="00CD6F4A"/>
    <w:rsid w:val="00CD7092"/>
    <w:rsid w:val="00CD7145"/>
    <w:rsid w:val="00CD7258"/>
    <w:rsid w:val="00CD72D6"/>
    <w:rsid w:val="00CD7F0C"/>
    <w:rsid w:val="00CE004D"/>
    <w:rsid w:val="00CE03A4"/>
    <w:rsid w:val="00CE0708"/>
    <w:rsid w:val="00CE0A23"/>
    <w:rsid w:val="00CE0E2D"/>
    <w:rsid w:val="00CE1048"/>
    <w:rsid w:val="00CE13D7"/>
    <w:rsid w:val="00CE13DB"/>
    <w:rsid w:val="00CE1473"/>
    <w:rsid w:val="00CE1816"/>
    <w:rsid w:val="00CE1A65"/>
    <w:rsid w:val="00CE1C8F"/>
    <w:rsid w:val="00CE1F76"/>
    <w:rsid w:val="00CE2330"/>
    <w:rsid w:val="00CE2647"/>
    <w:rsid w:val="00CE287C"/>
    <w:rsid w:val="00CE2B39"/>
    <w:rsid w:val="00CE2E80"/>
    <w:rsid w:val="00CE31CD"/>
    <w:rsid w:val="00CE31E2"/>
    <w:rsid w:val="00CE3240"/>
    <w:rsid w:val="00CE35B4"/>
    <w:rsid w:val="00CE372E"/>
    <w:rsid w:val="00CE39B9"/>
    <w:rsid w:val="00CE3B6E"/>
    <w:rsid w:val="00CE3C8E"/>
    <w:rsid w:val="00CE3CE4"/>
    <w:rsid w:val="00CE3D0E"/>
    <w:rsid w:val="00CE3D85"/>
    <w:rsid w:val="00CE3F90"/>
    <w:rsid w:val="00CE4183"/>
    <w:rsid w:val="00CE445E"/>
    <w:rsid w:val="00CE44C2"/>
    <w:rsid w:val="00CE470D"/>
    <w:rsid w:val="00CE4950"/>
    <w:rsid w:val="00CE4AB8"/>
    <w:rsid w:val="00CE4B00"/>
    <w:rsid w:val="00CE4F2F"/>
    <w:rsid w:val="00CE5195"/>
    <w:rsid w:val="00CE5531"/>
    <w:rsid w:val="00CE58C1"/>
    <w:rsid w:val="00CE5C54"/>
    <w:rsid w:val="00CE5D19"/>
    <w:rsid w:val="00CE6149"/>
    <w:rsid w:val="00CE66FC"/>
    <w:rsid w:val="00CE6712"/>
    <w:rsid w:val="00CE6D1F"/>
    <w:rsid w:val="00CE6EEC"/>
    <w:rsid w:val="00CE6FB5"/>
    <w:rsid w:val="00CE70EF"/>
    <w:rsid w:val="00CE71A4"/>
    <w:rsid w:val="00CE739A"/>
    <w:rsid w:val="00CE7718"/>
    <w:rsid w:val="00CE7A12"/>
    <w:rsid w:val="00CE7F0A"/>
    <w:rsid w:val="00CE7F13"/>
    <w:rsid w:val="00CE7FC4"/>
    <w:rsid w:val="00CE7FF7"/>
    <w:rsid w:val="00CF009A"/>
    <w:rsid w:val="00CF12D8"/>
    <w:rsid w:val="00CF158D"/>
    <w:rsid w:val="00CF198C"/>
    <w:rsid w:val="00CF1992"/>
    <w:rsid w:val="00CF1BBF"/>
    <w:rsid w:val="00CF1E9C"/>
    <w:rsid w:val="00CF1F9C"/>
    <w:rsid w:val="00CF2CCB"/>
    <w:rsid w:val="00CF2D1F"/>
    <w:rsid w:val="00CF2E32"/>
    <w:rsid w:val="00CF2E7A"/>
    <w:rsid w:val="00CF2E80"/>
    <w:rsid w:val="00CF358A"/>
    <w:rsid w:val="00CF36F3"/>
    <w:rsid w:val="00CF3A2F"/>
    <w:rsid w:val="00CF3F10"/>
    <w:rsid w:val="00CF4175"/>
    <w:rsid w:val="00CF43BA"/>
    <w:rsid w:val="00CF458D"/>
    <w:rsid w:val="00CF4A94"/>
    <w:rsid w:val="00CF4AFC"/>
    <w:rsid w:val="00CF4E30"/>
    <w:rsid w:val="00CF4FEF"/>
    <w:rsid w:val="00CF572E"/>
    <w:rsid w:val="00CF5807"/>
    <w:rsid w:val="00CF5D34"/>
    <w:rsid w:val="00CF5E5B"/>
    <w:rsid w:val="00CF5F50"/>
    <w:rsid w:val="00CF6098"/>
    <w:rsid w:val="00CF6250"/>
    <w:rsid w:val="00CF6258"/>
    <w:rsid w:val="00CF6284"/>
    <w:rsid w:val="00CF646A"/>
    <w:rsid w:val="00CF649E"/>
    <w:rsid w:val="00CF6B14"/>
    <w:rsid w:val="00CF6D31"/>
    <w:rsid w:val="00CF72CF"/>
    <w:rsid w:val="00CF761E"/>
    <w:rsid w:val="00CF77BA"/>
    <w:rsid w:val="00CF7A97"/>
    <w:rsid w:val="00CF7B9E"/>
    <w:rsid w:val="00CF7D73"/>
    <w:rsid w:val="00CF7E5F"/>
    <w:rsid w:val="00D004D7"/>
    <w:rsid w:val="00D0062B"/>
    <w:rsid w:val="00D00BDA"/>
    <w:rsid w:val="00D00CA9"/>
    <w:rsid w:val="00D00D79"/>
    <w:rsid w:val="00D010E3"/>
    <w:rsid w:val="00D011E4"/>
    <w:rsid w:val="00D012EA"/>
    <w:rsid w:val="00D01305"/>
    <w:rsid w:val="00D0134A"/>
    <w:rsid w:val="00D01965"/>
    <w:rsid w:val="00D01BE0"/>
    <w:rsid w:val="00D01C35"/>
    <w:rsid w:val="00D02369"/>
    <w:rsid w:val="00D02401"/>
    <w:rsid w:val="00D024FD"/>
    <w:rsid w:val="00D02516"/>
    <w:rsid w:val="00D02792"/>
    <w:rsid w:val="00D028F0"/>
    <w:rsid w:val="00D02C39"/>
    <w:rsid w:val="00D02E03"/>
    <w:rsid w:val="00D03733"/>
    <w:rsid w:val="00D03812"/>
    <w:rsid w:val="00D03CC3"/>
    <w:rsid w:val="00D03DC3"/>
    <w:rsid w:val="00D047E6"/>
    <w:rsid w:val="00D048ED"/>
    <w:rsid w:val="00D048F7"/>
    <w:rsid w:val="00D04941"/>
    <w:rsid w:val="00D05054"/>
    <w:rsid w:val="00D05353"/>
    <w:rsid w:val="00D05592"/>
    <w:rsid w:val="00D05890"/>
    <w:rsid w:val="00D05A0C"/>
    <w:rsid w:val="00D05A51"/>
    <w:rsid w:val="00D05BA9"/>
    <w:rsid w:val="00D05C5B"/>
    <w:rsid w:val="00D05D46"/>
    <w:rsid w:val="00D06033"/>
    <w:rsid w:val="00D060DE"/>
    <w:rsid w:val="00D0715A"/>
    <w:rsid w:val="00D071CB"/>
    <w:rsid w:val="00D077A2"/>
    <w:rsid w:val="00D07A79"/>
    <w:rsid w:val="00D07AA0"/>
    <w:rsid w:val="00D07CB0"/>
    <w:rsid w:val="00D07DB7"/>
    <w:rsid w:val="00D10560"/>
    <w:rsid w:val="00D10626"/>
    <w:rsid w:val="00D10647"/>
    <w:rsid w:val="00D10B27"/>
    <w:rsid w:val="00D10FE8"/>
    <w:rsid w:val="00D1132F"/>
    <w:rsid w:val="00D117D5"/>
    <w:rsid w:val="00D11A56"/>
    <w:rsid w:val="00D11BAE"/>
    <w:rsid w:val="00D11CA9"/>
    <w:rsid w:val="00D11F81"/>
    <w:rsid w:val="00D1218E"/>
    <w:rsid w:val="00D12416"/>
    <w:rsid w:val="00D125F6"/>
    <w:rsid w:val="00D12746"/>
    <w:rsid w:val="00D12947"/>
    <w:rsid w:val="00D12EE0"/>
    <w:rsid w:val="00D12FF9"/>
    <w:rsid w:val="00D13004"/>
    <w:rsid w:val="00D13C16"/>
    <w:rsid w:val="00D14103"/>
    <w:rsid w:val="00D14182"/>
    <w:rsid w:val="00D14426"/>
    <w:rsid w:val="00D14612"/>
    <w:rsid w:val="00D14768"/>
    <w:rsid w:val="00D15155"/>
    <w:rsid w:val="00D15236"/>
    <w:rsid w:val="00D15455"/>
    <w:rsid w:val="00D15488"/>
    <w:rsid w:val="00D155D4"/>
    <w:rsid w:val="00D15652"/>
    <w:rsid w:val="00D157BF"/>
    <w:rsid w:val="00D16327"/>
    <w:rsid w:val="00D1636A"/>
    <w:rsid w:val="00D1674B"/>
    <w:rsid w:val="00D16C83"/>
    <w:rsid w:val="00D17004"/>
    <w:rsid w:val="00D170E7"/>
    <w:rsid w:val="00D17147"/>
    <w:rsid w:val="00D17250"/>
    <w:rsid w:val="00D173C3"/>
    <w:rsid w:val="00D176F1"/>
    <w:rsid w:val="00D178A4"/>
    <w:rsid w:val="00D17A6B"/>
    <w:rsid w:val="00D17B68"/>
    <w:rsid w:val="00D201D2"/>
    <w:rsid w:val="00D20672"/>
    <w:rsid w:val="00D20825"/>
    <w:rsid w:val="00D20BB8"/>
    <w:rsid w:val="00D21306"/>
    <w:rsid w:val="00D21366"/>
    <w:rsid w:val="00D213BD"/>
    <w:rsid w:val="00D214D2"/>
    <w:rsid w:val="00D217C2"/>
    <w:rsid w:val="00D21ED3"/>
    <w:rsid w:val="00D22248"/>
    <w:rsid w:val="00D2226E"/>
    <w:rsid w:val="00D22398"/>
    <w:rsid w:val="00D22446"/>
    <w:rsid w:val="00D22563"/>
    <w:rsid w:val="00D2258E"/>
    <w:rsid w:val="00D2270D"/>
    <w:rsid w:val="00D2297A"/>
    <w:rsid w:val="00D22F6A"/>
    <w:rsid w:val="00D23079"/>
    <w:rsid w:val="00D230F2"/>
    <w:rsid w:val="00D233AC"/>
    <w:rsid w:val="00D236D9"/>
    <w:rsid w:val="00D23A0A"/>
    <w:rsid w:val="00D23F3A"/>
    <w:rsid w:val="00D242B7"/>
    <w:rsid w:val="00D24565"/>
    <w:rsid w:val="00D247FD"/>
    <w:rsid w:val="00D24DD1"/>
    <w:rsid w:val="00D24FE3"/>
    <w:rsid w:val="00D2509F"/>
    <w:rsid w:val="00D2546E"/>
    <w:rsid w:val="00D2575D"/>
    <w:rsid w:val="00D25D37"/>
    <w:rsid w:val="00D26033"/>
    <w:rsid w:val="00D26A23"/>
    <w:rsid w:val="00D27286"/>
    <w:rsid w:val="00D27B76"/>
    <w:rsid w:val="00D27D8C"/>
    <w:rsid w:val="00D305D7"/>
    <w:rsid w:val="00D3074F"/>
    <w:rsid w:val="00D309B2"/>
    <w:rsid w:val="00D30CDD"/>
    <w:rsid w:val="00D30CFF"/>
    <w:rsid w:val="00D31218"/>
    <w:rsid w:val="00D31419"/>
    <w:rsid w:val="00D3152C"/>
    <w:rsid w:val="00D31670"/>
    <w:rsid w:val="00D316BD"/>
    <w:rsid w:val="00D31C15"/>
    <w:rsid w:val="00D31C3D"/>
    <w:rsid w:val="00D31E92"/>
    <w:rsid w:val="00D3247E"/>
    <w:rsid w:val="00D325FA"/>
    <w:rsid w:val="00D327C1"/>
    <w:rsid w:val="00D32AAC"/>
    <w:rsid w:val="00D32AC9"/>
    <w:rsid w:val="00D32BC0"/>
    <w:rsid w:val="00D3350A"/>
    <w:rsid w:val="00D336E3"/>
    <w:rsid w:val="00D33B21"/>
    <w:rsid w:val="00D33C68"/>
    <w:rsid w:val="00D33D06"/>
    <w:rsid w:val="00D33F58"/>
    <w:rsid w:val="00D34145"/>
    <w:rsid w:val="00D341E5"/>
    <w:rsid w:val="00D343EC"/>
    <w:rsid w:val="00D34428"/>
    <w:rsid w:val="00D345D6"/>
    <w:rsid w:val="00D3474E"/>
    <w:rsid w:val="00D34889"/>
    <w:rsid w:val="00D35821"/>
    <w:rsid w:val="00D3599E"/>
    <w:rsid w:val="00D35E02"/>
    <w:rsid w:val="00D3612C"/>
    <w:rsid w:val="00D3624A"/>
    <w:rsid w:val="00D36434"/>
    <w:rsid w:val="00D364CC"/>
    <w:rsid w:val="00D36573"/>
    <w:rsid w:val="00D36672"/>
    <w:rsid w:val="00D36A87"/>
    <w:rsid w:val="00D36FC0"/>
    <w:rsid w:val="00D378AB"/>
    <w:rsid w:val="00D37B1E"/>
    <w:rsid w:val="00D4002F"/>
    <w:rsid w:val="00D404DC"/>
    <w:rsid w:val="00D406FC"/>
    <w:rsid w:val="00D40D23"/>
    <w:rsid w:val="00D40EFD"/>
    <w:rsid w:val="00D40FA5"/>
    <w:rsid w:val="00D41018"/>
    <w:rsid w:val="00D41379"/>
    <w:rsid w:val="00D4137A"/>
    <w:rsid w:val="00D41B7C"/>
    <w:rsid w:val="00D41D6E"/>
    <w:rsid w:val="00D41FBF"/>
    <w:rsid w:val="00D42177"/>
    <w:rsid w:val="00D42205"/>
    <w:rsid w:val="00D42DEC"/>
    <w:rsid w:val="00D42E8A"/>
    <w:rsid w:val="00D42FE0"/>
    <w:rsid w:val="00D4302A"/>
    <w:rsid w:val="00D43246"/>
    <w:rsid w:val="00D43325"/>
    <w:rsid w:val="00D43D82"/>
    <w:rsid w:val="00D43EF5"/>
    <w:rsid w:val="00D44143"/>
    <w:rsid w:val="00D4483A"/>
    <w:rsid w:val="00D44A4B"/>
    <w:rsid w:val="00D44BC0"/>
    <w:rsid w:val="00D44CD7"/>
    <w:rsid w:val="00D44CE6"/>
    <w:rsid w:val="00D45A5E"/>
    <w:rsid w:val="00D45B75"/>
    <w:rsid w:val="00D45D8E"/>
    <w:rsid w:val="00D46149"/>
    <w:rsid w:val="00D461A6"/>
    <w:rsid w:val="00D461C3"/>
    <w:rsid w:val="00D463E2"/>
    <w:rsid w:val="00D4654C"/>
    <w:rsid w:val="00D46789"/>
    <w:rsid w:val="00D46B52"/>
    <w:rsid w:val="00D46EBA"/>
    <w:rsid w:val="00D47729"/>
    <w:rsid w:val="00D478B7"/>
    <w:rsid w:val="00D47A40"/>
    <w:rsid w:val="00D47B53"/>
    <w:rsid w:val="00D47D4E"/>
    <w:rsid w:val="00D47F42"/>
    <w:rsid w:val="00D50024"/>
    <w:rsid w:val="00D5038F"/>
    <w:rsid w:val="00D50545"/>
    <w:rsid w:val="00D50748"/>
    <w:rsid w:val="00D50888"/>
    <w:rsid w:val="00D50939"/>
    <w:rsid w:val="00D50A16"/>
    <w:rsid w:val="00D50BC6"/>
    <w:rsid w:val="00D50D20"/>
    <w:rsid w:val="00D50E4B"/>
    <w:rsid w:val="00D50E90"/>
    <w:rsid w:val="00D511EA"/>
    <w:rsid w:val="00D51409"/>
    <w:rsid w:val="00D514ED"/>
    <w:rsid w:val="00D515DE"/>
    <w:rsid w:val="00D5189D"/>
    <w:rsid w:val="00D520D0"/>
    <w:rsid w:val="00D52109"/>
    <w:rsid w:val="00D5241C"/>
    <w:rsid w:val="00D52463"/>
    <w:rsid w:val="00D52D78"/>
    <w:rsid w:val="00D530BA"/>
    <w:rsid w:val="00D53631"/>
    <w:rsid w:val="00D53F79"/>
    <w:rsid w:val="00D54028"/>
    <w:rsid w:val="00D5418D"/>
    <w:rsid w:val="00D542F3"/>
    <w:rsid w:val="00D543DF"/>
    <w:rsid w:val="00D54436"/>
    <w:rsid w:val="00D5464B"/>
    <w:rsid w:val="00D549B8"/>
    <w:rsid w:val="00D54A2A"/>
    <w:rsid w:val="00D54F34"/>
    <w:rsid w:val="00D54FB7"/>
    <w:rsid w:val="00D550F7"/>
    <w:rsid w:val="00D5531F"/>
    <w:rsid w:val="00D55523"/>
    <w:rsid w:val="00D55592"/>
    <w:rsid w:val="00D55A9F"/>
    <w:rsid w:val="00D55B2B"/>
    <w:rsid w:val="00D55E56"/>
    <w:rsid w:val="00D56072"/>
    <w:rsid w:val="00D5634A"/>
    <w:rsid w:val="00D56934"/>
    <w:rsid w:val="00D56EF7"/>
    <w:rsid w:val="00D57138"/>
    <w:rsid w:val="00D57210"/>
    <w:rsid w:val="00D5782A"/>
    <w:rsid w:val="00D579C6"/>
    <w:rsid w:val="00D57D79"/>
    <w:rsid w:val="00D60148"/>
    <w:rsid w:val="00D6090E"/>
    <w:rsid w:val="00D60B2A"/>
    <w:rsid w:val="00D60C7C"/>
    <w:rsid w:val="00D61298"/>
    <w:rsid w:val="00D61904"/>
    <w:rsid w:val="00D61A0C"/>
    <w:rsid w:val="00D61B72"/>
    <w:rsid w:val="00D61EBD"/>
    <w:rsid w:val="00D62207"/>
    <w:rsid w:val="00D62297"/>
    <w:rsid w:val="00D62347"/>
    <w:rsid w:val="00D628A2"/>
    <w:rsid w:val="00D62BD0"/>
    <w:rsid w:val="00D632D5"/>
    <w:rsid w:val="00D633D6"/>
    <w:rsid w:val="00D638FE"/>
    <w:rsid w:val="00D6392C"/>
    <w:rsid w:val="00D639AB"/>
    <w:rsid w:val="00D63BC3"/>
    <w:rsid w:val="00D63DDD"/>
    <w:rsid w:val="00D64378"/>
    <w:rsid w:val="00D643E3"/>
    <w:rsid w:val="00D643E8"/>
    <w:rsid w:val="00D64637"/>
    <w:rsid w:val="00D64710"/>
    <w:rsid w:val="00D64746"/>
    <w:rsid w:val="00D6491A"/>
    <w:rsid w:val="00D64A71"/>
    <w:rsid w:val="00D64CC3"/>
    <w:rsid w:val="00D64F46"/>
    <w:rsid w:val="00D65087"/>
    <w:rsid w:val="00D6509C"/>
    <w:rsid w:val="00D658A2"/>
    <w:rsid w:val="00D658D0"/>
    <w:rsid w:val="00D65C4E"/>
    <w:rsid w:val="00D65F29"/>
    <w:rsid w:val="00D66504"/>
    <w:rsid w:val="00D6652C"/>
    <w:rsid w:val="00D66701"/>
    <w:rsid w:val="00D66A16"/>
    <w:rsid w:val="00D66A40"/>
    <w:rsid w:val="00D66A87"/>
    <w:rsid w:val="00D66C94"/>
    <w:rsid w:val="00D67012"/>
    <w:rsid w:val="00D6729B"/>
    <w:rsid w:val="00D6768E"/>
    <w:rsid w:val="00D70130"/>
    <w:rsid w:val="00D7037A"/>
    <w:rsid w:val="00D703D4"/>
    <w:rsid w:val="00D70604"/>
    <w:rsid w:val="00D70D07"/>
    <w:rsid w:val="00D712CD"/>
    <w:rsid w:val="00D713DD"/>
    <w:rsid w:val="00D714A2"/>
    <w:rsid w:val="00D71C32"/>
    <w:rsid w:val="00D71D93"/>
    <w:rsid w:val="00D720ED"/>
    <w:rsid w:val="00D72517"/>
    <w:rsid w:val="00D72616"/>
    <w:rsid w:val="00D7279B"/>
    <w:rsid w:val="00D72814"/>
    <w:rsid w:val="00D728B4"/>
    <w:rsid w:val="00D72A48"/>
    <w:rsid w:val="00D73076"/>
    <w:rsid w:val="00D73116"/>
    <w:rsid w:val="00D73587"/>
    <w:rsid w:val="00D73776"/>
    <w:rsid w:val="00D73EB3"/>
    <w:rsid w:val="00D74229"/>
    <w:rsid w:val="00D746DD"/>
    <w:rsid w:val="00D7481B"/>
    <w:rsid w:val="00D74B15"/>
    <w:rsid w:val="00D74B43"/>
    <w:rsid w:val="00D75076"/>
    <w:rsid w:val="00D75120"/>
    <w:rsid w:val="00D75127"/>
    <w:rsid w:val="00D75483"/>
    <w:rsid w:val="00D754AF"/>
    <w:rsid w:val="00D75777"/>
    <w:rsid w:val="00D759C9"/>
    <w:rsid w:val="00D759F0"/>
    <w:rsid w:val="00D75A3B"/>
    <w:rsid w:val="00D76114"/>
    <w:rsid w:val="00D7637E"/>
    <w:rsid w:val="00D765C1"/>
    <w:rsid w:val="00D76664"/>
    <w:rsid w:val="00D76781"/>
    <w:rsid w:val="00D76A47"/>
    <w:rsid w:val="00D76B03"/>
    <w:rsid w:val="00D76C05"/>
    <w:rsid w:val="00D76C34"/>
    <w:rsid w:val="00D76D35"/>
    <w:rsid w:val="00D76E7F"/>
    <w:rsid w:val="00D76F11"/>
    <w:rsid w:val="00D76F9D"/>
    <w:rsid w:val="00D771FC"/>
    <w:rsid w:val="00D772C0"/>
    <w:rsid w:val="00D77ABE"/>
    <w:rsid w:val="00D77E74"/>
    <w:rsid w:val="00D77EA3"/>
    <w:rsid w:val="00D80651"/>
    <w:rsid w:val="00D8071B"/>
    <w:rsid w:val="00D810FF"/>
    <w:rsid w:val="00D8147C"/>
    <w:rsid w:val="00D8164A"/>
    <w:rsid w:val="00D8179D"/>
    <w:rsid w:val="00D81DD6"/>
    <w:rsid w:val="00D81E25"/>
    <w:rsid w:val="00D81F7F"/>
    <w:rsid w:val="00D81FA7"/>
    <w:rsid w:val="00D822C3"/>
    <w:rsid w:val="00D8284C"/>
    <w:rsid w:val="00D82891"/>
    <w:rsid w:val="00D82E25"/>
    <w:rsid w:val="00D82EA2"/>
    <w:rsid w:val="00D831B8"/>
    <w:rsid w:val="00D8323E"/>
    <w:rsid w:val="00D83574"/>
    <w:rsid w:val="00D835C6"/>
    <w:rsid w:val="00D83C0A"/>
    <w:rsid w:val="00D83C99"/>
    <w:rsid w:val="00D83CC7"/>
    <w:rsid w:val="00D83E07"/>
    <w:rsid w:val="00D8420A"/>
    <w:rsid w:val="00D8426E"/>
    <w:rsid w:val="00D84BCC"/>
    <w:rsid w:val="00D84DC6"/>
    <w:rsid w:val="00D84EAC"/>
    <w:rsid w:val="00D84F25"/>
    <w:rsid w:val="00D85082"/>
    <w:rsid w:val="00D85370"/>
    <w:rsid w:val="00D855F0"/>
    <w:rsid w:val="00D856D0"/>
    <w:rsid w:val="00D857D9"/>
    <w:rsid w:val="00D85B2F"/>
    <w:rsid w:val="00D85F09"/>
    <w:rsid w:val="00D86030"/>
    <w:rsid w:val="00D861FE"/>
    <w:rsid w:val="00D8647C"/>
    <w:rsid w:val="00D86523"/>
    <w:rsid w:val="00D865AB"/>
    <w:rsid w:val="00D865C3"/>
    <w:rsid w:val="00D8689F"/>
    <w:rsid w:val="00D868D1"/>
    <w:rsid w:val="00D86AE5"/>
    <w:rsid w:val="00D86E78"/>
    <w:rsid w:val="00D870A8"/>
    <w:rsid w:val="00D87153"/>
    <w:rsid w:val="00D87439"/>
    <w:rsid w:val="00D874A6"/>
    <w:rsid w:val="00D87738"/>
    <w:rsid w:val="00D8795F"/>
    <w:rsid w:val="00D87CDC"/>
    <w:rsid w:val="00D87F5E"/>
    <w:rsid w:val="00D90642"/>
    <w:rsid w:val="00D907A0"/>
    <w:rsid w:val="00D9091B"/>
    <w:rsid w:val="00D909C9"/>
    <w:rsid w:val="00D90A74"/>
    <w:rsid w:val="00D90FCC"/>
    <w:rsid w:val="00D910DB"/>
    <w:rsid w:val="00D9131A"/>
    <w:rsid w:val="00D913B5"/>
    <w:rsid w:val="00D91836"/>
    <w:rsid w:val="00D9187A"/>
    <w:rsid w:val="00D918A4"/>
    <w:rsid w:val="00D91B7D"/>
    <w:rsid w:val="00D91C01"/>
    <w:rsid w:val="00D91F98"/>
    <w:rsid w:val="00D92051"/>
    <w:rsid w:val="00D92118"/>
    <w:rsid w:val="00D92175"/>
    <w:rsid w:val="00D92291"/>
    <w:rsid w:val="00D92959"/>
    <w:rsid w:val="00D92B58"/>
    <w:rsid w:val="00D92CE1"/>
    <w:rsid w:val="00D92D92"/>
    <w:rsid w:val="00D92F6C"/>
    <w:rsid w:val="00D92FA7"/>
    <w:rsid w:val="00D93000"/>
    <w:rsid w:val="00D933BE"/>
    <w:rsid w:val="00D937F0"/>
    <w:rsid w:val="00D939AB"/>
    <w:rsid w:val="00D93B7C"/>
    <w:rsid w:val="00D93CD3"/>
    <w:rsid w:val="00D93E60"/>
    <w:rsid w:val="00D940AC"/>
    <w:rsid w:val="00D943F2"/>
    <w:rsid w:val="00D944CD"/>
    <w:rsid w:val="00D9457B"/>
    <w:rsid w:val="00D947EC"/>
    <w:rsid w:val="00D94FC0"/>
    <w:rsid w:val="00D94FE6"/>
    <w:rsid w:val="00D95279"/>
    <w:rsid w:val="00D9535A"/>
    <w:rsid w:val="00D95389"/>
    <w:rsid w:val="00D95B02"/>
    <w:rsid w:val="00D95EAE"/>
    <w:rsid w:val="00D9631D"/>
    <w:rsid w:val="00D96798"/>
    <w:rsid w:val="00D96888"/>
    <w:rsid w:val="00D96A1E"/>
    <w:rsid w:val="00D96CF4"/>
    <w:rsid w:val="00D96D83"/>
    <w:rsid w:val="00D9702D"/>
    <w:rsid w:val="00D970D6"/>
    <w:rsid w:val="00D9720B"/>
    <w:rsid w:val="00D9768C"/>
    <w:rsid w:val="00D97696"/>
    <w:rsid w:val="00D97833"/>
    <w:rsid w:val="00D9797F"/>
    <w:rsid w:val="00D97BBC"/>
    <w:rsid w:val="00D97EC2"/>
    <w:rsid w:val="00DA013A"/>
    <w:rsid w:val="00DA01B7"/>
    <w:rsid w:val="00DA075D"/>
    <w:rsid w:val="00DA0E66"/>
    <w:rsid w:val="00DA0EEF"/>
    <w:rsid w:val="00DA104B"/>
    <w:rsid w:val="00DA12E2"/>
    <w:rsid w:val="00DA1523"/>
    <w:rsid w:val="00DA15F5"/>
    <w:rsid w:val="00DA19AC"/>
    <w:rsid w:val="00DA1AF1"/>
    <w:rsid w:val="00DA1B6D"/>
    <w:rsid w:val="00DA1EC9"/>
    <w:rsid w:val="00DA23DD"/>
    <w:rsid w:val="00DA24D7"/>
    <w:rsid w:val="00DA2712"/>
    <w:rsid w:val="00DA2883"/>
    <w:rsid w:val="00DA2BD3"/>
    <w:rsid w:val="00DA2CAE"/>
    <w:rsid w:val="00DA3028"/>
    <w:rsid w:val="00DA3C3B"/>
    <w:rsid w:val="00DA3E3E"/>
    <w:rsid w:val="00DA3E52"/>
    <w:rsid w:val="00DA4007"/>
    <w:rsid w:val="00DA41F6"/>
    <w:rsid w:val="00DA4883"/>
    <w:rsid w:val="00DA4A8E"/>
    <w:rsid w:val="00DA4C18"/>
    <w:rsid w:val="00DA4DA8"/>
    <w:rsid w:val="00DA4E4C"/>
    <w:rsid w:val="00DA4E4F"/>
    <w:rsid w:val="00DA4F46"/>
    <w:rsid w:val="00DA5160"/>
    <w:rsid w:val="00DA5328"/>
    <w:rsid w:val="00DA5877"/>
    <w:rsid w:val="00DA5971"/>
    <w:rsid w:val="00DA5BD5"/>
    <w:rsid w:val="00DA5C67"/>
    <w:rsid w:val="00DA5F55"/>
    <w:rsid w:val="00DA60E7"/>
    <w:rsid w:val="00DA6203"/>
    <w:rsid w:val="00DA63FD"/>
    <w:rsid w:val="00DA6482"/>
    <w:rsid w:val="00DA6D2E"/>
    <w:rsid w:val="00DA7323"/>
    <w:rsid w:val="00DA775A"/>
    <w:rsid w:val="00DA7D8B"/>
    <w:rsid w:val="00DAE184"/>
    <w:rsid w:val="00DB046B"/>
    <w:rsid w:val="00DB046F"/>
    <w:rsid w:val="00DB0D84"/>
    <w:rsid w:val="00DB0E0D"/>
    <w:rsid w:val="00DB1830"/>
    <w:rsid w:val="00DB1BDF"/>
    <w:rsid w:val="00DB1C5D"/>
    <w:rsid w:val="00DB1C65"/>
    <w:rsid w:val="00DB2116"/>
    <w:rsid w:val="00DB247A"/>
    <w:rsid w:val="00DB250C"/>
    <w:rsid w:val="00DB2889"/>
    <w:rsid w:val="00DB2A21"/>
    <w:rsid w:val="00DB2E8B"/>
    <w:rsid w:val="00DB316D"/>
    <w:rsid w:val="00DB35F9"/>
    <w:rsid w:val="00DB3840"/>
    <w:rsid w:val="00DB3867"/>
    <w:rsid w:val="00DB3931"/>
    <w:rsid w:val="00DB3AAD"/>
    <w:rsid w:val="00DB3B7E"/>
    <w:rsid w:val="00DB3EAB"/>
    <w:rsid w:val="00DB410A"/>
    <w:rsid w:val="00DB4165"/>
    <w:rsid w:val="00DB41C4"/>
    <w:rsid w:val="00DB439F"/>
    <w:rsid w:val="00DB482F"/>
    <w:rsid w:val="00DB4AE4"/>
    <w:rsid w:val="00DB4BC1"/>
    <w:rsid w:val="00DB521D"/>
    <w:rsid w:val="00DB5253"/>
    <w:rsid w:val="00DB5B6F"/>
    <w:rsid w:val="00DB5F27"/>
    <w:rsid w:val="00DB6705"/>
    <w:rsid w:val="00DB69AC"/>
    <w:rsid w:val="00DB6B75"/>
    <w:rsid w:val="00DB70C5"/>
    <w:rsid w:val="00DB7325"/>
    <w:rsid w:val="00DB7398"/>
    <w:rsid w:val="00DB743E"/>
    <w:rsid w:val="00DB7AF7"/>
    <w:rsid w:val="00DB7D82"/>
    <w:rsid w:val="00DB7F1E"/>
    <w:rsid w:val="00DC004D"/>
    <w:rsid w:val="00DC040F"/>
    <w:rsid w:val="00DC05FA"/>
    <w:rsid w:val="00DC0F92"/>
    <w:rsid w:val="00DC0FDC"/>
    <w:rsid w:val="00DC0FEB"/>
    <w:rsid w:val="00DC1340"/>
    <w:rsid w:val="00DC169B"/>
    <w:rsid w:val="00DC18D2"/>
    <w:rsid w:val="00DC1944"/>
    <w:rsid w:val="00DC1CFA"/>
    <w:rsid w:val="00DC1F12"/>
    <w:rsid w:val="00DC2032"/>
    <w:rsid w:val="00DC21D2"/>
    <w:rsid w:val="00DC24AA"/>
    <w:rsid w:val="00DC251E"/>
    <w:rsid w:val="00DC26DB"/>
    <w:rsid w:val="00DC2711"/>
    <w:rsid w:val="00DC2A2B"/>
    <w:rsid w:val="00DC31C2"/>
    <w:rsid w:val="00DC3449"/>
    <w:rsid w:val="00DC38E6"/>
    <w:rsid w:val="00DC390B"/>
    <w:rsid w:val="00DC3FA1"/>
    <w:rsid w:val="00DC40F0"/>
    <w:rsid w:val="00DC4200"/>
    <w:rsid w:val="00DC4618"/>
    <w:rsid w:val="00DC465C"/>
    <w:rsid w:val="00DC4675"/>
    <w:rsid w:val="00DC4C3A"/>
    <w:rsid w:val="00DC4E49"/>
    <w:rsid w:val="00DC4F43"/>
    <w:rsid w:val="00DC4F99"/>
    <w:rsid w:val="00DC50F6"/>
    <w:rsid w:val="00DC518E"/>
    <w:rsid w:val="00DC570A"/>
    <w:rsid w:val="00DC5A85"/>
    <w:rsid w:val="00DC5C90"/>
    <w:rsid w:val="00DC5D50"/>
    <w:rsid w:val="00DC5E17"/>
    <w:rsid w:val="00DC609D"/>
    <w:rsid w:val="00DC60D8"/>
    <w:rsid w:val="00DC611A"/>
    <w:rsid w:val="00DC6251"/>
    <w:rsid w:val="00DC63AD"/>
    <w:rsid w:val="00DC66A9"/>
    <w:rsid w:val="00DC6778"/>
    <w:rsid w:val="00DC68D6"/>
    <w:rsid w:val="00DC69D9"/>
    <w:rsid w:val="00DC6A9C"/>
    <w:rsid w:val="00DC6B9C"/>
    <w:rsid w:val="00DC6D0C"/>
    <w:rsid w:val="00DC6E07"/>
    <w:rsid w:val="00DC70A3"/>
    <w:rsid w:val="00DC73CA"/>
    <w:rsid w:val="00DC7453"/>
    <w:rsid w:val="00DC7683"/>
    <w:rsid w:val="00DC79EF"/>
    <w:rsid w:val="00DC7A8D"/>
    <w:rsid w:val="00DC7ABD"/>
    <w:rsid w:val="00DC7D7C"/>
    <w:rsid w:val="00DD0069"/>
    <w:rsid w:val="00DD061E"/>
    <w:rsid w:val="00DD085B"/>
    <w:rsid w:val="00DD0DC2"/>
    <w:rsid w:val="00DD0EC1"/>
    <w:rsid w:val="00DD1508"/>
    <w:rsid w:val="00DD190B"/>
    <w:rsid w:val="00DD1A33"/>
    <w:rsid w:val="00DD2173"/>
    <w:rsid w:val="00DD23B0"/>
    <w:rsid w:val="00DD2416"/>
    <w:rsid w:val="00DD2550"/>
    <w:rsid w:val="00DD257C"/>
    <w:rsid w:val="00DD3139"/>
    <w:rsid w:val="00DD316B"/>
    <w:rsid w:val="00DD32AB"/>
    <w:rsid w:val="00DD32CF"/>
    <w:rsid w:val="00DD32D9"/>
    <w:rsid w:val="00DD33F5"/>
    <w:rsid w:val="00DD371E"/>
    <w:rsid w:val="00DD38D6"/>
    <w:rsid w:val="00DD3C90"/>
    <w:rsid w:val="00DD3C98"/>
    <w:rsid w:val="00DD3FFB"/>
    <w:rsid w:val="00DD41C8"/>
    <w:rsid w:val="00DD46C6"/>
    <w:rsid w:val="00DD47FB"/>
    <w:rsid w:val="00DD4A34"/>
    <w:rsid w:val="00DD4B89"/>
    <w:rsid w:val="00DD5077"/>
    <w:rsid w:val="00DD512F"/>
    <w:rsid w:val="00DD5636"/>
    <w:rsid w:val="00DD6400"/>
    <w:rsid w:val="00DD655F"/>
    <w:rsid w:val="00DD6868"/>
    <w:rsid w:val="00DD6899"/>
    <w:rsid w:val="00DD6F71"/>
    <w:rsid w:val="00DD6FA9"/>
    <w:rsid w:val="00DD73C3"/>
    <w:rsid w:val="00DD77FB"/>
    <w:rsid w:val="00DD7DD6"/>
    <w:rsid w:val="00DD7FA5"/>
    <w:rsid w:val="00DE045A"/>
    <w:rsid w:val="00DE0812"/>
    <w:rsid w:val="00DE0828"/>
    <w:rsid w:val="00DE0989"/>
    <w:rsid w:val="00DE0CC4"/>
    <w:rsid w:val="00DE11B0"/>
    <w:rsid w:val="00DE1210"/>
    <w:rsid w:val="00DE131C"/>
    <w:rsid w:val="00DE1A7F"/>
    <w:rsid w:val="00DE1CB3"/>
    <w:rsid w:val="00DE1D17"/>
    <w:rsid w:val="00DE1E05"/>
    <w:rsid w:val="00DE1E61"/>
    <w:rsid w:val="00DE2443"/>
    <w:rsid w:val="00DE251A"/>
    <w:rsid w:val="00DE2D92"/>
    <w:rsid w:val="00DE3024"/>
    <w:rsid w:val="00DE3380"/>
    <w:rsid w:val="00DE34B1"/>
    <w:rsid w:val="00DE3806"/>
    <w:rsid w:val="00DE3946"/>
    <w:rsid w:val="00DE3AD0"/>
    <w:rsid w:val="00DE3B13"/>
    <w:rsid w:val="00DE3C7F"/>
    <w:rsid w:val="00DE3E37"/>
    <w:rsid w:val="00DE4331"/>
    <w:rsid w:val="00DE44B6"/>
    <w:rsid w:val="00DE4605"/>
    <w:rsid w:val="00DE4945"/>
    <w:rsid w:val="00DE4C7D"/>
    <w:rsid w:val="00DE52AC"/>
    <w:rsid w:val="00DE540F"/>
    <w:rsid w:val="00DE5549"/>
    <w:rsid w:val="00DE5811"/>
    <w:rsid w:val="00DE592F"/>
    <w:rsid w:val="00DE6007"/>
    <w:rsid w:val="00DE6265"/>
    <w:rsid w:val="00DE6354"/>
    <w:rsid w:val="00DE6539"/>
    <w:rsid w:val="00DE6BBA"/>
    <w:rsid w:val="00DE6CDD"/>
    <w:rsid w:val="00DE72AE"/>
    <w:rsid w:val="00DE7432"/>
    <w:rsid w:val="00DE750C"/>
    <w:rsid w:val="00DE75EA"/>
    <w:rsid w:val="00DE7A1B"/>
    <w:rsid w:val="00DE7F1B"/>
    <w:rsid w:val="00DE7FF0"/>
    <w:rsid w:val="00DF010C"/>
    <w:rsid w:val="00DF02A0"/>
    <w:rsid w:val="00DF034F"/>
    <w:rsid w:val="00DF0352"/>
    <w:rsid w:val="00DF0695"/>
    <w:rsid w:val="00DF06DD"/>
    <w:rsid w:val="00DF0A2D"/>
    <w:rsid w:val="00DF0CF5"/>
    <w:rsid w:val="00DF0EC3"/>
    <w:rsid w:val="00DF0F43"/>
    <w:rsid w:val="00DF1091"/>
    <w:rsid w:val="00DF1629"/>
    <w:rsid w:val="00DF1B22"/>
    <w:rsid w:val="00DF1EF8"/>
    <w:rsid w:val="00DF1F6D"/>
    <w:rsid w:val="00DF21C7"/>
    <w:rsid w:val="00DF23FD"/>
    <w:rsid w:val="00DF253B"/>
    <w:rsid w:val="00DF2673"/>
    <w:rsid w:val="00DF2BAA"/>
    <w:rsid w:val="00DF2CFF"/>
    <w:rsid w:val="00DF2F0C"/>
    <w:rsid w:val="00DF3023"/>
    <w:rsid w:val="00DF364F"/>
    <w:rsid w:val="00DF380C"/>
    <w:rsid w:val="00DF383F"/>
    <w:rsid w:val="00DF3B79"/>
    <w:rsid w:val="00DF3BB8"/>
    <w:rsid w:val="00DF3D1C"/>
    <w:rsid w:val="00DF3F8D"/>
    <w:rsid w:val="00DF42BD"/>
    <w:rsid w:val="00DF473B"/>
    <w:rsid w:val="00DF4E0C"/>
    <w:rsid w:val="00DF5CE5"/>
    <w:rsid w:val="00DF5E54"/>
    <w:rsid w:val="00DF6247"/>
    <w:rsid w:val="00DF62B9"/>
    <w:rsid w:val="00DF62D7"/>
    <w:rsid w:val="00DF685D"/>
    <w:rsid w:val="00DF6A25"/>
    <w:rsid w:val="00DF6AA8"/>
    <w:rsid w:val="00DF6B3C"/>
    <w:rsid w:val="00DF74DB"/>
    <w:rsid w:val="00DF7862"/>
    <w:rsid w:val="00DF7BB8"/>
    <w:rsid w:val="00DF7D9F"/>
    <w:rsid w:val="00DF7F1D"/>
    <w:rsid w:val="00E002A9"/>
    <w:rsid w:val="00E00523"/>
    <w:rsid w:val="00E006EB"/>
    <w:rsid w:val="00E007EE"/>
    <w:rsid w:val="00E00B93"/>
    <w:rsid w:val="00E00BA2"/>
    <w:rsid w:val="00E00BBD"/>
    <w:rsid w:val="00E00BFF"/>
    <w:rsid w:val="00E01016"/>
    <w:rsid w:val="00E01058"/>
    <w:rsid w:val="00E01116"/>
    <w:rsid w:val="00E0155D"/>
    <w:rsid w:val="00E015DD"/>
    <w:rsid w:val="00E01BDC"/>
    <w:rsid w:val="00E01D27"/>
    <w:rsid w:val="00E023E1"/>
    <w:rsid w:val="00E02416"/>
    <w:rsid w:val="00E02638"/>
    <w:rsid w:val="00E0276E"/>
    <w:rsid w:val="00E02899"/>
    <w:rsid w:val="00E028A7"/>
    <w:rsid w:val="00E02B6B"/>
    <w:rsid w:val="00E02D61"/>
    <w:rsid w:val="00E03019"/>
    <w:rsid w:val="00E0308D"/>
    <w:rsid w:val="00E0329E"/>
    <w:rsid w:val="00E03423"/>
    <w:rsid w:val="00E03583"/>
    <w:rsid w:val="00E03D99"/>
    <w:rsid w:val="00E03E7E"/>
    <w:rsid w:val="00E0419A"/>
    <w:rsid w:val="00E042E7"/>
    <w:rsid w:val="00E04617"/>
    <w:rsid w:val="00E047A4"/>
    <w:rsid w:val="00E04801"/>
    <w:rsid w:val="00E0486A"/>
    <w:rsid w:val="00E04878"/>
    <w:rsid w:val="00E04DD8"/>
    <w:rsid w:val="00E04F3F"/>
    <w:rsid w:val="00E05209"/>
    <w:rsid w:val="00E05789"/>
    <w:rsid w:val="00E058D8"/>
    <w:rsid w:val="00E0616E"/>
    <w:rsid w:val="00E0628A"/>
    <w:rsid w:val="00E0628C"/>
    <w:rsid w:val="00E062BC"/>
    <w:rsid w:val="00E066CA"/>
    <w:rsid w:val="00E068C1"/>
    <w:rsid w:val="00E06BFD"/>
    <w:rsid w:val="00E0703A"/>
    <w:rsid w:val="00E070E1"/>
    <w:rsid w:val="00E072B9"/>
    <w:rsid w:val="00E0752F"/>
    <w:rsid w:val="00E079FA"/>
    <w:rsid w:val="00E07C76"/>
    <w:rsid w:val="00E1052F"/>
    <w:rsid w:val="00E10842"/>
    <w:rsid w:val="00E10C96"/>
    <w:rsid w:val="00E1106A"/>
    <w:rsid w:val="00E11CE9"/>
    <w:rsid w:val="00E12040"/>
    <w:rsid w:val="00E121B4"/>
    <w:rsid w:val="00E1242D"/>
    <w:rsid w:val="00E12CE6"/>
    <w:rsid w:val="00E12E6C"/>
    <w:rsid w:val="00E13089"/>
    <w:rsid w:val="00E13239"/>
    <w:rsid w:val="00E1333E"/>
    <w:rsid w:val="00E13475"/>
    <w:rsid w:val="00E134F6"/>
    <w:rsid w:val="00E136DF"/>
    <w:rsid w:val="00E13902"/>
    <w:rsid w:val="00E13A4F"/>
    <w:rsid w:val="00E13CA4"/>
    <w:rsid w:val="00E13D67"/>
    <w:rsid w:val="00E1479F"/>
    <w:rsid w:val="00E148F7"/>
    <w:rsid w:val="00E15056"/>
    <w:rsid w:val="00E15339"/>
    <w:rsid w:val="00E158CA"/>
    <w:rsid w:val="00E1628F"/>
    <w:rsid w:val="00E16DCE"/>
    <w:rsid w:val="00E16FC8"/>
    <w:rsid w:val="00E17153"/>
    <w:rsid w:val="00E175BB"/>
    <w:rsid w:val="00E175F9"/>
    <w:rsid w:val="00E176D7"/>
    <w:rsid w:val="00E17A29"/>
    <w:rsid w:val="00E17DC2"/>
    <w:rsid w:val="00E17EC6"/>
    <w:rsid w:val="00E20044"/>
    <w:rsid w:val="00E20214"/>
    <w:rsid w:val="00E20D8F"/>
    <w:rsid w:val="00E20E2A"/>
    <w:rsid w:val="00E21A5F"/>
    <w:rsid w:val="00E21DFC"/>
    <w:rsid w:val="00E21F7E"/>
    <w:rsid w:val="00E2205B"/>
    <w:rsid w:val="00E220FA"/>
    <w:rsid w:val="00E2227A"/>
    <w:rsid w:val="00E2294A"/>
    <w:rsid w:val="00E2308B"/>
    <w:rsid w:val="00E2309C"/>
    <w:rsid w:val="00E2321B"/>
    <w:rsid w:val="00E23599"/>
    <w:rsid w:val="00E2375A"/>
    <w:rsid w:val="00E2395C"/>
    <w:rsid w:val="00E23A4A"/>
    <w:rsid w:val="00E23CFB"/>
    <w:rsid w:val="00E23F77"/>
    <w:rsid w:val="00E24A2D"/>
    <w:rsid w:val="00E24BB9"/>
    <w:rsid w:val="00E250DC"/>
    <w:rsid w:val="00E25563"/>
    <w:rsid w:val="00E2556E"/>
    <w:rsid w:val="00E255B8"/>
    <w:rsid w:val="00E25B27"/>
    <w:rsid w:val="00E25D87"/>
    <w:rsid w:val="00E26155"/>
    <w:rsid w:val="00E26588"/>
    <w:rsid w:val="00E26620"/>
    <w:rsid w:val="00E267AC"/>
    <w:rsid w:val="00E267C0"/>
    <w:rsid w:val="00E26874"/>
    <w:rsid w:val="00E269BF"/>
    <w:rsid w:val="00E26AD5"/>
    <w:rsid w:val="00E26C20"/>
    <w:rsid w:val="00E26EE4"/>
    <w:rsid w:val="00E27334"/>
    <w:rsid w:val="00E27563"/>
    <w:rsid w:val="00E276AA"/>
    <w:rsid w:val="00E27981"/>
    <w:rsid w:val="00E27C71"/>
    <w:rsid w:val="00E27DBE"/>
    <w:rsid w:val="00E27DE1"/>
    <w:rsid w:val="00E301A0"/>
    <w:rsid w:val="00E30245"/>
    <w:rsid w:val="00E30378"/>
    <w:rsid w:val="00E30484"/>
    <w:rsid w:val="00E30916"/>
    <w:rsid w:val="00E309C0"/>
    <w:rsid w:val="00E30BE0"/>
    <w:rsid w:val="00E30EBC"/>
    <w:rsid w:val="00E31164"/>
    <w:rsid w:val="00E31544"/>
    <w:rsid w:val="00E3169E"/>
    <w:rsid w:val="00E32512"/>
    <w:rsid w:val="00E32610"/>
    <w:rsid w:val="00E32831"/>
    <w:rsid w:val="00E32985"/>
    <w:rsid w:val="00E329FB"/>
    <w:rsid w:val="00E32CC4"/>
    <w:rsid w:val="00E32D06"/>
    <w:rsid w:val="00E32D0F"/>
    <w:rsid w:val="00E32DBE"/>
    <w:rsid w:val="00E32F7D"/>
    <w:rsid w:val="00E332ED"/>
    <w:rsid w:val="00E338AD"/>
    <w:rsid w:val="00E33A7C"/>
    <w:rsid w:val="00E33B88"/>
    <w:rsid w:val="00E33D06"/>
    <w:rsid w:val="00E340AA"/>
    <w:rsid w:val="00E340CE"/>
    <w:rsid w:val="00E34308"/>
    <w:rsid w:val="00E34383"/>
    <w:rsid w:val="00E345C8"/>
    <w:rsid w:val="00E34B56"/>
    <w:rsid w:val="00E35100"/>
    <w:rsid w:val="00E35102"/>
    <w:rsid w:val="00E35683"/>
    <w:rsid w:val="00E35D19"/>
    <w:rsid w:val="00E35D34"/>
    <w:rsid w:val="00E35E76"/>
    <w:rsid w:val="00E35FAC"/>
    <w:rsid w:val="00E3606C"/>
    <w:rsid w:val="00E36721"/>
    <w:rsid w:val="00E367A7"/>
    <w:rsid w:val="00E3697C"/>
    <w:rsid w:val="00E36B30"/>
    <w:rsid w:val="00E36BB7"/>
    <w:rsid w:val="00E373F2"/>
    <w:rsid w:val="00E3749F"/>
    <w:rsid w:val="00E376D3"/>
    <w:rsid w:val="00E37E1E"/>
    <w:rsid w:val="00E40027"/>
    <w:rsid w:val="00E4018C"/>
    <w:rsid w:val="00E403FC"/>
    <w:rsid w:val="00E406E0"/>
    <w:rsid w:val="00E409EC"/>
    <w:rsid w:val="00E40EDC"/>
    <w:rsid w:val="00E40EFA"/>
    <w:rsid w:val="00E4104B"/>
    <w:rsid w:val="00E412CF"/>
    <w:rsid w:val="00E413FE"/>
    <w:rsid w:val="00E417C2"/>
    <w:rsid w:val="00E41A8B"/>
    <w:rsid w:val="00E41AF6"/>
    <w:rsid w:val="00E42139"/>
    <w:rsid w:val="00E426F1"/>
    <w:rsid w:val="00E42B80"/>
    <w:rsid w:val="00E42B99"/>
    <w:rsid w:val="00E42C47"/>
    <w:rsid w:val="00E431B0"/>
    <w:rsid w:val="00E433DF"/>
    <w:rsid w:val="00E43552"/>
    <w:rsid w:val="00E4355E"/>
    <w:rsid w:val="00E4377B"/>
    <w:rsid w:val="00E4387C"/>
    <w:rsid w:val="00E43A90"/>
    <w:rsid w:val="00E43EEA"/>
    <w:rsid w:val="00E4426B"/>
    <w:rsid w:val="00E4445C"/>
    <w:rsid w:val="00E4473C"/>
    <w:rsid w:val="00E449F1"/>
    <w:rsid w:val="00E44B85"/>
    <w:rsid w:val="00E44D73"/>
    <w:rsid w:val="00E44E05"/>
    <w:rsid w:val="00E45120"/>
    <w:rsid w:val="00E455F1"/>
    <w:rsid w:val="00E45813"/>
    <w:rsid w:val="00E45A99"/>
    <w:rsid w:val="00E45B51"/>
    <w:rsid w:val="00E45E2F"/>
    <w:rsid w:val="00E4606C"/>
    <w:rsid w:val="00E46150"/>
    <w:rsid w:val="00E46164"/>
    <w:rsid w:val="00E46C48"/>
    <w:rsid w:val="00E46DEA"/>
    <w:rsid w:val="00E47111"/>
    <w:rsid w:val="00E478F5"/>
    <w:rsid w:val="00E4791D"/>
    <w:rsid w:val="00E47B96"/>
    <w:rsid w:val="00E489F7"/>
    <w:rsid w:val="00E50540"/>
    <w:rsid w:val="00E505D2"/>
    <w:rsid w:val="00E5066C"/>
    <w:rsid w:val="00E50719"/>
    <w:rsid w:val="00E5087D"/>
    <w:rsid w:val="00E50977"/>
    <w:rsid w:val="00E50F36"/>
    <w:rsid w:val="00E51293"/>
    <w:rsid w:val="00E512D2"/>
    <w:rsid w:val="00E51556"/>
    <w:rsid w:val="00E51855"/>
    <w:rsid w:val="00E51860"/>
    <w:rsid w:val="00E51A58"/>
    <w:rsid w:val="00E51A99"/>
    <w:rsid w:val="00E51AC0"/>
    <w:rsid w:val="00E51B05"/>
    <w:rsid w:val="00E51D07"/>
    <w:rsid w:val="00E51FBA"/>
    <w:rsid w:val="00E522AA"/>
    <w:rsid w:val="00E52675"/>
    <w:rsid w:val="00E52701"/>
    <w:rsid w:val="00E52738"/>
    <w:rsid w:val="00E528D6"/>
    <w:rsid w:val="00E52A3C"/>
    <w:rsid w:val="00E52D04"/>
    <w:rsid w:val="00E52EDD"/>
    <w:rsid w:val="00E52F38"/>
    <w:rsid w:val="00E5314E"/>
    <w:rsid w:val="00E531DE"/>
    <w:rsid w:val="00E53418"/>
    <w:rsid w:val="00E53773"/>
    <w:rsid w:val="00E544E4"/>
    <w:rsid w:val="00E546EC"/>
    <w:rsid w:val="00E54973"/>
    <w:rsid w:val="00E54CA4"/>
    <w:rsid w:val="00E54F29"/>
    <w:rsid w:val="00E5509D"/>
    <w:rsid w:val="00E55442"/>
    <w:rsid w:val="00E55648"/>
    <w:rsid w:val="00E5579B"/>
    <w:rsid w:val="00E55B13"/>
    <w:rsid w:val="00E55D52"/>
    <w:rsid w:val="00E563A8"/>
    <w:rsid w:val="00E56AE8"/>
    <w:rsid w:val="00E56B90"/>
    <w:rsid w:val="00E56F32"/>
    <w:rsid w:val="00E56FB8"/>
    <w:rsid w:val="00E5706F"/>
    <w:rsid w:val="00E570C0"/>
    <w:rsid w:val="00E57126"/>
    <w:rsid w:val="00E57378"/>
    <w:rsid w:val="00E57709"/>
    <w:rsid w:val="00E577BE"/>
    <w:rsid w:val="00E57BC2"/>
    <w:rsid w:val="00E57BF9"/>
    <w:rsid w:val="00E57CBE"/>
    <w:rsid w:val="00E605DE"/>
    <w:rsid w:val="00E6073A"/>
    <w:rsid w:val="00E609B0"/>
    <w:rsid w:val="00E60E54"/>
    <w:rsid w:val="00E61551"/>
    <w:rsid w:val="00E617D2"/>
    <w:rsid w:val="00E61856"/>
    <w:rsid w:val="00E61B2E"/>
    <w:rsid w:val="00E6256B"/>
    <w:rsid w:val="00E62917"/>
    <w:rsid w:val="00E62A1F"/>
    <w:rsid w:val="00E62A9E"/>
    <w:rsid w:val="00E62CFA"/>
    <w:rsid w:val="00E62D09"/>
    <w:rsid w:val="00E62D28"/>
    <w:rsid w:val="00E62D56"/>
    <w:rsid w:val="00E6306E"/>
    <w:rsid w:val="00E6334E"/>
    <w:rsid w:val="00E634F0"/>
    <w:rsid w:val="00E63B4B"/>
    <w:rsid w:val="00E64107"/>
    <w:rsid w:val="00E64404"/>
    <w:rsid w:val="00E64437"/>
    <w:rsid w:val="00E64597"/>
    <w:rsid w:val="00E6486E"/>
    <w:rsid w:val="00E64B6E"/>
    <w:rsid w:val="00E64E3A"/>
    <w:rsid w:val="00E65160"/>
    <w:rsid w:val="00E6553F"/>
    <w:rsid w:val="00E65868"/>
    <w:rsid w:val="00E658F3"/>
    <w:rsid w:val="00E65B50"/>
    <w:rsid w:val="00E65EC1"/>
    <w:rsid w:val="00E66216"/>
    <w:rsid w:val="00E6648B"/>
    <w:rsid w:val="00E66F2A"/>
    <w:rsid w:val="00E66F33"/>
    <w:rsid w:val="00E66FFB"/>
    <w:rsid w:val="00E670A4"/>
    <w:rsid w:val="00E67350"/>
    <w:rsid w:val="00E67701"/>
    <w:rsid w:val="00E6792A"/>
    <w:rsid w:val="00E67C25"/>
    <w:rsid w:val="00E67C8C"/>
    <w:rsid w:val="00E67CA2"/>
    <w:rsid w:val="00E67CBA"/>
    <w:rsid w:val="00E67D73"/>
    <w:rsid w:val="00E7061A"/>
    <w:rsid w:val="00E70AD4"/>
    <w:rsid w:val="00E70C0C"/>
    <w:rsid w:val="00E70EC6"/>
    <w:rsid w:val="00E70F5C"/>
    <w:rsid w:val="00E71215"/>
    <w:rsid w:val="00E71285"/>
    <w:rsid w:val="00E71512"/>
    <w:rsid w:val="00E715E5"/>
    <w:rsid w:val="00E71603"/>
    <w:rsid w:val="00E71860"/>
    <w:rsid w:val="00E719E9"/>
    <w:rsid w:val="00E71F3C"/>
    <w:rsid w:val="00E72107"/>
    <w:rsid w:val="00E724DE"/>
    <w:rsid w:val="00E727A5"/>
    <w:rsid w:val="00E7282B"/>
    <w:rsid w:val="00E729AB"/>
    <w:rsid w:val="00E72B5A"/>
    <w:rsid w:val="00E72DA9"/>
    <w:rsid w:val="00E733FF"/>
    <w:rsid w:val="00E741AA"/>
    <w:rsid w:val="00E743CD"/>
    <w:rsid w:val="00E74409"/>
    <w:rsid w:val="00E74A88"/>
    <w:rsid w:val="00E74E6B"/>
    <w:rsid w:val="00E74F22"/>
    <w:rsid w:val="00E74FCB"/>
    <w:rsid w:val="00E75549"/>
    <w:rsid w:val="00E75753"/>
    <w:rsid w:val="00E758E5"/>
    <w:rsid w:val="00E75D89"/>
    <w:rsid w:val="00E763D2"/>
    <w:rsid w:val="00E76591"/>
    <w:rsid w:val="00E765F7"/>
    <w:rsid w:val="00E7663B"/>
    <w:rsid w:val="00E767A4"/>
    <w:rsid w:val="00E76A13"/>
    <w:rsid w:val="00E76AB2"/>
    <w:rsid w:val="00E76B41"/>
    <w:rsid w:val="00E76D9C"/>
    <w:rsid w:val="00E76EA7"/>
    <w:rsid w:val="00E76EB3"/>
    <w:rsid w:val="00E7757F"/>
    <w:rsid w:val="00E77631"/>
    <w:rsid w:val="00E778FC"/>
    <w:rsid w:val="00E77A38"/>
    <w:rsid w:val="00E77FC6"/>
    <w:rsid w:val="00E801A7"/>
    <w:rsid w:val="00E80448"/>
    <w:rsid w:val="00E80451"/>
    <w:rsid w:val="00E8062E"/>
    <w:rsid w:val="00E806CD"/>
    <w:rsid w:val="00E80774"/>
    <w:rsid w:val="00E80980"/>
    <w:rsid w:val="00E80BBD"/>
    <w:rsid w:val="00E80E37"/>
    <w:rsid w:val="00E80E53"/>
    <w:rsid w:val="00E8110E"/>
    <w:rsid w:val="00E8124D"/>
    <w:rsid w:val="00E814DF"/>
    <w:rsid w:val="00E8174B"/>
    <w:rsid w:val="00E81919"/>
    <w:rsid w:val="00E81D14"/>
    <w:rsid w:val="00E8266B"/>
    <w:rsid w:val="00E827BA"/>
    <w:rsid w:val="00E82B85"/>
    <w:rsid w:val="00E82EEB"/>
    <w:rsid w:val="00E832C5"/>
    <w:rsid w:val="00E8334E"/>
    <w:rsid w:val="00E83376"/>
    <w:rsid w:val="00E833AD"/>
    <w:rsid w:val="00E836E7"/>
    <w:rsid w:val="00E837BC"/>
    <w:rsid w:val="00E8392F"/>
    <w:rsid w:val="00E83A2B"/>
    <w:rsid w:val="00E83B93"/>
    <w:rsid w:val="00E83CE8"/>
    <w:rsid w:val="00E841D5"/>
    <w:rsid w:val="00E84228"/>
    <w:rsid w:val="00E845BD"/>
    <w:rsid w:val="00E84634"/>
    <w:rsid w:val="00E84663"/>
    <w:rsid w:val="00E84B0A"/>
    <w:rsid w:val="00E84BC7"/>
    <w:rsid w:val="00E84E06"/>
    <w:rsid w:val="00E85084"/>
    <w:rsid w:val="00E85117"/>
    <w:rsid w:val="00E851E4"/>
    <w:rsid w:val="00E8544B"/>
    <w:rsid w:val="00E8554A"/>
    <w:rsid w:val="00E85606"/>
    <w:rsid w:val="00E85751"/>
    <w:rsid w:val="00E857D2"/>
    <w:rsid w:val="00E85A0B"/>
    <w:rsid w:val="00E85B41"/>
    <w:rsid w:val="00E85F1B"/>
    <w:rsid w:val="00E86453"/>
    <w:rsid w:val="00E865A2"/>
    <w:rsid w:val="00E86739"/>
    <w:rsid w:val="00E87774"/>
    <w:rsid w:val="00E9001A"/>
    <w:rsid w:val="00E900EF"/>
    <w:rsid w:val="00E9031A"/>
    <w:rsid w:val="00E90593"/>
    <w:rsid w:val="00E907C5"/>
    <w:rsid w:val="00E90965"/>
    <w:rsid w:val="00E90993"/>
    <w:rsid w:val="00E90D58"/>
    <w:rsid w:val="00E912D9"/>
    <w:rsid w:val="00E913DF"/>
    <w:rsid w:val="00E9165F"/>
    <w:rsid w:val="00E917E1"/>
    <w:rsid w:val="00E917FA"/>
    <w:rsid w:val="00E91C9D"/>
    <w:rsid w:val="00E91CCD"/>
    <w:rsid w:val="00E91FE8"/>
    <w:rsid w:val="00E920FE"/>
    <w:rsid w:val="00E92B63"/>
    <w:rsid w:val="00E92F6F"/>
    <w:rsid w:val="00E9395D"/>
    <w:rsid w:val="00E939AC"/>
    <w:rsid w:val="00E93C56"/>
    <w:rsid w:val="00E9417D"/>
    <w:rsid w:val="00E942D3"/>
    <w:rsid w:val="00E94301"/>
    <w:rsid w:val="00E94383"/>
    <w:rsid w:val="00E944D9"/>
    <w:rsid w:val="00E9467F"/>
    <w:rsid w:val="00E946D8"/>
    <w:rsid w:val="00E9477F"/>
    <w:rsid w:val="00E948E5"/>
    <w:rsid w:val="00E94934"/>
    <w:rsid w:val="00E94C90"/>
    <w:rsid w:val="00E95253"/>
    <w:rsid w:val="00E954F3"/>
    <w:rsid w:val="00E9551A"/>
    <w:rsid w:val="00E9594B"/>
    <w:rsid w:val="00E9601B"/>
    <w:rsid w:val="00E9614C"/>
    <w:rsid w:val="00E96315"/>
    <w:rsid w:val="00E96321"/>
    <w:rsid w:val="00E96C40"/>
    <w:rsid w:val="00E973C1"/>
    <w:rsid w:val="00E974BD"/>
    <w:rsid w:val="00E9763B"/>
    <w:rsid w:val="00E9773A"/>
    <w:rsid w:val="00EA0117"/>
    <w:rsid w:val="00EA0520"/>
    <w:rsid w:val="00EA056E"/>
    <w:rsid w:val="00EA0608"/>
    <w:rsid w:val="00EA0A78"/>
    <w:rsid w:val="00EA0BA6"/>
    <w:rsid w:val="00EA146C"/>
    <w:rsid w:val="00EA178A"/>
    <w:rsid w:val="00EA2178"/>
    <w:rsid w:val="00EA23D8"/>
    <w:rsid w:val="00EA23E1"/>
    <w:rsid w:val="00EA242E"/>
    <w:rsid w:val="00EA2893"/>
    <w:rsid w:val="00EA2E55"/>
    <w:rsid w:val="00EA2F1A"/>
    <w:rsid w:val="00EA2F23"/>
    <w:rsid w:val="00EA3316"/>
    <w:rsid w:val="00EA332C"/>
    <w:rsid w:val="00EA3343"/>
    <w:rsid w:val="00EA386F"/>
    <w:rsid w:val="00EA39F0"/>
    <w:rsid w:val="00EA3C21"/>
    <w:rsid w:val="00EA3D02"/>
    <w:rsid w:val="00EA40CE"/>
    <w:rsid w:val="00EA459B"/>
    <w:rsid w:val="00EA45D1"/>
    <w:rsid w:val="00EA468E"/>
    <w:rsid w:val="00EA48C8"/>
    <w:rsid w:val="00EA4B27"/>
    <w:rsid w:val="00EA4D0C"/>
    <w:rsid w:val="00EA5873"/>
    <w:rsid w:val="00EA596F"/>
    <w:rsid w:val="00EA5A0D"/>
    <w:rsid w:val="00EA65B9"/>
    <w:rsid w:val="00EA6A79"/>
    <w:rsid w:val="00EA6C89"/>
    <w:rsid w:val="00EA7289"/>
    <w:rsid w:val="00EA730B"/>
    <w:rsid w:val="00EA7526"/>
    <w:rsid w:val="00EA7541"/>
    <w:rsid w:val="00EA7A65"/>
    <w:rsid w:val="00EA7A69"/>
    <w:rsid w:val="00EB00AE"/>
    <w:rsid w:val="00EB05EF"/>
    <w:rsid w:val="00EB064C"/>
    <w:rsid w:val="00EB08A7"/>
    <w:rsid w:val="00EB0C99"/>
    <w:rsid w:val="00EB0CF4"/>
    <w:rsid w:val="00EB0F5A"/>
    <w:rsid w:val="00EB1576"/>
    <w:rsid w:val="00EB15B2"/>
    <w:rsid w:val="00EB1B5C"/>
    <w:rsid w:val="00EB1F71"/>
    <w:rsid w:val="00EB1F99"/>
    <w:rsid w:val="00EB1FC6"/>
    <w:rsid w:val="00EB21ED"/>
    <w:rsid w:val="00EB2A5B"/>
    <w:rsid w:val="00EB2ACF"/>
    <w:rsid w:val="00EB2DC7"/>
    <w:rsid w:val="00EB2DE2"/>
    <w:rsid w:val="00EB322D"/>
    <w:rsid w:val="00EB34A7"/>
    <w:rsid w:val="00EB3585"/>
    <w:rsid w:val="00EB3725"/>
    <w:rsid w:val="00EB3907"/>
    <w:rsid w:val="00EB3A99"/>
    <w:rsid w:val="00EB403C"/>
    <w:rsid w:val="00EB4161"/>
    <w:rsid w:val="00EB4524"/>
    <w:rsid w:val="00EB45BB"/>
    <w:rsid w:val="00EB46A1"/>
    <w:rsid w:val="00EB481C"/>
    <w:rsid w:val="00EB489A"/>
    <w:rsid w:val="00EB4A2D"/>
    <w:rsid w:val="00EB4E43"/>
    <w:rsid w:val="00EB5DAF"/>
    <w:rsid w:val="00EB5F22"/>
    <w:rsid w:val="00EB5F8D"/>
    <w:rsid w:val="00EB5FF6"/>
    <w:rsid w:val="00EB62A2"/>
    <w:rsid w:val="00EB68AC"/>
    <w:rsid w:val="00EB6D73"/>
    <w:rsid w:val="00EB6DB5"/>
    <w:rsid w:val="00EB6DC4"/>
    <w:rsid w:val="00EB70B6"/>
    <w:rsid w:val="00EB73C9"/>
    <w:rsid w:val="00EB7BC2"/>
    <w:rsid w:val="00EB7FDA"/>
    <w:rsid w:val="00EC0287"/>
    <w:rsid w:val="00EC0296"/>
    <w:rsid w:val="00EC09B9"/>
    <w:rsid w:val="00EC0D56"/>
    <w:rsid w:val="00EC0E73"/>
    <w:rsid w:val="00EC0ED5"/>
    <w:rsid w:val="00EC102C"/>
    <w:rsid w:val="00EC11B9"/>
    <w:rsid w:val="00EC12C3"/>
    <w:rsid w:val="00EC141E"/>
    <w:rsid w:val="00EC1470"/>
    <w:rsid w:val="00EC14A3"/>
    <w:rsid w:val="00EC151E"/>
    <w:rsid w:val="00EC16DE"/>
    <w:rsid w:val="00EC181A"/>
    <w:rsid w:val="00EC1893"/>
    <w:rsid w:val="00EC1E36"/>
    <w:rsid w:val="00EC2BBF"/>
    <w:rsid w:val="00EC2D19"/>
    <w:rsid w:val="00EC2DF3"/>
    <w:rsid w:val="00EC314F"/>
    <w:rsid w:val="00EC3621"/>
    <w:rsid w:val="00EC3634"/>
    <w:rsid w:val="00EC3724"/>
    <w:rsid w:val="00EC378A"/>
    <w:rsid w:val="00EC39D4"/>
    <w:rsid w:val="00EC3AC7"/>
    <w:rsid w:val="00EC3CC1"/>
    <w:rsid w:val="00EC3D43"/>
    <w:rsid w:val="00EC3E5D"/>
    <w:rsid w:val="00EC4098"/>
    <w:rsid w:val="00EC4352"/>
    <w:rsid w:val="00EC446C"/>
    <w:rsid w:val="00EC4643"/>
    <w:rsid w:val="00EC4948"/>
    <w:rsid w:val="00EC4CF4"/>
    <w:rsid w:val="00EC4DD2"/>
    <w:rsid w:val="00EC4E7F"/>
    <w:rsid w:val="00EC51F5"/>
    <w:rsid w:val="00EC537B"/>
    <w:rsid w:val="00EC5444"/>
    <w:rsid w:val="00EC5519"/>
    <w:rsid w:val="00EC579F"/>
    <w:rsid w:val="00EC5AF4"/>
    <w:rsid w:val="00EC5C4E"/>
    <w:rsid w:val="00EC5E7A"/>
    <w:rsid w:val="00EC622B"/>
    <w:rsid w:val="00EC6340"/>
    <w:rsid w:val="00EC66D6"/>
    <w:rsid w:val="00EC692B"/>
    <w:rsid w:val="00EC6A14"/>
    <w:rsid w:val="00EC6BDA"/>
    <w:rsid w:val="00EC6C3A"/>
    <w:rsid w:val="00EC6F9C"/>
    <w:rsid w:val="00EC701E"/>
    <w:rsid w:val="00EC7861"/>
    <w:rsid w:val="00ED00D6"/>
    <w:rsid w:val="00ED031F"/>
    <w:rsid w:val="00ED03AF"/>
    <w:rsid w:val="00ED04C7"/>
    <w:rsid w:val="00ED062F"/>
    <w:rsid w:val="00ED07EC"/>
    <w:rsid w:val="00ED08FA"/>
    <w:rsid w:val="00ED121A"/>
    <w:rsid w:val="00ED12B4"/>
    <w:rsid w:val="00ED168C"/>
    <w:rsid w:val="00ED1943"/>
    <w:rsid w:val="00ED1FBD"/>
    <w:rsid w:val="00ED2051"/>
    <w:rsid w:val="00ED228E"/>
    <w:rsid w:val="00ED22A4"/>
    <w:rsid w:val="00ED248B"/>
    <w:rsid w:val="00ED251D"/>
    <w:rsid w:val="00ED2C5D"/>
    <w:rsid w:val="00ED2D80"/>
    <w:rsid w:val="00ED2F11"/>
    <w:rsid w:val="00ED311F"/>
    <w:rsid w:val="00ED317A"/>
    <w:rsid w:val="00ED33A9"/>
    <w:rsid w:val="00ED36B6"/>
    <w:rsid w:val="00ED3AB4"/>
    <w:rsid w:val="00ED3B3A"/>
    <w:rsid w:val="00ED414F"/>
    <w:rsid w:val="00ED4338"/>
    <w:rsid w:val="00ED461C"/>
    <w:rsid w:val="00ED48AF"/>
    <w:rsid w:val="00ED48E0"/>
    <w:rsid w:val="00ED4902"/>
    <w:rsid w:val="00ED4B4E"/>
    <w:rsid w:val="00ED4D83"/>
    <w:rsid w:val="00ED538C"/>
    <w:rsid w:val="00ED5DD5"/>
    <w:rsid w:val="00ED6100"/>
    <w:rsid w:val="00ED64A2"/>
    <w:rsid w:val="00ED6C0C"/>
    <w:rsid w:val="00ED6F54"/>
    <w:rsid w:val="00ED7240"/>
    <w:rsid w:val="00ED79A0"/>
    <w:rsid w:val="00ED7DF9"/>
    <w:rsid w:val="00EE0041"/>
    <w:rsid w:val="00EE01F1"/>
    <w:rsid w:val="00EE03B1"/>
    <w:rsid w:val="00EE094D"/>
    <w:rsid w:val="00EE0BAC"/>
    <w:rsid w:val="00EE0CA2"/>
    <w:rsid w:val="00EE0DC0"/>
    <w:rsid w:val="00EE0E63"/>
    <w:rsid w:val="00EE0F24"/>
    <w:rsid w:val="00EE12CA"/>
    <w:rsid w:val="00EE1653"/>
    <w:rsid w:val="00EE16D1"/>
    <w:rsid w:val="00EE1C3B"/>
    <w:rsid w:val="00EE1C59"/>
    <w:rsid w:val="00EE1D53"/>
    <w:rsid w:val="00EE2140"/>
    <w:rsid w:val="00EE2553"/>
    <w:rsid w:val="00EE258D"/>
    <w:rsid w:val="00EE25E7"/>
    <w:rsid w:val="00EE2781"/>
    <w:rsid w:val="00EE2AD1"/>
    <w:rsid w:val="00EE2B65"/>
    <w:rsid w:val="00EE2C9A"/>
    <w:rsid w:val="00EE2E57"/>
    <w:rsid w:val="00EE2F32"/>
    <w:rsid w:val="00EE3133"/>
    <w:rsid w:val="00EE316C"/>
    <w:rsid w:val="00EE3499"/>
    <w:rsid w:val="00EE36E6"/>
    <w:rsid w:val="00EE37C8"/>
    <w:rsid w:val="00EE3CCA"/>
    <w:rsid w:val="00EE3E37"/>
    <w:rsid w:val="00EE44ED"/>
    <w:rsid w:val="00EE4554"/>
    <w:rsid w:val="00EE4E27"/>
    <w:rsid w:val="00EE4EE7"/>
    <w:rsid w:val="00EE565E"/>
    <w:rsid w:val="00EE5982"/>
    <w:rsid w:val="00EE59F2"/>
    <w:rsid w:val="00EE5B11"/>
    <w:rsid w:val="00EE5BB1"/>
    <w:rsid w:val="00EE5E52"/>
    <w:rsid w:val="00EE5E7B"/>
    <w:rsid w:val="00EE67F9"/>
    <w:rsid w:val="00EE68FD"/>
    <w:rsid w:val="00EE715C"/>
    <w:rsid w:val="00EE71B1"/>
    <w:rsid w:val="00EE765F"/>
    <w:rsid w:val="00EE7795"/>
    <w:rsid w:val="00EE7834"/>
    <w:rsid w:val="00EE7C58"/>
    <w:rsid w:val="00EE7CF9"/>
    <w:rsid w:val="00EE7D2F"/>
    <w:rsid w:val="00EE7D3A"/>
    <w:rsid w:val="00EF0184"/>
    <w:rsid w:val="00EF0320"/>
    <w:rsid w:val="00EF03D4"/>
    <w:rsid w:val="00EF03DA"/>
    <w:rsid w:val="00EF0A1A"/>
    <w:rsid w:val="00EF0C7B"/>
    <w:rsid w:val="00EF0D77"/>
    <w:rsid w:val="00EF14AB"/>
    <w:rsid w:val="00EF15B9"/>
    <w:rsid w:val="00EF15D0"/>
    <w:rsid w:val="00EF16C0"/>
    <w:rsid w:val="00EF17BB"/>
    <w:rsid w:val="00EF1819"/>
    <w:rsid w:val="00EF1844"/>
    <w:rsid w:val="00EF1974"/>
    <w:rsid w:val="00EF1C56"/>
    <w:rsid w:val="00EF1CAB"/>
    <w:rsid w:val="00EF209A"/>
    <w:rsid w:val="00EF238B"/>
    <w:rsid w:val="00EF242D"/>
    <w:rsid w:val="00EF25D5"/>
    <w:rsid w:val="00EF2FBE"/>
    <w:rsid w:val="00EF31E3"/>
    <w:rsid w:val="00EF3555"/>
    <w:rsid w:val="00EF3556"/>
    <w:rsid w:val="00EF3B43"/>
    <w:rsid w:val="00EF3E63"/>
    <w:rsid w:val="00EF3EDB"/>
    <w:rsid w:val="00EF3F42"/>
    <w:rsid w:val="00EF3FB0"/>
    <w:rsid w:val="00EF450C"/>
    <w:rsid w:val="00EF45E6"/>
    <w:rsid w:val="00EF4768"/>
    <w:rsid w:val="00EF47D2"/>
    <w:rsid w:val="00EF4801"/>
    <w:rsid w:val="00EF4965"/>
    <w:rsid w:val="00EF4990"/>
    <w:rsid w:val="00EF4A8C"/>
    <w:rsid w:val="00EF4BF5"/>
    <w:rsid w:val="00EF5021"/>
    <w:rsid w:val="00EF538D"/>
    <w:rsid w:val="00EF55C0"/>
    <w:rsid w:val="00EF5665"/>
    <w:rsid w:val="00EF5869"/>
    <w:rsid w:val="00EF5E5B"/>
    <w:rsid w:val="00EF60E3"/>
    <w:rsid w:val="00EF6118"/>
    <w:rsid w:val="00EF63A8"/>
    <w:rsid w:val="00EF66B8"/>
    <w:rsid w:val="00EF68B3"/>
    <w:rsid w:val="00EF6AB7"/>
    <w:rsid w:val="00EF6D06"/>
    <w:rsid w:val="00EF74EA"/>
    <w:rsid w:val="00EF75A3"/>
    <w:rsid w:val="00EF76F9"/>
    <w:rsid w:val="00EF77FC"/>
    <w:rsid w:val="00EF783D"/>
    <w:rsid w:val="00EF7EA9"/>
    <w:rsid w:val="00EF7ECC"/>
    <w:rsid w:val="00EF7EF9"/>
    <w:rsid w:val="00F00403"/>
    <w:rsid w:val="00F00838"/>
    <w:rsid w:val="00F00ADE"/>
    <w:rsid w:val="00F00B3D"/>
    <w:rsid w:val="00F01047"/>
    <w:rsid w:val="00F0119A"/>
    <w:rsid w:val="00F02204"/>
    <w:rsid w:val="00F0256E"/>
    <w:rsid w:val="00F02BE0"/>
    <w:rsid w:val="00F02CCA"/>
    <w:rsid w:val="00F02D27"/>
    <w:rsid w:val="00F02F33"/>
    <w:rsid w:val="00F02FF4"/>
    <w:rsid w:val="00F0353D"/>
    <w:rsid w:val="00F0388F"/>
    <w:rsid w:val="00F03E18"/>
    <w:rsid w:val="00F03E60"/>
    <w:rsid w:val="00F03F06"/>
    <w:rsid w:val="00F040B7"/>
    <w:rsid w:val="00F0418B"/>
    <w:rsid w:val="00F044B0"/>
    <w:rsid w:val="00F048DF"/>
    <w:rsid w:val="00F04A0E"/>
    <w:rsid w:val="00F04A62"/>
    <w:rsid w:val="00F04C2F"/>
    <w:rsid w:val="00F0512C"/>
    <w:rsid w:val="00F051DE"/>
    <w:rsid w:val="00F0566F"/>
    <w:rsid w:val="00F056EF"/>
    <w:rsid w:val="00F0591D"/>
    <w:rsid w:val="00F05ACE"/>
    <w:rsid w:val="00F05CAD"/>
    <w:rsid w:val="00F05D26"/>
    <w:rsid w:val="00F05F7E"/>
    <w:rsid w:val="00F06010"/>
    <w:rsid w:val="00F0615C"/>
    <w:rsid w:val="00F06335"/>
    <w:rsid w:val="00F064FF"/>
    <w:rsid w:val="00F06949"/>
    <w:rsid w:val="00F06BC4"/>
    <w:rsid w:val="00F06C3E"/>
    <w:rsid w:val="00F07233"/>
    <w:rsid w:val="00F074CD"/>
    <w:rsid w:val="00F07728"/>
    <w:rsid w:val="00F07A0B"/>
    <w:rsid w:val="00F07AB1"/>
    <w:rsid w:val="00F07C11"/>
    <w:rsid w:val="00F07EE5"/>
    <w:rsid w:val="00F07F0F"/>
    <w:rsid w:val="00F10006"/>
    <w:rsid w:val="00F10A19"/>
    <w:rsid w:val="00F10B6F"/>
    <w:rsid w:val="00F10EB9"/>
    <w:rsid w:val="00F10F43"/>
    <w:rsid w:val="00F114D1"/>
    <w:rsid w:val="00F11622"/>
    <w:rsid w:val="00F1186C"/>
    <w:rsid w:val="00F11C5D"/>
    <w:rsid w:val="00F11D47"/>
    <w:rsid w:val="00F11DE4"/>
    <w:rsid w:val="00F12003"/>
    <w:rsid w:val="00F123C5"/>
    <w:rsid w:val="00F12457"/>
    <w:rsid w:val="00F124B6"/>
    <w:rsid w:val="00F125A2"/>
    <w:rsid w:val="00F126C8"/>
    <w:rsid w:val="00F1299B"/>
    <w:rsid w:val="00F12BE3"/>
    <w:rsid w:val="00F1310C"/>
    <w:rsid w:val="00F13376"/>
    <w:rsid w:val="00F137CE"/>
    <w:rsid w:val="00F13CF6"/>
    <w:rsid w:val="00F13DE0"/>
    <w:rsid w:val="00F13FB8"/>
    <w:rsid w:val="00F14210"/>
    <w:rsid w:val="00F14541"/>
    <w:rsid w:val="00F145BC"/>
    <w:rsid w:val="00F1496F"/>
    <w:rsid w:val="00F14B00"/>
    <w:rsid w:val="00F14C04"/>
    <w:rsid w:val="00F14E3E"/>
    <w:rsid w:val="00F14E56"/>
    <w:rsid w:val="00F14ECD"/>
    <w:rsid w:val="00F1510B"/>
    <w:rsid w:val="00F154E4"/>
    <w:rsid w:val="00F158E1"/>
    <w:rsid w:val="00F15AFF"/>
    <w:rsid w:val="00F15C98"/>
    <w:rsid w:val="00F15D27"/>
    <w:rsid w:val="00F162CF"/>
    <w:rsid w:val="00F1632C"/>
    <w:rsid w:val="00F1642B"/>
    <w:rsid w:val="00F16485"/>
    <w:rsid w:val="00F16E88"/>
    <w:rsid w:val="00F16F24"/>
    <w:rsid w:val="00F1707D"/>
    <w:rsid w:val="00F17227"/>
    <w:rsid w:val="00F17622"/>
    <w:rsid w:val="00F176A6"/>
    <w:rsid w:val="00F17CB1"/>
    <w:rsid w:val="00F17CD1"/>
    <w:rsid w:val="00F17DDB"/>
    <w:rsid w:val="00F20413"/>
    <w:rsid w:val="00F20500"/>
    <w:rsid w:val="00F20787"/>
    <w:rsid w:val="00F20A94"/>
    <w:rsid w:val="00F20AB1"/>
    <w:rsid w:val="00F20F8C"/>
    <w:rsid w:val="00F21152"/>
    <w:rsid w:val="00F2153F"/>
    <w:rsid w:val="00F216C6"/>
    <w:rsid w:val="00F21E43"/>
    <w:rsid w:val="00F22386"/>
    <w:rsid w:val="00F2251A"/>
    <w:rsid w:val="00F225DF"/>
    <w:rsid w:val="00F2288B"/>
    <w:rsid w:val="00F229EE"/>
    <w:rsid w:val="00F22F4E"/>
    <w:rsid w:val="00F23088"/>
    <w:rsid w:val="00F230F2"/>
    <w:rsid w:val="00F2332D"/>
    <w:rsid w:val="00F23496"/>
    <w:rsid w:val="00F235AA"/>
    <w:rsid w:val="00F23917"/>
    <w:rsid w:val="00F23B59"/>
    <w:rsid w:val="00F24115"/>
    <w:rsid w:val="00F244FA"/>
    <w:rsid w:val="00F2483B"/>
    <w:rsid w:val="00F2490C"/>
    <w:rsid w:val="00F249BF"/>
    <w:rsid w:val="00F25094"/>
    <w:rsid w:val="00F2514E"/>
    <w:rsid w:val="00F251AA"/>
    <w:rsid w:val="00F2520E"/>
    <w:rsid w:val="00F25595"/>
    <w:rsid w:val="00F255DD"/>
    <w:rsid w:val="00F2586E"/>
    <w:rsid w:val="00F258A5"/>
    <w:rsid w:val="00F259BE"/>
    <w:rsid w:val="00F25A8E"/>
    <w:rsid w:val="00F25DFA"/>
    <w:rsid w:val="00F26358"/>
    <w:rsid w:val="00F263BB"/>
    <w:rsid w:val="00F26634"/>
    <w:rsid w:val="00F26680"/>
    <w:rsid w:val="00F26685"/>
    <w:rsid w:val="00F266C1"/>
    <w:rsid w:val="00F267B6"/>
    <w:rsid w:val="00F269B4"/>
    <w:rsid w:val="00F26AD5"/>
    <w:rsid w:val="00F26F49"/>
    <w:rsid w:val="00F27436"/>
    <w:rsid w:val="00F2764A"/>
    <w:rsid w:val="00F276EC"/>
    <w:rsid w:val="00F279AA"/>
    <w:rsid w:val="00F27FAE"/>
    <w:rsid w:val="00F3004F"/>
    <w:rsid w:val="00F300F3"/>
    <w:rsid w:val="00F302FD"/>
    <w:rsid w:val="00F30576"/>
    <w:rsid w:val="00F30730"/>
    <w:rsid w:val="00F3075F"/>
    <w:rsid w:val="00F308EB"/>
    <w:rsid w:val="00F30917"/>
    <w:rsid w:val="00F30E13"/>
    <w:rsid w:val="00F30E86"/>
    <w:rsid w:val="00F30E95"/>
    <w:rsid w:val="00F3179F"/>
    <w:rsid w:val="00F319A2"/>
    <w:rsid w:val="00F32573"/>
    <w:rsid w:val="00F32D7A"/>
    <w:rsid w:val="00F32F33"/>
    <w:rsid w:val="00F330F9"/>
    <w:rsid w:val="00F333F7"/>
    <w:rsid w:val="00F33747"/>
    <w:rsid w:val="00F337BA"/>
    <w:rsid w:val="00F33822"/>
    <w:rsid w:val="00F344B6"/>
    <w:rsid w:val="00F34595"/>
    <w:rsid w:val="00F345CA"/>
    <w:rsid w:val="00F34AB0"/>
    <w:rsid w:val="00F351CD"/>
    <w:rsid w:val="00F3551C"/>
    <w:rsid w:val="00F35ACD"/>
    <w:rsid w:val="00F35C26"/>
    <w:rsid w:val="00F35C75"/>
    <w:rsid w:val="00F360E7"/>
    <w:rsid w:val="00F361EA"/>
    <w:rsid w:val="00F3645B"/>
    <w:rsid w:val="00F3648E"/>
    <w:rsid w:val="00F3670C"/>
    <w:rsid w:val="00F3723D"/>
    <w:rsid w:val="00F373BB"/>
    <w:rsid w:val="00F37D05"/>
    <w:rsid w:val="00F37E47"/>
    <w:rsid w:val="00F40074"/>
    <w:rsid w:val="00F400BB"/>
    <w:rsid w:val="00F401D5"/>
    <w:rsid w:val="00F402AC"/>
    <w:rsid w:val="00F40308"/>
    <w:rsid w:val="00F40497"/>
    <w:rsid w:val="00F40558"/>
    <w:rsid w:val="00F405D3"/>
    <w:rsid w:val="00F40951"/>
    <w:rsid w:val="00F40DA7"/>
    <w:rsid w:val="00F40EF0"/>
    <w:rsid w:val="00F412D9"/>
    <w:rsid w:val="00F41315"/>
    <w:rsid w:val="00F41469"/>
    <w:rsid w:val="00F415CF"/>
    <w:rsid w:val="00F4170D"/>
    <w:rsid w:val="00F419CF"/>
    <w:rsid w:val="00F41B4C"/>
    <w:rsid w:val="00F41E9D"/>
    <w:rsid w:val="00F426BD"/>
    <w:rsid w:val="00F42819"/>
    <w:rsid w:val="00F42A78"/>
    <w:rsid w:val="00F42B09"/>
    <w:rsid w:val="00F42C15"/>
    <w:rsid w:val="00F431E7"/>
    <w:rsid w:val="00F4324B"/>
    <w:rsid w:val="00F43349"/>
    <w:rsid w:val="00F43668"/>
    <w:rsid w:val="00F4374D"/>
    <w:rsid w:val="00F43827"/>
    <w:rsid w:val="00F44085"/>
    <w:rsid w:val="00F4440D"/>
    <w:rsid w:val="00F44511"/>
    <w:rsid w:val="00F4468B"/>
    <w:rsid w:val="00F448B5"/>
    <w:rsid w:val="00F44BF9"/>
    <w:rsid w:val="00F44CB7"/>
    <w:rsid w:val="00F45005"/>
    <w:rsid w:val="00F451BE"/>
    <w:rsid w:val="00F45271"/>
    <w:rsid w:val="00F45746"/>
    <w:rsid w:val="00F4596D"/>
    <w:rsid w:val="00F45ED7"/>
    <w:rsid w:val="00F463C1"/>
    <w:rsid w:val="00F46D7B"/>
    <w:rsid w:val="00F470FF"/>
    <w:rsid w:val="00F471EF"/>
    <w:rsid w:val="00F474A7"/>
    <w:rsid w:val="00F4783F"/>
    <w:rsid w:val="00F47850"/>
    <w:rsid w:val="00F478E5"/>
    <w:rsid w:val="00F47A28"/>
    <w:rsid w:val="00F47B0F"/>
    <w:rsid w:val="00F47B82"/>
    <w:rsid w:val="00F47D21"/>
    <w:rsid w:val="00F47F4D"/>
    <w:rsid w:val="00F50188"/>
    <w:rsid w:val="00F5022C"/>
    <w:rsid w:val="00F502C8"/>
    <w:rsid w:val="00F5045B"/>
    <w:rsid w:val="00F50A70"/>
    <w:rsid w:val="00F50C6D"/>
    <w:rsid w:val="00F50D38"/>
    <w:rsid w:val="00F50FB3"/>
    <w:rsid w:val="00F5106A"/>
    <w:rsid w:val="00F51379"/>
    <w:rsid w:val="00F515FA"/>
    <w:rsid w:val="00F51630"/>
    <w:rsid w:val="00F517EA"/>
    <w:rsid w:val="00F51904"/>
    <w:rsid w:val="00F51D37"/>
    <w:rsid w:val="00F51DC2"/>
    <w:rsid w:val="00F5234F"/>
    <w:rsid w:val="00F52845"/>
    <w:rsid w:val="00F52C58"/>
    <w:rsid w:val="00F52D99"/>
    <w:rsid w:val="00F52E62"/>
    <w:rsid w:val="00F52FC4"/>
    <w:rsid w:val="00F5321E"/>
    <w:rsid w:val="00F53338"/>
    <w:rsid w:val="00F53634"/>
    <w:rsid w:val="00F536D6"/>
    <w:rsid w:val="00F53AD2"/>
    <w:rsid w:val="00F53B22"/>
    <w:rsid w:val="00F54284"/>
    <w:rsid w:val="00F542DE"/>
    <w:rsid w:val="00F5468A"/>
    <w:rsid w:val="00F54935"/>
    <w:rsid w:val="00F54C05"/>
    <w:rsid w:val="00F54CDD"/>
    <w:rsid w:val="00F54D4C"/>
    <w:rsid w:val="00F55123"/>
    <w:rsid w:val="00F555C8"/>
    <w:rsid w:val="00F558EF"/>
    <w:rsid w:val="00F5593B"/>
    <w:rsid w:val="00F55AF2"/>
    <w:rsid w:val="00F55FFE"/>
    <w:rsid w:val="00F56001"/>
    <w:rsid w:val="00F5624E"/>
    <w:rsid w:val="00F562D7"/>
    <w:rsid w:val="00F564C6"/>
    <w:rsid w:val="00F5656D"/>
    <w:rsid w:val="00F56E08"/>
    <w:rsid w:val="00F5718C"/>
    <w:rsid w:val="00F571CA"/>
    <w:rsid w:val="00F571CE"/>
    <w:rsid w:val="00F57211"/>
    <w:rsid w:val="00F5721D"/>
    <w:rsid w:val="00F57385"/>
    <w:rsid w:val="00F5763C"/>
    <w:rsid w:val="00F576CB"/>
    <w:rsid w:val="00F577AD"/>
    <w:rsid w:val="00F6017B"/>
    <w:rsid w:val="00F60363"/>
    <w:rsid w:val="00F60535"/>
    <w:rsid w:val="00F605D3"/>
    <w:rsid w:val="00F60936"/>
    <w:rsid w:val="00F60DA7"/>
    <w:rsid w:val="00F611D8"/>
    <w:rsid w:val="00F616C6"/>
    <w:rsid w:val="00F61936"/>
    <w:rsid w:val="00F6196F"/>
    <w:rsid w:val="00F61CBC"/>
    <w:rsid w:val="00F61DFD"/>
    <w:rsid w:val="00F62008"/>
    <w:rsid w:val="00F62127"/>
    <w:rsid w:val="00F624A2"/>
    <w:rsid w:val="00F6257F"/>
    <w:rsid w:val="00F627B9"/>
    <w:rsid w:val="00F627D7"/>
    <w:rsid w:val="00F62A44"/>
    <w:rsid w:val="00F62E0D"/>
    <w:rsid w:val="00F633F4"/>
    <w:rsid w:val="00F6343C"/>
    <w:rsid w:val="00F63A24"/>
    <w:rsid w:val="00F63CE7"/>
    <w:rsid w:val="00F63DA3"/>
    <w:rsid w:val="00F63DF4"/>
    <w:rsid w:val="00F640CC"/>
    <w:rsid w:val="00F6411B"/>
    <w:rsid w:val="00F6441B"/>
    <w:rsid w:val="00F64492"/>
    <w:rsid w:val="00F64702"/>
    <w:rsid w:val="00F649B1"/>
    <w:rsid w:val="00F64B1C"/>
    <w:rsid w:val="00F64B90"/>
    <w:rsid w:val="00F64B96"/>
    <w:rsid w:val="00F64C80"/>
    <w:rsid w:val="00F64D1B"/>
    <w:rsid w:val="00F64F0A"/>
    <w:rsid w:val="00F6514D"/>
    <w:rsid w:val="00F65298"/>
    <w:rsid w:val="00F654AC"/>
    <w:rsid w:val="00F65612"/>
    <w:rsid w:val="00F656E2"/>
    <w:rsid w:val="00F657D1"/>
    <w:rsid w:val="00F6585F"/>
    <w:rsid w:val="00F65A10"/>
    <w:rsid w:val="00F65BBF"/>
    <w:rsid w:val="00F65C22"/>
    <w:rsid w:val="00F65DA6"/>
    <w:rsid w:val="00F6602C"/>
    <w:rsid w:val="00F6620B"/>
    <w:rsid w:val="00F66287"/>
    <w:rsid w:val="00F662A9"/>
    <w:rsid w:val="00F66374"/>
    <w:rsid w:val="00F66AA7"/>
    <w:rsid w:val="00F66B10"/>
    <w:rsid w:val="00F671BB"/>
    <w:rsid w:val="00F674BC"/>
    <w:rsid w:val="00F6772B"/>
    <w:rsid w:val="00F6775A"/>
    <w:rsid w:val="00F67C8F"/>
    <w:rsid w:val="00F67E48"/>
    <w:rsid w:val="00F700C6"/>
    <w:rsid w:val="00F70133"/>
    <w:rsid w:val="00F704E0"/>
    <w:rsid w:val="00F706A3"/>
    <w:rsid w:val="00F70807"/>
    <w:rsid w:val="00F70858"/>
    <w:rsid w:val="00F70AE1"/>
    <w:rsid w:val="00F711CF"/>
    <w:rsid w:val="00F7148F"/>
    <w:rsid w:val="00F71773"/>
    <w:rsid w:val="00F71CD9"/>
    <w:rsid w:val="00F721E5"/>
    <w:rsid w:val="00F7234D"/>
    <w:rsid w:val="00F723DD"/>
    <w:rsid w:val="00F724B8"/>
    <w:rsid w:val="00F72746"/>
    <w:rsid w:val="00F72B59"/>
    <w:rsid w:val="00F72B6D"/>
    <w:rsid w:val="00F72FA8"/>
    <w:rsid w:val="00F73016"/>
    <w:rsid w:val="00F7330A"/>
    <w:rsid w:val="00F733CE"/>
    <w:rsid w:val="00F73472"/>
    <w:rsid w:val="00F73BDF"/>
    <w:rsid w:val="00F73CCB"/>
    <w:rsid w:val="00F73DF4"/>
    <w:rsid w:val="00F741FC"/>
    <w:rsid w:val="00F74427"/>
    <w:rsid w:val="00F74B10"/>
    <w:rsid w:val="00F74E38"/>
    <w:rsid w:val="00F74F31"/>
    <w:rsid w:val="00F756F9"/>
    <w:rsid w:val="00F7571A"/>
    <w:rsid w:val="00F757BD"/>
    <w:rsid w:val="00F758BF"/>
    <w:rsid w:val="00F75B6A"/>
    <w:rsid w:val="00F75CE6"/>
    <w:rsid w:val="00F76028"/>
    <w:rsid w:val="00F764AB"/>
    <w:rsid w:val="00F7696F"/>
    <w:rsid w:val="00F76B1B"/>
    <w:rsid w:val="00F76B91"/>
    <w:rsid w:val="00F76CF5"/>
    <w:rsid w:val="00F770A8"/>
    <w:rsid w:val="00F774F0"/>
    <w:rsid w:val="00F7762F"/>
    <w:rsid w:val="00F777D4"/>
    <w:rsid w:val="00F777F6"/>
    <w:rsid w:val="00F77F43"/>
    <w:rsid w:val="00F802B7"/>
    <w:rsid w:val="00F8066C"/>
    <w:rsid w:val="00F808DE"/>
    <w:rsid w:val="00F80ABA"/>
    <w:rsid w:val="00F810D2"/>
    <w:rsid w:val="00F8130C"/>
    <w:rsid w:val="00F819AE"/>
    <w:rsid w:val="00F81A44"/>
    <w:rsid w:val="00F81ACF"/>
    <w:rsid w:val="00F81C16"/>
    <w:rsid w:val="00F81C7B"/>
    <w:rsid w:val="00F8245C"/>
    <w:rsid w:val="00F827D9"/>
    <w:rsid w:val="00F828D4"/>
    <w:rsid w:val="00F8296F"/>
    <w:rsid w:val="00F82BB8"/>
    <w:rsid w:val="00F82D7F"/>
    <w:rsid w:val="00F8300D"/>
    <w:rsid w:val="00F83B67"/>
    <w:rsid w:val="00F83E91"/>
    <w:rsid w:val="00F84059"/>
    <w:rsid w:val="00F840DB"/>
    <w:rsid w:val="00F8410A"/>
    <w:rsid w:val="00F8413E"/>
    <w:rsid w:val="00F844B0"/>
    <w:rsid w:val="00F84629"/>
    <w:rsid w:val="00F847E9"/>
    <w:rsid w:val="00F848DE"/>
    <w:rsid w:val="00F84A7C"/>
    <w:rsid w:val="00F84D35"/>
    <w:rsid w:val="00F8543E"/>
    <w:rsid w:val="00F85A7F"/>
    <w:rsid w:val="00F85CDE"/>
    <w:rsid w:val="00F85ED5"/>
    <w:rsid w:val="00F85F4F"/>
    <w:rsid w:val="00F8623F"/>
    <w:rsid w:val="00F866F6"/>
    <w:rsid w:val="00F86BB1"/>
    <w:rsid w:val="00F86BCB"/>
    <w:rsid w:val="00F86C09"/>
    <w:rsid w:val="00F86C56"/>
    <w:rsid w:val="00F86CF6"/>
    <w:rsid w:val="00F86CFE"/>
    <w:rsid w:val="00F8704C"/>
    <w:rsid w:val="00F870F8"/>
    <w:rsid w:val="00F87703"/>
    <w:rsid w:val="00F87782"/>
    <w:rsid w:val="00F87BA5"/>
    <w:rsid w:val="00F87F73"/>
    <w:rsid w:val="00F90053"/>
    <w:rsid w:val="00F9055C"/>
    <w:rsid w:val="00F906F2"/>
    <w:rsid w:val="00F912D7"/>
    <w:rsid w:val="00F914B6"/>
    <w:rsid w:val="00F91518"/>
    <w:rsid w:val="00F91890"/>
    <w:rsid w:val="00F91B53"/>
    <w:rsid w:val="00F92128"/>
    <w:rsid w:val="00F92289"/>
    <w:rsid w:val="00F92409"/>
    <w:rsid w:val="00F925C0"/>
    <w:rsid w:val="00F92697"/>
    <w:rsid w:val="00F92D1C"/>
    <w:rsid w:val="00F92D46"/>
    <w:rsid w:val="00F92D68"/>
    <w:rsid w:val="00F92EAC"/>
    <w:rsid w:val="00F92EB1"/>
    <w:rsid w:val="00F93104"/>
    <w:rsid w:val="00F9314B"/>
    <w:rsid w:val="00F93626"/>
    <w:rsid w:val="00F938E1"/>
    <w:rsid w:val="00F93B0A"/>
    <w:rsid w:val="00F93B76"/>
    <w:rsid w:val="00F93D33"/>
    <w:rsid w:val="00F93F8A"/>
    <w:rsid w:val="00F93FAD"/>
    <w:rsid w:val="00F9416E"/>
    <w:rsid w:val="00F9426E"/>
    <w:rsid w:val="00F942BC"/>
    <w:rsid w:val="00F942DE"/>
    <w:rsid w:val="00F94509"/>
    <w:rsid w:val="00F94653"/>
    <w:rsid w:val="00F94D0F"/>
    <w:rsid w:val="00F94D53"/>
    <w:rsid w:val="00F95736"/>
    <w:rsid w:val="00F95794"/>
    <w:rsid w:val="00F958C7"/>
    <w:rsid w:val="00F95AB0"/>
    <w:rsid w:val="00F969DB"/>
    <w:rsid w:val="00F96C85"/>
    <w:rsid w:val="00F96EB8"/>
    <w:rsid w:val="00F97126"/>
    <w:rsid w:val="00F972A9"/>
    <w:rsid w:val="00F973AF"/>
    <w:rsid w:val="00F97626"/>
    <w:rsid w:val="00F976BF"/>
    <w:rsid w:val="00F977BD"/>
    <w:rsid w:val="00F97A6F"/>
    <w:rsid w:val="00F97C93"/>
    <w:rsid w:val="00FA01E4"/>
    <w:rsid w:val="00FA02D9"/>
    <w:rsid w:val="00FA03A5"/>
    <w:rsid w:val="00FA03AD"/>
    <w:rsid w:val="00FA0997"/>
    <w:rsid w:val="00FA0FCD"/>
    <w:rsid w:val="00FA110E"/>
    <w:rsid w:val="00FA13E7"/>
    <w:rsid w:val="00FA1B5D"/>
    <w:rsid w:val="00FA1EA8"/>
    <w:rsid w:val="00FA2201"/>
    <w:rsid w:val="00FA23CF"/>
    <w:rsid w:val="00FA2439"/>
    <w:rsid w:val="00FA24AE"/>
    <w:rsid w:val="00FA2505"/>
    <w:rsid w:val="00FA28C7"/>
    <w:rsid w:val="00FA29B2"/>
    <w:rsid w:val="00FA2AF2"/>
    <w:rsid w:val="00FA2E66"/>
    <w:rsid w:val="00FA2F46"/>
    <w:rsid w:val="00FA3062"/>
    <w:rsid w:val="00FA31EB"/>
    <w:rsid w:val="00FA33CC"/>
    <w:rsid w:val="00FA34A8"/>
    <w:rsid w:val="00FA34D3"/>
    <w:rsid w:val="00FA3625"/>
    <w:rsid w:val="00FA3B16"/>
    <w:rsid w:val="00FA3C17"/>
    <w:rsid w:val="00FA3E07"/>
    <w:rsid w:val="00FA3FB5"/>
    <w:rsid w:val="00FA416F"/>
    <w:rsid w:val="00FA4426"/>
    <w:rsid w:val="00FA45C2"/>
    <w:rsid w:val="00FA4770"/>
    <w:rsid w:val="00FA4F13"/>
    <w:rsid w:val="00FA52E9"/>
    <w:rsid w:val="00FA5716"/>
    <w:rsid w:val="00FA5CB5"/>
    <w:rsid w:val="00FA5DDF"/>
    <w:rsid w:val="00FA6135"/>
    <w:rsid w:val="00FA683D"/>
    <w:rsid w:val="00FA700B"/>
    <w:rsid w:val="00FA721F"/>
    <w:rsid w:val="00FA7468"/>
    <w:rsid w:val="00FA7917"/>
    <w:rsid w:val="00FA7D9F"/>
    <w:rsid w:val="00FB0436"/>
    <w:rsid w:val="00FB0640"/>
    <w:rsid w:val="00FB0C71"/>
    <w:rsid w:val="00FB0E22"/>
    <w:rsid w:val="00FB14E5"/>
    <w:rsid w:val="00FB1589"/>
    <w:rsid w:val="00FB1854"/>
    <w:rsid w:val="00FB1C3C"/>
    <w:rsid w:val="00FB1D8B"/>
    <w:rsid w:val="00FB2304"/>
    <w:rsid w:val="00FB23B0"/>
    <w:rsid w:val="00FB28B0"/>
    <w:rsid w:val="00FB2A7D"/>
    <w:rsid w:val="00FB2ABF"/>
    <w:rsid w:val="00FB2BC2"/>
    <w:rsid w:val="00FB2D0F"/>
    <w:rsid w:val="00FB2E3D"/>
    <w:rsid w:val="00FB3024"/>
    <w:rsid w:val="00FB32AD"/>
    <w:rsid w:val="00FB32E9"/>
    <w:rsid w:val="00FB32EE"/>
    <w:rsid w:val="00FB3773"/>
    <w:rsid w:val="00FB37CB"/>
    <w:rsid w:val="00FB382D"/>
    <w:rsid w:val="00FB41F0"/>
    <w:rsid w:val="00FB427E"/>
    <w:rsid w:val="00FB4347"/>
    <w:rsid w:val="00FB46C1"/>
    <w:rsid w:val="00FB48D5"/>
    <w:rsid w:val="00FB4A8A"/>
    <w:rsid w:val="00FB4D33"/>
    <w:rsid w:val="00FB544E"/>
    <w:rsid w:val="00FB5598"/>
    <w:rsid w:val="00FB560B"/>
    <w:rsid w:val="00FB5A1B"/>
    <w:rsid w:val="00FB5E3A"/>
    <w:rsid w:val="00FB5F33"/>
    <w:rsid w:val="00FB5F5E"/>
    <w:rsid w:val="00FB6A15"/>
    <w:rsid w:val="00FB6C0B"/>
    <w:rsid w:val="00FB6D0C"/>
    <w:rsid w:val="00FB6D3A"/>
    <w:rsid w:val="00FB6F3D"/>
    <w:rsid w:val="00FB703E"/>
    <w:rsid w:val="00FB7066"/>
    <w:rsid w:val="00FB71BF"/>
    <w:rsid w:val="00FB7460"/>
    <w:rsid w:val="00FB7537"/>
    <w:rsid w:val="00FB7919"/>
    <w:rsid w:val="00FB79BD"/>
    <w:rsid w:val="00FB7B4E"/>
    <w:rsid w:val="00FB7FA8"/>
    <w:rsid w:val="00FB7FB1"/>
    <w:rsid w:val="00FC07D3"/>
    <w:rsid w:val="00FC08D4"/>
    <w:rsid w:val="00FC0D7F"/>
    <w:rsid w:val="00FC1006"/>
    <w:rsid w:val="00FC127D"/>
    <w:rsid w:val="00FC1A8F"/>
    <w:rsid w:val="00FC2012"/>
    <w:rsid w:val="00FC23ED"/>
    <w:rsid w:val="00FC2438"/>
    <w:rsid w:val="00FC2989"/>
    <w:rsid w:val="00FC2A79"/>
    <w:rsid w:val="00FC2D77"/>
    <w:rsid w:val="00FC2F2E"/>
    <w:rsid w:val="00FC3726"/>
    <w:rsid w:val="00FC3A13"/>
    <w:rsid w:val="00FC3BDA"/>
    <w:rsid w:val="00FC3BF4"/>
    <w:rsid w:val="00FC43A7"/>
    <w:rsid w:val="00FC4846"/>
    <w:rsid w:val="00FC4C2B"/>
    <w:rsid w:val="00FC52F8"/>
    <w:rsid w:val="00FC53B7"/>
    <w:rsid w:val="00FC5664"/>
    <w:rsid w:val="00FC596D"/>
    <w:rsid w:val="00FC5BDA"/>
    <w:rsid w:val="00FC5BF2"/>
    <w:rsid w:val="00FC5D0B"/>
    <w:rsid w:val="00FC5F4F"/>
    <w:rsid w:val="00FC6245"/>
    <w:rsid w:val="00FC6457"/>
    <w:rsid w:val="00FC645B"/>
    <w:rsid w:val="00FC6840"/>
    <w:rsid w:val="00FC693A"/>
    <w:rsid w:val="00FC6B6E"/>
    <w:rsid w:val="00FC6CFD"/>
    <w:rsid w:val="00FC702A"/>
    <w:rsid w:val="00FC7837"/>
    <w:rsid w:val="00FC7C5F"/>
    <w:rsid w:val="00FC7CB8"/>
    <w:rsid w:val="00FC7FC0"/>
    <w:rsid w:val="00FCA134"/>
    <w:rsid w:val="00FD0465"/>
    <w:rsid w:val="00FD0622"/>
    <w:rsid w:val="00FD077F"/>
    <w:rsid w:val="00FD09CE"/>
    <w:rsid w:val="00FD0B73"/>
    <w:rsid w:val="00FD0E79"/>
    <w:rsid w:val="00FD0EAF"/>
    <w:rsid w:val="00FD1098"/>
    <w:rsid w:val="00FD14EF"/>
    <w:rsid w:val="00FD1513"/>
    <w:rsid w:val="00FD1516"/>
    <w:rsid w:val="00FD1C50"/>
    <w:rsid w:val="00FD1FBC"/>
    <w:rsid w:val="00FD218B"/>
    <w:rsid w:val="00FD2544"/>
    <w:rsid w:val="00FD2A19"/>
    <w:rsid w:val="00FD2D1C"/>
    <w:rsid w:val="00FD2D82"/>
    <w:rsid w:val="00FD2FB3"/>
    <w:rsid w:val="00FD301A"/>
    <w:rsid w:val="00FD311D"/>
    <w:rsid w:val="00FD3285"/>
    <w:rsid w:val="00FD3656"/>
    <w:rsid w:val="00FD3796"/>
    <w:rsid w:val="00FD384C"/>
    <w:rsid w:val="00FD38BE"/>
    <w:rsid w:val="00FD3B48"/>
    <w:rsid w:val="00FD3EE5"/>
    <w:rsid w:val="00FD3FA3"/>
    <w:rsid w:val="00FD4A0D"/>
    <w:rsid w:val="00FD4BA5"/>
    <w:rsid w:val="00FD4F6D"/>
    <w:rsid w:val="00FD5017"/>
    <w:rsid w:val="00FD5416"/>
    <w:rsid w:val="00FD5B02"/>
    <w:rsid w:val="00FD5FCC"/>
    <w:rsid w:val="00FD626F"/>
    <w:rsid w:val="00FD64A0"/>
    <w:rsid w:val="00FD6537"/>
    <w:rsid w:val="00FD65AE"/>
    <w:rsid w:val="00FD6683"/>
    <w:rsid w:val="00FD6858"/>
    <w:rsid w:val="00FD6DC3"/>
    <w:rsid w:val="00FD6EB0"/>
    <w:rsid w:val="00FD72AB"/>
    <w:rsid w:val="00FD7834"/>
    <w:rsid w:val="00FE0103"/>
    <w:rsid w:val="00FE0474"/>
    <w:rsid w:val="00FE052A"/>
    <w:rsid w:val="00FE0546"/>
    <w:rsid w:val="00FE08A5"/>
    <w:rsid w:val="00FE08D7"/>
    <w:rsid w:val="00FE0D64"/>
    <w:rsid w:val="00FE13AD"/>
    <w:rsid w:val="00FE14BB"/>
    <w:rsid w:val="00FE1555"/>
    <w:rsid w:val="00FE156F"/>
    <w:rsid w:val="00FE15A9"/>
    <w:rsid w:val="00FE1DBE"/>
    <w:rsid w:val="00FE1DD5"/>
    <w:rsid w:val="00FE1EB8"/>
    <w:rsid w:val="00FE204B"/>
    <w:rsid w:val="00FE205D"/>
    <w:rsid w:val="00FE21A7"/>
    <w:rsid w:val="00FE249F"/>
    <w:rsid w:val="00FE263E"/>
    <w:rsid w:val="00FE2723"/>
    <w:rsid w:val="00FE28F1"/>
    <w:rsid w:val="00FE2A71"/>
    <w:rsid w:val="00FE2E80"/>
    <w:rsid w:val="00FE307C"/>
    <w:rsid w:val="00FE325B"/>
    <w:rsid w:val="00FE38C0"/>
    <w:rsid w:val="00FE3A3E"/>
    <w:rsid w:val="00FE3E33"/>
    <w:rsid w:val="00FE3E40"/>
    <w:rsid w:val="00FE3E95"/>
    <w:rsid w:val="00FE3E9F"/>
    <w:rsid w:val="00FE46A0"/>
    <w:rsid w:val="00FE48BB"/>
    <w:rsid w:val="00FE4902"/>
    <w:rsid w:val="00FE49C3"/>
    <w:rsid w:val="00FE4C5A"/>
    <w:rsid w:val="00FE4F6F"/>
    <w:rsid w:val="00FE4F82"/>
    <w:rsid w:val="00FE4FC8"/>
    <w:rsid w:val="00FE5644"/>
    <w:rsid w:val="00FE56D4"/>
    <w:rsid w:val="00FE57D4"/>
    <w:rsid w:val="00FE5856"/>
    <w:rsid w:val="00FE58F0"/>
    <w:rsid w:val="00FE5B73"/>
    <w:rsid w:val="00FE5C2F"/>
    <w:rsid w:val="00FE6319"/>
    <w:rsid w:val="00FE6717"/>
    <w:rsid w:val="00FE671A"/>
    <w:rsid w:val="00FE6B76"/>
    <w:rsid w:val="00FE6BB7"/>
    <w:rsid w:val="00FE6CF8"/>
    <w:rsid w:val="00FE7121"/>
    <w:rsid w:val="00FE7553"/>
    <w:rsid w:val="00FE77C9"/>
    <w:rsid w:val="00FE78B2"/>
    <w:rsid w:val="00FE7A3D"/>
    <w:rsid w:val="00FE7A4E"/>
    <w:rsid w:val="00FE7A5F"/>
    <w:rsid w:val="00FE7BA7"/>
    <w:rsid w:val="00FF00BE"/>
    <w:rsid w:val="00FF00EC"/>
    <w:rsid w:val="00FF0537"/>
    <w:rsid w:val="00FF05C4"/>
    <w:rsid w:val="00FF0AB2"/>
    <w:rsid w:val="00FF0C85"/>
    <w:rsid w:val="00FF0E5A"/>
    <w:rsid w:val="00FF0FE8"/>
    <w:rsid w:val="00FF10C5"/>
    <w:rsid w:val="00FF120D"/>
    <w:rsid w:val="00FF1452"/>
    <w:rsid w:val="00FF1604"/>
    <w:rsid w:val="00FF19E2"/>
    <w:rsid w:val="00FF23F7"/>
    <w:rsid w:val="00FF2729"/>
    <w:rsid w:val="00FF2A92"/>
    <w:rsid w:val="00FF2E5F"/>
    <w:rsid w:val="00FF2EB1"/>
    <w:rsid w:val="00FF2F94"/>
    <w:rsid w:val="00FF30D0"/>
    <w:rsid w:val="00FF3420"/>
    <w:rsid w:val="00FF354E"/>
    <w:rsid w:val="00FF3572"/>
    <w:rsid w:val="00FF3647"/>
    <w:rsid w:val="00FF38D1"/>
    <w:rsid w:val="00FF3986"/>
    <w:rsid w:val="00FF3EC6"/>
    <w:rsid w:val="00FF424E"/>
    <w:rsid w:val="00FF45CC"/>
    <w:rsid w:val="00FF4B1E"/>
    <w:rsid w:val="00FF4DDB"/>
    <w:rsid w:val="00FF4E90"/>
    <w:rsid w:val="00FF520A"/>
    <w:rsid w:val="00FF5300"/>
    <w:rsid w:val="00FF54F7"/>
    <w:rsid w:val="00FF58B8"/>
    <w:rsid w:val="00FF5A36"/>
    <w:rsid w:val="00FF5F79"/>
    <w:rsid w:val="00FF60BF"/>
    <w:rsid w:val="00FF633D"/>
    <w:rsid w:val="00FF63BC"/>
    <w:rsid w:val="00FF66AB"/>
    <w:rsid w:val="00FF6EDE"/>
    <w:rsid w:val="00FF6EE3"/>
    <w:rsid w:val="00FF6FF6"/>
    <w:rsid w:val="00FF7791"/>
    <w:rsid w:val="00FF7A27"/>
    <w:rsid w:val="00FF7A4D"/>
    <w:rsid w:val="010A2478"/>
    <w:rsid w:val="010B5400"/>
    <w:rsid w:val="01137767"/>
    <w:rsid w:val="0123526E"/>
    <w:rsid w:val="0123754C"/>
    <w:rsid w:val="013C87A1"/>
    <w:rsid w:val="013E5136"/>
    <w:rsid w:val="014B545D"/>
    <w:rsid w:val="015A3FDF"/>
    <w:rsid w:val="01663DA6"/>
    <w:rsid w:val="016F31E6"/>
    <w:rsid w:val="017B3500"/>
    <w:rsid w:val="0184ACB0"/>
    <w:rsid w:val="01851848"/>
    <w:rsid w:val="01999C69"/>
    <w:rsid w:val="01A55084"/>
    <w:rsid w:val="01AC20AC"/>
    <w:rsid w:val="01AD8B84"/>
    <w:rsid w:val="01B9A141"/>
    <w:rsid w:val="01C6BB6A"/>
    <w:rsid w:val="01C99318"/>
    <w:rsid w:val="01DD4439"/>
    <w:rsid w:val="01E03125"/>
    <w:rsid w:val="01FE6131"/>
    <w:rsid w:val="0203F472"/>
    <w:rsid w:val="02052668"/>
    <w:rsid w:val="02052DF6"/>
    <w:rsid w:val="020C56C6"/>
    <w:rsid w:val="020E0AA3"/>
    <w:rsid w:val="021D5E5C"/>
    <w:rsid w:val="022CECEF"/>
    <w:rsid w:val="023A2B6F"/>
    <w:rsid w:val="024205F6"/>
    <w:rsid w:val="024359DF"/>
    <w:rsid w:val="02439F86"/>
    <w:rsid w:val="024E0866"/>
    <w:rsid w:val="024F8892"/>
    <w:rsid w:val="025E6F4C"/>
    <w:rsid w:val="026554B0"/>
    <w:rsid w:val="02707C47"/>
    <w:rsid w:val="0274EE66"/>
    <w:rsid w:val="027F6081"/>
    <w:rsid w:val="0280E178"/>
    <w:rsid w:val="0281209B"/>
    <w:rsid w:val="028F86B4"/>
    <w:rsid w:val="02A76177"/>
    <w:rsid w:val="02B46A25"/>
    <w:rsid w:val="02BD7551"/>
    <w:rsid w:val="02CAD7A2"/>
    <w:rsid w:val="02D96B8C"/>
    <w:rsid w:val="030117BA"/>
    <w:rsid w:val="0302B790"/>
    <w:rsid w:val="03040D1F"/>
    <w:rsid w:val="030E3F4A"/>
    <w:rsid w:val="03233313"/>
    <w:rsid w:val="033C5CC4"/>
    <w:rsid w:val="034914C2"/>
    <w:rsid w:val="0349656E"/>
    <w:rsid w:val="03548225"/>
    <w:rsid w:val="035CAF2E"/>
    <w:rsid w:val="035E14B2"/>
    <w:rsid w:val="035E9C47"/>
    <w:rsid w:val="0371A0DA"/>
    <w:rsid w:val="0394CA60"/>
    <w:rsid w:val="039677A6"/>
    <w:rsid w:val="03BD7636"/>
    <w:rsid w:val="03C55459"/>
    <w:rsid w:val="03D1716F"/>
    <w:rsid w:val="03D9C538"/>
    <w:rsid w:val="03DFE2B4"/>
    <w:rsid w:val="03E5471A"/>
    <w:rsid w:val="03EB7594"/>
    <w:rsid w:val="0413230F"/>
    <w:rsid w:val="0415DF64"/>
    <w:rsid w:val="0420A3C0"/>
    <w:rsid w:val="04408453"/>
    <w:rsid w:val="0443FDD7"/>
    <w:rsid w:val="044A0F1D"/>
    <w:rsid w:val="044E50C6"/>
    <w:rsid w:val="04522C69"/>
    <w:rsid w:val="0452C113"/>
    <w:rsid w:val="0457B2C7"/>
    <w:rsid w:val="0469CBB9"/>
    <w:rsid w:val="046B95FE"/>
    <w:rsid w:val="0482F2BC"/>
    <w:rsid w:val="049D1C7A"/>
    <w:rsid w:val="04AE35C2"/>
    <w:rsid w:val="04B7D1F4"/>
    <w:rsid w:val="04B883AB"/>
    <w:rsid w:val="04B9F870"/>
    <w:rsid w:val="04D6A938"/>
    <w:rsid w:val="04D6DA44"/>
    <w:rsid w:val="04EF20F5"/>
    <w:rsid w:val="04FF1183"/>
    <w:rsid w:val="050AC418"/>
    <w:rsid w:val="052291AE"/>
    <w:rsid w:val="0522C83C"/>
    <w:rsid w:val="05520C42"/>
    <w:rsid w:val="05530C2F"/>
    <w:rsid w:val="0555A4E4"/>
    <w:rsid w:val="0559F8A1"/>
    <w:rsid w:val="057010AE"/>
    <w:rsid w:val="05830152"/>
    <w:rsid w:val="058A6CC2"/>
    <w:rsid w:val="058D5CC5"/>
    <w:rsid w:val="05973D42"/>
    <w:rsid w:val="059A0B2F"/>
    <w:rsid w:val="05BEC2E7"/>
    <w:rsid w:val="05C014C7"/>
    <w:rsid w:val="05C08016"/>
    <w:rsid w:val="05C29824"/>
    <w:rsid w:val="05C30091"/>
    <w:rsid w:val="05CB1444"/>
    <w:rsid w:val="05D9AA3B"/>
    <w:rsid w:val="05F82BDE"/>
    <w:rsid w:val="05F90685"/>
    <w:rsid w:val="061E02F1"/>
    <w:rsid w:val="0628EAF5"/>
    <w:rsid w:val="06372A09"/>
    <w:rsid w:val="063DCDAA"/>
    <w:rsid w:val="063FE17D"/>
    <w:rsid w:val="06435B87"/>
    <w:rsid w:val="065FD7D6"/>
    <w:rsid w:val="066D6723"/>
    <w:rsid w:val="067931DE"/>
    <w:rsid w:val="0690F7AE"/>
    <w:rsid w:val="06A9C3F5"/>
    <w:rsid w:val="06EDFB65"/>
    <w:rsid w:val="06F6702D"/>
    <w:rsid w:val="06FA6403"/>
    <w:rsid w:val="06FBD862"/>
    <w:rsid w:val="0706234E"/>
    <w:rsid w:val="071CD0C3"/>
    <w:rsid w:val="0722162E"/>
    <w:rsid w:val="0726A0C8"/>
    <w:rsid w:val="07411BBC"/>
    <w:rsid w:val="0742DF4D"/>
    <w:rsid w:val="07446A0B"/>
    <w:rsid w:val="07640117"/>
    <w:rsid w:val="07675D07"/>
    <w:rsid w:val="076AA259"/>
    <w:rsid w:val="077A0BFF"/>
    <w:rsid w:val="0794087F"/>
    <w:rsid w:val="07A298F1"/>
    <w:rsid w:val="07ADDA25"/>
    <w:rsid w:val="07B247B0"/>
    <w:rsid w:val="07B5ACAA"/>
    <w:rsid w:val="07B83287"/>
    <w:rsid w:val="07C05C57"/>
    <w:rsid w:val="07C975A5"/>
    <w:rsid w:val="07F648C0"/>
    <w:rsid w:val="07F8F4CB"/>
    <w:rsid w:val="07FD43D1"/>
    <w:rsid w:val="0804265D"/>
    <w:rsid w:val="0804BC98"/>
    <w:rsid w:val="080F41A0"/>
    <w:rsid w:val="081A7696"/>
    <w:rsid w:val="08275714"/>
    <w:rsid w:val="08308DB9"/>
    <w:rsid w:val="08438D07"/>
    <w:rsid w:val="084F3325"/>
    <w:rsid w:val="086B64F3"/>
    <w:rsid w:val="0885EE32"/>
    <w:rsid w:val="08897FD2"/>
    <w:rsid w:val="08926940"/>
    <w:rsid w:val="089B7110"/>
    <w:rsid w:val="089D985D"/>
    <w:rsid w:val="08A19045"/>
    <w:rsid w:val="08A1B292"/>
    <w:rsid w:val="08B2B780"/>
    <w:rsid w:val="08BDCCBC"/>
    <w:rsid w:val="08C1F6D8"/>
    <w:rsid w:val="08CB3CC9"/>
    <w:rsid w:val="08D2F91D"/>
    <w:rsid w:val="08E20A71"/>
    <w:rsid w:val="08E335B7"/>
    <w:rsid w:val="08EEF98A"/>
    <w:rsid w:val="08F4A7A3"/>
    <w:rsid w:val="08F8FADF"/>
    <w:rsid w:val="08FB1684"/>
    <w:rsid w:val="090949DE"/>
    <w:rsid w:val="0915C92E"/>
    <w:rsid w:val="09200C56"/>
    <w:rsid w:val="092381AA"/>
    <w:rsid w:val="092F31FE"/>
    <w:rsid w:val="093641E6"/>
    <w:rsid w:val="094DFBE7"/>
    <w:rsid w:val="09592ED3"/>
    <w:rsid w:val="0963C0CC"/>
    <w:rsid w:val="09734096"/>
    <w:rsid w:val="09755DBB"/>
    <w:rsid w:val="097C5277"/>
    <w:rsid w:val="0988AFC0"/>
    <w:rsid w:val="099738F3"/>
    <w:rsid w:val="099D1742"/>
    <w:rsid w:val="09ACEC1C"/>
    <w:rsid w:val="09B42850"/>
    <w:rsid w:val="09BA452D"/>
    <w:rsid w:val="09BA84C7"/>
    <w:rsid w:val="09D2A572"/>
    <w:rsid w:val="09D7C2C1"/>
    <w:rsid w:val="09D80558"/>
    <w:rsid w:val="09E2D6AB"/>
    <w:rsid w:val="09EFC43D"/>
    <w:rsid w:val="0A0FB47A"/>
    <w:rsid w:val="0A176B33"/>
    <w:rsid w:val="0A1E568A"/>
    <w:rsid w:val="0A1E6452"/>
    <w:rsid w:val="0A205FE8"/>
    <w:rsid w:val="0A22F6CA"/>
    <w:rsid w:val="0A38F56B"/>
    <w:rsid w:val="0A4D048C"/>
    <w:rsid w:val="0A65C7B2"/>
    <w:rsid w:val="0A65F8D1"/>
    <w:rsid w:val="0A66DE11"/>
    <w:rsid w:val="0A730A23"/>
    <w:rsid w:val="0A741935"/>
    <w:rsid w:val="0A84D18D"/>
    <w:rsid w:val="0A86F698"/>
    <w:rsid w:val="0A880C67"/>
    <w:rsid w:val="0A9C2559"/>
    <w:rsid w:val="0ABE546D"/>
    <w:rsid w:val="0AC215CC"/>
    <w:rsid w:val="0ACC4104"/>
    <w:rsid w:val="0AD9A490"/>
    <w:rsid w:val="0AE4CB10"/>
    <w:rsid w:val="0AE8DF22"/>
    <w:rsid w:val="0AE917F0"/>
    <w:rsid w:val="0AEC6B74"/>
    <w:rsid w:val="0AEC6DD9"/>
    <w:rsid w:val="0AED4888"/>
    <w:rsid w:val="0AF10E15"/>
    <w:rsid w:val="0B0FB059"/>
    <w:rsid w:val="0B1E2073"/>
    <w:rsid w:val="0B2C17B4"/>
    <w:rsid w:val="0B2CBF79"/>
    <w:rsid w:val="0B370B3B"/>
    <w:rsid w:val="0B377B53"/>
    <w:rsid w:val="0B454FFB"/>
    <w:rsid w:val="0B59E20C"/>
    <w:rsid w:val="0B5DDFB0"/>
    <w:rsid w:val="0B6AC73B"/>
    <w:rsid w:val="0B7D2904"/>
    <w:rsid w:val="0B82463A"/>
    <w:rsid w:val="0B8D6938"/>
    <w:rsid w:val="0B984EED"/>
    <w:rsid w:val="0BA740A0"/>
    <w:rsid w:val="0BC16A37"/>
    <w:rsid w:val="0BC28300"/>
    <w:rsid w:val="0BCC452B"/>
    <w:rsid w:val="0BCD8A69"/>
    <w:rsid w:val="0BDCCB55"/>
    <w:rsid w:val="0BE3446C"/>
    <w:rsid w:val="0BE4BE3D"/>
    <w:rsid w:val="0BECAFFE"/>
    <w:rsid w:val="0BF28560"/>
    <w:rsid w:val="0BF5B174"/>
    <w:rsid w:val="0BF734C4"/>
    <w:rsid w:val="0C0B61E2"/>
    <w:rsid w:val="0C0CB83A"/>
    <w:rsid w:val="0C16C814"/>
    <w:rsid w:val="0C18086D"/>
    <w:rsid w:val="0C2D300C"/>
    <w:rsid w:val="0C339A9D"/>
    <w:rsid w:val="0C340CE1"/>
    <w:rsid w:val="0C3DBD13"/>
    <w:rsid w:val="0C462D09"/>
    <w:rsid w:val="0C722A4F"/>
    <w:rsid w:val="0C7EFC60"/>
    <w:rsid w:val="0C9CE4F9"/>
    <w:rsid w:val="0CA96FF7"/>
    <w:rsid w:val="0CBC0A2E"/>
    <w:rsid w:val="0CDD1511"/>
    <w:rsid w:val="0CE06533"/>
    <w:rsid w:val="0CE1C105"/>
    <w:rsid w:val="0CE8C194"/>
    <w:rsid w:val="0CFA266A"/>
    <w:rsid w:val="0D091BEA"/>
    <w:rsid w:val="0D0BD9CB"/>
    <w:rsid w:val="0D0C6639"/>
    <w:rsid w:val="0D0EA8FA"/>
    <w:rsid w:val="0D219287"/>
    <w:rsid w:val="0D3B6D11"/>
    <w:rsid w:val="0D3DD926"/>
    <w:rsid w:val="0D3E53C3"/>
    <w:rsid w:val="0D3F6DF6"/>
    <w:rsid w:val="0D4F8CE1"/>
    <w:rsid w:val="0D5CB689"/>
    <w:rsid w:val="0D5D30A3"/>
    <w:rsid w:val="0D6D0046"/>
    <w:rsid w:val="0D878852"/>
    <w:rsid w:val="0DAB41AA"/>
    <w:rsid w:val="0DAC7306"/>
    <w:rsid w:val="0DBBD063"/>
    <w:rsid w:val="0DD0CDC5"/>
    <w:rsid w:val="0DF49444"/>
    <w:rsid w:val="0DFDEBD9"/>
    <w:rsid w:val="0E1094C8"/>
    <w:rsid w:val="0E218AFF"/>
    <w:rsid w:val="0E36B335"/>
    <w:rsid w:val="0E3F9550"/>
    <w:rsid w:val="0E46B399"/>
    <w:rsid w:val="0E492872"/>
    <w:rsid w:val="0E4E5C9C"/>
    <w:rsid w:val="0E50F28A"/>
    <w:rsid w:val="0E5232E6"/>
    <w:rsid w:val="0E54024A"/>
    <w:rsid w:val="0E746688"/>
    <w:rsid w:val="0E7CF500"/>
    <w:rsid w:val="0E8B60E4"/>
    <w:rsid w:val="0E8C5DFF"/>
    <w:rsid w:val="0E8D38F4"/>
    <w:rsid w:val="0E967E61"/>
    <w:rsid w:val="0E99A059"/>
    <w:rsid w:val="0E9BB7FF"/>
    <w:rsid w:val="0EA3F077"/>
    <w:rsid w:val="0EB1EB4C"/>
    <w:rsid w:val="0EB9F750"/>
    <w:rsid w:val="0EBEF719"/>
    <w:rsid w:val="0EC46F72"/>
    <w:rsid w:val="0ECCCA57"/>
    <w:rsid w:val="0ECD8B32"/>
    <w:rsid w:val="0ECE289C"/>
    <w:rsid w:val="0ED1974A"/>
    <w:rsid w:val="0EE1B42E"/>
    <w:rsid w:val="0EE6BFA0"/>
    <w:rsid w:val="0EE6E086"/>
    <w:rsid w:val="0EED3A18"/>
    <w:rsid w:val="0EEE97DA"/>
    <w:rsid w:val="0F0FC615"/>
    <w:rsid w:val="0F10FCE8"/>
    <w:rsid w:val="0F12AA94"/>
    <w:rsid w:val="0F189658"/>
    <w:rsid w:val="0F32031E"/>
    <w:rsid w:val="0F383D2C"/>
    <w:rsid w:val="0F3E0972"/>
    <w:rsid w:val="0F455C0D"/>
    <w:rsid w:val="0F5F24C7"/>
    <w:rsid w:val="0F78BFE8"/>
    <w:rsid w:val="0F7A2C27"/>
    <w:rsid w:val="0F8798E6"/>
    <w:rsid w:val="0F942DB9"/>
    <w:rsid w:val="0F956949"/>
    <w:rsid w:val="0FB0E5F9"/>
    <w:rsid w:val="0FB27B30"/>
    <w:rsid w:val="0FB8C33A"/>
    <w:rsid w:val="0FB8CB9B"/>
    <w:rsid w:val="0FBE69A9"/>
    <w:rsid w:val="0FC12EF1"/>
    <w:rsid w:val="0FC7B577"/>
    <w:rsid w:val="0FC84E55"/>
    <w:rsid w:val="0FD43524"/>
    <w:rsid w:val="0FD7063E"/>
    <w:rsid w:val="0FEB8C44"/>
    <w:rsid w:val="0FF6B97E"/>
    <w:rsid w:val="0FF778F6"/>
    <w:rsid w:val="0FF954F0"/>
    <w:rsid w:val="100A26F1"/>
    <w:rsid w:val="100BAB1F"/>
    <w:rsid w:val="102942FB"/>
    <w:rsid w:val="1034B068"/>
    <w:rsid w:val="10451C45"/>
    <w:rsid w:val="104908E4"/>
    <w:rsid w:val="10546891"/>
    <w:rsid w:val="1058F0F7"/>
    <w:rsid w:val="1076CFCD"/>
    <w:rsid w:val="107AFB11"/>
    <w:rsid w:val="10821B5F"/>
    <w:rsid w:val="1083C2E0"/>
    <w:rsid w:val="1086EE2F"/>
    <w:rsid w:val="1095A463"/>
    <w:rsid w:val="109ED4C2"/>
    <w:rsid w:val="10A0DEF9"/>
    <w:rsid w:val="10A9CF5D"/>
    <w:rsid w:val="10B0B4BF"/>
    <w:rsid w:val="10C5FF43"/>
    <w:rsid w:val="10F6E885"/>
    <w:rsid w:val="110295FB"/>
    <w:rsid w:val="1107AF4D"/>
    <w:rsid w:val="110F488B"/>
    <w:rsid w:val="11113FE7"/>
    <w:rsid w:val="1113F729"/>
    <w:rsid w:val="1116D3F1"/>
    <w:rsid w:val="112A8A80"/>
    <w:rsid w:val="112FCAB4"/>
    <w:rsid w:val="113A5310"/>
    <w:rsid w:val="114E914D"/>
    <w:rsid w:val="1157783F"/>
    <w:rsid w:val="115BCE4A"/>
    <w:rsid w:val="1165A660"/>
    <w:rsid w:val="1178E508"/>
    <w:rsid w:val="117C3982"/>
    <w:rsid w:val="1191FC84"/>
    <w:rsid w:val="11A6CFA0"/>
    <w:rsid w:val="11A7741D"/>
    <w:rsid w:val="11AF2B51"/>
    <w:rsid w:val="11B64A54"/>
    <w:rsid w:val="11B7C9F8"/>
    <w:rsid w:val="11C1F10F"/>
    <w:rsid w:val="11C6B176"/>
    <w:rsid w:val="11CE138A"/>
    <w:rsid w:val="11D6027A"/>
    <w:rsid w:val="11E2DE7D"/>
    <w:rsid w:val="11EACBE8"/>
    <w:rsid w:val="120FB1D7"/>
    <w:rsid w:val="121F5E7E"/>
    <w:rsid w:val="12245928"/>
    <w:rsid w:val="122FB1D3"/>
    <w:rsid w:val="12315C8F"/>
    <w:rsid w:val="12433F7B"/>
    <w:rsid w:val="124DC788"/>
    <w:rsid w:val="12615DF9"/>
    <w:rsid w:val="12639C21"/>
    <w:rsid w:val="126A0F09"/>
    <w:rsid w:val="1271E35E"/>
    <w:rsid w:val="127D549A"/>
    <w:rsid w:val="1287CD3B"/>
    <w:rsid w:val="1290D145"/>
    <w:rsid w:val="12A10194"/>
    <w:rsid w:val="12B94B33"/>
    <w:rsid w:val="12BDCCA3"/>
    <w:rsid w:val="12BE628F"/>
    <w:rsid w:val="12CB25D6"/>
    <w:rsid w:val="12CCE1F1"/>
    <w:rsid w:val="12D08ADA"/>
    <w:rsid w:val="1305B582"/>
    <w:rsid w:val="13072E92"/>
    <w:rsid w:val="1316AB49"/>
    <w:rsid w:val="1316D10E"/>
    <w:rsid w:val="13389373"/>
    <w:rsid w:val="1358E06D"/>
    <w:rsid w:val="1376AECF"/>
    <w:rsid w:val="137E749A"/>
    <w:rsid w:val="13800D9C"/>
    <w:rsid w:val="138496CB"/>
    <w:rsid w:val="13867851"/>
    <w:rsid w:val="138BE9CC"/>
    <w:rsid w:val="138E4A58"/>
    <w:rsid w:val="139CBD23"/>
    <w:rsid w:val="13A7DBF1"/>
    <w:rsid w:val="13B7A83D"/>
    <w:rsid w:val="13D221E5"/>
    <w:rsid w:val="13D85DF3"/>
    <w:rsid w:val="13D87C90"/>
    <w:rsid w:val="13E222D3"/>
    <w:rsid w:val="13EA6BC8"/>
    <w:rsid w:val="13ED595A"/>
    <w:rsid w:val="13F9E27A"/>
    <w:rsid w:val="13FDF8C2"/>
    <w:rsid w:val="13FE530F"/>
    <w:rsid w:val="1422357A"/>
    <w:rsid w:val="14258FE6"/>
    <w:rsid w:val="142F4848"/>
    <w:rsid w:val="14320C1E"/>
    <w:rsid w:val="1433C200"/>
    <w:rsid w:val="14359B61"/>
    <w:rsid w:val="143D966E"/>
    <w:rsid w:val="14502268"/>
    <w:rsid w:val="1461C4DB"/>
    <w:rsid w:val="1489BE42"/>
    <w:rsid w:val="14939DB4"/>
    <w:rsid w:val="14A1DD4D"/>
    <w:rsid w:val="14B6F3DD"/>
    <w:rsid w:val="14BA334A"/>
    <w:rsid w:val="14C3C0D4"/>
    <w:rsid w:val="14C90A59"/>
    <w:rsid w:val="14CBB100"/>
    <w:rsid w:val="14D15C46"/>
    <w:rsid w:val="14E763E6"/>
    <w:rsid w:val="14F021D0"/>
    <w:rsid w:val="14F54C14"/>
    <w:rsid w:val="14FBFF68"/>
    <w:rsid w:val="150A34B0"/>
    <w:rsid w:val="15107051"/>
    <w:rsid w:val="15171A7D"/>
    <w:rsid w:val="151C03A0"/>
    <w:rsid w:val="154750DA"/>
    <w:rsid w:val="154CDF8A"/>
    <w:rsid w:val="156C5D0B"/>
    <w:rsid w:val="15758A87"/>
    <w:rsid w:val="15793FE8"/>
    <w:rsid w:val="15A89AD9"/>
    <w:rsid w:val="15BB7690"/>
    <w:rsid w:val="15C5AAE0"/>
    <w:rsid w:val="15D5EC36"/>
    <w:rsid w:val="15D77EF9"/>
    <w:rsid w:val="15D85FB5"/>
    <w:rsid w:val="15DA1E01"/>
    <w:rsid w:val="15DD501C"/>
    <w:rsid w:val="15F1DE76"/>
    <w:rsid w:val="15F5C25E"/>
    <w:rsid w:val="15F79716"/>
    <w:rsid w:val="1603B638"/>
    <w:rsid w:val="1605B910"/>
    <w:rsid w:val="1607155F"/>
    <w:rsid w:val="1608DF5E"/>
    <w:rsid w:val="161BE0F8"/>
    <w:rsid w:val="162A70DC"/>
    <w:rsid w:val="162F0D9A"/>
    <w:rsid w:val="16316B7C"/>
    <w:rsid w:val="1650F211"/>
    <w:rsid w:val="1656AE99"/>
    <w:rsid w:val="166D6539"/>
    <w:rsid w:val="169C5AFF"/>
    <w:rsid w:val="16A5E8C9"/>
    <w:rsid w:val="16AF3751"/>
    <w:rsid w:val="16D85B62"/>
    <w:rsid w:val="16EAB806"/>
    <w:rsid w:val="16FB0AEC"/>
    <w:rsid w:val="1714D4A8"/>
    <w:rsid w:val="171BD012"/>
    <w:rsid w:val="171D3E9A"/>
    <w:rsid w:val="17237DBB"/>
    <w:rsid w:val="173BEAD0"/>
    <w:rsid w:val="173DE42F"/>
    <w:rsid w:val="17476C05"/>
    <w:rsid w:val="17481F29"/>
    <w:rsid w:val="174A7959"/>
    <w:rsid w:val="174B44D8"/>
    <w:rsid w:val="176C96F6"/>
    <w:rsid w:val="176ED175"/>
    <w:rsid w:val="177166EB"/>
    <w:rsid w:val="1778CD0B"/>
    <w:rsid w:val="17873E19"/>
    <w:rsid w:val="179FB39E"/>
    <w:rsid w:val="17A314D2"/>
    <w:rsid w:val="17A41CE8"/>
    <w:rsid w:val="17DC92E9"/>
    <w:rsid w:val="17DD2942"/>
    <w:rsid w:val="17E8D7DC"/>
    <w:rsid w:val="17F9843A"/>
    <w:rsid w:val="17FF8CAD"/>
    <w:rsid w:val="1811C192"/>
    <w:rsid w:val="18325C9E"/>
    <w:rsid w:val="18339CFD"/>
    <w:rsid w:val="1847B351"/>
    <w:rsid w:val="185FEC7E"/>
    <w:rsid w:val="186E4562"/>
    <w:rsid w:val="186EB238"/>
    <w:rsid w:val="1875D142"/>
    <w:rsid w:val="18A32D15"/>
    <w:rsid w:val="18A46C63"/>
    <w:rsid w:val="18C7803F"/>
    <w:rsid w:val="18D210D3"/>
    <w:rsid w:val="18D38619"/>
    <w:rsid w:val="18DAC629"/>
    <w:rsid w:val="18E72408"/>
    <w:rsid w:val="18F3519A"/>
    <w:rsid w:val="18FBFA7A"/>
    <w:rsid w:val="1904AD7B"/>
    <w:rsid w:val="19152597"/>
    <w:rsid w:val="192348B7"/>
    <w:rsid w:val="192643A8"/>
    <w:rsid w:val="1938D94D"/>
    <w:rsid w:val="193B64BF"/>
    <w:rsid w:val="1943AC44"/>
    <w:rsid w:val="1948C248"/>
    <w:rsid w:val="194E56ED"/>
    <w:rsid w:val="19521DCB"/>
    <w:rsid w:val="1964102B"/>
    <w:rsid w:val="197D4A2C"/>
    <w:rsid w:val="197F9852"/>
    <w:rsid w:val="1994AF0E"/>
    <w:rsid w:val="19B547BA"/>
    <w:rsid w:val="19C455A8"/>
    <w:rsid w:val="19CF0123"/>
    <w:rsid w:val="19D2681B"/>
    <w:rsid w:val="19DA2ECB"/>
    <w:rsid w:val="19DA36E2"/>
    <w:rsid w:val="19E3D63A"/>
    <w:rsid w:val="19E8A7B0"/>
    <w:rsid w:val="19E8F675"/>
    <w:rsid w:val="19E98F16"/>
    <w:rsid w:val="19F04E99"/>
    <w:rsid w:val="1A16FFB9"/>
    <w:rsid w:val="1A1E46EA"/>
    <w:rsid w:val="1A257E2B"/>
    <w:rsid w:val="1A3731F7"/>
    <w:rsid w:val="1A39E49C"/>
    <w:rsid w:val="1A499320"/>
    <w:rsid w:val="1A5F3489"/>
    <w:rsid w:val="1A681852"/>
    <w:rsid w:val="1A69E613"/>
    <w:rsid w:val="1A70AF34"/>
    <w:rsid w:val="1A76458D"/>
    <w:rsid w:val="1A7C326A"/>
    <w:rsid w:val="1A8223A3"/>
    <w:rsid w:val="1A828C13"/>
    <w:rsid w:val="1A8A8A1F"/>
    <w:rsid w:val="1A9D1939"/>
    <w:rsid w:val="1A9DBB63"/>
    <w:rsid w:val="1AB9B828"/>
    <w:rsid w:val="1AC82EDB"/>
    <w:rsid w:val="1AC8541B"/>
    <w:rsid w:val="1ACE9A36"/>
    <w:rsid w:val="1ACF6B55"/>
    <w:rsid w:val="1AD623DF"/>
    <w:rsid w:val="1ADABABD"/>
    <w:rsid w:val="1ADB08E2"/>
    <w:rsid w:val="1AEA8226"/>
    <w:rsid w:val="1AEC4070"/>
    <w:rsid w:val="1AEF684C"/>
    <w:rsid w:val="1AF054DB"/>
    <w:rsid w:val="1B0E7C44"/>
    <w:rsid w:val="1B1708D1"/>
    <w:rsid w:val="1B1C0AC3"/>
    <w:rsid w:val="1B349F0E"/>
    <w:rsid w:val="1B35AF12"/>
    <w:rsid w:val="1B390882"/>
    <w:rsid w:val="1B3E73BE"/>
    <w:rsid w:val="1B429905"/>
    <w:rsid w:val="1B44F35C"/>
    <w:rsid w:val="1B7905D7"/>
    <w:rsid w:val="1B796737"/>
    <w:rsid w:val="1B8C6C26"/>
    <w:rsid w:val="1B9A121B"/>
    <w:rsid w:val="1BA523C0"/>
    <w:rsid w:val="1BC1B042"/>
    <w:rsid w:val="1BC5A523"/>
    <w:rsid w:val="1BC6C0F0"/>
    <w:rsid w:val="1BCAB290"/>
    <w:rsid w:val="1BCD0F9E"/>
    <w:rsid w:val="1BD2BAD9"/>
    <w:rsid w:val="1BD4297E"/>
    <w:rsid w:val="1BD5AC1F"/>
    <w:rsid w:val="1BE0EE82"/>
    <w:rsid w:val="1BE11566"/>
    <w:rsid w:val="1BEFCCA8"/>
    <w:rsid w:val="1BFE241A"/>
    <w:rsid w:val="1C05413F"/>
    <w:rsid w:val="1C05AE94"/>
    <w:rsid w:val="1C07F52E"/>
    <w:rsid w:val="1C33C453"/>
    <w:rsid w:val="1C356B5E"/>
    <w:rsid w:val="1C374117"/>
    <w:rsid w:val="1C38048C"/>
    <w:rsid w:val="1C428A88"/>
    <w:rsid w:val="1C48744E"/>
    <w:rsid w:val="1C5DA4BC"/>
    <w:rsid w:val="1C5DE46A"/>
    <w:rsid w:val="1C66B778"/>
    <w:rsid w:val="1C6AFFAA"/>
    <w:rsid w:val="1C6D897B"/>
    <w:rsid w:val="1C6DF40E"/>
    <w:rsid w:val="1C7D9628"/>
    <w:rsid w:val="1C83F836"/>
    <w:rsid w:val="1C86CDE8"/>
    <w:rsid w:val="1C89235E"/>
    <w:rsid w:val="1C8A02CB"/>
    <w:rsid w:val="1C8FD17A"/>
    <w:rsid w:val="1C9EF6FB"/>
    <w:rsid w:val="1CA27CC4"/>
    <w:rsid w:val="1CA38C3A"/>
    <w:rsid w:val="1CADEB51"/>
    <w:rsid w:val="1CBB6021"/>
    <w:rsid w:val="1CC225F2"/>
    <w:rsid w:val="1CCDD9DF"/>
    <w:rsid w:val="1CD2C86D"/>
    <w:rsid w:val="1CD76CC0"/>
    <w:rsid w:val="1CDDFD40"/>
    <w:rsid w:val="1CDE67D2"/>
    <w:rsid w:val="1D01CA41"/>
    <w:rsid w:val="1D03A0BF"/>
    <w:rsid w:val="1D1741EC"/>
    <w:rsid w:val="1D197E31"/>
    <w:rsid w:val="1D1B3D4A"/>
    <w:rsid w:val="1D1BA17A"/>
    <w:rsid w:val="1D257650"/>
    <w:rsid w:val="1D2A2739"/>
    <w:rsid w:val="1D2FDFF6"/>
    <w:rsid w:val="1D4807CC"/>
    <w:rsid w:val="1D4F04A8"/>
    <w:rsid w:val="1D57F538"/>
    <w:rsid w:val="1D7970F3"/>
    <w:rsid w:val="1D79B856"/>
    <w:rsid w:val="1D9F2B13"/>
    <w:rsid w:val="1D9F3F37"/>
    <w:rsid w:val="1DA13140"/>
    <w:rsid w:val="1DB6A50C"/>
    <w:rsid w:val="1DB6EAB1"/>
    <w:rsid w:val="1DB86908"/>
    <w:rsid w:val="1DC1FB37"/>
    <w:rsid w:val="1DEB6C27"/>
    <w:rsid w:val="1E0CDDA4"/>
    <w:rsid w:val="1E192C34"/>
    <w:rsid w:val="1E19F6A7"/>
    <w:rsid w:val="1E234D8C"/>
    <w:rsid w:val="1E23521B"/>
    <w:rsid w:val="1E2441EC"/>
    <w:rsid w:val="1E252BE6"/>
    <w:rsid w:val="1E373375"/>
    <w:rsid w:val="1E539C51"/>
    <w:rsid w:val="1E5CB8FE"/>
    <w:rsid w:val="1E72D824"/>
    <w:rsid w:val="1E8E0185"/>
    <w:rsid w:val="1EA9F8E5"/>
    <w:rsid w:val="1EB867D6"/>
    <w:rsid w:val="1EC204B7"/>
    <w:rsid w:val="1ECAEC3A"/>
    <w:rsid w:val="1EE0CA8F"/>
    <w:rsid w:val="1EEF7EE9"/>
    <w:rsid w:val="1F0849CF"/>
    <w:rsid w:val="1F0F60C3"/>
    <w:rsid w:val="1F202D74"/>
    <w:rsid w:val="1F204856"/>
    <w:rsid w:val="1F2200D9"/>
    <w:rsid w:val="1F2354FD"/>
    <w:rsid w:val="1F26046A"/>
    <w:rsid w:val="1F2C548F"/>
    <w:rsid w:val="1F312FD6"/>
    <w:rsid w:val="1F35B1E1"/>
    <w:rsid w:val="1F3BD5F5"/>
    <w:rsid w:val="1F3D32A6"/>
    <w:rsid w:val="1F3DDECD"/>
    <w:rsid w:val="1F40E098"/>
    <w:rsid w:val="1F738DA0"/>
    <w:rsid w:val="1F79591E"/>
    <w:rsid w:val="1F79CBF3"/>
    <w:rsid w:val="1F7BE1A6"/>
    <w:rsid w:val="1F80ABD8"/>
    <w:rsid w:val="1F82C62B"/>
    <w:rsid w:val="1FBDB167"/>
    <w:rsid w:val="1FCB3F56"/>
    <w:rsid w:val="1FD3C66F"/>
    <w:rsid w:val="1FE1DE1E"/>
    <w:rsid w:val="1FFFB925"/>
    <w:rsid w:val="2012AF2A"/>
    <w:rsid w:val="202001BF"/>
    <w:rsid w:val="2024FE36"/>
    <w:rsid w:val="2029B9FF"/>
    <w:rsid w:val="202E90C4"/>
    <w:rsid w:val="2030F221"/>
    <w:rsid w:val="203139F0"/>
    <w:rsid w:val="2035B9B7"/>
    <w:rsid w:val="203C21F7"/>
    <w:rsid w:val="2060D351"/>
    <w:rsid w:val="20689647"/>
    <w:rsid w:val="208AF35F"/>
    <w:rsid w:val="20993714"/>
    <w:rsid w:val="20A5B0DE"/>
    <w:rsid w:val="20AD2368"/>
    <w:rsid w:val="20B1DFAA"/>
    <w:rsid w:val="20B575BF"/>
    <w:rsid w:val="20C02C8D"/>
    <w:rsid w:val="20CA9BBC"/>
    <w:rsid w:val="20CBE6EE"/>
    <w:rsid w:val="20D8E105"/>
    <w:rsid w:val="20E51291"/>
    <w:rsid w:val="20F4DEA0"/>
    <w:rsid w:val="20F91CB8"/>
    <w:rsid w:val="20FCFAFD"/>
    <w:rsid w:val="2100CF93"/>
    <w:rsid w:val="21065705"/>
    <w:rsid w:val="210D5FF6"/>
    <w:rsid w:val="2118C465"/>
    <w:rsid w:val="211ABD9B"/>
    <w:rsid w:val="2128670B"/>
    <w:rsid w:val="2134814B"/>
    <w:rsid w:val="21595EDF"/>
    <w:rsid w:val="2160774F"/>
    <w:rsid w:val="216E832E"/>
    <w:rsid w:val="2174D489"/>
    <w:rsid w:val="21815C74"/>
    <w:rsid w:val="219745E3"/>
    <w:rsid w:val="21A208A1"/>
    <w:rsid w:val="21B1A45E"/>
    <w:rsid w:val="21BC4896"/>
    <w:rsid w:val="21BE664F"/>
    <w:rsid w:val="21C79A52"/>
    <w:rsid w:val="21CA24FD"/>
    <w:rsid w:val="21E7733E"/>
    <w:rsid w:val="21EA0749"/>
    <w:rsid w:val="21EC42FC"/>
    <w:rsid w:val="21EE7CCA"/>
    <w:rsid w:val="21EFB816"/>
    <w:rsid w:val="21F72A16"/>
    <w:rsid w:val="21FC62F9"/>
    <w:rsid w:val="22023B4F"/>
    <w:rsid w:val="2206405D"/>
    <w:rsid w:val="221BFD05"/>
    <w:rsid w:val="222C5357"/>
    <w:rsid w:val="222EFDF0"/>
    <w:rsid w:val="22315768"/>
    <w:rsid w:val="2231A663"/>
    <w:rsid w:val="223DCEF8"/>
    <w:rsid w:val="2245835C"/>
    <w:rsid w:val="2249171C"/>
    <w:rsid w:val="2264113A"/>
    <w:rsid w:val="22657C87"/>
    <w:rsid w:val="2269773F"/>
    <w:rsid w:val="2287E8E2"/>
    <w:rsid w:val="2299454A"/>
    <w:rsid w:val="229EC0BC"/>
    <w:rsid w:val="22A6AA49"/>
    <w:rsid w:val="22C8C38E"/>
    <w:rsid w:val="22DFE956"/>
    <w:rsid w:val="231E2F85"/>
    <w:rsid w:val="23285F73"/>
    <w:rsid w:val="232A54DC"/>
    <w:rsid w:val="2337FF53"/>
    <w:rsid w:val="23487A28"/>
    <w:rsid w:val="23612F98"/>
    <w:rsid w:val="236FED51"/>
    <w:rsid w:val="237B3DC2"/>
    <w:rsid w:val="23B1B6C3"/>
    <w:rsid w:val="23C035E8"/>
    <w:rsid w:val="23C3C2A0"/>
    <w:rsid w:val="23CD0001"/>
    <w:rsid w:val="23D09EDB"/>
    <w:rsid w:val="23FA531A"/>
    <w:rsid w:val="23FC648C"/>
    <w:rsid w:val="23FC6BB1"/>
    <w:rsid w:val="24017CD7"/>
    <w:rsid w:val="2407006B"/>
    <w:rsid w:val="240BD023"/>
    <w:rsid w:val="241065B7"/>
    <w:rsid w:val="24304E3B"/>
    <w:rsid w:val="24359F26"/>
    <w:rsid w:val="24372E2B"/>
    <w:rsid w:val="243FEE7A"/>
    <w:rsid w:val="24566611"/>
    <w:rsid w:val="245916D9"/>
    <w:rsid w:val="245B94EC"/>
    <w:rsid w:val="2466CE67"/>
    <w:rsid w:val="24799D97"/>
    <w:rsid w:val="247B0172"/>
    <w:rsid w:val="2480C0F2"/>
    <w:rsid w:val="2490867C"/>
    <w:rsid w:val="249542A9"/>
    <w:rsid w:val="24B937FE"/>
    <w:rsid w:val="24C73E84"/>
    <w:rsid w:val="24DA40AA"/>
    <w:rsid w:val="24EBA880"/>
    <w:rsid w:val="24ECFE88"/>
    <w:rsid w:val="24F73998"/>
    <w:rsid w:val="2508B664"/>
    <w:rsid w:val="250C5156"/>
    <w:rsid w:val="25147EC7"/>
    <w:rsid w:val="251A260F"/>
    <w:rsid w:val="251AD17C"/>
    <w:rsid w:val="25303817"/>
    <w:rsid w:val="25432442"/>
    <w:rsid w:val="2550B2C7"/>
    <w:rsid w:val="256A90F1"/>
    <w:rsid w:val="256FB9A7"/>
    <w:rsid w:val="2576C7EF"/>
    <w:rsid w:val="25788724"/>
    <w:rsid w:val="258AEE3A"/>
    <w:rsid w:val="25974782"/>
    <w:rsid w:val="2597F0BE"/>
    <w:rsid w:val="259CC6D1"/>
    <w:rsid w:val="25A75515"/>
    <w:rsid w:val="25AAA9C9"/>
    <w:rsid w:val="25B88174"/>
    <w:rsid w:val="25CC678E"/>
    <w:rsid w:val="25D09659"/>
    <w:rsid w:val="25D96E36"/>
    <w:rsid w:val="25DE0C53"/>
    <w:rsid w:val="25E34D31"/>
    <w:rsid w:val="25E3B854"/>
    <w:rsid w:val="261744FE"/>
    <w:rsid w:val="2617EFD4"/>
    <w:rsid w:val="261F102E"/>
    <w:rsid w:val="262CF612"/>
    <w:rsid w:val="264B6B75"/>
    <w:rsid w:val="264DFA0B"/>
    <w:rsid w:val="265F21CB"/>
    <w:rsid w:val="2676FFAC"/>
    <w:rsid w:val="267C4FD3"/>
    <w:rsid w:val="26827FB7"/>
    <w:rsid w:val="26A08F17"/>
    <w:rsid w:val="26A5468F"/>
    <w:rsid w:val="26AC1117"/>
    <w:rsid w:val="26C7D105"/>
    <w:rsid w:val="26FB5C06"/>
    <w:rsid w:val="27033438"/>
    <w:rsid w:val="27114C60"/>
    <w:rsid w:val="271B7E82"/>
    <w:rsid w:val="272AD738"/>
    <w:rsid w:val="276569DF"/>
    <w:rsid w:val="2777B233"/>
    <w:rsid w:val="278EB202"/>
    <w:rsid w:val="279B49C0"/>
    <w:rsid w:val="279B71DA"/>
    <w:rsid w:val="279CC1E9"/>
    <w:rsid w:val="27BBEB12"/>
    <w:rsid w:val="27E53A48"/>
    <w:rsid w:val="27E835DF"/>
    <w:rsid w:val="27ED1E86"/>
    <w:rsid w:val="27EE6A8E"/>
    <w:rsid w:val="27F05D3B"/>
    <w:rsid w:val="27F081C3"/>
    <w:rsid w:val="280E59EA"/>
    <w:rsid w:val="2828A306"/>
    <w:rsid w:val="28293B74"/>
    <w:rsid w:val="282B3705"/>
    <w:rsid w:val="284599DA"/>
    <w:rsid w:val="28564FA3"/>
    <w:rsid w:val="285F990A"/>
    <w:rsid w:val="286169C7"/>
    <w:rsid w:val="286E99DB"/>
    <w:rsid w:val="286EFEC7"/>
    <w:rsid w:val="28764D9A"/>
    <w:rsid w:val="287A6FED"/>
    <w:rsid w:val="2890B19F"/>
    <w:rsid w:val="289336B4"/>
    <w:rsid w:val="28943FB9"/>
    <w:rsid w:val="28958DFA"/>
    <w:rsid w:val="289D8384"/>
    <w:rsid w:val="28A1A740"/>
    <w:rsid w:val="28BC18F9"/>
    <w:rsid w:val="28CF21AA"/>
    <w:rsid w:val="28D40EEC"/>
    <w:rsid w:val="28DC1956"/>
    <w:rsid w:val="28DE0764"/>
    <w:rsid w:val="28DF8A6E"/>
    <w:rsid w:val="28E5921A"/>
    <w:rsid w:val="28F3113D"/>
    <w:rsid w:val="29005165"/>
    <w:rsid w:val="290B5462"/>
    <w:rsid w:val="2913C15A"/>
    <w:rsid w:val="291BAD4F"/>
    <w:rsid w:val="2921A794"/>
    <w:rsid w:val="2921B381"/>
    <w:rsid w:val="29223372"/>
    <w:rsid w:val="292CE517"/>
    <w:rsid w:val="29301575"/>
    <w:rsid w:val="2930CE72"/>
    <w:rsid w:val="29314E74"/>
    <w:rsid w:val="29342177"/>
    <w:rsid w:val="293E294A"/>
    <w:rsid w:val="294547FB"/>
    <w:rsid w:val="29552CD1"/>
    <w:rsid w:val="296F3DC6"/>
    <w:rsid w:val="29762DF9"/>
    <w:rsid w:val="297AEB73"/>
    <w:rsid w:val="297CA167"/>
    <w:rsid w:val="297D79C1"/>
    <w:rsid w:val="2980AB68"/>
    <w:rsid w:val="299769FF"/>
    <w:rsid w:val="299F47D1"/>
    <w:rsid w:val="29A8B691"/>
    <w:rsid w:val="29AA82E2"/>
    <w:rsid w:val="29AAA5F6"/>
    <w:rsid w:val="29BEABFB"/>
    <w:rsid w:val="29C2ED5C"/>
    <w:rsid w:val="29C67287"/>
    <w:rsid w:val="29C74B8A"/>
    <w:rsid w:val="29E2334E"/>
    <w:rsid w:val="29F8830C"/>
    <w:rsid w:val="29FFB36A"/>
    <w:rsid w:val="2A07F713"/>
    <w:rsid w:val="2A12DF5A"/>
    <w:rsid w:val="2A14B711"/>
    <w:rsid w:val="2A3B8227"/>
    <w:rsid w:val="2A428842"/>
    <w:rsid w:val="2A61980A"/>
    <w:rsid w:val="2A6697C7"/>
    <w:rsid w:val="2A78284A"/>
    <w:rsid w:val="2A838A8D"/>
    <w:rsid w:val="2A9F49BC"/>
    <w:rsid w:val="2AA359C6"/>
    <w:rsid w:val="2AB553F9"/>
    <w:rsid w:val="2ABA7CEA"/>
    <w:rsid w:val="2AC0EB30"/>
    <w:rsid w:val="2AC19BDE"/>
    <w:rsid w:val="2ADD85C6"/>
    <w:rsid w:val="2AE8DF68"/>
    <w:rsid w:val="2AEB8CF5"/>
    <w:rsid w:val="2AFEA0E8"/>
    <w:rsid w:val="2B00C2E5"/>
    <w:rsid w:val="2B1B8D2F"/>
    <w:rsid w:val="2B1C4C2A"/>
    <w:rsid w:val="2B27EB0A"/>
    <w:rsid w:val="2B45C4D5"/>
    <w:rsid w:val="2B4D23A8"/>
    <w:rsid w:val="2B4F01B3"/>
    <w:rsid w:val="2B50D8D3"/>
    <w:rsid w:val="2B53138F"/>
    <w:rsid w:val="2B539889"/>
    <w:rsid w:val="2B6F87E6"/>
    <w:rsid w:val="2B945E35"/>
    <w:rsid w:val="2BA38B86"/>
    <w:rsid w:val="2BA5126D"/>
    <w:rsid w:val="2BAEE44B"/>
    <w:rsid w:val="2BC3EB8A"/>
    <w:rsid w:val="2BCA2EB7"/>
    <w:rsid w:val="2BD245E6"/>
    <w:rsid w:val="2BDCFA09"/>
    <w:rsid w:val="2BE95BE9"/>
    <w:rsid w:val="2BEF8EFB"/>
    <w:rsid w:val="2BF16B10"/>
    <w:rsid w:val="2BF7075F"/>
    <w:rsid w:val="2BFB80A5"/>
    <w:rsid w:val="2C08C061"/>
    <w:rsid w:val="2C0E84F3"/>
    <w:rsid w:val="2C14A8FB"/>
    <w:rsid w:val="2C1D045D"/>
    <w:rsid w:val="2C208489"/>
    <w:rsid w:val="2C2254B0"/>
    <w:rsid w:val="2C2A3602"/>
    <w:rsid w:val="2C2A4237"/>
    <w:rsid w:val="2C3A327C"/>
    <w:rsid w:val="2C424CEC"/>
    <w:rsid w:val="2C48925F"/>
    <w:rsid w:val="2C49BED8"/>
    <w:rsid w:val="2C4A9B5C"/>
    <w:rsid w:val="2C512DA9"/>
    <w:rsid w:val="2C55705A"/>
    <w:rsid w:val="2C59D0B8"/>
    <w:rsid w:val="2C656D04"/>
    <w:rsid w:val="2C69AF85"/>
    <w:rsid w:val="2C6ED8D6"/>
    <w:rsid w:val="2C8A9DE5"/>
    <w:rsid w:val="2C8B89BF"/>
    <w:rsid w:val="2C8D7505"/>
    <w:rsid w:val="2C9652E3"/>
    <w:rsid w:val="2CA4D3AB"/>
    <w:rsid w:val="2CA6619B"/>
    <w:rsid w:val="2CAE73D1"/>
    <w:rsid w:val="2CD3A16E"/>
    <w:rsid w:val="2CD4DED0"/>
    <w:rsid w:val="2CD50F1E"/>
    <w:rsid w:val="2CD8961C"/>
    <w:rsid w:val="2D130700"/>
    <w:rsid w:val="2D19770A"/>
    <w:rsid w:val="2D1F6AAE"/>
    <w:rsid w:val="2D20005A"/>
    <w:rsid w:val="2D4151F7"/>
    <w:rsid w:val="2D4C8F0A"/>
    <w:rsid w:val="2D5B11C7"/>
    <w:rsid w:val="2D68B177"/>
    <w:rsid w:val="2D6B8287"/>
    <w:rsid w:val="2D7064F9"/>
    <w:rsid w:val="2D8771F7"/>
    <w:rsid w:val="2D8A6F67"/>
    <w:rsid w:val="2D8F1844"/>
    <w:rsid w:val="2DA9A824"/>
    <w:rsid w:val="2DB29009"/>
    <w:rsid w:val="2DB75B24"/>
    <w:rsid w:val="2DBC477F"/>
    <w:rsid w:val="2DBD8B2C"/>
    <w:rsid w:val="2DCFABA7"/>
    <w:rsid w:val="2DD01B15"/>
    <w:rsid w:val="2DDF3BF7"/>
    <w:rsid w:val="2E00C8CD"/>
    <w:rsid w:val="2E3981F5"/>
    <w:rsid w:val="2E445A3A"/>
    <w:rsid w:val="2E49890B"/>
    <w:rsid w:val="2E5F6C48"/>
    <w:rsid w:val="2E649FAD"/>
    <w:rsid w:val="2E6533F3"/>
    <w:rsid w:val="2E7B2C9C"/>
    <w:rsid w:val="2E900DE7"/>
    <w:rsid w:val="2EA7B019"/>
    <w:rsid w:val="2EB125D2"/>
    <w:rsid w:val="2EB7BF7E"/>
    <w:rsid w:val="2EC62481"/>
    <w:rsid w:val="2EC7C203"/>
    <w:rsid w:val="2EC81381"/>
    <w:rsid w:val="2ECFCF34"/>
    <w:rsid w:val="2ED6C4BC"/>
    <w:rsid w:val="2EE5C071"/>
    <w:rsid w:val="2EF24FC1"/>
    <w:rsid w:val="2EF62C4D"/>
    <w:rsid w:val="2EF7AD76"/>
    <w:rsid w:val="2EF8BA31"/>
    <w:rsid w:val="2F0173A0"/>
    <w:rsid w:val="2F085E70"/>
    <w:rsid w:val="2F0878C0"/>
    <w:rsid w:val="2F1400E4"/>
    <w:rsid w:val="2F2284AE"/>
    <w:rsid w:val="2F2C2E42"/>
    <w:rsid w:val="2F2FDC42"/>
    <w:rsid w:val="2F64AB96"/>
    <w:rsid w:val="2F7EDE18"/>
    <w:rsid w:val="2F90FC8B"/>
    <w:rsid w:val="2F97E14D"/>
    <w:rsid w:val="2FC5669D"/>
    <w:rsid w:val="2FC6905B"/>
    <w:rsid w:val="2FEA40D2"/>
    <w:rsid w:val="2FED0530"/>
    <w:rsid w:val="2FFD3505"/>
    <w:rsid w:val="30018BE4"/>
    <w:rsid w:val="300CABB6"/>
    <w:rsid w:val="3016A55A"/>
    <w:rsid w:val="30310BEE"/>
    <w:rsid w:val="303B196B"/>
    <w:rsid w:val="303BC706"/>
    <w:rsid w:val="304031B7"/>
    <w:rsid w:val="30453930"/>
    <w:rsid w:val="304A5B3B"/>
    <w:rsid w:val="304A97C3"/>
    <w:rsid w:val="305AD33C"/>
    <w:rsid w:val="308189FD"/>
    <w:rsid w:val="30869C21"/>
    <w:rsid w:val="30B3DF3B"/>
    <w:rsid w:val="30BCF0EF"/>
    <w:rsid w:val="30D91A87"/>
    <w:rsid w:val="30E426EB"/>
    <w:rsid w:val="30F4A616"/>
    <w:rsid w:val="310E585C"/>
    <w:rsid w:val="3115D4D5"/>
    <w:rsid w:val="311B6425"/>
    <w:rsid w:val="3126477A"/>
    <w:rsid w:val="312CFA92"/>
    <w:rsid w:val="31376239"/>
    <w:rsid w:val="31420FA9"/>
    <w:rsid w:val="31426CCE"/>
    <w:rsid w:val="3148B28C"/>
    <w:rsid w:val="314FDC7C"/>
    <w:rsid w:val="315021BB"/>
    <w:rsid w:val="3150F70D"/>
    <w:rsid w:val="315B774A"/>
    <w:rsid w:val="31794EA0"/>
    <w:rsid w:val="317D7C85"/>
    <w:rsid w:val="317E0E4B"/>
    <w:rsid w:val="317EEF59"/>
    <w:rsid w:val="31822191"/>
    <w:rsid w:val="3189B45C"/>
    <w:rsid w:val="318C57CB"/>
    <w:rsid w:val="3190B46F"/>
    <w:rsid w:val="31A858BF"/>
    <w:rsid w:val="31D06107"/>
    <w:rsid w:val="31DA46C5"/>
    <w:rsid w:val="31EAA3AA"/>
    <w:rsid w:val="31F5E277"/>
    <w:rsid w:val="31F87B90"/>
    <w:rsid w:val="3209B5B2"/>
    <w:rsid w:val="320E030A"/>
    <w:rsid w:val="32191BD2"/>
    <w:rsid w:val="321AB9F4"/>
    <w:rsid w:val="3231AEFF"/>
    <w:rsid w:val="3232D0ED"/>
    <w:rsid w:val="32388BEB"/>
    <w:rsid w:val="324B95D0"/>
    <w:rsid w:val="325A0DB3"/>
    <w:rsid w:val="325B431B"/>
    <w:rsid w:val="325D78ED"/>
    <w:rsid w:val="3262C16D"/>
    <w:rsid w:val="32737526"/>
    <w:rsid w:val="327CF3A4"/>
    <w:rsid w:val="32807B24"/>
    <w:rsid w:val="32844BDF"/>
    <w:rsid w:val="328A634D"/>
    <w:rsid w:val="328FC881"/>
    <w:rsid w:val="3295C512"/>
    <w:rsid w:val="32B51CC2"/>
    <w:rsid w:val="32C433E5"/>
    <w:rsid w:val="32C56EA0"/>
    <w:rsid w:val="32CA7B0F"/>
    <w:rsid w:val="32D7D5B1"/>
    <w:rsid w:val="32DA257A"/>
    <w:rsid w:val="32DC1997"/>
    <w:rsid w:val="32E12486"/>
    <w:rsid w:val="330BD438"/>
    <w:rsid w:val="330D1366"/>
    <w:rsid w:val="33409C35"/>
    <w:rsid w:val="334F595F"/>
    <w:rsid w:val="3352A8DE"/>
    <w:rsid w:val="3367AC48"/>
    <w:rsid w:val="3375C111"/>
    <w:rsid w:val="337AB81F"/>
    <w:rsid w:val="338E08B0"/>
    <w:rsid w:val="33A3B951"/>
    <w:rsid w:val="33A42BB1"/>
    <w:rsid w:val="33B8EB2D"/>
    <w:rsid w:val="33C94E04"/>
    <w:rsid w:val="33CEE433"/>
    <w:rsid w:val="33D572B2"/>
    <w:rsid w:val="33D97C34"/>
    <w:rsid w:val="33E0B8E0"/>
    <w:rsid w:val="33FE3061"/>
    <w:rsid w:val="34167F61"/>
    <w:rsid w:val="341744DA"/>
    <w:rsid w:val="342D4198"/>
    <w:rsid w:val="342F2CB6"/>
    <w:rsid w:val="3432D00F"/>
    <w:rsid w:val="3438589D"/>
    <w:rsid w:val="343B5976"/>
    <w:rsid w:val="3459AEC5"/>
    <w:rsid w:val="34635999"/>
    <w:rsid w:val="3463C6AF"/>
    <w:rsid w:val="3470695F"/>
    <w:rsid w:val="3473AF96"/>
    <w:rsid w:val="3493B2C9"/>
    <w:rsid w:val="3497CC4D"/>
    <w:rsid w:val="34BBD93C"/>
    <w:rsid w:val="34C6C858"/>
    <w:rsid w:val="34C77AED"/>
    <w:rsid w:val="34D1E91D"/>
    <w:rsid w:val="34D889DE"/>
    <w:rsid w:val="34D8A948"/>
    <w:rsid w:val="34D92B50"/>
    <w:rsid w:val="34DFEBF9"/>
    <w:rsid w:val="34E7FA1B"/>
    <w:rsid w:val="34F274CA"/>
    <w:rsid w:val="34F49D2F"/>
    <w:rsid w:val="34F9AF8F"/>
    <w:rsid w:val="35428057"/>
    <w:rsid w:val="35452418"/>
    <w:rsid w:val="35665280"/>
    <w:rsid w:val="357B8520"/>
    <w:rsid w:val="35861B03"/>
    <w:rsid w:val="3599A934"/>
    <w:rsid w:val="35ADC798"/>
    <w:rsid w:val="35B00AAA"/>
    <w:rsid w:val="35D6F0A5"/>
    <w:rsid w:val="35D928B9"/>
    <w:rsid w:val="35E1D73F"/>
    <w:rsid w:val="35EF2111"/>
    <w:rsid w:val="35F081AD"/>
    <w:rsid w:val="35F6DB3B"/>
    <w:rsid w:val="35FD24CD"/>
    <w:rsid w:val="36113059"/>
    <w:rsid w:val="3625633D"/>
    <w:rsid w:val="362A15B5"/>
    <w:rsid w:val="362CBBA6"/>
    <w:rsid w:val="3649664F"/>
    <w:rsid w:val="364AC785"/>
    <w:rsid w:val="364F99C5"/>
    <w:rsid w:val="366CF998"/>
    <w:rsid w:val="36786D52"/>
    <w:rsid w:val="36911989"/>
    <w:rsid w:val="36AC8240"/>
    <w:rsid w:val="36B9FA1C"/>
    <w:rsid w:val="36C48C7A"/>
    <w:rsid w:val="36C5187A"/>
    <w:rsid w:val="36D09B38"/>
    <w:rsid w:val="36D3BB70"/>
    <w:rsid w:val="36DA4A35"/>
    <w:rsid w:val="37006818"/>
    <w:rsid w:val="3702165A"/>
    <w:rsid w:val="3730B915"/>
    <w:rsid w:val="374B71F2"/>
    <w:rsid w:val="375AD6B8"/>
    <w:rsid w:val="375DD8D6"/>
    <w:rsid w:val="377D2A0D"/>
    <w:rsid w:val="377F93CA"/>
    <w:rsid w:val="37889E9E"/>
    <w:rsid w:val="378D0515"/>
    <w:rsid w:val="3795E8FE"/>
    <w:rsid w:val="37A5BA1C"/>
    <w:rsid w:val="37B77C35"/>
    <w:rsid w:val="37CB33B8"/>
    <w:rsid w:val="37D8F437"/>
    <w:rsid w:val="37DFD90B"/>
    <w:rsid w:val="37E875C3"/>
    <w:rsid w:val="37FBBD3C"/>
    <w:rsid w:val="381068EA"/>
    <w:rsid w:val="3832ECCD"/>
    <w:rsid w:val="383786AA"/>
    <w:rsid w:val="383FD5AE"/>
    <w:rsid w:val="38472692"/>
    <w:rsid w:val="3851760E"/>
    <w:rsid w:val="385C268D"/>
    <w:rsid w:val="38662BBF"/>
    <w:rsid w:val="386FF438"/>
    <w:rsid w:val="388C0A0B"/>
    <w:rsid w:val="38A19524"/>
    <w:rsid w:val="38A79A7B"/>
    <w:rsid w:val="38B051B4"/>
    <w:rsid w:val="38B09958"/>
    <w:rsid w:val="38B3DBCF"/>
    <w:rsid w:val="38C0E5E4"/>
    <w:rsid w:val="38D695C1"/>
    <w:rsid w:val="38D745D7"/>
    <w:rsid w:val="38E2AD2A"/>
    <w:rsid w:val="38F1C766"/>
    <w:rsid w:val="38F4244B"/>
    <w:rsid w:val="38F4331D"/>
    <w:rsid w:val="38FA56E1"/>
    <w:rsid w:val="3901DC06"/>
    <w:rsid w:val="3907CB2A"/>
    <w:rsid w:val="391134E9"/>
    <w:rsid w:val="391CC505"/>
    <w:rsid w:val="3930695D"/>
    <w:rsid w:val="3937D524"/>
    <w:rsid w:val="3938F3FB"/>
    <w:rsid w:val="3941FD55"/>
    <w:rsid w:val="39424BD1"/>
    <w:rsid w:val="394E1A97"/>
    <w:rsid w:val="3958F69A"/>
    <w:rsid w:val="395A9959"/>
    <w:rsid w:val="395BAD8E"/>
    <w:rsid w:val="3973AE24"/>
    <w:rsid w:val="3973BEA4"/>
    <w:rsid w:val="3977E691"/>
    <w:rsid w:val="397E9611"/>
    <w:rsid w:val="3991F452"/>
    <w:rsid w:val="39A55A40"/>
    <w:rsid w:val="39B7DC55"/>
    <w:rsid w:val="39BD0799"/>
    <w:rsid w:val="39C12649"/>
    <w:rsid w:val="39C5D637"/>
    <w:rsid w:val="39CAE86A"/>
    <w:rsid w:val="39DE017A"/>
    <w:rsid w:val="39E661EF"/>
    <w:rsid w:val="39EA1806"/>
    <w:rsid w:val="39FD9238"/>
    <w:rsid w:val="3A1CAF55"/>
    <w:rsid w:val="3A2265C3"/>
    <w:rsid w:val="3A2DEC29"/>
    <w:rsid w:val="3A31EE26"/>
    <w:rsid w:val="3A39FC32"/>
    <w:rsid w:val="3A4C4D18"/>
    <w:rsid w:val="3A510C3A"/>
    <w:rsid w:val="3A635196"/>
    <w:rsid w:val="3A7120A2"/>
    <w:rsid w:val="3A7BEFDD"/>
    <w:rsid w:val="3A7CB6CB"/>
    <w:rsid w:val="3A8D7202"/>
    <w:rsid w:val="3A8F56FC"/>
    <w:rsid w:val="3A95D9BF"/>
    <w:rsid w:val="3AD0944F"/>
    <w:rsid w:val="3ADFD1CB"/>
    <w:rsid w:val="3AF07B81"/>
    <w:rsid w:val="3AF5A332"/>
    <w:rsid w:val="3AF7334A"/>
    <w:rsid w:val="3AFDFECA"/>
    <w:rsid w:val="3B04AF7B"/>
    <w:rsid w:val="3B0F7645"/>
    <w:rsid w:val="3B1EF433"/>
    <w:rsid w:val="3B352EC3"/>
    <w:rsid w:val="3B5D5EEE"/>
    <w:rsid w:val="3B67336B"/>
    <w:rsid w:val="3B67D42F"/>
    <w:rsid w:val="3B82D181"/>
    <w:rsid w:val="3B82FD62"/>
    <w:rsid w:val="3B96CDFA"/>
    <w:rsid w:val="3B9E3772"/>
    <w:rsid w:val="3BA2D820"/>
    <w:rsid w:val="3BB7897E"/>
    <w:rsid w:val="3BBC10C7"/>
    <w:rsid w:val="3BC25974"/>
    <w:rsid w:val="3BCFD6A8"/>
    <w:rsid w:val="3BD18EB5"/>
    <w:rsid w:val="3BE0752A"/>
    <w:rsid w:val="3C0DAE8B"/>
    <w:rsid w:val="3C1E6A82"/>
    <w:rsid w:val="3C2A22E8"/>
    <w:rsid w:val="3C395174"/>
    <w:rsid w:val="3C4C0242"/>
    <w:rsid w:val="3C5B4C41"/>
    <w:rsid w:val="3C5B953B"/>
    <w:rsid w:val="3C6759DF"/>
    <w:rsid w:val="3C6FA4D5"/>
    <w:rsid w:val="3C75830D"/>
    <w:rsid w:val="3C8613C9"/>
    <w:rsid w:val="3C87C656"/>
    <w:rsid w:val="3C886025"/>
    <w:rsid w:val="3C99F2EC"/>
    <w:rsid w:val="3C9CFF6A"/>
    <w:rsid w:val="3C9EA68C"/>
    <w:rsid w:val="3CC3D450"/>
    <w:rsid w:val="3CC6C671"/>
    <w:rsid w:val="3CD72257"/>
    <w:rsid w:val="3CDE3F04"/>
    <w:rsid w:val="3CFE0681"/>
    <w:rsid w:val="3CFEE7F5"/>
    <w:rsid w:val="3D06C97E"/>
    <w:rsid w:val="3D0BF9CD"/>
    <w:rsid w:val="3D4D8F79"/>
    <w:rsid w:val="3D4EA218"/>
    <w:rsid w:val="3D562964"/>
    <w:rsid w:val="3D56A043"/>
    <w:rsid w:val="3D5A652A"/>
    <w:rsid w:val="3D5A97BA"/>
    <w:rsid w:val="3D944219"/>
    <w:rsid w:val="3DB10B58"/>
    <w:rsid w:val="3DBFE640"/>
    <w:rsid w:val="3DC889DA"/>
    <w:rsid w:val="3DDF396F"/>
    <w:rsid w:val="3DE131DC"/>
    <w:rsid w:val="3DE5B7AD"/>
    <w:rsid w:val="3DEC0455"/>
    <w:rsid w:val="3DED9DE6"/>
    <w:rsid w:val="3DF5E9AF"/>
    <w:rsid w:val="3E08C7DA"/>
    <w:rsid w:val="3E0C75D1"/>
    <w:rsid w:val="3E202514"/>
    <w:rsid w:val="3E20C767"/>
    <w:rsid w:val="3E3EA94B"/>
    <w:rsid w:val="3E572405"/>
    <w:rsid w:val="3E6383E6"/>
    <w:rsid w:val="3E655F3B"/>
    <w:rsid w:val="3E70324B"/>
    <w:rsid w:val="3E82B127"/>
    <w:rsid w:val="3E849792"/>
    <w:rsid w:val="3E880473"/>
    <w:rsid w:val="3E8A0142"/>
    <w:rsid w:val="3E8FE274"/>
    <w:rsid w:val="3E92BB95"/>
    <w:rsid w:val="3E9CC25F"/>
    <w:rsid w:val="3EA2A72C"/>
    <w:rsid w:val="3EACE3E8"/>
    <w:rsid w:val="3EB4778C"/>
    <w:rsid w:val="3EB75ACC"/>
    <w:rsid w:val="3EBE9925"/>
    <w:rsid w:val="3EC5EFD1"/>
    <w:rsid w:val="3EEE068F"/>
    <w:rsid w:val="3F00A327"/>
    <w:rsid w:val="3F32D168"/>
    <w:rsid w:val="3F658081"/>
    <w:rsid w:val="3F696C2A"/>
    <w:rsid w:val="3F72BE37"/>
    <w:rsid w:val="3F7F4980"/>
    <w:rsid w:val="3F8E7530"/>
    <w:rsid w:val="3F913E6C"/>
    <w:rsid w:val="3FA3B22D"/>
    <w:rsid w:val="3FA71F86"/>
    <w:rsid w:val="3FDD2AEF"/>
    <w:rsid w:val="3FE1FF8E"/>
    <w:rsid w:val="3FE4C64D"/>
    <w:rsid w:val="3FE9D715"/>
    <w:rsid w:val="3FFC0317"/>
    <w:rsid w:val="4007FF54"/>
    <w:rsid w:val="40096491"/>
    <w:rsid w:val="400E482E"/>
    <w:rsid w:val="4026BDB6"/>
    <w:rsid w:val="4034B98F"/>
    <w:rsid w:val="404A1D6A"/>
    <w:rsid w:val="4053B51A"/>
    <w:rsid w:val="405FC9DA"/>
    <w:rsid w:val="4071C751"/>
    <w:rsid w:val="407324BA"/>
    <w:rsid w:val="40743B63"/>
    <w:rsid w:val="407C0E6A"/>
    <w:rsid w:val="408818F7"/>
    <w:rsid w:val="40900B29"/>
    <w:rsid w:val="40950659"/>
    <w:rsid w:val="40AB154A"/>
    <w:rsid w:val="40AF36BF"/>
    <w:rsid w:val="40BA1AAD"/>
    <w:rsid w:val="40CCAD94"/>
    <w:rsid w:val="40D0932F"/>
    <w:rsid w:val="40DD56AC"/>
    <w:rsid w:val="40E73F09"/>
    <w:rsid w:val="40F0AB17"/>
    <w:rsid w:val="40FA8554"/>
    <w:rsid w:val="4114394A"/>
    <w:rsid w:val="411B5572"/>
    <w:rsid w:val="4129871F"/>
    <w:rsid w:val="4136ED99"/>
    <w:rsid w:val="41457B81"/>
    <w:rsid w:val="414CD541"/>
    <w:rsid w:val="416EF275"/>
    <w:rsid w:val="4180A80C"/>
    <w:rsid w:val="41839734"/>
    <w:rsid w:val="4185A9B0"/>
    <w:rsid w:val="4185CC83"/>
    <w:rsid w:val="418AE8D4"/>
    <w:rsid w:val="4193CFE0"/>
    <w:rsid w:val="4197A9C8"/>
    <w:rsid w:val="41ABF4C2"/>
    <w:rsid w:val="41B22448"/>
    <w:rsid w:val="41B787D2"/>
    <w:rsid w:val="41BD240A"/>
    <w:rsid w:val="41C6A795"/>
    <w:rsid w:val="41C959BD"/>
    <w:rsid w:val="41CA2711"/>
    <w:rsid w:val="41CB47A6"/>
    <w:rsid w:val="41DB092E"/>
    <w:rsid w:val="41DB3461"/>
    <w:rsid w:val="41DD5DF2"/>
    <w:rsid w:val="41E0C6FE"/>
    <w:rsid w:val="41EB2C28"/>
    <w:rsid w:val="41FC8627"/>
    <w:rsid w:val="41FFF789"/>
    <w:rsid w:val="4204AA26"/>
    <w:rsid w:val="420C8DDF"/>
    <w:rsid w:val="420FF17C"/>
    <w:rsid w:val="421C6EA7"/>
    <w:rsid w:val="423668A5"/>
    <w:rsid w:val="4260B74C"/>
    <w:rsid w:val="426326AD"/>
    <w:rsid w:val="42694D68"/>
    <w:rsid w:val="4286E0E6"/>
    <w:rsid w:val="4287E59C"/>
    <w:rsid w:val="4289ECC0"/>
    <w:rsid w:val="428B6F87"/>
    <w:rsid w:val="42987FEB"/>
    <w:rsid w:val="429D7D6A"/>
    <w:rsid w:val="42A6EA29"/>
    <w:rsid w:val="42BFF6C5"/>
    <w:rsid w:val="42CAA333"/>
    <w:rsid w:val="42D70A32"/>
    <w:rsid w:val="42E8616A"/>
    <w:rsid w:val="42E9A017"/>
    <w:rsid w:val="42F5F912"/>
    <w:rsid w:val="42F91EB3"/>
    <w:rsid w:val="43419346"/>
    <w:rsid w:val="43553A25"/>
    <w:rsid w:val="435A75F0"/>
    <w:rsid w:val="4366307D"/>
    <w:rsid w:val="436E234D"/>
    <w:rsid w:val="4371DCBB"/>
    <w:rsid w:val="43745B8C"/>
    <w:rsid w:val="43866D93"/>
    <w:rsid w:val="43AE14A3"/>
    <w:rsid w:val="43C4263F"/>
    <w:rsid w:val="43CB128C"/>
    <w:rsid w:val="43DE4CBF"/>
    <w:rsid w:val="43EE83E7"/>
    <w:rsid w:val="43EF9647"/>
    <w:rsid w:val="43F4DB6E"/>
    <w:rsid w:val="43FD118F"/>
    <w:rsid w:val="43FD856C"/>
    <w:rsid w:val="44006ABD"/>
    <w:rsid w:val="442403B5"/>
    <w:rsid w:val="442B3736"/>
    <w:rsid w:val="442C879C"/>
    <w:rsid w:val="44320B34"/>
    <w:rsid w:val="443661AF"/>
    <w:rsid w:val="4436BE12"/>
    <w:rsid w:val="443B3B9B"/>
    <w:rsid w:val="44443177"/>
    <w:rsid w:val="444AECEA"/>
    <w:rsid w:val="445D2A38"/>
    <w:rsid w:val="446739AE"/>
    <w:rsid w:val="44758B59"/>
    <w:rsid w:val="448194C7"/>
    <w:rsid w:val="4483FB7E"/>
    <w:rsid w:val="4489B5A6"/>
    <w:rsid w:val="448E6845"/>
    <w:rsid w:val="44992EBB"/>
    <w:rsid w:val="449FB270"/>
    <w:rsid w:val="44ABF291"/>
    <w:rsid w:val="44AF122C"/>
    <w:rsid w:val="44AF286A"/>
    <w:rsid w:val="44BE628F"/>
    <w:rsid w:val="44DACB97"/>
    <w:rsid w:val="44E2A7D8"/>
    <w:rsid w:val="4507D89A"/>
    <w:rsid w:val="4509B7CE"/>
    <w:rsid w:val="450C2682"/>
    <w:rsid w:val="451AFDDF"/>
    <w:rsid w:val="4522FD59"/>
    <w:rsid w:val="453181CE"/>
    <w:rsid w:val="454AE495"/>
    <w:rsid w:val="455A6809"/>
    <w:rsid w:val="4563A599"/>
    <w:rsid w:val="4566D1F0"/>
    <w:rsid w:val="456D0F8D"/>
    <w:rsid w:val="456F7FEA"/>
    <w:rsid w:val="457B462B"/>
    <w:rsid w:val="4582EB72"/>
    <w:rsid w:val="45C44F8C"/>
    <w:rsid w:val="45C852C9"/>
    <w:rsid w:val="45DBE1D0"/>
    <w:rsid w:val="45E6DDEC"/>
    <w:rsid w:val="460451D7"/>
    <w:rsid w:val="460F0DC3"/>
    <w:rsid w:val="46152AFC"/>
    <w:rsid w:val="461B0092"/>
    <w:rsid w:val="461B5D7C"/>
    <w:rsid w:val="462FCD08"/>
    <w:rsid w:val="46337B91"/>
    <w:rsid w:val="4639B83B"/>
    <w:rsid w:val="46443F14"/>
    <w:rsid w:val="46733C31"/>
    <w:rsid w:val="468AD2B6"/>
    <w:rsid w:val="46962F7A"/>
    <w:rsid w:val="46A91087"/>
    <w:rsid w:val="46B3DD20"/>
    <w:rsid w:val="46BC52AC"/>
    <w:rsid w:val="46C0A7A3"/>
    <w:rsid w:val="46D68F23"/>
    <w:rsid w:val="46DD75C3"/>
    <w:rsid w:val="46E518D3"/>
    <w:rsid w:val="46E6E977"/>
    <w:rsid w:val="4711F433"/>
    <w:rsid w:val="471A3D40"/>
    <w:rsid w:val="4721222A"/>
    <w:rsid w:val="472765C2"/>
    <w:rsid w:val="474B5FD2"/>
    <w:rsid w:val="474E3686"/>
    <w:rsid w:val="4758296C"/>
    <w:rsid w:val="4759E55F"/>
    <w:rsid w:val="477508D5"/>
    <w:rsid w:val="478E0D6A"/>
    <w:rsid w:val="479F0433"/>
    <w:rsid w:val="479F6449"/>
    <w:rsid w:val="47A80FEC"/>
    <w:rsid w:val="47AAD75A"/>
    <w:rsid w:val="47ADD94B"/>
    <w:rsid w:val="47BE871B"/>
    <w:rsid w:val="47C23F7D"/>
    <w:rsid w:val="47D7F96B"/>
    <w:rsid w:val="47F21723"/>
    <w:rsid w:val="48001CA3"/>
    <w:rsid w:val="48135CEB"/>
    <w:rsid w:val="48168FAD"/>
    <w:rsid w:val="482A646B"/>
    <w:rsid w:val="482B4919"/>
    <w:rsid w:val="482C41BD"/>
    <w:rsid w:val="483CB20D"/>
    <w:rsid w:val="484338F1"/>
    <w:rsid w:val="485B422B"/>
    <w:rsid w:val="485FCDBC"/>
    <w:rsid w:val="48834AD3"/>
    <w:rsid w:val="488972DE"/>
    <w:rsid w:val="488B8EF5"/>
    <w:rsid w:val="489E53F9"/>
    <w:rsid w:val="48A01352"/>
    <w:rsid w:val="48A49F3E"/>
    <w:rsid w:val="48A6AFCE"/>
    <w:rsid w:val="48AE7172"/>
    <w:rsid w:val="48B9CA8B"/>
    <w:rsid w:val="48BD2C18"/>
    <w:rsid w:val="48C8507A"/>
    <w:rsid w:val="48D30402"/>
    <w:rsid w:val="48D8C644"/>
    <w:rsid w:val="48DDC8EE"/>
    <w:rsid w:val="48DE46B2"/>
    <w:rsid w:val="48DF33B8"/>
    <w:rsid w:val="48F6F17B"/>
    <w:rsid w:val="48FA1FA9"/>
    <w:rsid w:val="48FF4B17"/>
    <w:rsid w:val="490D9303"/>
    <w:rsid w:val="4926DAFB"/>
    <w:rsid w:val="492B80FE"/>
    <w:rsid w:val="492EC255"/>
    <w:rsid w:val="4933E8BE"/>
    <w:rsid w:val="494AACCC"/>
    <w:rsid w:val="4952B091"/>
    <w:rsid w:val="495D4815"/>
    <w:rsid w:val="495F01C8"/>
    <w:rsid w:val="49603D72"/>
    <w:rsid w:val="496DFF9A"/>
    <w:rsid w:val="497539AD"/>
    <w:rsid w:val="497D000E"/>
    <w:rsid w:val="497D3358"/>
    <w:rsid w:val="497E89C1"/>
    <w:rsid w:val="49859EE0"/>
    <w:rsid w:val="49B3D5E4"/>
    <w:rsid w:val="49C13E0D"/>
    <w:rsid w:val="49D386E6"/>
    <w:rsid w:val="49D4DCA6"/>
    <w:rsid w:val="49D64D78"/>
    <w:rsid w:val="49E0B4C6"/>
    <w:rsid w:val="49FF0B65"/>
    <w:rsid w:val="4A0134AC"/>
    <w:rsid w:val="4A0BBDE1"/>
    <w:rsid w:val="4A0DF62C"/>
    <w:rsid w:val="4A3345CC"/>
    <w:rsid w:val="4A36C35A"/>
    <w:rsid w:val="4A3E11AD"/>
    <w:rsid w:val="4A4464D0"/>
    <w:rsid w:val="4A53285D"/>
    <w:rsid w:val="4A6F3752"/>
    <w:rsid w:val="4A81AE61"/>
    <w:rsid w:val="4A85DBF2"/>
    <w:rsid w:val="4A86B90D"/>
    <w:rsid w:val="4AB799D0"/>
    <w:rsid w:val="4AB85293"/>
    <w:rsid w:val="4AC08493"/>
    <w:rsid w:val="4AC71420"/>
    <w:rsid w:val="4ACF3C3B"/>
    <w:rsid w:val="4AD09EAB"/>
    <w:rsid w:val="4AD826DB"/>
    <w:rsid w:val="4ADB527C"/>
    <w:rsid w:val="4AEBFC0B"/>
    <w:rsid w:val="4AF788C6"/>
    <w:rsid w:val="4AF85A27"/>
    <w:rsid w:val="4B0385CB"/>
    <w:rsid w:val="4B0B79AF"/>
    <w:rsid w:val="4B158F3F"/>
    <w:rsid w:val="4B1E8408"/>
    <w:rsid w:val="4B39E073"/>
    <w:rsid w:val="4B3A8107"/>
    <w:rsid w:val="4B4AD8BF"/>
    <w:rsid w:val="4B58B83C"/>
    <w:rsid w:val="4B6853D8"/>
    <w:rsid w:val="4B6A750C"/>
    <w:rsid w:val="4B841415"/>
    <w:rsid w:val="4B8D038D"/>
    <w:rsid w:val="4B92748B"/>
    <w:rsid w:val="4B99CD21"/>
    <w:rsid w:val="4BA172B7"/>
    <w:rsid w:val="4BAC8466"/>
    <w:rsid w:val="4BBB07B2"/>
    <w:rsid w:val="4BBBB3F1"/>
    <w:rsid w:val="4BCA6B2D"/>
    <w:rsid w:val="4BCF507B"/>
    <w:rsid w:val="4BD9EAB4"/>
    <w:rsid w:val="4BEA94CC"/>
    <w:rsid w:val="4BFCC3DE"/>
    <w:rsid w:val="4BFD9349"/>
    <w:rsid w:val="4C17CC67"/>
    <w:rsid w:val="4C1E0098"/>
    <w:rsid w:val="4C2CB060"/>
    <w:rsid w:val="4C2D237A"/>
    <w:rsid w:val="4C32E471"/>
    <w:rsid w:val="4C41D807"/>
    <w:rsid w:val="4C59B36F"/>
    <w:rsid w:val="4C7AD3C5"/>
    <w:rsid w:val="4C7C7782"/>
    <w:rsid w:val="4C7E2F63"/>
    <w:rsid w:val="4C80380C"/>
    <w:rsid w:val="4C838CB4"/>
    <w:rsid w:val="4CBF9EBB"/>
    <w:rsid w:val="4CC9F446"/>
    <w:rsid w:val="4CF0F247"/>
    <w:rsid w:val="4D25889B"/>
    <w:rsid w:val="4D32BD5F"/>
    <w:rsid w:val="4D34BBD7"/>
    <w:rsid w:val="4D486116"/>
    <w:rsid w:val="4D6B5112"/>
    <w:rsid w:val="4D7F8F54"/>
    <w:rsid w:val="4D85D4E9"/>
    <w:rsid w:val="4D87D876"/>
    <w:rsid w:val="4DAF330D"/>
    <w:rsid w:val="4DB1AEDA"/>
    <w:rsid w:val="4DB78785"/>
    <w:rsid w:val="4DC94785"/>
    <w:rsid w:val="4DC9CD5F"/>
    <w:rsid w:val="4DE6BAF0"/>
    <w:rsid w:val="4DF31BAA"/>
    <w:rsid w:val="4DFF6293"/>
    <w:rsid w:val="4DFFE08B"/>
    <w:rsid w:val="4E080000"/>
    <w:rsid w:val="4E0C4D78"/>
    <w:rsid w:val="4E201BEA"/>
    <w:rsid w:val="4E2031F6"/>
    <w:rsid w:val="4E324E17"/>
    <w:rsid w:val="4E332E63"/>
    <w:rsid w:val="4E3473ED"/>
    <w:rsid w:val="4E3B6CAA"/>
    <w:rsid w:val="4E4F0B39"/>
    <w:rsid w:val="4E537D3B"/>
    <w:rsid w:val="4E5A1174"/>
    <w:rsid w:val="4E5BA0C7"/>
    <w:rsid w:val="4E5D8BC6"/>
    <w:rsid w:val="4E63E5EE"/>
    <w:rsid w:val="4E6E893A"/>
    <w:rsid w:val="4E77E3C5"/>
    <w:rsid w:val="4E8223D5"/>
    <w:rsid w:val="4E90C357"/>
    <w:rsid w:val="4E92C946"/>
    <w:rsid w:val="4E9B0911"/>
    <w:rsid w:val="4EB02ECB"/>
    <w:rsid w:val="4EBDBF60"/>
    <w:rsid w:val="4EC0458B"/>
    <w:rsid w:val="4EC08C35"/>
    <w:rsid w:val="4EC6C145"/>
    <w:rsid w:val="4EE04302"/>
    <w:rsid w:val="4EE8E2E6"/>
    <w:rsid w:val="4F010DA8"/>
    <w:rsid w:val="4F21DAC4"/>
    <w:rsid w:val="4F226667"/>
    <w:rsid w:val="4F25A9E8"/>
    <w:rsid w:val="4F2BEB40"/>
    <w:rsid w:val="4F35BBE8"/>
    <w:rsid w:val="4F360B28"/>
    <w:rsid w:val="4F443629"/>
    <w:rsid w:val="4F5E68FE"/>
    <w:rsid w:val="4F6240DB"/>
    <w:rsid w:val="4F64117A"/>
    <w:rsid w:val="4F655266"/>
    <w:rsid w:val="4F7D645D"/>
    <w:rsid w:val="4F8785C5"/>
    <w:rsid w:val="4F8A9FA6"/>
    <w:rsid w:val="4F9BC05A"/>
    <w:rsid w:val="4FB16BF8"/>
    <w:rsid w:val="4FB44E9C"/>
    <w:rsid w:val="4FBE2B42"/>
    <w:rsid w:val="4FCBC4B5"/>
    <w:rsid w:val="4FE0CE45"/>
    <w:rsid w:val="50258B06"/>
    <w:rsid w:val="5037090F"/>
    <w:rsid w:val="5048D037"/>
    <w:rsid w:val="504F4C17"/>
    <w:rsid w:val="50573ECC"/>
    <w:rsid w:val="505FD7DA"/>
    <w:rsid w:val="5064F4AD"/>
    <w:rsid w:val="507D103B"/>
    <w:rsid w:val="507D8164"/>
    <w:rsid w:val="507F0551"/>
    <w:rsid w:val="509BCF5D"/>
    <w:rsid w:val="50A00C2B"/>
    <w:rsid w:val="50AC5255"/>
    <w:rsid w:val="50BF5D04"/>
    <w:rsid w:val="50BFCAC1"/>
    <w:rsid w:val="50E545A1"/>
    <w:rsid w:val="50EF656D"/>
    <w:rsid w:val="50F8DE94"/>
    <w:rsid w:val="50F99444"/>
    <w:rsid w:val="51165D18"/>
    <w:rsid w:val="511B259C"/>
    <w:rsid w:val="511BD9BF"/>
    <w:rsid w:val="5129ABCB"/>
    <w:rsid w:val="512EC63B"/>
    <w:rsid w:val="513A2CB1"/>
    <w:rsid w:val="514A7EBB"/>
    <w:rsid w:val="51568CAB"/>
    <w:rsid w:val="5162056D"/>
    <w:rsid w:val="5162B409"/>
    <w:rsid w:val="51672B0A"/>
    <w:rsid w:val="518AD436"/>
    <w:rsid w:val="518DD574"/>
    <w:rsid w:val="5197FC2A"/>
    <w:rsid w:val="519A674E"/>
    <w:rsid w:val="519E7F61"/>
    <w:rsid w:val="51A35D1B"/>
    <w:rsid w:val="51C0E08F"/>
    <w:rsid w:val="51C18DCB"/>
    <w:rsid w:val="51C9D2C0"/>
    <w:rsid w:val="51CA2258"/>
    <w:rsid w:val="51CC02E5"/>
    <w:rsid w:val="51DA6C21"/>
    <w:rsid w:val="51DF2E96"/>
    <w:rsid w:val="51E8B5BB"/>
    <w:rsid w:val="51F16238"/>
    <w:rsid w:val="51FD6CB8"/>
    <w:rsid w:val="5221B9FE"/>
    <w:rsid w:val="52264669"/>
    <w:rsid w:val="522EEDED"/>
    <w:rsid w:val="52326897"/>
    <w:rsid w:val="523F594E"/>
    <w:rsid w:val="52467B0F"/>
    <w:rsid w:val="52469690"/>
    <w:rsid w:val="5257D35C"/>
    <w:rsid w:val="525868BD"/>
    <w:rsid w:val="526475CE"/>
    <w:rsid w:val="5275C2F8"/>
    <w:rsid w:val="5279FB64"/>
    <w:rsid w:val="5293951D"/>
    <w:rsid w:val="529B79C0"/>
    <w:rsid w:val="52A81765"/>
    <w:rsid w:val="52ABCAF3"/>
    <w:rsid w:val="52B48DA0"/>
    <w:rsid w:val="52BD199D"/>
    <w:rsid w:val="52C4D331"/>
    <w:rsid w:val="52D71206"/>
    <w:rsid w:val="52EA0962"/>
    <w:rsid w:val="52F217DB"/>
    <w:rsid w:val="530C659C"/>
    <w:rsid w:val="53122BC5"/>
    <w:rsid w:val="53248B9D"/>
    <w:rsid w:val="5326C765"/>
    <w:rsid w:val="532AF7A2"/>
    <w:rsid w:val="532C02BF"/>
    <w:rsid w:val="533935CA"/>
    <w:rsid w:val="533AC41C"/>
    <w:rsid w:val="533B56F1"/>
    <w:rsid w:val="533F7A65"/>
    <w:rsid w:val="53410727"/>
    <w:rsid w:val="535B4428"/>
    <w:rsid w:val="535DC3D7"/>
    <w:rsid w:val="53601DAF"/>
    <w:rsid w:val="5376F1AD"/>
    <w:rsid w:val="5379FFAE"/>
    <w:rsid w:val="537E76CB"/>
    <w:rsid w:val="5389AA98"/>
    <w:rsid w:val="538C8F3A"/>
    <w:rsid w:val="539638BF"/>
    <w:rsid w:val="53994E4F"/>
    <w:rsid w:val="53A55AE7"/>
    <w:rsid w:val="53A62B5B"/>
    <w:rsid w:val="53AB24C3"/>
    <w:rsid w:val="53B53DB1"/>
    <w:rsid w:val="53BE52BF"/>
    <w:rsid w:val="53C9E7D7"/>
    <w:rsid w:val="53D0EB01"/>
    <w:rsid w:val="53D77EEF"/>
    <w:rsid w:val="53E07E2C"/>
    <w:rsid w:val="53EABA7D"/>
    <w:rsid w:val="53F2FF31"/>
    <w:rsid w:val="54151038"/>
    <w:rsid w:val="541DADEF"/>
    <w:rsid w:val="5428C0C1"/>
    <w:rsid w:val="5431DA21"/>
    <w:rsid w:val="54323040"/>
    <w:rsid w:val="54358B96"/>
    <w:rsid w:val="543F60D6"/>
    <w:rsid w:val="544811BE"/>
    <w:rsid w:val="5452EF91"/>
    <w:rsid w:val="54666459"/>
    <w:rsid w:val="54752D88"/>
    <w:rsid w:val="5477CCD8"/>
    <w:rsid w:val="547DD670"/>
    <w:rsid w:val="549B9C43"/>
    <w:rsid w:val="54A1E7D9"/>
    <w:rsid w:val="54B4AFB7"/>
    <w:rsid w:val="54C5A702"/>
    <w:rsid w:val="54C721DA"/>
    <w:rsid w:val="54D20810"/>
    <w:rsid w:val="54D451A5"/>
    <w:rsid w:val="54D6972B"/>
    <w:rsid w:val="54D71069"/>
    <w:rsid w:val="54E34DA0"/>
    <w:rsid w:val="54FE30B1"/>
    <w:rsid w:val="551821B7"/>
    <w:rsid w:val="55211BA0"/>
    <w:rsid w:val="553A4FC1"/>
    <w:rsid w:val="55417AD2"/>
    <w:rsid w:val="5559F89B"/>
    <w:rsid w:val="556BF472"/>
    <w:rsid w:val="556F5886"/>
    <w:rsid w:val="5575AE68"/>
    <w:rsid w:val="55839EB0"/>
    <w:rsid w:val="5591B849"/>
    <w:rsid w:val="55977185"/>
    <w:rsid w:val="559D2F89"/>
    <w:rsid w:val="55A38BBE"/>
    <w:rsid w:val="55A78829"/>
    <w:rsid w:val="55AAB6AC"/>
    <w:rsid w:val="55AC296F"/>
    <w:rsid w:val="55B392C7"/>
    <w:rsid w:val="55BA60BC"/>
    <w:rsid w:val="55BB0827"/>
    <w:rsid w:val="55C8D1CA"/>
    <w:rsid w:val="55D0C7F7"/>
    <w:rsid w:val="55D47694"/>
    <w:rsid w:val="55D8B280"/>
    <w:rsid w:val="55E8662F"/>
    <w:rsid w:val="55E947EB"/>
    <w:rsid w:val="55FE7B39"/>
    <w:rsid w:val="561167E9"/>
    <w:rsid w:val="5614F0FD"/>
    <w:rsid w:val="56183CED"/>
    <w:rsid w:val="56246E0E"/>
    <w:rsid w:val="56268FBE"/>
    <w:rsid w:val="565BE07F"/>
    <w:rsid w:val="565EF92E"/>
    <w:rsid w:val="56706413"/>
    <w:rsid w:val="568692F2"/>
    <w:rsid w:val="56881E9D"/>
    <w:rsid w:val="5693616E"/>
    <w:rsid w:val="56981442"/>
    <w:rsid w:val="569B7095"/>
    <w:rsid w:val="56A341A1"/>
    <w:rsid w:val="56AFF22D"/>
    <w:rsid w:val="56B1315D"/>
    <w:rsid w:val="56B3CFF8"/>
    <w:rsid w:val="56C36001"/>
    <w:rsid w:val="56C6E53D"/>
    <w:rsid w:val="56CD3755"/>
    <w:rsid w:val="56DBA26F"/>
    <w:rsid w:val="57065C9E"/>
    <w:rsid w:val="57084D21"/>
    <w:rsid w:val="570CB79D"/>
    <w:rsid w:val="570FE809"/>
    <w:rsid w:val="571D63CD"/>
    <w:rsid w:val="573EB255"/>
    <w:rsid w:val="5765281F"/>
    <w:rsid w:val="576DDE54"/>
    <w:rsid w:val="577A8D50"/>
    <w:rsid w:val="577C892E"/>
    <w:rsid w:val="577CB10A"/>
    <w:rsid w:val="57809571"/>
    <w:rsid w:val="578AFE90"/>
    <w:rsid w:val="579068E0"/>
    <w:rsid w:val="57940BC1"/>
    <w:rsid w:val="579CB3FD"/>
    <w:rsid w:val="57B2C2AB"/>
    <w:rsid w:val="57C09974"/>
    <w:rsid w:val="57CECDF6"/>
    <w:rsid w:val="57E51440"/>
    <w:rsid w:val="57E6403A"/>
    <w:rsid w:val="57F02D53"/>
    <w:rsid w:val="57F65368"/>
    <w:rsid w:val="58023B20"/>
    <w:rsid w:val="582D5FBE"/>
    <w:rsid w:val="5835C562"/>
    <w:rsid w:val="5838DB58"/>
    <w:rsid w:val="584AA514"/>
    <w:rsid w:val="584B6F81"/>
    <w:rsid w:val="584E5A16"/>
    <w:rsid w:val="58503031"/>
    <w:rsid w:val="5859C86F"/>
    <w:rsid w:val="585FBE0B"/>
    <w:rsid w:val="58685E9B"/>
    <w:rsid w:val="5877FDA4"/>
    <w:rsid w:val="588431B4"/>
    <w:rsid w:val="58875A2D"/>
    <w:rsid w:val="588F0AC9"/>
    <w:rsid w:val="5897990B"/>
    <w:rsid w:val="589AAD67"/>
    <w:rsid w:val="58A65CC8"/>
    <w:rsid w:val="58ABFA23"/>
    <w:rsid w:val="58EE37F8"/>
    <w:rsid w:val="58EE6EC4"/>
    <w:rsid w:val="590866AA"/>
    <w:rsid w:val="590C600C"/>
    <w:rsid w:val="590FC4C4"/>
    <w:rsid w:val="591C0779"/>
    <w:rsid w:val="5952CBDA"/>
    <w:rsid w:val="595CDCB5"/>
    <w:rsid w:val="59625947"/>
    <w:rsid w:val="59653CDF"/>
    <w:rsid w:val="5969D134"/>
    <w:rsid w:val="597FCB9A"/>
    <w:rsid w:val="598DBB15"/>
    <w:rsid w:val="598F4EF1"/>
    <w:rsid w:val="59952CBC"/>
    <w:rsid w:val="599A051B"/>
    <w:rsid w:val="59A0E8D6"/>
    <w:rsid w:val="59BD0ED2"/>
    <w:rsid w:val="59C02AAD"/>
    <w:rsid w:val="59C9F854"/>
    <w:rsid w:val="59D9EE0F"/>
    <w:rsid w:val="59E3EE97"/>
    <w:rsid w:val="59F221B5"/>
    <w:rsid w:val="59FA2B5C"/>
    <w:rsid w:val="5A065892"/>
    <w:rsid w:val="5A084FC6"/>
    <w:rsid w:val="5A09C261"/>
    <w:rsid w:val="5A19BD0A"/>
    <w:rsid w:val="5A19D44E"/>
    <w:rsid w:val="5A1C5AE1"/>
    <w:rsid w:val="5A2340FF"/>
    <w:rsid w:val="5A298946"/>
    <w:rsid w:val="5A35287C"/>
    <w:rsid w:val="5A3E4666"/>
    <w:rsid w:val="5A460EA7"/>
    <w:rsid w:val="5A496C42"/>
    <w:rsid w:val="5A49E391"/>
    <w:rsid w:val="5A5FCAC2"/>
    <w:rsid w:val="5A6209CB"/>
    <w:rsid w:val="5A6B5B7A"/>
    <w:rsid w:val="5A7B496D"/>
    <w:rsid w:val="5A8E0CC4"/>
    <w:rsid w:val="5A9B2A4E"/>
    <w:rsid w:val="5AA89541"/>
    <w:rsid w:val="5AB268E6"/>
    <w:rsid w:val="5AC0222F"/>
    <w:rsid w:val="5AC1D48D"/>
    <w:rsid w:val="5AD15560"/>
    <w:rsid w:val="5AEB0CDD"/>
    <w:rsid w:val="5AF9B2DD"/>
    <w:rsid w:val="5AFE1847"/>
    <w:rsid w:val="5B07E412"/>
    <w:rsid w:val="5B09454F"/>
    <w:rsid w:val="5B09A12C"/>
    <w:rsid w:val="5B11A5DF"/>
    <w:rsid w:val="5B1579DD"/>
    <w:rsid w:val="5B1FFE9E"/>
    <w:rsid w:val="5B332A5B"/>
    <w:rsid w:val="5B383C78"/>
    <w:rsid w:val="5B3CEF6C"/>
    <w:rsid w:val="5B3F8DA6"/>
    <w:rsid w:val="5B5A2B2E"/>
    <w:rsid w:val="5B668DD1"/>
    <w:rsid w:val="5B73DBFB"/>
    <w:rsid w:val="5B769D7E"/>
    <w:rsid w:val="5B9E85E1"/>
    <w:rsid w:val="5BA94437"/>
    <w:rsid w:val="5BBA1DB8"/>
    <w:rsid w:val="5BC33EC5"/>
    <w:rsid w:val="5BE88723"/>
    <w:rsid w:val="5BF14188"/>
    <w:rsid w:val="5BF67A94"/>
    <w:rsid w:val="5BFD3CBC"/>
    <w:rsid w:val="5C09AE1B"/>
    <w:rsid w:val="5C2A0CA4"/>
    <w:rsid w:val="5C2A438D"/>
    <w:rsid w:val="5C332E7B"/>
    <w:rsid w:val="5C381728"/>
    <w:rsid w:val="5C3F2D20"/>
    <w:rsid w:val="5C46FFC1"/>
    <w:rsid w:val="5C475777"/>
    <w:rsid w:val="5C4AF4D1"/>
    <w:rsid w:val="5C4EF3E5"/>
    <w:rsid w:val="5C5CC515"/>
    <w:rsid w:val="5C6731F6"/>
    <w:rsid w:val="5C736FB8"/>
    <w:rsid w:val="5C766D4C"/>
    <w:rsid w:val="5C871D27"/>
    <w:rsid w:val="5C87DBCE"/>
    <w:rsid w:val="5C9D18AC"/>
    <w:rsid w:val="5CAA710C"/>
    <w:rsid w:val="5CD92E5B"/>
    <w:rsid w:val="5CDA8C8E"/>
    <w:rsid w:val="5CDA9F12"/>
    <w:rsid w:val="5CDC3060"/>
    <w:rsid w:val="5CE1D936"/>
    <w:rsid w:val="5CE23862"/>
    <w:rsid w:val="5CEC2A61"/>
    <w:rsid w:val="5CF1D490"/>
    <w:rsid w:val="5CF6475A"/>
    <w:rsid w:val="5CF8924E"/>
    <w:rsid w:val="5D1550F5"/>
    <w:rsid w:val="5D1FF6F7"/>
    <w:rsid w:val="5D254D88"/>
    <w:rsid w:val="5D3434F7"/>
    <w:rsid w:val="5D35B0C6"/>
    <w:rsid w:val="5D3911BD"/>
    <w:rsid w:val="5D4073D5"/>
    <w:rsid w:val="5D56C74A"/>
    <w:rsid w:val="5D709AE6"/>
    <w:rsid w:val="5D73FCA8"/>
    <w:rsid w:val="5D7BD889"/>
    <w:rsid w:val="5D80F90C"/>
    <w:rsid w:val="5D8F1911"/>
    <w:rsid w:val="5D914116"/>
    <w:rsid w:val="5DA04F58"/>
    <w:rsid w:val="5DB0D37C"/>
    <w:rsid w:val="5DB3AA56"/>
    <w:rsid w:val="5DCE612C"/>
    <w:rsid w:val="5DD1DD0C"/>
    <w:rsid w:val="5DD6C2D7"/>
    <w:rsid w:val="5DDD9749"/>
    <w:rsid w:val="5DE2A22B"/>
    <w:rsid w:val="5DE96288"/>
    <w:rsid w:val="5DF39F4F"/>
    <w:rsid w:val="5E1838A9"/>
    <w:rsid w:val="5E1C6704"/>
    <w:rsid w:val="5E266A2A"/>
    <w:rsid w:val="5E320B48"/>
    <w:rsid w:val="5E408B07"/>
    <w:rsid w:val="5E47C2F6"/>
    <w:rsid w:val="5E524D83"/>
    <w:rsid w:val="5E5E9B68"/>
    <w:rsid w:val="5E604D60"/>
    <w:rsid w:val="5E64B3C9"/>
    <w:rsid w:val="5E6AF3E5"/>
    <w:rsid w:val="5EBCCB25"/>
    <w:rsid w:val="5EC82DC3"/>
    <w:rsid w:val="5EC96F63"/>
    <w:rsid w:val="5ED28E48"/>
    <w:rsid w:val="5EE6A84C"/>
    <w:rsid w:val="5EEA01AC"/>
    <w:rsid w:val="5EFF6691"/>
    <w:rsid w:val="5F12D888"/>
    <w:rsid w:val="5F1CD9E1"/>
    <w:rsid w:val="5F1DED6E"/>
    <w:rsid w:val="5F357ABF"/>
    <w:rsid w:val="5F36F921"/>
    <w:rsid w:val="5F4AE1FA"/>
    <w:rsid w:val="5F60E7E7"/>
    <w:rsid w:val="5F6C4394"/>
    <w:rsid w:val="5F6C58A4"/>
    <w:rsid w:val="5F76A669"/>
    <w:rsid w:val="5F7F8580"/>
    <w:rsid w:val="5F9E934C"/>
    <w:rsid w:val="5FA0C370"/>
    <w:rsid w:val="5FA1F3C3"/>
    <w:rsid w:val="5FAFB71B"/>
    <w:rsid w:val="5FB4620C"/>
    <w:rsid w:val="5FC3A349"/>
    <w:rsid w:val="5FC741CA"/>
    <w:rsid w:val="5FC80B60"/>
    <w:rsid w:val="5FD4BB45"/>
    <w:rsid w:val="5FDBAB35"/>
    <w:rsid w:val="5FE0B4DF"/>
    <w:rsid w:val="5FE6515F"/>
    <w:rsid w:val="5FE65E9E"/>
    <w:rsid w:val="5FE723E3"/>
    <w:rsid w:val="5FF43E58"/>
    <w:rsid w:val="5FF58669"/>
    <w:rsid w:val="600FA67C"/>
    <w:rsid w:val="60162981"/>
    <w:rsid w:val="602907AC"/>
    <w:rsid w:val="60340C37"/>
    <w:rsid w:val="6041CA51"/>
    <w:rsid w:val="60453BD4"/>
    <w:rsid w:val="604C31A4"/>
    <w:rsid w:val="6051780B"/>
    <w:rsid w:val="606BEF6F"/>
    <w:rsid w:val="6088EED4"/>
    <w:rsid w:val="60A29861"/>
    <w:rsid w:val="60B42675"/>
    <w:rsid w:val="60B4C210"/>
    <w:rsid w:val="60BF2128"/>
    <w:rsid w:val="60CFF7B9"/>
    <w:rsid w:val="60D2A29F"/>
    <w:rsid w:val="60E8ABAC"/>
    <w:rsid w:val="60F6EFC8"/>
    <w:rsid w:val="6101E6C2"/>
    <w:rsid w:val="610239FF"/>
    <w:rsid w:val="61184E7F"/>
    <w:rsid w:val="611D2A8E"/>
    <w:rsid w:val="61285A70"/>
    <w:rsid w:val="615EFDAA"/>
    <w:rsid w:val="616F94FF"/>
    <w:rsid w:val="617593D9"/>
    <w:rsid w:val="618F1A4B"/>
    <w:rsid w:val="61C92BF9"/>
    <w:rsid w:val="61D40B2B"/>
    <w:rsid w:val="61DA13FA"/>
    <w:rsid w:val="61ECC2F9"/>
    <w:rsid w:val="61EF0EE3"/>
    <w:rsid w:val="61F38861"/>
    <w:rsid w:val="61F3E7FA"/>
    <w:rsid w:val="61FE039D"/>
    <w:rsid w:val="62057012"/>
    <w:rsid w:val="620723E3"/>
    <w:rsid w:val="6208763A"/>
    <w:rsid w:val="620AB23A"/>
    <w:rsid w:val="620F7853"/>
    <w:rsid w:val="62114248"/>
    <w:rsid w:val="62125298"/>
    <w:rsid w:val="6231B4F9"/>
    <w:rsid w:val="6232B787"/>
    <w:rsid w:val="6243FE1A"/>
    <w:rsid w:val="6247647F"/>
    <w:rsid w:val="6265BA9D"/>
    <w:rsid w:val="6278A571"/>
    <w:rsid w:val="627EA89C"/>
    <w:rsid w:val="62A92061"/>
    <w:rsid w:val="62C5BF9E"/>
    <w:rsid w:val="62D46F92"/>
    <w:rsid w:val="62D5047F"/>
    <w:rsid w:val="62D6E48F"/>
    <w:rsid w:val="62DE7E54"/>
    <w:rsid w:val="62E59D03"/>
    <w:rsid w:val="62EE383E"/>
    <w:rsid w:val="62FB3102"/>
    <w:rsid w:val="62FD36BA"/>
    <w:rsid w:val="6309AFAC"/>
    <w:rsid w:val="630F9ADF"/>
    <w:rsid w:val="633C8492"/>
    <w:rsid w:val="63457A60"/>
    <w:rsid w:val="6348828E"/>
    <w:rsid w:val="63492A36"/>
    <w:rsid w:val="6368C1C3"/>
    <w:rsid w:val="636BA689"/>
    <w:rsid w:val="63733971"/>
    <w:rsid w:val="63740128"/>
    <w:rsid w:val="639CD928"/>
    <w:rsid w:val="63A06B30"/>
    <w:rsid w:val="63B406D1"/>
    <w:rsid w:val="63D34BC5"/>
    <w:rsid w:val="63DD352B"/>
    <w:rsid w:val="63DE6A94"/>
    <w:rsid w:val="63E43B89"/>
    <w:rsid w:val="63ED0513"/>
    <w:rsid w:val="63F0AB5D"/>
    <w:rsid w:val="63FB0020"/>
    <w:rsid w:val="640C64E1"/>
    <w:rsid w:val="6428F7E8"/>
    <w:rsid w:val="642E6D1D"/>
    <w:rsid w:val="6432909C"/>
    <w:rsid w:val="645136D3"/>
    <w:rsid w:val="645B0C36"/>
    <w:rsid w:val="645FD1C1"/>
    <w:rsid w:val="647E5038"/>
    <w:rsid w:val="649423C5"/>
    <w:rsid w:val="6499A04C"/>
    <w:rsid w:val="6499E07C"/>
    <w:rsid w:val="649B169D"/>
    <w:rsid w:val="64A15A0C"/>
    <w:rsid w:val="64BC58C8"/>
    <w:rsid w:val="64BDC51F"/>
    <w:rsid w:val="64C4C58E"/>
    <w:rsid w:val="64CA22CC"/>
    <w:rsid w:val="64DFD777"/>
    <w:rsid w:val="64F0B0A9"/>
    <w:rsid w:val="650E3015"/>
    <w:rsid w:val="652477DF"/>
    <w:rsid w:val="65306100"/>
    <w:rsid w:val="6546E1A3"/>
    <w:rsid w:val="65527D13"/>
    <w:rsid w:val="656668CF"/>
    <w:rsid w:val="65721CAA"/>
    <w:rsid w:val="65AC85AC"/>
    <w:rsid w:val="65CBEF8A"/>
    <w:rsid w:val="65DA7522"/>
    <w:rsid w:val="65E1954F"/>
    <w:rsid w:val="65E63611"/>
    <w:rsid w:val="65E8D032"/>
    <w:rsid w:val="65F196C5"/>
    <w:rsid w:val="65F2E050"/>
    <w:rsid w:val="65F4DD35"/>
    <w:rsid w:val="65F64004"/>
    <w:rsid w:val="65F741E0"/>
    <w:rsid w:val="65FF8315"/>
    <w:rsid w:val="6600AE98"/>
    <w:rsid w:val="6601FBD4"/>
    <w:rsid w:val="6615D092"/>
    <w:rsid w:val="661C753A"/>
    <w:rsid w:val="66610528"/>
    <w:rsid w:val="66620D3E"/>
    <w:rsid w:val="666E5F89"/>
    <w:rsid w:val="669100F9"/>
    <w:rsid w:val="669545D3"/>
    <w:rsid w:val="6696DFE3"/>
    <w:rsid w:val="6697ADB5"/>
    <w:rsid w:val="669D5FD0"/>
    <w:rsid w:val="66A42A5F"/>
    <w:rsid w:val="66A66F8E"/>
    <w:rsid w:val="66B8B417"/>
    <w:rsid w:val="66C094EC"/>
    <w:rsid w:val="66C51921"/>
    <w:rsid w:val="66D92C66"/>
    <w:rsid w:val="66DB265C"/>
    <w:rsid w:val="66F72DF7"/>
    <w:rsid w:val="66FA9468"/>
    <w:rsid w:val="670CC389"/>
    <w:rsid w:val="670FF367"/>
    <w:rsid w:val="673BA4C7"/>
    <w:rsid w:val="674258E3"/>
    <w:rsid w:val="674E0C6B"/>
    <w:rsid w:val="674E2025"/>
    <w:rsid w:val="6751CCFF"/>
    <w:rsid w:val="67566081"/>
    <w:rsid w:val="676353F6"/>
    <w:rsid w:val="676439BD"/>
    <w:rsid w:val="678D84F9"/>
    <w:rsid w:val="6798A955"/>
    <w:rsid w:val="67A7728C"/>
    <w:rsid w:val="67AABDA2"/>
    <w:rsid w:val="67AB3BE1"/>
    <w:rsid w:val="67AE1AE9"/>
    <w:rsid w:val="67B0917D"/>
    <w:rsid w:val="67B2C9C8"/>
    <w:rsid w:val="67B7274D"/>
    <w:rsid w:val="67DC3A28"/>
    <w:rsid w:val="67E7117F"/>
    <w:rsid w:val="67EDAEC0"/>
    <w:rsid w:val="67F3CF2B"/>
    <w:rsid w:val="681F1BE5"/>
    <w:rsid w:val="6826F4DB"/>
    <w:rsid w:val="68288A3A"/>
    <w:rsid w:val="683538CD"/>
    <w:rsid w:val="683D1851"/>
    <w:rsid w:val="684D5B84"/>
    <w:rsid w:val="68505A0F"/>
    <w:rsid w:val="685A0D05"/>
    <w:rsid w:val="685FC3CA"/>
    <w:rsid w:val="687BC955"/>
    <w:rsid w:val="688362EF"/>
    <w:rsid w:val="688AA249"/>
    <w:rsid w:val="6891B9E2"/>
    <w:rsid w:val="68939C82"/>
    <w:rsid w:val="689EA030"/>
    <w:rsid w:val="68A31228"/>
    <w:rsid w:val="68A4FD2D"/>
    <w:rsid w:val="68A90867"/>
    <w:rsid w:val="68BF602B"/>
    <w:rsid w:val="68D0005C"/>
    <w:rsid w:val="68E6AC08"/>
    <w:rsid w:val="68E9CD35"/>
    <w:rsid w:val="691D9E16"/>
    <w:rsid w:val="69396C22"/>
    <w:rsid w:val="69484DCA"/>
    <w:rsid w:val="694BC028"/>
    <w:rsid w:val="6967E5CA"/>
    <w:rsid w:val="696DFEDB"/>
    <w:rsid w:val="6977EBDB"/>
    <w:rsid w:val="697CC6EE"/>
    <w:rsid w:val="69810BE3"/>
    <w:rsid w:val="6982E73E"/>
    <w:rsid w:val="699B614A"/>
    <w:rsid w:val="69A132DE"/>
    <w:rsid w:val="69A65BC5"/>
    <w:rsid w:val="69AF0EA5"/>
    <w:rsid w:val="69B83AC4"/>
    <w:rsid w:val="69C1F8B5"/>
    <w:rsid w:val="69C945B1"/>
    <w:rsid w:val="69CACAA5"/>
    <w:rsid w:val="69ECBD60"/>
    <w:rsid w:val="69F57CC9"/>
    <w:rsid w:val="6A24B869"/>
    <w:rsid w:val="6A31C1A0"/>
    <w:rsid w:val="6A363BA7"/>
    <w:rsid w:val="6A4883F2"/>
    <w:rsid w:val="6A4B5AE6"/>
    <w:rsid w:val="6A66207B"/>
    <w:rsid w:val="6A75D2AF"/>
    <w:rsid w:val="6A7710F3"/>
    <w:rsid w:val="6A81E1C8"/>
    <w:rsid w:val="6A83AACA"/>
    <w:rsid w:val="6A9068E2"/>
    <w:rsid w:val="6AA57C38"/>
    <w:rsid w:val="6AA60498"/>
    <w:rsid w:val="6AA79EFB"/>
    <w:rsid w:val="6AA92947"/>
    <w:rsid w:val="6AAAC84F"/>
    <w:rsid w:val="6ABC5A33"/>
    <w:rsid w:val="6ABCB2CB"/>
    <w:rsid w:val="6AC4C7D2"/>
    <w:rsid w:val="6ACA4A93"/>
    <w:rsid w:val="6ACE97FC"/>
    <w:rsid w:val="6ACF95A9"/>
    <w:rsid w:val="6ADAC81E"/>
    <w:rsid w:val="6ADDDF41"/>
    <w:rsid w:val="6AE5D7D3"/>
    <w:rsid w:val="6AE89BB4"/>
    <w:rsid w:val="6AEA7B9F"/>
    <w:rsid w:val="6AEDFA00"/>
    <w:rsid w:val="6AF6E98A"/>
    <w:rsid w:val="6B0C5C9A"/>
    <w:rsid w:val="6B1371C9"/>
    <w:rsid w:val="6B15C57F"/>
    <w:rsid w:val="6B1D970D"/>
    <w:rsid w:val="6B270389"/>
    <w:rsid w:val="6B2AA4DC"/>
    <w:rsid w:val="6B428D2F"/>
    <w:rsid w:val="6B4B3B71"/>
    <w:rsid w:val="6B6B8AFD"/>
    <w:rsid w:val="6B85C6F3"/>
    <w:rsid w:val="6B88F7D6"/>
    <w:rsid w:val="6B8AA163"/>
    <w:rsid w:val="6B936EDA"/>
    <w:rsid w:val="6B95C297"/>
    <w:rsid w:val="6BA9C688"/>
    <w:rsid w:val="6BAA8731"/>
    <w:rsid w:val="6BAE9FBC"/>
    <w:rsid w:val="6BBA035E"/>
    <w:rsid w:val="6BBB3F8A"/>
    <w:rsid w:val="6BBE10AD"/>
    <w:rsid w:val="6BC1761B"/>
    <w:rsid w:val="6BC404FA"/>
    <w:rsid w:val="6BCB3C31"/>
    <w:rsid w:val="6BD23CC2"/>
    <w:rsid w:val="6BE428D0"/>
    <w:rsid w:val="6BF1F664"/>
    <w:rsid w:val="6BFBA805"/>
    <w:rsid w:val="6C1576B6"/>
    <w:rsid w:val="6C164031"/>
    <w:rsid w:val="6C1A00A6"/>
    <w:rsid w:val="6C227DD2"/>
    <w:rsid w:val="6C269733"/>
    <w:rsid w:val="6C316DF4"/>
    <w:rsid w:val="6C370A71"/>
    <w:rsid w:val="6C475B37"/>
    <w:rsid w:val="6C4F3126"/>
    <w:rsid w:val="6C57BD5C"/>
    <w:rsid w:val="6C63F498"/>
    <w:rsid w:val="6C6B0E0F"/>
    <w:rsid w:val="6C89FFC9"/>
    <w:rsid w:val="6C959BE4"/>
    <w:rsid w:val="6CC30E77"/>
    <w:rsid w:val="6CC894E8"/>
    <w:rsid w:val="6CCC7B92"/>
    <w:rsid w:val="6CF736A1"/>
    <w:rsid w:val="6CF75CC6"/>
    <w:rsid w:val="6CF899CC"/>
    <w:rsid w:val="6CFFC250"/>
    <w:rsid w:val="6D021497"/>
    <w:rsid w:val="6D092CD5"/>
    <w:rsid w:val="6D13DF67"/>
    <w:rsid w:val="6D1B1051"/>
    <w:rsid w:val="6D1C6184"/>
    <w:rsid w:val="6D224C0F"/>
    <w:rsid w:val="6D24E2A1"/>
    <w:rsid w:val="6D25A75B"/>
    <w:rsid w:val="6D2F89C4"/>
    <w:rsid w:val="6D3635DF"/>
    <w:rsid w:val="6D3DF070"/>
    <w:rsid w:val="6D4ECE92"/>
    <w:rsid w:val="6D57A1F0"/>
    <w:rsid w:val="6D6CC075"/>
    <w:rsid w:val="6D6D73A1"/>
    <w:rsid w:val="6D83E453"/>
    <w:rsid w:val="6DB18B57"/>
    <w:rsid w:val="6DD0CCC5"/>
    <w:rsid w:val="6DD7503D"/>
    <w:rsid w:val="6DD9EE2A"/>
    <w:rsid w:val="6DE0D293"/>
    <w:rsid w:val="6DEFFD60"/>
    <w:rsid w:val="6DF12B48"/>
    <w:rsid w:val="6DF70D89"/>
    <w:rsid w:val="6E03D229"/>
    <w:rsid w:val="6E17AE3A"/>
    <w:rsid w:val="6E339D3A"/>
    <w:rsid w:val="6E33F58B"/>
    <w:rsid w:val="6E368D6F"/>
    <w:rsid w:val="6E3FD26B"/>
    <w:rsid w:val="6E5C0816"/>
    <w:rsid w:val="6E61235A"/>
    <w:rsid w:val="6E677A73"/>
    <w:rsid w:val="6E72A9E2"/>
    <w:rsid w:val="6E7D6C8C"/>
    <w:rsid w:val="6E89D753"/>
    <w:rsid w:val="6E8E3A4E"/>
    <w:rsid w:val="6E9C6EFD"/>
    <w:rsid w:val="6EA0B4BD"/>
    <w:rsid w:val="6EB04F8D"/>
    <w:rsid w:val="6EB58239"/>
    <w:rsid w:val="6ED3B582"/>
    <w:rsid w:val="6ED4D978"/>
    <w:rsid w:val="6ED882B2"/>
    <w:rsid w:val="6EE5B6C6"/>
    <w:rsid w:val="6EF3B796"/>
    <w:rsid w:val="6EF5B16F"/>
    <w:rsid w:val="6EF9C76A"/>
    <w:rsid w:val="6F022BB1"/>
    <w:rsid w:val="6F028B3B"/>
    <w:rsid w:val="6F17C020"/>
    <w:rsid w:val="6F20172C"/>
    <w:rsid w:val="6F204454"/>
    <w:rsid w:val="6F20CA2D"/>
    <w:rsid w:val="6F2A725D"/>
    <w:rsid w:val="6F4B7F94"/>
    <w:rsid w:val="6F558352"/>
    <w:rsid w:val="6F63C054"/>
    <w:rsid w:val="6F64833C"/>
    <w:rsid w:val="6F78534F"/>
    <w:rsid w:val="6F7A5E29"/>
    <w:rsid w:val="6F82A301"/>
    <w:rsid w:val="6F9FA8A7"/>
    <w:rsid w:val="6FB21695"/>
    <w:rsid w:val="6FB3551A"/>
    <w:rsid w:val="6FC188FA"/>
    <w:rsid w:val="6FD11EEE"/>
    <w:rsid w:val="6FD27ABF"/>
    <w:rsid w:val="6FD8F460"/>
    <w:rsid w:val="6FE9AFF6"/>
    <w:rsid w:val="6FFED012"/>
    <w:rsid w:val="70006235"/>
    <w:rsid w:val="7008FBA9"/>
    <w:rsid w:val="70103808"/>
    <w:rsid w:val="7010FE88"/>
    <w:rsid w:val="701A5F95"/>
    <w:rsid w:val="702164CE"/>
    <w:rsid w:val="70326D54"/>
    <w:rsid w:val="70341102"/>
    <w:rsid w:val="703F0C3C"/>
    <w:rsid w:val="7048339B"/>
    <w:rsid w:val="7060C30E"/>
    <w:rsid w:val="7065C217"/>
    <w:rsid w:val="706A1C94"/>
    <w:rsid w:val="707A0FB8"/>
    <w:rsid w:val="707AAE1E"/>
    <w:rsid w:val="707D985E"/>
    <w:rsid w:val="707FF80B"/>
    <w:rsid w:val="70884155"/>
    <w:rsid w:val="708C9D54"/>
    <w:rsid w:val="70932204"/>
    <w:rsid w:val="709369FA"/>
    <w:rsid w:val="70A1DDFF"/>
    <w:rsid w:val="70BCEDDF"/>
    <w:rsid w:val="70C259C9"/>
    <w:rsid w:val="70CC4960"/>
    <w:rsid w:val="70D5728C"/>
    <w:rsid w:val="70E56C6A"/>
    <w:rsid w:val="70E57543"/>
    <w:rsid w:val="70F7F23E"/>
    <w:rsid w:val="70FE84BB"/>
    <w:rsid w:val="71148FFC"/>
    <w:rsid w:val="7114A22A"/>
    <w:rsid w:val="7155241A"/>
    <w:rsid w:val="71723678"/>
    <w:rsid w:val="717376BB"/>
    <w:rsid w:val="7188F68A"/>
    <w:rsid w:val="71A32443"/>
    <w:rsid w:val="71AF3060"/>
    <w:rsid w:val="71B2ED21"/>
    <w:rsid w:val="71C1F253"/>
    <w:rsid w:val="71D74E27"/>
    <w:rsid w:val="71EC2982"/>
    <w:rsid w:val="720690A4"/>
    <w:rsid w:val="72247016"/>
    <w:rsid w:val="722E9AF7"/>
    <w:rsid w:val="72390D68"/>
    <w:rsid w:val="724B121C"/>
    <w:rsid w:val="724BA3B7"/>
    <w:rsid w:val="725442AB"/>
    <w:rsid w:val="7261D43C"/>
    <w:rsid w:val="726A2EE5"/>
    <w:rsid w:val="726A3FB8"/>
    <w:rsid w:val="7271CFED"/>
    <w:rsid w:val="7272C92E"/>
    <w:rsid w:val="7279C54E"/>
    <w:rsid w:val="7281B000"/>
    <w:rsid w:val="72858C0D"/>
    <w:rsid w:val="72883EE6"/>
    <w:rsid w:val="728EE653"/>
    <w:rsid w:val="72B56A43"/>
    <w:rsid w:val="72CA64D3"/>
    <w:rsid w:val="72CE5BEF"/>
    <w:rsid w:val="72DB69BA"/>
    <w:rsid w:val="72DE3242"/>
    <w:rsid w:val="72EA2231"/>
    <w:rsid w:val="72EB74C8"/>
    <w:rsid w:val="72FC4604"/>
    <w:rsid w:val="730524AA"/>
    <w:rsid w:val="73135E2E"/>
    <w:rsid w:val="7317B41A"/>
    <w:rsid w:val="731F3718"/>
    <w:rsid w:val="731F55EA"/>
    <w:rsid w:val="7328D93F"/>
    <w:rsid w:val="7349D6BA"/>
    <w:rsid w:val="738132CC"/>
    <w:rsid w:val="738471C5"/>
    <w:rsid w:val="738501D6"/>
    <w:rsid w:val="738BB81C"/>
    <w:rsid w:val="738F8967"/>
    <w:rsid w:val="73B10D08"/>
    <w:rsid w:val="73BFF4AC"/>
    <w:rsid w:val="73D43AD9"/>
    <w:rsid w:val="73E4A85F"/>
    <w:rsid w:val="73E508F9"/>
    <w:rsid w:val="73EFBD17"/>
    <w:rsid w:val="73FC2363"/>
    <w:rsid w:val="7407D72C"/>
    <w:rsid w:val="740E5AF1"/>
    <w:rsid w:val="741EDC23"/>
    <w:rsid w:val="741FECF8"/>
    <w:rsid w:val="743C1527"/>
    <w:rsid w:val="74529A42"/>
    <w:rsid w:val="7467D164"/>
    <w:rsid w:val="7474F080"/>
    <w:rsid w:val="7478366C"/>
    <w:rsid w:val="7484D925"/>
    <w:rsid w:val="748BB6AF"/>
    <w:rsid w:val="74B598D9"/>
    <w:rsid w:val="74B98514"/>
    <w:rsid w:val="74BAD0D8"/>
    <w:rsid w:val="74C78BBC"/>
    <w:rsid w:val="74DB3C74"/>
    <w:rsid w:val="74E97D3B"/>
    <w:rsid w:val="74EA67C1"/>
    <w:rsid w:val="74EEE371"/>
    <w:rsid w:val="74F012E8"/>
    <w:rsid w:val="74FA9688"/>
    <w:rsid w:val="750BB081"/>
    <w:rsid w:val="750E95AE"/>
    <w:rsid w:val="75212AF4"/>
    <w:rsid w:val="752644FC"/>
    <w:rsid w:val="753C4CE2"/>
    <w:rsid w:val="75497762"/>
    <w:rsid w:val="7556BB00"/>
    <w:rsid w:val="7559CEDE"/>
    <w:rsid w:val="755F56FF"/>
    <w:rsid w:val="756DFAFD"/>
    <w:rsid w:val="757267C6"/>
    <w:rsid w:val="757C5F3E"/>
    <w:rsid w:val="757E8961"/>
    <w:rsid w:val="758947E9"/>
    <w:rsid w:val="758C32A8"/>
    <w:rsid w:val="759BDBEB"/>
    <w:rsid w:val="75A17521"/>
    <w:rsid w:val="75A18DFE"/>
    <w:rsid w:val="75C7C4DE"/>
    <w:rsid w:val="75CA7AAD"/>
    <w:rsid w:val="75D0CEB4"/>
    <w:rsid w:val="75D439A0"/>
    <w:rsid w:val="75F8D13B"/>
    <w:rsid w:val="76015334"/>
    <w:rsid w:val="761D3CA0"/>
    <w:rsid w:val="761F3634"/>
    <w:rsid w:val="7633A4AC"/>
    <w:rsid w:val="76438307"/>
    <w:rsid w:val="764A72B0"/>
    <w:rsid w:val="764F8D5F"/>
    <w:rsid w:val="765F5AF2"/>
    <w:rsid w:val="7664BF49"/>
    <w:rsid w:val="76657513"/>
    <w:rsid w:val="76787898"/>
    <w:rsid w:val="767B267F"/>
    <w:rsid w:val="768C032A"/>
    <w:rsid w:val="769287DC"/>
    <w:rsid w:val="76977129"/>
    <w:rsid w:val="76AE3FAE"/>
    <w:rsid w:val="76BD699C"/>
    <w:rsid w:val="76BF2DEB"/>
    <w:rsid w:val="76C5DECF"/>
    <w:rsid w:val="76C9573F"/>
    <w:rsid w:val="76D78E63"/>
    <w:rsid w:val="76E1C8D5"/>
    <w:rsid w:val="76EFEBFF"/>
    <w:rsid w:val="7704E8FF"/>
    <w:rsid w:val="771BAF8E"/>
    <w:rsid w:val="7720001D"/>
    <w:rsid w:val="7721668B"/>
    <w:rsid w:val="7725EF4D"/>
    <w:rsid w:val="774EA6AD"/>
    <w:rsid w:val="77542E79"/>
    <w:rsid w:val="7758430B"/>
    <w:rsid w:val="775F0BD7"/>
    <w:rsid w:val="776508C3"/>
    <w:rsid w:val="776D6300"/>
    <w:rsid w:val="77720B38"/>
    <w:rsid w:val="779C77E1"/>
    <w:rsid w:val="77A1FCB4"/>
    <w:rsid w:val="77B0E626"/>
    <w:rsid w:val="77B94C6D"/>
    <w:rsid w:val="77C0040F"/>
    <w:rsid w:val="77CA3AE2"/>
    <w:rsid w:val="77CA5CB9"/>
    <w:rsid w:val="77CCEAF1"/>
    <w:rsid w:val="77E369A5"/>
    <w:rsid w:val="77E7E547"/>
    <w:rsid w:val="77E89755"/>
    <w:rsid w:val="77E8B762"/>
    <w:rsid w:val="77E9CCB1"/>
    <w:rsid w:val="77FE1971"/>
    <w:rsid w:val="78056EAE"/>
    <w:rsid w:val="78146F24"/>
    <w:rsid w:val="7818B960"/>
    <w:rsid w:val="78226231"/>
    <w:rsid w:val="7837590C"/>
    <w:rsid w:val="78691323"/>
    <w:rsid w:val="786D04A2"/>
    <w:rsid w:val="78723DE9"/>
    <w:rsid w:val="78725C4D"/>
    <w:rsid w:val="7872AA57"/>
    <w:rsid w:val="788D56E6"/>
    <w:rsid w:val="788DF71E"/>
    <w:rsid w:val="78919804"/>
    <w:rsid w:val="78E6ACA5"/>
    <w:rsid w:val="78F2853D"/>
    <w:rsid w:val="78FB8677"/>
    <w:rsid w:val="79026E0B"/>
    <w:rsid w:val="79066BF4"/>
    <w:rsid w:val="79086706"/>
    <w:rsid w:val="79212621"/>
    <w:rsid w:val="7928491A"/>
    <w:rsid w:val="793A60F9"/>
    <w:rsid w:val="794E95D0"/>
    <w:rsid w:val="795A128D"/>
    <w:rsid w:val="795A78E3"/>
    <w:rsid w:val="7965FF5E"/>
    <w:rsid w:val="7969D7DF"/>
    <w:rsid w:val="796C0509"/>
    <w:rsid w:val="7989F4FD"/>
    <w:rsid w:val="79A80CB2"/>
    <w:rsid w:val="79AA1ACA"/>
    <w:rsid w:val="79B0D418"/>
    <w:rsid w:val="79D02B70"/>
    <w:rsid w:val="79D28B10"/>
    <w:rsid w:val="79D69535"/>
    <w:rsid w:val="79E42D15"/>
    <w:rsid w:val="79EC55B6"/>
    <w:rsid w:val="7A132DE6"/>
    <w:rsid w:val="7A172F04"/>
    <w:rsid w:val="7A26A9B8"/>
    <w:rsid w:val="7A35B089"/>
    <w:rsid w:val="7A670A50"/>
    <w:rsid w:val="7A6CB909"/>
    <w:rsid w:val="7A724C5B"/>
    <w:rsid w:val="7A72CF29"/>
    <w:rsid w:val="7A75B35C"/>
    <w:rsid w:val="7A7E09CF"/>
    <w:rsid w:val="7A81214B"/>
    <w:rsid w:val="7A83D74D"/>
    <w:rsid w:val="7A94F974"/>
    <w:rsid w:val="7A9CADBC"/>
    <w:rsid w:val="7A9E9B61"/>
    <w:rsid w:val="7AAD8A0B"/>
    <w:rsid w:val="7AC7DC85"/>
    <w:rsid w:val="7AD6A884"/>
    <w:rsid w:val="7ADE370D"/>
    <w:rsid w:val="7AE4FFF6"/>
    <w:rsid w:val="7B2B7889"/>
    <w:rsid w:val="7B3946BF"/>
    <w:rsid w:val="7B485B05"/>
    <w:rsid w:val="7B5659CD"/>
    <w:rsid w:val="7B66C87D"/>
    <w:rsid w:val="7B76F901"/>
    <w:rsid w:val="7B81909A"/>
    <w:rsid w:val="7B8E2687"/>
    <w:rsid w:val="7B9206CB"/>
    <w:rsid w:val="7B98302B"/>
    <w:rsid w:val="7BB1835D"/>
    <w:rsid w:val="7BB1CAB3"/>
    <w:rsid w:val="7BBB53B0"/>
    <w:rsid w:val="7BBB68AA"/>
    <w:rsid w:val="7BBF0F68"/>
    <w:rsid w:val="7BCB47AB"/>
    <w:rsid w:val="7BCECA50"/>
    <w:rsid w:val="7BD343EE"/>
    <w:rsid w:val="7BD55C46"/>
    <w:rsid w:val="7BD8CC05"/>
    <w:rsid w:val="7BE4F763"/>
    <w:rsid w:val="7C037BCA"/>
    <w:rsid w:val="7C0EB327"/>
    <w:rsid w:val="7C1C5F8D"/>
    <w:rsid w:val="7C1D0B94"/>
    <w:rsid w:val="7C20368E"/>
    <w:rsid w:val="7C34DCD7"/>
    <w:rsid w:val="7C48F5D7"/>
    <w:rsid w:val="7C4A806C"/>
    <w:rsid w:val="7C4AC455"/>
    <w:rsid w:val="7C6B070E"/>
    <w:rsid w:val="7C760E86"/>
    <w:rsid w:val="7C97DCBB"/>
    <w:rsid w:val="7CA5A686"/>
    <w:rsid w:val="7CB8AD5E"/>
    <w:rsid w:val="7CBBA97A"/>
    <w:rsid w:val="7CBF0A9E"/>
    <w:rsid w:val="7CC7B7CB"/>
    <w:rsid w:val="7CD18D53"/>
    <w:rsid w:val="7CE25932"/>
    <w:rsid w:val="7CF7D72F"/>
    <w:rsid w:val="7CF8BE0A"/>
    <w:rsid w:val="7CF98844"/>
    <w:rsid w:val="7D10628D"/>
    <w:rsid w:val="7D10C6EE"/>
    <w:rsid w:val="7D154B44"/>
    <w:rsid w:val="7D156DD3"/>
    <w:rsid w:val="7D2D8B45"/>
    <w:rsid w:val="7D3F8DD9"/>
    <w:rsid w:val="7D550DB9"/>
    <w:rsid w:val="7D62DFFC"/>
    <w:rsid w:val="7D791B60"/>
    <w:rsid w:val="7D7D6FB0"/>
    <w:rsid w:val="7D7F62F1"/>
    <w:rsid w:val="7D8C0EB5"/>
    <w:rsid w:val="7D96CC04"/>
    <w:rsid w:val="7DAE8829"/>
    <w:rsid w:val="7DB985BB"/>
    <w:rsid w:val="7DE0AB93"/>
    <w:rsid w:val="7DEE5466"/>
    <w:rsid w:val="7DF17998"/>
    <w:rsid w:val="7DF2CA4E"/>
    <w:rsid w:val="7E01DCC9"/>
    <w:rsid w:val="7E038AA1"/>
    <w:rsid w:val="7E0D00EB"/>
    <w:rsid w:val="7E154F10"/>
    <w:rsid w:val="7E397081"/>
    <w:rsid w:val="7E3C3528"/>
    <w:rsid w:val="7E471B3E"/>
    <w:rsid w:val="7E581768"/>
    <w:rsid w:val="7E69AD4C"/>
    <w:rsid w:val="7E6D0810"/>
    <w:rsid w:val="7E736136"/>
    <w:rsid w:val="7E77D7F8"/>
    <w:rsid w:val="7E7885CB"/>
    <w:rsid w:val="7E84B2C7"/>
    <w:rsid w:val="7E8B681F"/>
    <w:rsid w:val="7E901078"/>
    <w:rsid w:val="7E978612"/>
    <w:rsid w:val="7E9B7B72"/>
    <w:rsid w:val="7EA18D20"/>
    <w:rsid w:val="7EA7E2EC"/>
    <w:rsid w:val="7EDC84D3"/>
    <w:rsid w:val="7EDCECAA"/>
    <w:rsid w:val="7EF9CCF2"/>
    <w:rsid w:val="7F0154AC"/>
    <w:rsid w:val="7F12CAA7"/>
    <w:rsid w:val="7F1503C1"/>
    <w:rsid w:val="7F27D31C"/>
    <w:rsid w:val="7F2D3374"/>
    <w:rsid w:val="7F2FD4D4"/>
    <w:rsid w:val="7F3FA70A"/>
    <w:rsid w:val="7F405116"/>
    <w:rsid w:val="7F47EE6C"/>
    <w:rsid w:val="7F4BF60F"/>
    <w:rsid w:val="7F502233"/>
    <w:rsid w:val="7F5373C0"/>
    <w:rsid w:val="7F54AA22"/>
    <w:rsid w:val="7F5DB40B"/>
    <w:rsid w:val="7F5E9428"/>
    <w:rsid w:val="7F61D8A7"/>
    <w:rsid w:val="7F630B8B"/>
    <w:rsid w:val="7F6B17E5"/>
    <w:rsid w:val="7F6BFB5E"/>
    <w:rsid w:val="7F7D30CC"/>
    <w:rsid w:val="7F833D68"/>
    <w:rsid w:val="7FB3E2A7"/>
    <w:rsid w:val="7FBE8673"/>
    <w:rsid w:val="7FC2B80E"/>
    <w:rsid w:val="7FD9E2DC"/>
    <w:rsid w:val="7FDACDB6"/>
    <w:rsid w:val="7FE3B36F"/>
    <w:rsid w:val="7FE631B6"/>
    <w:rsid w:val="7FED21D4"/>
    <w:rsid w:val="7FF17FE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9E3FD"/>
  <w14:discardImageEditingData/>
  <w14:defaultImageDpi w14:val="150"/>
  <w15:chartTrackingRefBased/>
  <w15:docId w15:val="{9F3F656B-9522-4C1F-9736-D5FE5679B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EE4"/>
    <w:rPr>
      <w:rFonts w:ascii="Arial" w:hAnsi="Arial"/>
      <w:color w:val="000000" w:themeColor="text1"/>
    </w:rPr>
  </w:style>
  <w:style w:type="paragraph" w:styleId="Heading1">
    <w:name w:val="heading 1"/>
    <w:basedOn w:val="Normal"/>
    <w:next w:val="Normal"/>
    <w:link w:val="Heading1Char"/>
    <w:uiPriority w:val="9"/>
    <w:qFormat/>
    <w:rsid w:val="00A2153C"/>
    <w:pPr>
      <w:keepNext/>
      <w:keepLines/>
      <w:spacing w:before="240" w:after="600"/>
      <w:outlineLvl w:val="0"/>
    </w:pPr>
    <w:rPr>
      <w:rFonts w:eastAsiaTheme="majorEastAsia" w:cstheme="majorBidi"/>
      <w:b/>
      <w:color w:val="441170" w:themeColor="text2"/>
      <w:sz w:val="56"/>
      <w:szCs w:val="32"/>
    </w:rPr>
  </w:style>
  <w:style w:type="paragraph" w:styleId="Heading2">
    <w:name w:val="heading 2"/>
    <w:basedOn w:val="Normal"/>
    <w:next w:val="Normal"/>
    <w:link w:val="Heading2Char"/>
    <w:uiPriority w:val="9"/>
    <w:unhideWhenUsed/>
    <w:qFormat/>
    <w:rsid w:val="00A2153C"/>
    <w:pPr>
      <w:keepNext/>
      <w:keepLines/>
      <w:spacing w:before="240" w:after="600" w:line="240" w:lineRule="auto"/>
      <w:outlineLvl w:val="1"/>
    </w:pPr>
    <w:rPr>
      <w:rFonts w:eastAsiaTheme="majorEastAsia" w:cstheme="majorBidi"/>
      <w:b/>
      <w:sz w:val="44"/>
      <w:szCs w:val="26"/>
    </w:rPr>
  </w:style>
  <w:style w:type="paragraph" w:styleId="Heading3">
    <w:name w:val="heading 3"/>
    <w:basedOn w:val="Normal"/>
    <w:next w:val="Normal"/>
    <w:link w:val="Heading3Char"/>
    <w:uiPriority w:val="1"/>
    <w:unhideWhenUsed/>
    <w:qFormat/>
    <w:rsid w:val="00F517EA"/>
    <w:pPr>
      <w:keepNext/>
      <w:keepLines/>
      <w:spacing w:before="360" w:after="240" w:line="240" w:lineRule="auto"/>
      <w:outlineLvl w:val="2"/>
    </w:pPr>
    <w:rPr>
      <w:rFonts w:eastAsiaTheme="majorEastAsia" w:cstheme="majorBidi"/>
      <w:b/>
      <w:sz w:val="32"/>
      <w:szCs w:val="24"/>
    </w:rPr>
  </w:style>
  <w:style w:type="paragraph" w:styleId="Heading4">
    <w:name w:val="heading 4"/>
    <w:basedOn w:val="Normal"/>
    <w:next w:val="Normal"/>
    <w:link w:val="Heading4Char"/>
    <w:uiPriority w:val="9"/>
    <w:unhideWhenUsed/>
    <w:qFormat/>
    <w:rsid w:val="00E0308D"/>
    <w:pPr>
      <w:outlineLvl w:val="3"/>
    </w:pPr>
    <w:rPr>
      <w:rFonts w:cs="Arial"/>
      <w:b/>
      <w:bCs/>
      <w:color w:val="005D5D" w:themeColor="accent2"/>
      <w:sz w:val="28"/>
    </w:rPr>
  </w:style>
  <w:style w:type="paragraph" w:styleId="Heading5">
    <w:name w:val="heading 5"/>
    <w:basedOn w:val="Normal"/>
    <w:next w:val="Normal"/>
    <w:link w:val="Heading5Char"/>
    <w:uiPriority w:val="9"/>
    <w:unhideWhenUsed/>
    <w:qFormat/>
    <w:rsid w:val="000404CE"/>
    <w:pPr>
      <w:outlineLvl w:val="4"/>
    </w:pPr>
    <w:rPr>
      <w:rFonts w:cs="Arial"/>
      <w:b/>
      <w:bCs/>
    </w:rPr>
  </w:style>
  <w:style w:type="paragraph" w:styleId="Heading6">
    <w:name w:val="heading 6"/>
    <w:basedOn w:val="Normal"/>
    <w:next w:val="Normal"/>
    <w:link w:val="Heading6Char"/>
    <w:uiPriority w:val="9"/>
    <w:unhideWhenUsed/>
    <w:qFormat/>
    <w:rsid w:val="00BA18F6"/>
    <w:pPr>
      <w:keepNext/>
      <w:keepLines/>
      <w:spacing w:before="40" w:after="0"/>
      <w:outlineLvl w:val="5"/>
    </w:pPr>
    <w:rPr>
      <w:rFonts w:asciiTheme="majorHAnsi" w:eastAsiaTheme="majorEastAsia" w:hAnsiTheme="majorHAnsi" w:cstheme="majorBidi"/>
      <w:color w:val="341461" w:themeColor="accent1" w:themeShade="7F"/>
    </w:rPr>
  </w:style>
  <w:style w:type="paragraph" w:styleId="Heading7">
    <w:name w:val="heading 7"/>
    <w:basedOn w:val="Normal"/>
    <w:next w:val="Normal"/>
    <w:link w:val="Heading7Char"/>
    <w:uiPriority w:val="9"/>
    <w:unhideWhenUsed/>
    <w:qFormat/>
    <w:rsid w:val="00BA18F6"/>
    <w:pPr>
      <w:keepNext/>
      <w:keepLines/>
      <w:spacing w:before="40" w:after="0"/>
      <w:outlineLvl w:val="6"/>
    </w:pPr>
    <w:rPr>
      <w:rFonts w:asciiTheme="majorHAnsi" w:eastAsiaTheme="majorEastAsia" w:hAnsiTheme="majorHAnsi" w:cstheme="majorBidi"/>
      <w:i/>
      <w:iCs/>
      <w:color w:val="341461" w:themeColor="accent1" w:themeShade="7F"/>
    </w:rPr>
  </w:style>
  <w:style w:type="paragraph" w:styleId="Heading8">
    <w:name w:val="heading 8"/>
    <w:basedOn w:val="Normal"/>
    <w:next w:val="Normal"/>
    <w:link w:val="Heading8Char"/>
    <w:uiPriority w:val="9"/>
    <w:semiHidden/>
    <w:unhideWhenUsed/>
    <w:rsid w:val="00BB12AD"/>
    <w:pPr>
      <w:keepNext/>
      <w:keepLines/>
      <w:spacing w:before="240" w:after="0" w:line="264"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B12AD"/>
    <w:pPr>
      <w:keepNext/>
      <w:keepLines/>
      <w:spacing w:before="240" w:after="0" w:line="264"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tandTablelabel">
    <w:name w:val="Chart and Table label"/>
    <w:basedOn w:val="Normal"/>
    <w:qFormat/>
    <w:rsid w:val="000404CE"/>
    <w:rPr>
      <w:b/>
      <w:sz w:val="20"/>
      <w:lang w:val="en-US"/>
    </w:rPr>
  </w:style>
  <w:style w:type="character" w:styleId="UnresolvedMention">
    <w:name w:val="Unresolved Mention"/>
    <w:basedOn w:val="DefaultParagraphFont"/>
    <w:uiPriority w:val="99"/>
    <w:semiHidden/>
    <w:unhideWhenUsed/>
    <w:rsid w:val="00E82EEB"/>
    <w:rPr>
      <w:color w:val="605E5C"/>
      <w:shd w:val="clear" w:color="auto" w:fill="E1DFDD"/>
    </w:rPr>
  </w:style>
  <w:style w:type="paragraph" w:styleId="Footer">
    <w:name w:val="footer"/>
    <w:basedOn w:val="Normal"/>
    <w:link w:val="FooterChar"/>
    <w:uiPriority w:val="99"/>
    <w:unhideWhenUsed/>
    <w:rsid w:val="00C40E20"/>
    <w:pPr>
      <w:tabs>
        <w:tab w:val="left" w:pos="4513"/>
        <w:tab w:val="right" w:pos="9026"/>
      </w:tabs>
      <w:spacing w:after="0" w:line="240" w:lineRule="auto"/>
      <w:jc w:val="right"/>
    </w:pPr>
    <w:rPr>
      <w:sz w:val="18"/>
    </w:rPr>
  </w:style>
  <w:style w:type="character" w:customStyle="1" w:styleId="FooterChar">
    <w:name w:val="Footer Char"/>
    <w:basedOn w:val="DefaultParagraphFont"/>
    <w:link w:val="Footer"/>
    <w:uiPriority w:val="99"/>
    <w:rsid w:val="00C40E20"/>
    <w:rPr>
      <w:rFonts w:ascii="Arial" w:hAnsi="Arial"/>
      <w:color w:val="000000" w:themeColor="text1"/>
      <w:sz w:val="18"/>
    </w:rPr>
  </w:style>
  <w:style w:type="paragraph" w:styleId="Title">
    <w:name w:val="Title"/>
    <w:basedOn w:val="Normal"/>
    <w:next w:val="Normal"/>
    <w:link w:val="TitleChar"/>
    <w:uiPriority w:val="1"/>
    <w:qFormat/>
    <w:rsid w:val="002950ED"/>
    <w:pPr>
      <w:spacing w:before="1080" w:after="240" w:line="276" w:lineRule="auto"/>
    </w:pPr>
    <w:rPr>
      <w:rFonts w:eastAsiaTheme="majorEastAsia" w:cstheme="majorBidi"/>
      <w:b/>
      <w:color w:val="441170" w:themeColor="text2"/>
      <w:spacing w:val="-10"/>
      <w:kern w:val="28"/>
      <w:sz w:val="72"/>
      <w:szCs w:val="56"/>
    </w:rPr>
  </w:style>
  <w:style w:type="character" w:customStyle="1" w:styleId="TitleChar">
    <w:name w:val="Title Char"/>
    <w:basedOn w:val="DefaultParagraphFont"/>
    <w:link w:val="Title"/>
    <w:uiPriority w:val="1"/>
    <w:rsid w:val="002950ED"/>
    <w:rPr>
      <w:rFonts w:ascii="Arial" w:eastAsiaTheme="majorEastAsia" w:hAnsi="Arial" w:cstheme="majorBidi"/>
      <w:b/>
      <w:color w:val="441170" w:themeColor="text2"/>
      <w:spacing w:val="-10"/>
      <w:kern w:val="28"/>
      <w:sz w:val="72"/>
      <w:szCs w:val="56"/>
    </w:rPr>
  </w:style>
  <w:style w:type="character" w:customStyle="1" w:styleId="Heading1Char">
    <w:name w:val="Heading 1 Char"/>
    <w:basedOn w:val="DefaultParagraphFont"/>
    <w:link w:val="Heading1"/>
    <w:uiPriority w:val="9"/>
    <w:rsid w:val="00A2153C"/>
    <w:rPr>
      <w:rFonts w:ascii="Arial" w:eastAsiaTheme="majorEastAsia" w:hAnsi="Arial" w:cstheme="majorBidi"/>
      <w:b/>
      <w:color w:val="441170" w:themeColor="text2"/>
      <w:sz w:val="56"/>
      <w:szCs w:val="32"/>
    </w:rPr>
  </w:style>
  <w:style w:type="paragraph" w:styleId="TOCHeading">
    <w:name w:val="TOC Heading"/>
    <w:basedOn w:val="Heading1"/>
    <w:next w:val="Normal"/>
    <w:uiPriority w:val="39"/>
    <w:unhideWhenUsed/>
    <w:qFormat/>
    <w:rsid w:val="007177A7"/>
    <w:pPr>
      <w:outlineLvl w:val="9"/>
    </w:pPr>
    <w:rPr>
      <w:lang w:val="en-US"/>
    </w:rPr>
  </w:style>
  <w:style w:type="paragraph" w:styleId="ListParagraph">
    <w:name w:val="List Paragraph"/>
    <w:aliases w:val="Recommendation,Bullet Point,Bulletr List Paragraph,FooterText,L,List Paragraph1,List Paragraph11,List Paragraph2,List Paragraph21,Listeafsnit1,NFP GP Bulleted List,Paragraphe de liste1,Parágrafo da Lista1,Párrafo de lista1,numbered,リスト段落1"/>
    <w:basedOn w:val="Normal"/>
    <w:link w:val="ListParagraphChar"/>
    <w:uiPriority w:val="34"/>
    <w:qFormat/>
    <w:rsid w:val="00583142"/>
    <w:pPr>
      <w:numPr>
        <w:numId w:val="5"/>
      </w:numPr>
      <w:tabs>
        <w:tab w:val="left" w:pos="357"/>
      </w:tabs>
      <w:spacing w:after="100" w:line="264" w:lineRule="auto"/>
      <w:contextualSpacing/>
    </w:pPr>
    <w:rPr>
      <w:i/>
      <w:iCs/>
      <w:color w:val="auto"/>
    </w:rPr>
  </w:style>
  <w:style w:type="table" w:styleId="TableGrid">
    <w:name w:val="Table Grid"/>
    <w:basedOn w:val="TableNormal"/>
    <w:uiPriority w:val="39"/>
    <w:rsid w:val="00F43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7DBD"/>
    <w:rPr>
      <w:sz w:val="16"/>
      <w:szCs w:val="16"/>
    </w:rPr>
  </w:style>
  <w:style w:type="paragraph" w:styleId="CommentText">
    <w:name w:val="annotation text"/>
    <w:basedOn w:val="Normal"/>
    <w:link w:val="CommentTextChar"/>
    <w:uiPriority w:val="99"/>
    <w:unhideWhenUsed/>
    <w:rsid w:val="007F7DBD"/>
    <w:pPr>
      <w:spacing w:line="240" w:lineRule="auto"/>
    </w:pPr>
    <w:rPr>
      <w:sz w:val="20"/>
      <w:szCs w:val="20"/>
    </w:rPr>
  </w:style>
  <w:style w:type="character" w:customStyle="1" w:styleId="CommentTextChar">
    <w:name w:val="Comment Text Char"/>
    <w:basedOn w:val="DefaultParagraphFont"/>
    <w:link w:val="CommentText"/>
    <w:uiPriority w:val="99"/>
    <w:rsid w:val="007F7DBD"/>
    <w:rPr>
      <w:sz w:val="20"/>
      <w:szCs w:val="20"/>
    </w:rPr>
  </w:style>
  <w:style w:type="paragraph" w:styleId="CommentSubject">
    <w:name w:val="annotation subject"/>
    <w:basedOn w:val="CommentText"/>
    <w:next w:val="CommentText"/>
    <w:link w:val="CommentSubjectChar"/>
    <w:uiPriority w:val="99"/>
    <w:semiHidden/>
    <w:unhideWhenUsed/>
    <w:rsid w:val="007F7DBD"/>
    <w:rPr>
      <w:b/>
      <w:bCs/>
    </w:rPr>
  </w:style>
  <w:style w:type="character" w:customStyle="1" w:styleId="CommentSubjectChar">
    <w:name w:val="Comment Subject Char"/>
    <w:basedOn w:val="CommentTextChar"/>
    <w:link w:val="CommentSubject"/>
    <w:uiPriority w:val="99"/>
    <w:semiHidden/>
    <w:rsid w:val="007F7DBD"/>
    <w:rPr>
      <w:b/>
      <w:bCs/>
      <w:sz w:val="20"/>
      <w:szCs w:val="20"/>
    </w:rPr>
  </w:style>
  <w:style w:type="paragraph" w:styleId="NoSpacing">
    <w:name w:val="No Spacing"/>
    <w:uiPriority w:val="1"/>
    <w:qFormat/>
    <w:rsid w:val="00A62216"/>
    <w:pPr>
      <w:spacing w:after="0" w:line="240" w:lineRule="auto"/>
    </w:pPr>
  </w:style>
  <w:style w:type="paragraph" w:customStyle="1" w:styleId="Bodycopy">
    <w:name w:val="Body copy"/>
    <w:basedOn w:val="Normal"/>
    <w:link w:val="BodycopyChar"/>
    <w:qFormat/>
    <w:rsid w:val="00873BE7"/>
  </w:style>
  <w:style w:type="table" w:styleId="PlainTable4">
    <w:name w:val="Plain Table 4"/>
    <w:basedOn w:val="TableNormal"/>
    <w:uiPriority w:val="44"/>
    <w:rsid w:val="006066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Bullet">
    <w:name w:val="List Bullet"/>
    <w:basedOn w:val="Normal"/>
    <w:qFormat/>
    <w:rsid w:val="004F4B0C"/>
    <w:pPr>
      <w:numPr>
        <w:numId w:val="1"/>
      </w:numPr>
      <w:spacing w:line="240" w:lineRule="atLeast"/>
    </w:pPr>
    <w:rPr>
      <w:rFonts w:eastAsia="SimSun" w:cs="Times New Roman"/>
      <w:spacing w:val="-1"/>
      <w:szCs w:val="20"/>
      <w:lang w:val="en-GB" w:eastAsia="en-GB"/>
    </w:rPr>
  </w:style>
  <w:style w:type="paragraph" w:customStyle="1" w:styleId="Tableheader">
    <w:name w:val="Table header"/>
    <w:basedOn w:val="Normal"/>
    <w:qFormat/>
    <w:rsid w:val="00F07C11"/>
    <w:pPr>
      <w:spacing w:before="120" w:after="120" w:line="240" w:lineRule="auto"/>
    </w:pPr>
    <w:rPr>
      <w:b/>
      <w:color w:val="FFFFFF" w:themeColor="background1"/>
      <w:sz w:val="20"/>
      <w:lang w:val="en-US"/>
    </w:rPr>
  </w:style>
  <w:style w:type="paragraph" w:customStyle="1" w:styleId="Tablebodycopy">
    <w:name w:val="Table body copy"/>
    <w:basedOn w:val="Normal"/>
    <w:qFormat/>
    <w:rsid w:val="009A5BC4"/>
    <w:pPr>
      <w:spacing w:before="120" w:after="120" w:line="240" w:lineRule="auto"/>
    </w:pPr>
    <w:rPr>
      <w:lang w:val="en-US"/>
    </w:rPr>
  </w:style>
  <w:style w:type="character" w:customStyle="1" w:styleId="Heading2Char">
    <w:name w:val="Heading 2 Char"/>
    <w:basedOn w:val="DefaultParagraphFont"/>
    <w:link w:val="Heading2"/>
    <w:uiPriority w:val="9"/>
    <w:rsid w:val="00A2153C"/>
    <w:rPr>
      <w:rFonts w:ascii="Arial" w:eastAsiaTheme="majorEastAsia" w:hAnsi="Arial" w:cstheme="majorBidi"/>
      <w:b/>
      <w:color w:val="000000" w:themeColor="text1"/>
      <w:sz w:val="44"/>
      <w:szCs w:val="26"/>
    </w:rPr>
  </w:style>
  <w:style w:type="paragraph" w:styleId="TOC1">
    <w:name w:val="toc 1"/>
    <w:basedOn w:val="Normal"/>
    <w:next w:val="Normal"/>
    <w:autoRedefine/>
    <w:uiPriority w:val="39"/>
    <w:unhideWhenUsed/>
    <w:rsid w:val="00830B24"/>
    <w:pPr>
      <w:tabs>
        <w:tab w:val="right" w:pos="9016"/>
      </w:tabs>
      <w:spacing w:before="240" w:after="120"/>
    </w:pPr>
    <w:rPr>
      <w:b/>
      <w:bCs/>
      <w:noProof/>
      <w:color w:val="auto"/>
      <w:sz w:val="28"/>
      <w:szCs w:val="28"/>
    </w:rPr>
  </w:style>
  <w:style w:type="character" w:customStyle="1" w:styleId="Heading3Char">
    <w:name w:val="Heading 3 Char"/>
    <w:basedOn w:val="DefaultParagraphFont"/>
    <w:link w:val="Heading3"/>
    <w:uiPriority w:val="9"/>
    <w:rsid w:val="00F517EA"/>
    <w:rPr>
      <w:rFonts w:ascii="Arial" w:eastAsiaTheme="majorEastAsia" w:hAnsi="Arial" w:cstheme="majorBidi"/>
      <w:b/>
      <w:color w:val="000000" w:themeColor="text1"/>
      <w:sz w:val="32"/>
      <w:szCs w:val="24"/>
    </w:rPr>
  </w:style>
  <w:style w:type="paragraph" w:styleId="TOC2">
    <w:name w:val="toc 2"/>
    <w:basedOn w:val="Normal"/>
    <w:next w:val="Normal"/>
    <w:autoRedefine/>
    <w:uiPriority w:val="39"/>
    <w:unhideWhenUsed/>
    <w:rsid w:val="00CC67F0"/>
    <w:pPr>
      <w:tabs>
        <w:tab w:val="right" w:leader="dot" w:pos="9016"/>
      </w:tabs>
      <w:spacing w:after="100"/>
      <w:ind w:left="220"/>
    </w:pPr>
    <w:rPr>
      <w:noProof/>
    </w:rPr>
  </w:style>
  <w:style w:type="paragraph" w:styleId="TOC4">
    <w:name w:val="toc 4"/>
    <w:basedOn w:val="Normal"/>
    <w:next w:val="Normal"/>
    <w:autoRedefine/>
    <w:uiPriority w:val="39"/>
    <w:unhideWhenUsed/>
    <w:rsid w:val="007B2AD6"/>
    <w:pPr>
      <w:tabs>
        <w:tab w:val="right" w:leader="dot" w:pos="9016"/>
      </w:tabs>
      <w:spacing w:after="100"/>
      <w:ind w:left="220"/>
    </w:pPr>
  </w:style>
  <w:style w:type="paragraph" w:styleId="TOC3">
    <w:name w:val="toc 3"/>
    <w:basedOn w:val="Normal"/>
    <w:next w:val="Normal"/>
    <w:autoRedefine/>
    <w:uiPriority w:val="39"/>
    <w:unhideWhenUsed/>
    <w:rsid w:val="00A87A5D"/>
    <w:pPr>
      <w:tabs>
        <w:tab w:val="right" w:leader="dot" w:pos="9016"/>
      </w:tabs>
      <w:spacing w:after="100"/>
      <w:ind w:left="220"/>
    </w:pPr>
  </w:style>
  <w:style w:type="paragraph" w:styleId="TOC5">
    <w:name w:val="toc 5"/>
    <w:basedOn w:val="Normal"/>
    <w:next w:val="Normal"/>
    <w:autoRedefine/>
    <w:uiPriority w:val="39"/>
    <w:unhideWhenUsed/>
    <w:rsid w:val="007B2AD6"/>
    <w:pPr>
      <w:tabs>
        <w:tab w:val="right" w:leader="dot" w:pos="9016"/>
      </w:tabs>
      <w:spacing w:after="100"/>
      <w:ind w:left="220"/>
    </w:pPr>
  </w:style>
  <w:style w:type="character" w:styleId="Hyperlink">
    <w:name w:val="Hyperlink"/>
    <w:basedOn w:val="DefaultParagraphFont"/>
    <w:uiPriority w:val="99"/>
    <w:unhideWhenUsed/>
    <w:qFormat/>
    <w:rsid w:val="00A93DF6"/>
    <w:rPr>
      <w:color w:val="215E9E" w:themeColor="hyperlink"/>
      <w:u w:val="single"/>
    </w:rPr>
  </w:style>
  <w:style w:type="paragraph" w:customStyle="1" w:styleId="Dateoncover">
    <w:name w:val="Date on cover"/>
    <w:basedOn w:val="Normal"/>
    <w:qFormat/>
    <w:rsid w:val="00BA18F6"/>
    <w:rPr>
      <w:rFonts w:cs="Arial"/>
      <w:b/>
      <w:bCs/>
      <w:sz w:val="28"/>
      <w:szCs w:val="28"/>
    </w:rPr>
  </w:style>
  <w:style w:type="paragraph" w:styleId="ListBullet2">
    <w:name w:val="List Bullet 2"/>
    <w:basedOn w:val="Normal"/>
    <w:qFormat/>
    <w:rsid w:val="00BE68F3"/>
    <w:pPr>
      <w:numPr>
        <w:ilvl w:val="1"/>
        <w:numId w:val="1"/>
      </w:numPr>
      <w:spacing w:line="240" w:lineRule="atLeast"/>
    </w:pPr>
    <w:rPr>
      <w:rFonts w:eastAsia="SimSun" w:cs="Times New Roman"/>
      <w:spacing w:val="-1"/>
      <w:szCs w:val="20"/>
      <w:lang w:val="en-GB" w:eastAsia="en-GB"/>
    </w:rPr>
  </w:style>
  <w:style w:type="paragraph" w:styleId="ListBullet3">
    <w:name w:val="List Bullet 3"/>
    <w:basedOn w:val="Normal"/>
    <w:qFormat/>
    <w:rsid w:val="00BE68F3"/>
    <w:pPr>
      <w:numPr>
        <w:ilvl w:val="2"/>
        <w:numId w:val="1"/>
      </w:numPr>
      <w:spacing w:line="240" w:lineRule="atLeast"/>
    </w:pPr>
    <w:rPr>
      <w:rFonts w:eastAsia="SimSun" w:cs="Times New Roman"/>
      <w:spacing w:val="-1"/>
      <w:szCs w:val="20"/>
      <w:lang w:val="en-GB" w:eastAsia="en-GB"/>
    </w:rPr>
  </w:style>
  <w:style w:type="paragraph" w:styleId="ListBullet4">
    <w:name w:val="List Bullet 4"/>
    <w:basedOn w:val="ListBullet3"/>
    <w:semiHidden/>
    <w:rsid w:val="004F4B0C"/>
    <w:pPr>
      <w:numPr>
        <w:ilvl w:val="3"/>
      </w:numPr>
    </w:pPr>
  </w:style>
  <w:style w:type="character" w:customStyle="1" w:styleId="Heading4Char">
    <w:name w:val="Heading 4 Char"/>
    <w:basedOn w:val="DefaultParagraphFont"/>
    <w:link w:val="Heading4"/>
    <w:uiPriority w:val="9"/>
    <w:rsid w:val="00D72814"/>
    <w:rPr>
      <w:rFonts w:ascii="Arial" w:hAnsi="Arial" w:cs="Arial"/>
      <w:b/>
      <w:bCs/>
      <w:color w:val="005D5D" w:themeColor="accent2"/>
      <w:sz w:val="28"/>
    </w:rPr>
  </w:style>
  <w:style w:type="character" w:customStyle="1" w:styleId="Heading5Char">
    <w:name w:val="Heading 5 Char"/>
    <w:basedOn w:val="DefaultParagraphFont"/>
    <w:link w:val="Heading5"/>
    <w:uiPriority w:val="9"/>
    <w:rsid w:val="000404CE"/>
    <w:rPr>
      <w:rFonts w:ascii="Arial" w:hAnsi="Arial" w:cs="Arial"/>
      <w:b/>
      <w:bCs/>
      <w:color w:val="000000" w:themeColor="text1"/>
    </w:rPr>
  </w:style>
  <w:style w:type="character" w:customStyle="1" w:styleId="Heading6Char">
    <w:name w:val="Heading 6 Char"/>
    <w:basedOn w:val="DefaultParagraphFont"/>
    <w:link w:val="Heading6"/>
    <w:uiPriority w:val="9"/>
    <w:rsid w:val="00BA18F6"/>
    <w:rPr>
      <w:rFonts w:asciiTheme="majorHAnsi" w:eastAsiaTheme="majorEastAsia" w:hAnsiTheme="majorHAnsi" w:cstheme="majorBidi"/>
      <w:color w:val="341461" w:themeColor="accent1" w:themeShade="7F"/>
    </w:rPr>
  </w:style>
  <w:style w:type="character" w:customStyle="1" w:styleId="Heading7Char">
    <w:name w:val="Heading 7 Char"/>
    <w:basedOn w:val="DefaultParagraphFont"/>
    <w:link w:val="Heading7"/>
    <w:uiPriority w:val="9"/>
    <w:rsid w:val="00BA18F6"/>
    <w:rPr>
      <w:rFonts w:asciiTheme="majorHAnsi" w:eastAsiaTheme="majorEastAsia" w:hAnsiTheme="majorHAnsi" w:cstheme="majorBidi"/>
      <w:i/>
      <w:iCs/>
      <w:color w:val="341461" w:themeColor="accent1" w:themeShade="7F"/>
    </w:rPr>
  </w:style>
  <w:style w:type="paragraph" w:customStyle="1" w:styleId="coversubtitle">
    <w:name w:val="cover subtitle"/>
    <w:basedOn w:val="Bodycopy"/>
    <w:qFormat/>
    <w:rsid w:val="001C0CB2"/>
    <w:pPr>
      <w:spacing w:after="400"/>
    </w:pPr>
    <w:rPr>
      <w:sz w:val="40"/>
      <w:szCs w:val="40"/>
    </w:rPr>
  </w:style>
  <w:style w:type="paragraph" w:styleId="Header">
    <w:name w:val="header"/>
    <w:basedOn w:val="Normal"/>
    <w:link w:val="HeaderChar"/>
    <w:uiPriority w:val="99"/>
    <w:unhideWhenUsed/>
    <w:rsid w:val="00C40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E20"/>
    <w:rPr>
      <w:rFonts w:ascii="Arial" w:hAnsi="Arial"/>
      <w:color w:val="000000" w:themeColor="text1"/>
    </w:rPr>
  </w:style>
  <w:style w:type="paragraph" w:styleId="BodyText">
    <w:name w:val="Body Text"/>
    <w:basedOn w:val="Normal"/>
    <w:link w:val="BodyTextChar"/>
    <w:uiPriority w:val="1"/>
    <w:qFormat/>
    <w:rsid w:val="00E51FBA"/>
    <w:pPr>
      <w:widowControl w:val="0"/>
      <w:autoSpaceDE w:val="0"/>
      <w:autoSpaceDN w:val="0"/>
      <w:spacing w:after="0" w:line="240" w:lineRule="auto"/>
    </w:pPr>
    <w:rPr>
      <w:rFonts w:eastAsia="Arial" w:cs="Arial"/>
      <w:color w:val="auto"/>
      <w:sz w:val="32"/>
      <w:szCs w:val="32"/>
      <w:lang w:val="en-US"/>
    </w:rPr>
  </w:style>
  <w:style w:type="character" w:customStyle="1" w:styleId="BodyTextChar">
    <w:name w:val="Body Text Char"/>
    <w:basedOn w:val="DefaultParagraphFont"/>
    <w:link w:val="BodyText"/>
    <w:uiPriority w:val="1"/>
    <w:rsid w:val="00E51FBA"/>
    <w:rPr>
      <w:rFonts w:ascii="Arial" w:eastAsia="Arial" w:hAnsi="Arial" w:cs="Arial"/>
      <w:sz w:val="32"/>
      <w:szCs w:val="32"/>
      <w:lang w:val="en-US"/>
    </w:rPr>
  </w:style>
  <w:style w:type="character" w:customStyle="1" w:styleId="BodycopyChar">
    <w:name w:val="Body copy Char"/>
    <w:basedOn w:val="DefaultParagraphFont"/>
    <w:link w:val="Bodycopy"/>
    <w:uiPriority w:val="1"/>
    <w:rsid w:val="00E51FBA"/>
    <w:rPr>
      <w:rFonts w:ascii="Arial" w:hAnsi="Arial"/>
      <w:color w:val="000000" w:themeColor="text1"/>
    </w:rPr>
  </w:style>
  <w:style w:type="character" w:customStyle="1" w:styleId="ui-provider">
    <w:name w:val="ui-provider"/>
    <w:basedOn w:val="DefaultParagraphFont"/>
    <w:rsid w:val="00E17EC6"/>
  </w:style>
  <w:style w:type="character" w:styleId="Strong">
    <w:name w:val="Strong"/>
    <w:basedOn w:val="DefaultParagraphFont"/>
    <w:uiPriority w:val="22"/>
    <w:qFormat/>
    <w:rsid w:val="00E17EC6"/>
    <w:rPr>
      <w:b/>
      <w:bCs/>
    </w:rPr>
  </w:style>
  <w:style w:type="paragraph" w:styleId="EndnoteText">
    <w:name w:val="endnote text"/>
    <w:basedOn w:val="Normal"/>
    <w:link w:val="EndnoteTextChar"/>
    <w:uiPriority w:val="99"/>
    <w:unhideWhenUsed/>
    <w:rsid w:val="00D72814"/>
    <w:pPr>
      <w:spacing w:after="0" w:line="240" w:lineRule="auto"/>
    </w:pPr>
    <w:rPr>
      <w:sz w:val="20"/>
      <w:szCs w:val="20"/>
    </w:rPr>
  </w:style>
  <w:style w:type="character" w:customStyle="1" w:styleId="EndnoteTextChar">
    <w:name w:val="Endnote Text Char"/>
    <w:basedOn w:val="DefaultParagraphFont"/>
    <w:link w:val="EndnoteText"/>
    <w:uiPriority w:val="99"/>
    <w:rsid w:val="00D72814"/>
    <w:rPr>
      <w:rFonts w:ascii="Arial" w:hAnsi="Arial"/>
      <w:color w:val="000000" w:themeColor="text1"/>
      <w:sz w:val="20"/>
      <w:szCs w:val="20"/>
    </w:rPr>
  </w:style>
  <w:style w:type="character" w:styleId="EndnoteReference">
    <w:name w:val="endnote reference"/>
    <w:basedOn w:val="DefaultParagraphFont"/>
    <w:uiPriority w:val="99"/>
    <w:semiHidden/>
    <w:unhideWhenUsed/>
    <w:rsid w:val="00D72814"/>
    <w:rPr>
      <w:vertAlign w:val="superscript"/>
    </w:rPr>
  </w:style>
  <w:style w:type="paragraph" w:styleId="IntenseQuote">
    <w:name w:val="Intense Quote"/>
    <w:basedOn w:val="Normal"/>
    <w:next w:val="Normal"/>
    <w:link w:val="IntenseQuoteChar"/>
    <w:uiPriority w:val="30"/>
    <w:qFormat/>
    <w:rsid w:val="00B52752"/>
    <w:pPr>
      <w:pBdr>
        <w:top w:val="single" w:sz="4" w:space="10" w:color="6929C4" w:themeColor="accent1"/>
        <w:bottom w:val="single" w:sz="4" w:space="10" w:color="6929C4" w:themeColor="accent1"/>
      </w:pBdr>
      <w:spacing w:before="360" w:after="360"/>
      <w:ind w:left="864" w:right="864"/>
      <w:jc w:val="center"/>
    </w:pPr>
    <w:rPr>
      <w:i/>
      <w:iCs/>
      <w:color w:val="6929C4" w:themeColor="accent1"/>
    </w:rPr>
  </w:style>
  <w:style w:type="character" w:customStyle="1" w:styleId="IntenseQuoteChar">
    <w:name w:val="Intense Quote Char"/>
    <w:basedOn w:val="DefaultParagraphFont"/>
    <w:link w:val="IntenseQuote"/>
    <w:uiPriority w:val="30"/>
    <w:rsid w:val="00B52752"/>
    <w:rPr>
      <w:rFonts w:ascii="Arial" w:hAnsi="Arial"/>
      <w:i/>
      <w:iCs/>
      <w:color w:val="6929C4" w:themeColor="accent1"/>
    </w:rPr>
  </w:style>
  <w:style w:type="character" w:customStyle="1" w:styleId="ListParagraphChar">
    <w:name w:val="List Paragraph Char"/>
    <w:aliases w:val="Recommendation Char,Bullet Point Char,Bulletr List Paragraph Char,FooterText Char,L Char,List Paragraph1 Char,List Paragraph11 Char,List Paragraph2 Char,List Paragraph21 Char,Listeafsnit1 Char,NFP GP Bulleted List Char,numbered Char"/>
    <w:basedOn w:val="DefaultParagraphFont"/>
    <w:link w:val="ListParagraph"/>
    <w:uiPriority w:val="34"/>
    <w:qFormat/>
    <w:locked/>
    <w:rsid w:val="00583142"/>
    <w:rPr>
      <w:rFonts w:ascii="Arial" w:hAnsi="Arial"/>
      <w:i/>
      <w:iCs/>
    </w:rPr>
  </w:style>
  <w:style w:type="character" w:styleId="Mention">
    <w:name w:val="Mention"/>
    <w:basedOn w:val="DefaultParagraphFont"/>
    <w:uiPriority w:val="99"/>
    <w:unhideWhenUsed/>
    <w:rsid w:val="00CE6D1F"/>
    <w:rPr>
      <w:color w:val="2B579A"/>
      <w:shd w:val="clear" w:color="auto" w:fill="E1DFDD"/>
    </w:rPr>
  </w:style>
  <w:style w:type="paragraph" w:styleId="NormalWeb">
    <w:name w:val="Normal (Web)"/>
    <w:basedOn w:val="Normal"/>
    <w:uiPriority w:val="99"/>
    <w:unhideWhenUsed/>
    <w:rsid w:val="005F6D5E"/>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paragraph" w:styleId="Quote">
    <w:name w:val="Quote"/>
    <w:basedOn w:val="Normal"/>
    <w:next w:val="Normal"/>
    <w:link w:val="QuoteChar"/>
    <w:uiPriority w:val="29"/>
    <w:qFormat/>
    <w:rsid w:val="005F6D5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5F6D5E"/>
    <w:rPr>
      <w:rFonts w:ascii="Arial" w:hAnsi="Arial"/>
      <w:i/>
      <w:iCs/>
      <w:color w:val="404040" w:themeColor="text1" w:themeTint="BF"/>
    </w:rPr>
  </w:style>
  <w:style w:type="character" w:styleId="SubtleReference">
    <w:name w:val="Subtle Reference"/>
    <w:basedOn w:val="DefaultParagraphFont"/>
    <w:uiPriority w:val="31"/>
    <w:qFormat/>
    <w:rsid w:val="005F6D5E"/>
    <w:rPr>
      <w:smallCaps/>
      <w:color w:val="5A5A5A" w:themeColor="text1" w:themeTint="A5"/>
    </w:rPr>
  </w:style>
  <w:style w:type="character" w:styleId="FollowedHyperlink">
    <w:name w:val="FollowedHyperlink"/>
    <w:basedOn w:val="DefaultParagraphFont"/>
    <w:uiPriority w:val="99"/>
    <w:semiHidden/>
    <w:unhideWhenUsed/>
    <w:rsid w:val="005F6D5E"/>
    <w:rPr>
      <w:color w:val="00B4FF" w:themeColor="followedHyperlink"/>
      <w:u w:val="single"/>
    </w:rPr>
  </w:style>
  <w:style w:type="table" w:styleId="GridTable1Light-Accent1">
    <w:name w:val="Grid Table 1 Light Accent 1"/>
    <w:basedOn w:val="TableNormal"/>
    <w:uiPriority w:val="46"/>
    <w:rsid w:val="005F6D5E"/>
    <w:pPr>
      <w:spacing w:after="0" w:line="240" w:lineRule="auto"/>
    </w:pPr>
    <w:tblPr>
      <w:tblStyleRowBandSize w:val="1"/>
      <w:tblStyleColBandSize w:val="1"/>
      <w:tblBorders>
        <w:top w:val="single" w:sz="4" w:space="0" w:color="C2A4EC" w:themeColor="accent1" w:themeTint="66"/>
        <w:left w:val="single" w:sz="4" w:space="0" w:color="C2A4EC" w:themeColor="accent1" w:themeTint="66"/>
        <w:bottom w:val="single" w:sz="4" w:space="0" w:color="C2A4EC" w:themeColor="accent1" w:themeTint="66"/>
        <w:right w:val="single" w:sz="4" w:space="0" w:color="C2A4EC" w:themeColor="accent1" w:themeTint="66"/>
        <w:insideH w:val="single" w:sz="4" w:space="0" w:color="C2A4EC" w:themeColor="accent1" w:themeTint="66"/>
        <w:insideV w:val="single" w:sz="4" w:space="0" w:color="C2A4EC" w:themeColor="accent1" w:themeTint="66"/>
      </w:tblBorders>
    </w:tblPr>
    <w:tblStylePr w:type="firstRow">
      <w:rPr>
        <w:b/>
        <w:bCs/>
      </w:rPr>
      <w:tblPr/>
      <w:tcPr>
        <w:tcBorders>
          <w:bottom w:val="single" w:sz="12" w:space="0" w:color="A377E2" w:themeColor="accent1" w:themeTint="99"/>
        </w:tcBorders>
      </w:tcPr>
    </w:tblStylePr>
    <w:tblStylePr w:type="lastRow">
      <w:rPr>
        <w:b/>
        <w:bCs/>
      </w:rPr>
      <w:tblPr/>
      <w:tcPr>
        <w:tcBorders>
          <w:top w:val="double" w:sz="2" w:space="0" w:color="A377E2" w:themeColor="accent1" w:themeTint="99"/>
        </w:tcBorders>
      </w:tcPr>
    </w:tblStylePr>
    <w:tblStylePr w:type="firstCol">
      <w:rPr>
        <w:b/>
        <w:bCs/>
      </w:rPr>
    </w:tblStylePr>
    <w:tblStylePr w:type="lastCol">
      <w:rPr>
        <w:b/>
        <w:bCs/>
      </w:rPr>
    </w:tblStylePr>
  </w:style>
  <w:style w:type="table" w:styleId="ListTable2-Accent6">
    <w:name w:val="List Table 2 Accent 6"/>
    <w:basedOn w:val="TableNormal"/>
    <w:uiPriority w:val="47"/>
    <w:rsid w:val="005F6D5E"/>
    <w:pPr>
      <w:spacing w:after="0" w:line="240" w:lineRule="auto"/>
    </w:pPr>
    <w:tblPr>
      <w:tblStyleRowBandSize w:val="1"/>
      <w:tblStyleColBandSize w:val="1"/>
      <w:tblBorders>
        <w:top w:val="single" w:sz="4" w:space="0" w:color="F40E19" w:themeColor="accent6" w:themeTint="99"/>
        <w:bottom w:val="single" w:sz="4" w:space="0" w:color="F40E19" w:themeColor="accent6" w:themeTint="99"/>
        <w:insideH w:val="single" w:sz="4" w:space="0" w:color="F40E1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AEB2" w:themeFill="accent6" w:themeFillTint="33"/>
      </w:tcPr>
    </w:tblStylePr>
    <w:tblStylePr w:type="band1Horz">
      <w:tblPr/>
      <w:tcPr>
        <w:shd w:val="clear" w:color="auto" w:fill="FBAEB2" w:themeFill="accent6" w:themeFillTint="33"/>
      </w:tcPr>
    </w:tblStylePr>
  </w:style>
  <w:style w:type="table" w:styleId="ListTable1Light-Accent3">
    <w:name w:val="List Table 1 Light Accent 3"/>
    <w:basedOn w:val="TableNormal"/>
    <w:uiPriority w:val="46"/>
    <w:rsid w:val="005F6D5E"/>
    <w:pPr>
      <w:spacing w:after="0" w:line="240" w:lineRule="auto"/>
    </w:pPr>
    <w:tblPr>
      <w:tblStyleRowBandSize w:val="1"/>
      <w:tblStyleColBandSize w:val="1"/>
    </w:tblPr>
    <w:tblStylePr w:type="firstRow">
      <w:rPr>
        <w:b/>
        <w:bCs/>
      </w:rPr>
      <w:tblPr/>
      <w:tcPr>
        <w:tcBorders>
          <w:bottom w:val="single" w:sz="4" w:space="0" w:color="6DBEF4" w:themeColor="accent3" w:themeTint="99"/>
        </w:tcBorders>
      </w:tcPr>
    </w:tblStylePr>
    <w:tblStylePr w:type="lastRow">
      <w:rPr>
        <w:b/>
        <w:bCs/>
      </w:rPr>
      <w:tblPr/>
      <w:tcPr>
        <w:tcBorders>
          <w:top w:val="single" w:sz="4" w:space="0" w:color="6DBEF4" w:themeColor="accent3" w:themeTint="99"/>
        </w:tcBorders>
      </w:tcPr>
    </w:tblStylePr>
    <w:tblStylePr w:type="firstCol">
      <w:rPr>
        <w:b/>
        <w:bCs/>
      </w:rPr>
    </w:tblStylePr>
    <w:tblStylePr w:type="lastCol">
      <w:rPr>
        <w:b/>
        <w:bCs/>
      </w:rPr>
    </w:tblStylePr>
    <w:tblStylePr w:type="band1Vert">
      <w:tblPr/>
      <w:tcPr>
        <w:shd w:val="clear" w:color="auto" w:fill="CEE9FB" w:themeFill="accent3" w:themeFillTint="33"/>
      </w:tcPr>
    </w:tblStylePr>
    <w:tblStylePr w:type="band1Horz">
      <w:tblPr/>
      <w:tcPr>
        <w:shd w:val="clear" w:color="auto" w:fill="CEE9FB" w:themeFill="accent3" w:themeFillTint="33"/>
      </w:tcPr>
    </w:tblStylePr>
  </w:style>
  <w:style w:type="table" w:styleId="ListTable2-Accent2">
    <w:name w:val="List Table 2 Accent 2"/>
    <w:basedOn w:val="TableNormal"/>
    <w:uiPriority w:val="47"/>
    <w:rsid w:val="005F6D5E"/>
    <w:pPr>
      <w:spacing w:after="0" w:line="240" w:lineRule="auto"/>
    </w:pPr>
    <w:tblPr>
      <w:tblStyleRowBandSize w:val="1"/>
      <w:tblStyleColBandSize w:val="1"/>
      <w:tblBorders>
        <w:top w:val="single" w:sz="4" w:space="0" w:color="04FFFF" w:themeColor="accent2" w:themeTint="99"/>
        <w:bottom w:val="single" w:sz="4" w:space="0" w:color="04FFFF" w:themeColor="accent2" w:themeTint="99"/>
        <w:insideH w:val="single" w:sz="4" w:space="0" w:color="04FF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BFFFF" w:themeFill="accent2" w:themeFillTint="33"/>
      </w:tcPr>
    </w:tblStylePr>
    <w:tblStylePr w:type="band1Horz">
      <w:tblPr/>
      <w:tcPr>
        <w:shd w:val="clear" w:color="auto" w:fill="ABFFFF" w:themeFill="accent2" w:themeFillTint="33"/>
      </w:tcPr>
    </w:tblStylePr>
  </w:style>
  <w:style w:type="paragraph" w:styleId="FootnoteText">
    <w:name w:val="footnote text"/>
    <w:basedOn w:val="Normal"/>
    <w:link w:val="FootnoteTextChar"/>
    <w:uiPriority w:val="99"/>
    <w:unhideWhenUsed/>
    <w:rsid w:val="001A72C1"/>
    <w:pPr>
      <w:spacing w:after="0" w:line="240" w:lineRule="auto"/>
    </w:pPr>
    <w:rPr>
      <w:sz w:val="20"/>
      <w:szCs w:val="20"/>
    </w:rPr>
  </w:style>
  <w:style w:type="character" w:customStyle="1" w:styleId="FootnoteTextChar">
    <w:name w:val="Footnote Text Char"/>
    <w:basedOn w:val="DefaultParagraphFont"/>
    <w:link w:val="FootnoteText"/>
    <w:uiPriority w:val="99"/>
    <w:rsid w:val="005F6D5E"/>
    <w:rPr>
      <w:rFonts w:ascii="Arial" w:hAnsi="Arial"/>
      <w:color w:val="000000" w:themeColor="text1"/>
      <w:sz w:val="20"/>
      <w:szCs w:val="20"/>
    </w:rPr>
  </w:style>
  <w:style w:type="character" w:styleId="FootnoteReference">
    <w:name w:val="footnote reference"/>
    <w:basedOn w:val="DefaultParagraphFont"/>
    <w:uiPriority w:val="99"/>
    <w:unhideWhenUsed/>
    <w:rsid w:val="005F6D5E"/>
    <w:rPr>
      <w:vertAlign w:val="superscript"/>
    </w:rPr>
  </w:style>
  <w:style w:type="paragraph" w:styleId="Revision">
    <w:name w:val="Revision"/>
    <w:hidden/>
    <w:uiPriority w:val="99"/>
    <w:semiHidden/>
    <w:rsid w:val="005F6D5E"/>
    <w:pPr>
      <w:spacing w:after="0" w:line="240" w:lineRule="auto"/>
    </w:pPr>
    <w:rPr>
      <w:rFonts w:ascii="Arial" w:hAnsi="Arial"/>
      <w:color w:val="000000" w:themeColor="text1"/>
    </w:rPr>
  </w:style>
  <w:style w:type="character" w:customStyle="1" w:styleId="cf01">
    <w:name w:val="cf01"/>
    <w:basedOn w:val="DefaultParagraphFont"/>
    <w:rsid w:val="005136BF"/>
    <w:rPr>
      <w:rFonts w:ascii="Segoe UI" w:hAnsi="Segoe UI" w:cs="Segoe UI" w:hint="default"/>
      <w:sz w:val="18"/>
      <w:szCs w:val="18"/>
    </w:rPr>
  </w:style>
  <w:style w:type="paragraph" w:customStyle="1" w:styleId="pf0">
    <w:name w:val="pf0"/>
    <w:basedOn w:val="Normal"/>
    <w:rsid w:val="00A91D01"/>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paragraph" w:customStyle="1" w:styleId="Default">
    <w:name w:val="Default"/>
    <w:rsid w:val="00377B56"/>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A2332E"/>
  </w:style>
  <w:style w:type="character" w:customStyle="1" w:styleId="eop">
    <w:name w:val="eop"/>
    <w:basedOn w:val="DefaultParagraphFont"/>
    <w:rsid w:val="00EC701E"/>
  </w:style>
  <w:style w:type="paragraph" w:customStyle="1" w:styleId="paragraph">
    <w:name w:val="paragraph"/>
    <w:basedOn w:val="Normal"/>
    <w:link w:val="paragraphChar"/>
    <w:rsid w:val="00E6256B"/>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paragraph" w:customStyle="1" w:styleId="breadcrumb-item">
    <w:name w:val="breadcrumb-item"/>
    <w:basedOn w:val="Normal"/>
    <w:rsid w:val="00E13239"/>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field">
    <w:name w:val="field"/>
    <w:basedOn w:val="DefaultParagraphFont"/>
    <w:rsid w:val="00E13239"/>
  </w:style>
  <w:style w:type="character" w:styleId="Emphasis">
    <w:name w:val="Emphasis"/>
    <w:basedOn w:val="DefaultParagraphFont"/>
    <w:uiPriority w:val="20"/>
    <w:qFormat/>
    <w:rsid w:val="00E13239"/>
    <w:rPr>
      <w:i/>
      <w:iCs/>
    </w:rPr>
  </w:style>
  <w:style w:type="paragraph" w:customStyle="1" w:styleId="Figuretext">
    <w:name w:val="Figure text"/>
    <w:basedOn w:val="Normal"/>
    <w:qFormat/>
    <w:rsid w:val="00E13239"/>
    <w:pPr>
      <w:keepNext/>
      <w:pBdr>
        <w:top w:val="single" w:sz="2" w:space="3" w:color="000000"/>
        <w:left w:val="single" w:sz="2" w:space="4" w:color="000000"/>
        <w:bottom w:val="single" w:sz="2" w:space="1" w:color="000000"/>
        <w:right w:val="single" w:sz="2" w:space="4" w:color="000000"/>
      </w:pBdr>
      <w:spacing w:after="40" w:line="240" w:lineRule="atLeast"/>
      <w:ind w:left="119" w:right="113"/>
      <w:jc w:val="center"/>
      <w:outlineLvl w:val="1"/>
    </w:pPr>
    <w:rPr>
      <w:rFonts w:eastAsiaTheme="majorEastAsia" w:cstheme="majorBidi"/>
      <w:bCs/>
      <w:iCs/>
      <w:color w:val="0D0D0D" w:themeColor="text1" w:themeTint="F2"/>
      <w:sz w:val="18"/>
    </w:rPr>
  </w:style>
  <w:style w:type="character" w:customStyle="1" w:styleId="cf11">
    <w:name w:val="cf11"/>
    <w:basedOn w:val="DefaultParagraphFont"/>
    <w:rsid w:val="00DA4007"/>
    <w:rPr>
      <w:rFonts w:ascii="Segoe UI" w:hAnsi="Segoe UI" w:cs="Segoe UI" w:hint="default"/>
      <w:sz w:val="18"/>
      <w:szCs w:val="18"/>
    </w:rPr>
  </w:style>
  <w:style w:type="paragraph" w:styleId="TOC6">
    <w:name w:val="toc 6"/>
    <w:basedOn w:val="Normal"/>
    <w:next w:val="Normal"/>
    <w:autoRedefine/>
    <w:uiPriority w:val="39"/>
    <w:unhideWhenUsed/>
    <w:rsid w:val="00A00A78"/>
    <w:pPr>
      <w:spacing w:after="100"/>
      <w:ind w:left="1100"/>
    </w:pPr>
    <w:rPr>
      <w:rFonts w:asciiTheme="minorHAnsi" w:eastAsiaTheme="minorEastAsia" w:hAnsiTheme="minorHAnsi"/>
      <w:color w:val="auto"/>
      <w:kern w:val="2"/>
      <w:lang w:eastAsia="en-AU"/>
      <w14:ligatures w14:val="standardContextual"/>
    </w:rPr>
  </w:style>
  <w:style w:type="paragraph" w:styleId="TOC7">
    <w:name w:val="toc 7"/>
    <w:basedOn w:val="Normal"/>
    <w:next w:val="Normal"/>
    <w:autoRedefine/>
    <w:uiPriority w:val="39"/>
    <w:unhideWhenUsed/>
    <w:rsid w:val="00A00A78"/>
    <w:pPr>
      <w:spacing w:after="100"/>
      <w:ind w:left="1320"/>
    </w:pPr>
    <w:rPr>
      <w:rFonts w:asciiTheme="minorHAnsi" w:eastAsiaTheme="minorEastAsia" w:hAnsiTheme="minorHAnsi"/>
      <w:color w:val="auto"/>
      <w:kern w:val="2"/>
      <w:lang w:eastAsia="en-AU"/>
      <w14:ligatures w14:val="standardContextual"/>
    </w:rPr>
  </w:style>
  <w:style w:type="paragraph" w:styleId="TOC8">
    <w:name w:val="toc 8"/>
    <w:basedOn w:val="Normal"/>
    <w:next w:val="Normal"/>
    <w:autoRedefine/>
    <w:uiPriority w:val="39"/>
    <w:unhideWhenUsed/>
    <w:rsid w:val="00A00A78"/>
    <w:pPr>
      <w:spacing w:after="100"/>
      <w:ind w:left="1540"/>
    </w:pPr>
    <w:rPr>
      <w:rFonts w:asciiTheme="minorHAnsi" w:eastAsiaTheme="minorEastAsia" w:hAnsiTheme="minorHAnsi"/>
      <w:color w:val="auto"/>
      <w:kern w:val="2"/>
      <w:lang w:eastAsia="en-AU"/>
      <w14:ligatures w14:val="standardContextual"/>
    </w:rPr>
  </w:style>
  <w:style w:type="paragraph" w:styleId="TOC9">
    <w:name w:val="toc 9"/>
    <w:basedOn w:val="Normal"/>
    <w:next w:val="Normal"/>
    <w:autoRedefine/>
    <w:uiPriority w:val="39"/>
    <w:unhideWhenUsed/>
    <w:rsid w:val="00A00A78"/>
    <w:pPr>
      <w:spacing w:after="100"/>
      <w:ind w:left="1760"/>
    </w:pPr>
    <w:rPr>
      <w:rFonts w:asciiTheme="minorHAnsi" w:eastAsiaTheme="minorEastAsia" w:hAnsiTheme="minorHAnsi"/>
      <w:color w:val="auto"/>
      <w:kern w:val="2"/>
      <w:lang w:eastAsia="en-AU"/>
      <w14:ligatures w14:val="standardContextual"/>
    </w:rPr>
  </w:style>
  <w:style w:type="character" w:customStyle="1" w:styleId="fielditemname">
    <w:name w:val="fielditemname"/>
    <w:basedOn w:val="DefaultParagraphFont"/>
    <w:rsid w:val="009E09C1"/>
  </w:style>
  <w:style w:type="paragraph" w:customStyle="1" w:styleId="msonormal0">
    <w:name w:val="msonormal"/>
    <w:basedOn w:val="Normal"/>
    <w:rsid w:val="00CD2B22"/>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textrun">
    <w:name w:val="textrun"/>
    <w:basedOn w:val="DefaultParagraphFont"/>
    <w:rsid w:val="00CD2B22"/>
  </w:style>
  <w:style w:type="paragraph" w:customStyle="1" w:styleId="outlineelement">
    <w:name w:val="outlineelement"/>
    <w:basedOn w:val="Normal"/>
    <w:rsid w:val="00CD2B22"/>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superscript">
    <w:name w:val="superscript"/>
    <w:basedOn w:val="DefaultParagraphFont"/>
    <w:rsid w:val="00CD2B22"/>
  </w:style>
  <w:style w:type="character" w:customStyle="1" w:styleId="trackchangetextinsertion">
    <w:name w:val="trackchangetextinsertion"/>
    <w:basedOn w:val="DefaultParagraphFont"/>
    <w:rsid w:val="00CD2B22"/>
  </w:style>
  <w:style w:type="character" w:customStyle="1" w:styleId="trackchangetextdeletionmarker">
    <w:name w:val="trackchangetextdeletionmarker"/>
    <w:basedOn w:val="DefaultParagraphFont"/>
    <w:rsid w:val="00CD2B22"/>
  </w:style>
  <w:style w:type="character" w:customStyle="1" w:styleId="Heading8Char">
    <w:name w:val="Heading 8 Char"/>
    <w:basedOn w:val="DefaultParagraphFont"/>
    <w:link w:val="Heading8"/>
    <w:uiPriority w:val="9"/>
    <w:semiHidden/>
    <w:rsid w:val="00BB12A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B12AD"/>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BB12AD"/>
    <w:pPr>
      <w:keepNext/>
      <w:spacing w:before="320" w:after="200" w:line="240" w:lineRule="auto"/>
    </w:pPr>
    <w:rPr>
      <w:b/>
      <w:bCs/>
      <w:color w:val="auto"/>
      <w:sz w:val="18"/>
      <w:szCs w:val="18"/>
    </w:rPr>
  </w:style>
  <w:style w:type="paragraph" w:styleId="Subtitle">
    <w:name w:val="Subtitle"/>
    <w:basedOn w:val="Normal"/>
    <w:next w:val="Normal"/>
    <w:link w:val="SubtitleChar"/>
    <w:uiPriority w:val="1"/>
    <w:rsid w:val="00013151"/>
    <w:pPr>
      <w:numPr>
        <w:ilvl w:val="1"/>
      </w:numPr>
      <w:spacing w:before="480" w:line="264" w:lineRule="auto"/>
    </w:pPr>
    <w:rPr>
      <w:rFonts w:asciiTheme="majorHAnsi" w:eastAsiaTheme="minorEastAsia" w:hAnsiTheme="majorHAnsi"/>
      <w:color w:val="441170" w:themeColor="text2"/>
      <w:sz w:val="48"/>
      <w:szCs w:val="48"/>
    </w:rPr>
  </w:style>
  <w:style w:type="character" w:customStyle="1" w:styleId="SubtitleChar">
    <w:name w:val="Subtitle Char"/>
    <w:basedOn w:val="DefaultParagraphFont"/>
    <w:link w:val="Subtitle"/>
    <w:uiPriority w:val="1"/>
    <w:rsid w:val="00013151"/>
    <w:rPr>
      <w:rFonts w:asciiTheme="majorHAnsi" w:eastAsiaTheme="minorEastAsia" w:hAnsiTheme="majorHAnsi"/>
      <w:color w:val="441170" w:themeColor="text2"/>
      <w:sz w:val="48"/>
      <w:szCs w:val="48"/>
    </w:rPr>
  </w:style>
  <w:style w:type="paragraph" w:customStyle="1" w:styleId="Spacer">
    <w:name w:val="Spacer"/>
    <w:basedOn w:val="NoSpacing"/>
    <w:qFormat/>
    <w:rsid w:val="00BB12AD"/>
    <w:pPr>
      <w:tabs>
        <w:tab w:val="left" w:pos="2906"/>
      </w:tabs>
    </w:pPr>
    <w:rPr>
      <w:rFonts w:ascii="Times New Roman" w:hAnsi="Times New Roman" w:cs="Times New Roman"/>
      <w:bCs/>
      <w:noProof/>
      <w:color w:val="F40E19" w:themeColor="accent6" w:themeTint="99"/>
      <w:spacing w:val="-5"/>
      <w:sz w:val="6"/>
      <w:szCs w:val="23"/>
    </w:rPr>
  </w:style>
  <w:style w:type="character" w:styleId="PlaceholderText">
    <w:name w:val="Placeholder Text"/>
    <w:basedOn w:val="DefaultParagraphFont"/>
    <w:uiPriority w:val="99"/>
    <w:semiHidden/>
    <w:rsid w:val="00BB12AD"/>
    <w:rPr>
      <w:color w:val="808080"/>
    </w:rPr>
  </w:style>
  <w:style w:type="paragraph" w:customStyle="1" w:styleId="Source">
    <w:name w:val="Source"/>
    <w:basedOn w:val="Normal"/>
    <w:next w:val="Normal"/>
    <w:uiPriority w:val="6"/>
    <w:qFormat/>
    <w:rsid w:val="00BB12AD"/>
    <w:pPr>
      <w:spacing w:before="120" w:after="120" w:line="264" w:lineRule="auto"/>
    </w:pPr>
    <w:rPr>
      <w:color w:val="auto"/>
      <w:sz w:val="18"/>
      <w:szCs w:val="18"/>
    </w:rPr>
  </w:style>
  <w:style w:type="paragraph" w:styleId="MacroText">
    <w:name w:val="macro"/>
    <w:link w:val="MacroTextChar"/>
    <w:uiPriority w:val="99"/>
    <w:unhideWhenUsed/>
    <w:rsid w:val="00BB12AD"/>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uiPriority w:val="99"/>
    <w:rsid w:val="00BB12AD"/>
    <w:rPr>
      <w:rFonts w:ascii="Consolas" w:hAnsi="Consolas"/>
      <w:sz w:val="20"/>
      <w:szCs w:val="20"/>
    </w:rPr>
  </w:style>
  <w:style w:type="table" w:customStyle="1" w:styleId="JSATable1">
    <w:name w:val="JSA Table 1"/>
    <w:basedOn w:val="TableNormal"/>
    <w:uiPriority w:val="99"/>
    <w:rsid w:val="00BB12AD"/>
    <w:pPr>
      <w:spacing w:after="0" w:line="240" w:lineRule="auto"/>
    </w:pPr>
    <w:tblPr>
      <w:tblStyleRowBandSize w:val="1"/>
      <w:tblBorders>
        <w:bottom w:val="single" w:sz="4" w:space="0" w:color="4B0885"/>
      </w:tblBorders>
    </w:tblPr>
    <w:tblStylePr w:type="firstRow">
      <w:tblPr/>
      <w:tcPr>
        <w:shd w:val="clear" w:color="auto" w:fill="2F005F"/>
      </w:tcPr>
    </w:tblStylePr>
    <w:tblStylePr w:type="band2Horz">
      <w:tblPr/>
      <w:tcPr>
        <w:shd w:val="clear" w:color="auto" w:fill="E6E6E6"/>
      </w:tcPr>
    </w:tblStylePr>
  </w:style>
  <w:style w:type="table" w:customStyle="1" w:styleId="JSATable2">
    <w:name w:val="JSA Table 2"/>
    <w:basedOn w:val="TableNormal"/>
    <w:uiPriority w:val="99"/>
    <w:rsid w:val="00BB12AD"/>
    <w:pPr>
      <w:spacing w:after="0" w:line="240" w:lineRule="auto"/>
    </w:pPr>
    <w:tblPr>
      <w:tblStyleRowBandSize w:val="1"/>
      <w:tblBorders>
        <w:bottom w:val="single" w:sz="4" w:space="0" w:color="A584C2"/>
      </w:tblBorders>
    </w:tblPr>
    <w:tblStylePr w:type="firstRow">
      <w:rPr>
        <w:rFonts w:asciiTheme="majorHAnsi" w:hAnsiTheme="majorHAnsi"/>
        <w:color w:val="FFFFFF" w:themeColor="background1"/>
        <w:sz w:val="22"/>
      </w:rPr>
      <w:tblPr/>
      <w:tcPr>
        <w:shd w:val="clear" w:color="auto" w:fill="1192E8" w:themeFill="accent3"/>
      </w:tcPr>
    </w:tblStylePr>
    <w:tblStylePr w:type="band2Horz">
      <w:tblPr/>
      <w:tcPr>
        <w:shd w:val="clear" w:color="auto" w:fill="E6E6E6"/>
      </w:tcPr>
    </w:tblStylePr>
  </w:style>
  <w:style w:type="paragraph" w:styleId="Index7">
    <w:name w:val="index 7"/>
    <w:basedOn w:val="Normal"/>
    <w:next w:val="Normal"/>
    <w:autoRedefine/>
    <w:uiPriority w:val="99"/>
    <w:semiHidden/>
    <w:unhideWhenUsed/>
    <w:rsid w:val="00BB12AD"/>
    <w:pPr>
      <w:spacing w:before="240" w:after="0" w:line="240" w:lineRule="auto"/>
      <w:ind w:left="1542" w:hanging="221"/>
    </w:pPr>
    <w:rPr>
      <w:color w:val="auto"/>
    </w:rPr>
  </w:style>
  <w:style w:type="character" w:customStyle="1" w:styleId="StrongandEmphasis">
    <w:name w:val="Strong and Emphasis"/>
    <w:basedOn w:val="DefaultParagraphFont"/>
    <w:uiPriority w:val="1"/>
    <w:qFormat/>
    <w:rsid w:val="00BB12AD"/>
    <w:rPr>
      <w:rFonts w:ascii="Arial" w:hAnsi="Arial"/>
      <w:b/>
      <w:i/>
      <w:sz w:val="22"/>
    </w:rPr>
  </w:style>
  <w:style w:type="paragraph" w:customStyle="1" w:styleId="Finding">
    <w:name w:val="Finding"/>
    <w:basedOn w:val="ListParagraph"/>
    <w:link w:val="FindingChar"/>
    <w:qFormat/>
    <w:rsid w:val="00580512"/>
    <w:pPr>
      <w:numPr>
        <w:numId w:val="4"/>
      </w:numPr>
      <w:tabs>
        <w:tab w:val="clear" w:pos="357"/>
        <w:tab w:val="left" w:pos="454"/>
      </w:tabs>
      <w:ind w:left="0" w:firstLine="0"/>
      <w:contextualSpacing w:val="0"/>
    </w:pPr>
    <w:rPr>
      <w:b/>
      <w:bCs/>
      <w:i w:val="0"/>
      <w:iCs w:val="0"/>
      <w:color w:val="441170" w:themeColor="text2"/>
    </w:rPr>
  </w:style>
  <w:style w:type="paragraph" w:customStyle="1" w:styleId="Recs">
    <w:name w:val="Recs"/>
    <w:basedOn w:val="ListParagraph"/>
    <w:autoRedefine/>
    <w:qFormat/>
    <w:rsid w:val="00357DEC"/>
    <w:pPr>
      <w:numPr>
        <w:ilvl w:val="1"/>
      </w:numPr>
      <w:ind w:left="357"/>
    </w:pPr>
    <w:rPr>
      <w:i w:val="0"/>
      <w:color w:val="441170" w:themeColor="text2"/>
    </w:rPr>
  </w:style>
  <w:style w:type="paragraph" w:customStyle="1" w:styleId="BoxHeading">
    <w:name w:val="Box Heading"/>
    <w:basedOn w:val="Heading3"/>
    <w:qFormat/>
    <w:rsid w:val="00500EB9"/>
    <w:pPr>
      <w:spacing w:before="120" w:after="120"/>
    </w:pPr>
    <w:rPr>
      <w:color w:val="441170" w:themeColor="text2"/>
    </w:rPr>
  </w:style>
  <w:style w:type="table" w:styleId="ListTable1Light">
    <w:name w:val="List Table 1 Light"/>
    <w:basedOn w:val="TableNormal"/>
    <w:uiPriority w:val="46"/>
    <w:rsid w:val="00500EB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Box">
    <w:name w:val="Box"/>
    <w:basedOn w:val="TableNormal"/>
    <w:uiPriority w:val="99"/>
    <w:rsid w:val="00500EB9"/>
    <w:pPr>
      <w:spacing w:after="0" w:line="240" w:lineRule="auto"/>
    </w:pPr>
    <w:tblPr/>
  </w:style>
  <w:style w:type="character" w:customStyle="1" w:styleId="wacimagecontainer">
    <w:name w:val="wacimagecontainer"/>
    <w:basedOn w:val="DefaultParagraphFont"/>
    <w:uiPriority w:val="99"/>
    <w:rsid w:val="00BC3D30"/>
  </w:style>
  <w:style w:type="paragraph" w:customStyle="1" w:styleId="FigureTableSubheading">
    <w:name w:val="Figure/Table Subheading"/>
    <w:basedOn w:val="Normal"/>
    <w:uiPriority w:val="4"/>
    <w:qFormat/>
    <w:rsid w:val="00F47B0F"/>
    <w:pPr>
      <w:keepNext/>
      <w:spacing w:before="40" w:after="40" w:line="280" w:lineRule="atLeast"/>
    </w:pPr>
    <w:rPr>
      <w:rFonts w:asciiTheme="majorHAnsi" w:hAnsiTheme="majorHAnsi"/>
      <w:iCs/>
      <w:color w:val="58585B"/>
      <w:sz w:val="20"/>
      <w:szCs w:val="18"/>
    </w:rPr>
  </w:style>
  <w:style w:type="paragraph" w:customStyle="1" w:styleId="TableHeading">
    <w:name w:val="Table Heading"/>
    <w:basedOn w:val="NoSpacing"/>
    <w:uiPriority w:val="4"/>
    <w:qFormat/>
    <w:rsid w:val="00F47B0F"/>
    <w:pPr>
      <w:spacing w:after="20" w:line="280" w:lineRule="atLeast"/>
      <w:ind w:left="57" w:hanging="340"/>
    </w:pPr>
    <w:rPr>
      <w:b/>
      <w:color w:val="D2DE5A" w:themeColor="background2"/>
      <w:sz w:val="18"/>
      <w:szCs w:val="20"/>
    </w:rPr>
  </w:style>
  <w:style w:type="character" w:styleId="IntenseEmphasis">
    <w:name w:val="Intense Emphasis"/>
    <w:basedOn w:val="DefaultParagraphFont"/>
    <w:uiPriority w:val="21"/>
    <w:qFormat/>
    <w:rsid w:val="00846EE4"/>
    <w:rPr>
      <w:i/>
      <w:iCs/>
      <w:color w:val="6929C4" w:themeColor="accent1"/>
    </w:rPr>
  </w:style>
  <w:style w:type="character" w:customStyle="1" w:styleId="findhit">
    <w:name w:val="findhit"/>
    <w:basedOn w:val="DefaultParagraphFont"/>
    <w:rsid w:val="006212DA"/>
  </w:style>
  <w:style w:type="character" w:customStyle="1" w:styleId="frag-no">
    <w:name w:val="frag-no"/>
    <w:basedOn w:val="DefaultParagraphFont"/>
    <w:rsid w:val="006212DA"/>
  </w:style>
  <w:style w:type="character" w:customStyle="1" w:styleId="frag-heading">
    <w:name w:val="frag-heading"/>
    <w:basedOn w:val="DefaultParagraphFont"/>
    <w:rsid w:val="006212DA"/>
  </w:style>
  <w:style w:type="character" w:customStyle="1" w:styleId="frag-defterm">
    <w:name w:val="frag-defterm"/>
    <w:basedOn w:val="DefaultParagraphFont"/>
    <w:rsid w:val="006212DA"/>
  </w:style>
  <w:style w:type="character" w:customStyle="1" w:styleId="anchor-text">
    <w:name w:val="anchor-text"/>
    <w:basedOn w:val="DefaultParagraphFont"/>
    <w:rsid w:val="006212DA"/>
  </w:style>
  <w:style w:type="paragraph" w:customStyle="1" w:styleId="Note">
    <w:name w:val="Note"/>
    <w:basedOn w:val="Source"/>
    <w:uiPriority w:val="9"/>
    <w:qFormat/>
    <w:rsid w:val="006212DA"/>
    <w:pPr>
      <w:spacing w:before="80" w:after="20" w:line="216" w:lineRule="atLeast"/>
    </w:pPr>
    <w:rPr>
      <w:rFonts w:asciiTheme="minorHAnsi" w:hAnsiTheme="minorHAnsi"/>
      <w:szCs w:val="20"/>
    </w:rPr>
  </w:style>
  <w:style w:type="character" w:customStyle="1" w:styleId="off-screen">
    <w:name w:val="off-screen"/>
    <w:basedOn w:val="DefaultParagraphFont"/>
    <w:rsid w:val="006212DA"/>
  </w:style>
  <w:style w:type="character" w:customStyle="1" w:styleId="authorname">
    <w:name w:val="authorname"/>
    <w:basedOn w:val="DefaultParagraphFont"/>
    <w:rsid w:val="006212DA"/>
  </w:style>
  <w:style w:type="character" w:customStyle="1" w:styleId="separator">
    <w:name w:val="separator"/>
    <w:basedOn w:val="DefaultParagraphFont"/>
    <w:rsid w:val="006212DA"/>
  </w:style>
  <w:style w:type="character" w:customStyle="1" w:styleId="Date1">
    <w:name w:val="Date1"/>
    <w:basedOn w:val="DefaultParagraphFont"/>
    <w:rsid w:val="006212DA"/>
  </w:style>
  <w:style w:type="character" w:customStyle="1" w:styleId="arttitle">
    <w:name w:val="art_title"/>
    <w:basedOn w:val="DefaultParagraphFont"/>
    <w:rsid w:val="006212DA"/>
  </w:style>
  <w:style w:type="character" w:customStyle="1" w:styleId="serialtitle">
    <w:name w:val="serial_title"/>
    <w:basedOn w:val="DefaultParagraphFont"/>
    <w:rsid w:val="006212DA"/>
  </w:style>
  <w:style w:type="character" w:customStyle="1" w:styleId="volumeissue">
    <w:name w:val="volume_issue"/>
    <w:basedOn w:val="DefaultParagraphFont"/>
    <w:rsid w:val="006212DA"/>
  </w:style>
  <w:style w:type="character" w:customStyle="1" w:styleId="pagerange">
    <w:name w:val="page_range"/>
    <w:basedOn w:val="DefaultParagraphFont"/>
    <w:rsid w:val="006212DA"/>
  </w:style>
  <w:style w:type="character" w:customStyle="1" w:styleId="doilink">
    <w:name w:val="doi_link"/>
    <w:basedOn w:val="DefaultParagraphFont"/>
    <w:rsid w:val="006212DA"/>
  </w:style>
  <w:style w:type="character" w:customStyle="1" w:styleId="Date2">
    <w:name w:val="Date2"/>
    <w:basedOn w:val="DefaultParagraphFont"/>
    <w:rsid w:val="006212DA"/>
  </w:style>
  <w:style w:type="character" w:customStyle="1" w:styleId="scxw97797963">
    <w:name w:val="scxw97797963"/>
    <w:basedOn w:val="DefaultParagraphFont"/>
    <w:rsid w:val="006212DA"/>
  </w:style>
  <w:style w:type="paragraph" w:customStyle="1" w:styleId="cite-detail">
    <w:name w:val="cite-detail"/>
    <w:basedOn w:val="Normal"/>
    <w:rsid w:val="006212DA"/>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paragraphChar">
    <w:name w:val="paragraph Char"/>
    <w:basedOn w:val="DefaultParagraphFont"/>
    <w:link w:val="paragraph"/>
    <w:rsid w:val="006212DA"/>
    <w:rPr>
      <w:rFonts w:ascii="Times New Roman" w:eastAsia="Times New Roman" w:hAnsi="Times New Roman" w:cs="Times New Roman"/>
      <w:sz w:val="24"/>
      <w:szCs w:val="24"/>
      <w:lang w:eastAsia="en-AU"/>
    </w:rPr>
  </w:style>
  <w:style w:type="character" w:customStyle="1" w:styleId="FindingChar">
    <w:name w:val="Finding Char"/>
    <w:basedOn w:val="paragraphChar"/>
    <w:link w:val="Finding"/>
    <w:rsid w:val="006212DA"/>
    <w:rPr>
      <w:rFonts w:ascii="Arial" w:eastAsia="Times New Roman" w:hAnsi="Arial" w:cs="Times New Roman"/>
      <w:b/>
      <w:bCs/>
      <w:color w:val="441170" w:themeColor="text2"/>
      <w:sz w:val="24"/>
      <w:szCs w:val="24"/>
      <w:lang w:eastAsia="en-AU"/>
    </w:rPr>
  </w:style>
  <w:style w:type="paragraph" w:customStyle="1" w:styleId="CaptionTable">
    <w:name w:val="Caption_Table"/>
    <w:basedOn w:val="Normal"/>
    <w:uiPriority w:val="4"/>
    <w:rsid w:val="006212DA"/>
    <w:pPr>
      <w:keepNext/>
      <w:spacing w:before="240" w:after="240" w:line="240" w:lineRule="atLeast"/>
    </w:pPr>
    <w:rPr>
      <w:rFonts w:ascii="Verdana" w:hAnsi="Verdana" w:cs="Aptos"/>
      <w:color w:val="70AD47"/>
      <w:sz w:val="17"/>
      <w:szCs w:val="17"/>
    </w:rPr>
  </w:style>
  <w:style w:type="paragraph" w:customStyle="1" w:styleId="CaptionFigure">
    <w:name w:val="Caption_Figure"/>
    <w:basedOn w:val="Normal"/>
    <w:uiPriority w:val="4"/>
    <w:rsid w:val="006212DA"/>
    <w:pPr>
      <w:keepNext/>
      <w:spacing w:after="170" w:line="240" w:lineRule="atLeast"/>
    </w:pPr>
    <w:rPr>
      <w:rFonts w:ascii="Verdana" w:hAnsi="Verdana" w:cs="Aptos"/>
      <w:color w:val="70AD47"/>
      <w:sz w:val="17"/>
      <w:szCs w:val="17"/>
    </w:rPr>
  </w:style>
  <w:style w:type="paragraph" w:customStyle="1" w:styleId="CaptionChart">
    <w:name w:val="Caption_Chart"/>
    <w:basedOn w:val="Normal"/>
    <w:uiPriority w:val="4"/>
    <w:rsid w:val="006212DA"/>
    <w:pPr>
      <w:keepNext/>
      <w:spacing w:after="170" w:line="240" w:lineRule="atLeast"/>
    </w:pPr>
    <w:rPr>
      <w:rFonts w:ascii="Verdana" w:hAnsi="Verdana" w:cs="Aptos"/>
      <w:color w:val="70AD47"/>
      <w:sz w:val="17"/>
      <w:szCs w:val="17"/>
    </w:rPr>
  </w:style>
  <w:style w:type="table" w:styleId="GridTable5Dark">
    <w:name w:val="Grid Table 5 Dark"/>
    <w:basedOn w:val="TableNormal"/>
    <w:uiPriority w:val="50"/>
    <w:rsid w:val="00A233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customStyle="1" w:styleId="References">
    <w:name w:val="References"/>
    <w:basedOn w:val="Normal"/>
    <w:qFormat/>
    <w:rsid w:val="00A2332E"/>
    <w:pPr>
      <w:ind w:left="567" w:hanging="567"/>
    </w:pPr>
    <w:rPr>
      <w:sz w:val="20"/>
    </w:rPr>
  </w:style>
  <w:style w:type="table" w:customStyle="1" w:styleId="BoxStyle">
    <w:name w:val="Box Style"/>
    <w:basedOn w:val="TableNormal"/>
    <w:uiPriority w:val="99"/>
    <w:rsid w:val="009042F4"/>
    <w:pPr>
      <w:spacing w:after="0" w:line="240" w:lineRule="auto"/>
    </w:pPr>
    <w:tblPr/>
    <w:tcPr>
      <w:shd w:val="clear" w:color="auto" w:fill="E0D1F5" w:themeFill="accent1" w:themeFillTint="33"/>
      <w:tcMar>
        <w:top w:w="284" w:type="dxa"/>
        <w:left w:w="284" w:type="dxa"/>
        <w:bottom w:w="284" w:type="dxa"/>
        <w:right w:w="284" w:type="dxa"/>
      </w:tcMar>
    </w:tcPr>
  </w:style>
  <w:style w:type="table" w:customStyle="1" w:styleId="BoxC2">
    <w:name w:val="Box C2"/>
    <w:basedOn w:val="TableNormal"/>
    <w:uiPriority w:val="99"/>
    <w:rsid w:val="009042F4"/>
    <w:pPr>
      <w:spacing w:after="0" w:line="240" w:lineRule="auto"/>
    </w:pPr>
    <w:tblPr/>
    <w:tcPr>
      <w:shd w:val="clear" w:color="auto" w:fill="CCEBEB"/>
      <w:tcMar>
        <w:top w:w="284" w:type="dxa"/>
        <w:left w:w="284" w:type="dxa"/>
        <w:bottom w:w="284" w:type="dxa"/>
        <w:right w:w="284" w:type="dxa"/>
      </w:tcMar>
    </w:tcPr>
  </w:style>
  <w:style w:type="table" w:customStyle="1" w:styleId="BoxC3">
    <w:name w:val="Box C3"/>
    <w:basedOn w:val="TableNormal"/>
    <w:uiPriority w:val="99"/>
    <w:rsid w:val="009042F4"/>
    <w:pPr>
      <w:spacing w:after="0" w:line="240" w:lineRule="auto"/>
    </w:pPr>
    <w:tblPr/>
    <w:tcPr>
      <w:shd w:val="clear" w:color="auto" w:fill="DAE3F5"/>
      <w:tcMar>
        <w:top w:w="284" w:type="dxa"/>
        <w:left w:w="284" w:type="dxa"/>
        <w:bottom w:w="284" w:type="dxa"/>
        <w:right w:w="284" w:type="dxa"/>
      </w:tcMar>
    </w:tcPr>
  </w:style>
  <w:style w:type="table" w:customStyle="1" w:styleId="Style1">
    <w:name w:val="Style1"/>
    <w:basedOn w:val="TableNormal"/>
    <w:uiPriority w:val="99"/>
    <w:rsid w:val="009042F4"/>
    <w:pPr>
      <w:spacing w:after="0" w:line="240" w:lineRule="auto"/>
    </w:pPr>
    <w:tblPr/>
    <w:trPr>
      <w:cantSplit/>
    </w:trPr>
    <w:tcPr>
      <w:shd w:val="clear" w:color="auto" w:fill="CFE9FA"/>
      <w:tcMar>
        <w:top w:w="284" w:type="dxa"/>
        <w:left w:w="284" w:type="dxa"/>
        <w:bottom w:w="284" w:type="dxa"/>
        <w:right w:w="284" w:type="dxa"/>
      </w:tcMar>
    </w:tcPr>
  </w:style>
  <w:style w:type="table" w:customStyle="1" w:styleId="Style2">
    <w:name w:val="Style2"/>
    <w:basedOn w:val="TableNormal"/>
    <w:uiPriority w:val="99"/>
    <w:rsid w:val="009042F4"/>
    <w:pPr>
      <w:spacing w:after="0" w:line="240" w:lineRule="auto"/>
    </w:pPr>
    <w:tblPr/>
    <w:trPr>
      <w:cantSplit/>
    </w:trPr>
    <w:tcPr>
      <w:shd w:val="clear" w:color="auto" w:fill="ECF1BC" w:themeFill="background2" w:themeFillTint="66"/>
      <w:tcMar>
        <w:top w:w="284" w:type="dxa"/>
        <w:left w:w="284" w:type="dxa"/>
        <w:bottom w:w="284" w:type="dxa"/>
        <w:right w:w="284" w:type="dxa"/>
      </w:tcMa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338071">
      <w:bodyDiv w:val="1"/>
      <w:marLeft w:val="0"/>
      <w:marRight w:val="0"/>
      <w:marTop w:val="0"/>
      <w:marBottom w:val="0"/>
      <w:divBdr>
        <w:top w:val="none" w:sz="0" w:space="0" w:color="auto"/>
        <w:left w:val="none" w:sz="0" w:space="0" w:color="auto"/>
        <w:bottom w:val="none" w:sz="0" w:space="0" w:color="auto"/>
        <w:right w:val="none" w:sz="0" w:space="0" w:color="auto"/>
      </w:divBdr>
    </w:div>
    <w:div w:id="85657828">
      <w:bodyDiv w:val="1"/>
      <w:marLeft w:val="0"/>
      <w:marRight w:val="0"/>
      <w:marTop w:val="0"/>
      <w:marBottom w:val="0"/>
      <w:divBdr>
        <w:top w:val="none" w:sz="0" w:space="0" w:color="auto"/>
        <w:left w:val="none" w:sz="0" w:space="0" w:color="auto"/>
        <w:bottom w:val="none" w:sz="0" w:space="0" w:color="auto"/>
        <w:right w:val="none" w:sz="0" w:space="0" w:color="auto"/>
      </w:divBdr>
    </w:div>
    <w:div w:id="114254989">
      <w:bodyDiv w:val="1"/>
      <w:marLeft w:val="0"/>
      <w:marRight w:val="0"/>
      <w:marTop w:val="0"/>
      <w:marBottom w:val="0"/>
      <w:divBdr>
        <w:top w:val="none" w:sz="0" w:space="0" w:color="auto"/>
        <w:left w:val="none" w:sz="0" w:space="0" w:color="auto"/>
        <w:bottom w:val="none" w:sz="0" w:space="0" w:color="auto"/>
        <w:right w:val="none" w:sz="0" w:space="0" w:color="auto"/>
      </w:divBdr>
    </w:div>
    <w:div w:id="132336111">
      <w:bodyDiv w:val="1"/>
      <w:marLeft w:val="0"/>
      <w:marRight w:val="0"/>
      <w:marTop w:val="0"/>
      <w:marBottom w:val="0"/>
      <w:divBdr>
        <w:top w:val="none" w:sz="0" w:space="0" w:color="auto"/>
        <w:left w:val="none" w:sz="0" w:space="0" w:color="auto"/>
        <w:bottom w:val="none" w:sz="0" w:space="0" w:color="auto"/>
        <w:right w:val="none" w:sz="0" w:space="0" w:color="auto"/>
      </w:divBdr>
    </w:div>
    <w:div w:id="191265988">
      <w:bodyDiv w:val="1"/>
      <w:marLeft w:val="0"/>
      <w:marRight w:val="0"/>
      <w:marTop w:val="0"/>
      <w:marBottom w:val="0"/>
      <w:divBdr>
        <w:top w:val="none" w:sz="0" w:space="0" w:color="auto"/>
        <w:left w:val="none" w:sz="0" w:space="0" w:color="auto"/>
        <w:bottom w:val="none" w:sz="0" w:space="0" w:color="auto"/>
        <w:right w:val="none" w:sz="0" w:space="0" w:color="auto"/>
      </w:divBdr>
    </w:div>
    <w:div w:id="256792903">
      <w:bodyDiv w:val="1"/>
      <w:marLeft w:val="0"/>
      <w:marRight w:val="0"/>
      <w:marTop w:val="0"/>
      <w:marBottom w:val="0"/>
      <w:divBdr>
        <w:top w:val="none" w:sz="0" w:space="0" w:color="auto"/>
        <w:left w:val="none" w:sz="0" w:space="0" w:color="auto"/>
        <w:bottom w:val="none" w:sz="0" w:space="0" w:color="auto"/>
        <w:right w:val="none" w:sz="0" w:space="0" w:color="auto"/>
      </w:divBdr>
    </w:div>
    <w:div w:id="306478085">
      <w:bodyDiv w:val="1"/>
      <w:marLeft w:val="0"/>
      <w:marRight w:val="0"/>
      <w:marTop w:val="0"/>
      <w:marBottom w:val="0"/>
      <w:divBdr>
        <w:top w:val="none" w:sz="0" w:space="0" w:color="auto"/>
        <w:left w:val="none" w:sz="0" w:space="0" w:color="auto"/>
        <w:bottom w:val="none" w:sz="0" w:space="0" w:color="auto"/>
        <w:right w:val="none" w:sz="0" w:space="0" w:color="auto"/>
      </w:divBdr>
    </w:div>
    <w:div w:id="321929862">
      <w:bodyDiv w:val="1"/>
      <w:marLeft w:val="0"/>
      <w:marRight w:val="0"/>
      <w:marTop w:val="0"/>
      <w:marBottom w:val="0"/>
      <w:divBdr>
        <w:top w:val="none" w:sz="0" w:space="0" w:color="auto"/>
        <w:left w:val="none" w:sz="0" w:space="0" w:color="auto"/>
        <w:bottom w:val="none" w:sz="0" w:space="0" w:color="auto"/>
        <w:right w:val="none" w:sz="0" w:space="0" w:color="auto"/>
      </w:divBdr>
    </w:div>
    <w:div w:id="390691392">
      <w:bodyDiv w:val="1"/>
      <w:marLeft w:val="0"/>
      <w:marRight w:val="0"/>
      <w:marTop w:val="0"/>
      <w:marBottom w:val="0"/>
      <w:divBdr>
        <w:top w:val="none" w:sz="0" w:space="0" w:color="auto"/>
        <w:left w:val="none" w:sz="0" w:space="0" w:color="auto"/>
        <w:bottom w:val="none" w:sz="0" w:space="0" w:color="auto"/>
        <w:right w:val="none" w:sz="0" w:space="0" w:color="auto"/>
      </w:divBdr>
    </w:div>
    <w:div w:id="442118336">
      <w:bodyDiv w:val="1"/>
      <w:marLeft w:val="0"/>
      <w:marRight w:val="0"/>
      <w:marTop w:val="0"/>
      <w:marBottom w:val="0"/>
      <w:divBdr>
        <w:top w:val="none" w:sz="0" w:space="0" w:color="auto"/>
        <w:left w:val="none" w:sz="0" w:space="0" w:color="auto"/>
        <w:bottom w:val="none" w:sz="0" w:space="0" w:color="auto"/>
        <w:right w:val="none" w:sz="0" w:space="0" w:color="auto"/>
      </w:divBdr>
    </w:div>
    <w:div w:id="449518038">
      <w:bodyDiv w:val="1"/>
      <w:marLeft w:val="0"/>
      <w:marRight w:val="0"/>
      <w:marTop w:val="0"/>
      <w:marBottom w:val="0"/>
      <w:divBdr>
        <w:top w:val="none" w:sz="0" w:space="0" w:color="auto"/>
        <w:left w:val="none" w:sz="0" w:space="0" w:color="auto"/>
        <w:bottom w:val="none" w:sz="0" w:space="0" w:color="auto"/>
        <w:right w:val="none" w:sz="0" w:space="0" w:color="auto"/>
      </w:divBdr>
    </w:div>
    <w:div w:id="471606876">
      <w:bodyDiv w:val="1"/>
      <w:marLeft w:val="0"/>
      <w:marRight w:val="0"/>
      <w:marTop w:val="0"/>
      <w:marBottom w:val="0"/>
      <w:divBdr>
        <w:top w:val="none" w:sz="0" w:space="0" w:color="auto"/>
        <w:left w:val="none" w:sz="0" w:space="0" w:color="auto"/>
        <w:bottom w:val="none" w:sz="0" w:space="0" w:color="auto"/>
        <w:right w:val="none" w:sz="0" w:space="0" w:color="auto"/>
      </w:divBdr>
    </w:div>
    <w:div w:id="513958061">
      <w:bodyDiv w:val="1"/>
      <w:marLeft w:val="0"/>
      <w:marRight w:val="0"/>
      <w:marTop w:val="0"/>
      <w:marBottom w:val="0"/>
      <w:divBdr>
        <w:top w:val="none" w:sz="0" w:space="0" w:color="auto"/>
        <w:left w:val="none" w:sz="0" w:space="0" w:color="auto"/>
        <w:bottom w:val="none" w:sz="0" w:space="0" w:color="auto"/>
        <w:right w:val="none" w:sz="0" w:space="0" w:color="auto"/>
      </w:divBdr>
    </w:div>
    <w:div w:id="533733428">
      <w:bodyDiv w:val="1"/>
      <w:marLeft w:val="0"/>
      <w:marRight w:val="0"/>
      <w:marTop w:val="0"/>
      <w:marBottom w:val="0"/>
      <w:divBdr>
        <w:top w:val="none" w:sz="0" w:space="0" w:color="auto"/>
        <w:left w:val="none" w:sz="0" w:space="0" w:color="auto"/>
        <w:bottom w:val="none" w:sz="0" w:space="0" w:color="auto"/>
        <w:right w:val="none" w:sz="0" w:space="0" w:color="auto"/>
      </w:divBdr>
    </w:div>
    <w:div w:id="547105331">
      <w:bodyDiv w:val="1"/>
      <w:marLeft w:val="0"/>
      <w:marRight w:val="0"/>
      <w:marTop w:val="0"/>
      <w:marBottom w:val="0"/>
      <w:divBdr>
        <w:top w:val="none" w:sz="0" w:space="0" w:color="auto"/>
        <w:left w:val="none" w:sz="0" w:space="0" w:color="auto"/>
        <w:bottom w:val="none" w:sz="0" w:space="0" w:color="auto"/>
        <w:right w:val="none" w:sz="0" w:space="0" w:color="auto"/>
      </w:divBdr>
    </w:div>
    <w:div w:id="551576961">
      <w:bodyDiv w:val="1"/>
      <w:marLeft w:val="0"/>
      <w:marRight w:val="0"/>
      <w:marTop w:val="0"/>
      <w:marBottom w:val="0"/>
      <w:divBdr>
        <w:top w:val="none" w:sz="0" w:space="0" w:color="auto"/>
        <w:left w:val="none" w:sz="0" w:space="0" w:color="auto"/>
        <w:bottom w:val="none" w:sz="0" w:space="0" w:color="auto"/>
        <w:right w:val="none" w:sz="0" w:space="0" w:color="auto"/>
      </w:divBdr>
    </w:div>
    <w:div w:id="637802497">
      <w:bodyDiv w:val="1"/>
      <w:marLeft w:val="0"/>
      <w:marRight w:val="0"/>
      <w:marTop w:val="0"/>
      <w:marBottom w:val="0"/>
      <w:divBdr>
        <w:top w:val="none" w:sz="0" w:space="0" w:color="auto"/>
        <w:left w:val="none" w:sz="0" w:space="0" w:color="auto"/>
        <w:bottom w:val="none" w:sz="0" w:space="0" w:color="auto"/>
        <w:right w:val="none" w:sz="0" w:space="0" w:color="auto"/>
      </w:divBdr>
    </w:div>
    <w:div w:id="758062595">
      <w:bodyDiv w:val="1"/>
      <w:marLeft w:val="0"/>
      <w:marRight w:val="0"/>
      <w:marTop w:val="0"/>
      <w:marBottom w:val="0"/>
      <w:divBdr>
        <w:top w:val="none" w:sz="0" w:space="0" w:color="auto"/>
        <w:left w:val="none" w:sz="0" w:space="0" w:color="auto"/>
        <w:bottom w:val="none" w:sz="0" w:space="0" w:color="auto"/>
        <w:right w:val="none" w:sz="0" w:space="0" w:color="auto"/>
      </w:divBdr>
    </w:div>
    <w:div w:id="792557925">
      <w:bodyDiv w:val="1"/>
      <w:marLeft w:val="0"/>
      <w:marRight w:val="0"/>
      <w:marTop w:val="0"/>
      <w:marBottom w:val="0"/>
      <w:divBdr>
        <w:top w:val="none" w:sz="0" w:space="0" w:color="auto"/>
        <w:left w:val="none" w:sz="0" w:space="0" w:color="auto"/>
        <w:bottom w:val="none" w:sz="0" w:space="0" w:color="auto"/>
        <w:right w:val="none" w:sz="0" w:space="0" w:color="auto"/>
      </w:divBdr>
    </w:div>
    <w:div w:id="830412846">
      <w:bodyDiv w:val="1"/>
      <w:marLeft w:val="0"/>
      <w:marRight w:val="0"/>
      <w:marTop w:val="0"/>
      <w:marBottom w:val="0"/>
      <w:divBdr>
        <w:top w:val="none" w:sz="0" w:space="0" w:color="auto"/>
        <w:left w:val="none" w:sz="0" w:space="0" w:color="auto"/>
        <w:bottom w:val="none" w:sz="0" w:space="0" w:color="auto"/>
        <w:right w:val="none" w:sz="0" w:space="0" w:color="auto"/>
      </w:divBdr>
    </w:div>
    <w:div w:id="834224026">
      <w:bodyDiv w:val="1"/>
      <w:marLeft w:val="0"/>
      <w:marRight w:val="0"/>
      <w:marTop w:val="0"/>
      <w:marBottom w:val="0"/>
      <w:divBdr>
        <w:top w:val="none" w:sz="0" w:space="0" w:color="auto"/>
        <w:left w:val="none" w:sz="0" w:space="0" w:color="auto"/>
        <w:bottom w:val="none" w:sz="0" w:space="0" w:color="auto"/>
        <w:right w:val="none" w:sz="0" w:space="0" w:color="auto"/>
      </w:divBdr>
    </w:div>
    <w:div w:id="867565799">
      <w:bodyDiv w:val="1"/>
      <w:marLeft w:val="0"/>
      <w:marRight w:val="0"/>
      <w:marTop w:val="0"/>
      <w:marBottom w:val="0"/>
      <w:divBdr>
        <w:top w:val="none" w:sz="0" w:space="0" w:color="auto"/>
        <w:left w:val="none" w:sz="0" w:space="0" w:color="auto"/>
        <w:bottom w:val="none" w:sz="0" w:space="0" w:color="auto"/>
        <w:right w:val="none" w:sz="0" w:space="0" w:color="auto"/>
      </w:divBdr>
    </w:div>
    <w:div w:id="888031745">
      <w:bodyDiv w:val="1"/>
      <w:marLeft w:val="0"/>
      <w:marRight w:val="0"/>
      <w:marTop w:val="0"/>
      <w:marBottom w:val="0"/>
      <w:divBdr>
        <w:top w:val="none" w:sz="0" w:space="0" w:color="auto"/>
        <w:left w:val="none" w:sz="0" w:space="0" w:color="auto"/>
        <w:bottom w:val="none" w:sz="0" w:space="0" w:color="auto"/>
        <w:right w:val="none" w:sz="0" w:space="0" w:color="auto"/>
      </w:divBdr>
    </w:div>
    <w:div w:id="919945259">
      <w:bodyDiv w:val="1"/>
      <w:marLeft w:val="0"/>
      <w:marRight w:val="0"/>
      <w:marTop w:val="0"/>
      <w:marBottom w:val="0"/>
      <w:divBdr>
        <w:top w:val="none" w:sz="0" w:space="0" w:color="auto"/>
        <w:left w:val="none" w:sz="0" w:space="0" w:color="auto"/>
        <w:bottom w:val="none" w:sz="0" w:space="0" w:color="auto"/>
        <w:right w:val="none" w:sz="0" w:space="0" w:color="auto"/>
      </w:divBdr>
    </w:div>
    <w:div w:id="928925695">
      <w:bodyDiv w:val="1"/>
      <w:marLeft w:val="0"/>
      <w:marRight w:val="0"/>
      <w:marTop w:val="0"/>
      <w:marBottom w:val="0"/>
      <w:divBdr>
        <w:top w:val="none" w:sz="0" w:space="0" w:color="auto"/>
        <w:left w:val="none" w:sz="0" w:space="0" w:color="auto"/>
        <w:bottom w:val="none" w:sz="0" w:space="0" w:color="auto"/>
        <w:right w:val="none" w:sz="0" w:space="0" w:color="auto"/>
      </w:divBdr>
    </w:div>
    <w:div w:id="978921248">
      <w:bodyDiv w:val="1"/>
      <w:marLeft w:val="0"/>
      <w:marRight w:val="0"/>
      <w:marTop w:val="0"/>
      <w:marBottom w:val="0"/>
      <w:divBdr>
        <w:top w:val="none" w:sz="0" w:space="0" w:color="auto"/>
        <w:left w:val="none" w:sz="0" w:space="0" w:color="auto"/>
        <w:bottom w:val="none" w:sz="0" w:space="0" w:color="auto"/>
        <w:right w:val="none" w:sz="0" w:space="0" w:color="auto"/>
      </w:divBdr>
    </w:div>
    <w:div w:id="981808734">
      <w:bodyDiv w:val="1"/>
      <w:marLeft w:val="0"/>
      <w:marRight w:val="0"/>
      <w:marTop w:val="0"/>
      <w:marBottom w:val="0"/>
      <w:divBdr>
        <w:top w:val="none" w:sz="0" w:space="0" w:color="auto"/>
        <w:left w:val="none" w:sz="0" w:space="0" w:color="auto"/>
        <w:bottom w:val="none" w:sz="0" w:space="0" w:color="auto"/>
        <w:right w:val="none" w:sz="0" w:space="0" w:color="auto"/>
      </w:divBdr>
    </w:div>
    <w:div w:id="1029722160">
      <w:bodyDiv w:val="1"/>
      <w:marLeft w:val="0"/>
      <w:marRight w:val="0"/>
      <w:marTop w:val="0"/>
      <w:marBottom w:val="0"/>
      <w:divBdr>
        <w:top w:val="none" w:sz="0" w:space="0" w:color="auto"/>
        <w:left w:val="none" w:sz="0" w:space="0" w:color="auto"/>
        <w:bottom w:val="none" w:sz="0" w:space="0" w:color="auto"/>
        <w:right w:val="none" w:sz="0" w:space="0" w:color="auto"/>
      </w:divBdr>
    </w:div>
    <w:div w:id="1113554351">
      <w:bodyDiv w:val="1"/>
      <w:marLeft w:val="0"/>
      <w:marRight w:val="0"/>
      <w:marTop w:val="0"/>
      <w:marBottom w:val="0"/>
      <w:divBdr>
        <w:top w:val="none" w:sz="0" w:space="0" w:color="auto"/>
        <w:left w:val="none" w:sz="0" w:space="0" w:color="auto"/>
        <w:bottom w:val="none" w:sz="0" w:space="0" w:color="auto"/>
        <w:right w:val="none" w:sz="0" w:space="0" w:color="auto"/>
      </w:divBdr>
    </w:div>
    <w:div w:id="1117528102">
      <w:bodyDiv w:val="1"/>
      <w:marLeft w:val="0"/>
      <w:marRight w:val="0"/>
      <w:marTop w:val="0"/>
      <w:marBottom w:val="0"/>
      <w:divBdr>
        <w:top w:val="none" w:sz="0" w:space="0" w:color="auto"/>
        <w:left w:val="none" w:sz="0" w:space="0" w:color="auto"/>
        <w:bottom w:val="none" w:sz="0" w:space="0" w:color="auto"/>
        <w:right w:val="none" w:sz="0" w:space="0" w:color="auto"/>
      </w:divBdr>
      <w:divsChild>
        <w:div w:id="337123347">
          <w:marLeft w:val="0"/>
          <w:marRight w:val="0"/>
          <w:marTop w:val="0"/>
          <w:marBottom w:val="0"/>
          <w:divBdr>
            <w:top w:val="none" w:sz="0" w:space="0" w:color="auto"/>
            <w:left w:val="none" w:sz="0" w:space="0" w:color="auto"/>
            <w:bottom w:val="none" w:sz="0" w:space="0" w:color="auto"/>
            <w:right w:val="none" w:sz="0" w:space="0" w:color="auto"/>
          </w:divBdr>
        </w:div>
        <w:div w:id="374476089">
          <w:marLeft w:val="0"/>
          <w:marRight w:val="0"/>
          <w:marTop w:val="0"/>
          <w:marBottom w:val="0"/>
          <w:divBdr>
            <w:top w:val="none" w:sz="0" w:space="0" w:color="auto"/>
            <w:left w:val="none" w:sz="0" w:space="0" w:color="auto"/>
            <w:bottom w:val="none" w:sz="0" w:space="0" w:color="auto"/>
            <w:right w:val="none" w:sz="0" w:space="0" w:color="auto"/>
          </w:divBdr>
        </w:div>
        <w:div w:id="688943683">
          <w:marLeft w:val="0"/>
          <w:marRight w:val="0"/>
          <w:marTop w:val="0"/>
          <w:marBottom w:val="0"/>
          <w:divBdr>
            <w:top w:val="none" w:sz="0" w:space="0" w:color="auto"/>
            <w:left w:val="none" w:sz="0" w:space="0" w:color="auto"/>
            <w:bottom w:val="none" w:sz="0" w:space="0" w:color="auto"/>
            <w:right w:val="none" w:sz="0" w:space="0" w:color="auto"/>
          </w:divBdr>
        </w:div>
        <w:div w:id="762724762">
          <w:marLeft w:val="0"/>
          <w:marRight w:val="0"/>
          <w:marTop w:val="0"/>
          <w:marBottom w:val="0"/>
          <w:divBdr>
            <w:top w:val="none" w:sz="0" w:space="0" w:color="auto"/>
            <w:left w:val="none" w:sz="0" w:space="0" w:color="auto"/>
            <w:bottom w:val="none" w:sz="0" w:space="0" w:color="auto"/>
            <w:right w:val="none" w:sz="0" w:space="0" w:color="auto"/>
          </w:divBdr>
        </w:div>
        <w:div w:id="988705478">
          <w:marLeft w:val="0"/>
          <w:marRight w:val="0"/>
          <w:marTop w:val="0"/>
          <w:marBottom w:val="0"/>
          <w:divBdr>
            <w:top w:val="none" w:sz="0" w:space="0" w:color="auto"/>
            <w:left w:val="none" w:sz="0" w:space="0" w:color="auto"/>
            <w:bottom w:val="none" w:sz="0" w:space="0" w:color="auto"/>
            <w:right w:val="none" w:sz="0" w:space="0" w:color="auto"/>
          </w:divBdr>
        </w:div>
        <w:div w:id="1100682340">
          <w:marLeft w:val="0"/>
          <w:marRight w:val="0"/>
          <w:marTop w:val="0"/>
          <w:marBottom w:val="0"/>
          <w:divBdr>
            <w:top w:val="none" w:sz="0" w:space="0" w:color="auto"/>
            <w:left w:val="none" w:sz="0" w:space="0" w:color="auto"/>
            <w:bottom w:val="none" w:sz="0" w:space="0" w:color="auto"/>
            <w:right w:val="none" w:sz="0" w:space="0" w:color="auto"/>
          </w:divBdr>
        </w:div>
        <w:div w:id="1199198055">
          <w:marLeft w:val="0"/>
          <w:marRight w:val="0"/>
          <w:marTop w:val="0"/>
          <w:marBottom w:val="0"/>
          <w:divBdr>
            <w:top w:val="none" w:sz="0" w:space="0" w:color="auto"/>
            <w:left w:val="none" w:sz="0" w:space="0" w:color="auto"/>
            <w:bottom w:val="none" w:sz="0" w:space="0" w:color="auto"/>
            <w:right w:val="none" w:sz="0" w:space="0" w:color="auto"/>
          </w:divBdr>
        </w:div>
      </w:divsChild>
    </w:div>
    <w:div w:id="1120495095">
      <w:bodyDiv w:val="1"/>
      <w:marLeft w:val="0"/>
      <w:marRight w:val="0"/>
      <w:marTop w:val="0"/>
      <w:marBottom w:val="0"/>
      <w:divBdr>
        <w:top w:val="none" w:sz="0" w:space="0" w:color="auto"/>
        <w:left w:val="none" w:sz="0" w:space="0" w:color="auto"/>
        <w:bottom w:val="none" w:sz="0" w:space="0" w:color="auto"/>
        <w:right w:val="none" w:sz="0" w:space="0" w:color="auto"/>
      </w:divBdr>
    </w:div>
    <w:div w:id="1145391717">
      <w:bodyDiv w:val="1"/>
      <w:marLeft w:val="0"/>
      <w:marRight w:val="0"/>
      <w:marTop w:val="0"/>
      <w:marBottom w:val="0"/>
      <w:divBdr>
        <w:top w:val="none" w:sz="0" w:space="0" w:color="auto"/>
        <w:left w:val="none" w:sz="0" w:space="0" w:color="auto"/>
        <w:bottom w:val="none" w:sz="0" w:space="0" w:color="auto"/>
        <w:right w:val="none" w:sz="0" w:space="0" w:color="auto"/>
      </w:divBdr>
    </w:div>
    <w:div w:id="1151023814">
      <w:bodyDiv w:val="1"/>
      <w:marLeft w:val="0"/>
      <w:marRight w:val="0"/>
      <w:marTop w:val="0"/>
      <w:marBottom w:val="0"/>
      <w:divBdr>
        <w:top w:val="none" w:sz="0" w:space="0" w:color="auto"/>
        <w:left w:val="none" w:sz="0" w:space="0" w:color="auto"/>
        <w:bottom w:val="none" w:sz="0" w:space="0" w:color="auto"/>
        <w:right w:val="none" w:sz="0" w:space="0" w:color="auto"/>
      </w:divBdr>
    </w:div>
    <w:div w:id="1162819298">
      <w:bodyDiv w:val="1"/>
      <w:marLeft w:val="0"/>
      <w:marRight w:val="0"/>
      <w:marTop w:val="0"/>
      <w:marBottom w:val="0"/>
      <w:divBdr>
        <w:top w:val="none" w:sz="0" w:space="0" w:color="auto"/>
        <w:left w:val="none" w:sz="0" w:space="0" w:color="auto"/>
        <w:bottom w:val="none" w:sz="0" w:space="0" w:color="auto"/>
        <w:right w:val="none" w:sz="0" w:space="0" w:color="auto"/>
      </w:divBdr>
    </w:div>
    <w:div w:id="1167012633">
      <w:bodyDiv w:val="1"/>
      <w:marLeft w:val="0"/>
      <w:marRight w:val="0"/>
      <w:marTop w:val="0"/>
      <w:marBottom w:val="0"/>
      <w:divBdr>
        <w:top w:val="none" w:sz="0" w:space="0" w:color="auto"/>
        <w:left w:val="none" w:sz="0" w:space="0" w:color="auto"/>
        <w:bottom w:val="none" w:sz="0" w:space="0" w:color="auto"/>
        <w:right w:val="none" w:sz="0" w:space="0" w:color="auto"/>
      </w:divBdr>
    </w:div>
    <w:div w:id="1206454011">
      <w:bodyDiv w:val="1"/>
      <w:marLeft w:val="0"/>
      <w:marRight w:val="0"/>
      <w:marTop w:val="0"/>
      <w:marBottom w:val="0"/>
      <w:divBdr>
        <w:top w:val="none" w:sz="0" w:space="0" w:color="auto"/>
        <w:left w:val="none" w:sz="0" w:space="0" w:color="auto"/>
        <w:bottom w:val="none" w:sz="0" w:space="0" w:color="auto"/>
        <w:right w:val="none" w:sz="0" w:space="0" w:color="auto"/>
      </w:divBdr>
    </w:div>
    <w:div w:id="1218667210">
      <w:bodyDiv w:val="1"/>
      <w:marLeft w:val="0"/>
      <w:marRight w:val="0"/>
      <w:marTop w:val="0"/>
      <w:marBottom w:val="0"/>
      <w:divBdr>
        <w:top w:val="none" w:sz="0" w:space="0" w:color="auto"/>
        <w:left w:val="none" w:sz="0" w:space="0" w:color="auto"/>
        <w:bottom w:val="none" w:sz="0" w:space="0" w:color="auto"/>
        <w:right w:val="none" w:sz="0" w:space="0" w:color="auto"/>
      </w:divBdr>
    </w:div>
    <w:div w:id="1225139103">
      <w:bodyDiv w:val="1"/>
      <w:marLeft w:val="0"/>
      <w:marRight w:val="0"/>
      <w:marTop w:val="0"/>
      <w:marBottom w:val="0"/>
      <w:divBdr>
        <w:top w:val="none" w:sz="0" w:space="0" w:color="auto"/>
        <w:left w:val="none" w:sz="0" w:space="0" w:color="auto"/>
        <w:bottom w:val="none" w:sz="0" w:space="0" w:color="auto"/>
        <w:right w:val="none" w:sz="0" w:space="0" w:color="auto"/>
      </w:divBdr>
    </w:div>
    <w:div w:id="1233006788">
      <w:bodyDiv w:val="1"/>
      <w:marLeft w:val="0"/>
      <w:marRight w:val="0"/>
      <w:marTop w:val="0"/>
      <w:marBottom w:val="0"/>
      <w:divBdr>
        <w:top w:val="none" w:sz="0" w:space="0" w:color="auto"/>
        <w:left w:val="none" w:sz="0" w:space="0" w:color="auto"/>
        <w:bottom w:val="none" w:sz="0" w:space="0" w:color="auto"/>
        <w:right w:val="none" w:sz="0" w:space="0" w:color="auto"/>
      </w:divBdr>
    </w:div>
    <w:div w:id="1243875051">
      <w:bodyDiv w:val="1"/>
      <w:marLeft w:val="0"/>
      <w:marRight w:val="0"/>
      <w:marTop w:val="0"/>
      <w:marBottom w:val="0"/>
      <w:divBdr>
        <w:top w:val="none" w:sz="0" w:space="0" w:color="auto"/>
        <w:left w:val="none" w:sz="0" w:space="0" w:color="auto"/>
        <w:bottom w:val="none" w:sz="0" w:space="0" w:color="auto"/>
        <w:right w:val="none" w:sz="0" w:space="0" w:color="auto"/>
      </w:divBdr>
      <w:divsChild>
        <w:div w:id="187840582">
          <w:marLeft w:val="0"/>
          <w:marRight w:val="0"/>
          <w:marTop w:val="0"/>
          <w:marBottom w:val="0"/>
          <w:divBdr>
            <w:top w:val="none" w:sz="0" w:space="0" w:color="auto"/>
            <w:left w:val="none" w:sz="0" w:space="0" w:color="auto"/>
            <w:bottom w:val="none" w:sz="0" w:space="0" w:color="auto"/>
            <w:right w:val="none" w:sz="0" w:space="0" w:color="auto"/>
          </w:divBdr>
        </w:div>
        <w:div w:id="223882003">
          <w:marLeft w:val="0"/>
          <w:marRight w:val="0"/>
          <w:marTop w:val="0"/>
          <w:marBottom w:val="0"/>
          <w:divBdr>
            <w:top w:val="none" w:sz="0" w:space="0" w:color="auto"/>
            <w:left w:val="none" w:sz="0" w:space="0" w:color="auto"/>
            <w:bottom w:val="none" w:sz="0" w:space="0" w:color="auto"/>
            <w:right w:val="none" w:sz="0" w:space="0" w:color="auto"/>
          </w:divBdr>
        </w:div>
        <w:div w:id="307706529">
          <w:marLeft w:val="0"/>
          <w:marRight w:val="0"/>
          <w:marTop w:val="0"/>
          <w:marBottom w:val="0"/>
          <w:divBdr>
            <w:top w:val="none" w:sz="0" w:space="0" w:color="auto"/>
            <w:left w:val="none" w:sz="0" w:space="0" w:color="auto"/>
            <w:bottom w:val="none" w:sz="0" w:space="0" w:color="auto"/>
            <w:right w:val="none" w:sz="0" w:space="0" w:color="auto"/>
          </w:divBdr>
        </w:div>
        <w:div w:id="477068205">
          <w:marLeft w:val="0"/>
          <w:marRight w:val="0"/>
          <w:marTop w:val="0"/>
          <w:marBottom w:val="0"/>
          <w:divBdr>
            <w:top w:val="none" w:sz="0" w:space="0" w:color="auto"/>
            <w:left w:val="none" w:sz="0" w:space="0" w:color="auto"/>
            <w:bottom w:val="none" w:sz="0" w:space="0" w:color="auto"/>
            <w:right w:val="none" w:sz="0" w:space="0" w:color="auto"/>
          </w:divBdr>
        </w:div>
        <w:div w:id="1069423325">
          <w:marLeft w:val="0"/>
          <w:marRight w:val="0"/>
          <w:marTop w:val="0"/>
          <w:marBottom w:val="0"/>
          <w:divBdr>
            <w:top w:val="none" w:sz="0" w:space="0" w:color="auto"/>
            <w:left w:val="none" w:sz="0" w:space="0" w:color="auto"/>
            <w:bottom w:val="none" w:sz="0" w:space="0" w:color="auto"/>
            <w:right w:val="none" w:sz="0" w:space="0" w:color="auto"/>
          </w:divBdr>
        </w:div>
        <w:div w:id="1174225758">
          <w:marLeft w:val="0"/>
          <w:marRight w:val="0"/>
          <w:marTop w:val="0"/>
          <w:marBottom w:val="0"/>
          <w:divBdr>
            <w:top w:val="none" w:sz="0" w:space="0" w:color="auto"/>
            <w:left w:val="none" w:sz="0" w:space="0" w:color="auto"/>
            <w:bottom w:val="none" w:sz="0" w:space="0" w:color="auto"/>
            <w:right w:val="none" w:sz="0" w:space="0" w:color="auto"/>
          </w:divBdr>
        </w:div>
        <w:div w:id="1563521049">
          <w:marLeft w:val="0"/>
          <w:marRight w:val="0"/>
          <w:marTop w:val="0"/>
          <w:marBottom w:val="0"/>
          <w:divBdr>
            <w:top w:val="none" w:sz="0" w:space="0" w:color="auto"/>
            <w:left w:val="none" w:sz="0" w:space="0" w:color="auto"/>
            <w:bottom w:val="none" w:sz="0" w:space="0" w:color="auto"/>
            <w:right w:val="none" w:sz="0" w:space="0" w:color="auto"/>
          </w:divBdr>
        </w:div>
        <w:div w:id="1801338689">
          <w:marLeft w:val="0"/>
          <w:marRight w:val="0"/>
          <w:marTop w:val="0"/>
          <w:marBottom w:val="0"/>
          <w:divBdr>
            <w:top w:val="none" w:sz="0" w:space="0" w:color="auto"/>
            <w:left w:val="none" w:sz="0" w:space="0" w:color="auto"/>
            <w:bottom w:val="none" w:sz="0" w:space="0" w:color="auto"/>
            <w:right w:val="none" w:sz="0" w:space="0" w:color="auto"/>
          </w:divBdr>
        </w:div>
      </w:divsChild>
    </w:div>
    <w:div w:id="1287929368">
      <w:bodyDiv w:val="1"/>
      <w:marLeft w:val="0"/>
      <w:marRight w:val="0"/>
      <w:marTop w:val="0"/>
      <w:marBottom w:val="0"/>
      <w:divBdr>
        <w:top w:val="none" w:sz="0" w:space="0" w:color="auto"/>
        <w:left w:val="none" w:sz="0" w:space="0" w:color="auto"/>
        <w:bottom w:val="none" w:sz="0" w:space="0" w:color="auto"/>
        <w:right w:val="none" w:sz="0" w:space="0" w:color="auto"/>
      </w:divBdr>
    </w:div>
    <w:div w:id="1295333891">
      <w:bodyDiv w:val="1"/>
      <w:marLeft w:val="0"/>
      <w:marRight w:val="0"/>
      <w:marTop w:val="0"/>
      <w:marBottom w:val="0"/>
      <w:divBdr>
        <w:top w:val="none" w:sz="0" w:space="0" w:color="auto"/>
        <w:left w:val="none" w:sz="0" w:space="0" w:color="auto"/>
        <w:bottom w:val="none" w:sz="0" w:space="0" w:color="auto"/>
        <w:right w:val="none" w:sz="0" w:space="0" w:color="auto"/>
      </w:divBdr>
    </w:div>
    <w:div w:id="1295602441">
      <w:bodyDiv w:val="1"/>
      <w:marLeft w:val="0"/>
      <w:marRight w:val="0"/>
      <w:marTop w:val="0"/>
      <w:marBottom w:val="0"/>
      <w:divBdr>
        <w:top w:val="none" w:sz="0" w:space="0" w:color="auto"/>
        <w:left w:val="none" w:sz="0" w:space="0" w:color="auto"/>
        <w:bottom w:val="none" w:sz="0" w:space="0" w:color="auto"/>
        <w:right w:val="none" w:sz="0" w:space="0" w:color="auto"/>
      </w:divBdr>
    </w:div>
    <w:div w:id="1337727700">
      <w:bodyDiv w:val="1"/>
      <w:marLeft w:val="0"/>
      <w:marRight w:val="0"/>
      <w:marTop w:val="0"/>
      <w:marBottom w:val="0"/>
      <w:divBdr>
        <w:top w:val="none" w:sz="0" w:space="0" w:color="auto"/>
        <w:left w:val="none" w:sz="0" w:space="0" w:color="auto"/>
        <w:bottom w:val="none" w:sz="0" w:space="0" w:color="auto"/>
        <w:right w:val="none" w:sz="0" w:space="0" w:color="auto"/>
      </w:divBdr>
    </w:div>
    <w:div w:id="1346790318">
      <w:bodyDiv w:val="1"/>
      <w:marLeft w:val="0"/>
      <w:marRight w:val="0"/>
      <w:marTop w:val="0"/>
      <w:marBottom w:val="0"/>
      <w:divBdr>
        <w:top w:val="none" w:sz="0" w:space="0" w:color="auto"/>
        <w:left w:val="none" w:sz="0" w:space="0" w:color="auto"/>
        <w:bottom w:val="none" w:sz="0" w:space="0" w:color="auto"/>
        <w:right w:val="none" w:sz="0" w:space="0" w:color="auto"/>
      </w:divBdr>
    </w:div>
    <w:div w:id="1396857929">
      <w:bodyDiv w:val="1"/>
      <w:marLeft w:val="0"/>
      <w:marRight w:val="0"/>
      <w:marTop w:val="0"/>
      <w:marBottom w:val="0"/>
      <w:divBdr>
        <w:top w:val="none" w:sz="0" w:space="0" w:color="auto"/>
        <w:left w:val="none" w:sz="0" w:space="0" w:color="auto"/>
        <w:bottom w:val="none" w:sz="0" w:space="0" w:color="auto"/>
        <w:right w:val="none" w:sz="0" w:space="0" w:color="auto"/>
      </w:divBdr>
    </w:div>
    <w:div w:id="1566603439">
      <w:bodyDiv w:val="1"/>
      <w:marLeft w:val="0"/>
      <w:marRight w:val="0"/>
      <w:marTop w:val="0"/>
      <w:marBottom w:val="0"/>
      <w:divBdr>
        <w:top w:val="none" w:sz="0" w:space="0" w:color="auto"/>
        <w:left w:val="none" w:sz="0" w:space="0" w:color="auto"/>
        <w:bottom w:val="none" w:sz="0" w:space="0" w:color="auto"/>
        <w:right w:val="none" w:sz="0" w:space="0" w:color="auto"/>
      </w:divBdr>
    </w:div>
    <w:div w:id="1731616380">
      <w:bodyDiv w:val="1"/>
      <w:marLeft w:val="0"/>
      <w:marRight w:val="0"/>
      <w:marTop w:val="0"/>
      <w:marBottom w:val="0"/>
      <w:divBdr>
        <w:top w:val="none" w:sz="0" w:space="0" w:color="auto"/>
        <w:left w:val="none" w:sz="0" w:space="0" w:color="auto"/>
        <w:bottom w:val="none" w:sz="0" w:space="0" w:color="auto"/>
        <w:right w:val="none" w:sz="0" w:space="0" w:color="auto"/>
      </w:divBdr>
    </w:div>
    <w:div w:id="1741781643">
      <w:bodyDiv w:val="1"/>
      <w:marLeft w:val="0"/>
      <w:marRight w:val="0"/>
      <w:marTop w:val="0"/>
      <w:marBottom w:val="0"/>
      <w:divBdr>
        <w:top w:val="none" w:sz="0" w:space="0" w:color="auto"/>
        <w:left w:val="none" w:sz="0" w:space="0" w:color="auto"/>
        <w:bottom w:val="none" w:sz="0" w:space="0" w:color="auto"/>
        <w:right w:val="none" w:sz="0" w:space="0" w:color="auto"/>
      </w:divBdr>
    </w:div>
    <w:div w:id="1793553891">
      <w:bodyDiv w:val="1"/>
      <w:marLeft w:val="0"/>
      <w:marRight w:val="0"/>
      <w:marTop w:val="0"/>
      <w:marBottom w:val="0"/>
      <w:divBdr>
        <w:top w:val="none" w:sz="0" w:space="0" w:color="auto"/>
        <w:left w:val="none" w:sz="0" w:space="0" w:color="auto"/>
        <w:bottom w:val="none" w:sz="0" w:space="0" w:color="auto"/>
        <w:right w:val="none" w:sz="0" w:space="0" w:color="auto"/>
      </w:divBdr>
    </w:div>
    <w:div w:id="1823423913">
      <w:bodyDiv w:val="1"/>
      <w:marLeft w:val="0"/>
      <w:marRight w:val="0"/>
      <w:marTop w:val="0"/>
      <w:marBottom w:val="0"/>
      <w:divBdr>
        <w:top w:val="none" w:sz="0" w:space="0" w:color="auto"/>
        <w:left w:val="none" w:sz="0" w:space="0" w:color="auto"/>
        <w:bottom w:val="none" w:sz="0" w:space="0" w:color="auto"/>
        <w:right w:val="none" w:sz="0" w:space="0" w:color="auto"/>
      </w:divBdr>
    </w:div>
    <w:div w:id="1836604938">
      <w:bodyDiv w:val="1"/>
      <w:marLeft w:val="0"/>
      <w:marRight w:val="0"/>
      <w:marTop w:val="0"/>
      <w:marBottom w:val="0"/>
      <w:divBdr>
        <w:top w:val="none" w:sz="0" w:space="0" w:color="auto"/>
        <w:left w:val="none" w:sz="0" w:space="0" w:color="auto"/>
        <w:bottom w:val="none" w:sz="0" w:space="0" w:color="auto"/>
        <w:right w:val="none" w:sz="0" w:space="0" w:color="auto"/>
      </w:divBdr>
    </w:div>
    <w:div w:id="1958948713">
      <w:bodyDiv w:val="1"/>
      <w:marLeft w:val="0"/>
      <w:marRight w:val="0"/>
      <w:marTop w:val="0"/>
      <w:marBottom w:val="0"/>
      <w:divBdr>
        <w:top w:val="none" w:sz="0" w:space="0" w:color="auto"/>
        <w:left w:val="none" w:sz="0" w:space="0" w:color="auto"/>
        <w:bottom w:val="none" w:sz="0" w:space="0" w:color="auto"/>
        <w:right w:val="none" w:sz="0" w:space="0" w:color="auto"/>
      </w:divBdr>
    </w:div>
    <w:div w:id="2069917391">
      <w:bodyDiv w:val="1"/>
      <w:marLeft w:val="0"/>
      <w:marRight w:val="0"/>
      <w:marTop w:val="0"/>
      <w:marBottom w:val="0"/>
      <w:divBdr>
        <w:top w:val="none" w:sz="0" w:space="0" w:color="auto"/>
        <w:left w:val="none" w:sz="0" w:space="0" w:color="auto"/>
        <w:bottom w:val="none" w:sz="0" w:space="0" w:color="auto"/>
        <w:right w:val="none" w:sz="0" w:space="0" w:color="auto"/>
      </w:divBdr>
      <w:divsChild>
        <w:div w:id="97064795">
          <w:marLeft w:val="0"/>
          <w:marRight w:val="0"/>
          <w:marTop w:val="0"/>
          <w:marBottom w:val="0"/>
          <w:divBdr>
            <w:top w:val="none" w:sz="0" w:space="0" w:color="auto"/>
            <w:left w:val="none" w:sz="0" w:space="0" w:color="auto"/>
            <w:bottom w:val="none" w:sz="0" w:space="0" w:color="auto"/>
            <w:right w:val="none" w:sz="0" w:space="0" w:color="auto"/>
          </w:divBdr>
        </w:div>
        <w:div w:id="122965043">
          <w:marLeft w:val="0"/>
          <w:marRight w:val="0"/>
          <w:marTop w:val="0"/>
          <w:marBottom w:val="0"/>
          <w:divBdr>
            <w:top w:val="none" w:sz="0" w:space="0" w:color="auto"/>
            <w:left w:val="none" w:sz="0" w:space="0" w:color="auto"/>
            <w:bottom w:val="none" w:sz="0" w:space="0" w:color="auto"/>
            <w:right w:val="none" w:sz="0" w:space="0" w:color="auto"/>
          </w:divBdr>
        </w:div>
        <w:div w:id="179391493">
          <w:marLeft w:val="0"/>
          <w:marRight w:val="0"/>
          <w:marTop w:val="0"/>
          <w:marBottom w:val="0"/>
          <w:divBdr>
            <w:top w:val="none" w:sz="0" w:space="0" w:color="auto"/>
            <w:left w:val="none" w:sz="0" w:space="0" w:color="auto"/>
            <w:bottom w:val="none" w:sz="0" w:space="0" w:color="auto"/>
            <w:right w:val="none" w:sz="0" w:space="0" w:color="auto"/>
          </w:divBdr>
        </w:div>
        <w:div w:id="1340039769">
          <w:marLeft w:val="0"/>
          <w:marRight w:val="0"/>
          <w:marTop w:val="0"/>
          <w:marBottom w:val="0"/>
          <w:divBdr>
            <w:top w:val="none" w:sz="0" w:space="0" w:color="auto"/>
            <w:left w:val="none" w:sz="0" w:space="0" w:color="auto"/>
            <w:bottom w:val="none" w:sz="0" w:space="0" w:color="auto"/>
            <w:right w:val="none" w:sz="0" w:space="0" w:color="auto"/>
          </w:divBdr>
        </w:div>
        <w:div w:id="1421831962">
          <w:marLeft w:val="0"/>
          <w:marRight w:val="0"/>
          <w:marTop w:val="0"/>
          <w:marBottom w:val="0"/>
          <w:divBdr>
            <w:top w:val="none" w:sz="0" w:space="0" w:color="auto"/>
            <w:left w:val="none" w:sz="0" w:space="0" w:color="auto"/>
            <w:bottom w:val="none" w:sz="0" w:space="0" w:color="auto"/>
            <w:right w:val="none" w:sz="0" w:space="0" w:color="auto"/>
          </w:divBdr>
        </w:div>
        <w:div w:id="1845976931">
          <w:marLeft w:val="0"/>
          <w:marRight w:val="0"/>
          <w:marTop w:val="0"/>
          <w:marBottom w:val="0"/>
          <w:divBdr>
            <w:top w:val="none" w:sz="0" w:space="0" w:color="auto"/>
            <w:left w:val="none" w:sz="0" w:space="0" w:color="auto"/>
            <w:bottom w:val="none" w:sz="0" w:space="0" w:color="auto"/>
            <w:right w:val="none" w:sz="0" w:space="0" w:color="auto"/>
          </w:divBdr>
        </w:div>
        <w:div w:id="1867907789">
          <w:marLeft w:val="0"/>
          <w:marRight w:val="0"/>
          <w:marTop w:val="0"/>
          <w:marBottom w:val="0"/>
          <w:divBdr>
            <w:top w:val="none" w:sz="0" w:space="0" w:color="auto"/>
            <w:left w:val="none" w:sz="0" w:space="0" w:color="auto"/>
            <w:bottom w:val="none" w:sz="0" w:space="0" w:color="auto"/>
            <w:right w:val="none" w:sz="0" w:space="0" w:color="auto"/>
          </w:divBdr>
        </w:div>
        <w:div w:id="1878077016">
          <w:marLeft w:val="0"/>
          <w:marRight w:val="0"/>
          <w:marTop w:val="0"/>
          <w:marBottom w:val="0"/>
          <w:divBdr>
            <w:top w:val="none" w:sz="0" w:space="0" w:color="auto"/>
            <w:left w:val="none" w:sz="0" w:space="0" w:color="auto"/>
            <w:bottom w:val="none" w:sz="0" w:space="0" w:color="auto"/>
            <w:right w:val="none" w:sz="0" w:space="0" w:color="auto"/>
          </w:divBdr>
        </w:div>
      </w:divsChild>
    </w:div>
    <w:div w:id="209204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11.xml"/><Relationship Id="rId21" Type="http://schemas.openxmlformats.org/officeDocument/2006/relationships/hyperlink" Target="https://www.education.gov.au/early-childhood/case-studies/case-study-jennys-early-learning-centres" TargetMode="External"/><Relationship Id="rId42" Type="http://schemas.openxmlformats.org/officeDocument/2006/relationships/diagramLayout" Target="diagrams/layout2.xml"/><Relationship Id="rId63" Type="http://schemas.openxmlformats.org/officeDocument/2006/relationships/image" Target="media/image16.png"/><Relationship Id="rId84" Type="http://schemas.openxmlformats.org/officeDocument/2006/relationships/hyperlink" Target="https://www5.austlii.edu.au/au/legis/cth/num_act/fwa2009114/s12.html" TargetMode="External"/><Relationship Id="rId138" Type="http://schemas.openxmlformats.org/officeDocument/2006/relationships/image" Target="media/image54.png"/><Relationship Id="rId159" Type="http://schemas.openxmlformats.org/officeDocument/2006/relationships/hyperlink" Target="https://www.acecqa.gov.au/nqf/about" TargetMode="External"/><Relationship Id="rId170" Type="http://schemas.openxmlformats.org/officeDocument/2006/relationships/hyperlink" Target="https://www.closingthegap.gov.au/national-agreement/targets" TargetMode="External"/><Relationship Id="rId191" Type="http://schemas.openxmlformats.org/officeDocument/2006/relationships/hyperlink" Target="https://doi.org/10.1007/978-981-10-2207-4_3" TargetMode="External"/><Relationship Id="rId205" Type="http://schemas.openxmlformats.org/officeDocument/2006/relationships/hyperlink" Target="https://journals.sagepub.com/doi/10.1177/13607804231205978" TargetMode="External"/><Relationship Id="rId226" Type="http://schemas.openxmlformats.org/officeDocument/2006/relationships/hyperlink" Target="https://www.abs.gov.au/methodologies/characteristics-employment-australia-methodology/aug-2023" TargetMode="External"/><Relationship Id="rId247" Type="http://schemas.openxmlformats.org/officeDocument/2006/relationships/header" Target="header20.xml"/><Relationship Id="rId107" Type="http://schemas.openxmlformats.org/officeDocument/2006/relationships/hyperlink" Target="https://www.jobsandskills.gov.au/data/vet-national-data-asset-vnda" TargetMode="External"/><Relationship Id="rId11" Type="http://schemas.openxmlformats.org/officeDocument/2006/relationships/image" Target="media/image1.jpg"/><Relationship Id="rId32" Type="http://schemas.openxmlformats.org/officeDocument/2006/relationships/hyperlink" Target="https://thrivingfutures.org.au/about-us/our-project/" TargetMode="External"/><Relationship Id="rId53" Type="http://schemas.openxmlformats.org/officeDocument/2006/relationships/image" Target="media/image9.png"/><Relationship Id="rId74" Type="http://schemas.openxmlformats.org/officeDocument/2006/relationships/footer" Target="footer9.xml"/><Relationship Id="rId128" Type="http://schemas.openxmlformats.org/officeDocument/2006/relationships/image" Target="media/image48.png"/><Relationship Id="rId149" Type="http://schemas.openxmlformats.org/officeDocument/2006/relationships/hyperlink" Target="https://www.accc.gov.au/inquiries-and-consultations/childcare-inquiry-2023" TargetMode="External"/><Relationship Id="rId5" Type="http://schemas.openxmlformats.org/officeDocument/2006/relationships/numbering" Target="numbering.xml"/><Relationship Id="rId95" Type="http://schemas.openxmlformats.org/officeDocument/2006/relationships/chart" Target="charts/chart7.xml"/><Relationship Id="rId160" Type="http://schemas.openxmlformats.org/officeDocument/2006/relationships/hyperlink" Target="https://www.accc.gov.au/inquiries-and-consultations/childcare-inquiry-2023/june-2023-interim-report" TargetMode="External"/><Relationship Id="rId181" Type="http://schemas.openxmlformats.org/officeDocument/2006/relationships/hyperlink" Target="https://humanability.com.au/about" TargetMode="External"/><Relationship Id="rId216" Type="http://schemas.openxmlformats.org/officeDocument/2006/relationships/hyperlink" Target="https://minerva-access.unimelb.edu.au/items/5141d4b1-8d36-44b5-b71f-90b0af4cdc5e" TargetMode="External"/><Relationship Id="rId237" Type="http://schemas.openxmlformats.org/officeDocument/2006/relationships/hyperlink" Target="https://www.acecqa.gov.au/resources/national-registers" TargetMode="External"/><Relationship Id="rId22" Type="http://schemas.openxmlformats.org/officeDocument/2006/relationships/hyperlink" Target="https://myfuture.edu.au/career-stories/details/early-childhood-educator-addresses-her-future" TargetMode="External"/><Relationship Id="rId43" Type="http://schemas.openxmlformats.org/officeDocument/2006/relationships/diagramQuickStyle" Target="diagrams/quickStyle2.xml"/><Relationship Id="rId64" Type="http://schemas.openxmlformats.org/officeDocument/2006/relationships/image" Target="media/image17.png"/><Relationship Id="rId118" Type="http://schemas.openxmlformats.org/officeDocument/2006/relationships/image" Target="media/image43.jpg"/><Relationship Id="rId139" Type="http://schemas.openxmlformats.org/officeDocument/2006/relationships/hyperlink" Target="https://www.ncfe.org.uk/media/mrxhz3m0/dfe-career-pathway-map.pdf" TargetMode="External"/><Relationship Id="rId85" Type="http://schemas.openxmlformats.org/officeDocument/2006/relationships/image" Target="media/image30.png"/><Relationship Id="rId150" Type="http://schemas.openxmlformats.org/officeDocument/2006/relationships/hyperlink" Target="https://www.jobsandskills.gov.au/about/engagement-and-outreach-strategy" TargetMode="External"/><Relationship Id="rId171" Type="http://schemas.openxmlformats.org/officeDocument/2006/relationships/hyperlink" Target="https://www.closingthegap.gov.au/national-agreement/national-agreement-closing-the-gap" TargetMode="External"/><Relationship Id="rId192" Type="http://schemas.openxmlformats.org/officeDocument/2006/relationships/hyperlink" Target="https://bmcnurs.biomedcentral.com/articles/10.1186/s12912-016-0177-z" TargetMode="External"/><Relationship Id="rId206" Type="http://schemas.openxmlformats.org/officeDocument/2006/relationships/hyperlink" Target="https://www.researchgate.net/publication/232566368_Intrinsic_and_Extrinsic_Motivation_The_Search_for_Optimal_Motivation_and_Performance" TargetMode="External"/><Relationship Id="rId227" Type="http://schemas.openxmlformats.org/officeDocument/2006/relationships/hyperlink" Target="https://www.education.gov.au/early-childhood/early-childhood-data-and-reports/quarterly-reports-usage-services-fees-and-subsidies" TargetMode="External"/><Relationship Id="rId248" Type="http://schemas.openxmlformats.org/officeDocument/2006/relationships/header" Target="header21.xml"/><Relationship Id="rId12" Type="http://schemas.openxmlformats.org/officeDocument/2006/relationships/footer" Target="footer1.xml"/><Relationship Id="rId33" Type="http://schemas.openxmlformats.org/officeDocument/2006/relationships/diagramData" Target="diagrams/data1.xml"/><Relationship Id="rId108" Type="http://schemas.openxmlformats.org/officeDocument/2006/relationships/hyperlink" Target="https://www.education.gov.au/higher-education-statistics/resources/completion-rates-higher-education-students-cohort-analysis-20052021" TargetMode="External"/><Relationship Id="rId129" Type="http://schemas.openxmlformats.org/officeDocument/2006/relationships/image" Target="media/image49.png"/><Relationship Id="rId54" Type="http://schemas.openxmlformats.org/officeDocument/2006/relationships/hyperlink" Target="https://www.snaicc.org.au/wp-content/uploads/2024/02/BOORI-MILUMBA-MEDIA-RELEASE.pdf" TargetMode="External"/><Relationship Id="rId75" Type="http://schemas.openxmlformats.org/officeDocument/2006/relationships/image" Target="media/image26.jpg"/><Relationship Id="rId96" Type="http://schemas.openxmlformats.org/officeDocument/2006/relationships/chart" Target="charts/chart8.xml"/><Relationship Id="rId140" Type="http://schemas.openxmlformats.org/officeDocument/2006/relationships/hyperlink" Target="https://www.gov.uk/government/publications/pathway-into-early-years-education/pathway-into-early-years-education" TargetMode="External"/><Relationship Id="rId161" Type="http://schemas.openxmlformats.org/officeDocument/2006/relationships/hyperlink" Target="https://www.accc.gov.au/system/files/Childcare%20Inquiry%20Roundtable%20Summary%20-%20First%20Nations%20Virtual.pdf" TargetMode="External"/><Relationship Id="rId182" Type="http://schemas.openxmlformats.org/officeDocument/2006/relationships/hyperlink" Target="https://www.tandfonline.com/doi/full/10.1080/02680939.2017.1352032" TargetMode="External"/><Relationship Id="rId217" Type="http://schemas.openxmlformats.org/officeDocument/2006/relationships/hyperlink" Target="https://www.wgea.gov.au/publications/gender-and-negotiation-in-the-workplace" TargetMode="External"/><Relationship Id="rId6" Type="http://schemas.openxmlformats.org/officeDocument/2006/relationships/styles" Target="styles.xml"/><Relationship Id="rId238" Type="http://schemas.openxmlformats.org/officeDocument/2006/relationships/hyperlink" Target="https://www.education.gov.au/early-childhood/early-childhood-data-and-reports/national-workforce-census" TargetMode="External"/><Relationship Id="rId23" Type="http://schemas.openxmlformats.org/officeDocument/2006/relationships/hyperlink" Target="https://myfuture.edu.au/career-stories/details/early-childhood-educator-celebrates-the-small-steps" TargetMode="External"/><Relationship Id="rId119" Type="http://schemas.openxmlformats.org/officeDocument/2006/relationships/diagramData" Target="diagrams/data3.xml"/><Relationship Id="rId44" Type="http://schemas.openxmlformats.org/officeDocument/2006/relationships/diagramColors" Target="diagrams/colors2.xml"/><Relationship Id="rId65" Type="http://schemas.openxmlformats.org/officeDocument/2006/relationships/image" Target="media/image18.png"/><Relationship Id="rId86" Type="http://schemas.openxmlformats.org/officeDocument/2006/relationships/image" Target="media/image31.png"/><Relationship Id="rId130" Type="http://schemas.openxmlformats.org/officeDocument/2006/relationships/image" Target="media/image50.png"/><Relationship Id="rId151" Type="http://schemas.openxmlformats.org/officeDocument/2006/relationships/header" Target="header14.xml"/><Relationship Id="rId172" Type="http://schemas.openxmlformats.org/officeDocument/2006/relationships/hyperlink" Target="https://journals.sagepub.com/doi/full/10.1177/1836939120979064" TargetMode="External"/><Relationship Id="rId193" Type="http://schemas.openxmlformats.org/officeDocument/2006/relationships/hyperlink" Target="https://view.officeapps.live.com/op/view.aspx?src=https%3A%2F%2Fwww.ncver.edu.au%2F__data%2Fassets%2Ffile%2F0019%2F9019%2Fassessment-issues-in-vet-2620.docx&amp;wdOrigin=BROWSELINK" TargetMode="External"/><Relationship Id="rId207" Type="http://schemas.openxmlformats.org/officeDocument/2006/relationships/hyperlink" Target="https://www.acecqa.gov.au/sites/default/files/2021-10/ShapingOurFutureChildrensEducationandCareNationalWorkforceStrategy-September2021.pdf" TargetMode="External"/><Relationship Id="rId228" Type="http://schemas.openxmlformats.org/officeDocument/2006/relationships/hyperlink" Target="https://www.education.gov.au/higher-education-statistics/resources/completion-rates-higher-education-students-cohort-analysis-20052021" TargetMode="External"/><Relationship Id="rId249" Type="http://schemas.openxmlformats.org/officeDocument/2006/relationships/fontTable" Target="fontTable.xml"/><Relationship Id="rId13" Type="http://schemas.openxmlformats.org/officeDocument/2006/relationships/image" Target="media/image2.jpeg"/><Relationship Id="rId109" Type="http://schemas.openxmlformats.org/officeDocument/2006/relationships/hyperlink" Target="https://www.latrobe.edu.au/school-education/preparing-educators/enhanced-teacher-preparation" TargetMode="External"/><Relationship Id="rId34" Type="http://schemas.openxmlformats.org/officeDocument/2006/relationships/diagramLayout" Target="diagrams/layout1.xml"/><Relationship Id="rId55" Type="http://schemas.openxmlformats.org/officeDocument/2006/relationships/image" Target="media/image10.png"/><Relationship Id="rId76" Type="http://schemas.openxmlformats.org/officeDocument/2006/relationships/image" Target="media/image27.png"/><Relationship Id="rId97" Type="http://schemas.openxmlformats.org/officeDocument/2006/relationships/chart" Target="charts/chart9.xml"/><Relationship Id="rId120" Type="http://schemas.openxmlformats.org/officeDocument/2006/relationships/diagramLayout" Target="diagrams/layout3.xml"/><Relationship Id="rId141" Type="http://schemas.openxmlformats.org/officeDocument/2006/relationships/image" Target="media/image55.png"/><Relationship Id="rId7" Type="http://schemas.openxmlformats.org/officeDocument/2006/relationships/settings" Target="settings.xml"/><Relationship Id="rId162" Type="http://schemas.openxmlformats.org/officeDocument/2006/relationships/hyperlink" Target="https://www.accc.gov.au/system/files/ACCC%20Childcare%20Inquiry-final%20report%20December%202023.pdf?ref=0&amp;download=y" TargetMode="External"/><Relationship Id="rId183" Type="http://schemas.openxmlformats.org/officeDocument/2006/relationships/hyperlink" Target="https://journals.sagepub.com/doi/10.1177/1440783313481743" TargetMode="External"/><Relationship Id="rId218" Type="http://schemas.openxmlformats.org/officeDocument/2006/relationships/hyperlink" Target="https://www.abc.net.au/news/2024-03-06/under-the-roof-loophole-childcare-centres-called-out/103543974" TargetMode="External"/><Relationship Id="rId239" Type="http://schemas.openxmlformats.org/officeDocument/2006/relationships/hyperlink" Target="https://www.jobsandskills.gov.au/data/nero" TargetMode="External"/><Relationship Id="rId250" Type="http://schemas.openxmlformats.org/officeDocument/2006/relationships/theme" Target="theme/theme1.xml"/><Relationship Id="rId24" Type="http://schemas.openxmlformats.org/officeDocument/2006/relationships/hyperlink" Target="https://www.closingthegap.gov.au/sites/default/files/2021-12/sector-strengthening-plan-early-childhood-care-development_0.pdf" TargetMode="External"/><Relationship Id="rId45" Type="http://schemas.microsoft.com/office/2007/relationships/diagramDrawing" Target="diagrams/drawing2.xml"/><Relationship Id="rId66" Type="http://schemas.openxmlformats.org/officeDocument/2006/relationships/image" Target="media/image19.png"/><Relationship Id="rId87" Type="http://schemas.openxmlformats.org/officeDocument/2006/relationships/image" Target="media/image32.png"/><Relationship Id="rId110" Type="http://schemas.openxmlformats.org/officeDocument/2006/relationships/chart" Target="charts/chart12.xml"/><Relationship Id="rId131" Type="http://schemas.openxmlformats.org/officeDocument/2006/relationships/header" Target="header10.xml"/><Relationship Id="rId152" Type="http://schemas.openxmlformats.org/officeDocument/2006/relationships/footer" Target="footer16.xml"/><Relationship Id="rId173" Type="http://schemas.openxmlformats.org/officeDocument/2006/relationships/hyperlink" Target="https://www.education.gov.au/about-department/corporate-reporting/budget/budget-202324-overview" TargetMode="External"/><Relationship Id="rId194" Type="http://schemas.openxmlformats.org/officeDocument/2006/relationships/hyperlink" Target="https://www.yourcareer.gov.au/fee-free-tafe/faq" TargetMode="External"/><Relationship Id="rId208" Type="http://schemas.openxmlformats.org/officeDocument/2006/relationships/hyperlink" Target="https://bmcnurs.biomedcentral.com/articles/10.1186/s12912-019-0337-z" TargetMode="External"/><Relationship Id="rId229" Type="http://schemas.openxmlformats.org/officeDocument/2006/relationships/hyperlink" Target="https://www.jobsandskills.gov.au/publications/data-occupation-mobility-unpacking-workers-movements" TargetMode="External"/><Relationship Id="rId240" Type="http://schemas.openxmlformats.org/officeDocument/2006/relationships/hyperlink" Target="https://calculate.fairwork.gov.au/FindYourAward" TargetMode="External"/><Relationship Id="rId14" Type="http://schemas.openxmlformats.org/officeDocument/2006/relationships/image" Target="media/image3.jpg"/><Relationship Id="rId35" Type="http://schemas.openxmlformats.org/officeDocument/2006/relationships/diagramQuickStyle" Target="diagrams/quickStyle1.xml"/><Relationship Id="rId56" Type="http://schemas.openxmlformats.org/officeDocument/2006/relationships/hyperlink" Target="https://www.education.govt.nz/assets/Documents/Early-Childhood/ELS-Te-Whariki-Early-Childhood-Curriculum-ENG-Web.pdf" TargetMode="External"/><Relationship Id="rId77" Type="http://schemas.openxmlformats.org/officeDocument/2006/relationships/hyperlink" Target="https://www.vic.gov.au/early-childhood-tertiary-partnerships-program" TargetMode="External"/><Relationship Id="rId100" Type="http://schemas.openxmlformats.org/officeDocument/2006/relationships/image" Target="media/image38.png"/><Relationship Id="rId8" Type="http://schemas.openxmlformats.org/officeDocument/2006/relationships/webSettings" Target="webSettings.xml"/><Relationship Id="rId98" Type="http://schemas.openxmlformats.org/officeDocument/2006/relationships/hyperlink" Target="https://insurance.familydaycare.com.au/assets/public-pdf/About-FDCA/Annual-Reports/FDCA_2022-2023_Annual_Report.pdf?updated=1697674851" TargetMode="External"/><Relationship Id="rId121" Type="http://schemas.openxmlformats.org/officeDocument/2006/relationships/diagramQuickStyle" Target="diagrams/quickStyle3.xml"/><Relationship Id="rId142" Type="http://schemas.openxmlformats.org/officeDocument/2006/relationships/hyperlink" Target="https://www.noshsa.org.au/inclusionproject" TargetMode="External"/><Relationship Id="rId163" Type="http://schemas.openxmlformats.org/officeDocument/2006/relationships/hyperlink" Target="https://www.accc.gov.au/inquiries-and-consultations/childcare-inquiry-2023" TargetMode="External"/><Relationship Id="rId184" Type="http://schemas.openxmlformats.org/officeDocument/2006/relationships/hyperlink" Target="https://ielts.com.au/australia" TargetMode="External"/><Relationship Id="rId219" Type="http://schemas.openxmlformats.org/officeDocument/2006/relationships/header" Target="header16.xml"/><Relationship Id="rId230" Type="http://schemas.openxmlformats.org/officeDocument/2006/relationships/hyperlink" Target="https://www.abs.gov.au/methodologies/employee-earnings-and-hours-australia-methodology/may-2023" TargetMode="External"/><Relationship Id="rId25" Type="http://schemas.openxmlformats.org/officeDocument/2006/relationships/hyperlink" Target="https://www.yourcareer.gov.au/resources/case-studies/krista-lynch" TargetMode="External"/><Relationship Id="rId46" Type="http://schemas.openxmlformats.org/officeDocument/2006/relationships/header" Target="header7.xml"/><Relationship Id="rId67" Type="http://schemas.openxmlformats.org/officeDocument/2006/relationships/image" Target="media/image20.emf"/><Relationship Id="rId88" Type="http://schemas.openxmlformats.org/officeDocument/2006/relationships/image" Target="media/image33.png"/><Relationship Id="rId111" Type="http://schemas.openxmlformats.org/officeDocument/2006/relationships/chart" Target="charts/chart13.xml"/><Relationship Id="rId132" Type="http://schemas.openxmlformats.org/officeDocument/2006/relationships/footer" Target="footer12.xml"/><Relationship Id="rId153" Type="http://schemas.openxmlformats.org/officeDocument/2006/relationships/header" Target="header15.xml"/><Relationship Id="rId174" Type="http://schemas.openxmlformats.org/officeDocument/2006/relationships/hyperlink" Target="https://www.education.gov.au/higher-education/commonwealth-prac-payment" TargetMode="External"/><Relationship Id="rId195" Type="http://schemas.openxmlformats.org/officeDocument/2006/relationships/hyperlink" Target="https://www.iier.org.au/iier33/ng.pdf" TargetMode="External"/><Relationship Id="rId209" Type="http://schemas.openxmlformats.org/officeDocument/2006/relationships/hyperlink" Target="https://www.education.gov.au/early-childhood/resources/2021-early-childhood-education-and-care-national-workforce-census-report" TargetMode="External"/><Relationship Id="rId220" Type="http://schemas.openxmlformats.org/officeDocument/2006/relationships/header" Target="header17.xml"/><Relationship Id="rId241" Type="http://schemas.openxmlformats.org/officeDocument/2006/relationships/hyperlink" Target="https://www.abs.gov.au/about/data-services/data-integration/integrated-data/person-level-integrated-data-asset-plida" TargetMode="External"/><Relationship Id="rId15" Type="http://schemas.openxmlformats.org/officeDocument/2006/relationships/header" Target="header1.xml"/><Relationship Id="rId36" Type="http://schemas.openxmlformats.org/officeDocument/2006/relationships/diagramColors" Target="diagrams/colors1.xml"/><Relationship Id="rId57" Type="http://schemas.openxmlformats.org/officeDocument/2006/relationships/image" Target="media/image11.png"/><Relationship Id="rId78" Type="http://schemas.openxmlformats.org/officeDocument/2006/relationships/chart" Target="charts/chart1.xml"/><Relationship Id="rId99" Type="http://schemas.openxmlformats.org/officeDocument/2006/relationships/image" Target="media/image37.png"/><Relationship Id="rId101" Type="http://schemas.openxmlformats.org/officeDocument/2006/relationships/image" Target="media/image39.png"/><Relationship Id="rId122" Type="http://schemas.openxmlformats.org/officeDocument/2006/relationships/diagramColors" Target="diagrams/colors3.xml"/><Relationship Id="rId143" Type="http://schemas.openxmlformats.org/officeDocument/2006/relationships/header" Target="header12.xml"/><Relationship Id="rId164" Type="http://schemas.openxmlformats.org/officeDocument/2006/relationships/hyperlink" Target="https://www.accc.gov.au/system/files/ACCC%20Childcare%20Inquiry-final%20report%20December%202023.pdf?ref=0&amp;download=y" TargetMode="External"/><Relationship Id="rId185" Type="http://schemas.openxmlformats.org/officeDocument/2006/relationships/hyperlink" Target="https://vuir.vu.edu.au/37853/1/JACKSON,%20Jen-Final%20Thesis_nosignature.pdf"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eric.ed.gov/?id=ED491774" TargetMode="External"/><Relationship Id="rId210" Type="http://schemas.openxmlformats.org/officeDocument/2006/relationships/hyperlink" Target="https://parlinfo.aph.gov.au/parlInfo/download/committees/reportsen/024994/toc_pdf/FinalReport.pdf;fileType=application%2Fpdf" TargetMode="External"/><Relationship Id="rId215" Type="http://schemas.openxmlformats.org/officeDocument/2006/relationships/hyperlink" Target="https://melbourneinstitute.unimelb.edu.au/downloads/working_paper_series/wp2013n34.pdf" TargetMode="External"/><Relationship Id="rId236" Type="http://schemas.openxmlformats.org/officeDocument/2006/relationships/hyperlink" Target="https://www.safeworkaustralia.gov.au/doc/national-dataset-compensation-based-statistics-3rd-edition-revision-1" TargetMode="External"/><Relationship Id="rId26" Type="http://schemas.openxmlformats.org/officeDocument/2006/relationships/header" Target="header4.xml"/><Relationship Id="rId231" Type="http://schemas.openxmlformats.org/officeDocument/2006/relationships/hyperlink" Target="https://www.abs.gov.au/methodologies/national-state-and-territory-population-methodology/sep-2023" TargetMode="External"/><Relationship Id="rId47" Type="http://schemas.openxmlformats.org/officeDocument/2006/relationships/footer" Target="footer7.xml"/><Relationship Id="rId68" Type="http://schemas.openxmlformats.org/officeDocument/2006/relationships/image" Target="media/image21.png"/><Relationship Id="rId89" Type="http://schemas.openxmlformats.org/officeDocument/2006/relationships/image" Target="media/image34.png"/><Relationship Id="rId112" Type="http://schemas.openxmlformats.org/officeDocument/2006/relationships/chart" Target="charts/chart14.xml"/><Relationship Id="rId133" Type="http://schemas.openxmlformats.org/officeDocument/2006/relationships/image" Target="media/image51.jpg"/><Relationship Id="rId154" Type="http://schemas.openxmlformats.org/officeDocument/2006/relationships/hyperlink" Target="https://consult.abs.gov.au/standards-and-classifications/anzsco-comprehensive-review-round-1/results/final_consultationround1_preliminaryproposedchanges.pdf" TargetMode="External"/><Relationship Id="rId175" Type="http://schemas.openxmlformats.org/officeDocument/2006/relationships/hyperlink" Target="https://www.education.gov.au/early-childhood/early-childhood-workforce/professional-development-opportunities/paid-practicum-subsidy" TargetMode="External"/><Relationship Id="rId196" Type="http://schemas.openxmlformats.org/officeDocument/2006/relationships/hyperlink" Target="https://www.tandfonline.com/doi/full/10.1080/19415257.2018.1449006" TargetMode="External"/><Relationship Id="rId200" Type="http://schemas.openxmlformats.org/officeDocument/2006/relationships/hyperlink" Target="https://www.pc.gov.au/inquiries/completed/childcare/report/childcare-volume2.pdf" TargetMode="External"/><Relationship Id="rId16" Type="http://schemas.openxmlformats.org/officeDocument/2006/relationships/header" Target="header2.xml"/><Relationship Id="rId221" Type="http://schemas.openxmlformats.org/officeDocument/2006/relationships/header" Target="header18.xml"/><Relationship Id="rId242" Type="http://schemas.openxmlformats.org/officeDocument/2006/relationships/hyperlink" Target="https://www.abs.gov.au/methodologies/preschool-education-methodology/2023" TargetMode="External"/><Relationship Id="rId37" Type="http://schemas.microsoft.com/office/2007/relationships/diagramDrawing" Target="diagrams/drawing1.xml"/><Relationship Id="rId58" Type="http://schemas.openxmlformats.org/officeDocument/2006/relationships/hyperlink" Target="https://www.acecqa.gov.au/nqf/educator-to-child-ratios" TargetMode="External"/><Relationship Id="rId79" Type="http://schemas.openxmlformats.org/officeDocument/2006/relationships/chart" Target="charts/chart2.xml"/><Relationship Id="rId102" Type="http://schemas.openxmlformats.org/officeDocument/2006/relationships/image" Target="media/image40.png"/><Relationship Id="rId123" Type="http://schemas.microsoft.com/office/2007/relationships/diagramDrawing" Target="diagrams/drawing3.xml"/><Relationship Id="rId144" Type="http://schemas.openxmlformats.org/officeDocument/2006/relationships/footer" Target="footer14.xml"/><Relationship Id="rId90" Type="http://schemas.openxmlformats.org/officeDocument/2006/relationships/image" Target="media/image35.png"/><Relationship Id="rId165" Type="http://schemas.openxmlformats.org/officeDocument/2006/relationships/hyperlink" Target="https://treasury.gov.au/sites/default/files/inline-files/Jobs-and-Skills-Summit-Outcomes-Document.pdf" TargetMode="External"/><Relationship Id="rId186" Type="http://schemas.openxmlformats.org/officeDocument/2006/relationships/hyperlink" Target="file:///C:/Users/DG2998/Downloads/rto_typology_-_methodology_paper%20(1).pdf" TargetMode="External"/><Relationship Id="rId211" Type="http://schemas.openxmlformats.org/officeDocument/2006/relationships/hyperlink" Target="https://budget.gov.au/content/overview/download/budget-overview-final.pdf" TargetMode="External"/><Relationship Id="rId232" Type="http://schemas.openxmlformats.org/officeDocument/2006/relationships/hyperlink" Target="https://www.qilt.edu.au/surveys/graduate-outcomes-survey-(gos)" TargetMode="External"/><Relationship Id="rId27" Type="http://schemas.openxmlformats.org/officeDocument/2006/relationships/header" Target="header5.xml"/><Relationship Id="rId48" Type="http://schemas.openxmlformats.org/officeDocument/2006/relationships/image" Target="media/image5.png"/><Relationship Id="rId69" Type="http://schemas.openxmlformats.org/officeDocument/2006/relationships/image" Target="media/image22.png"/><Relationship Id="rId113" Type="http://schemas.openxmlformats.org/officeDocument/2006/relationships/chart" Target="charts/chart15.xml"/><Relationship Id="rId134" Type="http://schemas.openxmlformats.org/officeDocument/2006/relationships/footer" Target="footer13.xml"/><Relationship Id="rId80" Type="http://schemas.openxmlformats.org/officeDocument/2006/relationships/image" Target="media/image28.png"/><Relationship Id="rId155" Type="http://schemas.openxmlformats.org/officeDocument/2006/relationships/hyperlink" Target="https://www.acecqa.gov.au/sites/default/files/2022-01/ProgressingNationalApproachChildrensEducationCareWorkforce.pdf" TargetMode="External"/><Relationship Id="rId176" Type="http://schemas.openxmlformats.org/officeDocument/2006/relationships/hyperlink" Target="https://engage.dss.gov.au/wp-content/uploads/2023/12/draft-consultation-early-years-strategy.pdf" TargetMode="External"/><Relationship Id="rId197" Type="http://schemas.openxmlformats.org/officeDocument/2006/relationships/hyperlink" Target="https://www.nursingmidwiferyboard.gov.au/Codes-Guidelines-Statements/FAQ/Fact-sheet-scope-of-practice-and-capabilities-of-nurses.aspx" TargetMode="External"/><Relationship Id="rId201" Type="http://schemas.openxmlformats.org/officeDocument/2006/relationships/hyperlink" Target="https://www.pc.gov.au/__data/assets/pdf_file/0018/360108/sub090-childhood.pdf" TargetMode="External"/><Relationship Id="rId222" Type="http://schemas.openxmlformats.org/officeDocument/2006/relationships/hyperlink" Target="https://ncver.edu.au/research-and-statistics/collections/apprentices-and-trainees-collection" TargetMode="External"/><Relationship Id="rId243" Type="http://schemas.openxmlformats.org/officeDocument/2006/relationships/hyperlink" Target="https://www.jobsandskills.gov.au/data/skills-shortages-analysis/skills-priority-list" TargetMode="External"/><Relationship Id="rId17" Type="http://schemas.openxmlformats.org/officeDocument/2006/relationships/footer" Target="footer2.xml"/><Relationship Id="rId38" Type="http://schemas.openxmlformats.org/officeDocument/2006/relationships/hyperlink" Target="https://www.ecda.gov.sg/early-childhood-educators-(ece)/careers-in-early-childhood-sector/skills-framework-for-early-childhood" TargetMode="External"/><Relationship Id="rId59" Type="http://schemas.openxmlformats.org/officeDocument/2006/relationships/image" Target="media/image12.png"/><Relationship Id="rId103" Type="http://schemas.openxmlformats.org/officeDocument/2006/relationships/footer" Target="footer10.xml"/><Relationship Id="rId124" Type="http://schemas.openxmlformats.org/officeDocument/2006/relationships/image" Target="media/image44.png"/><Relationship Id="rId70" Type="http://schemas.openxmlformats.org/officeDocument/2006/relationships/image" Target="media/image23.png"/><Relationship Id="rId91" Type="http://schemas.openxmlformats.org/officeDocument/2006/relationships/image" Target="media/image36.png"/><Relationship Id="rId145" Type="http://schemas.openxmlformats.org/officeDocument/2006/relationships/image" Target="media/image56.jpg"/><Relationship Id="rId166" Type="http://schemas.openxmlformats.org/officeDocument/2006/relationships/hyperlink" Target="https://melbourne-cshe.unimelb.edu.au/__data/assets/pdf_file/0004/1490980/Selection_and_Participation_in_Higher_Education.pdf" TargetMode="External"/><Relationship Id="rId187" Type="http://schemas.openxmlformats.org/officeDocument/2006/relationships/hyperlink" Target="https://doi.org/10.1177/0022185618800351" TargetMode="External"/><Relationship Id="rId1" Type="http://schemas.openxmlformats.org/officeDocument/2006/relationships/customXml" Target="../customXml/item1.xml"/><Relationship Id="rId212" Type="http://schemas.openxmlformats.org/officeDocument/2006/relationships/hyperlink" Target="http://www.jstor.org/stable/3174207" TargetMode="External"/><Relationship Id="rId233" Type="http://schemas.openxmlformats.org/officeDocument/2006/relationships/hyperlink" Target="https://www.jobsandskills.gov.au/data/internet-vacancy-index" TargetMode="External"/><Relationship Id="rId28" Type="http://schemas.openxmlformats.org/officeDocument/2006/relationships/footer" Target="footer5.xml"/><Relationship Id="rId49" Type="http://schemas.openxmlformats.org/officeDocument/2006/relationships/footer" Target="footer8.xml"/><Relationship Id="rId114" Type="http://schemas.openxmlformats.org/officeDocument/2006/relationships/hyperlink" Target="https://bubupwilam.org.au/" TargetMode="External"/><Relationship Id="rId60" Type="http://schemas.openxmlformats.org/officeDocument/2006/relationships/image" Target="media/image13.png"/><Relationship Id="rId81" Type="http://schemas.openxmlformats.org/officeDocument/2006/relationships/chart" Target="charts/chart3.xml"/><Relationship Id="rId135" Type="http://schemas.openxmlformats.org/officeDocument/2006/relationships/image" Target="media/image52.png"/><Relationship Id="rId156" Type="http://schemas.openxmlformats.org/officeDocument/2006/relationships/hyperlink" Target="https://www.acecqa.gov.au/resources/applications/applying-for-a-waiver" TargetMode="External"/><Relationship Id="rId177" Type="http://schemas.openxmlformats.org/officeDocument/2006/relationships/hyperlink" Target="https://link.springer.com/article/10.1007/s13384-023-00621-z" TargetMode="External"/><Relationship Id="rId198" Type="http://schemas.openxmlformats.org/officeDocument/2006/relationships/hyperlink" Target="https://www.tandfonline.com/doi/full/10.1080/09669760.2021.1892601" TargetMode="External"/><Relationship Id="rId202" Type="http://schemas.openxmlformats.org/officeDocument/2006/relationships/hyperlink" Target="https://www.pc.gov.au/ongoing/report-on-government-services/2023/child-care-education-and-training/early-childhood-education-and-care" TargetMode="External"/><Relationship Id="rId223" Type="http://schemas.openxmlformats.org/officeDocument/2006/relationships/hyperlink" Target="https://www.abs.gov.au/about/data-services/data-integration/integrated-data/australian-census-and-migrants-integrated-dataset-acmid" TargetMode="External"/><Relationship Id="rId244" Type="http://schemas.openxmlformats.org/officeDocument/2006/relationships/hyperlink" Target="https://www.ncver.edu.au/research-and-statistics/collections/students-and-courses-collection/total-vet-students-and-courses" TargetMode="External"/><Relationship Id="rId18" Type="http://schemas.openxmlformats.org/officeDocument/2006/relationships/footer" Target="footer3.xml"/><Relationship Id="rId39" Type="http://schemas.openxmlformats.org/officeDocument/2006/relationships/hyperlink" Target="https://www.msf.gov.sg/media-room/article/new-initiatives-to-support-children-and-early-childhood-sector" TargetMode="External"/><Relationship Id="rId50" Type="http://schemas.openxmlformats.org/officeDocument/2006/relationships/image" Target="media/image6.jpg"/><Relationship Id="rId104" Type="http://schemas.openxmlformats.org/officeDocument/2006/relationships/image" Target="media/image41.jpg"/><Relationship Id="rId125" Type="http://schemas.openxmlformats.org/officeDocument/2006/relationships/image" Target="media/image45.png"/><Relationship Id="rId146" Type="http://schemas.openxmlformats.org/officeDocument/2006/relationships/header" Target="header13.xml"/><Relationship Id="rId167" Type="http://schemas.openxmlformats.org/officeDocument/2006/relationships/hyperlink" Target="https://journals.sagepub.com/doi/10.1177/183693910703200303" TargetMode="External"/><Relationship Id="rId188" Type="http://schemas.openxmlformats.org/officeDocument/2006/relationships/hyperlink" Target="https://journals.sagepub.com/doi/10.1177/18369391221118699" TargetMode="External"/><Relationship Id="rId71" Type="http://schemas.openxmlformats.org/officeDocument/2006/relationships/image" Target="media/image24.png"/><Relationship Id="rId92" Type="http://schemas.openxmlformats.org/officeDocument/2006/relationships/chart" Target="charts/chart4.xml"/><Relationship Id="rId213" Type="http://schemas.openxmlformats.org/officeDocument/2006/relationships/hyperlink" Target="https://www.researchgate.net/publication/344433131_Improving_Nurse_Retention_in_the_National_Health_Service_in_England_The_Impact_of_Job_Satisfaction_on_Intentions_to_Quit" TargetMode="External"/><Relationship Id="rId234" Type="http://schemas.openxmlformats.org/officeDocument/2006/relationships/hyperlink" Target="https://www.abs.gov.au/methodologies/labour-force-australia-methodology/apr-2024" TargetMode="External"/><Relationship Id="rId2" Type="http://schemas.openxmlformats.org/officeDocument/2006/relationships/customXml" Target="../customXml/item2.xml"/><Relationship Id="rId29" Type="http://schemas.openxmlformats.org/officeDocument/2006/relationships/header" Target="header6.xml"/><Relationship Id="rId40" Type="http://schemas.openxmlformats.org/officeDocument/2006/relationships/hyperlink" Target="https://www.ecda.gov.sg/docs/default-source/default-document-library/early-childhood-educator/skills-framework-for-early-childhood-(sfw-ec)-guidebook.pdf?sfvrsn=c2e14746_11" TargetMode="External"/><Relationship Id="rId115" Type="http://schemas.openxmlformats.org/officeDocument/2006/relationships/image" Target="media/image42.png"/><Relationship Id="rId136" Type="http://schemas.openxmlformats.org/officeDocument/2006/relationships/header" Target="header11.xml"/><Relationship Id="rId157" Type="http://schemas.openxmlformats.org/officeDocument/2006/relationships/hyperlink" Target="https://www.acecqa.gov.au/nqf/national-law-regulations/approved-learning-frameworks" TargetMode="External"/><Relationship Id="rId178" Type="http://schemas.openxmlformats.org/officeDocument/2006/relationships/hyperlink" Target="https://link.springer.com/article/10.1007/s10643-021-01203-3" TargetMode="External"/><Relationship Id="rId61" Type="http://schemas.openxmlformats.org/officeDocument/2006/relationships/image" Target="media/image14.png"/><Relationship Id="rId82" Type="http://schemas.openxmlformats.org/officeDocument/2006/relationships/image" Target="media/image29.png"/><Relationship Id="rId199" Type="http://schemas.openxmlformats.org/officeDocument/2006/relationships/hyperlink" Target="https://www.ncver.edu.au/research-and-statistics/publications/all-publications/exploring-the-recognition-of-prior-learning-in-australian-vet" TargetMode="External"/><Relationship Id="rId203" Type="http://schemas.openxmlformats.org/officeDocument/2006/relationships/hyperlink" Target="https://www.pc.gov.au/inquiries/current/childhood/draft/childhood-draft-full.pdf" TargetMode="External"/><Relationship Id="rId19" Type="http://schemas.openxmlformats.org/officeDocument/2006/relationships/header" Target="header3.xml"/><Relationship Id="rId224" Type="http://schemas.openxmlformats.org/officeDocument/2006/relationships/hyperlink" Target="https://www.abs.gov.au/about/data-services/data-integration/integrated-data/australian-census-longitudinal-dataset-acld" TargetMode="External"/><Relationship Id="rId245" Type="http://schemas.openxmlformats.org/officeDocument/2006/relationships/hyperlink" Target="https://www.jobsandskills.gov.au/data/vet-national-data-asset-vnda" TargetMode="External"/><Relationship Id="rId30" Type="http://schemas.openxmlformats.org/officeDocument/2006/relationships/footer" Target="footer6.xml"/><Relationship Id="rId105" Type="http://schemas.openxmlformats.org/officeDocument/2006/relationships/chart" Target="charts/chart10.xml"/><Relationship Id="rId126" Type="http://schemas.openxmlformats.org/officeDocument/2006/relationships/image" Target="media/image46.png"/><Relationship Id="rId147" Type="http://schemas.openxmlformats.org/officeDocument/2006/relationships/footer" Target="footer15.xml"/><Relationship Id="rId168" Type="http://schemas.openxmlformats.org/officeDocument/2006/relationships/hyperlink" Target="https://link.springer.com/book/10.1007/978-3-030-96237-1" TargetMode="External"/><Relationship Id="rId51" Type="http://schemas.openxmlformats.org/officeDocument/2006/relationships/image" Target="media/image7.jpeg"/><Relationship Id="rId72" Type="http://schemas.openxmlformats.org/officeDocument/2006/relationships/image" Target="media/image25.png"/><Relationship Id="rId93" Type="http://schemas.openxmlformats.org/officeDocument/2006/relationships/chart" Target="charts/chart5.xml"/><Relationship Id="rId189" Type="http://schemas.openxmlformats.org/officeDocument/2006/relationships/hyperlink" Target="https://journals.sagepub.com/doi/10.1177/103841629500400207" TargetMode="External"/><Relationship Id="rId3" Type="http://schemas.openxmlformats.org/officeDocument/2006/relationships/customXml" Target="../customXml/item3.xml"/><Relationship Id="rId214" Type="http://schemas.openxmlformats.org/officeDocument/2006/relationships/hyperlink" Target="https://www.tandfonline.com/doi/abs/10.1080/09540253.2017.1380172" TargetMode="External"/><Relationship Id="rId235" Type="http://schemas.openxmlformats.org/officeDocument/2006/relationships/hyperlink" Target="https://kb.lightcast.io/en/articles/6957688-lightcast-data-collection-and-processing-methodology" TargetMode="External"/><Relationship Id="rId116" Type="http://schemas.openxmlformats.org/officeDocument/2006/relationships/header" Target="header9.xml"/><Relationship Id="rId137" Type="http://schemas.openxmlformats.org/officeDocument/2006/relationships/image" Target="media/image53.jpg"/><Relationship Id="rId158" Type="http://schemas.openxmlformats.org/officeDocument/2006/relationships/hyperlink" Target="https://www.acecqa.gov.au/sites/default/files/2024-02/NQF%20Snapshot%20Q4%202023%20FINAL.PDF" TargetMode="External"/><Relationship Id="rId20" Type="http://schemas.openxmlformats.org/officeDocument/2006/relationships/footer" Target="footer4.xml"/><Relationship Id="rId41" Type="http://schemas.openxmlformats.org/officeDocument/2006/relationships/diagramData" Target="diagrams/data2.xml"/><Relationship Id="rId62" Type="http://schemas.openxmlformats.org/officeDocument/2006/relationships/image" Target="media/image15.png"/><Relationship Id="rId83" Type="http://schemas.openxmlformats.org/officeDocument/2006/relationships/hyperlink" Target="https://www5.austlii.edu.au/au/legis/cth/num_act/fwa2009114/s12.html" TargetMode="External"/><Relationship Id="rId179" Type="http://schemas.openxmlformats.org/officeDocument/2006/relationships/hyperlink" Target="https://onlinelibrary.wiley.com/doi/10.1111/j.1365-2648.2004.03273.x" TargetMode="External"/><Relationship Id="rId190" Type="http://schemas.openxmlformats.org/officeDocument/2006/relationships/hyperlink" Target="https://www.researchgate.net/publication/338956362_Early_Childhood_Professional_Well-Being_as_a_Predictor_of_the_Risk_of_Turnover_in_Child_Care_A_Matter_of_Quality" TargetMode="External"/><Relationship Id="rId204" Type="http://schemas.openxmlformats.org/officeDocument/2006/relationships/hyperlink" Target="https://www.pc.gov.au/inquiries/current/childhood" TargetMode="External"/><Relationship Id="rId225" Type="http://schemas.openxmlformats.org/officeDocument/2006/relationships/hyperlink" Target="https://www.abs.gov.au/census/guide-census-data/census-methodology/latest-release" TargetMode="External"/><Relationship Id="rId246" Type="http://schemas.openxmlformats.org/officeDocument/2006/relationships/header" Target="header19.xml"/><Relationship Id="rId106" Type="http://schemas.openxmlformats.org/officeDocument/2006/relationships/chart" Target="charts/chart11.xml"/><Relationship Id="rId12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image" Target="media/image4.jpg"/><Relationship Id="rId52" Type="http://schemas.openxmlformats.org/officeDocument/2006/relationships/image" Target="media/image8.png"/><Relationship Id="rId73" Type="http://schemas.openxmlformats.org/officeDocument/2006/relationships/header" Target="header8.xml"/><Relationship Id="rId94" Type="http://schemas.openxmlformats.org/officeDocument/2006/relationships/chart" Target="charts/chart6.xml"/><Relationship Id="rId148" Type="http://schemas.openxmlformats.org/officeDocument/2006/relationships/hyperlink" Target="https://www.pc.gov.au/inquiries/current/childhood" TargetMode="External"/><Relationship Id="rId169" Type="http://schemas.openxmlformats.org/officeDocument/2006/relationships/hyperlink" Target="https://csrm.cass.anu.edu.au/sites/default/files/docs/2023/7/bray-_child_care_numbers_1969_to_2022_revised_draft_14_2.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abs.gov.au/about/consultation-and-conferences/updating-anzsco/participate-anzsco-consultations" TargetMode="External"/><Relationship Id="rId2" Type="http://schemas.openxmlformats.org/officeDocument/2006/relationships/hyperlink" Target="https://www.jobsandskills.gov.au/publications/data-occupation-mobility-unpacking-workers-movements" TargetMode="External"/><Relationship Id="rId1" Type="http://schemas.openxmlformats.org/officeDocument/2006/relationships/hyperlink" Target="https://startingblocks.gov.au/" TargetMode="External"/><Relationship Id="rId4" Type="http://schemas.openxmlformats.org/officeDocument/2006/relationships/hyperlink" Target="https://consult.abs.gov.au/standards-and-classifications/anzsco-comprehensive-review-round-1/results/final_consultationround1_preliminaryproposedchanges.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sharedservicescentre.sharepoint.com/sites/JSA-EarlyChildhoodEducationandCareCapacityStudy-TEAM/Shared%20Documents/3.%20ECEC%20Study%20Report/3.5%20Final%20report%20-%20Chapters/Final%20Report_tables%20and%20figures.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https://sharedservicescentre.sharepoint.com/sites/JSA-EarlyChildhoodEducationandCareCapacityStudy-TEAM/Shared%20Documents/3.%20ECEC%20Study%20Report/3.5%20Final%20report%20-%20Chapters/Final%20Report_tables%20and%20figures.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embeddings/oleObject2.bin"/></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https://sharedservicescentre.sharepoint.com/sites/JSA-EarlyChildhoodEducationandCareCapacityStudy-TEAM/Shared%20Documents/3.%20ECEC%20Study%20Report/3.5%20Final%20report%20-%20Chapters/Final%20Report_tables%20and%20figures.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https://sharedservicescentre.sharepoint.com/sites/JSA-EarlyChildhoodEducationandCareCapacityStudy-TEAM/Shared%20Documents/3.%20ECEC%20Study%20Report/3.5%20Final%20report%20-%20Chapters/6.0%20Accessibility/ECEC%20report%20-%20graphs.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https://sharedservicescentre-my.sharepoint.com/personal/damian_oliver_jobsandskills_gov_au/Documents/Documents/ECEC%20capacity%20study/ECEC%20RTO%20Pivot.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https://sharedservicescentre.sharepoint.com/sites/JSA-EarlyChildhoodEducationandCareCapacityStudy-TEAM/Shared%20Documents/3.%20ECEC%20Study%20Report/3.5%20Final%20report%20-%20Chapters/6.0%20Accessibility/ECEC%20report%20-%20graph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sharedservicescentre.sharepoint.com/sites/JSA-EarlyChildhoodEducationandCareCapacityStudy-TEAM/Shared%20Documents/3.%20ECEC%20Study%20Report/3.5%20Final%20report%20-%20Chapters/Final%20Report_tables%20and%20figures.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1.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KL3149\Documents\Copy%20of%20ECEC%20ANZSCO4%20by%20SA4%20NERO%20IVI%20%20Jan%2024%20vKL%20recalssifying%20regions.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KL3149\Documents\Copy%20of%20ECEC%20ANZSCO4%20by%20SA4%20NERO%20IVI%20%20Jan%2024%20vKL%20recalssifying%20regions.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KL3149\Documents\Copy%20of%20ECEC%20ANZSCO4%20by%20SA4%20NERO%20IVI%20%20Jan%2024%20vKL%20recalssifying%20regions.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https://sharedservicescentre.sharepoint.com/sites/JSA-EarlyChildhoodEducationandCareCapacityStudy-TEAM/Shared%20Documents/3.%20ECEC%20Study%20Report/3.5%20Final%20report%20-%20Chapters/Final%20Report_tables%20and%20figures.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https://sharedservicescentre.sharepoint.com/sites/JSA-EarlyChildhoodEducationandCareCapacityStudy-TEAM/Shared%20Documents/3.%20ECEC%20Study%20Report/3.5%20Final%20report%20-%20Chapters/Final%20Report_tables%20and%20figures.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https://sharedservicescentre.sharepoint.com/sites/JSA-EarlyChildhoodEducationandCareCapacityStudy-TEAM/Shared%20Documents/3.%20ECEC%20Study%20Report/3.5%20Final%20report%20-%20Chapters/Final%20Report_tables%20and%20figur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'FIgure 2.2'!$A$42:$B$77</c:f>
              <c:multiLvlStrCache>
                <c:ptCount val="36"/>
                <c:lvl>
                  <c:pt idx="0">
                    <c:v>Aus</c:v>
                  </c:pt>
                  <c:pt idx="1">
                    <c:v>ACT</c:v>
                  </c:pt>
                  <c:pt idx="2">
                    <c:v>NT</c:v>
                  </c:pt>
                  <c:pt idx="3">
                    <c:v>Tas</c:v>
                  </c:pt>
                  <c:pt idx="4">
                    <c:v>WA</c:v>
                  </c:pt>
                  <c:pt idx="5">
                    <c:v>SA</c:v>
                  </c:pt>
                  <c:pt idx="6">
                    <c:v>Qld</c:v>
                  </c:pt>
                  <c:pt idx="7">
                    <c:v>Vic</c:v>
                  </c:pt>
                  <c:pt idx="8">
                    <c:v>NSW</c:v>
                  </c:pt>
                  <c:pt idx="9">
                    <c:v>Aus</c:v>
                  </c:pt>
                  <c:pt idx="10">
                    <c:v>ACT</c:v>
                  </c:pt>
                  <c:pt idx="11">
                    <c:v>NT</c:v>
                  </c:pt>
                  <c:pt idx="12">
                    <c:v>Tas</c:v>
                  </c:pt>
                  <c:pt idx="13">
                    <c:v>WA</c:v>
                  </c:pt>
                  <c:pt idx="14">
                    <c:v>SA</c:v>
                  </c:pt>
                  <c:pt idx="15">
                    <c:v>Qld</c:v>
                  </c:pt>
                  <c:pt idx="16">
                    <c:v>Vic</c:v>
                  </c:pt>
                  <c:pt idx="17">
                    <c:v>NSW</c:v>
                  </c:pt>
                  <c:pt idx="18">
                    <c:v>Aus</c:v>
                  </c:pt>
                  <c:pt idx="19">
                    <c:v>ACT</c:v>
                  </c:pt>
                  <c:pt idx="20">
                    <c:v>NT</c:v>
                  </c:pt>
                  <c:pt idx="21">
                    <c:v>Tas</c:v>
                  </c:pt>
                  <c:pt idx="22">
                    <c:v>WA</c:v>
                  </c:pt>
                  <c:pt idx="23">
                    <c:v>SA</c:v>
                  </c:pt>
                  <c:pt idx="24">
                    <c:v>Qld</c:v>
                  </c:pt>
                  <c:pt idx="25">
                    <c:v>Vic</c:v>
                  </c:pt>
                  <c:pt idx="26">
                    <c:v>NSW</c:v>
                  </c:pt>
                  <c:pt idx="27">
                    <c:v>Aus</c:v>
                  </c:pt>
                  <c:pt idx="28">
                    <c:v>ACT</c:v>
                  </c:pt>
                  <c:pt idx="29">
                    <c:v>NT</c:v>
                  </c:pt>
                  <c:pt idx="30">
                    <c:v>Tas</c:v>
                  </c:pt>
                  <c:pt idx="31">
                    <c:v>WA</c:v>
                  </c:pt>
                  <c:pt idx="32">
                    <c:v>SA</c:v>
                  </c:pt>
                  <c:pt idx="33">
                    <c:v>Qld</c:v>
                  </c:pt>
                  <c:pt idx="34">
                    <c:v>Vic</c:v>
                  </c:pt>
                  <c:pt idx="35">
                    <c:v>NSW</c:v>
                  </c:pt>
                </c:lvl>
                <c:lvl>
                  <c:pt idx="0">
                    <c:v>Child Care Centre Managers</c:v>
                  </c:pt>
                  <c:pt idx="9">
                    <c:v>Early Childhood (Pre-primary School) Teachers</c:v>
                  </c:pt>
                  <c:pt idx="18">
                    <c:v>Child Carers</c:v>
                  </c:pt>
                  <c:pt idx="27">
                    <c:v>Education Aides</c:v>
                  </c:pt>
                </c:lvl>
              </c:multiLvlStrCache>
            </c:multiLvlStrRef>
          </c:cat>
          <c:val>
            <c:numRef>
              <c:f>'FIgure 2.2'!$C$42:$C$77</c:f>
              <c:numCache>
                <c:formatCode>0.0%</c:formatCode>
                <c:ptCount val="36"/>
                <c:pt idx="0">
                  <c:v>2.4532310011649423E-2</c:v>
                </c:pt>
                <c:pt idx="1">
                  <c:v>1.9292604501607719E-2</c:v>
                </c:pt>
                <c:pt idx="2">
                  <c:v>6.8322981366459631E-2</c:v>
                </c:pt>
                <c:pt idx="3">
                  <c:v>5.1724137931034482E-2</c:v>
                </c:pt>
                <c:pt idx="4">
                  <c:v>1.7580872011251757E-2</c:v>
                </c:pt>
                <c:pt idx="5">
                  <c:v>0.01</c:v>
                </c:pt>
                <c:pt idx="6">
                  <c:v>3.9244186046511628E-2</c:v>
                </c:pt>
                <c:pt idx="7">
                  <c:v>9.8448687350835319E-3</c:v>
                </c:pt>
                <c:pt idx="8">
                  <c:v>2.4952421230704167E-2</c:v>
                </c:pt>
                <c:pt idx="9">
                  <c:v>1.7493002798880448E-2</c:v>
                </c:pt>
                <c:pt idx="10">
                  <c:v>1.048951048951049E-2</c:v>
                </c:pt>
                <c:pt idx="11">
                  <c:v>0.10902255639097744</c:v>
                </c:pt>
                <c:pt idx="12">
                  <c:v>2.2047244094488189E-2</c:v>
                </c:pt>
                <c:pt idx="13">
                  <c:v>1.2164073550212163E-2</c:v>
                </c:pt>
                <c:pt idx="14">
                  <c:v>1.5168331483536811E-2</c:v>
                </c:pt>
                <c:pt idx="15">
                  <c:v>2.2432113341204249E-2</c:v>
                </c:pt>
                <c:pt idx="16">
                  <c:v>5.2875935001289653E-3</c:v>
                </c:pt>
                <c:pt idx="17">
                  <c:v>2.3061461969745053E-2</c:v>
                </c:pt>
                <c:pt idx="18">
                  <c:v>2.9269493507292757E-2</c:v>
                </c:pt>
                <c:pt idx="19">
                  <c:v>1.1733072598386702E-2</c:v>
                </c:pt>
                <c:pt idx="20">
                  <c:v>0.14421930870083433</c:v>
                </c:pt>
                <c:pt idx="21">
                  <c:v>6.1677322301617148E-2</c:v>
                </c:pt>
                <c:pt idx="22">
                  <c:v>2.0151133501259445E-2</c:v>
                </c:pt>
                <c:pt idx="23">
                  <c:v>1.7380567955171431E-2</c:v>
                </c:pt>
                <c:pt idx="24">
                  <c:v>4.2367426892402409E-2</c:v>
                </c:pt>
                <c:pt idx="25">
                  <c:v>9.597870253607959E-3</c:v>
                </c:pt>
                <c:pt idx="26">
                  <c:v>3.7557030683976582E-2</c:v>
                </c:pt>
                <c:pt idx="27">
                  <c:v>5.6618750302502296E-2</c:v>
                </c:pt>
                <c:pt idx="28">
                  <c:v>3.023117960877297E-2</c:v>
                </c:pt>
                <c:pt idx="29">
                  <c:v>0.34419263456090654</c:v>
                </c:pt>
                <c:pt idx="30">
                  <c:v>5.7324840764331211E-2</c:v>
                </c:pt>
                <c:pt idx="31">
                  <c:v>5.1728334956183057E-2</c:v>
                </c:pt>
                <c:pt idx="32">
                  <c:v>5.3405064952106021E-2</c:v>
                </c:pt>
                <c:pt idx="33">
                  <c:v>6.0581680679029727E-2</c:v>
                </c:pt>
                <c:pt idx="34">
                  <c:v>1.5154677910908864E-2</c:v>
                </c:pt>
                <c:pt idx="35">
                  <c:v>8.3322917968587262E-2</c:v>
                </c:pt>
              </c:numCache>
            </c:numRef>
          </c:val>
          <c:extLst>
            <c:ext xmlns:c16="http://schemas.microsoft.com/office/drawing/2014/chart" uri="{C3380CC4-5D6E-409C-BE32-E72D297353CC}">
              <c16:uniqueId val="{00000000-6311-49FB-A3EF-9B7FF754CE4D}"/>
            </c:ext>
          </c:extLst>
        </c:ser>
        <c:dLbls>
          <c:dLblPos val="outEnd"/>
          <c:showLegendKey val="0"/>
          <c:showVal val="1"/>
          <c:showCatName val="0"/>
          <c:showSerName val="0"/>
          <c:showPercent val="0"/>
          <c:showBubbleSize val="0"/>
        </c:dLbls>
        <c:gapWidth val="182"/>
        <c:axId val="1650875247"/>
        <c:axId val="1650876207"/>
      </c:barChart>
      <c:catAx>
        <c:axId val="16508752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0876207"/>
        <c:crosses val="autoZero"/>
        <c:auto val="1"/>
        <c:lblAlgn val="ctr"/>
        <c:lblOffset val="100"/>
        <c:noMultiLvlLbl val="0"/>
      </c:catAx>
      <c:valAx>
        <c:axId val="165087620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 of occupation identifying as Aboriginal</a:t>
                </a:r>
                <a:r>
                  <a:rPr lang="en-AU" baseline="0"/>
                  <a:t> and/or Torres Strait Islander</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08752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'[Final Report_tables and figures.xlsx]for presentation'!$B$5</c:f>
              <c:strCache>
                <c:ptCount val="1"/>
                <c:pt idx="0">
                  <c:v>Certificate III in Early Childhood Education and Care</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'[Final Report_tables and figures.xlsx]for presentation'!$C$4:$G$4</c:f>
              <c:numCache>
                <c:formatCode>General</c:formatCode>
                <c:ptCount val="5"/>
                <c:pt idx="0">
                  <c:v>2018</c:v>
                </c:pt>
                <c:pt idx="1">
                  <c:v>2019</c:v>
                </c:pt>
                <c:pt idx="2">
                  <c:v>2020</c:v>
                </c:pt>
                <c:pt idx="3">
                  <c:v>2021</c:v>
                </c:pt>
                <c:pt idx="4">
                  <c:v>2022</c:v>
                </c:pt>
              </c:numCache>
            </c:numRef>
          </c:cat>
          <c:val>
            <c:numRef>
              <c:f>'[Final Report_tables and figures.xlsx]for presentation'!$C$5:$G$5</c:f>
              <c:numCache>
                <c:formatCode>#,##0</c:formatCode>
                <c:ptCount val="5"/>
                <c:pt idx="0">
                  <c:v>52835</c:v>
                </c:pt>
                <c:pt idx="1">
                  <c:v>55005</c:v>
                </c:pt>
                <c:pt idx="2">
                  <c:v>55030</c:v>
                </c:pt>
                <c:pt idx="3">
                  <c:v>64445</c:v>
                </c:pt>
                <c:pt idx="4">
                  <c:v>73855</c:v>
                </c:pt>
              </c:numCache>
            </c:numRef>
          </c:val>
          <c:smooth val="0"/>
          <c:extLst>
            <c:ext xmlns:c16="http://schemas.microsoft.com/office/drawing/2014/chart" uri="{C3380CC4-5D6E-409C-BE32-E72D297353CC}">
              <c16:uniqueId val="{00000000-EDC5-494E-A9F5-E8BD686F1FB4}"/>
            </c:ext>
          </c:extLst>
        </c:ser>
        <c:ser>
          <c:idx val="1"/>
          <c:order val="1"/>
          <c:tx>
            <c:strRef>
              <c:f>'[Final Report_tables and figures.xlsx]for presentation'!$B$6</c:f>
              <c:strCache>
                <c:ptCount val="1"/>
                <c:pt idx="0">
                  <c:v>Diploma of Early Childhood Education and Care</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'[Final Report_tables and figures.xlsx]for presentation'!$C$4:$G$4</c:f>
              <c:numCache>
                <c:formatCode>General</c:formatCode>
                <c:ptCount val="5"/>
                <c:pt idx="0">
                  <c:v>2018</c:v>
                </c:pt>
                <c:pt idx="1">
                  <c:v>2019</c:v>
                </c:pt>
                <c:pt idx="2">
                  <c:v>2020</c:v>
                </c:pt>
                <c:pt idx="3">
                  <c:v>2021</c:v>
                </c:pt>
                <c:pt idx="4">
                  <c:v>2022</c:v>
                </c:pt>
              </c:numCache>
            </c:numRef>
          </c:cat>
          <c:val>
            <c:numRef>
              <c:f>'[Final Report_tables and figures.xlsx]for presentation'!$C$6:$G$6</c:f>
              <c:numCache>
                <c:formatCode>#,##0</c:formatCode>
                <c:ptCount val="5"/>
                <c:pt idx="0">
                  <c:v>52240</c:v>
                </c:pt>
                <c:pt idx="1">
                  <c:v>48750</c:v>
                </c:pt>
                <c:pt idx="2">
                  <c:v>44945</c:v>
                </c:pt>
                <c:pt idx="3">
                  <c:v>49910</c:v>
                </c:pt>
                <c:pt idx="4">
                  <c:v>39240</c:v>
                </c:pt>
              </c:numCache>
            </c:numRef>
          </c:val>
          <c:smooth val="0"/>
          <c:extLst>
            <c:ext xmlns:c16="http://schemas.microsoft.com/office/drawing/2014/chart" uri="{C3380CC4-5D6E-409C-BE32-E72D297353CC}">
              <c16:uniqueId val="{00000001-EDC5-494E-A9F5-E8BD686F1FB4}"/>
            </c:ext>
          </c:extLst>
        </c:ser>
        <c:dLbls>
          <c:dLblPos val="t"/>
          <c:showLegendKey val="0"/>
          <c:showVal val="1"/>
          <c:showCatName val="0"/>
          <c:showSerName val="0"/>
          <c:showPercent val="0"/>
          <c:showBubbleSize val="0"/>
        </c:dLbls>
        <c:smooth val="0"/>
        <c:axId val="2111338752"/>
        <c:axId val="1996344320"/>
      </c:lineChart>
      <c:catAx>
        <c:axId val="2111338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6344320"/>
        <c:crosses val="autoZero"/>
        <c:auto val="1"/>
        <c:lblAlgn val="ctr"/>
        <c:lblOffset val="100"/>
        <c:noMultiLvlLbl val="0"/>
      </c:catAx>
      <c:valAx>
        <c:axId val="1996344320"/>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1338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'[Final Report_tables and figures.xlsx]Figure XIV'!$C$5</c:f>
              <c:strCache>
                <c:ptCount val="1"/>
                <c:pt idx="0">
                  <c:v>Teacher Education: Early Childhood 01. Postgraduate</c:v>
                </c:pt>
              </c:strCache>
            </c:strRef>
          </c:tx>
          <c:spPr>
            <a:ln w="28575" cap="rnd">
              <a:solidFill>
                <a:schemeClr val="accent1"/>
              </a:solidFill>
              <a:round/>
            </a:ln>
            <a:effectLst/>
          </c:spPr>
          <c:marker>
            <c:symbol val="none"/>
          </c:marker>
          <c:dLbls>
            <c:dLbl>
              <c:idx val="1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B58-4B22-9BB6-AAA91B9F703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'[Final Report_tables and figures.xlsx]Figure XIV'!$D$4:$N$4</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'[Final Report_tables and figures.xlsx]Figure XIV'!$D$5:$N$5</c:f>
              <c:numCache>
                <c:formatCode>#,##0</c:formatCode>
                <c:ptCount val="11"/>
                <c:pt idx="0">
                  <c:v>1424</c:v>
                </c:pt>
                <c:pt idx="1">
                  <c:v>1545</c:v>
                </c:pt>
                <c:pt idx="2">
                  <c:v>1940</c:v>
                </c:pt>
                <c:pt idx="3">
                  <c:v>2089</c:v>
                </c:pt>
                <c:pt idx="4">
                  <c:v>2200</c:v>
                </c:pt>
                <c:pt idx="5">
                  <c:v>2314</c:v>
                </c:pt>
                <c:pt idx="6">
                  <c:v>2557</c:v>
                </c:pt>
                <c:pt idx="7">
                  <c:v>2667</c:v>
                </c:pt>
                <c:pt idx="8">
                  <c:v>2911</c:v>
                </c:pt>
                <c:pt idx="9">
                  <c:v>3282</c:v>
                </c:pt>
                <c:pt idx="10">
                  <c:v>4247</c:v>
                </c:pt>
              </c:numCache>
            </c:numRef>
          </c:val>
          <c:smooth val="0"/>
          <c:extLst>
            <c:ext xmlns:c16="http://schemas.microsoft.com/office/drawing/2014/chart" uri="{C3380CC4-5D6E-409C-BE32-E72D297353CC}">
              <c16:uniqueId val="{00000001-5B58-4B22-9BB6-AAA91B9F7035}"/>
            </c:ext>
          </c:extLst>
        </c:ser>
        <c:ser>
          <c:idx val="1"/>
          <c:order val="1"/>
          <c:tx>
            <c:strRef>
              <c:f>'[Final Report_tables and figures.xlsx]Figure XIV'!$C$6</c:f>
              <c:strCache>
                <c:ptCount val="1"/>
                <c:pt idx="0">
                  <c:v>Teacher Education: Early Childhood 02. Undergraduate</c:v>
                </c:pt>
              </c:strCache>
            </c:strRef>
          </c:tx>
          <c:spPr>
            <a:ln w="28575" cap="rnd">
              <a:solidFill>
                <a:schemeClr val="accent2"/>
              </a:solidFill>
              <a:round/>
            </a:ln>
            <a:effectLst/>
          </c:spPr>
          <c:marker>
            <c:symbol val="none"/>
          </c:marker>
          <c:dLbls>
            <c:dLbl>
              <c:idx val="1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B58-4B22-9BB6-AAA91B9F703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'[Final Report_tables and figures.xlsx]Figure XIV'!$D$4:$N$4</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'[Final Report_tables and figures.xlsx]Figure XIV'!$D$6:$N$6</c:f>
              <c:numCache>
                <c:formatCode>#,##0</c:formatCode>
                <c:ptCount val="11"/>
                <c:pt idx="0">
                  <c:v>13340</c:v>
                </c:pt>
                <c:pt idx="1">
                  <c:v>14419</c:v>
                </c:pt>
                <c:pt idx="2">
                  <c:v>16678</c:v>
                </c:pt>
                <c:pt idx="3">
                  <c:v>16141</c:v>
                </c:pt>
                <c:pt idx="4">
                  <c:v>15536</c:v>
                </c:pt>
                <c:pt idx="5">
                  <c:v>14690</c:v>
                </c:pt>
                <c:pt idx="6">
                  <c:v>13563</c:v>
                </c:pt>
                <c:pt idx="7">
                  <c:v>12904</c:v>
                </c:pt>
                <c:pt idx="8">
                  <c:v>13589</c:v>
                </c:pt>
                <c:pt idx="9">
                  <c:v>16222</c:v>
                </c:pt>
                <c:pt idx="10">
                  <c:v>17281</c:v>
                </c:pt>
              </c:numCache>
            </c:numRef>
          </c:val>
          <c:smooth val="0"/>
          <c:extLst>
            <c:ext xmlns:c16="http://schemas.microsoft.com/office/drawing/2014/chart" uri="{C3380CC4-5D6E-409C-BE32-E72D297353CC}">
              <c16:uniqueId val="{00000003-5B58-4B22-9BB6-AAA91B9F7035}"/>
            </c:ext>
          </c:extLst>
        </c:ser>
        <c:dLbls>
          <c:dLblPos val="t"/>
          <c:showLegendKey val="0"/>
          <c:showVal val="1"/>
          <c:showCatName val="0"/>
          <c:showSerName val="0"/>
          <c:showPercent val="0"/>
          <c:showBubbleSize val="0"/>
        </c:dLbls>
        <c:smooth val="0"/>
        <c:axId val="1168569903"/>
        <c:axId val="1318055632"/>
      </c:lineChart>
      <c:catAx>
        <c:axId val="11685699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8055632"/>
        <c:crosses val="autoZero"/>
        <c:auto val="1"/>
        <c:lblAlgn val="ctr"/>
        <c:lblOffset val="100"/>
        <c:noMultiLvlLbl val="0"/>
      </c:catAx>
      <c:valAx>
        <c:axId val="131805563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85699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'[Final Report_tables and figures.xlsx]Figure 3.3'!$B$5</c:f>
              <c:strCache>
                <c:ptCount val="1"/>
                <c:pt idx="0">
                  <c:v>TAFE institutes</c:v>
                </c:pt>
              </c:strCache>
            </c:strRef>
          </c:tx>
          <c:spPr>
            <a:ln w="28575" cap="rnd">
              <a:solidFill>
                <a:srgbClr val="6929C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'[Final Report_tables and figures.xlsx]Figure 3.3'!$C$4:$G$4</c:f>
              <c:numCache>
                <c:formatCode>General</c:formatCode>
                <c:ptCount val="5"/>
                <c:pt idx="0">
                  <c:v>2018</c:v>
                </c:pt>
                <c:pt idx="1">
                  <c:v>2019</c:v>
                </c:pt>
                <c:pt idx="2">
                  <c:v>2020</c:v>
                </c:pt>
                <c:pt idx="3">
                  <c:v>2021</c:v>
                </c:pt>
                <c:pt idx="4">
                  <c:v>2022</c:v>
                </c:pt>
              </c:numCache>
            </c:numRef>
          </c:cat>
          <c:val>
            <c:numRef>
              <c:f>'[Final Report_tables and figures.xlsx]Figure 3.3'!$C$5:$G$5</c:f>
              <c:numCache>
                <c:formatCode>0.0%</c:formatCode>
                <c:ptCount val="5"/>
                <c:pt idx="0">
                  <c:v>0.317</c:v>
                </c:pt>
                <c:pt idx="1">
                  <c:v>0.3</c:v>
                </c:pt>
                <c:pt idx="2">
                  <c:v>0.30399999999999999</c:v>
                </c:pt>
                <c:pt idx="3">
                  <c:v>0.28399999999999997</c:v>
                </c:pt>
                <c:pt idx="4">
                  <c:v>0.254</c:v>
                </c:pt>
              </c:numCache>
            </c:numRef>
          </c:val>
          <c:smooth val="0"/>
          <c:extLst>
            <c:ext xmlns:c16="http://schemas.microsoft.com/office/drawing/2014/chart" uri="{C3380CC4-5D6E-409C-BE32-E72D297353CC}">
              <c16:uniqueId val="{00000000-084A-4E2B-8770-E0C72234B8FF}"/>
            </c:ext>
          </c:extLst>
        </c:ser>
        <c:ser>
          <c:idx val="1"/>
          <c:order val="1"/>
          <c:tx>
            <c:strRef>
              <c:f>'[Final Report_tables and figures.xlsx]Figure 3.3'!$B$6</c:f>
              <c:strCache>
                <c:ptCount val="1"/>
                <c:pt idx="0">
                  <c:v>Universities</c:v>
                </c:pt>
              </c:strCache>
            </c:strRef>
          </c:tx>
          <c:spPr>
            <a:ln w="28575" cap="rnd">
              <a:solidFill>
                <a:srgbClr val="005D5D"/>
              </a:solidFill>
              <a:round/>
            </a:ln>
            <a:effectLst/>
          </c:spPr>
          <c:marker>
            <c:symbol val="none"/>
          </c:marker>
          <c:dLbls>
            <c:delete val="1"/>
          </c:dLbls>
          <c:cat>
            <c:numRef>
              <c:f>'[Final Report_tables and figures.xlsx]Figure 3.3'!$C$4:$G$4</c:f>
              <c:numCache>
                <c:formatCode>General</c:formatCode>
                <c:ptCount val="5"/>
                <c:pt idx="0">
                  <c:v>2018</c:v>
                </c:pt>
                <c:pt idx="1">
                  <c:v>2019</c:v>
                </c:pt>
                <c:pt idx="2">
                  <c:v>2020</c:v>
                </c:pt>
                <c:pt idx="3">
                  <c:v>2021</c:v>
                </c:pt>
                <c:pt idx="4">
                  <c:v>2022</c:v>
                </c:pt>
              </c:numCache>
            </c:numRef>
          </c:cat>
          <c:val>
            <c:numRef>
              <c:f>'[Final Report_tables and figures.xlsx]Figure 3.3'!$C$6:$G$6</c:f>
              <c:numCache>
                <c:formatCode>0.0%</c:formatCode>
                <c:ptCount val="5"/>
                <c:pt idx="0">
                  <c:v>1.8000000000000002E-2</c:v>
                </c:pt>
                <c:pt idx="1">
                  <c:v>1.6E-2</c:v>
                </c:pt>
                <c:pt idx="2">
                  <c:v>1.9E-2</c:v>
                </c:pt>
                <c:pt idx="3">
                  <c:v>0.02</c:v>
                </c:pt>
                <c:pt idx="4">
                  <c:v>1.4999999999999999E-2</c:v>
                </c:pt>
              </c:numCache>
            </c:numRef>
          </c:val>
          <c:smooth val="0"/>
          <c:extLst>
            <c:ext xmlns:c16="http://schemas.microsoft.com/office/drawing/2014/chart" uri="{C3380CC4-5D6E-409C-BE32-E72D297353CC}">
              <c16:uniqueId val="{00000001-084A-4E2B-8770-E0C72234B8FF}"/>
            </c:ext>
          </c:extLst>
        </c:ser>
        <c:ser>
          <c:idx val="2"/>
          <c:order val="2"/>
          <c:tx>
            <c:strRef>
              <c:f>'[Final Report_tables and figures.xlsx]Figure 3.3'!$B$7</c:f>
              <c:strCache>
                <c:ptCount val="1"/>
                <c:pt idx="0">
                  <c:v>Schools</c:v>
                </c:pt>
              </c:strCache>
            </c:strRef>
          </c:tx>
          <c:spPr>
            <a:ln w="28575" cap="rnd">
              <a:solidFill>
                <a:srgbClr val="1192E8"/>
              </a:solidFill>
              <a:round/>
            </a:ln>
            <a:effectLst/>
          </c:spPr>
          <c:marker>
            <c:symbol val="none"/>
          </c:marker>
          <c:dLbls>
            <c:delete val="1"/>
          </c:dLbls>
          <c:cat>
            <c:numRef>
              <c:f>'[Final Report_tables and figures.xlsx]Figure 3.3'!$C$4:$G$4</c:f>
              <c:numCache>
                <c:formatCode>General</c:formatCode>
                <c:ptCount val="5"/>
                <c:pt idx="0">
                  <c:v>2018</c:v>
                </c:pt>
                <c:pt idx="1">
                  <c:v>2019</c:v>
                </c:pt>
                <c:pt idx="2">
                  <c:v>2020</c:v>
                </c:pt>
                <c:pt idx="3">
                  <c:v>2021</c:v>
                </c:pt>
                <c:pt idx="4">
                  <c:v>2022</c:v>
                </c:pt>
              </c:numCache>
            </c:numRef>
          </c:cat>
          <c:val>
            <c:numRef>
              <c:f>'[Final Report_tables and figures.xlsx]Figure 3.3'!$C$7:$G$7</c:f>
              <c:numCache>
                <c:formatCode>0.0%</c:formatCode>
                <c:ptCount val="5"/>
                <c:pt idx="0">
                  <c:v>1.8000000000000002E-2</c:v>
                </c:pt>
                <c:pt idx="1">
                  <c:v>1.7000000000000001E-2</c:v>
                </c:pt>
                <c:pt idx="2">
                  <c:v>1.4999999999999999E-2</c:v>
                </c:pt>
                <c:pt idx="3">
                  <c:v>1.7000000000000001E-2</c:v>
                </c:pt>
                <c:pt idx="4">
                  <c:v>1.3000000000000001E-2</c:v>
                </c:pt>
              </c:numCache>
            </c:numRef>
          </c:val>
          <c:smooth val="0"/>
          <c:extLst>
            <c:ext xmlns:c16="http://schemas.microsoft.com/office/drawing/2014/chart" uri="{C3380CC4-5D6E-409C-BE32-E72D297353CC}">
              <c16:uniqueId val="{00000002-084A-4E2B-8770-E0C72234B8FF}"/>
            </c:ext>
          </c:extLst>
        </c:ser>
        <c:ser>
          <c:idx val="3"/>
          <c:order val="3"/>
          <c:tx>
            <c:strRef>
              <c:f>'[Final Report_tables and figures.xlsx]Figure 3.3'!$B$8</c:f>
              <c:strCache>
                <c:ptCount val="1"/>
                <c:pt idx="0">
                  <c:v>Community education providers</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'[Final Report_tables and figures.xlsx]Figure 3.3'!$C$4:$G$4</c:f>
              <c:numCache>
                <c:formatCode>General</c:formatCode>
                <c:ptCount val="5"/>
                <c:pt idx="0">
                  <c:v>2018</c:v>
                </c:pt>
                <c:pt idx="1">
                  <c:v>2019</c:v>
                </c:pt>
                <c:pt idx="2">
                  <c:v>2020</c:v>
                </c:pt>
                <c:pt idx="3">
                  <c:v>2021</c:v>
                </c:pt>
                <c:pt idx="4">
                  <c:v>2022</c:v>
                </c:pt>
              </c:numCache>
            </c:numRef>
          </c:cat>
          <c:val>
            <c:numRef>
              <c:f>'[Final Report_tables and figures.xlsx]Figure 3.3'!$C$8:$G$8</c:f>
              <c:numCache>
                <c:formatCode>0.0%</c:formatCode>
                <c:ptCount val="5"/>
                <c:pt idx="0">
                  <c:v>8.5000000000000006E-2</c:v>
                </c:pt>
                <c:pt idx="1">
                  <c:v>8.6999999999999994E-2</c:v>
                </c:pt>
                <c:pt idx="2">
                  <c:v>8.199999999999999E-2</c:v>
                </c:pt>
                <c:pt idx="3">
                  <c:v>8.1000000000000003E-2</c:v>
                </c:pt>
                <c:pt idx="4">
                  <c:v>7.6999999999999999E-2</c:v>
                </c:pt>
              </c:numCache>
            </c:numRef>
          </c:val>
          <c:smooth val="0"/>
          <c:extLst>
            <c:ext xmlns:c16="http://schemas.microsoft.com/office/drawing/2014/chart" uri="{C3380CC4-5D6E-409C-BE32-E72D297353CC}">
              <c16:uniqueId val="{00000003-084A-4E2B-8770-E0C72234B8FF}"/>
            </c:ext>
          </c:extLst>
        </c:ser>
        <c:ser>
          <c:idx val="4"/>
          <c:order val="4"/>
          <c:tx>
            <c:strRef>
              <c:f>'[Final Report_tables and figures.xlsx]Figure 3.3'!$B$9</c:f>
              <c:strCache>
                <c:ptCount val="1"/>
                <c:pt idx="0">
                  <c:v>Enterprise providers</c:v>
                </c:pt>
              </c:strCache>
            </c:strRef>
          </c:tx>
          <c:spPr>
            <a:ln w="28575" cap="rnd">
              <a:solidFill>
                <a:srgbClr val="FA4D56"/>
              </a:solidFill>
              <a:round/>
            </a:ln>
            <a:effectLst/>
          </c:spPr>
          <c:marker>
            <c:symbol val="none"/>
          </c:marker>
          <c:dLbls>
            <c:delete val="1"/>
          </c:dLbls>
          <c:cat>
            <c:numRef>
              <c:f>'[Final Report_tables and figures.xlsx]Figure 3.3'!$C$4:$G$4</c:f>
              <c:numCache>
                <c:formatCode>General</c:formatCode>
                <c:ptCount val="5"/>
                <c:pt idx="0">
                  <c:v>2018</c:v>
                </c:pt>
                <c:pt idx="1">
                  <c:v>2019</c:v>
                </c:pt>
                <c:pt idx="2">
                  <c:v>2020</c:v>
                </c:pt>
                <c:pt idx="3">
                  <c:v>2021</c:v>
                </c:pt>
                <c:pt idx="4">
                  <c:v>2022</c:v>
                </c:pt>
              </c:numCache>
            </c:numRef>
          </c:cat>
          <c:val>
            <c:numRef>
              <c:f>'[Final Report_tables and figures.xlsx]Figure 3.3'!$C$9:$G$9</c:f>
              <c:numCache>
                <c:formatCode>0.0%</c:formatCode>
                <c:ptCount val="5"/>
                <c:pt idx="0">
                  <c:v>6.9999999999999993E-3</c:v>
                </c:pt>
                <c:pt idx="1">
                  <c:v>5.0000000000000001E-3</c:v>
                </c:pt>
                <c:pt idx="2">
                  <c:v>3.0000000000000001E-3</c:v>
                </c:pt>
                <c:pt idx="3">
                  <c:v>3.0000000000000001E-3</c:v>
                </c:pt>
                <c:pt idx="4">
                  <c:v>1E-3</c:v>
                </c:pt>
              </c:numCache>
            </c:numRef>
          </c:val>
          <c:smooth val="0"/>
          <c:extLst>
            <c:ext xmlns:c16="http://schemas.microsoft.com/office/drawing/2014/chart" uri="{C3380CC4-5D6E-409C-BE32-E72D297353CC}">
              <c16:uniqueId val="{00000004-084A-4E2B-8770-E0C72234B8FF}"/>
            </c:ext>
          </c:extLst>
        </c:ser>
        <c:ser>
          <c:idx val="5"/>
          <c:order val="5"/>
          <c:tx>
            <c:strRef>
              <c:f>'[Final Report_tables and figures.xlsx]Figure 3.3'!$B$10</c:f>
              <c:strCache>
                <c:ptCount val="1"/>
                <c:pt idx="0">
                  <c:v>Private training providers</c:v>
                </c:pt>
              </c:strCache>
            </c:strRef>
          </c:tx>
          <c:spPr>
            <a:ln w="28575" cap="rnd">
              <a:solidFill>
                <a:schemeClr val="accent6"/>
              </a:solidFill>
              <a:round/>
            </a:ln>
            <a:effectLst/>
          </c:spPr>
          <c:marker>
            <c:symbol val="none"/>
          </c:marker>
          <c:dPt>
            <c:idx val="4"/>
            <c:marker>
              <c:symbol val="none"/>
            </c:marker>
            <c:bubble3D val="0"/>
            <c:spPr>
              <a:ln w="28575" cap="rnd">
                <a:solidFill>
                  <a:srgbClr val="570408"/>
                </a:solidFill>
                <a:round/>
              </a:ln>
              <a:effectLst/>
            </c:spPr>
            <c:extLst>
              <c:ext xmlns:c16="http://schemas.microsoft.com/office/drawing/2014/chart" uri="{C3380CC4-5D6E-409C-BE32-E72D297353CC}">
                <c16:uniqueId val="{00000006-084A-4E2B-8770-E0C72234B8F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'[Final Report_tables and figures.xlsx]Figure 3.3'!$C$4:$G$4</c:f>
              <c:numCache>
                <c:formatCode>General</c:formatCode>
                <c:ptCount val="5"/>
                <c:pt idx="0">
                  <c:v>2018</c:v>
                </c:pt>
                <c:pt idx="1">
                  <c:v>2019</c:v>
                </c:pt>
                <c:pt idx="2">
                  <c:v>2020</c:v>
                </c:pt>
                <c:pt idx="3">
                  <c:v>2021</c:v>
                </c:pt>
                <c:pt idx="4">
                  <c:v>2022</c:v>
                </c:pt>
              </c:numCache>
            </c:numRef>
          </c:cat>
          <c:val>
            <c:numRef>
              <c:f>'[Final Report_tables and figures.xlsx]Figure 3.3'!$C$10:$G$10</c:f>
              <c:numCache>
                <c:formatCode>0.0%</c:formatCode>
                <c:ptCount val="5"/>
                <c:pt idx="0">
                  <c:v>0.55399999999999994</c:v>
                </c:pt>
                <c:pt idx="1">
                  <c:v>0.57399999999999995</c:v>
                </c:pt>
                <c:pt idx="2">
                  <c:v>0.57700000000000007</c:v>
                </c:pt>
                <c:pt idx="3">
                  <c:v>0.59599999999999997</c:v>
                </c:pt>
                <c:pt idx="4">
                  <c:v>0.64</c:v>
                </c:pt>
              </c:numCache>
            </c:numRef>
          </c:val>
          <c:smooth val="0"/>
          <c:extLst>
            <c:ext xmlns:c16="http://schemas.microsoft.com/office/drawing/2014/chart" uri="{C3380CC4-5D6E-409C-BE32-E72D297353CC}">
              <c16:uniqueId val="{00000007-084A-4E2B-8770-E0C72234B8FF}"/>
            </c:ext>
          </c:extLst>
        </c:ser>
        <c:dLbls>
          <c:dLblPos val="t"/>
          <c:showLegendKey val="0"/>
          <c:showVal val="1"/>
          <c:showCatName val="0"/>
          <c:showSerName val="0"/>
          <c:showPercent val="0"/>
          <c:showBubbleSize val="0"/>
        </c:dLbls>
        <c:smooth val="0"/>
        <c:axId val="1189065264"/>
        <c:axId val="1189066704"/>
      </c:lineChart>
      <c:catAx>
        <c:axId val="1189065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9066704"/>
        <c:crosses val="autoZero"/>
        <c:auto val="1"/>
        <c:lblAlgn val="ctr"/>
        <c:lblOffset val="100"/>
        <c:noMultiLvlLbl val="0"/>
      </c:catAx>
      <c:valAx>
        <c:axId val="1189066704"/>
        <c:scaling>
          <c:orientation val="minMax"/>
          <c:max val="0.8"/>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9065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'[ECEC report - graphs.xlsx]Figure 3.4'!$A$8</c:f>
              <c:strCache>
                <c:ptCount val="1"/>
                <c:pt idx="0">
                  <c:v>TAFE institutes</c:v>
                </c:pt>
              </c:strCache>
            </c:strRef>
          </c:tx>
          <c:spPr>
            <a:ln w="28575" cap="rnd">
              <a:solidFill>
                <a:srgbClr val="6929C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'[ECEC report - graphs.xlsx]Figure 3.4'!$B$7:$F$7</c:f>
              <c:numCache>
                <c:formatCode>General</c:formatCode>
                <c:ptCount val="5"/>
                <c:pt idx="0">
                  <c:v>2018</c:v>
                </c:pt>
                <c:pt idx="1">
                  <c:v>2019</c:v>
                </c:pt>
                <c:pt idx="2">
                  <c:v>2020</c:v>
                </c:pt>
                <c:pt idx="3">
                  <c:v>2021</c:v>
                </c:pt>
                <c:pt idx="4">
                  <c:v>2022</c:v>
                </c:pt>
              </c:numCache>
            </c:numRef>
          </c:cat>
          <c:val>
            <c:numRef>
              <c:f>'[ECEC report - graphs.xlsx]Figure 3.4'!$B$8:$F$8</c:f>
              <c:numCache>
                <c:formatCode>0.0%</c:formatCode>
                <c:ptCount val="5"/>
                <c:pt idx="0">
                  <c:v>0.23870000000000002</c:v>
                </c:pt>
                <c:pt idx="1">
                  <c:v>0.18049999999999999</c:v>
                </c:pt>
                <c:pt idx="2">
                  <c:v>0.19940000000000002</c:v>
                </c:pt>
                <c:pt idx="3">
                  <c:v>0.18870000000000001</c:v>
                </c:pt>
                <c:pt idx="4">
                  <c:v>0.1709</c:v>
                </c:pt>
              </c:numCache>
            </c:numRef>
          </c:val>
          <c:smooth val="0"/>
          <c:extLst>
            <c:ext xmlns:c16="http://schemas.microsoft.com/office/drawing/2014/chart" uri="{C3380CC4-5D6E-409C-BE32-E72D297353CC}">
              <c16:uniqueId val="{00000000-B7A2-4392-813F-830A9F75C2A0}"/>
            </c:ext>
          </c:extLst>
        </c:ser>
        <c:ser>
          <c:idx val="1"/>
          <c:order val="1"/>
          <c:tx>
            <c:strRef>
              <c:f>'[ECEC report - graphs.xlsx]Figure 3.4'!$A$9</c:f>
              <c:strCache>
                <c:ptCount val="1"/>
                <c:pt idx="0">
                  <c:v>Universities</c:v>
                </c:pt>
              </c:strCache>
            </c:strRef>
          </c:tx>
          <c:spPr>
            <a:ln w="28575" cap="rnd">
              <a:solidFill>
                <a:srgbClr val="005D5D"/>
              </a:solidFill>
              <a:round/>
            </a:ln>
            <a:effectLst/>
          </c:spPr>
          <c:marker>
            <c:symbol val="none"/>
          </c:marker>
          <c:cat>
            <c:numRef>
              <c:f>'[ECEC report - graphs.xlsx]Figure 3.4'!$B$7:$F$7</c:f>
              <c:numCache>
                <c:formatCode>General</c:formatCode>
                <c:ptCount val="5"/>
                <c:pt idx="0">
                  <c:v>2018</c:v>
                </c:pt>
                <c:pt idx="1">
                  <c:v>2019</c:v>
                </c:pt>
                <c:pt idx="2">
                  <c:v>2020</c:v>
                </c:pt>
                <c:pt idx="3">
                  <c:v>2021</c:v>
                </c:pt>
                <c:pt idx="4">
                  <c:v>2022</c:v>
                </c:pt>
              </c:numCache>
            </c:numRef>
          </c:cat>
          <c:val>
            <c:numRef>
              <c:f>'[ECEC report - graphs.xlsx]Figure 3.4'!$B$9:$F$9</c:f>
              <c:numCache>
                <c:formatCode>0.0%</c:formatCode>
                <c:ptCount val="5"/>
                <c:pt idx="0">
                  <c:v>1.6799999999999999E-2</c:v>
                </c:pt>
                <c:pt idx="1">
                  <c:v>1.4999999999999999E-2</c:v>
                </c:pt>
                <c:pt idx="2">
                  <c:v>2.1400000000000002E-2</c:v>
                </c:pt>
                <c:pt idx="3">
                  <c:v>2.1299999999999999E-2</c:v>
                </c:pt>
                <c:pt idx="4">
                  <c:v>1.55E-2</c:v>
                </c:pt>
              </c:numCache>
            </c:numRef>
          </c:val>
          <c:smooth val="0"/>
          <c:extLst>
            <c:ext xmlns:c16="http://schemas.microsoft.com/office/drawing/2014/chart" uri="{C3380CC4-5D6E-409C-BE32-E72D297353CC}">
              <c16:uniqueId val="{00000001-B7A2-4392-813F-830A9F75C2A0}"/>
            </c:ext>
          </c:extLst>
        </c:ser>
        <c:ser>
          <c:idx val="2"/>
          <c:order val="2"/>
          <c:tx>
            <c:strRef>
              <c:f>'[ECEC report - graphs.xlsx]Figure 3.4'!$A$10</c:f>
              <c:strCache>
                <c:ptCount val="1"/>
                <c:pt idx="0">
                  <c:v>Schools</c:v>
                </c:pt>
              </c:strCache>
            </c:strRef>
          </c:tx>
          <c:spPr>
            <a:ln w="28575" cap="rnd">
              <a:solidFill>
                <a:schemeClr val="accent4"/>
              </a:solidFill>
              <a:round/>
            </a:ln>
            <a:effectLst/>
          </c:spPr>
          <c:marker>
            <c:symbol val="none"/>
          </c:marker>
          <c:cat>
            <c:numRef>
              <c:f>'[ECEC report - graphs.xlsx]Figure 3.4'!$B$7:$F$7</c:f>
              <c:numCache>
                <c:formatCode>General</c:formatCode>
                <c:ptCount val="5"/>
                <c:pt idx="0">
                  <c:v>2018</c:v>
                </c:pt>
                <c:pt idx="1">
                  <c:v>2019</c:v>
                </c:pt>
                <c:pt idx="2">
                  <c:v>2020</c:v>
                </c:pt>
                <c:pt idx="3">
                  <c:v>2021</c:v>
                </c:pt>
                <c:pt idx="4">
                  <c:v>2022</c:v>
                </c:pt>
              </c:numCache>
            </c:numRef>
          </c:cat>
          <c:val>
            <c:numRef>
              <c:f>'[ECEC report - graphs.xlsx]Figure 3.4'!$B$10:$F$10</c:f>
              <c:numCache>
                <c:formatCode>0.0%</c:formatCode>
                <c:ptCount val="5"/>
                <c:pt idx="0">
                  <c:v>1E-3</c:v>
                </c:pt>
                <c:pt idx="1">
                  <c:v>4.0000000000000002E-4</c:v>
                </c:pt>
                <c:pt idx="2">
                  <c:v>2.9999999999999997E-4</c:v>
                </c:pt>
                <c:pt idx="3">
                  <c:v>1E-4</c:v>
                </c:pt>
                <c:pt idx="4">
                  <c:v>2.9999999999999997E-4</c:v>
                </c:pt>
              </c:numCache>
            </c:numRef>
          </c:val>
          <c:smooth val="0"/>
          <c:extLst>
            <c:ext xmlns:c16="http://schemas.microsoft.com/office/drawing/2014/chart" uri="{C3380CC4-5D6E-409C-BE32-E72D297353CC}">
              <c16:uniqueId val="{00000002-B7A2-4392-813F-830A9F75C2A0}"/>
            </c:ext>
          </c:extLst>
        </c:ser>
        <c:ser>
          <c:idx val="3"/>
          <c:order val="3"/>
          <c:tx>
            <c:strRef>
              <c:f>'[ECEC report - graphs.xlsx]Figure 3.4'!$A$11</c:f>
              <c:strCache>
                <c:ptCount val="1"/>
                <c:pt idx="0">
                  <c:v>Community education providers</c:v>
                </c:pt>
              </c:strCache>
            </c:strRef>
          </c:tx>
          <c:spPr>
            <a:ln w="28575" cap="rnd">
              <a:solidFill>
                <a:srgbClr val="9F1853"/>
              </a:solidFill>
              <a:round/>
            </a:ln>
            <a:effectLst/>
          </c:spPr>
          <c:marker>
            <c:symbol val="none"/>
          </c:marker>
          <c:dLbls>
            <c:dLbl>
              <c:idx val="4"/>
              <c:layout>
                <c:manualLayout>
                  <c:x val="-4.6013344872617122E-2"/>
                  <c:y val="-4.48622698347933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7A2-4392-813F-830A9F75C2A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'[ECEC report - graphs.xlsx]Figure 3.4'!$B$7:$F$7</c:f>
              <c:numCache>
                <c:formatCode>General</c:formatCode>
                <c:ptCount val="5"/>
                <c:pt idx="0">
                  <c:v>2018</c:v>
                </c:pt>
                <c:pt idx="1">
                  <c:v>2019</c:v>
                </c:pt>
                <c:pt idx="2">
                  <c:v>2020</c:v>
                </c:pt>
                <c:pt idx="3">
                  <c:v>2021</c:v>
                </c:pt>
                <c:pt idx="4">
                  <c:v>2022</c:v>
                </c:pt>
              </c:numCache>
            </c:numRef>
          </c:cat>
          <c:val>
            <c:numRef>
              <c:f>'[ECEC report - graphs.xlsx]Figure 3.4'!$B$11:$F$11</c:f>
              <c:numCache>
                <c:formatCode>0.0%</c:formatCode>
                <c:ptCount val="5"/>
                <c:pt idx="0">
                  <c:v>6.7000000000000004E-2</c:v>
                </c:pt>
                <c:pt idx="1">
                  <c:v>7.1099999999999997E-2</c:v>
                </c:pt>
                <c:pt idx="2">
                  <c:v>7.22E-2</c:v>
                </c:pt>
                <c:pt idx="3">
                  <c:v>6.7199999999999996E-2</c:v>
                </c:pt>
                <c:pt idx="4">
                  <c:v>7.7600000000000002E-2</c:v>
                </c:pt>
              </c:numCache>
            </c:numRef>
          </c:val>
          <c:smooth val="0"/>
          <c:extLst>
            <c:ext xmlns:c16="http://schemas.microsoft.com/office/drawing/2014/chart" uri="{C3380CC4-5D6E-409C-BE32-E72D297353CC}">
              <c16:uniqueId val="{00000004-B7A2-4392-813F-830A9F75C2A0}"/>
            </c:ext>
          </c:extLst>
        </c:ser>
        <c:ser>
          <c:idx val="4"/>
          <c:order val="4"/>
          <c:tx>
            <c:strRef>
              <c:f>'[ECEC report - graphs.xlsx]Figure 3.4'!$A$12</c:f>
              <c:strCache>
                <c:ptCount val="1"/>
                <c:pt idx="0">
                  <c:v>Enterprise providers</c:v>
                </c:pt>
              </c:strCache>
            </c:strRef>
          </c:tx>
          <c:spPr>
            <a:ln w="28575" cap="rnd">
              <a:solidFill>
                <a:srgbClr val="FA4D56"/>
              </a:solidFill>
              <a:round/>
            </a:ln>
            <a:effectLst/>
          </c:spPr>
          <c:marker>
            <c:symbol val="none"/>
          </c:marker>
          <c:cat>
            <c:numRef>
              <c:f>'[ECEC report - graphs.xlsx]Figure 3.4'!$B$7:$F$7</c:f>
              <c:numCache>
                <c:formatCode>General</c:formatCode>
                <c:ptCount val="5"/>
                <c:pt idx="0">
                  <c:v>2018</c:v>
                </c:pt>
                <c:pt idx="1">
                  <c:v>2019</c:v>
                </c:pt>
                <c:pt idx="2">
                  <c:v>2020</c:v>
                </c:pt>
                <c:pt idx="3">
                  <c:v>2021</c:v>
                </c:pt>
                <c:pt idx="4">
                  <c:v>2022</c:v>
                </c:pt>
              </c:numCache>
            </c:numRef>
          </c:cat>
          <c:val>
            <c:numRef>
              <c:f>'[ECEC report - graphs.xlsx]Figure 3.4'!$B$12:$F$12</c:f>
              <c:numCache>
                <c:formatCode>0.0%</c:formatCode>
                <c:ptCount val="5"/>
                <c:pt idx="0">
                  <c:v>2.3399999999999997E-2</c:v>
                </c:pt>
                <c:pt idx="1">
                  <c:v>1.6899999999999998E-2</c:v>
                </c:pt>
                <c:pt idx="2">
                  <c:v>1.1200000000000002E-2</c:v>
                </c:pt>
                <c:pt idx="3">
                  <c:v>6.8000000000000005E-3</c:v>
                </c:pt>
                <c:pt idx="4">
                  <c:v>3.3E-3</c:v>
                </c:pt>
              </c:numCache>
            </c:numRef>
          </c:val>
          <c:smooth val="0"/>
          <c:extLst>
            <c:ext xmlns:c16="http://schemas.microsoft.com/office/drawing/2014/chart" uri="{C3380CC4-5D6E-409C-BE32-E72D297353CC}">
              <c16:uniqueId val="{00000005-B7A2-4392-813F-830A9F75C2A0}"/>
            </c:ext>
          </c:extLst>
        </c:ser>
        <c:ser>
          <c:idx val="5"/>
          <c:order val="5"/>
          <c:tx>
            <c:strRef>
              <c:f>'[ECEC report - graphs.xlsx]Figure 3.4'!$A$13</c:f>
              <c:strCache>
                <c:ptCount val="1"/>
                <c:pt idx="0">
                  <c:v>Private training providers</c:v>
                </c:pt>
              </c:strCache>
            </c:strRef>
          </c:tx>
          <c:spPr>
            <a:ln w="28575" cap="rnd">
              <a:solidFill>
                <a:srgbClr val="570408"/>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'[ECEC report - graphs.xlsx]Figure 3.4'!$B$7:$F$7</c:f>
              <c:numCache>
                <c:formatCode>General</c:formatCode>
                <c:ptCount val="5"/>
                <c:pt idx="0">
                  <c:v>2018</c:v>
                </c:pt>
                <c:pt idx="1">
                  <c:v>2019</c:v>
                </c:pt>
                <c:pt idx="2">
                  <c:v>2020</c:v>
                </c:pt>
                <c:pt idx="3">
                  <c:v>2021</c:v>
                </c:pt>
                <c:pt idx="4">
                  <c:v>2022</c:v>
                </c:pt>
              </c:numCache>
            </c:numRef>
          </c:cat>
          <c:val>
            <c:numRef>
              <c:f>'[ECEC report - graphs.xlsx]Figure 3.4'!$B$13:$F$13</c:f>
              <c:numCache>
                <c:formatCode>0.0%</c:formatCode>
                <c:ptCount val="5"/>
                <c:pt idx="0">
                  <c:v>0.65300000000000002</c:v>
                </c:pt>
                <c:pt idx="1">
                  <c:v>0.71609999999999996</c:v>
                </c:pt>
                <c:pt idx="2">
                  <c:v>0.69550000000000001</c:v>
                </c:pt>
                <c:pt idx="3">
                  <c:v>0.71579999999999999</c:v>
                </c:pt>
                <c:pt idx="4">
                  <c:v>0.73250000000000004</c:v>
                </c:pt>
              </c:numCache>
            </c:numRef>
          </c:val>
          <c:smooth val="0"/>
          <c:extLst>
            <c:ext xmlns:c16="http://schemas.microsoft.com/office/drawing/2014/chart" uri="{C3380CC4-5D6E-409C-BE32-E72D297353CC}">
              <c16:uniqueId val="{00000006-B7A2-4392-813F-830A9F75C2A0}"/>
            </c:ext>
          </c:extLst>
        </c:ser>
        <c:dLbls>
          <c:showLegendKey val="0"/>
          <c:showVal val="0"/>
          <c:showCatName val="0"/>
          <c:showSerName val="0"/>
          <c:showPercent val="0"/>
          <c:showBubbleSize val="0"/>
        </c:dLbls>
        <c:smooth val="0"/>
        <c:axId val="20141087"/>
        <c:axId val="1334193952"/>
      </c:lineChart>
      <c:catAx>
        <c:axId val="20141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4193952"/>
        <c:crosses val="autoZero"/>
        <c:auto val="1"/>
        <c:lblAlgn val="ctr"/>
        <c:lblOffset val="100"/>
        <c:noMultiLvlLbl val="0"/>
      </c:catAx>
      <c:valAx>
        <c:axId val="1334193952"/>
        <c:scaling>
          <c:orientation val="minMax"/>
          <c:max val="0.8"/>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410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4456036745406818E-2"/>
          <c:y val="6.0185185185185182E-2"/>
          <c:w val="0.85965507436570432"/>
          <c:h val="0.73577136191309422"/>
        </c:manualLayout>
      </c:layout>
      <c:areaChart>
        <c:grouping val="stacked"/>
        <c:varyColors val="0"/>
        <c:ser>
          <c:idx val="0"/>
          <c:order val="0"/>
          <c:tx>
            <c:strRef>
              <c:f>'[ECEC RTO Pivot.xlsx]Sheet2'!$T$2</c:f>
              <c:strCache>
                <c:ptCount val="1"/>
                <c:pt idx="0">
                  <c:v>Top 3 RTO market share</c:v>
                </c:pt>
              </c:strCache>
            </c:strRef>
          </c:tx>
          <c:spPr>
            <a:solidFill>
              <a:schemeClr val="accent1"/>
            </a:solidFill>
            <a:ln>
              <a:noFill/>
            </a:ln>
            <a:effectLst/>
          </c:spPr>
          <c:cat>
            <c:numRef>
              <c:f>'[ECEC RTO Pivot.xlsx]Sheet2'!$U$1:$AB$1</c:f>
              <c:numCache>
                <c:formatCode>General</c:formatCode>
                <c:ptCount val="8"/>
                <c:pt idx="0">
                  <c:v>2015</c:v>
                </c:pt>
                <c:pt idx="1">
                  <c:v>2016</c:v>
                </c:pt>
                <c:pt idx="2">
                  <c:v>2017</c:v>
                </c:pt>
                <c:pt idx="3">
                  <c:v>2018</c:v>
                </c:pt>
                <c:pt idx="4">
                  <c:v>2019</c:v>
                </c:pt>
                <c:pt idx="5">
                  <c:v>2020</c:v>
                </c:pt>
                <c:pt idx="6">
                  <c:v>2021</c:v>
                </c:pt>
                <c:pt idx="7">
                  <c:v>2022</c:v>
                </c:pt>
              </c:numCache>
            </c:numRef>
          </c:cat>
          <c:val>
            <c:numRef>
              <c:f>'[ECEC RTO Pivot.xlsx]Sheet2'!$U$2:$AB$2</c:f>
              <c:numCache>
                <c:formatCode>0%</c:formatCode>
                <c:ptCount val="8"/>
                <c:pt idx="0">
                  <c:v>0.14853748463744368</c:v>
                </c:pt>
                <c:pt idx="1">
                  <c:v>0.14366112834372408</c:v>
                </c:pt>
                <c:pt idx="2">
                  <c:v>0.15494015029741262</c:v>
                </c:pt>
                <c:pt idx="3">
                  <c:v>0.14577109783420464</c:v>
                </c:pt>
                <c:pt idx="4">
                  <c:v>0.20718174600173919</c:v>
                </c:pt>
                <c:pt idx="5">
                  <c:v>0.21938208053228869</c:v>
                </c:pt>
                <c:pt idx="6">
                  <c:v>0.2219003326828681</c:v>
                </c:pt>
                <c:pt idx="7">
                  <c:v>0.22433301468671243</c:v>
                </c:pt>
              </c:numCache>
            </c:numRef>
          </c:val>
          <c:extLst>
            <c:ext xmlns:c16="http://schemas.microsoft.com/office/drawing/2014/chart" uri="{C3380CC4-5D6E-409C-BE32-E72D297353CC}">
              <c16:uniqueId val="{00000000-948B-4851-9440-DC6FF09E35FF}"/>
            </c:ext>
          </c:extLst>
        </c:ser>
        <c:ser>
          <c:idx val="1"/>
          <c:order val="1"/>
          <c:tx>
            <c:strRef>
              <c:f>'[ECEC RTO Pivot.xlsx]Sheet2'!$T$3</c:f>
              <c:strCache>
                <c:ptCount val="1"/>
                <c:pt idx="0">
                  <c:v>Top 10 RTO market share</c:v>
                </c:pt>
              </c:strCache>
            </c:strRef>
          </c:tx>
          <c:spPr>
            <a:solidFill>
              <a:schemeClr val="accent2"/>
            </a:solidFill>
            <a:ln>
              <a:noFill/>
            </a:ln>
            <a:effectLst/>
          </c:spPr>
          <c:cat>
            <c:numRef>
              <c:f>'[ECEC RTO Pivot.xlsx]Sheet2'!$U$1:$AB$1</c:f>
              <c:numCache>
                <c:formatCode>General</c:formatCode>
                <c:ptCount val="8"/>
                <c:pt idx="0">
                  <c:v>2015</c:v>
                </c:pt>
                <c:pt idx="1">
                  <c:v>2016</c:v>
                </c:pt>
                <c:pt idx="2">
                  <c:v>2017</c:v>
                </c:pt>
                <c:pt idx="3">
                  <c:v>2018</c:v>
                </c:pt>
                <c:pt idx="4">
                  <c:v>2019</c:v>
                </c:pt>
                <c:pt idx="5">
                  <c:v>2020</c:v>
                </c:pt>
                <c:pt idx="6">
                  <c:v>2021</c:v>
                </c:pt>
                <c:pt idx="7">
                  <c:v>2022</c:v>
                </c:pt>
              </c:numCache>
            </c:numRef>
          </c:cat>
          <c:val>
            <c:numRef>
              <c:f>'[ECEC RTO Pivot.xlsx]Sheet2'!$U$3:$AB$3</c:f>
              <c:numCache>
                <c:formatCode>0%</c:formatCode>
                <c:ptCount val="8"/>
                <c:pt idx="0">
                  <c:v>0.12693977877918886</c:v>
                </c:pt>
                <c:pt idx="1">
                  <c:v>0.12704615951598541</c:v>
                </c:pt>
                <c:pt idx="2">
                  <c:v>0.12967027587163524</c:v>
                </c:pt>
                <c:pt idx="3">
                  <c:v>0.14466952949962661</c:v>
                </c:pt>
                <c:pt idx="4">
                  <c:v>0.16412718817346597</c:v>
                </c:pt>
                <c:pt idx="5">
                  <c:v>0.16775755666886488</c:v>
                </c:pt>
                <c:pt idx="6">
                  <c:v>0.17256526859628465</c:v>
                </c:pt>
                <c:pt idx="7">
                  <c:v>0.1821065438428783</c:v>
                </c:pt>
              </c:numCache>
            </c:numRef>
          </c:val>
          <c:extLst>
            <c:ext xmlns:c16="http://schemas.microsoft.com/office/drawing/2014/chart" uri="{C3380CC4-5D6E-409C-BE32-E72D297353CC}">
              <c16:uniqueId val="{00000001-948B-4851-9440-DC6FF09E35FF}"/>
            </c:ext>
          </c:extLst>
        </c:ser>
        <c:ser>
          <c:idx val="2"/>
          <c:order val="2"/>
          <c:tx>
            <c:strRef>
              <c:f>'[ECEC RTO Pivot.xlsx]Sheet2'!$T$4</c:f>
              <c:strCache>
                <c:ptCount val="1"/>
                <c:pt idx="0">
                  <c:v>Top 25 RTO market share</c:v>
                </c:pt>
              </c:strCache>
            </c:strRef>
          </c:tx>
          <c:spPr>
            <a:solidFill>
              <a:schemeClr val="accent3"/>
            </a:solidFill>
            <a:ln>
              <a:noFill/>
            </a:ln>
            <a:effectLst/>
          </c:spPr>
          <c:cat>
            <c:numRef>
              <c:f>'[ECEC RTO Pivot.xlsx]Sheet2'!$U$1:$AB$1</c:f>
              <c:numCache>
                <c:formatCode>General</c:formatCode>
                <c:ptCount val="8"/>
                <c:pt idx="0">
                  <c:v>2015</c:v>
                </c:pt>
                <c:pt idx="1">
                  <c:v>2016</c:v>
                </c:pt>
                <c:pt idx="2">
                  <c:v>2017</c:v>
                </c:pt>
                <c:pt idx="3">
                  <c:v>2018</c:v>
                </c:pt>
                <c:pt idx="4">
                  <c:v>2019</c:v>
                </c:pt>
                <c:pt idx="5">
                  <c:v>2020</c:v>
                </c:pt>
                <c:pt idx="6">
                  <c:v>2021</c:v>
                </c:pt>
                <c:pt idx="7">
                  <c:v>2022</c:v>
                </c:pt>
              </c:numCache>
            </c:numRef>
          </c:cat>
          <c:val>
            <c:numRef>
              <c:f>'[ECEC RTO Pivot.xlsx]Sheet2'!$U$4:$AB$4</c:f>
              <c:numCache>
                <c:formatCode>0%</c:formatCode>
                <c:ptCount val="8"/>
                <c:pt idx="0">
                  <c:v>0.16646456370340024</c:v>
                </c:pt>
                <c:pt idx="1">
                  <c:v>0.16306317373545032</c:v>
                </c:pt>
                <c:pt idx="2">
                  <c:v>0.14787405044183521</c:v>
                </c:pt>
                <c:pt idx="3">
                  <c:v>0.15714152352501859</c:v>
                </c:pt>
                <c:pt idx="4">
                  <c:v>0.14375779802639044</c:v>
                </c:pt>
                <c:pt idx="5">
                  <c:v>0.16072008582761638</c:v>
                </c:pt>
                <c:pt idx="6">
                  <c:v>0.15667901690923003</c:v>
                </c:pt>
                <c:pt idx="7">
                  <c:v>0.16502998175023903</c:v>
                </c:pt>
              </c:numCache>
            </c:numRef>
          </c:val>
          <c:extLst>
            <c:ext xmlns:c16="http://schemas.microsoft.com/office/drawing/2014/chart" uri="{C3380CC4-5D6E-409C-BE32-E72D297353CC}">
              <c16:uniqueId val="{00000002-948B-4851-9440-DC6FF09E35FF}"/>
            </c:ext>
          </c:extLst>
        </c:ser>
        <c:dLbls>
          <c:showLegendKey val="0"/>
          <c:showVal val="0"/>
          <c:showCatName val="0"/>
          <c:showSerName val="0"/>
          <c:showPercent val="0"/>
          <c:showBubbleSize val="0"/>
        </c:dLbls>
        <c:axId val="2111647168"/>
        <c:axId val="1203848895"/>
      </c:areaChart>
      <c:catAx>
        <c:axId val="21116471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03848895"/>
        <c:crosses val="autoZero"/>
        <c:auto val="1"/>
        <c:lblAlgn val="ctr"/>
        <c:lblOffset val="100"/>
        <c:noMultiLvlLbl val="0"/>
      </c:catAx>
      <c:valAx>
        <c:axId val="1203848895"/>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111647168"/>
        <c:crosses val="autoZero"/>
        <c:crossBetween val="midCat"/>
      </c:valAx>
      <c:spPr>
        <a:noFill/>
        <a:ln>
          <a:noFill/>
        </a:ln>
        <a:effectLst/>
      </c:spPr>
    </c:plotArea>
    <c:legend>
      <c:legendPos val="b"/>
      <c:layout>
        <c:manualLayout>
          <c:xMode val="edge"/>
          <c:yMode val="edge"/>
          <c:x val="4.2144620975632478E-3"/>
          <c:y val="0.88077666690393241"/>
          <c:w val="0.98861249592321665"/>
          <c:h val="0.1094505502961653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'[ECEC report - graphs.xlsx]Figure 3.6'!$A$8</c:f>
              <c:strCache>
                <c:ptCount val="1"/>
                <c:pt idx="0">
                  <c:v>Table A Institutions</c:v>
                </c:pt>
              </c:strCache>
            </c:strRef>
          </c:tx>
          <c:spPr>
            <a:ln w="28575" cap="rnd">
              <a:solidFill>
                <a:srgbClr val="6929C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'[ECEC report - graphs.xlsx]Figure 3.6'!$B$7:$E$7</c:f>
              <c:numCache>
                <c:formatCode>General</c:formatCode>
                <c:ptCount val="4"/>
                <c:pt idx="0">
                  <c:v>2018</c:v>
                </c:pt>
                <c:pt idx="1">
                  <c:v>2019</c:v>
                </c:pt>
                <c:pt idx="2">
                  <c:v>2020</c:v>
                </c:pt>
                <c:pt idx="3">
                  <c:v>2021</c:v>
                </c:pt>
              </c:numCache>
            </c:numRef>
          </c:cat>
          <c:val>
            <c:numRef>
              <c:f>'[ECEC report - graphs.xlsx]Figure 3.6'!$B$8:$E$8</c:f>
              <c:numCache>
                <c:formatCode>0.0%</c:formatCode>
                <c:ptCount val="4"/>
                <c:pt idx="0">
                  <c:v>0.94606939658626488</c:v>
                </c:pt>
                <c:pt idx="1">
                  <c:v>0.94858342077649527</c:v>
                </c:pt>
                <c:pt idx="2">
                  <c:v>0.95848071416540337</c:v>
                </c:pt>
                <c:pt idx="3">
                  <c:v>0.93965709196170122</c:v>
                </c:pt>
              </c:numCache>
            </c:numRef>
          </c:val>
          <c:smooth val="0"/>
          <c:extLst>
            <c:ext xmlns:c16="http://schemas.microsoft.com/office/drawing/2014/chart" uri="{C3380CC4-5D6E-409C-BE32-E72D297353CC}">
              <c16:uniqueId val="{00000000-9D30-4DD6-9422-E90CAD99C459}"/>
            </c:ext>
          </c:extLst>
        </c:ser>
        <c:ser>
          <c:idx val="1"/>
          <c:order val="1"/>
          <c:tx>
            <c:strRef>
              <c:f>'[ECEC report - graphs.xlsx]Figure 3.6'!$A$9</c:f>
              <c:strCache>
                <c:ptCount val="1"/>
                <c:pt idx="0">
                  <c:v>Table B Institutions</c:v>
                </c:pt>
              </c:strCache>
            </c:strRef>
          </c:tx>
          <c:spPr>
            <a:ln w="28575" cap="rnd">
              <a:solidFill>
                <a:srgbClr val="1192E8"/>
              </a:solidFill>
              <a:round/>
            </a:ln>
            <a:effectLst/>
          </c:spPr>
          <c:marker>
            <c:symbol val="none"/>
          </c:marker>
          <c:dLbls>
            <c:dLbl>
              <c:idx val="3"/>
              <c:layout>
                <c:manualLayout>
                  <c:x val="-3.6853893263342256E-2"/>
                  <c:y val="-4.2518368589506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D30-4DD6-9422-E90CAD99C45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'[ECEC report - graphs.xlsx]Figure 3.6'!$B$7:$E$7</c:f>
              <c:numCache>
                <c:formatCode>General</c:formatCode>
                <c:ptCount val="4"/>
                <c:pt idx="0">
                  <c:v>2018</c:v>
                </c:pt>
                <c:pt idx="1">
                  <c:v>2019</c:v>
                </c:pt>
                <c:pt idx="2">
                  <c:v>2020</c:v>
                </c:pt>
                <c:pt idx="3">
                  <c:v>2021</c:v>
                </c:pt>
              </c:numCache>
            </c:numRef>
          </c:cat>
          <c:val>
            <c:numRef>
              <c:f>'[ECEC report - graphs.xlsx]Figure 3.6'!$B$9:$E$9</c:f>
              <c:numCache>
                <c:formatCode>0.0%</c:formatCode>
                <c:ptCount val="4"/>
                <c:pt idx="0">
                  <c:v>3.7903678179341295E-2</c:v>
                </c:pt>
                <c:pt idx="1">
                  <c:v>3.4540048968170686E-2</c:v>
                </c:pt>
                <c:pt idx="2">
                  <c:v>2.7033855482566954E-2</c:v>
                </c:pt>
                <c:pt idx="3">
                  <c:v>2.1227640466117421E-2</c:v>
                </c:pt>
              </c:numCache>
            </c:numRef>
          </c:val>
          <c:smooth val="0"/>
          <c:extLst>
            <c:ext xmlns:c16="http://schemas.microsoft.com/office/drawing/2014/chart" uri="{C3380CC4-5D6E-409C-BE32-E72D297353CC}">
              <c16:uniqueId val="{00000002-9D30-4DD6-9422-E90CAD99C459}"/>
            </c:ext>
          </c:extLst>
        </c:ser>
        <c:ser>
          <c:idx val="2"/>
          <c:order val="2"/>
          <c:tx>
            <c:strRef>
              <c:f>'[ECEC report - graphs.xlsx]Figure 3.6'!$A$10</c:f>
              <c:strCache>
                <c:ptCount val="1"/>
                <c:pt idx="0">
                  <c:v>Non-University Higher Education Institutions</c:v>
                </c:pt>
              </c:strCache>
            </c:strRef>
          </c:tx>
          <c:spPr>
            <a:ln w="28575" cap="rnd">
              <a:solidFill>
                <a:srgbClr val="005D5D"/>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'[ECEC report - graphs.xlsx]Figure 3.6'!$B$7:$E$7</c:f>
              <c:numCache>
                <c:formatCode>General</c:formatCode>
                <c:ptCount val="4"/>
                <c:pt idx="0">
                  <c:v>2018</c:v>
                </c:pt>
                <c:pt idx="1">
                  <c:v>2019</c:v>
                </c:pt>
                <c:pt idx="2">
                  <c:v>2020</c:v>
                </c:pt>
                <c:pt idx="3">
                  <c:v>2021</c:v>
                </c:pt>
              </c:numCache>
            </c:numRef>
          </c:cat>
          <c:val>
            <c:numRef>
              <c:f>'[ECEC report - graphs.xlsx]Figure 3.6'!$B$10:$E$10</c:f>
              <c:numCache>
                <c:formatCode>0.0%</c:formatCode>
                <c:ptCount val="4"/>
                <c:pt idx="0">
                  <c:v>1.6026925234393783E-2</c:v>
                </c:pt>
                <c:pt idx="1">
                  <c:v>1.6876530255334032E-2</c:v>
                </c:pt>
                <c:pt idx="2">
                  <c:v>1.4485430352029644E-2</c:v>
                </c:pt>
                <c:pt idx="3">
                  <c:v>3.9115267572181402E-2</c:v>
                </c:pt>
              </c:numCache>
            </c:numRef>
          </c:val>
          <c:smooth val="0"/>
          <c:extLst>
            <c:ext xmlns:c16="http://schemas.microsoft.com/office/drawing/2014/chart" uri="{C3380CC4-5D6E-409C-BE32-E72D297353CC}">
              <c16:uniqueId val="{00000003-9D30-4DD6-9422-E90CAD99C459}"/>
            </c:ext>
          </c:extLst>
        </c:ser>
        <c:dLbls>
          <c:dLblPos val="t"/>
          <c:showLegendKey val="0"/>
          <c:showVal val="1"/>
          <c:showCatName val="0"/>
          <c:showSerName val="0"/>
          <c:showPercent val="0"/>
          <c:showBubbleSize val="0"/>
        </c:dLbls>
        <c:smooth val="0"/>
        <c:axId val="202275952"/>
        <c:axId val="641487152"/>
      </c:lineChart>
      <c:catAx>
        <c:axId val="20227595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1487152"/>
        <c:crosses val="autoZero"/>
        <c:auto val="1"/>
        <c:lblAlgn val="ctr"/>
        <c:lblOffset val="100"/>
        <c:noMultiLvlLbl val="0"/>
      </c:catAx>
      <c:valAx>
        <c:axId val="641487152"/>
        <c:scaling>
          <c:logBase val="10"/>
          <c:orientation val="minMax"/>
          <c:max val="1"/>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275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5037867433174791"/>
          <c:y val="3.1746024531927937E-2"/>
          <c:w val="0.6033380129853404"/>
          <c:h val="0.68750913237910438"/>
        </c:manualLayout>
      </c:layout>
      <c:barChart>
        <c:barDir val="bar"/>
        <c:grouping val="stacked"/>
        <c:varyColors val="0"/>
        <c:ser>
          <c:idx val="0"/>
          <c:order val="0"/>
          <c:tx>
            <c:strRef>
              <c:f>'Figure 2.3'!$N$5:$O$5</c:f>
              <c:strCache>
                <c:ptCount val="2"/>
                <c:pt idx="0">
                  <c:v>Australian citizen</c:v>
                </c:pt>
                <c:pt idx="1">
                  <c:v>Not stated / NA (here from birth)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2.3'!$P$4:$X$4</c:f>
              <c:strCache>
                <c:ptCount val="9"/>
                <c:pt idx="0">
                  <c:v>Child Care Centre Manager</c:v>
                </c:pt>
                <c:pt idx="1">
                  <c:v>Early Childhood (Pre-primary School) Teacher</c:v>
                </c:pt>
                <c:pt idx="2">
                  <c:v>Child Carers nfd</c:v>
                </c:pt>
                <c:pt idx="3">
                  <c:v>Child Care Worker</c:v>
                </c:pt>
                <c:pt idx="4">
                  <c:v>Family Day Care Worker</c:v>
                </c:pt>
                <c:pt idx="5">
                  <c:v>Nanny</c:v>
                </c:pt>
                <c:pt idx="6">
                  <c:v>Out of School Hours Care Worker</c:v>
                </c:pt>
                <c:pt idx="7">
                  <c:v>Preschool Aide</c:v>
                </c:pt>
                <c:pt idx="8">
                  <c:v>All selected ECEC Occupations</c:v>
                </c:pt>
              </c:strCache>
            </c:strRef>
          </c:cat>
          <c:val>
            <c:numRef>
              <c:f>'Figure 2.3'!$P$5:$X$5</c:f>
              <c:numCache>
                <c:formatCode>0.0%</c:formatCode>
                <c:ptCount val="9"/>
                <c:pt idx="0">
                  <c:v>0.737181244858788</c:v>
                </c:pt>
                <c:pt idx="1">
                  <c:v>0.70688391310142606</c:v>
                </c:pt>
                <c:pt idx="2">
                  <c:v>0.67931263489955174</c:v>
                </c:pt>
                <c:pt idx="3">
                  <c:v>0.61150155098875536</c:v>
                </c:pt>
                <c:pt idx="4">
                  <c:v>0.41623633961810974</c:v>
                </c:pt>
                <c:pt idx="5">
                  <c:v>0.70378210556025966</c:v>
                </c:pt>
                <c:pt idx="6">
                  <c:v>0.78325606276747506</c:v>
                </c:pt>
                <c:pt idx="7">
                  <c:v>0.75546272493573263</c:v>
                </c:pt>
                <c:pt idx="8">
                  <c:v>0.6442274303490988</c:v>
                </c:pt>
              </c:numCache>
            </c:numRef>
          </c:val>
          <c:extLst>
            <c:ext xmlns:c16="http://schemas.microsoft.com/office/drawing/2014/chart" uri="{C3380CC4-5D6E-409C-BE32-E72D297353CC}">
              <c16:uniqueId val="{00000000-7713-4DF8-BF30-3D2657A232B9}"/>
            </c:ext>
          </c:extLst>
        </c:ser>
        <c:ser>
          <c:idx val="1"/>
          <c:order val="1"/>
          <c:tx>
            <c:strRef>
              <c:f>'Figure 2.3'!$N$6:$O$6</c:f>
              <c:strCache>
                <c:ptCount val="2"/>
                <c:pt idx="0">
                  <c:v>Australian citizen</c:v>
                </c:pt>
                <c:pt idx="1">
                  <c:v>Arrived before 2000</c:v>
                </c:pt>
              </c:strCache>
            </c:strRef>
          </c:tx>
          <c:spPr>
            <a:solidFill>
              <a:schemeClr val="accent2"/>
            </a:solidFill>
            <a:ln>
              <a:noFill/>
            </a:ln>
            <a:effectLst/>
          </c:spPr>
          <c:invertIfNegative val="0"/>
          <c:cat>
            <c:strRef>
              <c:f>'Figure 2.3'!$P$4:$X$4</c:f>
              <c:strCache>
                <c:ptCount val="9"/>
                <c:pt idx="0">
                  <c:v>Child Care Centre Manager</c:v>
                </c:pt>
                <c:pt idx="1">
                  <c:v>Early Childhood (Pre-primary School) Teacher</c:v>
                </c:pt>
                <c:pt idx="2">
                  <c:v>Child Carers nfd</c:v>
                </c:pt>
                <c:pt idx="3">
                  <c:v>Child Care Worker</c:v>
                </c:pt>
                <c:pt idx="4">
                  <c:v>Family Day Care Worker</c:v>
                </c:pt>
                <c:pt idx="5">
                  <c:v>Nanny</c:v>
                </c:pt>
                <c:pt idx="6">
                  <c:v>Out of School Hours Care Worker</c:v>
                </c:pt>
                <c:pt idx="7">
                  <c:v>Preschool Aide</c:v>
                </c:pt>
                <c:pt idx="8">
                  <c:v>All selected ECEC Occupations</c:v>
                </c:pt>
              </c:strCache>
            </c:strRef>
          </c:cat>
          <c:val>
            <c:numRef>
              <c:f>'Figure 2.3'!$P$6:$X$6</c:f>
              <c:numCache>
                <c:formatCode>0.0%</c:formatCode>
                <c:ptCount val="9"/>
                <c:pt idx="0">
                  <c:v>9.1170825335892519E-2</c:v>
                </c:pt>
                <c:pt idx="1">
                  <c:v>7.8935092629614817E-2</c:v>
                </c:pt>
                <c:pt idx="2">
                  <c:v>6.284243732359289E-2</c:v>
                </c:pt>
                <c:pt idx="3">
                  <c:v>6.8477769161173582E-2</c:v>
                </c:pt>
                <c:pt idx="4">
                  <c:v>0.17725471358232256</c:v>
                </c:pt>
                <c:pt idx="5">
                  <c:v>5.3767993226079593E-2</c:v>
                </c:pt>
                <c:pt idx="6">
                  <c:v>4.8323823109843081E-2</c:v>
                </c:pt>
                <c:pt idx="7">
                  <c:v>9.4473007712082266E-2</c:v>
                </c:pt>
                <c:pt idx="8">
                  <c:v>7.4362474848616023E-2</c:v>
                </c:pt>
              </c:numCache>
            </c:numRef>
          </c:val>
          <c:extLst>
            <c:ext xmlns:c16="http://schemas.microsoft.com/office/drawing/2014/chart" uri="{C3380CC4-5D6E-409C-BE32-E72D297353CC}">
              <c16:uniqueId val="{00000001-7713-4DF8-BF30-3D2657A232B9}"/>
            </c:ext>
          </c:extLst>
        </c:ser>
        <c:ser>
          <c:idx val="2"/>
          <c:order val="2"/>
          <c:tx>
            <c:strRef>
              <c:f>'Figure 2.3'!$N$7:$O$7</c:f>
              <c:strCache>
                <c:ptCount val="2"/>
                <c:pt idx="0">
                  <c:v>Australian citizen</c:v>
                </c:pt>
                <c:pt idx="1">
                  <c:v>Arrived 2001-2010</c:v>
                </c:pt>
              </c:strCache>
            </c:strRef>
          </c:tx>
          <c:spPr>
            <a:solidFill>
              <a:schemeClr val="accent3"/>
            </a:solidFill>
            <a:ln>
              <a:noFill/>
            </a:ln>
            <a:effectLst/>
          </c:spPr>
          <c:invertIfNegative val="0"/>
          <c:cat>
            <c:strRef>
              <c:f>'Figure 2.3'!$P$4:$X$4</c:f>
              <c:strCache>
                <c:ptCount val="9"/>
                <c:pt idx="0">
                  <c:v>Child Care Centre Manager</c:v>
                </c:pt>
                <c:pt idx="1">
                  <c:v>Early Childhood (Pre-primary School) Teacher</c:v>
                </c:pt>
                <c:pt idx="2">
                  <c:v>Child Carers nfd</c:v>
                </c:pt>
                <c:pt idx="3">
                  <c:v>Child Care Worker</c:v>
                </c:pt>
                <c:pt idx="4">
                  <c:v>Family Day Care Worker</c:v>
                </c:pt>
                <c:pt idx="5">
                  <c:v>Nanny</c:v>
                </c:pt>
                <c:pt idx="6">
                  <c:v>Out of School Hours Care Worker</c:v>
                </c:pt>
                <c:pt idx="7">
                  <c:v>Preschool Aide</c:v>
                </c:pt>
                <c:pt idx="8">
                  <c:v>All selected ECEC Occupations</c:v>
                </c:pt>
              </c:strCache>
            </c:strRef>
          </c:cat>
          <c:val>
            <c:numRef>
              <c:f>'Figure 2.3'!$P$7:$X$7</c:f>
              <c:numCache>
                <c:formatCode>0.0%</c:formatCode>
                <c:ptCount val="9"/>
                <c:pt idx="0">
                  <c:v>5.6004935563476833E-2</c:v>
                </c:pt>
                <c:pt idx="1">
                  <c:v>6.4240970278555243E-2</c:v>
                </c:pt>
                <c:pt idx="2">
                  <c:v>8.2849078532292883E-2</c:v>
                </c:pt>
                <c:pt idx="3">
                  <c:v>9.9271358407651542E-2</c:v>
                </c:pt>
                <c:pt idx="4">
                  <c:v>0.20055241983907771</c:v>
                </c:pt>
                <c:pt idx="5">
                  <c:v>4.1349139147615017E-2</c:v>
                </c:pt>
                <c:pt idx="6">
                  <c:v>6.3569900142653346E-2</c:v>
                </c:pt>
                <c:pt idx="7">
                  <c:v>6.4267352185089971E-2</c:v>
                </c:pt>
                <c:pt idx="8">
                  <c:v>8.9912332859242633E-2</c:v>
                </c:pt>
              </c:numCache>
            </c:numRef>
          </c:val>
          <c:extLst>
            <c:ext xmlns:c16="http://schemas.microsoft.com/office/drawing/2014/chart" uri="{C3380CC4-5D6E-409C-BE32-E72D297353CC}">
              <c16:uniqueId val="{00000002-7713-4DF8-BF30-3D2657A232B9}"/>
            </c:ext>
          </c:extLst>
        </c:ser>
        <c:ser>
          <c:idx val="3"/>
          <c:order val="3"/>
          <c:tx>
            <c:strRef>
              <c:f>'Figure 2.3'!$N$8:$O$8</c:f>
              <c:strCache>
                <c:ptCount val="2"/>
                <c:pt idx="0">
                  <c:v>Australian citizen</c:v>
                </c:pt>
                <c:pt idx="1">
                  <c:v>Arrived 2010-2021</c:v>
                </c:pt>
              </c:strCache>
            </c:strRef>
          </c:tx>
          <c:spPr>
            <a:solidFill>
              <a:schemeClr val="accent4"/>
            </a:solidFill>
            <a:ln>
              <a:noFill/>
            </a:ln>
            <a:effectLst/>
          </c:spPr>
          <c:invertIfNegative val="0"/>
          <c:cat>
            <c:strRef>
              <c:f>'Figure 2.3'!$P$4:$X$4</c:f>
              <c:strCache>
                <c:ptCount val="9"/>
                <c:pt idx="0">
                  <c:v>Child Care Centre Manager</c:v>
                </c:pt>
                <c:pt idx="1">
                  <c:v>Early Childhood (Pre-primary School) Teacher</c:v>
                </c:pt>
                <c:pt idx="2">
                  <c:v>Child Carers nfd</c:v>
                </c:pt>
                <c:pt idx="3">
                  <c:v>Child Care Worker</c:v>
                </c:pt>
                <c:pt idx="4">
                  <c:v>Family Day Care Worker</c:v>
                </c:pt>
                <c:pt idx="5">
                  <c:v>Nanny</c:v>
                </c:pt>
                <c:pt idx="6">
                  <c:v>Out of School Hours Care Worker</c:v>
                </c:pt>
                <c:pt idx="7">
                  <c:v>Preschool Aide</c:v>
                </c:pt>
                <c:pt idx="8">
                  <c:v>All selected ECEC Occupations</c:v>
                </c:pt>
              </c:strCache>
            </c:strRef>
          </c:cat>
          <c:val>
            <c:numRef>
              <c:f>'Figure 2.3'!$P$8:$X$8</c:f>
              <c:numCache>
                <c:formatCode>0.0%</c:formatCode>
                <c:ptCount val="9"/>
                <c:pt idx="0">
                  <c:v>2.5774609267891418E-2</c:v>
                </c:pt>
                <c:pt idx="1">
                  <c:v>2.0725043316006931E-2</c:v>
                </c:pt>
                <c:pt idx="2">
                  <c:v>3.4783330566163041E-2</c:v>
                </c:pt>
                <c:pt idx="3">
                  <c:v>5.1877342639265862E-2</c:v>
                </c:pt>
                <c:pt idx="4">
                  <c:v>6.6410471958688599E-2</c:v>
                </c:pt>
                <c:pt idx="5">
                  <c:v>1.4959074230877787E-2</c:v>
                </c:pt>
                <c:pt idx="6">
                  <c:v>2.5588445078459345E-2</c:v>
                </c:pt>
                <c:pt idx="7">
                  <c:v>1.8958868894601542E-2</c:v>
                </c:pt>
                <c:pt idx="8">
                  <c:v>4.2097351910078157E-2</c:v>
                </c:pt>
              </c:numCache>
            </c:numRef>
          </c:val>
          <c:extLst>
            <c:ext xmlns:c16="http://schemas.microsoft.com/office/drawing/2014/chart" uri="{C3380CC4-5D6E-409C-BE32-E72D297353CC}">
              <c16:uniqueId val="{00000003-7713-4DF8-BF30-3D2657A232B9}"/>
            </c:ext>
          </c:extLst>
        </c:ser>
        <c:ser>
          <c:idx val="5"/>
          <c:order val="5"/>
          <c:tx>
            <c:strRef>
              <c:f>'Figure 2.3'!$N$10:$O$10</c:f>
              <c:strCache>
                <c:ptCount val="2"/>
                <c:pt idx="0">
                  <c:v>Not an Australian citizen</c:v>
                </c:pt>
                <c:pt idx="1">
                  <c:v>Not stated / NA (here from birth)</c:v>
                </c:pt>
              </c:strCache>
            </c:strRef>
          </c:tx>
          <c:spPr>
            <a:solidFill>
              <a:srgbClr val="1192E8"/>
            </a:solidFill>
            <a:ln>
              <a:noFill/>
            </a:ln>
            <a:effectLst/>
          </c:spPr>
          <c:invertIfNegative val="0"/>
          <c:cat>
            <c:strRef>
              <c:f>'Figure 2.3'!$P$4:$X$4</c:f>
              <c:strCache>
                <c:ptCount val="9"/>
                <c:pt idx="0">
                  <c:v>Child Care Centre Manager</c:v>
                </c:pt>
                <c:pt idx="1">
                  <c:v>Early Childhood (Pre-primary School) Teacher</c:v>
                </c:pt>
                <c:pt idx="2">
                  <c:v>Child Carers nfd</c:v>
                </c:pt>
                <c:pt idx="3">
                  <c:v>Child Care Worker</c:v>
                </c:pt>
                <c:pt idx="4">
                  <c:v>Family Day Care Worker</c:v>
                </c:pt>
                <c:pt idx="5">
                  <c:v>Nanny</c:v>
                </c:pt>
                <c:pt idx="6">
                  <c:v>Out of School Hours Care Worker</c:v>
                </c:pt>
                <c:pt idx="7">
                  <c:v>Preschool Aide</c:v>
                </c:pt>
                <c:pt idx="8">
                  <c:v>All selected ECEC Occupations</c:v>
                </c:pt>
              </c:strCache>
            </c:strRef>
          </c:cat>
          <c:val>
            <c:numRef>
              <c:f>'Figure 2.3'!$P$10:$X$10</c:f>
              <c:numCache>
                <c:formatCode>0.0%</c:formatCode>
                <c:ptCount val="9"/>
                <c:pt idx="0">
                  <c:v>4.5928160131615027E-3</c:v>
                </c:pt>
                <c:pt idx="1">
                  <c:v>4.7314407570305216E-3</c:v>
                </c:pt>
                <c:pt idx="2">
                  <c:v>8.3015108749792468E-3</c:v>
                </c:pt>
                <c:pt idx="3">
                  <c:v>4.4752488044461679E-3</c:v>
                </c:pt>
                <c:pt idx="4">
                  <c:v>4.5634682358592533E-3</c:v>
                </c:pt>
                <c:pt idx="5">
                  <c:v>5.6449336720293536E-3</c:v>
                </c:pt>
                <c:pt idx="6">
                  <c:v>3.566333808844508E-3</c:v>
                </c:pt>
                <c:pt idx="7">
                  <c:v>5.462724935732648E-3</c:v>
                </c:pt>
                <c:pt idx="8">
                  <c:v>4.7329791130539846E-3</c:v>
                </c:pt>
              </c:numCache>
            </c:numRef>
          </c:val>
          <c:extLst>
            <c:ext xmlns:c16="http://schemas.microsoft.com/office/drawing/2014/chart" uri="{C3380CC4-5D6E-409C-BE32-E72D297353CC}">
              <c16:uniqueId val="{00000004-7713-4DF8-BF30-3D2657A232B9}"/>
            </c:ext>
          </c:extLst>
        </c:ser>
        <c:ser>
          <c:idx val="6"/>
          <c:order val="6"/>
          <c:tx>
            <c:strRef>
              <c:f>'Figure 2.3'!$N$11:$O$11</c:f>
              <c:strCache>
                <c:ptCount val="2"/>
                <c:pt idx="0">
                  <c:v>Not an Australian citizen</c:v>
                </c:pt>
                <c:pt idx="1">
                  <c:v>Arrived before 2000</c:v>
                </c:pt>
              </c:strCache>
            </c:strRef>
          </c:tx>
          <c:spPr>
            <a:solidFill>
              <a:srgbClr val="9F1853"/>
            </a:solidFill>
            <a:ln>
              <a:noFill/>
            </a:ln>
            <a:effectLst/>
          </c:spPr>
          <c:invertIfNegative val="0"/>
          <c:cat>
            <c:strRef>
              <c:f>'Figure 2.3'!$P$4:$X$4</c:f>
              <c:strCache>
                <c:ptCount val="9"/>
                <c:pt idx="0">
                  <c:v>Child Care Centre Manager</c:v>
                </c:pt>
                <c:pt idx="1">
                  <c:v>Early Childhood (Pre-primary School) Teacher</c:v>
                </c:pt>
                <c:pt idx="2">
                  <c:v>Child Carers nfd</c:v>
                </c:pt>
                <c:pt idx="3">
                  <c:v>Child Care Worker</c:v>
                </c:pt>
                <c:pt idx="4">
                  <c:v>Family Day Care Worker</c:v>
                </c:pt>
                <c:pt idx="5">
                  <c:v>Nanny</c:v>
                </c:pt>
                <c:pt idx="6">
                  <c:v>Out of School Hours Care Worker</c:v>
                </c:pt>
                <c:pt idx="7">
                  <c:v>Preschool Aide</c:v>
                </c:pt>
                <c:pt idx="8">
                  <c:v>All selected ECEC Occupations</c:v>
                </c:pt>
              </c:strCache>
            </c:strRef>
          </c:cat>
          <c:val>
            <c:numRef>
              <c:f>'Figure 2.3'!$P$11:$X$11</c:f>
              <c:numCache>
                <c:formatCode>0.0%</c:formatCode>
                <c:ptCount val="9"/>
                <c:pt idx="0">
                  <c:v>1.4601041952289553E-2</c:v>
                </c:pt>
                <c:pt idx="1">
                  <c:v>8.7631614021058245E-3</c:v>
                </c:pt>
                <c:pt idx="2">
                  <c:v>1.3531462726216172E-2</c:v>
                </c:pt>
                <c:pt idx="3">
                  <c:v>1.167280599715652E-2</c:v>
                </c:pt>
                <c:pt idx="4">
                  <c:v>1.9334694367719465E-2</c:v>
                </c:pt>
                <c:pt idx="5">
                  <c:v>1.1713237369460909E-2</c:v>
                </c:pt>
                <c:pt idx="6">
                  <c:v>8.9158345221112701E-3</c:v>
                </c:pt>
                <c:pt idx="7">
                  <c:v>1.4781491002570694E-2</c:v>
                </c:pt>
                <c:pt idx="8">
                  <c:v>1.1658825935774187E-2</c:v>
                </c:pt>
              </c:numCache>
            </c:numRef>
          </c:val>
          <c:extLst>
            <c:ext xmlns:c16="http://schemas.microsoft.com/office/drawing/2014/chart" uri="{C3380CC4-5D6E-409C-BE32-E72D297353CC}">
              <c16:uniqueId val="{00000005-7713-4DF8-BF30-3D2657A232B9}"/>
            </c:ext>
          </c:extLst>
        </c:ser>
        <c:ser>
          <c:idx val="7"/>
          <c:order val="7"/>
          <c:tx>
            <c:strRef>
              <c:f>'Figure 2.3'!$N$12:$O$12</c:f>
              <c:strCache>
                <c:ptCount val="2"/>
                <c:pt idx="0">
                  <c:v>Not an Australian citizen</c:v>
                </c:pt>
                <c:pt idx="1">
                  <c:v>Arrived 2001-2010</c:v>
                </c:pt>
              </c:strCache>
            </c:strRef>
          </c:tx>
          <c:spPr>
            <a:solidFill>
              <a:srgbClr val="005D5D"/>
            </a:solidFill>
            <a:ln>
              <a:noFill/>
            </a:ln>
            <a:effectLst/>
          </c:spPr>
          <c:invertIfNegative val="0"/>
          <c:cat>
            <c:strRef>
              <c:f>'Figure 2.3'!$P$4:$X$4</c:f>
              <c:strCache>
                <c:ptCount val="9"/>
                <c:pt idx="0">
                  <c:v>Child Care Centre Manager</c:v>
                </c:pt>
                <c:pt idx="1">
                  <c:v>Early Childhood (Pre-primary School) Teacher</c:v>
                </c:pt>
                <c:pt idx="2">
                  <c:v>Child Carers nfd</c:v>
                </c:pt>
                <c:pt idx="3">
                  <c:v>Child Care Worker</c:v>
                </c:pt>
                <c:pt idx="4">
                  <c:v>Family Day Care Worker</c:v>
                </c:pt>
                <c:pt idx="5">
                  <c:v>Nanny</c:v>
                </c:pt>
                <c:pt idx="6">
                  <c:v>Out of School Hours Care Worker</c:v>
                </c:pt>
                <c:pt idx="7">
                  <c:v>Preschool Aide</c:v>
                </c:pt>
                <c:pt idx="8">
                  <c:v>All selected ECEC Occupations</c:v>
                </c:pt>
              </c:strCache>
            </c:strRef>
          </c:cat>
          <c:val>
            <c:numRef>
              <c:f>'Figure 2.3'!$P$12:$X$12</c:f>
              <c:numCache>
                <c:formatCode>0.0%</c:formatCode>
                <c:ptCount val="9"/>
                <c:pt idx="0">
                  <c:v>2.2347134631203729E-2</c:v>
                </c:pt>
                <c:pt idx="1">
                  <c:v>2.5089964014394242E-2</c:v>
                </c:pt>
                <c:pt idx="2">
                  <c:v>2.8640212518678401E-2</c:v>
                </c:pt>
                <c:pt idx="3">
                  <c:v>3.2619232260566108E-2</c:v>
                </c:pt>
                <c:pt idx="4">
                  <c:v>4.1311396661462711E-2</c:v>
                </c:pt>
                <c:pt idx="5">
                  <c:v>1.87694044594976E-2</c:v>
                </c:pt>
                <c:pt idx="6">
                  <c:v>1.3462910128388017E-2</c:v>
                </c:pt>
                <c:pt idx="7">
                  <c:v>1.2853470437017995E-2</c:v>
                </c:pt>
                <c:pt idx="8">
                  <c:v>2.9116145880405467E-2</c:v>
                </c:pt>
              </c:numCache>
            </c:numRef>
          </c:val>
          <c:extLst>
            <c:ext xmlns:c16="http://schemas.microsoft.com/office/drawing/2014/chart" uri="{C3380CC4-5D6E-409C-BE32-E72D297353CC}">
              <c16:uniqueId val="{00000006-7713-4DF8-BF30-3D2657A232B9}"/>
            </c:ext>
          </c:extLst>
        </c:ser>
        <c:ser>
          <c:idx val="8"/>
          <c:order val="8"/>
          <c:tx>
            <c:strRef>
              <c:f>'Figure 2.3'!$N$13:$O$13</c:f>
              <c:strCache>
                <c:ptCount val="2"/>
                <c:pt idx="0">
                  <c:v>Not an Australian citizen</c:v>
                </c:pt>
                <c:pt idx="1">
                  <c:v>Arrived 2010-2021</c:v>
                </c:pt>
              </c:strCache>
            </c:strRef>
          </c:tx>
          <c:spPr>
            <a:solidFill>
              <a:srgbClr val="002D9C"/>
            </a:solidFill>
            <a:ln>
              <a:noFill/>
            </a:ln>
            <a:effectLst/>
          </c:spPr>
          <c:invertIfNegative val="0"/>
          <c:cat>
            <c:strRef>
              <c:f>'Figure 2.3'!$P$4:$X$4</c:f>
              <c:strCache>
                <c:ptCount val="9"/>
                <c:pt idx="0">
                  <c:v>Child Care Centre Manager</c:v>
                </c:pt>
                <c:pt idx="1">
                  <c:v>Early Childhood (Pre-primary School) Teacher</c:v>
                </c:pt>
                <c:pt idx="2">
                  <c:v>Child Carers nfd</c:v>
                </c:pt>
                <c:pt idx="3">
                  <c:v>Child Care Worker</c:v>
                </c:pt>
                <c:pt idx="4">
                  <c:v>Family Day Care Worker</c:v>
                </c:pt>
                <c:pt idx="5">
                  <c:v>Nanny</c:v>
                </c:pt>
                <c:pt idx="6">
                  <c:v>Out of School Hours Care Worker</c:v>
                </c:pt>
                <c:pt idx="7">
                  <c:v>Preschool Aide</c:v>
                </c:pt>
                <c:pt idx="8">
                  <c:v>All selected ECEC Occupations</c:v>
                </c:pt>
              </c:strCache>
            </c:strRef>
          </c:cat>
          <c:val>
            <c:numRef>
              <c:f>'Figure 2.3'!$P$13:$X$13</c:f>
              <c:numCache>
                <c:formatCode>0.0%</c:formatCode>
                <c:ptCount val="9"/>
                <c:pt idx="0">
                  <c:v>4.6545105566218811E-2</c:v>
                </c:pt>
                <c:pt idx="1">
                  <c:v>8.8831134212981472E-2</c:v>
                </c:pt>
                <c:pt idx="2">
                  <c:v>8.5007471359787479E-2</c:v>
                </c:pt>
                <c:pt idx="3">
                  <c:v>0.11726929042264443</c:v>
                </c:pt>
                <c:pt idx="4">
                  <c:v>7.2535126696289184E-2</c:v>
                </c:pt>
                <c:pt idx="5">
                  <c:v>0.14648602878916173</c:v>
                </c:pt>
                <c:pt idx="6">
                  <c:v>5.2157631954350928E-2</c:v>
                </c:pt>
                <c:pt idx="7">
                  <c:v>2.9884318766066838E-2</c:v>
                </c:pt>
                <c:pt idx="8">
                  <c:v>0.1008861849334291</c:v>
                </c:pt>
              </c:numCache>
            </c:numRef>
          </c:val>
          <c:extLst>
            <c:ext xmlns:c16="http://schemas.microsoft.com/office/drawing/2014/chart" uri="{C3380CC4-5D6E-409C-BE32-E72D297353CC}">
              <c16:uniqueId val="{00000007-7713-4DF8-BF30-3D2657A232B9}"/>
            </c:ext>
          </c:extLst>
        </c:ser>
        <c:dLbls>
          <c:showLegendKey val="0"/>
          <c:showVal val="0"/>
          <c:showCatName val="0"/>
          <c:showSerName val="0"/>
          <c:showPercent val="0"/>
          <c:showBubbleSize val="0"/>
        </c:dLbls>
        <c:gapWidth val="182"/>
        <c:overlap val="100"/>
        <c:axId val="536408480"/>
        <c:axId val="536394560"/>
        <c:extLst>
          <c:ext xmlns:c15="http://schemas.microsoft.com/office/drawing/2012/chart" uri="{02D57815-91ED-43cb-92C2-25804820EDAC}">
            <c15:filteredBarSeries>
              <c15:ser>
                <c:idx val="4"/>
                <c:order val="4"/>
                <c:tx>
                  <c:strRef>
                    <c:extLst>
                      <c:ext uri="{02D57815-91ED-43cb-92C2-25804820EDAC}">
                        <c15:formulaRef>
                          <c15:sqref>'Figure 2.3'!$N$9:$O$9</c15:sqref>
                        </c15:formulaRef>
                      </c:ext>
                    </c:extLst>
                    <c:strCache>
                      <c:ptCount val="2"/>
                      <c:pt idx="0">
                        <c:v>Australian citizen</c:v>
                      </c:pt>
                      <c:pt idx="1">
                        <c:v>Total</c:v>
                      </c:pt>
                    </c:strCache>
                  </c:strRef>
                </c:tx>
                <c:spPr>
                  <a:solidFill>
                    <a:schemeClr val="accent5"/>
                  </a:solidFill>
                  <a:ln>
                    <a:noFill/>
                  </a:ln>
                  <a:effectLst/>
                </c:spPr>
                <c:invertIfNegative val="0"/>
                <c:cat>
                  <c:strRef>
                    <c:extLst>
                      <c:ext uri="{02D57815-91ED-43cb-92C2-25804820EDAC}">
                        <c15:formulaRef>
                          <c15:sqref>'Figure 2.3'!$P$4:$X$4</c15:sqref>
                        </c15:formulaRef>
                      </c:ext>
                    </c:extLst>
                    <c:strCache>
                      <c:ptCount val="9"/>
                      <c:pt idx="0">
                        <c:v>Child Care Centre Manager</c:v>
                      </c:pt>
                      <c:pt idx="1">
                        <c:v>Early Childhood (Pre-primary School) Teacher</c:v>
                      </c:pt>
                      <c:pt idx="2">
                        <c:v>Child Carers nfd</c:v>
                      </c:pt>
                      <c:pt idx="3">
                        <c:v>Child Care Worker</c:v>
                      </c:pt>
                      <c:pt idx="4">
                        <c:v>Family Day Care Worker</c:v>
                      </c:pt>
                      <c:pt idx="5">
                        <c:v>Nanny</c:v>
                      </c:pt>
                      <c:pt idx="6">
                        <c:v>Out of School Hours Care Worker</c:v>
                      </c:pt>
                      <c:pt idx="7">
                        <c:v>Preschool Aide</c:v>
                      </c:pt>
                      <c:pt idx="8">
                        <c:v>All selected ECEC Occupations</c:v>
                      </c:pt>
                    </c:strCache>
                  </c:strRef>
                </c:cat>
                <c:val>
                  <c:numRef>
                    <c:extLst>
                      <c:ext uri="{02D57815-91ED-43cb-92C2-25804820EDAC}">
                        <c15:formulaRef>
                          <c15:sqref>'Figure 2.3'!$P$9:$X$9</c15:sqref>
                        </c15:formulaRef>
                      </c:ext>
                    </c:extLst>
                    <c:numCache>
                      <c:formatCode>0.0%</c:formatCode>
                      <c:ptCount val="9"/>
                      <c:pt idx="0">
                        <c:v>0.91013161502604878</c:v>
                      </c:pt>
                      <c:pt idx="1">
                        <c:v>0.87078501932560304</c:v>
                      </c:pt>
                      <c:pt idx="2">
                        <c:v>0.85978748132160054</c:v>
                      </c:pt>
                      <c:pt idx="3">
                        <c:v>0.83118456766188442</c:v>
                      </c:pt>
                      <c:pt idx="4">
                        <c:v>0.86045394499819861</c:v>
                      </c:pt>
                      <c:pt idx="5">
                        <c:v>0.81385831216483207</c:v>
                      </c:pt>
                      <c:pt idx="6">
                        <c:v>0.92073823109843078</c:v>
                      </c:pt>
                      <c:pt idx="7">
                        <c:v>0.93316195372750643</c:v>
                      </c:pt>
                      <c:pt idx="8">
                        <c:v>0.85064240083338483</c:v>
                      </c:pt>
                    </c:numCache>
                  </c:numRef>
                </c:val>
                <c:extLst>
                  <c:ext xmlns:c16="http://schemas.microsoft.com/office/drawing/2014/chart" uri="{C3380CC4-5D6E-409C-BE32-E72D297353CC}">
                    <c16:uniqueId val="{00000008-7713-4DF8-BF30-3D2657A232B9}"/>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'Figure 2.3'!$N$14:$O$14</c15:sqref>
                        </c15:formulaRef>
                      </c:ext>
                    </c:extLst>
                    <c:strCache>
                      <c:ptCount val="2"/>
                      <c:pt idx="0">
                        <c:v>Not an Australian citizen</c:v>
                      </c:pt>
                      <c:pt idx="1">
                        <c:v>Total</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'Figure 2.3'!$P$4:$X$4</c15:sqref>
                        </c15:formulaRef>
                      </c:ext>
                    </c:extLst>
                    <c:strCache>
                      <c:ptCount val="9"/>
                      <c:pt idx="0">
                        <c:v>Child Care Centre Manager</c:v>
                      </c:pt>
                      <c:pt idx="1">
                        <c:v>Early Childhood (Pre-primary School) Teacher</c:v>
                      </c:pt>
                      <c:pt idx="2">
                        <c:v>Child Carers nfd</c:v>
                      </c:pt>
                      <c:pt idx="3">
                        <c:v>Child Care Worker</c:v>
                      </c:pt>
                      <c:pt idx="4">
                        <c:v>Family Day Care Worker</c:v>
                      </c:pt>
                      <c:pt idx="5">
                        <c:v>Nanny</c:v>
                      </c:pt>
                      <c:pt idx="6">
                        <c:v>Out of School Hours Care Worker</c:v>
                      </c:pt>
                      <c:pt idx="7">
                        <c:v>Preschool Aide</c:v>
                      </c:pt>
                      <c:pt idx="8">
                        <c:v>All selected ECEC Occupations</c:v>
                      </c:pt>
                    </c:strCache>
                  </c:strRef>
                </c:cat>
                <c:val>
                  <c:numRef>
                    <c:extLst xmlns:c15="http://schemas.microsoft.com/office/drawing/2012/chart">
                      <c:ext xmlns:c15="http://schemas.microsoft.com/office/drawing/2012/chart" uri="{02D57815-91ED-43cb-92C2-25804820EDAC}">
                        <c15:formulaRef>
                          <c15:sqref>'Figure 2.3'!$P$14:$X$14</c15:sqref>
                        </c15:formulaRef>
                      </c:ext>
                    </c:extLst>
                    <c:numCache>
                      <c:formatCode>0.0%</c:formatCode>
                      <c:ptCount val="9"/>
                      <c:pt idx="0">
                        <c:v>8.829174664107485E-2</c:v>
                      </c:pt>
                      <c:pt idx="1">
                        <c:v>0.12824870051979209</c:v>
                      </c:pt>
                      <c:pt idx="2">
                        <c:v>0.13589573302341026</c:v>
                      </c:pt>
                      <c:pt idx="3">
                        <c:v>0.16640816854077808</c:v>
                      </c:pt>
                      <c:pt idx="4">
                        <c:v>0.1377446859613306</c:v>
                      </c:pt>
                      <c:pt idx="5">
                        <c:v>0.18501270110076207</c:v>
                      </c:pt>
                      <c:pt idx="6">
                        <c:v>7.8102710413694723E-2</c:v>
                      </c:pt>
                      <c:pt idx="7">
                        <c:v>6.2982005141388173E-2</c:v>
                      </c:pt>
                      <c:pt idx="8">
                        <c:v>0.1468650553925043</c:v>
                      </c:pt>
                    </c:numCache>
                  </c:numRef>
                </c:val>
                <c:extLst xmlns:c15="http://schemas.microsoft.com/office/drawing/2012/chart">
                  <c:ext xmlns:c16="http://schemas.microsoft.com/office/drawing/2014/chart" uri="{C3380CC4-5D6E-409C-BE32-E72D297353CC}">
                    <c16:uniqueId val="{00000009-7713-4DF8-BF30-3D2657A232B9}"/>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'Figure 2.3'!$N$15:$O$15</c15:sqref>
                        </c15:formulaRef>
                      </c:ext>
                    </c:extLst>
                    <c:strCache>
                      <c:ptCount val="2"/>
                      <c:pt idx="0">
                        <c:v>Not stated</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'Figure 2.3'!$P$4:$X$4</c15:sqref>
                        </c15:formulaRef>
                      </c:ext>
                    </c:extLst>
                    <c:strCache>
                      <c:ptCount val="9"/>
                      <c:pt idx="0">
                        <c:v>Child Care Centre Manager</c:v>
                      </c:pt>
                      <c:pt idx="1">
                        <c:v>Early Childhood (Pre-primary School) Teacher</c:v>
                      </c:pt>
                      <c:pt idx="2">
                        <c:v>Child Carers nfd</c:v>
                      </c:pt>
                      <c:pt idx="3">
                        <c:v>Child Care Worker</c:v>
                      </c:pt>
                      <c:pt idx="4">
                        <c:v>Family Day Care Worker</c:v>
                      </c:pt>
                      <c:pt idx="5">
                        <c:v>Nanny</c:v>
                      </c:pt>
                      <c:pt idx="6">
                        <c:v>Out of School Hours Care Worker</c:v>
                      </c:pt>
                      <c:pt idx="7">
                        <c:v>Preschool Aide</c:v>
                      </c:pt>
                      <c:pt idx="8">
                        <c:v>All selected ECEC Occupations</c:v>
                      </c:pt>
                    </c:strCache>
                  </c:strRef>
                </c:cat>
                <c:val>
                  <c:numRef>
                    <c:extLst xmlns:c15="http://schemas.microsoft.com/office/drawing/2012/chart">
                      <c:ext xmlns:c15="http://schemas.microsoft.com/office/drawing/2012/chart" uri="{02D57815-91ED-43cb-92C2-25804820EDAC}">
                        <c15:formulaRef>
                          <c15:sqref>'Figure 2.3'!$P$15:$X$15</c15:sqref>
                        </c15:formulaRef>
                      </c:ext>
                    </c:extLst>
                    <c:numCache>
                      <c:formatCode>0.0%</c:formatCode>
                      <c:ptCount val="9"/>
                      <c:pt idx="0">
                        <c:v>1.8508363038113517E-3</c:v>
                      </c:pt>
                      <c:pt idx="1">
                        <c:v>1.4994002399040384E-3</c:v>
                      </c:pt>
                      <c:pt idx="2">
                        <c:v>4.2337705462394152E-3</c:v>
                      </c:pt>
                      <c:pt idx="3">
                        <c:v>2.4395760630735426E-3</c:v>
                      </c:pt>
                      <c:pt idx="4">
                        <c:v>2.0415515792001921E-3</c:v>
                      </c:pt>
                      <c:pt idx="5">
                        <c:v>1.2701100762066045E-3</c:v>
                      </c:pt>
                      <c:pt idx="6">
                        <c:v>2.050641940085592E-3</c:v>
                      </c:pt>
                      <c:pt idx="7">
                        <c:v>9.640102827763496E-4</c:v>
                      </c:pt>
                      <c:pt idx="8">
                        <c:v>2.4497329077616103E-3</c:v>
                      </c:pt>
                    </c:numCache>
                  </c:numRef>
                </c:val>
                <c:extLst xmlns:c15="http://schemas.microsoft.com/office/drawing/2012/chart">
                  <c:ext xmlns:c16="http://schemas.microsoft.com/office/drawing/2014/chart" uri="{C3380CC4-5D6E-409C-BE32-E72D297353CC}">
                    <c16:uniqueId val="{0000000A-7713-4DF8-BF30-3D2657A232B9}"/>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'Figure 2.3'!$N$16:$O$16</c15:sqref>
                        </c15:formulaRef>
                      </c:ext>
                    </c:extLst>
                    <c:strCache>
                      <c:ptCount val="2"/>
                      <c:pt idx="0">
                        <c:v>Total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'Figure 2.3'!$P$4:$X$4</c15:sqref>
                        </c15:formulaRef>
                      </c:ext>
                    </c:extLst>
                    <c:strCache>
                      <c:ptCount val="9"/>
                      <c:pt idx="0">
                        <c:v>Child Care Centre Manager</c:v>
                      </c:pt>
                      <c:pt idx="1">
                        <c:v>Early Childhood (Pre-primary School) Teacher</c:v>
                      </c:pt>
                      <c:pt idx="2">
                        <c:v>Child Carers nfd</c:v>
                      </c:pt>
                      <c:pt idx="3">
                        <c:v>Child Care Worker</c:v>
                      </c:pt>
                      <c:pt idx="4">
                        <c:v>Family Day Care Worker</c:v>
                      </c:pt>
                      <c:pt idx="5">
                        <c:v>Nanny</c:v>
                      </c:pt>
                      <c:pt idx="6">
                        <c:v>Out of School Hours Care Worker</c:v>
                      </c:pt>
                      <c:pt idx="7">
                        <c:v>Preschool Aide</c:v>
                      </c:pt>
                      <c:pt idx="8">
                        <c:v>All selected ECEC Occupations</c:v>
                      </c:pt>
                    </c:strCache>
                  </c:strRef>
                </c:cat>
                <c:val>
                  <c:numRef>
                    <c:extLst xmlns:c15="http://schemas.microsoft.com/office/drawing/2012/chart">
                      <c:ext xmlns:c15="http://schemas.microsoft.com/office/drawing/2012/chart" uri="{02D57815-91ED-43cb-92C2-25804820EDAC}">
                        <c15:formulaRef>
                          <c15:sqref>'Figure 2.3'!$P$16:$X$16</c15:sqref>
                        </c15:formulaRef>
                      </c:ext>
                    </c:extLst>
                    <c:numCache>
                      <c:formatCode>0.0%</c:formatCode>
                      <c:ptCount val="9"/>
                      <c:pt idx="0">
                        <c:v>1</c:v>
                      </c:pt>
                      <c:pt idx="1">
                        <c:v>1</c:v>
                      </c:pt>
                      <c:pt idx="2">
                        <c:v>1</c:v>
                      </c:pt>
                      <c:pt idx="3">
                        <c:v>1</c:v>
                      </c:pt>
                      <c:pt idx="4">
                        <c:v>1</c:v>
                      </c:pt>
                      <c:pt idx="5">
                        <c:v>1</c:v>
                      </c:pt>
                      <c:pt idx="6">
                        <c:v>1</c:v>
                      </c:pt>
                      <c:pt idx="7">
                        <c:v>1</c:v>
                      </c:pt>
                      <c:pt idx="8">
                        <c:v>1</c:v>
                      </c:pt>
                    </c:numCache>
                  </c:numRef>
                </c:val>
                <c:extLst xmlns:c15="http://schemas.microsoft.com/office/drawing/2012/chart">
                  <c:ext xmlns:c16="http://schemas.microsoft.com/office/drawing/2014/chart" uri="{C3380CC4-5D6E-409C-BE32-E72D297353CC}">
                    <c16:uniqueId val="{0000000B-7713-4DF8-BF30-3D2657A232B9}"/>
                  </c:ext>
                </c:extLst>
              </c15:ser>
            </c15:filteredBarSeries>
          </c:ext>
        </c:extLst>
      </c:barChart>
      <c:catAx>
        <c:axId val="5364084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394560"/>
        <c:crosses val="autoZero"/>
        <c:auto val="1"/>
        <c:lblAlgn val="ctr"/>
        <c:lblOffset val="100"/>
        <c:noMultiLvlLbl val="0"/>
      </c:catAx>
      <c:valAx>
        <c:axId val="536394560"/>
        <c:scaling>
          <c:orientation val="minMax"/>
          <c:max val="1"/>
        </c:scaling>
        <c:delete val="0"/>
        <c:axPos val="b"/>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408480"/>
        <c:crosses val="autoZero"/>
        <c:crossBetween val="between"/>
      </c:valAx>
      <c:spPr>
        <a:noFill/>
        <a:ln>
          <a:noFill/>
        </a:ln>
        <a:effectLst/>
      </c:spPr>
    </c:plotArea>
    <c:legend>
      <c:legendPos val="b"/>
      <c:layout>
        <c:manualLayout>
          <c:xMode val="edge"/>
          <c:yMode val="edge"/>
          <c:x val="2.0150814692441798E-4"/>
          <c:y val="0.76336145178183357"/>
          <c:w val="0.99254683537839106"/>
          <c:h val="0.2164365326069394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'[Final Report_tables and figures.xlsx]Figure XII'!$B$6</c:f>
              <c:strCache>
                <c:ptCount val="1"/>
                <c:pt idx="0">
                  <c:v>Bachelor degree or higher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'[Final Report_tables and figures.xlsx]Figure XII'!$C$5:$K$5</c:f>
              <c:strCache>
                <c:ptCount val="9"/>
                <c:pt idx="0">
                  <c:v>Preschool Aide</c:v>
                </c:pt>
                <c:pt idx="1">
                  <c:v>Out of School Hours Care Worker</c:v>
                </c:pt>
                <c:pt idx="2">
                  <c:v>Nanny</c:v>
                </c:pt>
                <c:pt idx="3">
                  <c:v>Family Day Care Worker</c:v>
                </c:pt>
                <c:pt idx="4">
                  <c:v>Child Care Worker</c:v>
                </c:pt>
                <c:pt idx="5">
                  <c:v>Child Carers nfd</c:v>
                </c:pt>
                <c:pt idx="6">
                  <c:v>Early Childhood (Pre-primary School) Teacher</c:v>
                </c:pt>
                <c:pt idx="7">
                  <c:v>Child Care Centre Manager</c:v>
                </c:pt>
                <c:pt idx="8">
                  <c:v>All selected ECEC Occupations</c:v>
                </c:pt>
              </c:strCache>
            </c:strRef>
          </c:cat>
          <c:val>
            <c:numRef>
              <c:f>'[Final Report_tables and figures.xlsx]Figure XII'!$C$6:$K$6</c:f>
              <c:numCache>
                <c:formatCode>0.0%</c:formatCode>
                <c:ptCount val="9"/>
                <c:pt idx="0">
                  <c:v>0.42494226327944573</c:v>
                </c:pt>
                <c:pt idx="1">
                  <c:v>0.51862970157160526</c:v>
                </c:pt>
                <c:pt idx="2">
                  <c:v>0.42198943172337072</c:v>
                </c:pt>
                <c:pt idx="3">
                  <c:v>0.30231092436974782</c:v>
                </c:pt>
                <c:pt idx="4">
                  <c:v>0.52702560016894007</c:v>
                </c:pt>
                <c:pt idx="5">
                  <c:v>0.30148458317472399</c:v>
                </c:pt>
                <c:pt idx="6">
                  <c:v>0.8647625059176266</c:v>
                </c:pt>
                <c:pt idx="7">
                  <c:v>0.62494642091727393</c:v>
                </c:pt>
                <c:pt idx="8">
                  <c:v>0.55728934998737722</c:v>
                </c:pt>
              </c:numCache>
            </c:numRef>
          </c:val>
          <c:extLst>
            <c:ext xmlns:c16="http://schemas.microsoft.com/office/drawing/2014/chart" uri="{C3380CC4-5D6E-409C-BE32-E72D297353CC}">
              <c16:uniqueId val="{00000000-F208-43B0-A3F7-0E65A54ED542}"/>
            </c:ext>
          </c:extLst>
        </c:ser>
        <c:ser>
          <c:idx val="1"/>
          <c:order val="1"/>
          <c:tx>
            <c:strRef>
              <c:f>'[Final Report_tables and figures.xlsx]Figure XII'!$B$7</c:f>
              <c:strCache>
                <c:ptCount val="1"/>
                <c:pt idx="0">
                  <c:v>Advanced Diploma and Diploma Level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'[Final Report_tables and figures.xlsx]Figure XII'!$C$5:$K$5</c:f>
              <c:strCache>
                <c:ptCount val="9"/>
                <c:pt idx="0">
                  <c:v>Preschool Aide</c:v>
                </c:pt>
                <c:pt idx="1">
                  <c:v>Out of School Hours Care Worker</c:v>
                </c:pt>
                <c:pt idx="2">
                  <c:v>Nanny</c:v>
                </c:pt>
                <c:pt idx="3">
                  <c:v>Family Day Care Worker</c:v>
                </c:pt>
                <c:pt idx="4">
                  <c:v>Child Care Worker</c:v>
                </c:pt>
                <c:pt idx="5">
                  <c:v>Child Carers nfd</c:v>
                </c:pt>
                <c:pt idx="6">
                  <c:v>Early Childhood (Pre-primary School) Teacher</c:v>
                </c:pt>
                <c:pt idx="7">
                  <c:v>Child Care Centre Manager</c:v>
                </c:pt>
                <c:pt idx="8">
                  <c:v>All selected ECEC Occupations</c:v>
                </c:pt>
              </c:strCache>
            </c:strRef>
          </c:cat>
          <c:val>
            <c:numRef>
              <c:f>'[Final Report_tables and figures.xlsx]Figure XII'!$C$7:$K$7</c:f>
              <c:numCache>
                <c:formatCode>0.0%</c:formatCode>
                <c:ptCount val="9"/>
                <c:pt idx="0">
                  <c:v>0.16281755196304851</c:v>
                </c:pt>
                <c:pt idx="1">
                  <c:v>0.1449761610453823</c:v>
                </c:pt>
                <c:pt idx="2">
                  <c:v>0.15425975711504589</c:v>
                </c:pt>
                <c:pt idx="3">
                  <c:v>0.30042016806722688</c:v>
                </c:pt>
                <c:pt idx="4">
                  <c:v>0.23815740216358383</c:v>
                </c:pt>
                <c:pt idx="5">
                  <c:v>0.26824007105697245</c:v>
                </c:pt>
                <c:pt idx="6">
                  <c:v>7.2786807637683443E-2</c:v>
                </c:pt>
                <c:pt idx="7">
                  <c:v>0.3010430061437348</c:v>
                </c:pt>
                <c:pt idx="8">
                  <c:v>0.20915932341944871</c:v>
                </c:pt>
              </c:numCache>
            </c:numRef>
          </c:val>
          <c:extLst>
            <c:ext xmlns:c16="http://schemas.microsoft.com/office/drawing/2014/chart" uri="{C3380CC4-5D6E-409C-BE32-E72D297353CC}">
              <c16:uniqueId val="{00000001-F208-43B0-A3F7-0E65A54ED542}"/>
            </c:ext>
          </c:extLst>
        </c:ser>
        <c:ser>
          <c:idx val="2"/>
          <c:order val="2"/>
          <c:tx>
            <c:strRef>
              <c:f>'[Final Report_tables and figures.xlsx]Figure XII'!$B$8</c:f>
              <c:strCache>
                <c:ptCount val="1"/>
                <c:pt idx="0">
                  <c:v>Certificate III &amp; IV Level</c:v>
                </c:pt>
              </c:strCache>
            </c:strRef>
          </c:tx>
          <c:spPr>
            <a:solidFill>
              <a:schemeClr val="accent3"/>
            </a:solidFill>
            <a:ln>
              <a:noFill/>
            </a:ln>
            <a:effectLst/>
          </c:spPr>
          <c:invertIfNegative val="0"/>
          <c:dLbls>
            <c:delete val="1"/>
          </c:dLbls>
          <c:cat>
            <c:strRef>
              <c:f>'[Final Report_tables and figures.xlsx]Figure XII'!$C$5:$K$5</c:f>
              <c:strCache>
                <c:ptCount val="9"/>
                <c:pt idx="0">
                  <c:v>Preschool Aide</c:v>
                </c:pt>
                <c:pt idx="1">
                  <c:v>Out of School Hours Care Worker</c:v>
                </c:pt>
                <c:pt idx="2">
                  <c:v>Nanny</c:v>
                </c:pt>
                <c:pt idx="3">
                  <c:v>Family Day Care Worker</c:v>
                </c:pt>
                <c:pt idx="4">
                  <c:v>Child Care Worker</c:v>
                </c:pt>
                <c:pt idx="5">
                  <c:v>Child Carers nfd</c:v>
                </c:pt>
                <c:pt idx="6">
                  <c:v>Early Childhood (Pre-primary School) Teacher</c:v>
                </c:pt>
                <c:pt idx="7">
                  <c:v>Child Care Centre Manager</c:v>
                </c:pt>
                <c:pt idx="8">
                  <c:v>All selected ECEC Occupations</c:v>
                </c:pt>
              </c:strCache>
            </c:strRef>
          </c:cat>
          <c:val>
            <c:numRef>
              <c:f>'[Final Report_tables and figures.xlsx]Figure XII'!$C$8:$K$8</c:f>
              <c:numCache>
                <c:formatCode>0.0%</c:formatCode>
                <c:ptCount val="9"/>
                <c:pt idx="0">
                  <c:v>0.21939953810623558</c:v>
                </c:pt>
                <c:pt idx="1">
                  <c:v>0.10224262758255342</c:v>
                </c:pt>
                <c:pt idx="2">
                  <c:v>7.5924724205061647E-2</c:v>
                </c:pt>
                <c:pt idx="3">
                  <c:v>0.19957983193277312</c:v>
                </c:pt>
                <c:pt idx="4">
                  <c:v>0.11465842444254601</c:v>
                </c:pt>
                <c:pt idx="5">
                  <c:v>9.6688237533307964E-2</c:v>
                </c:pt>
                <c:pt idx="6">
                  <c:v>2.0672242385987059E-2</c:v>
                </c:pt>
                <c:pt idx="7">
                  <c:v>3.3147592513216174E-2</c:v>
                </c:pt>
                <c:pt idx="8">
                  <c:v>9.5500282509647413E-2</c:v>
                </c:pt>
              </c:numCache>
            </c:numRef>
          </c:val>
          <c:extLst>
            <c:ext xmlns:c16="http://schemas.microsoft.com/office/drawing/2014/chart" uri="{C3380CC4-5D6E-409C-BE32-E72D297353CC}">
              <c16:uniqueId val="{00000002-F208-43B0-A3F7-0E65A54ED542}"/>
            </c:ext>
          </c:extLst>
        </c:ser>
        <c:ser>
          <c:idx val="3"/>
          <c:order val="3"/>
          <c:tx>
            <c:strRef>
              <c:f>'[Final Report_tables and figures.xlsx]Figure XII'!$B$9</c:f>
              <c:strCache>
                <c:ptCount val="1"/>
                <c:pt idx="0">
                  <c:v>All other education levels (inc not stated)</c:v>
                </c:pt>
              </c:strCache>
            </c:strRef>
          </c:tx>
          <c:spPr>
            <a:solidFill>
              <a:schemeClr val="accent4"/>
            </a:solidFill>
            <a:ln>
              <a:noFill/>
            </a:ln>
            <a:effectLst/>
          </c:spPr>
          <c:invertIfNegative val="0"/>
          <c:dLbls>
            <c:delete val="1"/>
          </c:dLbls>
          <c:cat>
            <c:strRef>
              <c:f>'[Final Report_tables and figures.xlsx]Figure XII'!$C$5:$K$5</c:f>
              <c:strCache>
                <c:ptCount val="9"/>
                <c:pt idx="0">
                  <c:v>Preschool Aide</c:v>
                </c:pt>
                <c:pt idx="1">
                  <c:v>Out of School Hours Care Worker</c:v>
                </c:pt>
                <c:pt idx="2">
                  <c:v>Nanny</c:v>
                </c:pt>
                <c:pt idx="3">
                  <c:v>Family Day Care Worker</c:v>
                </c:pt>
                <c:pt idx="4">
                  <c:v>Child Care Worker</c:v>
                </c:pt>
                <c:pt idx="5">
                  <c:v>Child Carers nfd</c:v>
                </c:pt>
                <c:pt idx="6">
                  <c:v>Early Childhood (Pre-primary School) Teacher</c:v>
                </c:pt>
                <c:pt idx="7">
                  <c:v>Child Care Centre Manager</c:v>
                </c:pt>
                <c:pt idx="8">
                  <c:v>All selected ECEC Occupations</c:v>
                </c:pt>
              </c:strCache>
            </c:strRef>
          </c:cat>
          <c:val>
            <c:numRef>
              <c:f>'[Final Report_tables and figures.xlsx]Figure XII'!$C$9:$K$9</c:f>
              <c:numCache>
                <c:formatCode>0.0%</c:formatCode>
                <c:ptCount val="9"/>
                <c:pt idx="0">
                  <c:v>9.9307159353348731E-2</c:v>
                </c:pt>
                <c:pt idx="1">
                  <c:v>0.23167932191417975</c:v>
                </c:pt>
                <c:pt idx="2">
                  <c:v>0.34912394548994158</c:v>
                </c:pt>
                <c:pt idx="3">
                  <c:v>0.21533613445378152</c:v>
                </c:pt>
                <c:pt idx="4">
                  <c:v>0.12146401866019063</c:v>
                </c:pt>
                <c:pt idx="5">
                  <c:v>0.34691029057226236</c:v>
                </c:pt>
                <c:pt idx="6">
                  <c:v>4.0279311977276307E-2</c:v>
                </c:pt>
                <c:pt idx="7">
                  <c:v>4.8149735676525224E-2</c:v>
                </c:pt>
                <c:pt idx="8">
                  <c:v>0.13744394888378636</c:v>
                </c:pt>
              </c:numCache>
            </c:numRef>
          </c:val>
          <c:extLst>
            <c:ext xmlns:c16="http://schemas.microsoft.com/office/drawing/2014/chart" uri="{C3380CC4-5D6E-409C-BE32-E72D297353CC}">
              <c16:uniqueId val="{00000003-F208-43B0-A3F7-0E65A54ED542}"/>
            </c:ext>
          </c:extLst>
        </c:ser>
        <c:dLbls>
          <c:dLblPos val="ctr"/>
          <c:showLegendKey val="0"/>
          <c:showVal val="1"/>
          <c:showCatName val="0"/>
          <c:showSerName val="0"/>
          <c:showPercent val="0"/>
          <c:showBubbleSize val="0"/>
        </c:dLbls>
        <c:gapWidth val="150"/>
        <c:overlap val="100"/>
        <c:axId val="154216224"/>
        <c:axId val="300192032"/>
      </c:barChart>
      <c:catAx>
        <c:axId val="1542162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0192032"/>
        <c:crosses val="autoZero"/>
        <c:auto val="1"/>
        <c:lblAlgn val="ctr"/>
        <c:lblOffset val="100"/>
        <c:noMultiLvlLbl val="0"/>
      </c:catAx>
      <c:valAx>
        <c:axId val="300192032"/>
        <c:scaling>
          <c:orientation val="minMax"/>
          <c:max val="1"/>
        </c:scaling>
        <c:delete val="0"/>
        <c:axPos val="b"/>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216224"/>
        <c:crosses val="autoZero"/>
        <c:crossBetween val="between"/>
        <c:majorUnit val="0.2"/>
      </c:valAx>
      <c:spPr>
        <a:noFill/>
        <a:ln>
          <a:noFill/>
        </a:ln>
        <a:effectLst/>
      </c:spPr>
    </c:plotArea>
    <c:legend>
      <c:legendPos val="b"/>
      <c:layout>
        <c:manualLayout>
          <c:xMode val="edge"/>
          <c:yMode val="edge"/>
          <c:x val="6.8525502448466549E-3"/>
          <c:y val="0.85225449585453905"/>
          <c:w val="0.98095087813422122"/>
          <c:h val="0.1226671853385314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'annual avg by state and region'!$L$68</c:f>
              <c:strCache>
                <c:ptCount val="1"/>
                <c:pt idx="0">
                  <c:v>Capital City</c:v>
                </c:pt>
              </c:strCache>
            </c:strRef>
          </c:tx>
          <c:spPr>
            <a:ln w="28575" cap="rnd">
              <a:solidFill>
                <a:schemeClr val="accent1"/>
              </a:solidFill>
              <a:round/>
            </a:ln>
            <a:effectLst/>
          </c:spPr>
          <c:marker>
            <c:symbol val="none"/>
          </c:marker>
          <c:cat>
            <c:strRef>
              <c:f>'annual avg by state and region'!$M$67:$U$67</c:f>
              <c:strCache>
                <c:ptCount val="9"/>
                <c:pt idx="0">
                  <c:v>2015</c:v>
                </c:pt>
                <c:pt idx="1">
                  <c:v>2016</c:v>
                </c:pt>
                <c:pt idx="2">
                  <c:v>2017</c:v>
                </c:pt>
                <c:pt idx="3">
                  <c:v>2018</c:v>
                </c:pt>
                <c:pt idx="4">
                  <c:v>2019</c:v>
                </c:pt>
                <c:pt idx="5">
                  <c:v>2020</c:v>
                </c:pt>
                <c:pt idx="6">
                  <c:v>2021</c:v>
                </c:pt>
                <c:pt idx="7">
                  <c:v>2022</c:v>
                </c:pt>
                <c:pt idx="8">
                  <c:v>2023</c:v>
                </c:pt>
              </c:strCache>
            </c:strRef>
          </c:cat>
          <c:val>
            <c:numRef>
              <c:f>'annual avg by state and region'!$M$68:$U$68</c:f>
              <c:numCache>
                <c:formatCode>General</c:formatCode>
                <c:ptCount val="9"/>
                <c:pt idx="0">
                  <c:v>1.9161046753653672E-2</c:v>
                </c:pt>
                <c:pt idx="1">
                  <c:v>2.1115870999122641E-2</c:v>
                </c:pt>
                <c:pt idx="2">
                  <c:v>2.0450728357810609E-2</c:v>
                </c:pt>
                <c:pt idx="3">
                  <c:v>2.0934726006854996E-2</c:v>
                </c:pt>
                <c:pt idx="4">
                  <c:v>2.0225656241842974E-2</c:v>
                </c:pt>
                <c:pt idx="5">
                  <c:v>1.5688805420934128E-2</c:v>
                </c:pt>
                <c:pt idx="6">
                  <c:v>2.655352785280022E-2</c:v>
                </c:pt>
                <c:pt idx="7">
                  <c:v>3.6693255647862133E-2</c:v>
                </c:pt>
                <c:pt idx="8">
                  <c:v>3.3732997354921038E-2</c:v>
                </c:pt>
              </c:numCache>
            </c:numRef>
          </c:val>
          <c:smooth val="0"/>
          <c:extLst>
            <c:ext xmlns:c16="http://schemas.microsoft.com/office/drawing/2014/chart" uri="{C3380CC4-5D6E-409C-BE32-E72D297353CC}">
              <c16:uniqueId val="{00000000-F159-4A1B-AE26-DF09AA73BD2C}"/>
            </c:ext>
          </c:extLst>
        </c:ser>
        <c:ser>
          <c:idx val="1"/>
          <c:order val="1"/>
          <c:tx>
            <c:strRef>
              <c:f>'annual avg by state and region'!$L$69</c:f>
              <c:strCache>
                <c:ptCount val="1"/>
                <c:pt idx="0">
                  <c:v>Regional</c:v>
                </c:pt>
              </c:strCache>
            </c:strRef>
          </c:tx>
          <c:spPr>
            <a:ln w="28575" cap="rnd">
              <a:solidFill>
                <a:schemeClr val="accent2"/>
              </a:solidFill>
              <a:round/>
            </a:ln>
            <a:effectLst/>
          </c:spPr>
          <c:marker>
            <c:symbol val="none"/>
          </c:marker>
          <c:cat>
            <c:strRef>
              <c:f>'annual avg by state and region'!$M$67:$U$67</c:f>
              <c:strCache>
                <c:ptCount val="9"/>
                <c:pt idx="0">
                  <c:v>2015</c:v>
                </c:pt>
                <c:pt idx="1">
                  <c:v>2016</c:v>
                </c:pt>
                <c:pt idx="2">
                  <c:v>2017</c:v>
                </c:pt>
                <c:pt idx="3">
                  <c:v>2018</c:v>
                </c:pt>
                <c:pt idx="4">
                  <c:v>2019</c:v>
                </c:pt>
                <c:pt idx="5">
                  <c:v>2020</c:v>
                </c:pt>
                <c:pt idx="6">
                  <c:v>2021</c:v>
                </c:pt>
                <c:pt idx="7">
                  <c:v>2022</c:v>
                </c:pt>
                <c:pt idx="8">
                  <c:v>2023</c:v>
                </c:pt>
              </c:strCache>
            </c:strRef>
          </c:cat>
          <c:val>
            <c:numRef>
              <c:f>'annual avg by state and region'!$M$69:$U$69</c:f>
              <c:numCache>
                <c:formatCode>General</c:formatCode>
                <c:ptCount val="9"/>
                <c:pt idx="0">
                  <c:v>7.439013984486406E-3</c:v>
                </c:pt>
                <c:pt idx="1">
                  <c:v>7.8583025587893804E-3</c:v>
                </c:pt>
                <c:pt idx="2">
                  <c:v>8.8522537591865114E-3</c:v>
                </c:pt>
                <c:pt idx="3">
                  <c:v>9.7164651064391011E-3</c:v>
                </c:pt>
                <c:pt idx="4">
                  <c:v>9.0070452141970316E-3</c:v>
                </c:pt>
                <c:pt idx="5">
                  <c:v>8.274348959244544E-3</c:v>
                </c:pt>
                <c:pt idx="6">
                  <c:v>1.5669036112368435E-2</c:v>
                </c:pt>
                <c:pt idx="7">
                  <c:v>2.2879110652837379E-2</c:v>
                </c:pt>
                <c:pt idx="8">
                  <c:v>2.3267932008105445E-2</c:v>
                </c:pt>
              </c:numCache>
            </c:numRef>
          </c:val>
          <c:smooth val="0"/>
          <c:extLst>
            <c:ext xmlns:c16="http://schemas.microsoft.com/office/drawing/2014/chart" uri="{C3380CC4-5D6E-409C-BE32-E72D297353CC}">
              <c16:uniqueId val="{00000001-F159-4A1B-AE26-DF09AA73BD2C}"/>
            </c:ext>
          </c:extLst>
        </c:ser>
        <c:ser>
          <c:idx val="2"/>
          <c:order val="2"/>
          <c:tx>
            <c:strRef>
              <c:f>'annual avg by state and region'!$L$70</c:f>
              <c:strCache>
                <c:ptCount val="1"/>
                <c:pt idx="0">
                  <c:v>Remote</c:v>
                </c:pt>
              </c:strCache>
            </c:strRef>
          </c:tx>
          <c:spPr>
            <a:ln w="28575" cap="rnd">
              <a:solidFill>
                <a:schemeClr val="accent3"/>
              </a:solidFill>
              <a:round/>
            </a:ln>
            <a:effectLst/>
          </c:spPr>
          <c:marker>
            <c:symbol val="none"/>
          </c:marker>
          <c:cat>
            <c:strRef>
              <c:f>'annual avg by state and region'!$M$67:$U$67</c:f>
              <c:strCache>
                <c:ptCount val="9"/>
                <c:pt idx="0">
                  <c:v>2015</c:v>
                </c:pt>
                <c:pt idx="1">
                  <c:v>2016</c:v>
                </c:pt>
                <c:pt idx="2">
                  <c:v>2017</c:v>
                </c:pt>
                <c:pt idx="3">
                  <c:v>2018</c:v>
                </c:pt>
                <c:pt idx="4">
                  <c:v>2019</c:v>
                </c:pt>
                <c:pt idx="5">
                  <c:v>2020</c:v>
                </c:pt>
                <c:pt idx="6">
                  <c:v>2021</c:v>
                </c:pt>
                <c:pt idx="7">
                  <c:v>2022</c:v>
                </c:pt>
                <c:pt idx="8">
                  <c:v>2023</c:v>
                </c:pt>
              </c:strCache>
            </c:strRef>
          </c:cat>
          <c:val>
            <c:numRef>
              <c:f>'annual avg by state and region'!$M$70:$U$70</c:f>
              <c:numCache>
                <c:formatCode>General</c:formatCode>
                <c:ptCount val="9"/>
                <c:pt idx="0">
                  <c:v>1.1717644744318313E-2</c:v>
                </c:pt>
                <c:pt idx="1">
                  <c:v>1.0887974381127215E-2</c:v>
                </c:pt>
                <c:pt idx="2">
                  <c:v>1.0678904692168752E-2</c:v>
                </c:pt>
                <c:pt idx="3">
                  <c:v>1.0013492948868922E-2</c:v>
                </c:pt>
                <c:pt idx="4">
                  <c:v>9.8300046584546118E-3</c:v>
                </c:pt>
                <c:pt idx="5">
                  <c:v>8.4802607555604943E-3</c:v>
                </c:pt>
                <c:pt idx="6">
                  <c:v>1.5499938827600311E-2</c:v>
                </c:pt>
                <c:pt idx="7">
                  <c:v>1.8594708826711655E-2</c:v>
                </c:pt>
                <c:pt idx="8">
                  <c:v>1.8718740701724152E-2</c:v>
                </c:pt>
              </c:numCache>
            </c:numRef>
          </c:val>
          <c:smooth val="0"/>
          <c:extLst>
            <c:ext xmlns:c16="http://schemas.microsoft.com/office/drawing/2014/chart" uri="{C3380CC4-5D6E-409C-BE32-E72D297353CC}">
              <c16:uniqueId val="{00000002-F159-4A1B-AE26-DF09AA73BD2C}"/>
            </c:ext>
          </c:extLst>
        </c:ser>
        <c:ser>
          <c:idx val="3"/>
          <c:order val="3"/>
          <c:tx>
            <c:strRef>
              <c:f>'annual avg by state and region'!$L$71</c:f>
              <c:strCache>
                <c:ptCount val="1"/>
                <c:pt idx="0">
                  <c:v>Australia</c:v>
                </c:pt>
              </c:strCache>
            </c:strRef>
          </c:tx>
          <c:spPr>
            <a:ln w="28575" cap="rnd">
              <a:solidFill>
                <a:schemeClr val="accent4"/>
              </a:solidFill>
              <a:round/>
            </a:ln>
            <a:effectLst/>
          </c:spPr>
          <c:marker>
            <c:symbol val="none"/>
          </c:marker>
          <c:cat>
            <c:strRef>
              <c:f>'annual avg by state and region'!$M$67:$U$67</c:f>
              <c:strCache>
                <c:ptCount val="9"/>
                <c:pt idx="0">
                  <c:v>2015</c:v>
                </c:pt>
                <c:pt idx="1">
                  <c:v>2016</c:v>
                </c:pt>
                <c:pt idx="2">
                  <c:v>2017</c:v>
                </c:pt>
                <c:pt idx="3">
                  <c:v>2018</c:v>
                </c:pt>
                <c:pt idx="4">
                  <c:v>2019</c:v>
                </c:pt>
                <c:pt idx="5">
                  <c:v>2020</c:v>
                </c:pt>
                <c:pt idx="6">
                  <c:v>2021</c:v>
                </c:pt>
                <c:pt idx="7">
                  <c:v>2022</c:v>
                </c:pt>
                <c:pt idx="8">
                  <c:v>2023</c:v>
                </c:pt>
              </c:strCache>
            </c:strRef>
          </c:cat>
          <c:val>
            <c:numRef>
              <c:f>'annual avg by state and region'!$M$71:$U$71</c:f>
              <c:numCache>
                <c:formatCode>General</c:formatCode>
                <c:ptCount val="9"/>
                <c:pt idx="0">
                  <c:v>1.410126904971193E-2</c:v>
                </c:pt>
                <c:pt idx="1">
                  <c:v>1.5167104130392172E-2</c:v>
                </c:pt>
                <c:pt idx="2">
                  <c:v>1.5143424120544619E-2</c:v>
                </c:pt>
                <c:pt idx="3">
                  <c:v>1.5617684511960234E-2</c:v>
                </c:pt>
                <c:pt idx="4">
                  <c:v>1.4974189090998685E-2</c:v>
                </c:pt>
                <c:pt idx="5">
                  <c:v>1.2175826538758131E-2</c:v>
                </c:pt>
                <c:pt idx="6">
                  <c:v>2.1337519634270802E-2</c:v>
                </c:pt>
                <c:pt idx="7">
                  <c:v>2.9564590762880073E-2</c:v>
                </c:pt>
                <c:pt idx="8">
                  <c:v>2.8169658162461437E-2</c:v>
                </c:pt>
              </c:numCache>
            </c:numRef>
          </c:val>
          <c:smooth val="0"/>
          <c:extLst>
            <c:ext xmlns:c16="http://schemas.microsoft.com/office/drawing/2014/chart" uri="{C3380CC4-5D6E-409C-BE32-E72D297353CC}">
              <c16:uniqueId val="{00000003-F159-4A1B-AE26-DF09AA73BD2C}"/>
            </c:ext>
          </c:extLst>
        </c:ser>
        <c:dLbls>
          <c:showLegendKey val="0"/>
          <c:showVal val="0"/>
          <c:showCatName val="0"/>
          <c:showSerName val="0"/>
          <c:showPercent val="0"/>
          <c:showBubbleSize val="0"/>
        </c:dLbls>
        <c:smooth val="0"/>
        <c:axId val="561514576"/>
        <c:axId val="1581801760"/>
      </c:lineChart>
      <c:catAx>
        <c:axId val="561514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1801760"/>
        <c:crosses val="autoZero"/>
        <c:auto val="1"/>
        <c:lblAlgn val="ctr"/>
        <c:lblOffset val="100"/>
        <c:noMultiLvlLbl val="0"/>
      </c:catAx>
      <c:valAx>
        <c:axId val="1581801760"/>
        <c:scaling>
          <c:orientation val="minMax"/>
          <c:max val="6.0000000000000012E-2"/>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solidFill>
                      <a:sysClr val="windowText" lastClr="000000"/>
                    </a:solidFill>
                  </a:rPr>
                  <a:t>Average</a:t>
                </a:r>
                <a:r>
                  <a:rPr lang="en-AU" baseline="0">
                    <a:solidFill>
                      <a:sysClr val="windowText" lastClr="000000"/>
                    </a:solidFill>
                  </a:rPr>
                  <a:t> vacancy rate</a:t>
                </a:r>
              </a:p>
              <a:p>
                <a:pPr>
                  <a:defRPr/>
                </a:pP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1514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'annual avg by state and region'!$W$68</c:f>
              <c:strCache>
                <c:ptCount val="1"/>
                <c:pt idx="0">
                  <c:v>Capital City</c:v>
                </c:pt>
              </c:strCache>
            </c:strRef>
          </c:tx>
          <c:spPr>
            <a:ln w="28575" cap="rnd">
              <a:solidFill>
                <a:schemeClr val="accent1"/>
              </a:solidFill>
              <a:round/>
            </a:ln>
            <a:effectLst/>
          </c:spPr>
          <c:marker>
            <c:symbol val="none"/>
          </c:marker>
          <c:cat>
            <c:strRef>
              <c:f>'annual avg by state and region'!$X$67:$AF$67</c:f>
              <c:strCache>
                <c:ptCount val="9"/>
                <c:pt idx="0">
                  <c:v>2015</c:v>
                </c:pt>
                <c:pt idx="1">
                  <c:v>2016</c:v>
                </c:pt>
                <c:pt idx="2">
                  <c:v>2017</c:v>
                </c:pt>
                <c:pt idx="3">
                  <c:v>2018</c:v>
                </c:pt>
                <c:pt idx="4">
                  <c:v>2019</c:v>
                </c:pt>
                <c:pt idx="5">
                  <c:v>2020</c:v>
                </c:pt>
                <c:pt idx="6">
                  <c:v>2021</c:v>
                </c:pt>
                <c:pt idx="7">
                  <c:v>2022</c:v>
                </c:pt>
                <c:pt idx="8">
                  <c:v>2023</c:v>
                </c:pt>
              </c:strCache>
            </c:strRef>
          </c:cat>
          <c:val>
            <c:numRef>
              <c:f>'annual avg by state and region'!$X$68:$AF$68</c:f>
              <c:numCache>
                <c:formatCode>General</c:formatCode>
                <c:ptCount val="9"/>
                <c:pt idx="0">
                  <c:v>3.031244722518241E-2</c:v>
                </c:pt>
                <c:pt idx="1">
                  <c:v>2.964711236096956E-2</c:v>
                </c:pt>
                <c:pt idx="2">
                  <c:v>2.2644729372874733E-2</c:v>
                </c:pt>
                <c:pt idx="3">
                  <c:v>2.2127021355959058E-2</c:v>
                </c:pt>
                <c:pt idx="4">
                  <c:v>2.3974130066287114E-2</c:v>
                </c:pt>
                <c:pt idx="5">
                  <c:v>2.3141576812174769E-2</c:v>
                </c:pt>
                <c:pt idx="6">
                  <c:v>3.3628569548702344E-2</c:v>
                </c:pt>
                <c:pt idx="7">
                  <c:v>4.4042889414703502E-2</c:v>
                </c:pt>
                <c:pt idx="8">
                  <c:v>5.0048638854617668E-2</c:v>
                </c:pt>
              </c:numCache>
            </c:numRef>
          </c:val>
          <c:smooth val="0"/>
          <c:extLst>
            <c:ext xmlns:c16="http://schemas.microsoft.com/office/drawing/2014/chart" uri="{C3380CC4-5D6E-409C-BE32-E72D297353CC}">
              <c16:uniqueId val="{00000000-5E8A-4200-8DA6-F71FF9D4C691}"/>
            </c:ext>
          </c:extLst>
        </c:ser>
        <c:ser>
          <c:idx val="1"/>
          <c:order val="1"/>
          <c:tx>
            <c:strRef>
              <c:f>'annual avg by state and region'!$W$69</c:f>
              <c:strCache>
                <c:ptCount val="1"/>
                <c:pt idx="0">
                  <c:v>Regional</c:v>
                </c:pt>
              </c:strCache>
            </c:strRef>
          </c:tx>
          <c:spPr>
            <a:ln w="28575" cap="rnd">
              <a:solidFill>
                <a:schemeClr val="accent2"/>
              </a:solidFill>
              <a:round/>
            </a:ln>
            <a:effectLst/>
          </c:spPr>
          <c:marker>
            <c:symbol val="none"/>
          </c:marker>
          <c:cat>
            <c:strRef>
              <c:f>'annual avg by state and region'!$X$67:$AF$67</c:f>
              <c:strCache>
                <c:ptCount val="9"/>
                <c:pt idx="0">
                  <c:v>2015</c:v>
                </c:pt>
                <c:pt idx="1">
                  <c:v>2016</c:v>
                </c:pt>
                <c:pt idx="2">
                  <c:v>2017</c:v>
                </c:pt>
                <c:pt idx="3">
                  <c:v>2018</c:v>
                </c:pt>
                <c:pt idx="4">
                  <c:v>2019</c:v>
                </c:pt>
                <c:pt idx="5">
                  <c:v>2020</c:v>
                </c:pt>
                <c:pt idx="6">
                  <c:v>2021</c:v>
                </c:pt>
                <c:pt idx="7">
                  <c:v>2022</c:v>
                </c:pt>
                <c:pt idx="8">
                  <c:v>2023</c:v>
                </c:pt>
              </c:strCache>
            </c:strRef>
          </c:cat>
          <c:val>
            <c:numRef>
              <c:f>'annual avg by state and region'!$X$69:$AF$69</c:f>
              <c:numCache>
                <c:formatCode>General</c:formatCode>
                <c:ptCount val="9"/>
                <c:pt idx="0">
                  <c:v>1.8368421306331963E-2</c:v>
                </c:pt>
                <c:pt idx="1">
                  <c:v>1.6584436540953609E-2</c:v>
                </c:pt>
                <c:pt idx="2">
                  <c:v>1.4200676959818241E-2</c:v>
                </c:pt>
                <c:pt idx="3">
                  <c:v>1.3929802790000416E-2</c:v>
                </c:pt>
                <c:pt idx="4">
                  <c:v>1.586334516962512E-2</c:v>
                </c:pt>
                <c:pt idx="5">
                  <c:v>1.7656694575105613E-2</c:v>
                </c:pt>
                <c:pt idx="6">
                  <c:v>2.6686933923158539E-2</c:v>
                </c:pt>
                <c:pt idx="7">
                  <c:v>3.3408786488554297E-2</c:v>
                </c:pt>
                <c:pt idx="8">
                  <c:v>3.5492128996965161E-2</c:v>
                </c:pt>
              </c:numCache>
            </c:numRef>
          </c:val>
          <c:smooth val="0"/>
          <c:extLst>
            <c:ext xmlns:c16="http://schemas.microsoft.com/office/drawing/2014/chart" uri="{C3380CC4-5D6E-409C-BE32-E72D297353CC}">
              <c16:uniqueId val="{00000001-5E8A-4200-8DA6-F71FF9D4C691}"/>
            </c:ext>
          </c:extLst>
        </c:ser>
        <c:ser>
          <c:idx val="2"/>
          <c:order val="2"/>
          <c:tx>
            <c:strRef>
              <c:f>'annual avg by state and region'!$W$70</c:f>
              <c:strCache>
                <c:ptCount val="1"/>
                <c:pt idx="0">
                  <c:v>Remote</c:v>
                </c:pt>
              </c:strCache>
            </c:strRef>
          </c:tx>
          <c:spPr>
            <a:ln w="28575" cap="rnd">
              <a:solidFill>
                <a:schemeClr val="accent3"/>
              </a:solidFill>
              <a:round/>
            </a:ln>
            <a:effectLst/>
          </c:spPr>
          <c:marker>
            <c:symbol val="none"/>
          </c:marker>
          <c:cat>
            <c:strRef>
              <c:f>'annual avg by state and region'!$X$67:$AF$67</c:f>
              <c:strCache>
                <c:ptCount val="9"/>
                <c:pt idx="0">
                  <c:v>2015</c:v>
                </c:pt>
                <c:pt idx="1">
                  <c:v>2016</c:v>
                </c:pt>
                <c:pt idx="2">
                  <c:v>2017</c:v>
                </c:pt>
                <c:pt idx="3">
                  <c:v>2018</c:v>
                </c:pt>
                <c:pt idx="4">
                  <c:v>2019</c:v>
                </c:pt>
                <c:pt idx="5">
                  <c:v>2020</c:v>
                </c:pt>
                <c:pt idx="6">
                  <c:v>2021</c:v>
                </c:pt>
                <c:pt idx="7">
                  <c:v>2022</c:v>
                </c:pt>
                <c:pt idx="8">
                  <c:v>2023</c:v>
                </c:pt>
              </c:strCache>
            </c:strRef>
          </c:cat>
          <c:val>
            <c:numRef>
              <c:f>'annual avg by state and region'!$X$70:$AF$70</c:f>
              <c:numCache>
                <c:formatCode>General</c:formatCode>
                <c:ptCount val="9"/>
                <c:pt idx="0">
                  <c:v>2.3866376491093633E-2</c:v>
                </c:pt>
                <c:pt idx="1">
                  <c:v>1.8220032996231653E-2</c:v>
                </c:pt>
                <c:pt idx="2">
                  <c:v>1.6030800511000018E-2</c:v>
                </c:pt>
                <c:pt idx="3">
                  <c:v>1.4365973350214823E-2</c:v>
                </c:pt>
                <c:pt idx="4">
                  <c:v>1.8130630981983364E-2</c:v>
                </c:pt>
                <c:pt idx="5">
                  <c:v>1.6650716990087418E-2</c:v>
                </c:pt>
                <c:pt idx="6">
                  <c:v>2.4941760480752129E-2</c:v>
                </c:pt>
                <c:pt idx="7">
                  <c:v>3.3456478397227804E-2</c:v>
                </c:pt>
                <c:pt idx="8">
                  <c:v>3.6175210612355339E-2</c:v>
                </c:pt>
              </c:numCache>
            </c:numRef>
          </c:val>
          <c:smooth val="0"/>
          <c:extLst>
            <c:ext xmlns:c16="http://schemas.microsoft.com/office/drawing/2014/chart" uri="{C3380CC4-5D6E-409C-BE32-E72D297353CC}">
              <c16:uniqueId val="{00000002-5E8A-4200-8DA6-F71FF9D4C691}"/>
            </c:ext>
          </c:extLst>
        </c:ser>
        <c:ser>
          <c:idx val="3"/>
          <c:order val="3"/>
          <c:tx>
            <c:strRef>
              <c:f>'annual avg by state and region'!$W$71</c:f>
              <c:strCache>
                <c:ptCount val="1"/>
                <c:pt idx="0">
                  <c:v>Australia</c:v>
                </c:pt>
              </c:strCache>
            </c:strRef>
          </c:tx>
          <c:spPr>
            <a:ln w="28575" cap="rnd">
              <a:solidFill>
                <a:schemeClr val="accent4"/>
              </a:solidFill>
              <a:round/>
            </a:ln>
            <a:effectLst/>
          </c:spPr>
          <c:marker>
            <c:symbol val="none"/>
          </c:marker>
          <c:cat>
            <c:strRef>
              <c:f>'annual avg by state and region'!$X$67:$AF$67</c:f>
              <c:strCache>
                <c:ptCount val="9"/>
                <c:pt idx="0">
                  <c:v>2015</c:v>
                </c:pt>
                <c:pt idx="1">
                  <c:v>2016</c:v>
                </c:pt>
                <c:pt idx="2">
                  <c:v>2017</c:v>
                </c:pt>
                <c:pt idx="3">
                  <c:v>2018</c:v>
                </c:pt>
                <c:pt idx="4">
                  <c:v>2019</c:v>
                </c:pt>
                <c:pt idx="5">
                  <c:v>2020</c:v>
                </c:pt>
                <c:pt idx="6">
                  <c:v>2021</c:v>
                </c:pt>
                <c:pt idx="7">
                  <c:v>2022</c:v>
                </c:pt>
                <c:pt idx="8">
                  <c:v>2023</c:v>
                </c:pt>
              </c:strCache>
            </c:strRef>
          </c:cat>
          <c:val>
            <c:numRef>
              <c:f>'annual avg by state and region'!$X$71:$AF$71</c:f>
              <c:numCache>
                <c:formatCode>General</c:formatCode>
                <c:ptCount val="9"/>
                <c:pt idx="0">
                  <c:v>2.529913379837171E-2</c:v>
                </c:pt>
                <c:pt idx="1">
                  <c:v>2.361710300378082E-2</c:v>
                </c:pt>
                <c:pt idx="2">
                  <c:v>1.8843378892359097E-2</c:v>
                </c:pt>
                <c:pt idx="3">
                  <c:v>1.8269233814960147E-2</c:v>
                </c:pt>
                <c:pt idx="4">
                  <c:v>2.0386484364879574E-2</c:v>
                </c:pt>
                <c:pt idx="5">
                  <c:v>2.0398044909991773E-2</c:v>
                </c:pt>
                <c:pt idx="6">
                  <c:v>3.0097369501664722E-2</c:v>
                </c:pt>
                <c:pt idx="7">
                  <c:v>3.8973483597625612E-2</c:v>
                </c:pt>
                <c:pt idx="8">
                  <c:v>4.3186598897207266E-2</c:v>
                </c:pt>
              </c:numCache>
            </c:numRef>
          </c:val>
          <c:smooth val="0"/>
          <c:extLst>
            <c:ext xmlns:c16="http://schemas.microsoft.com/office/drawing/2014/chart" uri="{C3380CC4-5D6E-409C-BE32-E72D297353CC}">
              <c16:uniqueId val="{00000003-5E8A-4200-8DA6-F71FF9D4C691}"/>
            </c:ext>
          </c:extLst>
        </c:ser>
        <c:dLbls>
          <c:showLegendKey val="0"/>
          <c:showVal val="0"/>
          <c:showCatName val="0"/>
          <c:showSerName val="0"/>
          <c:showPercent val="0"/>
          <c:showBubbleSize val="0"/>
        </c:dLbls>
        <c:smooth val="0"/>
        <c:axId val="1581826240"/>
        <c:axId val="1581826720"/>
      </c:lineChart>
      <c:catAx>
        <c:axId val="158182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1826720"/>
        <c:crosses val="autoZero"/>
        <c:auto val="1"/>
        <c:lblAlgn val="ctr"/>
        <c:lblOffset val="100"/>
        <c:noMultiLvlLbl val="0"/>
      </c:catAx>
      <c:valAx>
        <c:axId val="158182672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solidFill>
                      <a:sysClr val="windowText" lastClr="000000"/>
                    </a:solidFill>
                  </a:rPr>
                  <a:t>Average</a:t>
                </a:r>
                <a:r>
                  <a:rPr lang="en-AU" baseline="0">
                    <a:solidFill>
                      <a:sysClr val="windowText" lastClr="000000"/>
                    </a:solidFill>
                  </a:rPr>
                  <a:t> vacancy rate</a:t>
                </a:r>
                <a:endParaRPr lang="en-AU">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1826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169203849518812"/>
          <c:y val="5.0925925925925923E-2"/>
          <c:w val="0.79108573928258963"/>
          <c:h val="0.63759988334791484"/>
        </c:manualLayout>
      </c:layout>
      <c:lineChart>
        <c:grouping val="standard"/>
        <c:varyColors val="0"/>
        <c:ser>
          <c:idx val="0"/>
          <c:order val="0"/>
          <c:tx>
            <c:strRef>
              <c:f>'annual avg by state and region'!$A$68</c:f>
              <c:strCache>
                <c:ptCount val="1"/>
                <c:pt idx="0">
                  <c:v>Capital City</c:v>
                </c:pt>
              </c:strCache>
            </c:strRef>
          </c:tx>
          <c:spPr>
            <a:ln w="28575" cap="rnd">
              <a:solidFill>
                <a:schemeClr val="accent1"/>
              </a:solidFill>
              <a:round/>
            </a:ln>
            <a:effectLst/>
          </c:spPr>
          <c:marker>
            <c:symbol val="none"/>
          </c:marker>
          <c:cat>
            <c:strRef>
              <c:f>'annual avg by state and region'!$B$67:$J$67</c:f>
              <c:strCache>
                <c:ptCount val="9"/>
                <c:pt idx="0">
                  <c:v>2015</c:v>
                </c:pt>
                <c:pt idx="1">
                  <c:v>2016</c:v>
                </c:pt>
                <c:pt idx="2">
                  <c:v>2017</c:v>
                </c:pt>
                <c:pt idx="3">
                  <c:v>2018</c:v>
                </c:pt>
                <c:pt idx="4">
                  <c:v>2019</c:v>
                </c:pt>
                <c:pt idx="5">
                  <c:v>2020</c:v>
                </c:pt>
                <c:pt idx="6">
                  <c:v>2021</c:v>
                </c:pt>
                <c:pt idx="7">
                  <c:v>2022</c:v>
                </c:pt>
                <c:pt idx="8">
                  <c:v>2023</c:v>
                </c:pt>
              </c:strCache>
            </c:strRef>
          </c:cat>
          <c:val>
            <c:numRef>
              <c:f>'annual avg by state and region'!$B$68:$J$68</c:f>
              <c:numCache>
                <c:formatCode>General</c:formatCode>
                <c:ptCount val="9"/>
                <c:pt idx="0">
                  <c:v>1.5257049457536098E-2</c:v>
                </c:pt>
                <c:pt idx="1">
                  <c:v>1.3669334225815547E-2</c:v>
                </c:pt>
                <c:pt idx="2">
                  <c:v>1.3728243436701083E-2</c:v>
                </c:pt>
                <c:pt idx="3">
                  <c:v>1.4093702963772221E-2</c:v>
                </c:pt>
                <c:pt idx="4">
                  <c:v>1.2621362735529747E-2</c:v>
                </c:pt>
                <c:pt idx="5">
                  <c:v>1.2621362735529747E-2</c:v>
                </c:pt>
                <c:pt idx="6">
                  <c:v>2.4072340549259864E-2</c:v>
                </c:pt>
                <c:pt idx="7">
                  <c:v>3.0453241978919788E-2</c:v>
                </c:pt>
                <c:pt idx="8">
                  <c:v>3.1764908682404266E-2</c:v>
                </c:pt>
              </c:numCache>
            </c:numRef>
          </c:val>
          <c:smooth val="0"/>
          <c:extLst>
            <c:ext xmlns:c16="http://schemas.microsoft.com/office/drawing/2014/chart" uri="{C3380CC4-5D6E-409C-BE32-E72D297353CC}">
              <c16:uniqueId val="{00000000-42E6-4A8E-9B21-5F992782EE64}"/>
            </c:ext>
          </c:extLst>
        </c:ser>
        <c:ser>
          <c:idx val="1"/>
          <c:order val="1"/>
          <c:tx>
            <c:strRef>
              <c:f>'annual avg by state and region'!$A$69</c:f>
              <c:strCache>
                <c:ptCount val="1"/>
                <c:pt idx="0">
                  <c:v>Regional</c:v>
                </c:pt>
              </c:strCache>
            </c:strRef>
          </c:tx>
          <c:spPr>
            <a:ln w="28575" cap="rnd">
              <a:solidFill>
                <a:schemeClr val="accent2"/>
              </a:solidFill>
              <a:round/>
            </a:ln>
            <a:effectLst/>
          </c:spPr>
          <c:marker>
            <c:symbol val="none"/>
          </c:marker>
          <c:cat>
            <c:strRef>
              <c:f>'annual avg by state and region'!$B$67:$J$67</c:f>
              <c:strCache>
                <c:ptCount val="9"/>
                <c:pt idx="0">
                  <c:v>2015</c:v>
                </c:pt>
                <c:pt idx="1">
                  <c:v>2016</c:v>
                </c:pt>
                <c:pt idx="2">
                  <c:v>2017</c:v>
                </c:pt>
                <c:pt idx="3">
                  <c:v>2018</c:v>
                </c:pt>
                <c:pt idx="4">
                  <c:v>2019</c:v>
                </c:pt>
                <c:pt idx="5">
                  <c:v>2020</c:v>
                </c:pt>
                <c:pt idx="6">
                  <c:v>2021</c:v>
                </c:pt>
                <c:pt idx="7">
                  <c:v>2022</c:v>
                </c:pt>
                <c:pt idx="8">
                  <c:v>2023</c:v>
                </c:pt>
              </c:strCache>
            </c:strRef>
          </c:cat>
          <c:val>
            <c:numRef>
              <c:f>'annual avg by state and region'!$B$69:$J$69</c:f>
              <c:numCache>
                <c:formatCode>General</c:formatCode>
                <c:ptCount val="9"/>
                <c:pt idx="0">
                  <c:v>1.4801109783432099E-2</c:v>
                </c:pt>
                <c:pt idx="1">
                  <c:v>1.5452416259520081E-2</c:v>
                </c:pt>
                <c:pt idx="2">
                  <c:v>1.7255674976278224E-2</c:v>
                </c:pt>
                <c:pt idx="3">
                  <c:v>1.7909221771028612E-2</c:v>
                </c:pt>
                <c:pt idx="4">
                  <c:v>1.6566909945216795E-2</c:v>
                </c:pt>
                <c:pt idx="5">
                  <c:v>1.9895432078112014E-2</c:v>
                </c:pt>
                <c:pt idx="6">
                  <c:v>3.2884319060218055E-2</c:v>
                </c:pt>
                <c:pt idx="7">
                  <c:v>3.9785693095628606E-2</c:v>
                </c:pt>
                <c:pt idx="8">
                  <c:v>3.3509170404555456E-2</c:v>
                </c:pt>
              </c:numCache>
            </c:numRef>
          </c:val>
          <c:smooth val="0"/>
          <c:extLst>
            <c:ext xmlns:c16="http://schemas.microsoft.com/office/drawing/2014/chart" uri="{C3380CC4-5D6E-409C-BE32-E72D297353CC}">
              <c16:uniqueId val="{00000001-42E6-4A8E-9B21-5F992782EE64}"/>
            </c:ext>
          </c:extLst>
        </c:ser>
        <c:ser>
          <c:idx val="2"/>
          <c:order val="2"/>
          <c:tx>
            <c:strRef>
              <c:f>'annual avg by state and region'!$A$70</c:f>
              <c:strCache>
                <c:ptCount val="1"/>
                <c:pt idx="0">
                  <c:v>Remote</c:v>
                </c:pt>
              </c:strCache>
            </c:strRef>
          </c:tx>
          <c:spPr>
            <a:ln w="28575" cap="rnd">
              <a:solidFill>
                <a:schemeClr val="accent3"/>
              </a:solidFill>
              <a:round/>
            </a:ln>
            <a:effectLst/>
          </c:spPr>
          <c:marker>
            <c:symbol val="none"/>
          </c:marker>
          <c:cat>
            <c:strRef>
              <c:f>'annual avg by state and region'!$B$67:$J$67</c:f>
              <c:strCache>
                <c:ptCount val="9"/>
                <c:pt idx="0">
                  <c:v>2015</c:v>
                </c:pt>
                <c:pt idx="1">
                  <c:v>2016</c:v>
                </c:pt>
                <c:pt idx="2">
                  <c:v>2017</c:v>
                </c:pt>
                <c:pt idx="3">
                  <c:v>2018</c:v>
                </c:pt>
                <c:pt idx="4">
                  <c:v>2019</c:v>
                </c:pt>
                <c:pt idx="5">
                  <c:v>2020</c:v>
                </c:pt>
                <c:pt idx="6">
                  <c:v>2021</c:v>
                </c:pt>
                <c:pt idx="7">
                  <c:v>2022</c:v>
                </c:pt>
                <c:pt idx="8">
                  <c:v>2023</c:v>
                </c:pt>
              </c:strCache>
            </c:strRef>
          </c:cat>
          <c:val>
            <c:numRef>
              <c:f>'annual avg by state and region'!$B$70:$J$70</c:f>
              <c:numCache>
                <c:formatCode>General</c:formatCode>
                <c:ptCount val="9"/>
                <c:pt idx="0">
                  <c:v>1.2058127058127059E-2</c:v>
                </c:pt>
                <c:pt idx="1">
                  <c:v>1.1102772838580246E-2</c:v>
                </c:pt>
                <c:pt idx="2">
                  <c:v>1.1931919372336348E-2</c:v>
                </c:pt>
                <c:pt idx="3">
                  <c:v>1.3126212634516087E-2</c:v>
                </c:pt>
                <c:pt idx="4">
                  <c:v>1.6713836270336648E-2</c:v>
                </c:pt>
                <c:pt idx="5">
                  <c:v>1.953310383993349E-2</c:v>
                </c:pt>
                <c:pt idx="6">
                  <c:v>2.9172050905489934E-2</c:v>
                </c:pt>
                <c:pt idx="7">
                  <c:v>4.7664004618390862E-2</c:v>
                </c:pt>
                <c:pt idx="8">
                  <c:v>4.7627090216843519E-2</c:v>
                </c:pt>
              </c:numCache>
            </c:numRef>
          </c:val>
          <c:smooth val="0"/>
          <c:extLst>
            <c:ext xmlns:c16="http://schemas.microsoft.com/office/drawing/2014/chart" uri="{C3380CC4-5D6E-409C-BE32-E72D297353CC}">
              <c16:uniqueId val="{00000002-42E6-4A8E-9B21-5F992782EE64}"/>
            </c:ext>
          </c:extLst>
        </c:ser>
        <c:ser>
          <c:idx val="3"/>
          <c:order val="3"/>
          <c:tx>
            <c:strRef>
              <c:f>'annual avg by state and region'!$A$71</c:f>
              <c:strCache>
                <c:ptCount val="1"/>
                <c:pt idx="0">
                  <c:v>Australia</c:v>
                </c:pt>
              </c:strCache>
            </c:strRef>
          </c:tx>
          <c:spPr>
            <a:ln w="28575" cap="rnd">
              <a:solidFill>
                <a:schemeClr val="accent4"/>
              </a:solidFill>
              <a:round/>
            </a:ln>
            <a:effectLst/>
          </c:spPr>
          <c:marker>
            <c:symbol val="none"/>
          </c:marker>
          <c:cat>
            <c:strRef>
              <c:f>'annual avg by state and region'!$B$67:$J$67</c:f>
              <c:strCache>
                <c:ptCount val="9"/>
                <c:pt idx="0">
                  <c:v>2015</c:v>
                </c:pt>
                <c:pt idx="1">
                  <c:v>2016</c:v>
                </c:pt>
                <c:pt idx="2">
                  <c:v>2017</c:v>
                </c:pt>
                <c:pt idx="3">
                  <c:v>2018</c:v>
                </c:pt>
                <c:pt idx="4">
                  <c:v>2019</c:v>
                </c:pt>
                <c:pt idx="5">
                  <c:v>2020</c:v>
                </c:pt>
                <c:pt idx="6">
                  <c:v>2021</c:v>
                </c:pt>
                <c:pt idx="7">
                  <c:v>2022</c:v>
                </c:pt>
                <c:pt idx="8">
                  <c:v>2023</c:v>
                </c:pt>
              </c:strCache>
            </c:strRef>
          </c:cat>
          <c:val>
            <c:numRef>
              <c:f>'annual avg by state and region'!$B$71:$J$71</c:f>
              <c:numCache>
                <c:formatCode>General</c:formatCode>
                <c:ptCount val="9"/>
                <c:pt idx="0">
                  <c:v>1.4696569045141505E-2</c:v>
                </c:pt>
                <c:pt idx="1">
                  <c:v>1.3976645223375246E-2</c:v>
                </c:pt>
                <c:pt idx="2">
                  <c:v>1.474632085737017E-2</c:v>
                </c:pt>
                <c:pt idx="3">
                  <c:v>1.5316869888807828E-2</c:v>
                </c:pt>
                <c:pt idx="4">
                  <c:v>1.4538212750671813E-2</c:v>
                </c:pt>
                <c:pt idx="5">
                  <c:v>1.6047786619262639E-2</c:v>
                </c:pt>
                <c:pt idx="6">
                  <c:v>2.7814024046512578E-2</c:v>
                </c:pt>
                <c:pt idx="7">
                  <c:v>3.5892155315876223E-2</c:v>
                </c:pt>
                <c:pt idx="8">
                  <c:v>3.436213720814893E-2</c:v>
                </c:pt>
              </c:numCache>
            </c:numRef>
          </c:val>
          <c:smooth val="0"/>
          <c:extLst>
            <c:ext xmlns:c16="http://schemas.microsoft.com/office/drawing/2014/chart" uri="{C3380CC4-5D6E-409C-BE32-E72D297353CC}">
              <c16:uniqueId val="{00000003-42E6-4A8E-9B21-5F992782EE64}"/>
            </c:ext>
          </c:extLst>
        </c:ser>
        <c:dLbls>
          <c:showLegendKey val="0"/>
          <c:showVal val="0"/>
          <c:showCatName val="0"/>
          <c:showSerName val="0"/>
          <c:showPercent val="0"/>
          <c:showBubbleSize val="0"/>
        </c:dLbls>
        <c:smooth val="0"/>
        <c:axId val="498038912"/>
        <c:axId val="498039392"/>
      </c:lineChart>
      <c:catAx>
        <c:axId val="498038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8039392"/>
        <c:crosses val="autoZero"/>
        <c:auto val="1"/>
        <c:lblAlgn val="ctr"/>
        <c:lblOffset val="100"/>
        <c:noMultiLvlLbl val="0"/>
      </c:catAx>
      <c:valAx>
        <c:axId val="498039392"/>
        <c:scaling>
          <c:orientation val="minMax"/>
          <c:max val="6.0000000000000012E-2"/>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solidFill>
                      <a:sysClr val="windowText" lastClr="000000"/>
                    </a:solidFill>
                  </a:rPr>
                  <a:t>Average</a:t>
                </a:r>
                <a:r>
                  <a:rPr lang="en-AU" baseline="0">
                    <a:solidFill>
                      <a:sysClr val="windowText" lastClr="000000"/>
                    </a:solidFill>
                  </a:rPr>
                  <a:t> vacancy rate</a:t>
                </a:r>
              </a:p>
              <a:p>
                <a:pPr>
                  <a:defRPr/>
                </a:pP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8038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'[OIAS contribution_ECEC ANZSCO4 by SA4 NERO IVI_March2024_FINAL.xlsx]Sheet 1'!$AL$15</c:f>
              <c:strCache>
                <c:ptCount val="1"/>
                <c:pt idx="0">
                  <c:v>ACT</c:v>
                </c:pt>
              </c:strCache>
            </c:strRef>
          </c:tx>
          <c:spPr>
            <a:ln w="28575" cap="rnd">
              <a:solidFill>
                <a:schemeClr val="accent1"/>
              </a:solidFill>
              <a:round/>
            </a:ln>
            <a:effectLst/>
          </c:spPr>
          <c:marker>
            <c:symbol val="none"/>
          </c:marker>
          <c:cat>
            <c:strRef>
              <c:f>'[OIAS contribution_ECEC ANZSCO4 by SA4 NERO IVI_March2024_FINAL.xlsx]Sheet 1'!$AM$14:$AU$14</c:f>
              <c:strCache>
                <c:ptCount val="9"/>
                <c:pt idx="0">
                  <c:v>2015</c:v>
                </c:pt>
                <c:pt idx="1">
                  <c:v>2016</c:v>
                </c:pt>
                <c:pt idx="2">
                  <c:v>2017</c:v>
                </c:pt>
                <c:pt idx="3">
                  <c:v>2018</c:v>
                </c:pt>
                <c:pt idx="4">
                  <c:v>2019</c:v>
                </c:pt>
                <c:pt idx="5">
                  <c:v>2020</c:v>
                </c:pt>
                <c:pt idx="6">
                  <c:v>2021</c:v>
                </c:pt>
                <c:pt idx="7">
                  <c:v>2022</c:v>
                </c:pt>
                <c:pt idx="8">
                  <c:v>2023</c:v>
                </c:pt>
              </c:strCache>
            </c:strRef>
          </c:cat>
          <c:val>
            <c:numRef>
              <c:f>'[OIAS contribution_ECEC ANZSCO4 by SA4 NERO IVI_March2024_FINAL.xlsx]Sheet 1'!$AM$15:$AU$15</c:f>
              <c:numCache>
                <c:formatCode>General</c:formatCode>
                <c:ptCount val="9"/>
                <c:pt idx="0">
                  <c:v>2.1616080773986329E-2</c:v>
                </c:pt>
                <c:pt idx="1">
                  <c:v>2.9058863859358932E-2</c:v>
                </c:pt>
                <c:pt idx="2">
                  <c:v>2.9056379009947658E-2</c:v>
                </c:pt>
                <c:pt idx="3">
                  <c:v>2.390358507914039E-2</c:v>
                </c:pt>
                <c:pt idx="4">
                  <c:v>2.8583063495377165E-2</c:v>
                </c:pt>
                <c:pt idx="5">
                  <c:v>2.4702793958010782E-2</c:v>
                </c:pt>
                <c:pt idx="6">
                  <c:v>3.2668519272034791E-2</c:v>
                </c:pt>
                <c:pt idx="7">
                  <c:v>3.4871459670814502E-2</c:v>
                </c:pt>
                <c:pt idx="8">
                  <c:v>3.7804790320264091E-2</c:v>
                </c:pt>
              </c:numCache>
            </c:numRef>
          </c:val>
          <c:smooth val="0"/>
          <c:extLst>
            <c:ext xmlns:c16="http://schemas.microsoft.com/office/drawing/2014/chart" uri="{C3380CC4-5D6E-409C-BE32-E72D297353CC}">
              <c16:uniqueId val="{00000000-6C26-4337-A864-384D480F3E48}"/>
            </c:ext>
          </c:extLst>
        </c:ser>
        <c:ser>
          <c:idx val="1"/>
          <c:order val="1"/>
          <c:tx>
            <c:strRef>
              <c:f>'[OIAS contribution_ECEC ANZSCO4 by SA4 NERO IVI_March2024_FINAL.xlsx]Sheet 1'!$AL$16</c:f>
              <c:strCache>
                <c:ptCount val="1"/>
                <c:pt idx="0">
                  <c:v>NSW</c:v>
                </c:pt>
              </c:strCache>
            </c:strRef>
          </c:tx>
          <c:spPr>
            <a:ln w="28575" cap="rnd">
              <a:solidFill>
                <a:schemeClr val="accent2"/>
              </a:solidFill>
              <a:round/>
            </a:ln>
            <a:effectLst/>
          </c:spPr>
          <c:marker>
            <c:symbol val="none"/>
          </c:marker>
          <c:cat>
            <c:strRef>
              <c:f>'[OIAS contribution_ECEC ANZSCO4 by SA4 NERO IVI_March2024_FINAL.xlsx]Sheet 1'!$AM$14:$AU$14</c:f>
              <c:strCache>
                <c:ptCount val="9"/>
                <c:pt idx="0">
                  <c:v>2015</c:v>
                </c:pt>
                <c:pt idx="1">
                  <c:v>2016</c:v>
                </c:pt>
                <c:pt idx="2">
                  <c:v>2017</c:v>
                </c:pt>
                <c:pt idx="3">
                  <c:v>2018</c:v>
                </c:pt>
                <c:pt idx="4">
                  <c:v>2019</c:v>
                </c:pt>
                <c:pt idx="5">
                  <c:v>2020</c:v>
                </c:pt>
                <c:pt idx="6">
                  <c:v>2021</c:v>
                </c:pt>
                <c:pt idx="7">
                  <c:v>2022</c:v>
                </c:pt>
                <c:pt idx="8">
                  <c:v>2023</c:v>
                </c:pt>
              </c:strCache>
            </c:strRef>
          </c:cat>
          <c:val>
            <c:numRef>
              <c:f>'[OIAS contribution_ECEC ANZSCO4 by SA4 NERO IVI_March2024_FINAL.xlsx]Sheet 1'!$AM$16:$AU$16</c:f>
              <c:numCache>
                <c:formatCode>General</c:formatCode>
                <c:ptCount val="9"/>
                <c:pt idx="0">
                  <c:v>1.3894328000390263E-2</c:v>
                </c:pt>
                <c:pt idx="1">
                  <c:v>1.8066297788458974E-2</c:v>
                </c:pt>
                <c:pt idx="2">
                  <c:v>1.8674366338782653E-2</c:v>
                </c:pt>
                <c:pt idx="3">
                  <c:v>1.8088941875356278E-2</c:v>
                </c:pt>
                <c:pt idx="4">
                  <c:v>1.664031029300516E-2</c:v>
                </c:pt>
                <c:pt idx="5">
                  <c:v>1.2656030150490882E-2</c:v>
                </c:pt>
                <c:pt idx="6">
                  <c:v>1.9061122132823748E-2</c:v>
                </c:pt>
                <c:pt idx="7">
                  <c:v>2.9533943303418551E-2</c:v>
                </c:pt>
                <c:pt idx="8">
                  <c:v>2.8494425526111117E-2</c:v>
                </c:pt>
              </c:numCache>
            </c:numRef>
          </c:val>
          <c:smooth val="0"/>
          <c:extLst>
            <c:ext xmlns:c16="http://schemas.microsoft.com/office/drawing/2014/chart" uri="{C3380CC4-5D6E-409C-BE32-E72D297353CC}">
              <c16:uniqueId val="{00000001-6C26-4337-A864-384D480F3E48}"/>
            </c:ext>
          </c:extLst>
        </c:ser>
        <c:ser>
          <c:idx val="2"/>
          <c:order val="2"/>
          <c:tx>
            <c:strRef>
              <c:f>'[OIAS contribution_ECEC ANZSCO4 by SA4 NERO IVI_March2024_FINAL.xlsx]Sheet 1'!$AL$17</c:f>
              <c:strCache>
                <c:ptCount val="1"/>
                <c:pt idx="0">
                  <c:v>NT</c:v>
                </c:pt>
              </c:strCache>
            </c:strRef>
          </c:tx>
          <c:spPr>
            <a:ln w="28575" cap="rnd">
              <a:solidFill>
                <a:schemeClr val="accent3"/>
              </a:solidFill>
              <a:round/>
            </a:ln>
            <a:effectLst/>
          </c:spPr>
          <c:marker>
            <c:symbol val="none"/>
          </c:marker>
          <c:cat>
            <c:strRef>
              <c:f>'[OIAS contribution_ECEC ANZSCO4 by SA4 NERO IVI_March2024_FINAL.xlsx]Sheet 1'!$AM$14:$AU$14</c:f>
              <c:strCache>
                <c:ptCount val="9"/>
                <c:pt idx="0">
                  <c:v>2015</c:v>
                </c:pt>
                <c:pt idx="1">
                  <c:v>2016</c:v>
                </c:pt>
                <c:pt idx="2">
                  <c:v>2017</c:v>
                </c:pt>
                <c:pt idx="3">
                  <c:v>2018</c:v>
                </c:pt>
                <c:pt idx="4">
                  <c:v>2019</c:v>
                </c:pt>
                <c:pt idx="5">
                  <c:v>2020</c:v>
                </c:pt>
                <c:pt idx="6">
                  <c:v>2021</c:v>
                </c:pt>
                <c:pt idx="7">
                  <c:v>2022</c:v>
                </c:pt>
                <c:pt idx="8">
                  <c:v>2023</c:v>
                </c:pt>
              </c:strCache>
            </c:strRef>
          </c:cat>
          <c:val>
            <c:numRef>
              <c:f>'[OIAS contribution_ECEC ANZSCO4 by SA4 NERO IVI_March2024_FINAL.xlsx]Sheet 1'!$AM$17:$AU$17</c:f>
              <c:numCache>
                <c:formatCode>General</c:formatCode>
                <c:ptCount val="9"/>
                <c:pt idx="0">
                  <c:v>1.3285532700123724E-2</c:v>
                </c:pt>
                <c:pt idx="1">
                  <c:v>2.0437063727319672E-2</c:v>
                </c:pt>
                <c:pt idx="2">
                  <c:v>1.8298762551166504E-2</c:v>
                </c:pt>
                <c:pt idx="3">
                  <c:v>1.4423829546378405E-2</c:v>
                </c:pt>
                <c:pt idx="4">
                  <c:v>1.1128938203582878E-2</c:v>
                </c:pt>
                <c:pt idx="5">
                  <c:v>5.8510700533885643E-3</c:v>
                </c:pt>
                <c:pt idx="6">
                  <c:v>1.2761183189836938E-2</c:v>
                </c:pt>
                <c:pt idx="7">
                  <c:v>1.8823359117276551E-2</c:v>
                </c:pt>
                <c:pt idx="8">
                  <c:v>1.9461084125395444E-2</c:v>
                </c:pt>
              </c:numCache>
            </c:numRef>
          </c:val>
          <c:smooth val="0"/>
          <c:extLst>
            <c:ext xmlns:c16="http://schemas.microsoft.com/office/drawing/2014/chart" uri="{C3380CC4-5D6E-409C-BE32-E72D297353CC}">
              <c16:uniqueId val="{00000002-6C26-4337-A864-384D480F3E48}"/>
            </c:ext>
          </c:extLst>
        </c:ser>
        <c:ser>
          <c:idx val="3"/>
          <c:order val="3"/>
          <c:tx>
            <c:strRef>
              <c:f>'[OIAS contribution_ECEC ANZSCO4 by SA4 NERO IVI_March2024_FINAL.xlsx]Sheet 1'!$AL$18</c:f>
              <c:strCache>
                <c:ptCount val="1"/>
                <c:pt idx="0">
                  <c:v>QLD</c:v>
                </c:pt>
              </c:strCache>
            </c:strRef>
          </c:tx>
          <c:spPr>
            <a:ln w="28575" cap="rnd">
              <a:solidFill>
                <a:schemeClr val="accent4"/>
              </a:solidFill>
              <a:round/>
            </a:ln>
            <a:effectLst/>
          </c:spPr>
          <c:marker>
            <c:symbol val="none"/>
          </c:marker>
          <c:cat>
            <c:strRef>
              <c:f>'[OIAS contribution_ECEC ANZSCO4 by SA4 NERO IVI_March2024_FINAL.xlsx]Sheet 1'!$AM$14:$AU$14</c:f>
              <c:strCache>
                <c:ptCount val="9"/>
                <c:pt idx="0">
                  <c:v>2015</c:v>
                </c:pt>
                <c:pt idx="1">
                  <c:v>2016</c:v>
                </c:pt>
                <c:pt idx="2">
                  <c:v>2017</c:v>
                </c:pt>
                <c:pt idx="3">
                  <c:v>2018</c:v>
                </c:pt>
                <c:pt idx="4">
                  <c:v>2019</c:v>
                </c:pt>
                <c:pt idx="5">
                  <c:v>2020</c:v>
                </c:pt>
                <c:pt idx="6">
                  <c:v>2021</c:v>
                </c:pt>
                <c:pt idx="7">
                  <c:v>2022</c:v>
                </c:pt>
                <c:pt idx="8">
                  <c:v>2023</c:v>
                </c:pt>
              </c:strCache>
            </c:strRef>
          </c:cat>
          <c:val>
            <c:numRef>
              <c:f>'[OIAS contribution_ECEC ANZSCO4 by SA4 NERO IVI_March2024_FINAL.xlsx]Sheet 1'!$AM$18:$AU$18</c:f>
              <c:numCache>
                <c:formatCode>General</c:formatCode>
                <c:ptCount val="9"/>
                <c:pt idx="0">
                  <c:v>1.723557563536772E-2</c:v>
                </c:pt>
                <c:pt idx="1">
                  <c:v>1.5643868686736031E-2</c:v>
                </c:pt>
                <c:pt idx="2">
                  <c:v>1.5191783621812033E-2</c:v>
                </c:pt>
                <c:pt idx="3">
                  <c:v>1.7456482411211123E-2</c:v>
                </c:pt>
                <c:pt idx="4">
                  <c:v>1.5671846807413486E-2</c:v>
                </c:pt>
                <c:pt idx="5">
                  <c:v>1.4044230065523409E-2</c:v>
                </c:pt>
                <c:pt idx="6">
                  <c:v>2.4579431333694623E-2</c:v>
                </c:pt>
                <c:pt idx="7">
                  <c:v>3.2207033501977754E-2</c:v>
                </c:pt>
                <c:pt idx="8">
                  <c:v>2.846220485974537E-2</c:v>
                </c:pt>
              </c:numCache>
            </c:numRef>
          </c:val>
          <c:smooth val="0"/>
          <c:extLst>
            <c:ext xmlns:c16="http://schemas.microsoft.com/office/drawing/2014/chart" uri="{C3380CC4-5D6E-409C-BE32-E72D297353CC}">
              <c16:uniqueId val="{00000003-6C26-4337-A864-384D480F3E48}"/>
            </c:ext>
          </c:extLst>
        </c:ser>
        <c:ser>
          <c:idx val="4"/>
          <c:order val="4"/>
          <c:tx>
            <c:strRef>
              <c:f>'[OIAS contribution_ECEC ANZSCO4 by SA4 NERO IVI_March2024_FINAL.xlsx]Sheet 1'!$AL$19</c:f>
              <c:strCache>
                <c:ptCount val="1"/>
                <c:pt idx="0">
                  <c:v>SA</c:v>
                </c:pt>
              </c:strCache>
            </c:strRef>
          </c:tx>
          <c:spPr>
            <a:ln w="28575" cap="rnd">
              <a:solidFill>
                <a:schemeClr val="accent5"/>
              </a:solidFill>
              <a:round/>
            </a:ln>
            <a:effectLst/>
          </c:spPr>
          <c:marker>
            <c:symbol val="none"/>
          </c:marker>
          <c:cat>
            <c:strRef>
              <c:f>'[OIAS contribution_ECEC ANZSCO4 by SA4 NERO IVI_March2024_FINAL.xlsx]Sheet 1'!$AM$14:$AU$14</c:f>
              <c:strCache>
                <c:ptCount val="9"/>
                <c:pt idx="0">
                  <c:v>2015</c:v>
                </c:pt>
                <c:pt idx="1">
                  <c:v>2016</c:v>
                </c:pt>
                <c:pt idx="2">
                  <c:v>2017</c:v>
                </c:pt>
                <c:pt idx="3">
                  <c:v>2018</c:v>
                </c:pt>
                <c:pt idx="4">
                  <c:v>2019</c:v>
                </c:pt>
                <c:pt idx="5">
                  <c:v>2020</c:v>
                </c:pt>
                <c:pt idx="6">
                  <c:v>2021</c:v>
                </c:pt>
                <c:pt idx="7">
                  <c:v>2022</c:v>
                </c:pt>
                <c:pt idx="8">
                  <c:v>2023</c:v>
                </c:pt>
              </c:strCache>
            </c:strRef>
          </c:cat>
          <c:val>
            <c:numRef>
              <c:f>'[OIAS contribution_ECEC ANZSCO4 by SA4 NERO IVI_March2024_FINAL.xlsx]Sheet 1'!$AM$19:$AU$19</c:f>
              <c:numCache>
                <c:formatCode>General</c:formatCode>
                <c:ptCount val="9"/>
                <c:pt idx="0">
                  <c:v>6.7170454037698861E-3</c:v>
                </c:pt>
                <c:pt idx="1">
                  <c:v>7.3467150617102005E-3</c:v>
                </c:pt>
                <c:pt idx="2">
                  <c:v>7.3103881103584178E-3</c:v>
                </c:pt>
                <c:pt idx="3">
                  <c:v>6.3356703153974814E-3</c:v>
                </c:pt>
                <c:pt idx="4">
                  <c:v>5.6884942994562607E-3</c:v>
                </c:pt>
                <c:pt idx="5">
                  <c:v>4.9356977907111955E-3</c:v>
                </c:pt>
                <c:pt idx="6">
                  <c:v>1.1399868330279851E-2</c:v>
                </c:pt>
                <c:pt idx="7">
                  <c:v>1.6459245852090524E-2</c:v>
                </c:pt>
                <c:pt idx="8">
                  <c:v>1.9130634200757824E-2</c:v>
                </c:pt>
              </c:numCache>
            </c:numRef>
          </c:val>
          <c:smooth val="0"/>
          <c:extLst>
            <c:ext xmlns:c16="http://schemas.microsoft.com/office/drawing/2014/chart" uri="{C3380CC4-5D6E-409C-BE32-E72D297353CC}">
              <c16:uniqueId val="{00000004-6C26-4337-A864-384D480F3E48}"/>
            </c:ext>
          </c:extLst>
        </c:ser>
        <c:ser>
          <c:idx val="5"/>
          <c:order val="5"/>
          <c:tx>
            <c:strRef>
              <c:f>'[OIAS contribution_ECEC ANZSCO4 by SA4 NERO IVI_March2024_FINAL.xlsx]Sheet 1'!$AL$20</c:f>
              <c:strCache>
                <c:ptCount val="1"/>
                <c:pt idx="0">
                  <c:v>TAS</c:v>
                </c:pt>
              </c:strCache>
            </c:strRef>
          </c:tx>
          <c:spPr>
            <a:ln w="28575" cap="rnd">
              <a:solidFill>
                <a:schemeClr val="accent6"/>
              </a:solidFill>
              <a:round/>
            </a:ln>
            <a:effectLst/>
          </c:spPr>
          <c:marker>
            <c:symbol val="none"/>
          </c:marker>
          <c:cat>
            <c:strRef>
              <c:f>'[OIAS contribution_ECEC ANZSCO4 by SA4 NERO IVI_March2024_FINAL.xlsx]Sheet 1'!$AM$14:$AU$14</c:f>
              <c:strCache>
                <c:ptCount val="9"/>
                <c:pt idx="0">
                  <c:v>2015</c:v>
                </c:pt>
                <c:pt idx="1">
                  <c:v>2016</c:v>
                </c:pt>
                <c:pt idx="2">
                  <c:v>2017</c:v>
                </c:pt>
                <c:pt idx="3">
                  <c:v>2018</c:v>
                </c:pt>
                <c:pt idx="4">
                  <c:v>2019</c:v>
                </c:pt>
                <c:pt idx="5">
                  <c:v>2020</c:v>
                </c:pt>
                <c:pt idx="6">
                  <c:v>2021</c:v>
                </c:pt>
                <c:pt idx="7">
                  <c:v>2022</c:v>
                </c:pt>
                <c:pt idx="8">
                  <c:v>2023</c:v>
                </c:pt>
              </c:strCache>
            </c:strRef>
          </c:cat>
          <c:val>
            <c:numRef>
              <c:f>'[OIAS contribution_ECEC ANZSCO4 by SA4 NERO IVI_March2024_FINAL.xlsx]Sheet 1'!$AM$20:$AU$20</c:f>
              <c:numCache>
                <c:formatCode>General</c:formatCode>
                <c:ptCount val="9"/>
                <c:pt idx="0">
                  <c:v>6.0705805600089037E-3</c:v>
                </c:pt>
                <c:pt idx="1">
                  <c:v>5.6516743898917176E-3</c:v>
                </c:pt>
                <c:pt idx="2">
                  <c:v>6.155365065044268E-3</c:v>
                </c:pt>
                <c:pt idx="3">
                  <c:v>3.8911590380229615E-3</c:v>
                </c:pt>
                <c:pt idx="4">
                  <c:v>4.1526327553778634E-3</c:v>
                </c:pt>
                <c:pt idx="5">
                  <c:v>4.9192134195812885E-3</c:v>
                </c:pt>
                <c:pt idx="6">
                  <c:v>1.1288097451798781E-2</c:v>
                </c:pt>
                <c:pt idx="7">
                  <c:v>1.1121245745596536E-2</c:v>
                </c:pt>
                <c:pt idx="8">
                  <c:v>1.1953256720984143E-2</c:v>
                </c:pt>
              </c:numCache>
            </c:numRef>
          </c:val>
          <c:smooth val="0"/>
          <c:extLst>
            <c:ext xmlns:c16="http://schemas.microsoft.com/office/drawing/2014/chart" uri="{C3380CC4-5D6E-409C-BE32-E72D297353CC}">
              <c16:uniqueId val="{00000005-6C26-4337-A864-384D480F3E48}"/>
            </c:ext>
          </c:extLst>
        </c:ser>
        <c:ser>
          <c:idx val="6"/>
          <c:order val="6"/>
          <c:tx>
            <c:strRef>
              <c:f>'[OIAS contribution_ECEC ANZSCO4 by SA4 NERO IVI_March2024_FINAL.xlsx]Sheet 1'!$AL$21</c:f>
              <c:strCache>
                <c:ptCount val="1"/>
                <c:pt idx="0">
                  <c:v>VIC</c:v>
                </c:pt>
              </c:strCache>
            </c:strRef>
          </c:tx>
          <c:spPr>
            <a:ln w="28575" cap="rnd">
              <a:solidFill>
                <a:schemeClr val="accent1">
                  <a:lumMod val="60000"/>
                </a:schemeClr>
              </a:solidFill>
              <a:round/>
            </a:ln>
            <a:effectLst/>
          </c:spPr>
          <c:marker>
            <c:symbol val="none"/>
          </c:marker>
          <c:cat>
            <c:strRef>
              <c:f>'[OIAS contribution_ECEC ANZSCO4 by SA4 NERO IVI_March2024_FINAL.xlsx]Sheet 1'!$AM$14:$AU$14</c:f>
              <c:strCache>
                <c:ptCount val="9"/>
                <c:pt idx="0">
                  <c:v>2015</c:v>
                </c:pt>
                <c:pt idx="1">
                  <c:v>2016</c:v>
                </c:pt>
                <c:pt idx="2">
                  <c:v>2017</c:v>
                </c:pt>
                <c:pt idx="3">
                  <c:v>2018</c:v>
                </c:pt>
                <c:pt idx="4">
                  <c:v>2019</c:v>
                </c:pt>
                <c:pt idx="5">
                  <c:v>2020</c:v>
                </c:pt>
                <c:pt idx="6">
                  <c:v>2021</c:v>
                </c:pt>
                <c:pt idx="7">
                  <c:v>2022</c:v>
                </c:pt>
                <c:pt idx="8">
                  <c:v>2023</c:v>
                </c:pt>
              </c:strCache>
            </c:strRef>
          </c:cat>
          <c:val>
            <c:numRef>
              <c:f>'[OIAS contribution_ECEC ANZSCO4 by SA4 NERO IVI_March2024_FINAL.xlsx]Sheet 1'!$AM$21:$AU$21</c:f>
              <c:numCache>
                <c:formatCode>General</c:formatCode>
                <c:ptCount val="9"/>
                <c:pt idx="0">
                  <c:v>7.1087911255761091E-3</c:v>
                </c:pt>
                <c:pt idx="1">
                  <c:v>1.0141500870898736E-2</c:v>
                </c:pt>
                <c:pt idx="2">
                  <c:v>1.1702067675486009E-2</c:v>
                </c:pt>
                <c:pt idx="3">
                  <c:v>1.3743490165946746E-2</c:v>
                </c:pt>
                <c:pt idx="4">
                  <c:v>1.4522726844243446E-2</c:v>
                </c:pt>
                <c:pt idx="5">
                  <c:v>1.0121350545087669E-2</c:v>
                </c:pt>
                <c:pt idx="6">
                  <c:v>1.998073946264374E-2</c:v>
                </c:pt>
                <c:pt idx="7">
                  <c:v>3.1511728990733123E-2</c:v>
                </c:pt>
                <c:pt idx="8">
                  <c:v>3.3372351150337591E-2</c:v>
                </c:pt>
              </c:numCache>
            </c:numRef>
          </c:val>
          <c:smooth val="0"/>
          <c:extLst>
            <c:ext xmlns:c16="http://schemas.microsoft.com/office/drawing/2014/chart" uri="{C3380CC4-5D6E-409C-BE32-E72D297353CC}">
              <c16:uniqueId val="{00000006-6C26-4337-A864-384D480F3E48}"/>
            </c:ext>
          </c:extLst>
        </c:ser>
        <c:ser>
          <c:idx val="7"/>
          <c:order val="7"/>
          <c:tx>
            <c:strRef>
              <c:f>'[OIAS contribution_ECEC ANZSCO4 by SA4 NERO IVI_March2024_FINAL.xlsx]Sheet 1'!$AL$22</c:f>
              <c:strCache>
                <c:ptCount val="1"/>
                <c:pt idx="0">
                  <c:v>WA</c:v>
                </c:pt>
              </c:strCache>
            </c:strRef>
          </c:tx>
          <c:spPr>
            <a:ln w="28575" cap="rnd">
              <a:solidFill>
                <a:schemeClr val="accent2">
                  <a:lumMod val="60000"/>
                </a:schemeClr>
              </a:solidFill>
              <a:round/>
            </a:ln>
            <a:effectLst/>
          </c:spPr>
          <c:marker>
            <c:symbol val="none"/>
          </c:marker>
          <c:cat>
            <c:strRef>
              <c:f>'[OIAS contribution_ECEC ANZSCO4 by SA4 NERO IVI_March2024_FINAL.xlsx]Sheet 1'!$AM$14:$AU$14</c:f>
              <c:strCache>
                <c:ptCount val="9"/>
                <c:pt idx="0">
                  <c:v>2015</c:v>
                </c:pt>
                <c:pt idx="1">
                  <c:v>2016</c:v>
                </c:pt>
                <c:pt idx="2">
                  <c:v>2017</c:v>
                </c:pt>
                <c:pt idx="3">
                  <c:v>2018</c:v>
                </c:pt>
                <c:pt idx="4">
                  <c:v>2019</c:v>
                </c:pt>
                <c:pt idx="5">
                  <c:v>2020</c:v>
                </c:pt>
                <c:pt idx="6">
                  <c:v>2021</c:v>
                </c:pt>
                <c:pt idx="7">
                  <c:v>2022</c:v>
                </c:pt>
                <c:pt idx="8">
                  <c:v>2023</c:v>
                </c:pt>
              </c:strCache>
            </c:strRef>
          </c:cat>
          <c:val>
            <c:numRef>
              <c:f>'[OIAS contribution_ECEC ANZSCO4 by SA4 NERO IVI_March2024_FINAL.xlsx]Sheet 1'!$AM$22:$AU$22</c:f>
              <c:numCache>
                <c:formatCode>General</c:formatCode>
                <c:ptCount val="9"/>
                <c:pt idx="0">
                  <c:v>2.8405631991628259E-2</c:v>
                </c:pt>
                <c:pt idx="1">
                  <c:v>2.1524311123886076E-2</c:v>
                </c:pt>
                <c:pt idx="2">
                  <c:v>1.8071194467935411E-2</c:v>
                </c:pt>
                <c:pt idx="3">
                  <c:v>1.8988779337664689E-2</c:v>
                </c:pt>
                <c:pt idx="4">
                  <c:v>1.9987757509049818E-2</c:v>
                </c:pt>
                <c:pt idx="5">
                  <c:v>1.8756888840744522E-2</c:v>
                </c:pt>
                <c:pt idx="6">
                  <c:v>3.5416618812076563E-2</c:v>
                </c:pt>
                <c:pt idx="7">
                  <c:v>3.9488266340529821E-2</c:v>
                </c:pt>
                <c:pt idx="8">
                  <c:v>3.1451971681429484E-2</c:v>
                </c:pt>
              </c:numCache>
            </c:numRef>
          </c:val>
          <c:smooth val="0"/>
          <c:extLst>
            <c:ext xmlns:c16="http://schemas.microsoft.com/office/drawing/2014/chart" uri="{C3380CC4-5D6E-409C-BE32-E72D297353CC}">
              <c16:uniqueId val="{00000007-6C26-4337-A864-384D480F3E48}"/>
            </c:ext>
          </c:extLst>
        </c:ser>
        <c:dLbls>
          <c:showLegendKey val="0"/>
          <c:showVal val="0"/>
          <c:showCatName val="0"/>
          <c:showSerName val="0"/>
          <c:showPercent val="0"/>
          <c:showBubbleSize val="0"/>
        </c:dLbls>
        <c:smooth val="0"/>
        <c:axId val="1871392304"/>
        <c:axId val="1871391344"/>
      </c:lineChart>
      <c:catAx>
        <c:axId val="1871392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1391344"/>
        <c:crosses val="autoZero"/>
        <c:auto val="1"/>
        <c:lblAlgn val="ctr"/>
        <c:lblOffset val="100"/>
        <c:noMultiLvlLbl val="0"/>
      </c:catAx>
      <c:valAx>
        <c:axId val="18713913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1392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'[OIAS contribution_ECEC ANZSCO4 by SA4 NERO IVI_March2024_FINAL.xlsx]Sheet 1'!$AL$4</c:f>
              <c:strCache>
                <c:ptCount val="1"/>
                <c:pt idx="0">
                  <c:v>ACT</c:v>
                </c:pt>
              </c:strCache>
            </c:strRef>
          </c:tx>
          <c:spPr>
            <a:ln w="28575" cap="rnd">
              <a:solidFill>
                <a:schemeClr val="accent1"/>
              </a:solidFill>
              <a:round/>
            </a:ln>
            <a:effectLst/>
          </c:spPr>
          <c:marker>
            <c:symbol val="none"/>
          </c:marker>
          <c:cat>
            <c:strRef>
              <c:f>'[OIAS contribution_ECEC ANZSCO4 by SA4 NERO IVI_March2024_FINAL.xlsx]Sheet 1'!$AM$3:$AU$3</c:f>
              <c:strCache>
                <c:ptCount val="9"/>
                <c:pt idx="0">
                  <c:v>2015</c:v>
                </c:pt>
                <c:pt idx="1">
                  <c:v>2016</c:v>
                </c:pt>
                <c:pt idx="2">
                  <c:v>2017</c:v>
                </c:pt>
                <c:pt idx="3">
                  <c:v>2018</c:v>
                </c:pt>
                <c:pt idx="4">
                  <c:v>2019</c:v>
                </c:pt>
                <c:pt idx="5">
                  <c:v>2020</c:v>
                </c:pt>
                <c:pt idx="6">
                  <c:v>2021</c:v>
                </c:pt>
                <c:pt idx="7">
                  <c:v>2022</c:v>
                </c:pt>
                <c:pt idx="8">
                  <c:v>2023</c:v>
                </c:pt>
              </c:strCache>
            </c:strRef>
          </c:cat>
          <c:val>
            <c:numRef>
              <c:f>'[OIAS contribution_ECEC ANZSCO4 by SA4 NERO IVI_March2024_FINAL.xlsx]Sheet 1'!$AM$4:$AU$4</c:f>
              <c:numCache>
                <c:formatCode>General</c:formatCode>
                <c:ptCount val="9"/>
                <c:pt idx="0">
                  <c:v>2.5861009266090352E-2</c:v>
                </c:pt>
                <c:pt idx="1">
                  <c:v>2.5240038688442479E-2</c:v>
                </c:pt>
                <c:pt idx="2">
                  <c:v>2.4652755369402913E-2</c:v>
                </c:pt>
                <c:pt idx="3">
                  <c:v>2.5025282220660364E-2</c:v>
                </c:pt>
                <c:pt idx="4">
                  <c:v>2.7863938253346848E-2</c:v>
                </c:pt>
                <c:pt idx="5">
                  <c:v>3.5864134612009789E-2</c:v>
                </c:pt>
                <c:pt idx="6">
                  <c:v>4.0264016341389916E-2</c:v>
                </c:pt>
                <c:pt idx="7">
                  <c:v>4.6280041340893301E-2</c:v>
                </c:pt>
                <c:pt idx="8">
                  <c:v>6.7632880851281635E-2</c:v>
                </c:pt>
              </c:numCache>
            </c:numRef>
          </c:val>
          <c:smooth val="0"/>
          <c:extLst>
            <c:ext xmlns:c16="http://schemas.microsoft.com/office/drawing/2014/chart" uri="{C3380CC4-5D6E-409C-BE32-E72D297353CC}">
              <c16:uniqueId val="{00000000-CB76-4713-9404-167C756DF282}"/>
            </c:ext>
          </c:extLst>
        </c:ser>
        <c:ser>
          <c:idx val="1"/>
          <c:order val="1"/>
          <c:tx>
            <c:strRef>
              <c:f>'[OIAS contribution_ECEC ANZSCO4 by SA4 NERO IVI_March2024_FINAL.xlsx]Sheet 1'!$AL$5</c:f>
              <c:strCache>
                <c:ptCount val="1"/>
                <c:pt idx="0">
                  <c:v>NSW</c:v>
                </c:pt>
              </c:strCache>
            </c:strRef>
          </c:tx>
          <c:spPr>
            <a:ln w="28575" cap="rnd">
              <a:solidFill>
                <a:schemeClr val="accent2"/>
              </a:solidFill>
              <a:round/>
            </a:ln>
            <a:effectLst/>
          </c:spPr>
          <c:marker>
            <c:symbol val="none"/>
          </c:marker>
          <c:cat>
            <c:strRef>
              <c:f>'[OIAS contribution_ECEC ANZSCO4 by SA4 NERO IVI_March2024_FINAL.xlsx]Sheet 1'!$AM$3:$AU$3</c:f>
              <c:strCache>
                <c:ptCount val="9"/>
                <c:pt idx="0">
                  <c:v>2015</c:v>
                </c:pt>
                <c:pt idx="1">
                  <c:v>2016</c:v>
                </c:pt>
                <c:pt idx="2">
                  <c:v>2017</c:v>
                </c:pt>
                <c:pt idx="3">
                  <c:v>2018</c:v>
                </c:pt>
                <c:pt idx="4">
                  <c:v>2019</c:v>
                </c:pt>
                <c:pt idx="5">
                  <c:v>2020</c:v>
                </c:pt>
                <c:pt idx="6">
                  <c:v>2021</c:v>
                </c:pt>
                <c:pt idx="7">
                  <c:v>2022</c:v>
                </c:pt>
                <c:pt idx="8">
                  <c:v>2023</c:v>
                </c:pt>
              </c:strCache>
            </c:strRef>
          </c:cat>
          <c:val>
            <c:numRef>
              <c:f>'[OIAS contribution_ECEC ANZSCO4 by SA4 NERO IVI_March2024_FINAL.xlsx]Sheet 1'!$AM$5:$AU$5</c:f>
              <c:numCache>
                <c:formatCode>General</c:formatCode>
                <c:ptCount val="9"/>
                <c:pt idx="0">
                  <c:v>2.8080582144774293E-2</c:v>
                </c:pt>
                <c:pt idx="1">
                  <c:v>2.8528131947639139E-2</c:v>
                </c:pt>
                <c:pt idx="2">
                  <c:v>2.1617468489965607E-2</c:v>
                </c:pt>
                <c:pt idx="3">
                  <c:v>2.2049134893699789E-2</c:v>
                </c:pt>
                <c:pt idx="4">
                  <c:v>2.2857292522859167E-2</c:v>
                </c:pt>
                <c:pt idx="5">
                  <c:v>2.2965874019559528E-2</c:v>
                </c:pt>
                <c:pt idx="6">
                  <c:v>3.4818675653365286E-2</c:v>
                </c:pt>
                <c:pt idx="7">
                  <c:v>4.1773341612896177E-2</c:v>
                </c:pt>
                <c:pt idx="8">
                  <c:v>4.7240631688051607E-2</c:v>
                </c:pt>
              </c:numCache>
            </c:numRef>
          </c:val>
          <c:smooth val="0"/>
          <c:extLst>
            <c:ext xmlns:c16="http://schemas.microsoft.com/office/drawing/2014/chart" uri="{C3380CC4-5D6E-409C-BE32-E72D297353CC}">
              <c16:uniqueId val="{00000001-CB76-4713-9404-167C756DF282}"/>
            </c:ext>
          </c:extLst>
        </c:ser>
        <c:ser>
          <c:idx val="2"/>
          <c:order val="2"/>
          <c:tx>
            <c:strRef>
              <c:f>'[OIAS contribution_ECEC ANZSCO4 by SA4 NERO IVI_March2024_FINAL.xlsx]Sheet 1'!$AL$6</c:f>
              <c:strCache>
                <c:ptCount val="1"/>
                <c:pt idx="0">
                  <c:v>NT</c:v>
                </c:pt>
              </c:strCache>
            </c:strRef>
          </c:tx>
          <c:spPr>
            <a:ln w="28575" cap="rnd">
              <a:solidFill>
                <a:schemeClr val="accent3"/>
              </a:solidFill>
              <a:round/>
            </a:ln>
            <a:effectLst/>
          </c:spPr>
          <c:marker>
            <c:symbol val="none"/>
          </c:marker>
          <c:cat>
            <c:strRef>
              <c:f>'[OIAS contribution_ECEC ANZSCO4 by SA4 NERO IVI_March2024_FINAL.xlsx]Sheet 1'!$AM$3:$AU$3</c:f>
              <c:strCache>
                <c:ptCount val="9"/>
                <c:pt idx="0">
                  <c:v>2015</c:v>
                </c:pt>
                <c:pt idx="1">
                  <c:v>2016</c:v>
                </c:pt>
                <c:pt idx="2">
                  <c:v>2017</c:v>
                </c:pt>
                <c:pt idx="3">
                  <c:v>2018</c:v>
                </c:pt>
                <c:pt idx="4">
                  <c:v>2019</c:v>
                </c:pt>
                <c:pt idx="5">
                  <c:v>2020</c:v>
                </c:pt>
                <c:pt idx="6">
                  <c:v>2021</c:v>
                </c:pt>
                <c:pt idx="7">
                  <c:v>2022</c:v>
                </c:pt>
                <c:pt idx="8">
                  <c:v>2023</c:v>
                </c:pt>
              </c:strCache>
            </c:strRef>
          </c:cat>
          <c:val>
            <c:numRef>
              <c:f>'[OIAS contribution_ECEC ANZSCO4 by SA4 NERO IVI_March2024_FINAL.xlsx]Sheet 1'!$AM$6:$AU$6</c:f>
              <c:numCache>
                <c:formatCode>General</c:formatCode>
                <c:ptCount val="9"/>
                <c:pt idx="0">
                  <c:v>4.1482486790082672E-2</c:v>
                </c:pt>
                <c:pt idx="1">
                  <c:v>2.8546129500170419E-2</c:v>
                </c:pt>
                <c:pt idx="2">
                  <c:v>1.7926413734795438E-2</c:v>
                </c:pt>
                <c:pt idx="3">
                  <c:v>2.005772851672849E-2</c:v>
                </c:pt>
                <c:pt idx="4">
                  <c:v>1.8179942122372759E-2</c:v>
                </c:pt>
                <c:pt idx="5">
                  <c:v>1.832259628156967E-2</c:v>
                </c:pt>
                <c:pt idx="6">
                  <c:v>3.076116950433383E-2</c:v>
                </c:pt>
                <c:pt idx="7">
                  <c:v>3.2229453113839943E-2</c:v>
                </c:pt>
                <c:pt idx="8">
                  <c:v>3.2354122037484459E-2</c:v>
                </c:pt>
              </c:numCache>
            </c:numRef>
          </c:val>
          <c:smooth val="0"/>
          <c:extLst>
            <c:ext xmlns:c16="http://schemas.microsoft.com/office/drawing/2014/chart" uri="{C3380CC4-5D6E-409C-BE32-E72D297353CC}">
              <c16:uniqueId val="{00000002-CB76-4713-9404-167C756DF282}"/>
            </c:ext>
          </c:extLst>
        </c:ser>
        <c:ser>
          <c:idx val="3"/>
          <c:order val="3"/>
          <c:tx>
            <c:strRef>
              <c:f>'[OIAS contribution_ECEC ANZSCO4 by SA4 NERO IVI_March2024_FINAL.xlsx]Sheet 1'!$AL$7</c:f>
              <c:strCache>
                <c:ptCount val="1"/>
                <c:pt idx="0">
                  <c:v>QLD</c:v>
                </c:pt>
              </c:strCache>
            </c:strRef>
          </c:tx>
          <c:spPr>
            <a:ln w="28575" cap="rnd">
              <a:solidFill>
                <a:schemeClr val="accent4"/>
              </a:solidFill>
              <a:round/>
            </a:ln>
            <a:effectLst/>
          </c:spPr>
          <c:marker>
            <c:symbol val="none"/>
          </c:marker>
          <c:cat>
            <c:strRef>
              <c:f>'[OIAS contribution_ECEC ANZSCO4 by SA4 NERO IVI_March2024_FINAL.xlsx]Sheet 1'!$AM$3:$AU$3</c:f>
              <c:strCache>
                <c:ptCount val="9"/>
                <c:pt idx="0">
                  <c:v>2015</c:v>
                </c:pt>
                <c:pt idx="1">
                  <c:v>2016</c:v>
                </c:pt>
                <c:pt idx="2">
                  <c:v>2017</c:v>
                </c:pt>
                <c:pt idx="3">
                  <c:v>2018</c:v>
                </c:pt>
                <c:pt idx="4">
                  <c:v>2019</c:v>
                </c:pt>
                <c:pt idx="5">
                  <c:v>2020</c:v>
                </c:pt>
                <c:pt idx="6">
                  <c:v>2021</c:v>
                </c:pt>
                <c:pt idx="7">
                  <c:v>2022</c:v>
                </c:pt>
                <c:pt idx="8">
                  <c:v>2023</c:v>
                </c:pt>
              </c:strCache>
            </c:strRef>
          </c:cat>
          <c:val>
            <c:numRef>
              <c:f>'[OIAS contribution_ECEC ANZSCO4 by SA4 NERO IVI_March2024_FINAL.xlsx]Sheet 1'!$AM$7:$AU$7</c:f>
              <c:numCache>
                <c:formatCode>General</c:formatCode>
                <c:ptCount val="9"/>
                <c:pt idx="0">
                  <c:v>3.6771869887407757E-2</c:v>
                </c:pt>
                <c:pt idx="1">
                  <c:v>3.2544088443337581E-2</c:v>
                </c:pt>
                <c:pt idx="2">
                  <c:v>2.5993316577742169E-2</c:v>
                </c:pt>
                <c:pt idx="3">
                  <c:v>2.5953083482472508E-2</c:v>
                </c:pt>
                <c:pt idx="4">
                  <c:v>2.9433407497073075E-2</c:v>
                </c:pt>
                <c:pt idx="5">
                  <c:v>2.93473561409981E-2</c:v>
                </c:pt>
                <c:pt idx="6">
                  <c:v>4.0604651206994309E-2</c:v>
                </c:pt>
                <c:pt idx="7">
                  <c:v>5.4236896931824131E-2</c:v>
                </c:pt>
                <c:pt idx="8">
                  <c:v>4.7633521059220162E-2</c:v>
                </c:pt>
              </c:numCache>
            </c:numRef>
          </c:val>
          <c:smooth val="0"/>
          <c:extLst>
            <c:ext xmlns:c16="http://schemas.microsoft.com/office/drawing/2014/chart" uri="{C3380CC4-5D6E-409C-BE32-E72D297353CC}">
              <c16:uniqueId val="{00000003-CB76-4713-9404-167C756DF282}"/>
            </c:ext>
          </c:extLst>
        </c:ser>
        <c:ser>
          <c:idx val="4"/>
          <c:order val="4"/>
          <c:tx>
            <c:strRef>
              <c:f>'[OIAS contribution_ECEC ANZSCO4 by SA4 NERO IVI_March2024_FINAL.xlsx]Sheet 1'!$AL$8</c:f>
              <c:strCache>
                <c:ptCount val="1"/>
                <c:pt idx="0">
                  <c:v>SA</c:v>
                </c:pt>
              </c:strCache>
            </c:strRef>
          </c:tx>
          <c:spPr>
            <a:ln w="28575" cap="rnd">
              <a:solidFill>
                <a:schemeClr val="accent5"/>
              </a:solidFill>
              <a:round/>
            </a:ln>
            <a:effectLst/>
          </c:spPr>
          <c:marker>
            <c:symbol val="none"/>
          </c:marker>
          <c:cat>
            <c:strRef>
              <c:f>'[OIAS contribution_ECEC ANZSCO4 by SA4 NERO IVI_March2024_FINAL.xlsx]Sheet 1'!$AM$3:$AU$3</c:f>
              <c:strCache>
                <c:ptCount val="9"/>
                <c:pt idx="0">
                  <c:v>2015</c:v>
                </c:pt>
                <c:pt idx="1">
                  <c:v>2016</c:v>
                </c:pt>
                <c:pt idx="2">
                  <c:v>2017</c:v>
                </c:pt>
                <c:pt idx="3">
                  <c:v>2018</c:v>
                </c:pt>
                <c:pt idx="4">
                  <c:v>2019</c:v>
                </c:pt>
                <c:pt idx="5">
                  <c:v>2020</c:v>
                </c:pt>
                <c:pt idx="6">
                  <c:v>2021</c:v>
                </c:pt>
                <c:pt idx="7">
                  <c:v>2022</c:v>
                </c:pt>
                <c:pt idx="8">
                  <c:v>2023</c:v>
                </c:pt>
              </c:strCache>
            </c:strRef>
          </c:cat>
          <c:val>
            <c:numRef>
              <c:f>'[OIAS contribution_ECEC ANZSCO4 by SA4 NERO IVI_March2024_FINAL.xlsx]Sheet 1'!$AM$8:$AU$8</c:f>
              <c:numCache>
                <c:formatCode>General</c:formatCode>
                <c:ptCount val="9"/>
                <c:pt idx="0">
                  <c:v>1.4151779854339202E-2</c:v>
                </c:pt>
                <c:pt idx="1">
                  <c:v>1.2227756415541751E-2</c:v>
                </c:pt>
                <c:pt idx="2">
                  <c:v>1.0689888887814875E-2</c:v>
                </c:pt>
                <c:pt idx="3">
                  <c:v>8.5896251989911604E-3</c:v>
                </c:pt>
                <c:pt idx="4">
                  <c:v>9.1576799152323952E-3</c:v>
                </c:pt>
                <c:pt idx="5">
                  <c:v>1.1004944567406662E-2</c:v>
                </c:pt>
                <c:pt idx="6">
                  <c:v>1.1848918125167109E-2</c:v>
                </c:pt>
                <c:pt idx="7">
                  <c:v>1.5488128688229999E-2</c:v>
                </c:pt>
                <c:pt idx="8">
                  <c:v>1.7500538225251886E-2</c:v>
                </c:pt>
              </c:numCache>
            </c:numRef>
          </c:val>
          <c:smooth val="0"/>
          <c:extLst>
            <c:ext xmlns:c16="http://schemas.microsoft.com/office/drawing/2014/chart" uri="{C3380CC4-5D6E-409C-BE32-E72D297353CC}">
              <c16:uniqueId val="{00000004-CB76-4713-9404-167C756DF282}"/>
            </c:ext>
          </c:extLst>
        </c:ser>
        <c:ser>
          <c:idx val="5"/>
          <c:order val="5"/>
          <c:tx>
            <c:strRef>
              <c:f>'[OIAS contribution_ECEC ANZSCO4 by SA4 NERO IVI_March2024_FINAL.xlsx]Sheet 1'!$AL$9</c:f>
              <c:strCache>
                <c:ptCount val="1"/>
                <c:pt idx="0">
                  <c:v>TAS</c:v>
                </c:pt>
              </c:strCache>
            </c:strRef>
          </c:tx>
          <c:spPr>
            <a:ln w="28575" cap="rnd">
              <a:solidFill>
                <a:schemeClr val="accent6"/>
              </a:solidFill>
              <a:round/>
            </a:ln>
            <a:effectLst/>
          </c:spPr>
          <c:marker>
            <c:symbol val="none"/>
          </c:marker>
          <c:cat>
            <c:strRef>
              <c:f>'[OIAS contribution_ECEC ANZSCO4 by SA4 NERO IVI_March2024_FINAL.xlsx]Sheet 1'!$AM$3:$AU$3</c:f>
              <c:strCache>
                <c:ptCount val="9"/>
                <c:pt idx="0">
                  <c:v>2015</c:v>
                </c:pt>
                <c:pt idx="1">
                  <c:v>2016</c:v>
                </c:pt>
                <c:pt idx="2">
                  <c:v>2017</c:v>
                </c:pt>
                <c:pt idx="3">
                  <c:v>2018</c:v>
                </c:pt>
                <c:pt idx="4">
                  <c:v>2019</c:v>
                </c:pt>
                <c:pt idx="5">
                  <c:v>2020</c:v>
                </c:pt>
                <c:pt idx="6">
                  <c:v>2021</c:v>
                </c:pt>
                <c:pt idx="7">
                  <c:v>2022</c:v>
                </c:pt>
                <c:pt idx="8">
                  <c:v>2023</c:v>
                </c:pt>
              </c:strCache>
            </c:strRef>
          </c:cat>
          <c:val>
            <c:numRef>
              <c:f>'[OIAS contribution_ECEC ANZSCO4 by SA4 NERO IVI_March2024_FINAL.xlsx]Sheet 1'!$AM$9:$AU$9</c:f>
              <c:numCache>
                <c:formatCode>General</c:formatCode>
                <c:ptCount val="9"/>
                <c:pt idx="0">
                  <c:v>3.6894929521422261E-3</c:v>
                </c:pt>
                <c:pt idx="1">
                  <c:v>3.2766195732968312E-3</c:v>
                </c:pt>
                <c:pt idx="2">
                  <c:v>2.14551355457997E-3</c:v>
                </c:pt>
                <c:pt idx="3">
                  <c:v>2.3507315821386888E-3</c:v>
                </c:pt>
                <c:pt idx="4">
                  <c:v>4.159342613948732E-3</c:v>
                </c:pt>
                <c:pt idx="5">
                  <c:v>4.078720197675057E-3</c:v>
                </c:pt>
                <c:pt idx="6">
                  <c:v>6.1185749688545269E-3</c:v>
                </c:pt>
                <c:pt idx="7">
                  <c:v>5.0491664089937164E-3</c:v>
                </c:pt>
                <c:pt idx="8">
                  <c:v>1.0462990248686304E-2</c:v>
                </c:pt>
              </c:numCache>
            </c:numRef>
          </c:val>
          <c:smooth val="0"/>
          <c:extLst>
            <c:ext xmlns:c16="http://schemas.microsoft.com/office/drawing/2014/chart" uri="{C3380CC4-5D6E-409C-BE32-E72D297353CC}">
              <c16:uniqueId val="{00000005-CB76-4713-9404-167C756DF282}"/>
            </c:ext>
          </c:extLst>
        </c:ser>
        <c:ser>
          <c:idx val="6"/>
          <c:order val="6"/>
          <c:tx>
            <c:strRef>
              <c:f>'[OIAS contribution_ECEC ANZSCO4 by SA4 NERO IVI_March2024_FINAL.xlsx]Sheet 1'!$AL$10</c:f>
              <c:strCache>
                <c:ptCount val="1"/>
                <c:pt idx="0">
                  <c:v>VIC</c:v>
                </c:pt>
              </c:strCache>
            </c:strRef>
          </c:tx>
          <c:spPr>
            <a:ln w="28575" cap="rnd">
              <a:solidFill>
                <a:schemeClr val="accent1">
                  <a:lumMod val="60000"/>
                </a:schemeClr>
              </a:solidFill>
              <a:round/>
            </a:ln>
            <a:effectLst/>
          </c:spPr>
          <c:marker>
            <c:symbol val="none"/>
          </c:marker>
          <c:cat>
            <c:strRef>
              <c:f>'[OIAS contribution_ECEC ANZSCO4 by SA4 NERO IVI_March2024_FINAL.xlsx]Sheet 1'!$AM$3:$AU$3</c:f>
              <c:strCache>
                <c:ptCount val="9"/>
                <c:pt idx="0">
                  <c:v>2015</c:v>
                </c:pt>
                <c:pt idx="1">
                  <c:v>2016</c:v>
                </c:pt>
                <c:pt idx="2">
                  <c:v>2017</c:v>
                </c:pt>
                <c:pt idx="3">
                  <c:v>2018</c:v>
                </c:pt>
                <c:pt idx="4">
                  <c:v>2019</c:v>
                </c:pt>
                <c:pt idx="5">
                  <c:v>2020</c:v>
                </c:pt>
                <c:pt idx="6">
                  <c:v>2021</c:v>
                </c:pt>
                <c:pt idx="7">
                  <c:v>2022</c:v>
                </c:pt>
                <c:pt idx="8">
                  <c:v>2023</c:v>
                </c:pt>
              </c:strCache>
            </c:strRef>
          </c:cat>
          <c:val>
            <c:numRef>
              <c:f>'[OIAS contribution_ECEC ANZSCO4 by SA4 NERO IVI_March2024_FINAL.xlsx]Sheet 1'!$AM$10:$AU$10</c:f>
              <c:numCache>
                <c:formatCode>General</c:formatCode>
                <c:ptCount val="9"/>
                <c:pt idx="0">
                  <c:v>1.2585428083435116E-2</c:v>
                </c:pt>
                <c:pt idx="1">
                  <c:v>1.1757897455314553E-2</c:v>
                </c:pt>
                <c:pt idx="2">
                  <c:v>1.1366901506751868E-2</c:v>
                </c:pt>
                <c:pt idx="3">
                  <c:v>1.1128193433254132E-2</c:v>
                </c:pt>
                <c:pt idx="4">
                  <c:v>1.4223265351885452E-2</c:v>
                </c:pt>
                <c:pt idx="5">
                  <c:v>1.3853853497032342E-2</c:v>
                </c:pt>
                <c:pt idx="6">
                  <c:v>2.4834595610384091E-2</c:v>
                </c:pt>
                <c:pt idx="7">
                  <c:v>3.6312877973344676E-2</c:v>
                </c:pt>
                <c:pt idx="8">
                  <c:v>4.9624692440247781E-2</c:v>
                </c:pt>
              </c:numCache>
            </c:numRef>
          </c:val>
          <c:smooth val="0"/>
          <c:extLst>
            <c:ext xmlns:c16="http://schemas.microsoft.com/office/drawing/2014/chart" uri="{C3380CC4-5D6E-409C-BE32-E72D297353CC}">
              <c16:uniqueId val="{00000006-CB76-4713-9404-167C756DF282}"/>
            </c:ext>
          </c:extLst>
        </c:ser>
        <c:ser>
          <c:idx val="7"/>
          <c:order val="7"/>
          <c:tx>
            <c:strRef>
              <c:f>'[OIAS contribution_ECEC ANZSCO4 by SA4 NERO IVI_March2024_FINAL.xlsx]Sheet 1'!$AL$11</c:f>
              <c:strCache>
                <c:ptCount val="1"/>
                <c:pt idx="0">
                  <c:v>WA</c:v>
                </c:pt>
              </c:strCache>
            </c:strRef>
          </c:tx>
          <c:spPr>
            <a:ln w="28575" cap="rnd">
              <a:solidFill>
                <a:schemeClr val="accent2">
                  <a:lumMod val="60000"/>
                </a:schemeClr>
              </a:solidFill>
              <a:round/>
            </a:ln>
            <a:effectLst/>
          </c:spPr>
          <c:marker>
            <c:symbol val="none"/>
          </c:marker>
          <c:cat>
            <c:strRef>
              <c:f>'[OIAS contribution_ECEC ANZSCO4 by SA4 NERO IVI_March2024_FINAL.xlsx]Sheet 1'!$AM$3:$AU$3</c:f>
              <c:strCache>
                <c:ptCount val="9"/>
                <c:pt idx="0">
                  <c:v>2015</c:v>
                </c:pt>
                <c:pt idx="1">
                  <c:v>2016</c:v>
                </c:pt>
                <c:pt idx="2">
                  <c:v>2017</c:v>
                </c:pt>
                <c:pt idx="3">
                  <c:v>2018</c:v>
                </c:pt>
                <c:pt idx="4">
                  <c:v>2019</c:v>
                </c:pt>
                <c:pt idx="5">
                  <c:v>2020</c:v>
                </c:pt>
                <c:pt idx="6">
                  <c:v>2021</c:v>
                </c:pt>
                <c:pt idx="7">
                  <c:v>2022</c:v>
                </c:pt>
                <c:pt idx="8">
                  <c:v>2023</c:v>
                </c:pt>
              </c:strCache>
            </c:strRef>
          </c:cat>
          <c:val>
            <c:numRef>
              <c:f>'[OIAS contribution_ECEC ANZSCO4 by SA4 NERO IVI_March2024_FINAL.xlsx]Sheet 1'!$AM$11:$AU$11</c:f>
              <c:numCache>
                <c:formatCode>General</c:formatCode>
                <c:ptCount val="9"/>
                <c:pt idx="0">
                  <c:v>3.048032552886884E-2</c:v>
                </c:pt>
                <c:pt idx="1">
                  <c:v>2.8026236174429026E-2</c:v>
                </c:pt>
                <c:pt idx="2">
                  <c:v>2.219010249446661E-2</c:v>
                </c:pt>
                <c:pt idx="3">
                  <c:v>1.7335788218498984E-2</c:v>
                </c:pt>
                <c:pt idx="4">
                  <c:v>2.0801122768239082E-2</c:v>
                </c:pt>
                <c:pt idx="5">
                  <c:v>1.9300938346539769E-2</c:v>
                </c:pt>
                <c:pt idx="6">
                  <c:v>2.707660174412008E-2</c:v>
                </c:pt>
                <c:pt idx="7">
                  <c:v>3.7284051015628171E-2</c:v>
                </c:pt>
                <c:pt idx="8">
                  <c:v>4.323294905816423E-2</c:v>
                </c:pt>
              </c:numCache>
            </c:numRef>
          </c:val>
          <c:smooth val="0"/>
          <c:extLst>
            <c:ext xmlns:c16="http://schemas.microsoft.com/office/drawing/2014/chart" uri="{C3380CC4-5D6E-409C-BE32-E72D297353CC}">
              <c16:uniqueId val="{00000007-CB76-4713-9404-167C756DF282}"/>
            </c:ext>
          </c:extLst>
        </c:ser>
        <c:dLbls>
          <c:showLegendKey val="0"/>
          <c:showVal val="0"/>
          <c:showCatName val="0"/>
          <c:showSerName val="0"/>
          <c:showPercent val="0"/>
          <c:showBubbleSize val="0"/>
        </c:dLbls>
        <c:smooth val="0"/>
        <c:axId val="1749919967"/>
        <c:axId val="1662586495"/>
      </c:lineChart>
      <c:catAx>
        <c:axId val="1749919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2586495"/>
        <c:crosses val="autoZero"/>
        <c:auto val="1"/>
        <c:lblAlgn val="ctr"/>
        <c:lblOffset val="100"/>
        <c:noMultiLvlLbl val="0"/>
      </c:catAx>
      <c:valAx>
        <c:axId val="1662586495"/>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99199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'[OIAS contribution_ECEC ANZSCO4 by SA4 NERO IVI_March2024_FINAL.xlsx]Sheet 1'!$AL$26</c:f>
              <c:strCache>
                <c:ptCount val="1"/>
                <c:pt idx="0">
                  <c:v>ACT</c:v>
                </c:pt>
              </c:strCache>
            </c:strRef>
          </c:tx>
          <c:spPr>
            <a:ln w="28575" cap="rnd">
              <a:solidFill>
                <a:schemeClr val="accent1"/>
              </a:solidFill>
              <a:round/>
            </a:ln>
            <a:effectLst/>
          </c:spPr>
          <c:marker>
            <c:symbol val="none"/>
          </c:marker>
          <c:cat>
            <c:strRef>
              <c:f>'[OIAS contribution_ECEC ANZSCO4 by SA4 NERO IVI_March2024_FINAL.xlsx]Sheet 1'!$AM$25:$AU$25</c:f>
              <c:strCache>
                <c:ptCount val="9"/>
                <c:pt idx="0">
                  <c:v>2015</c:v>
                </c:pt>
                <c:pt idx="1">
                  <c:v>2016</c:v>
                </c:pt>
                <c:pt idx="2">
                  <c:v>2017</c:v>
                </c:pt>
                <c:pt idx="3">
                  <c:v>2018</c:v>
                </c:pt>
                <c:pt idx="4">
                  <c:v>2019</c:v>
                </c:pt>
                <c:pt idx="5">
                  <c:v>2020</c:v>
                </c:pt>
                <c:pt idx="6">
                  <c:v>2021</c:v>
                </c:pt>
                <c:pt idx="7">
                  <c:v>2022</c:v>
                </c:pt>
                <c:pt idx="8">
                  <c:v>2023</c:v>
                </c:pt>
              </c:strCache>
            </c:strRef>
          </c:cat>
          <c:val>
            <c:numRef>
              <c:f>'[OIAS contribution_ECEC ANZSCO4 by SA4 NERO IVI_March2024_FINAL.xlsx]Sheet 1'!$AM$26:$AU$26</c:f>
              <c:numCache>
                <c:formatCode>General</c:formatCode>
                <c:ptCount val="9"/>
                <c:pt idx="0">
                  <c:v>2.1004645031699205E-2</c:v>
                </c:pt>
                <c:pt idx="1">
                  <c:v>1.7938123256583012E-2</c:v>
                </c:pt>
                <c:pt idx="2">
                  <c:v>1.0866107261390796E-2</c:v>
                </c:pt>
                <c:pt idx="3">
                  <c:v>1.0026977388031424E-2</c:v>
                </c:pt>
                <c:pt idx="4">
                  <c:v>1.9047475475069336E-2</c:v>
                </c:pt>
                <c:pt idx="5">
                  <c:v>1.7331722953174814E-2</c:v>
                </c:pt>
                <c:pt idx="6">
                  <c:v>2.5468654989937462E-2</c:v>
                </c:pt>
                <c:pt idx="7">
                  <c:v>1.6702995755847588E-2</c:v>
                </c:pt>
                <c:pt idx="8">
                  <c:v>3.4377811946091415E-2</c:v>
                </c:pt>
              </c:numCache>
            </c:numRef>
          </c:val>
          <c:smooth val="0"/>
          <c:extLst>
            <c:ext xmlns:c16="http://schemas.microsoft.com/office/drawing/2014/chart" uri="{C3380CC4-5D6E-409C-BE32-E72D297353CC}">
              <c16:uniqueId val="{00000000-916A-479C-A2F8-7F1C39E04345}"/>
            </c:ext>
          </c:extLst>
        </c:ser>
        <c:ser>
          <c:idx val="1"/>
          <c:order val="1"/>
          <c:tx>
            <c:strRef>
              <c:f>'[OIAS contribution_ECEC ANZSCO4 by SA4 NERO IVI_March2024_FINAL.xlsx]Sheet 1'!$AL$27</c:f>
              <c:strCache>
                <c:ptCount val="1"/>
                <c:pt idx="0">
                  <c:v>NSW</c:v>
                </c:pt>
              </c:strCache>
            </c:strRef>
          </c:tx>
          <c:spPr>
            <a:ln w="28575" cap="rnd">
              <a:solidFill>
                <a:schemeClr val="accent2"/>
              </a:solidFill>
              <a:round/>
            </a:ln>
            <a:effectLst/>
          </c:spPr>
          <c:marker>
            <c:symbol val="none"/>
          </c:marker>
          <c:cat>
            <c:strRef>
              <c:f>'[OIAS contribution_ECEC ANZSCO4 by SA4 NERO IVI_March2024_FINAL.xlsx]Sheet 1'!$AM$25:$AU$25</c:f>
              <c:strCache>
                <c:ptCount val="9"/>
                <c:pt idx="0">
                  <c:v>2015</c:v>
                </c:pt>
                <c:pt idx="1">
                  <c:v>2016</c:v>
                </c:pt>
                <c:pt idx="2">
                  <c:v>2017</c:v>
                </c:pt>
                <c:pt idx="3">
                  <c:v>2018</c:v>
                </c:pt>
                <c:pt idx="4">
                  <c:v>2019</c:v>
                </c:pt>
                <c:pt idx="5">
                  <c:v>2020</c:v>
                </c:pt>
                <c:pt idx="6">
                  <c:v>2021</c:v>
                </c:pt>
                <c:pt idx="7">
                  <c:v>2022</c:v>
                </c:pt>
                <c:pt idx="8">
                  <c:v>2023</c:v>
                </c:pt>
              </c:strCache>
            </c:strRef>
          </c:cat>
          <c:val>
            <c:numRef>
              <c:f>'[OIAS contribution_ECEC ANZSCO4 by SA4 NERO IVI_March2024_FINAL.xlsx]Sheet 1'!$AM$27:$AU$27</c:f>
              <c:numCache>
                <c:formatCode>General</c:formatCode>
                <c:ptCount val="9"/>
                <c:pt idx="0">
                  <c:v>1.4822077566124331E-2</c:v>
                </c:pt>
                <c:pt idx="1">
                  <c:v>1.3730018868934966E-2</c:v>
                </c:pt>
                <c:pt idx="2">
                  <c:v>1.6393374944163534E-2</c:v>
                </c:pt>
                <c:pt idx="3">
                  <c:v>1.6433246172435197E-2</c:v>
                </c:pt>
                <c:pt idx="4">
                  <c:v>1.5713229716043442E-2</c:v>
                </c:pt>
                <c:pt idx="5">
                  <c:v>1.9268385584402015E-2</c:v>
                </c:pt>
                <c:pt idx="6">
                  <c:v>2.447214268754307E-2</c:v>
                </c:pt>
                <c:pt idx="7">
                  <c:v>2.7149071915431828E-2</c:v>
                </c:pt>
                <c:pt idx="8">
                  <c:v>2.6145736032001439E-2</c:v>
                </c:pt>
              </c:numCache>
            </c:numRef>
          </c:val>
          <c:smooth val="0"/>
          <c:extLst>
            <c:ext xmlns:c16="http://schemas.microsoft.com/office/drawing/2014/chart" uri="{C3380CC4-5D6E-409C-BE32-E72D297353CC}">
              <c16:uniqueId val="{00000001-916A-479C-A2F8-7F1C39E04345}"/>
            </c:ext>
          </c:extLst>
        </c:ser>
        <c:ser>
          <c:idx val="2"/>
          <c:order val="2"/>
          <c:tx>
            <c:strRef>
              <c:f>'[OIAS contribution_ECEC ANZSCO4 by SA4 NERO IVI_March2024_FINAL.xlsx]Sheet 1'!$AL$28</c:f>
              <c:strCache>
                <c:ptCount val="1"/>
                <c:pt idx="0">
                  <c:v>NT</c:v>
                </c:pt>
              </c:strCache>
            </c:strRef>
          </c:tx>
          <c:spPr>
            <a:ln w="28575" cap="rnd">
              <a:solidFill>
                <a:schemeClr val="accent3"/>
              </a:solidFill>
              <a:round/>
            </a:ln>
            <a:effectLst/>
          </c:spPr>
          <c:marker>
            <c:symbol val="none"/>
          </c:marker>
          <c:cat>
            <c:strRef>
              <c:f>'[OIAS contribution_ECEC ANZSCO4 by SA4 NERO IVI_March2024_FINAL.xlsx]Sheet 1'!$AM$25:$AU$25</c:f>
              <c:strCache>
                <c:ptCount val="9"/>
                <c:pt idx="0">
                  <c:v>2015</c:v>
                </c:pt>
                <c:pt idx="1">
                  <c:v>2016</c:v>
                </c:pt>
                <c:pt idx="2">
                  <c:v>2017</c:v>
                </c:pt>
                <c:pt idx="3">
                  <c:v>2018</c:v>
                </c:pt>
                <c:pt idx="4">
                  <c:v>2019</c:v>
                </c:pt>
                <c:pt idx="5">
                  <c:v>2020</c:v>
                </c:pt>
                <c:pt idx="6">
                  <c:v>2021</c:v>
                </c:pt>
                <c:pt idx="7">
                  <c:v>2022</c:v>
                </c:pt>
                <c:pt idx="8">
                  <c:v>2023</c:v>
                </c:pt>
              </c:strCache>
            </c:strRef>
          </c:cat>
          <c:val>
            <c:numRef>
              <c:f>'[OIAS contribution_ECEC ANZSCO4 by SA4 NERO IVI_March2024_FINAL.xlsx]Sheet 1'!$AM$28:$AU$28</c:f>
              <c:numCache>
                <c:formatCode>General</c:formatCode>
                <c:ptCount val="9"/>
                <c:pt idx="0">
                  <c:v>1.6129964787681656E-2</c:v>
                </c:pt>
                <c:pt idx="1">
                  <c:v>1.0150156693593046E-2</c:v>
                </c:pt>
                <c:pt idx="2">
                  <c:v>1.9341588741316636E-2</c:v>
                </c:pt>
                <c:pt idx="3">
                  <c:v>1.0587949960934845E-2</c:v>
                </c:pt>
                <c:pt idx="4">
                  <c:v>8.1908214292763584E-3</c:v>
                </c:pt>
                <c:pt idx="5">
                  <c:v>6.3303552298727998E-3</c:v>
                </c:pt>
                <c:pt idx="6">
                  <c:v>2.7987308538733047E-2</c:v>
                </c:pt>
                <c:pt idx="7">
                  <c:v>4.7179224371638719E-2</c:v>
                </c:pt>
                <c:pt idx="8">
                  <c:v>2.4836080356299747E-2</c:v>
                </c:pt>
              </c:numCache>
            </c:numRef>
          </c:val>
          <c:smooth val="0"/>
          <c:extLst>
            <c:ext xmlns:c16="http://schemas.microsoft.com/office/drawing/2014/chart" uri="{C3380CC4-5D6E-409C-BE32-E72D297353CC}">
              <c16:uniqueId val="{00000002-916A-479C-A2F8-7F1C39E04345}"/>
            </c:ext>
          </c:extLst>
        </c:ser>
        <c:ser>
          <c:idx val="3"/>
          <c:order val="3"/>
          <c:tx>
            <c:strRef>
              <c:f>'[OIAS contribution_ECEC ANZSCO4 by SA4 NERO IVI_March2024_FINAL.xlsx]Sheet 1'!$AL$29</c:f>
              <c:strCache>
                <c:ptCount val="1"/>
                <c:pt idx="0">
                  <c:v>QLD</c:v>
                </c:pt>
              </c:strCache>
            </c:strRef>
          </c:tx>
          <c:spPr>
            <a:ln w="28575" cap="rnd">
              <a:solidFill>
                <a:schemeClr val="accent4"/>
              </a:solidFill>
              <a:round/>
            </a:ln>
            <a:effectLst/>
          </c:spPr>
          <c:marker>
            <c:symbol val="none"/>
          </c:marker>
          <c:cat>
            <c:strRef>
              <c:f>'[OIAS contribution_ECEC ANZSCO4 by SA4 NERO IVI_March2024_FINAL.xlsx]Sheet 1'!$AM$25:$AU$25</c:f>
              <c:strCache>
                <c:ptCount val="9"/>
                <c:pt idx="0">
                  <c:v>2015</c:v>
                </c:pt>
                <c:pt idx="1">
                  <c:v>2016</c:v>
                </c:pt>
                <c:pt idx="2">
                  <c:v>2017</c:v>
                </c:pt>
                <c:pt idx="3">
                  <c:v>2018</c:v>
                </c:pt>
                <c:pt idx="4">
                  <c:v>2019</c:v>
                </c:pt>
                <c:pt idx="5">
                  <c:v>2020</c:v>
                </c:pt>
                <c:pt idx="6">
                  <c:v>2021</c:v>
                </c:pt>
                <c:pt idx="7">
                  <c:v>2022</c:v>
                </c:pt>
                <c:pt idx="8">
                  <c:v>2023</c:v>
                </c:pt>
              </c:strCache>
            </c:strRef>
          </c:cat>
          <c:val>
            <c:numRef>
              <c:f>'[OIAS contribution_ECEC ANZSCO4 by SA4 NERO IVI_March2024_FINAL.xlsx]Sheet 1'!$AM$29:$AU$29</c:f>
              <c:numCache>
                <c:formatCode>General</c:formatCode>
                <c:ptCount val="9"/>
                <c:pt idx="0">
                  <c:v>1.5401664424135857E-2</c:v>
                </c:pt>
                <c:pt idx="1">
                  <c:v>1.6276482570968739E-2</c:v>
                </c:pt>
                <c:pt idx="2">
                  <c:v>1.5579168815421991E-2</c:v>
                </c:pt>
                <c:pt idx="3">
                  <c:v>1.4596704306764198E-2</c:v>
                </c:pt>
                <c:pt idx="4">
                  <c:v>1.3949131681407084E-2</c:v>
                </c:pt>
                <c:pt idx="5">
                  <c:v>1.6545055026861769E-2</c:v>
                </c:pt>
                <c:pt idx="6">
                  <c:v>3.6526607606394437E-2</c:v>
                </c:pt>
                <c:pt idx="7">
                  <c:v>4.686879404161224E-2</c:v>
                </c:pt>
                <c:pt idx="8">
                  <c:v>3.6284581916627708E-2</c:v>
                </c:pt>
              </c:numCache>
            </c:numRef>
          </c:val>
          <c:smooth val="0"/>
          <c:extLst>
            <c:ext xmlns:c16="http://schemas.microsoft.com/office/drawing/2014/chart" uri="{C3380CC4-5D6E-409C-BE32-E72D297353CC}">
              <c16:uniqueId val="{00000003-916A-479C-A2F8-7F1C39E04345}"/>
            </c:ext>
          </c:extLst>
        </c:ser>
        <c:ser>
          <c:idx val="4"/>
          <c:order val="4"/>
          <c:tx>
            <c:strRef>
              <c:f>'[OIAS contribution_ECEC ANZSCO4 by SA4 NERO IVI_March2024_FINAL.xlsx]Sheet 1'!$AL$30</c:f>
              <c:strCache>
                <c:ptCount val="1"/>
                <c:pt idx="0">
                  <c:v>SA</c:v>
                </c:pt>
              </c:strCache>
            </c:strRef>
          </c:tx>
          <c:spPr>
            <a:ln w="28575" cap="rnd">
              <a:solidFill>
                <a:schemeClr val="accent5"/>
              </a:solidFill>
              <a:round/>
            </a:ln>
            <a:effectLst/>
          </c:spPr>
          <c:marker>
            <c:symbol val="none"/>
          </c:marker>
          <c:cat>
            <c:strRef>
              <c:f>'[OIAS contribution_ECEC ANZSCO4 by SA4 NERO IVI_March2024_FINAL.xlsx]Sheet 1'!$AM$25:$AU$25</c:f>
              <c:strCache>
                <c:ptCount val="9"/>
                <c:pt idx="0">
                  <c:v>2015</c:v>
                </c:pt>
                <c:pt idx="1">
                  <c:v>2016</c:v>
                </c:pt>
                <c:pt idx="2">
                  <c:v>2017</c:v>
                </c:pt>
                <c:pt idx="3">
                  <c:v>2018</c:v>
                </c:pt>
                <c:pt idx="4">
                  <c:v>2019</c:v>
                </c:pt>
                <c:pt idx="5">
                  <c:v>2020</c:v>
                </c:pt>
                <c:pt idx="6">
                  <c:v>2021</c:v>
                </c:pt>
                <c:pt idx="7">
                  <c:v>2022</c:v>
                </c:pt>
                <c:pt idx="8">
                  <c:v>2023</c:v>
                </c:pt>
              </c:strCache>
            </c:strRef>
          </c:cat>
          <c:val>
            <c:numRef>
              <c:f>'[OIAS contribution_ECEC ANZSCO4 by SA4 NERO IVI_March2024_FINAL.xlsx]Sheet 1'!$AM$30:$AU$30</c:f>
              <c:numCache>
                <c:formatCode>General</c:formatCode>
                <c:ptCount val="9"/>
                <c:pt idx="0">
                  <c:v>4.0960186484560084E-3</c:v>
                </c:pt>
                <c:pt idx="1">
                  <c:v>4.1242712817112807E-3</c:v>
                </c:pt>
                <c:pt idx="2">
                  <c:v>3.4971765757530748E-3</c:v>
                </c:pt>
                <c:pt idx="3">
                  <c:v>5.3305405267371642E-3</c:v>
                </c:pt>
                <c:pt idx="4">
                  <c:v>1.0384501475686644E-2</c:v>
                </c:pt>
                <c:pt idx="5">
                  <c:v>1.5564971010817209E-2</c:v>
                </c:pt>
                <c:pt idx="6">
                  <c:v>1.6503914096998699E-2</c:v>
                </c:pt>
                <c:pt idx="7">
                  <c:v>2.8454720799418798E-2</c:v>
                </c:pt>
                <c:pt idx="8">
                  <c:v>2.072284028052828E-2</c:v>
                </c:pt>
              </c:numCache>
            </c:numRef>
          </c:val>
          <c:smooth val="0"/>
          <c:extLst>
            <c:ext xmlns:c16="http://schemas.microsoft.com/office/drawing/2014/chart" uri="{C3380CC4-5D6E-409C-BE32-E72D297353CC}">
              <c16:uniqueId val="{00000004-916A-479C-A2F8-7F1C39E04345}"/>
            </c:ext>
          </c:extLst>
        </c:ser>
        <c:ser>
          <c:idx val="5"/>
          <c:order val="5"/>
          <c:tx>
            <c:strRef>
              <c:f>'[OIAS contribution_ECEC ANZSCO4 by SA4 NERO IVI_March2024_FINAL.xlsx]Sheet 1'!$AL$31</c:f>
              <c:strCache>
                <c:ptCount val="1"/>
                <c:pt idx="0">
                  <c:v>TAS</c:v>
                </c:pt>
              </c:strCache>
            </c:strRef>
          </c:tx>
          <c:spPr>
            <a:ln w="28575" cap="rnd">
              <a:solidFill>
                <a:schemeClr val="accent6"/>
              </a:solidFill>
              <a:round/>
            </a:ln>
            <a:effectLst/>
          </c:spPr>
          <c:marker>
            <c:symbol val="none"/>
          </c:marker>
          <c:cat>
            <c:strRef>
              <c:f>'[OIAS contribution_ECEC ANZSCO4 by SA4 NERO IVI_March2024_FINAL.xlsx]Sheet 1'!$AM$25:$AU$25</c:f>
              <c:strCache>
                <c:ptCount val="9"/>
                <c:pt idx="0">
                  <c:v>2015</c:v>
                </c:pt>
                <c:pt idx="1">
                  <c:v>2016</c:v>
                </c:pt>
                <c:pt idx="2">
                  <c:v>2017</c:v>
                </c:pt>
                <c:pt idx="3">
                  <c:v>2018</c:v>
                </c:pt>
                <c:pt idx="4">
                  <c:v>2019</c:v>
                </c:pt>
                <c:pt idx="5">
                  <c:v>2020</c:v>
                </c:pt>
                <c:pt idx="6">
                  <c:v>2021</c:v>
                </c:pt>
                <c:pt idx="7">
                  <c:v>2022</c:v>
                </c:pt>
                <c:pt idx="8">
                  <c:v>2023</c:v>
                </c:pt>
              </c:strCache>
            </c:strRef>
          </c:cat>
          <c:val>
            <c:numRef>
              <c:f>'[OIAS contribution_ECEC ANZSCO4 by SA4 NERO IVI_March2024_FINAL.xlsx]Sheet 1'!$AM$31:$AU$31</c:f>
              <c:numCache>
                <c:formatCode>General</c:formatCode>
                <c:ptCount val="9"/>
                <c:pt idx="0">
                  <c:v>1.0335259103641458E-2</c:v>
                </c:pt>
                <c:pt idx="1">
                  <c:v>1.0687679075478969E-2</c:v>
                </c:pt>
                <c:pt idx="2">
                  <c:v>2.0385133217749722E-3</c:v>
                </c:pt>
                <c:pt idx="3">
                  <c:v>4.3115961334683917E-3</c:v>
                </c:pt>
                <c:pt idx="4">
                  <c:v>3.0529302369402076E-3</c:v>
                </c:pt>
                <c:pt idx="5">
                  <c:v>3.9792089848095877E-3</c:v>
                </c:pt>
                <c:pt idx="6">
                  <c:v>1.0015008916165384E-2</c:v>
                </c:pt>
                <c:pt idx="7">
                  <c:v>1.3691156874700816E-2</c:v>
                </c:pt>
                <c:pt idx="8">
                  <c:v>1.266592461247301E-2</c:v>
                </c:pt>
              </c:numCache>
            </c:numRef>
          </c:val>
          <c:smooth val="0"/>
          <c:extLst>
            <c:ext xmlns:c16="http://schemas.microsoft.com/office/drawing/2014/chart" uri="{C3380CC4-5D6E-409C-BE32-E72D297353CC}">
              <c16:uniqueId val="{00000005-916A-479C-A2F8-7F1C39E04345}"/>
            </c:ext>
          </c:extLst>
        </c:ser>
        <c:ser>
          <c:idx val="6"/>
          <c:order val="6"/>
          <c:tx>
            <c:strRef>
              <c:f>'[OIAS contribution_ECEC ANZSCO4 by SA4 NERO IVI_March2024_FINAL.xlsx]Sheet 1'!$AL$32</c:f>
              <c:strCache>
                <c:ptCount val="1"/>
                <c:pt idx="0">
                  <c:v>VIC</c:v>
                </c:pt>
              </c:strCache>
            </c:strRef>
          </c:tx>
          <c:spPr>
            <a:ln w="28575" cap="rnd">
              <a:solidFill>
                <a:schemeClr val="accent1">
                  <a:lumMod val="60000"/>
                </a:schemeClr>
              </a:solidFill>
              <a:round/>
            </a:ln>
            <a:effectLst/>
          </c:spPr>
          <c:marker>
            <c:symbol val="none"/>
          </c:marker>
          <c:cat>
            <c:strRef>
              <c:f>'[OIAS contribution_ECEC ANZSCO4 by SA4 NERO IVI_March2024_FINAL.xlsx]Sheet 1'!$AM$25:$AU$25</c:f>
              <c:strCache>
                <c:ptCount val="9"/>
                <c:pt idx="0">
                  <c:v>2015</c:v>
                </c:pt>
                <c:pt idx="1">
                  <c:v>2016</c:v>
                </c:pt>
                <c:pt idx="2">
                  <c:v>2017</c:v>
                </c:pt>
                <c:pt idx="3">
                  <c:v>2018</c:v>
                </c:pt>
                <c:pt idx="4">
                  <c:v>2019</c:v>
                </c:pt>
                <c:pt idx="5">
                  <c:v>2020</c:v>
                </c:pt>
                <c:pt idx="6">
                  <c:v>2021</c:v>
                </c:pt>
                <c:pt idx="7">
                  <c:v>2022</c:v>
                </c:pt>
                <c:pt idx="8">
                  <c:v>2023</c:v>
                </c:pt>
              </c:strCache>
            </c:strRef>
          </c:cat>
          <c:val>
            <c:numRef>
              <c:f>'[OIAS contribution_ECEC ANZSCO4 by SA4 NERO IVI_March2024_FINAL.xlsx]Sheet 1'!$AM$32:$AU$32</c:f>
              <c:numCache>
                <c:formatCode>General</c:formatCode>
                <c:ptCount val="9"/>
                <c:pt idx="0">
                  <c:v>1.5949392387341294E-2</c:v>
                </c:pt>
                <c:pt idx="1">
                  <c:v>1.7652160200148228E-2</c:v>
                </c:pt>
                <c:pt idx="2">
                  <c:v>2.1452351769178993E-2</c:v>
                </c:pt>
                <c:pt idx="3">
                  <c:v>2.333649537563795E-2</c:v>
                </c:pt>
                <c:pt idx="4">
                  <c:v>1.9658361272297517E-2</c:v>
                </c:pt>
                <c:pt idx="5">
                  <c:v>1.5003441937334832E-2</c:v>
                </c:pt>
                <c:pt idx="6">
                  <c:v>3.2291337578409574E-2</c:v>
                </c:pt>
                <c:pt idx="7">
                  <c:v>3.0712430194423709E-2</c:v>
                </c:pt>
                <c:pt idx="8">
                  <c:v>3.0918070780263172E-2</c:v>
                </c:pt>
              </c:numCache>
            </c:numRef>
          </c:val>
          <c:smooth val="0"/>
          <c:extLst>
            <c:ext xmlns:c16="http://schemas.microsoft.com/office/drawing/2014/chart" uri="{C3380CC4-5D6E-409C-BE32-E72D297353CC}">
              <c16:uniqueId val="{00000006-916A-479C-A2F8-7F1C39E04345}"/>
            </c:ext>
          </c:extLst>
        </c:ser>
        <c:ser>
          <c:idx val="7"/>
          <c:order val="7"/>
          <c:tx>
            <c:strRef>
              <c:f>'[OIAS contribution_ECEC ANZSCO4 by SA4 NERO IVI_March2024_FINAL.xlsx]Sheet 1'!$AL$33</c:f>
              <c:strCache>
                <c:ptCount val="1"/>
                <c:pt idx="0">
                  <c:v>WA</c:v>
                </c:pt>
              </c:strCache>
            </c:strRef>
          </c:tx>
          <c:spPr>
            <a:ln w="28575" cap="rnd">
              <a:solidFill>
                <a:schemeClr val="accent2">
                  <a:lumMod val="60000"/>
                </a:schemeClr>
              </a:solidFill>
              <a:round/>
            </a:ln>
            <a:effectLst/>
          </c:spPr>
          <c:marker>
            <c:symbol val="none"/>
          </c:marker>
          <c:cat>
            <c:strRef>
              <c:f>'[OIAS contribution_ECEC ANZSCO4 by SA4 NERO IVI_March2024_FINAL.xlsx]Sheet 1'!$AM$25:$AU$25</c:f>
              <c:strCache>
                <c:ptCount val="9"/>
                <c:pt idx="0">
                  <c:v>2015</c:v>
                </c:pt>
                <c:pt idx="1">
                  <c:v>2016</c:v>
                </c:pt>
                <c:pt idx="2">
                  <c:v>2017</c:v>
                </c:pt>
                <c:pt idx="3">
                  <c:v>2018</c:v>
                </c:pt>
                <c:pt idx="4">
                  <c:v>2019</c:v>
                </c:pt>
                <c:pt idx="5">
                  <c:v>2020</c:v>
                </c:pt>
                <c:pt idx="6">
                  <c:v>2021</c:v>
                </c:pt>
                <c:pt idx="7">
                  <c:v>2022</c:v>
                </c:pt>
                <c:pt idx="8">
                  <c:v>2023</c:v>
                </c:pt>
              </c:strCache>
            </c:strRef>
          </c:cat>
          <c:val>
            <c:numRef>
              <c:f>'[OIAS contribution_ECEC ANZSCO4 by SA4 NERO IVI_March2024_FINAL.xlsx]Sheet 1'!$AM$33:$AU$33</c:f>
              <c:numCache>
                <c:formatCode>General</c:formatCode>
                <c:ptCount val="9"/>
                <c:pt idx="0">
                  <c:v>1.9123086791676805E-2</c:v>
                </c:pt>
                <c:pt idx="1">
                  <c:v>1.2630530715825096E-2</c:v>
                </c:pt>
                <c:pt idx="2">
                  <c:v>9.5783975381538867E-3</c:v>
                </c:pt>
                <c:pt idx="3">
                  <c:v>1.2793280864160133E-2</c:v>
                </c:pt>
                <c:pt idx="4">
                  <c:v>1.1983429682291907E-2</c:v>
                </c:pt>
                <c:pt idx="5">
                  <c:v>1.4841180125890734E-2</c:v>
                </c:pt>
                <c:pt idx="6">
                  <c:v>2.8242513107638288E-2</c:v>
                </c:pt>
                <c:pt idx="7">
                  <c:v>6.2070813647530844E-2</c:v>
                </c:pt>
                <c:pt idx="8">
                  <c:v>7.9699965266837258E-2</c:v>
                </c:pt>
              </c:numCache>
            </c:numRef>
          </c:val>
          <c:smooth val="0"/>
          <c:extLst>
            <c:ext xmlns:c16="http://schemas.microsoft.com/office/drawing/2014/chart" uri="{C3380CC4-5D6E-409C-BE32-E72D297353CC}">
              <c16:uniqueId val="{00000007-916A-479C-A2F8-7F1C39E04345}"/>
            </c:ext>
          </c:extLst>
        </c:ser>
        <c:dLbls>
          <c:showLegendKey val="0"/>
          <c:showVal val="0"/>
          <c:showCatName val="0"/>
          <c:showSerName val="0"/>
          <c:showPercent val="0"/>
          <c:showBubbleSize val="0"/>
        </c:dLbls>
        <c:smooth val="0"/>
        <c:axId val="68681120"/>
        <c:axId val="68676320"/>
      </c:lineChart>
      <c:catAx>
        <c:axId val="68681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676320"/>
        <c:crosses val="autoZero"/>
        <c:auto val="1"/>
        <c:lblAlgn val="ctr"/>
        <c:lblOffset val="100"/>
        <c:noMultiLvlLbl val="0"/>
      </c:catAx>
      <c:valAx>
        <c:axId val="68676320"/>
        <c:scaling>
          <c:orientation val="minMax"/>
          <c:max val="8.0000000000000016E-2"/>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681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CA73F3-D230-451F-AC7F-C291275EC02A}" type="doc">
      <dgm:prSet loTypeId="urn:microsoft.com/office/officeart/2005/8/layout/vList5" loCatId="list" qsTypeId="urn:microsoft.com/office/officeart/2005/8/quickstyle/simple5" qsCatId="simple" csTypeId="urn:microsoft.com/office/officeart/2005/8/colors/accent1_2" csCatId="accent1" phldr="1"/>
      <dgm:spPr/>
      <dgm:t>
        <a:bodyPr/>
        <a:lstStyle/>
        <a:p>
          <a:endParaRPr lang="en-AU"/>
        </a:p>
      </dgm:t>
    </dgm:pt>
    <dgm:pt modelId="{4CF172EF-86D8-40AD-AEE3-3106BD217EDE}">
      <dgm:prSet phldrT="[Text]" custT="1"/>
      <dgm:spPr>
        <a:xfrm>
          <a:off x="0" y="32"/>
          <a:ext cx="1614611" cy="1290439"/>
        </a:xfrm>
        <a:prstGeom prst="roundRect">
          <a:avLst/>
        </a:prstGeom>
        <a:gradFill rotWithShape="0">
          <a:gsLst>
            <a:gs pos="0">
              <a:srgbClr val="6929C4">
                <a:hueOff val="0"/>
                <a:satOff val="0"/>
                <a:lumOff val="0"/>
                <a:alphaOff val="0"/>
                <a:satMod val="103000"/>
                <a:lumMod val="102000"/>
                <a:tint val="94000"/>
              </a:srgbClr>
            </a:gs>
            <a:gs pos="50000">
              <a:srgbClr val="6929C4">
                <a:hueOff val="0"/>
                <a:satOff val="0"/>
                <a:lumOff val="0"/>
                <a:alphaOff val="0"/>
                <a:satMod val="110000"/>
                <a:lumMod val="100000"/>
                <a:shade val="100000"/>
              </a:srgbClr>
            </a:gs>
            <a:gs pos="100000">
              <a:srgbClr val="6929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buNone/>
          </a:pPr>
          <a:r>
            <a:rPr lang="en-AU" sz="1000" b="1" i="1" dirty="0">
              <a:solidFill>
                <a:srgbClr val="FFFFFF"/>
              </a:solidFill>
              <a:latin typeface="Arial" panose="020B0604020202020204"/>
              <a:ea typeface="+mn-ea"/>
              <a:cs typeface="+mn-cs"/>
            </a:rPr>
            <a:t>Target 3: Children are engaged in high quality, culturally appropriate early childhood education in their early years. </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58279597-CCBD-4B3E-BA30-1B65E7F34154}" type="parTrans" cxnId="{FAFE15AD-364F-4314-BB80-4D12AD9D117D}">
      <dgm:prSet/>
      <dgm:spPr/>
      <dgm:t>
        <a:bodyPr/>
        <a:lstStyle/>
        <a:p>
          <a:endParaRPr lang="en-AU" sz="1000"/>
        </a:p>
      </dgm:t>
    </dgm:pt>
    <dgm:pt modelId="{4732B7C1-779A-4261-8B96-A4BC02A3CDA0}" type="sibTrans" cxnId="{FAFE15AD-364F-4314-BB80-4D12AD9D117D}">
      <dgm:prSet/>
      <dgm:spPr/>
      <dgm:t>
        <a:bodyPr/>
        <a:lstStyle/>
        <a:p>
          <a:endParaRPr lang="en-AU" sz="1000"/>
        </a:p>
      </dgm:t>
    </dgm:pt>
    <dgm:pt modelId="{95704006-F213-46E5-B8E4-C9EFDB6BABCC}">
      <dgm:prSet phldrT="[Text]" custT="1"/>
      <dgm:spPr>
        <a:xfrm rot="5400000">
          <a:off x="2533646" y="-789958"/>
          <a:ext cx="1032351" cy="2870421"/>
        </a:xfrm>
        <a:prstGeom prst="round2SameRect">
          <a:avLst/>
        </a:prstGeom>
        <a:solidFill>
          <a:srgbClr val="6929C4">
            <a:alpha val="90000"/>
            <a:tint val="40000"/>
            <a:hueOff val="0"/>
            <a:satOff val="0"/>
            <a:lumOff val="0"/>
            <a:alphaOff val="0"/>
          </a:srgbClr>
        </a:solidFill>
        <a:ln w="6350" cap="flat" cmpd="sng" algn="ctr">
          <a:solidFill>
            <a:srgbClr val="6929C4">
              <a:alpha val="90000"/>
              <a:tint val="40000"/>
              <a:hueOff val="0"/>
              <a:satOff val="0"/>
              <a:lumOff val="0"/>
              <a:alphaOff val="0"/>
            </a:srgbClr>
          </a:solidFill>
          <a:prstDash val="solid"/>
          <a:miter lim="800000"/>
        </a:ln>
        <a:effectLst/>
      </dgm:spPr>
      <dgm:t>
        <a:bodyPr/>
        <a:lstStyle/>
        <a:p>
          <a:pPr indent="0">
            <a:buNone/>
          </a:pPr>
          <a:r>
            <a:rPr lang="en-AU" sz="1000" dirty="0">
              <a:solidFill>
                <a:srgbClr val="000000">
                  <a:hueOff val="0"/>
                  <a:satOff val="0"/>
                  <a:lumOff val="0"/>
                  <a:alphaOff val="0"/>
                </a:srgbClr>
              </a:solidFill>
              <a:latin typeface="Arial" panose="020B0604020202020204"/>
              <a:ea typeface="+mn-ea"/>
              <a:cs typeface="+mn-cs"/>
            </a:rPr>
            <a:t>By 2025, increase the proportion of Aboriginal and Torres Strait Islander children enrolled in Year Before Full-time Schooling (YBFS) early childhood education to 95%. </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C14BAE94-3A2C-423E-B858-C454A69ACD87}" type="parTrans" cxnId="{2FF8464E-C837-485B-860E-AC0EEA722DC2}">
      <dgm:prSet/>
      <dgm:spPr/>
      <dgm:t>
        <a:bodyPr/>
        <a:lstStyle/>
        <a:p>
          <a:endParaRPr lang="en-AU" sz="1000"/>
        </a:p>
      </dgm:t>
    </dgm:pt>
    <dgm:pt modelId="{7E62AB34-A629-4EFC-936C-92254DD6B568}" type="sibTrans" cxnId="{2FF8464E-C837-485B-860E-AC0EEA722DC2}">
      <dgm:prSet/>
      <dgm:spPr/>
      <dgm:t>
        <a:bodyPr/>
        <a:lstStyle/>
        <a:p>
          <a:endParaRPr lang="en-AU" sz="1000"/>
        </a:p>
      </dgm:t>
    </dgm:pt>
    <dgm:pt modelId="{E8C01602-336A-40E7-B67C-1A4D1F5D9729}">
      <dgm:prSet phldrT="[Text]" custT="1"/>
      <dgm:spPr>
        <a:xfrm>
          <a:off x="0" y="1354993"/>
          <a:ext cx="1614611" cy="1290439"/>
        </a:xfrm>
        <a:prstGeom prst="roundRect">
          <a:avLst/>
        </a:prstGeom>
        <a:gradFill rotWithShape="0">
          <a:gsLst>
            <a:gs pos="0">
              <a:srgbClr val="6929C4">
                <a:hueOff val="0"/>
                <a:satOff val="0"/>
                <a:lumOff val="0"/>
                <a:alphaOff val="0"/>
                <a:satMod val="103000"/>
                <a:lumMod val="102000"/>
                <a:tint val="94000"/>
              </a:srgbClr>
            </a:gs>
            <a:gs pos="50000">
              <a:srgbClr val="6929C4">
                <a:hueOff val="0"/>
                <a:satOff val="0"/>
                <a:lumOff val="0"/>
                <a:alphaOff val="0"/>
                <a:satMod val="110000"/>
                <a:lumMod val="100000"/>
                <a:shade val="100000"/>
              </a:srgbClr>
            </a:gs>
            <a:gs pos="100000">
              <a:srgbClr val="6929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buNone/>
          </a:pPr>
          <a:r>
            <a:rPr lang="en-AU" sz="1000" b="1" i="1" dirty="0">
              <a:solidFill>
                <a:srgbClr val="FFFFFF"/>
              </a:solidFill>
              <a:latin typeface="Arial" panose="020B0604020202020204"/>
              <a:ea typeface="+mn-ea"/>
              <a:cs typeface="+mn-cs"/>
            </a:rPr>
            <a:t>Target 4: Children thrive in their early years.</a:t>
          </a:r>
          <a:r>
            <a:rPr lang="en-AU" sz="1000" i="1" dirty="0">
              <a:solidFill>
                <a:srgbClr val="FFFFFF"/>
              </a:solidFill>
              <a:latin typeface="Arial" panose="020B0604020202020204"/>
              <a:ea typeface="+mn-ea"/>
              <a:cs typeface="+mn-cs"/>
            </a:rPr>
            <a:t> </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17EFFB92-871C-4379-8C8D-549201096757}" type="parTrans" cxnId="{33499D01-A23D-4110-8B01-FAFB28165F3E}">
      <dgm:prSet/>
      <dgm:spPr/>
      <dgm:t>
        <a:bodyPr/>
        <a:lstStyle/>
        <a:p>
          <a:endParaRPr lang="en-AU" sz="1000"/>
        </a:p>
      </dgm:t>
    </dgm:pt>
    <dgm:pt modelId="{59EF3ED1-8014-4FF4-8158-A6A0AF2714BD}" type="sibTrans" cxnId="{33499D01-A23D-4110-8B01-FAFB28165F3E}">
      <dgm:prSet/>
      <dgm:spPr/>
      <dgm:t>
        <a:bodyPr/>
        <a:lstStyle/>
        <a:p>
          <a:endParaRPr lang="en-AU" sz="1000"/>
        </a:p>
      </dgm:t>
    </dgm:pt>
    <dgm:pt modelId="{3D7F6594-7B1C-494F-948A-6965814E1C6E}">
      <dgm:prSet phldrT="[Text]" custT="1"/>
      <dgm:spPr>
        <a:xfrm rot="5400000">
          <a:off x="2533646" y="565002"/>
          <a:ext cx="1032351" cy="2870421"/>
        </a:xfrm>
        <a:prstGeom prst="round2SameRect">
          <a:avLst/>
        </a:prstGeom>
        <a:solidFill>
          <a:srgbClr val="6929C4">
            <a:alpha val="90000"/>
            <a:tint val="40000"/>
            <a:hueOff val="0"/>
            <a:satOff val="0"/>
            <a:lumOff val="0"/>
            <a:alphaOff val="0"/>
          </a:srgbClr>
        </a:solidFill>
        <a:ln w="6350" cap="flat" cmpd="sng" algn="ctr">
          <a:solidFill>
            <a:srgbClr val="6929C4">
              <a:alpha val="90000"/>
              <a:tint val="40000"/>
              <a:hueOff val="0"/>
              <a:satOff val="0"/>
              <a:lumOff val="0"/>
              <a:alphaOff val="0"/>
            </a:srgbClr>
          </a:solidFill>
          <a:prstDash val="solid"/>
          <a:miter lim="800000"/>
        </a:ln>
        <a:effectLst/>
      </dgm:spPr>
      <dgm:t>
        <a:bodyPr/>
        <a:lstStyle/>
        <a:p>
          <a:pPr indent="0">
            <a:buNone/>
          </a:pPr>
          <a:r>
            <a:rPr lang="en-AU" sz="1000" dirty="0">
              <a:solidFill>
                <a:srgbClr val="000000">
                  <a:hueOff val="0"/>
                  <a:satOff val="0"/>
                  <a:lumOff val="0"/>
                  <a:alphaOff val="0"/>
                </a:srgbClr>
              </a:solidFill>
              <a:latin typeface="Arial" panose="020B0604020202020204"/>
              <a:ea typeface="+mn-ea"/>
              <a:cs typeface="+mn-cs"/>
            </a:rPr>
            <a:t>By 2031, increase the proportion of Aboriginal and Torres Strait Islander children assessed as developmentally on track in all five domains of the Australian Early Development Census (AEDC) to 55%. </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C842A841-BB31-4847-A5A9-3C14531EB887}" type="parTrans" cxnId="{2125A6B0-3800-42A5-9C8E-90EFC649F50A}">
      <dgm:prSet/>
      <dgm:spPr/>
      <dgm:t>
        <a:bodyPr/>
        <a:lstStyle/>
        <a:p>
          <a:endParaRPr lang="en-AU" sz="1000"/>
        </a:p>
      </dgm:t>
    </dgm:pt>
    <dgm:pt modelId="{484FFAC8-F8FF-4EA2-8B2D-FD89746A5DEA}" type="sibTrans" cxnId="{2125A6B0-3800-42A5-9C8E-90EFC649F50A}">
      <dgm:prSet/>
      <dgm:spPr/>
      <dgm:t>
        <a:bodyPr/>
        <a:lstStyle/>
        <a:p>
          <a:endParaRPr lang="en-AU" sz="1000"/>
        </a:p>
      </dgm:t>
    </dgm:pt>
    <dgm:pt modelId="{6D43B45D-BEB5-49F7-B748-72F3BD15BE24}" type="pres">
      <dgm:prSet presAssocID="{E3CA73F3-D230-451F-AC7F-C291275EC02A}" presName="Name0" presStyleCnt="0">
        <dgm:presLayoutVars>
          <dgm:dir/>
          <dgm:animLvl val="lvl"/>
          <dgm:resizeHandles val="exact"/>
        </dgm:presLayoutVars>
      </dgm:prSet>
      <dgm:spPr/>
    </dgm:pt>
    <dgm:pt modelId="{AA030D5D-B980-42DD-9FD3-E076A1ECE911}" type="pres">
      <dgm:prSet presAssocID="{4CF172EF-86D8-40AD-AEE3-3106BD217EDE}" presName="linNode" presStyleCnt="0"/>
      <dgm:spPr/>
    </dgm:pt>
    <dgm:pt modelId="{35A7956B-E6B5-4B35-86C3-82C0E1F10DE5}" type="pres">
      <dgm:prSet presAssocID="{4CF172EF-86D8-40AD-AEE3-3106BD217EDE}" presName="parentText" presStyleLbl="node1" presStyleIdx="0" presStyleCnt="2">
        <dgm:presLayoutVars>
          <dgm:chMax val="1"/>
          <dgm:bulletEnabled val="1"/>
        </dgm:presLayoutVars>
      </dgm:prSet>
      <dgm:spPr/>
    </dgm:pt>
    <dgm:pt modelId="{46720272-E840-4E22-9BBC-E8C26ECA38BF}" type="pres">
      <dgm:prSet presAssocID="{4CF172EF-86D8-40AD-AEE3-3106BD217EDE}" presName="descendantText" presStyleLbl="alignAccFollowNode1" presStyleIdx="0" presStyleCnt="2">
        <dgm:presLayoutVars>
          <dgm:bulletEnabled val="1"/>
        </dgm:presLayoutVars>
      </dgm:prSet>
      <dgm:spPr/>
    </dgm:pt>
    <dgm:pt modelId="{1EE8787C-AF74-4670-BD55-13D45CCE9595}" type="pres">
      <dgm:prSet presAssocID="{4732B7C1-779A-4261-8B96-A4BC02A3CDA0}" presName="sp" presStyleCnt="0"/>
      <dgm:spPr/>
    </dgm:pt>
    <dgm:pt modelId="{87D42A99-4BB0-4EFD-841F-163ADB17C96E}" type="pres">
      <dgm:prSet presAssocID="{E8C01602-336A-40E7-B67C-1A4D1F5D9729}" presName="linNode" presStyleCnt="0"/>
      <dgm:spPr/>
    </dgm:pt>
    <dgm:pt modelId="{54819111-6B96-4A9A-AA1F-2D91ADF30F4B}" type="pres">
      <dgm:prSet presAssocID="{E8C01602-336A-40E7-B67C-1A4D1F5D9729}" presName="parentText" presStyleLbl="node1" presStyleIdx="1" presStyleCnt="2">
        <dgm:presLayoutVars>
          <dgm:chMax val="1"/>
          <dgm:bulletEnabled val="1"/>
        </dgm:presLayoutVars>
      </dgm:prSet>
      <dgm:spPr/>
    </dgm:pt>
    <dgm:pt modelId="{F1CDE6EE-2128-4464-97A3-B809B412AEA3}" type="pres">
      <dgm:prSet presAssocID="{E8C01602-336A-40E7-B67C-1A4D1F5D9729}" presName="descendantText" presStyleLbl="alignAccFollowNode1" presStyleIdx="1" presStyleCnt="2">
        <dgm:presLayoutVars>
          <dgm:bulletEnabled val="1"/>
        </dgm:presLayoutVars>
      </dgm:prSet>
      <dgm:spPr/>
    </dgm:pt>
  </dgm:ptLst>
  <dgm:cxnLst>
    <dgm:cxn modelId="{33499D01-A23D-4110-8B01-FAFB28165F3E}" srcId="{E3CA73F3-D230-451F-AC7F-C291275EC02A}" destId="{E8C01602-336A-40E7-B67C-1A4D1F5D9729}" srcOrd="1" destOrd="0" parTransId="{17EFFB92-871C-4379-8C8D-549201096757}" sibTransId="{59EF3ED1-8014-4FF4-8158-A6A0AF2714BD}"/>
    <dgm:cxn modelId="{E5C18A02-C27D-4083-A10B-106979B82A70}" type="presOf" srcId="{E3CA73F3-D230-451F-AC7F-C291275EC02A}" destId="{6D43B45D-BEB5-49F7-B748-72F3BD15BE24}" srcOrd="0" destOrd="0" presId="urn:microsoft.com/office/officeart/2005/8/layout/vList5"/>
    <dgm:cxn modelId="{F79A9203-704B-4571-A3B6-1EA81D375B3F}" type="presOf" srcId="{E8C01602-336A-40E7-B67C-1A4D1F5D9729}" destId="{54819111-6B96-4A9A-AA1F-2D91ADF30F4B}" srcOrd="0" destOrd="0" presId="urn:microsoft.com/office/officeart/2005/8/layout/vList5"/>
    <dgm:cxn modelId="{DFD46027-BC0C-4DF5-A108-2681E6F0484C}" type="presOf" srcId="{3D7F6594-7B1C-494F-948A-6965814E1C6E}" destId="{F1CDE6EE-2128-4464-97A3-B809B412AEA3}" srcOrd="0" destOrd="0" presId="urn:microsoft.com/office/officeart/2005/8/layout/vList5"/>
    <dgm:cxn modelId="{2FF8464E-C837-485B-860E-AC0EEA722DC2}" srcId="{4CF172EF-86D8-40AD-AEE3-3106BD217EDE}" destId="{95704006-F213-46E5-B8E4-C9EFDB6BABCC}" srcOrd="0" destOrd="0" parTransId="{C14BAE94-3A2C-423E-B858-C454A69ACD87}" sibTransId="{7E62AB34-A629-4EFC-936C-92254DD6B568}"/>
    <dgm:cxn modelId="{CE571B73-F953-47A0-95B8-86B341934900}" type="presOf" srcId="{95704006-F213-46E5-B8E4-C9EFDB6BABCC}" destId="{46720272-E840-4E22-9BBC-E8C26ECA38BF}" srcOrd="0" destOrd="0" presId="urn:microsoft.com/office/officeart/2005/8/layout/vList5"/>
    <dgm:cxn modelId="{FAFE15AD-364F-4314-BB80-4D12AD9D117D}" srcId="{E3CA73F3-D230-451F-AC7F-C291275EC02A}" destId="{4CF172EF-86D8-40AD-AEE3-3106BD217EDE}" srcOrd="0" destOrd="0" parTransId="{58279597-CCBD-4B3E-BA30-1B65E7F34154}" sibTransId="{4732B7C1-779A-4261-8B96-A4BC02A3CDA0}"/>
    <dgm:cxn modelId="{2125A6B0-3800-42A5-9C8E-90EFC649F50A}" srcId="{E8C01602-336A-40E7-B67C-1A4D1F5D9729}" destId="{3D7F6594-7B1C-494F-948A-6965814E1C6E}" srcOrd="0" destOrd="0" parTransId="{C842A841-BB31-4847-A5A9-3C14531EB887}" sibTransId="{484FFAC8-F8FF-4EA2-8B2D-FD89746A5DEA}"/>
    <dgm:cxn modelId="{2F1C78E3-9CAD-44BC-A0FB-B31BB6FAEE6B}" type="presOf" srcId="{4CF172EF-86D8-40AD-AEE3-3106BD217EDE}" destId="{35A7956B-E6B5-4B35-86C3-82C0E1F10DE5}" srcOrd="0" destOrd="0" presId="urn:microsoft.com/office/officeart/2005/8/layout/vList5"/>
    <dgm:cxn modelId="{950E3AD4-A971-45B2-B523-10AE9B6B1267}" type="presParOf" srcId="{6D43B45D-BEB5-49F7-B748-72F3BD15BE24}" destId="{AA030D5D-B980-42DD-9FD3-E076A1ECE911}" srcOrd="0" destOrd="0" presId="urn:microsoft.com/office/officeart/2005/8/layout/vList5"/>
    <dgm:cxn modelId="{920C770D-38A8-4DA9-A3ED-25BCBE155C6D}" type="presParOf" srcId="{AA030D5D-B980-42DD-9FD3-E076A1ECE911}" destId="{35A7956B-E6B5-4B35-86C3-82C0E1F10DE5}" srcOrd="0" destOrd="0" presId="urn:microsoft.com/office/officeart/2005/8/layout/vList5"/>
    <dgm:cxn modelId="{120A5AC0-ACA5-4628-8EA5-171FFBE5B620}" type="presParOf" srcId="{AA030D5D-B980-42DD-9FD3-E076A1ECE911}" destId="{46720272-E840-4E22-9BBC-E8C26ECA38BF}" srcOrd="1" destOrd="0" presId="urn:microsoft.com/office/officeart/2005/8/layout/vList5"/>
    <dgm:cxn modelId="{E6D00492-86C5-4ECF-BD6A-ACDEACE2BA68}" type="presParOf" srcId="{6D43B45D-BEB5-49F7-B748-72F3BD15BE24}" destId="{1EE8787C-AF74-4670-BD55-13D45CCE9595}" srcOrd="1" destOrd="0" presId="urn:microsoft.com/office/officeart/2005/8/layout/vList5"/>
    <dgm:cxn modelId="{BF1F559B-F58C-47A3-AA96-B26EA366646F}" type="presParOf" srcId="{6D43B45D-BEB5-49F7-B748-72F3BD15BE24}" destId="{87D42A99-4BB0-4EFD-841F-163ADB17C96E}" srcOrd="2" destOrd="0" presId="urn:microsoft.com/office/officeart/2005/8/layout/vList5"/>
    <dgm:cxn modelId="{88FB86AA-E046-45B4-93DD-7EC530BF7EE2}" type="presParOf" srcId="{87D42A99-4BB0-4EFD-841F-163ADB17C96E}" destId="{54819111-6B96-4A9A-AA1F-2D91ADF30F4B}" srcOrd="0" destOrd="0" presId="urn:microsoft.com/office/officeart/2005/8/layout/vList5"/>
    <dgm:cxn modelId="{6288E31D-B1FF-44F4-A72C-4A80478E8B9E}" type="presParOf" srcId="{87D42A99-4BB0-4EFD-841F-163ADB17C96E}" destId="{F1CDE6EE-2128-4464-97A3-B809B412AEA3}" srcOrd="1" destOrd="0" presId="urn:microsoft.com/office/officeart/2005/8/layout/vList5"/>
  </dgm:cxnLst>
  <dgm:bg>
    <a:noFill/>
  </dgm:bg>
  <dgm:whole/>
  <dgm:extLst>
    <a:ext uri="http://schemas.microsoft.com/office/drawing/2008/diagram">
      <dsp:dataModelExt xmlns:dsp="http://schemas.microsoft.com/office/drawing/2008/diagram" relId="rId3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CC8D2EE-5585-4169-BCA3-B36AA4569D7F}"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AU"/>
        </a:p>
      </dgm:t>
    </dgm:pt>
    <dgm:pt modelId="{3585B44C-71FF-4CDC-A1A2-1B69C36F5D41}">
      <dgm:prSet phldrT="[Text]" custT="1"/>
      <dgm:spPr>
        <a:xfrm>
          <a:off x="286575" y="86970"/>
          <a:ext cx="4012057" cy="236160"/>
        </a:xfrm>
        <a:prstGeom prst="roundRect">
          <a:avLst/>
        </a:prstGeom>
        <a:solidFill>
          <a:srgbClr val="7030A0"/>
        </a:solidFill>
        <a:ln w="12700" cap="flat" cmpd="sng" algn="ctr">
          <a:solidFill>
            <a:srgbClr val="FFFFFF">
              <a:hueOff val="0"/>
              <a:satOff val="0"/>
              <a:lumOff val="0"/>
              <a:alphaOff val="0"/>
            </a:srgbClr>
          </a:solidFill>
          <a:prstDash val="solid"/>
          <a:miter lim="800000"/>
        </a:ln>
        <a:effectLst/>
      </dgm:spPr>
      <dgm:t>
        <a:bodyPr/>
        <a:lstStyle/>
        <a:p>
          <a:pPr>
            <a:buNone/>
          </a:pPr>
          <a:r>
            <a:rPr lang="en-AU" sz="1050" b="1" dirty="0">
              <a:solidFill>
                <a:srgbClr val="FFFFFF"/>
              </a:solidFill>
              <a:latin typeface="Arial" panose="020B0604020202020204"/>
              <a:ea typeface="+mn-ea"/>
              <a:cs typeface="+mn-cs"/>
            </a:rPr>
            <a:t>Shaping Our Future</a:t>
          </a:r>
          <a:r>
            <a:rPr lang="en-AU" sz="1050" b="1" baseline="30000" dirty="0">
              <a:solidFill>
                <a:srgbClr val="FFFFFF"/>
              </a:solidFill>
              <a:latin typeface="Arial" panose="020B0604020202020204"/>
              <a:ea typeface="+mn-ea"/>
              <a:cs typeface="+mn-cs"/>
            </a:rPr>
            <a:t>1</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34885DA7-2A03-4EC4-8266-E57224F8622F}" type="parTrans" cxnId="{DD28A552-754E-4AB6-9611-013263C7F9AC}">
      <dgm:prSet/>
      <dgm:spPr/>
      <dgm:t>
        <a:bodyPr/>
        <a:lstStyle/>
        <a:p>
          <a:endParaRPr lang="en-AU">
            <a:latin typeface="+mn-lt"/>
          </a:endParaRPr>
        </a:p>
      </dgm:t>
    </dgm:pt>
    <dgm:pt modelId="{E697AFEB-C4F3-4677-B883-F16F32035C11}" type="sibTrans" cxnId="{DD28A552-754E-4AB6-9611-013263C7F9AC}">
      <dgm:prSet/>
      <dgm:spPr/>
      <dgm:t>
        <a:bodyPr/>
        <a:lstStyle/>
        <a:p>
          <a:endParaRPr lang="en-AU">
            <a:latin typeface="+mn-lt"/>
          </a:endParaRPr>
        </a:p>
      </dgm:t>
    </dgm:pt>
    <dgm:pt modelId="{6F619D9C-21E6-41C3-9E98-BC5455A068A8}">
      <dgm:prSet phldrT="[Text]" custT="1"/>
      <dgm:spPr>
        <a:xfrm>
          <a:off x="286575" y="4922850"/>
          <a:ext cx="4012057" cy="236160"/>
        </a:xfrm>
        <a:prstGeom prst="roundRect">
          <a:avLst/>
        </a:prstGeom>
        <a:solidFill>
          <a:srgbClr val="7030A0"/>
        </a:solidFill>
        <a:ln w="12700" cap="flat" cmpd="sng" algn="ctr">
          <a:solidFill>
            <a:srgbClr val="FFFFFF">
              <a:hueOff val="0"/>
              <a:satOff val="0"/>
              <a:lumOff val="0"/>
              <a:alphaOff val="0"/>
            </a:srgbClr>
          </a:solidFill>
          <a:prstDash val="solid"/>
          <a:miter lim="800000"/>
        </a:ln>
        <a:effectLst/>
      </dgm:spPr>
      <dgm:t>
        <a:bodyPr/>
        <a:lstStyle/>
        <a:p>
          <a:pPr>
            <a:buNone/>
          </a:pPr>
          <a:r>
            <a:rPr lang="en-AU" sz="1050" b="1" dirty="0">
              <a:solidFill>
                <a:srgbClr val="FFFFFF"/>
              </a:solidFill>
              <a:latin typeface="Arial" panose="020B0604020202020204"/>
              <a:ea typeface="+mn-ea"/>
              <a:cs typeface="+mn-cs"/>
            </a:rPr>
            <a:t>Closing the Gap</a:t>
          </a:r>
          <a:r>
            <a:rPr lang="en-AU" sz="1050" b="1" baseline="30000" dirty="0">
              <a:solidFill>
                <a:srgbClr val="FFFFFF"/>
              </a:solidFill>
              <a:latin typeface="Arial" panose="020B0604020202020204"/>
              <a:ea typeface="+mn-ea"/>
              <a:cs typeface="+mn-cs"/>
            </a:rPr>
            <a:t>7</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75811F99-96C2-4735-BF1A-C29D347E2E6D}" type="parTrans" cxnId="{3F78ACB3-FBC3-4FB9-8465-EA22ECE0AD97}">
      <dgm:prSet/>
      <dgm:spPr/>
      <dgm:t>
        <a:bodyPr/>
        <a:lstStyle/>
        <a:p>
          <a:endParaRPr lang="en-AU">
            <a:latin typeface="+mn-lt"/>
          </a:endParaRPr>
        </a:p>
      </dgm:t>
    </dgm:pt>
    <dgm:pt modelId="{D637A692-6046-422A-A6F7-2E5EF4868996}" type="sibTrans" cxnId="{3F78ACB3-FBC3-4FB9-8465-EA22ECE0AD97}">
      <dgm:prSet/>
      <dgm:spPr/>
      <dgm:t>
        <a:bodyPr/>
        <a:lstStyle/>
        <a:p>
          <a:endParaRPr lang="en-AU">
            <a:latin typeface="+mn-lt"/>
          </a:endParaRPr>
        </a:p>
      </dgm:t>
    </dgm:pt>
    <dgm:pt modelId="{8B22A588-C9CB-4437-9D48-D3C70331F986}">
      <dgm:prSet phldrT="[Text]" custT="1"/>
      <dgm:spPr>
        <a:xfrm>
          <a:off x="286575" y="3138690"/>
          <a:ext cx="4012057" cy="236160"/>
        </a:xfrm>
        <a:prstGeom prst="roundRect">
          <a:avLst/>
        </a:prstGeom>
        <a:solidFill>
          <a:srgbClr val="7030A0"/>
        </a:solidFill>
        <a:ln w="12700" cap="flat" cmpd="sng" algn="ctr">
          <a:solidFill>
            <a:srgbClr val="FFFFFF">
              <a:hueOff val="0"/>
              <a:satOff val="0"/>
              <a:lumOff val="0"/>
              <a:alphaOff val="0"/>
            </a:srgbClr>
          </a:solidFill>
          <a:prstDash val="solid"/>
          <a:miter lim="800000"/>
        </a:ln>
        <a:effectLst/>
      </dgm:spPr>
      <dgm:t>
        <a:bodyPr/>
        <a:lstStyle/>
        <a:p>
          <a:pPr>
            <a:buNone/>
          </a:pPr>
          <a:r>
            <a:rPr lang="en-AU" sz="1050" b="1" dirty="0">
              <a:solidFill>
                <a:srgbClr val="FFFFFF"/>
              </a:solidFill>
              <a:latin typeface="Arial" panose="020B0604020202020204"/>
              <a:ea typeface="+mn-ea"/>
              <a:cs typeface="+mn-cs"/>
            </a:rPr>
            <a:t>Universal access to preschool</a:t>
          </a:r>
          <a:r>
            <a:rPr lang="en-AU" sz="1050" b="1" baseline="30000" dirty="0">
              <a:solidFill>
                <a:srgbClr val="FFFFFF"/>
              </a:solidFill>
              <a:latin typeface="Arial" panose="020B0604020202020204"/>
              <a:ea typeface="+mn-ea"/>
              <a:cs typeface="+mn-cs"/>
            </a:rPr>
            <a:t>5</a:t>
          </a:r>
          <a:endParaRPr lang="en-AU" sz="1050" b="1" strike="noStrike" baseline="30000" dirty="0">
            <a:solidFill>
              <a:srgbClr val="FFFFFF"/>
            </a:solidFill>
            <a:latin typeface="Arial" panose="020B0604020202020204"/>
            <a:ea typeface="+mn-ea"/>
            <a:cs typeface="+mn-cs"/>
          </a:endParaRP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26B93898-F23C-4517-973D-5ED0DD37BD5D}" type="parTrans" cxnId="{6163246E-3891-4D85-9F19-C1E07D406FB1}">
      <dgm:prSet/>
      <dgm:spPr/>
      <dgm:t>
        <a:bodyPr/>
        <a:lstStyle/>
        <a:p>
          <a:endParaRPr lang="en-AU">
            <a:latin typeface="+mn-lt"/>
          </a:endParaRPr>
        </a:p>
      </dgm:t>
    </dgm:pt>
    <dgm:pt modelId="{70651535-65A3-4178-9585-18ED63FF9A60}" type="sibTrans" cxnId="{6163246E-3891-4D85-9F19-C1E07D406FB1}">
      <dgm:prSet/>
      <dgm:spPr/>
      <dgm:t>
        <a:bodyPr/>
        <a:lstStyle/>
        <a:p>
          <a:endParaRPr lang="en-AU">
            <a:latin typeface="+mn-lt"/>
          </a:endParaRPr>
        </a:p>
      </dgm:t>
    </dgm:pt>
    <dgm:pt modelId="{98EB2AF6-F431-4418-80A9-CC4CFA55F9D8}">
      <dgm:prSet phldrT="[Text]" custT="1"/>
      <dgm:spPr>
        <a:xfrm>
          <a:off x="286575" y="4156770"/>
          <a:ext cx="4012057" cy="236160"/>
        </a:xfrm>
        <a:prstGeom prst="roundRect">
          <a:avLst/>
        </a:prstGeom>
        <a:solidFill>
          <a:srgbClr val="7030A0"/>
        </a:solidFill>
        <a:ln w="12700" cap="flat" cmpd="sng" algn="ctr">
          <a:solidFill>
            <a:srgbClr val="FFFFFF">
              <a:hueOff val="0"/>
              <a:satOff val="0"/>
              <a:lumOff val="0"/>
              <a:alphaOff val="0"/>
            </a:srgbClr>
          </a:solidFill>
          <a:prstDash val="solid"/>
          <a:miter lim="800000"/>
        </a:ln>
        <a:effectLst/>
      </dgm:spPr>
      <dgm:t>
        <a:bodyPr/>
        <a:lstStyle/>
        <a:p>
          <a:pPr>
            <a:buNone/>
          </a:pPr>
          <a:r>
            <a:rPr lang="en-AU" sz="1050" b="1" dirty="0">
              <a:solidFill>
                <a:srgbClr val="FFFFFF"/>
              </a:solidFill>
              <a:latin typeface="Arial" panose="020B0604020202020204"/>
              <a:ea typeface="+mn-ea"/>
              <a:cs typeface="+mn-cs"/>
            </a:rPr>
            <a:t>Fee-free TAFE</a:t>
          </a:r>
          <a:r>
            <a:rPr lang="en-AU" sz="1050" b="1" baseline="30000" dirty="0">
              <a:solidFill>
                <a:srgbClr val="FFFFFF"/>
              </a:solidFill>
              <a:latin typeface="Arial" panose="020B0604020202020204"/>
              <a:ea typeface="+mn-ea"/>
              <a:cs typeface="+mn-cs"/>
            </a:rPr>
            <a:t>6</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6C70B957-9FA3-4E99-BC0A-5616CB6F8BE4}" type="parTrans" cxnId="{3944D92D-D351-4B6A-B1D7-C2011143A680}">
      <dgm:prSet/>
      <dgm:spPr/>
      <dgm:t>
        <a:bodyPr/>
        <a:lstStyle/>
        <a:p>
          <a:endParaRPr lang="en-AU">
            <a:latin typeface="+mn-lt"/>
          </a:endParaRPr>
        </a:p>
      </dgm:t>
    </dgm:pt>
    <dgm:pt modelId="{6466BF07-937A-45D7-AC07-FE4ACCF5FBD2}" type="sibTrans" cxnId="{3944D92D-D351-4B6A-B1D7-C2011143A680}">
      <dgm:prSet/>
      <dgm:spPr/>
      <dgm:t>
        <a:bodyPr/>
        <a:lstStyle/>
        <a:p>
          <a:endParaRPr lang="en-AU">
            <a:latin typeface="+mn-lt"/>
          </a:endParaRPr>
        </a:p>
      </dgm:t>
    </dgm:pt>
    <dgm:pt modelId="{515C4526-A8C2-42D1-AE09-009D1F309721}">
      <dgm:prSet phldrT="[Text]" custT="1"/>
      <dgm:spPr>
        <a:xfrm>
          <a:off x="286575" y="6455010"/>
          <a:ext cx="4012057" cy="236160"/>
        </a:xfrm>
        <a:prstGeom prst="roundRect">
          <a:avLst/>
        </a:prstGeom>
        <a:solidFill>
          <a:srgbClr val="7030A0"/>
        </a:solidFill>
        <a:ln w="12700" cap="flat" cmpd="sng" algn="ctr">
          <a:solidFill>
            <a:srgbClr val="FFFFFF">
              <a:hueOff val="0"/>
              <a:satOff val="0"/>
              <a:lumOff val="0"/>
              <a:alphaOff val="0"/>
            </a:srgbClr>
          </a:solidFill>
          <a:prstDash val="solid"/>
          <a:miter lim="800000"/>
        </a:ln>
        <a:effectLst/>
      </dgm:spPr>
      <dgm:t>
        <a:bodyPr/>
        <a:lstStyle/>
        <a:p>
          <a:pPr>
            <a:buNone/>
          </a:pPr>
          <a:r>
            <a:rPr lang="en-AU" sz="1050" b="1" dirty="0">
              <a:solidFill>
                <a:srgbClr val="FFFFFF"/>
              </a:solidFill>
              <a:latin typeface="Arial" panose="020B0604020202020204"/>
              <a:ea typeface="+mn-ea"/>
              <a:cs typeface="+mn-cs"/>
            </a:rPr>
            <a:t>Jobs and Skills Councils (HumanAbility)</a:t>
          </a:r>
          <a:r>
            <a:rPr lang="en-AU" sz="1050" b="1" baseline="30000" dirty="0">
              <a:solidFill>
                <a:srgbClr val="FFFFFF"/>
              </a:solidFill>
              <a:latin typeface="Arial" panose="020B0604020202020204"/>
              <a:ea typeface="+mn-ea"/>
              <a:cs typeface="+mn-cs"/>
            </a:rPr>
            <a:t>9</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8111F728-0F53-42B0-B164-6C3D4F44E8FA}" type="parTrans" cxnId="{0007267F-FE01-4854-B086-569794ED8E7E}">
      <dgm:prSet/>
      <dgm:spPr/>
      <dgm:t>
        <a:bodyPr/>
        <a:lstStyle/>
        <a:p>
          <a:endParaRPr lang="en-AU">
            <a:latin typeface="+mn-lt"/>
          </a:endParaRPr>
        </a:p>
      </dgm:t>
    </dgm:pt>
    <dgm:pt modelId="{512081AC-AE09-4188-8D8F-62DCA9B85F96}" type="sibTrans" cxnId="{0007267F-FE01-4854-B086-569794ED8E7E}">
      <dgm:prSet/>
      <dgm:spPr/>
      <dgm:t>
        <a:bodyPr/>
        <a:lstStyle/>
        <a:p>
          <a:endParaRPr lang="en-AU">
            <a:latin typeface="+mn-lt"/>
          </a:endParaRPr>
        </a:p>
      </dgm:t>
    </dgm:pt>
    <dgm:pt modelId="{E5D384C8-31AB-42AD-A884-3FFDBF41B58A}">
      <dgm:prSet phldrT="[Text]" custT="1"/>
      <dgm:spPr>
        <a:xfrm>
          <a:off x="286575" y="7095090"/>
          <a:ext cx="4012057" cy="236160"/>
        </a:xfrm>
        <a:prstGeom prst="roundRect">
          <a:avLst/>
        </a:prstGeom>
        <a:solidFill>
          <a:srgbClr val="7030A0"/>
        </a:solidFill>
        <a:ln w="12700" cap="flat" cmpd="sng" algn="ctr">
          <a:solidFill>
            <a:srgbClr val="FFFFFF">
              <a:hueOff val="0"/>
              <a:satOff val="0"/>
              <a:lumOff val="0"/>
              <a:alphaOff val="0"/>
            </a:srgbClr>
          </a:solidFill>
          <a:prstDash val="solid"/>
          <a:miter lim="800000"/>
        </a:ln>
        <a:effectLst/>
      </dgm:spPr>
      <dgm:t>
        <a:bodyPr/>
        <a:lstStyle/>
        <a:p>
          <a:pPr>
            <a:buNone/>
          </a:pPr>
          <a:r>
            <a:rPr lang="en-AU" sz="1050" b="1" dirty="0">
              <a:solidFill>
                <a:srgbClr val="FFFFFF"/>
              </a:solidFill>
              <a:latin typeface="Arial" panose="020B0604020202020204"/>
              <a:ea typeface="+mn-ea"/>
              <a:cs typeface="+mn-cs"/>
            </a:rPr>
            <a:t>ACCC and PC reports</a:t>
          </a:r>
          <a:r>
            <a:rPr lang="en-AU" sz="1050" b="1" baseline="30000" dirty="0">
              <a:solidFill>
                <a:srgbClr val="FFFFFF"/>
              </a:solidFill>
              <a:latin typeface="Arial" panose="020B0604020202020204"/>
              <a:ea typeface="+mn-ea"/>
              <a:cs typeface="+mn-cs"/>
            </a:rPr>
            <a:t>10,11</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E4C700FE-1851-4584-8184-69F1BDD718D5}" type="parTrans" cxnId="{CE045B39-958D-4A84-9D6D-B7B8C1A022A4}">
      <dgm:prSet/>
      <dgm:spPr/>
      <dgm:t>
        <a:bodyPr/>
        <a:lstStyle/>
        <a:p>
          <a:endParaRPr lang="en-AU">
            <a:latin typeface="+mn-lt"/>
          </a:endParaRPr>
        </a:p>
      </dgm:t>
    </dgm:pt>
    <dgm:pt modelId="{F550FCD7-1BFF-4EEA-9258-D9E795051BC4}" type="sibTrans" cxnId="{CE045B39-958D-4A84-9D6D-B7B8C1A022A4}">
      <dgm:prSet/>
      <dgm:spPr/>
      <dgm:t>
        <a:bodyPr/>
        <a:lstStyle/>
        <a:p>
          <a:endParaRPr lang="en-AU">
            <a:latin typeface="+mn-lt"/>
          </a:endParaRPr>
        </a:p>
      </dgm:t>
    </dgm:pt>
    <dgm:pt modelId="{270AEF2A-FAD6-48B7-A4A2-9FC75F139B7A}">
      <dgm:prSet custT="1"/>
      <dgm:spPr>
        <a:xfrm>
          <a:off x="0" y="205050"/>
          <a:ext cx="5731510" cy="478800"/>
        </a:xfrm>
        <a:prstGeom prst="rect">
          <a:avLst/>
        </a:prstGeom>
        <a:solidFill>
          <a:srgbClr val="FFFFFF">
            <a:alpha val="90000"/>
            <a:hueOff val="0"/>
            <a:satOff val="0"/>
            <a:lumOff val="0"/>
            <a:alphaOff val="0"/>
          </a:srgbClr>
        </a:solidFill>
        <a:ln w="12700" cap="flat" cmpd="sng" algn="ctr">
          <a:solidFill>
            <a:srgbClr val="7030A0"/>
          </a:solidFill>
          <a:prstDash val="solid"/>
          <a:miter lim="800000"/>
        </a:ln>
        <a:effectLst/>
      </dgm:spPr>
      <dgm:t>
        <a:bodyPr/>
        <a:lstStyle/>
        <a:p>
          <a:pPr>
            <a:buNone/>
          </a:pPr>
          <a:r>
            <a:rPr lang="en-AU" sz="900" dirty="0">
              <a:solidFill>
                <a:srgbClr val="000000">
                  <a:hueOff val="0"/>
                  <a:satOff val="0"/>
                  <a:lumOff val="0"/>
                  <a:alphaOff val="0"/>
                </a:srgbClr>
              </a:solidFill>
              <a:latin typeface="Arial" panose="020B0604020202020204"/>
              <a:ea typeface="+mn-ea"/>
              <a:cs typeface="+mn-cs"/>
            </a:rPr>
            <a:t>A strategy to address the complex and longstanding workforce challenges experienced by the sector, including 21 actions for implementation by 2024, 2027 and 2031.</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14217C4D-83A0-4348-9466-737435409DC1}" type="parTrans" cxnId="{EBDB9BD2-30C4-421E-BE1C-09CB091776DE}">
      <dgm:prSet/>
      <dgm:spPr/>
      <dgm:t>
        <a:bodyPr/>
        <a:lstStyle/>
        <a:p>
          <a:endParaRPr lang="en-AU">
            <a:latin typeface="+mn-lt"/>
          </a:endParaRPr>
        </a:p>
      </dgm:t>
    </dgm:pt>
    <dgm:pt modelId="{BBC5D170-0317-406F-BCE6-9D9A6F543ED6}" type="sibTrans" cxnId="{EBDB9BD2-30C4-421E-BE1C-09CB091776DE}">
      <dgm:prSet/>
      <dgm:spPr/>
      <dgm:t>
        <a:bodyPr/>
        <a:lstStyle/>
        <a:p>
          <a:endParaRPr lang="en-AU">
            <a:latin typeface="+mn-lt"/>
          </a:endParaRPr>
        </a:p>
      </dgm:t>
    </dgm:pt>
    <dgm:pt modelId="{EAF4CD55-D976-4930-840A-10DAF97587C1}">
      <dgm:prSet phldrT="[Text]" custT="1"/>
      <dgm:spPr>
        <a:xfrm>
          <a:off x="0" y="3256770"/>
          <a:ext cx="5731510" cy="856800"/>
        </a:xfrm>
        <a:prstGeom prst="rect">
          <a:avLst/>
        </a:prstGeom>
        <a:solidFill>
          <a:srgbClr val="FFFFFF">
            <a:alpha val="90000"/>
            <a:hueOff val="0"/>
            <a:satOff val="0"/>
            <a:lumOff val="0"/>
            <a:alphaOff val="0"/>
          </a:srgbClr>
        </a:solidFill>
        <a:ln w="12700" cap="flat" cmpd="sng" algn="ctr">
          <a:solidFill>
            <a:srgbClr val="7030A0"/>
          </a:solidFill>
          <a:prstDash val="solid"/>
          <a:miter lim="800000"/>
        </a:ln>
        <a:effectLst/>
      </dgm:spPr>
      <dgm:t>
        <a:bodyPr/>
        <a:lstStyle/>
        <a:p>
          <a:pPr>
            <a:buChar char="•"/>
          </a:pPr>
          <a:r>
            <a:rPr lang="en-AU" sz="900" kern="1200" dirty="0">
              <a:solidFill>
                <a:srgbClr val="000000">
                  <a:hueOff val="0"/>
                  <a:satOff val="0"/>
                  <a:lumOff val="0"/>
                  <a:alphaOff val="0"/>
                </a:srgbClr>
              </a:solidFill>
              <a:latin typeface="Arial" panose="020B0604020202020204"/>
              <a:ea typeface="+mn-ea"/>
              <a:cs typeface="+mn-cs"/>
            </a:rPr>
            <a:t>NSW, SA and VIC governments are committed to expanding access to 30 hours of preschool in the YBFS and support more 3-year-old children participating in preschool. Other state and territories are expected to make similar commitments. </a:t>
          </a:r>
          <a:endParaRPr lang="en-AU" sz="1050" kern="1200" dirty="0">
            <a:solidFill>
              <a:srgbClr val="000000">
                <a:hueOff val="0"/>
                <a:satOff val="0"/>
                <a:lumOff val="0"/>
                <a:alphaOff val="0"/>
              </a:srgbClr>
            </a:solidFill>
            <a:latin typeface="Arial" panose="020B0604020202020204"/>
            <a:ea typeface="+mn-ea"/>
            <a:cs typeface="+mn-cs"/>
          </a:endParaRPr>
        </a:p>
      </dgm:t>
    </dgm:pt>
    <dgm:pt modelId="{3E1E8DA3-CD32-4A0F-89EE-A6983A371B3A}" type="parTrans" cxnId="{D8151C95-EEB0-4BC9-8F39-C04BDD44FEDE}">
      <dgm:prSet/>
      <dgm:spPr/>
      <dgm:t>
        <a:bodyPr/>
        <a:lstStyle/>
        <a:p>
          <a:endParaRPr lang="en-AU">
            <a:latin typeface="+mn-lt"/>
          </a:endParaRPr>
        </a:p>
      </dgm:t>
    </dgm:pt>
    <dgm:pt modelId="{3F309701-4354-4554-AB14-0E1239FB3661}" type="sibTrans" cxnId="{D8151C95-EEB0-4BC9-8F39-C04BDD44FEDE}">
      <dgm:prSet/>
      <dgm:spPr/>
      <dgm:t>
        <a:bodyPr/>
        <a:lstStyle/>
        <a:p>
          <a:endParaRPr lang="en-AU">
            <a:latin typeface="+mn-lt"/>
          </a:endParaRPr>
        </a:p>
      </dgm:t>
    </dgm:pt>
    <dgm:pt modelId="{B1ABBFFC-E4EE-402C-88AB-65B94EADCC12}">
      <dgm:prSet phldrT="[Text]" custT="1"/>
      <dgm:spPr>
        <a:xfrm>
          <a:off x="0" y="4274850"/>
          <a:ext cx="5731510" cy="604800"/>
        </a:xfrm>
        <a:prstGeom prst="rect">
          <a:avLst/>
        </a:prstGeom>
        <a:solidFill>
          <a:srgbClr val="FFFFFF">
            <a:alpha val="90000"/>
            <a:hueOff val="0"/>
            <a:satOff val="0"/>
            <a:lumOff val="0"/>
            <a:alphaOff val="0"/>
          </a:srgbClr>
        </a:solidFill>
        <a:ln w="12700" cap="flat" cmpd="sng" algn="ctr">
          <a:solidFill>
            <a:srgbClr val="7030A0"/>
          </a:solidFill>
          <a:prstDash val="solid"/>
          <a:miter lim="800000"/>
        </a:ln>
        <a:effectLst/>
      </dgm:spPr>
      <dgm:t>
        <a:bodyPr/>
        <a:lstStyle/>
        <a:p>
          <a:pPr>
            <a:buNone/>
          </a:pPr>
          <a:r>
            <a:rPr lang="en-AU" sz="900" dirty="0">
              <a:solidFill>
                <a:srgbClr val="000000">
                  <a:hueOff val="0"/>
                  <a:satOff val="0"/>
                  <a:lumOff val="0"/>
                  <a:alphaOff val="0"/>
                </a:srgbClr>
              </a:solidFill>
              <a:latin typeface="Arial" panose="020B0604020202020204"/>
              <a:ea typeface="+mn-ea"/>
              <a:cs typeface="+mn-cs"/>
            </a:rPr>
            <a:t>The Australian government along with state and territory governments have agreed to accelerate the delivery of fee-free TAFE places, with 300,000 to be delivered in 2024</a:t>
          </a:r>
          <a:r>
            <a:rPr lang="en-AU" sz="1000" dirty="0">
              <a:solidFill>
                <a:srgbClr val="000000">
                  <a:hueOff val="0"/>
                  <a:satOff val="0"/>
                  <a:lumOff val="0"/>
                  <a:alphaOff val="0"/>
                </a:srgbClr>
              </a:solidFill>
              <a:latin typeface="Arial" panose="020B0604020202020204"/>
              <a:ea typeface="+mn-ea"/>
              <a:cs typeface="+mn-cs"/>
            </a:rPr>
            <a:t>. </a:t>
          </a:r>
          <a:r>
            <a:rPr lang="en-AU" sz="900" dirty="0">
              <a:solidFill>
                <a:srgbClr val="000000">
                  <a:hueOff val="0"/>
                  <a:satOff val="0"/>
                  <a:lumOff val="0"/>
                  <a:alphaOff val="0"/>
                </a:srgbClr>
              </a:solidFill>
              <a:latin typeface="Arial" panose="020B0604020202020204"/>
              <a:ea typeface="+mn-ea"/>
              <a:cs typeface="+mn-cs"/>
            </a:rPr>
            <a:t>A portion of these places will go to ECEC students across Australia.</a:t>
          </a:r>
          <a:endParaRPr lang="en-AU" sz="1000" dirty="0">
            <a:solidFill>
              <a:srgbClr val="000000">
                <a:hueOff val="0"/>
                <a:satOff val="0"/>
                <a:lumOff val="0"/>
                <a:alphaOff val="0"/>
              </a:srgbClr>
            </a:solidFill>
            <a:latin typeface="Arial" panose="020B0604020202020204"/>
            <a:ea typeface="+mn-ea"/>
            <a:cs typeface="+mn-cs"/>
          </a:endParaRP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18693845-88F2-43C5-A40A-8061D1E519BA}" type="parTrans" cxnId="{FD7EE0AA-BC57-4162-A4B6-5430F2683E3E}">
      <dgm:prSet/>
      <dgm:spPr/>
      <dgm:t>
        <a:bodyPr/>
        <a:lstStyle/>
        <a:p>
          <a:endParaRPr lang="en-AU">
            <a:latin typeface="+mn-lt"/>
          </a:endParaRPr>
        </a:p>
      </dgm:t>
    </dgm:pt>
    <dgm:pt modelId="{BD76A6ED-ABC0-43ED-A710-9B0B135A96BC}" type="sibTrans" cxnId="{FD7EE0AA-BC57-4162-A4B6-5430F2683E3E}">
      <dgm:prSet/>
      <dgm:spPr/>
      <dgm:t>
        <a:bodyPr/>
        <a:lstStyle/>
        <a:p>
          <a:endParaRPr lang="en-AU">
            <a:latin typeface="+mn-lt"/>
          </a:endParaRPr>
        </a:p>
      </dgm:t>
    </dgm:pt>
    <dgm:pt modelId="{BB6B2F76-E6AD-4358-AF83-4BDAC223DE86}">
      <dgm:prSet phldrT="[Text]" custT="1"/>
      <dgm:spPr>
        <a:xfrm>
          <a:off x="0" y="5040930"/>
          <a:ext cx="5731510" cy="730800"/>
        </a:xfrm>
        <a:prstGeom prst="rect">
          <a:avLst/>
        </a:prstGeom>
        <a:solidFill>
          <a:srgbClr val="FFFFFF">
            <a:alpha val="90000"/>
            <a:hueOff val="0"/>
            <a:satOff val="0"/>
            <a:lumOff val="0"/>
            <a:alphaOff val="0"/>
          </a:srgbClr>
        </a:solidFill>
        <a:ln w="12700" cap="flat" cmpd="sng" algn="ctr">
          <a:solidFill>
            <a:srgbClr val="7030A0"/>
          </a:solidFill>
          <a:prstDash val="solid"/>
          <a:miter lim="800000"/>
        </a:ln>
        <a:effectLst/>
      </dgm:spPr>
      <dgm:t>
        <a:bodyPr/>
        <a:lstStyle/>
        <a:p>
          <a:pPr>
            <a:buChar char="•"/>
          </a:pPr>
          <a:r>
            <a:rPr lang="en-AU" sz="900" dirty="0">
              <a:solidFill>
                <a:srgbClr val="000000">
                  <a:hueOff val="0"/>
                  <a:satOff val="0"/>
                  <a:lumOff val="0"/>
                  <a:alphaOff val="0"/>
                </a:srgbClr>
              </a:solidFill>
              <a:latin typeface="Arial" panose="020B0604020202020204"/>
              <a:ea typeface="+mn-ea"/>
              <a:cs typeface="+mn-cs"/>
            </a:rPr>
            <a:t>In July 2020, the Coalition of Aboriginal and Torres Strait Islander Peak Organisations and all Australian Governments agreed a National Agreement on Closing the Gap.</a:t>
          </a:r>
          <a:endParaRPr lang="en-AU" sz="1050" dirty="0">
            <a:solidFill>
              <a:srgbClr val="000000">
                <a:hueOff val="0"/>
                <a:satOff val="0"/>
                <a:lumOff val="0"/>
                <a:alphaOff val="0"/>
              </a:srgbClr>
            </a:solidFill>
            <a:latin typeface="Arial" panose="020B0604020202020204"/>
            <a:ea typeface="+mn-ea"/>
            <a:cs typeface="+mn-cs"/>
          </a:endParaRP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3B708AB1-C3AC-41F3-924A-B3293F5FB89A}" type="parTrans" cxnId="{45F389FD-54FD-45F9-9444-6FB29C73A594}">
      <dgm:prSet/>
      <dgm:spPr/>
      <dgm:t>
        <a:bodyPr/>
        <a:lstStyle/>
        <a:p>
          <a:endParaRPr lang="en-AU">
            <a:latin typeface="+mn-lt"/>
          </a:endParaRPr>
        </a:p>
      </dgm:t>
    </dgm:pt>
    <dgm:pt modelId="{77FEE799-3F18-468A-A211-92702EE819CF}" type="sibTrans" cxnId="{45F389FD-54FD-45F9-9444-6FB29C73A594}">
      <dgm:prSet/>
      <dgm:spPr/>
      <dgm:t>
        <a:bodyPr/>
        <a:lstStyle/>
        <a:p>
          <a:endParaRPr lang="en-AU">
            <a:latin typeface="+mn-lt"/>
          </a:endParaRPr>
        </a:p>
      </dgm:t>
    </dgm:pt>
    <dgm:pt modelId="{ADA6CD3A-6300-4960-8242-B1A11BCF957B}">
      <dgm:prSet phldrT="[Text]" custT="1"/>
      <dgm:spPr>
        <a:xfrm>
          <a:off x="0" y="5040930"/>
          <a:ext cx="5731510" cy="730800"/>
        </a:xfrm>
        <a:prstGeom prst="rect">
          <a:avLst/>
        </a:prstGeom>
        <a:solidFill>
          <a:srgbClr val="FFFFFF">
            <a:alpha val="90000"/>
            <a:hueOff val="0"/>
            <a:satOff val="0"/>
            <a:lumOff val="0"/>
            <a:alphaOff val="0"/>
          </a:srgbClr>
        </a:solidFill>
        <a:ln w="12700" cap="flat" cmpd="sng" algn="ctr">
          <a:solidFill>
            <a:srgbClr val="7030A0"/>
          </a:solidFill>
          <a:prstDash val="solid"/>
          <a:miter lim="800000"/>
        </a:ln>
        <a:effectLst/>
      </dgm:spPr>
      <dgm:t>
        <a:bodyPr/>
        <a:lstStyle/>
        <a:p>
          <a:pPr>
            <a:buChar char="•"/>
          </a:pPr>
          <a:r>
            <a:rPr lang="en-AU" sz="900" dirty="0">
              <a:solidFill>
                <a:srgbClr val="000000">
                  <a:hueOff val="0"/>
                  <a:satOff val="0"/>
                  <a:lumOff val="0"/>
                  <a:alphaOff val="0"/>
                </a:srgbClr>
              </a:solidFill>
              <a:latin typeface="Arial" panose="020B0604020202020204"/>
              <a:ea typeface="+mn-ea"/>
              <a:cs typeface="+mn-cs"/>
            </a:rPr>
            <a:t>ECEC was identified as a policy priority area with a strong community-controlled sector needed to deliver services and programs.</a:t>
          </a:r>
          <a:endParaRPr lang="en-AU" sz="1400" dirty="0">
            <a:solidFill>
              <a:srgbClr val="000000">
                <a:hueOff val="0"/>
                <a:satOff val="0"/>
                <a:lumOff val="0"/>
                <a:alphaOff val="0"/>
              </a:srgbClr>
            </a:solidFill>
            <a:latin typeface="Arial" panose="020B0604020202020204"/>
            <a:ea typeface="+mn-ea"/>
            <a:cs typeface="+mn-cs"/>
          </a:endParaRPr>
        </a:p>
      </dgm:t>
    </dgm:pt>
    <dgm:pt modelId="{512480F7-36AA-4172-BBE8-1FC5A078620A}" type="parTrans" cxnId="{F7E2554B-9C33-4C4F-93FC-2DDF84592AAB}">
      <dgm:prSet/>
      <dgm:spPr/>
      <dgm:t>
        <a:bodyPr/>
        <a:lstStyle/>
        <a:p>
          <a:endParaRPr lang="en-AU">
            <a:latin typeface="+mn-lt"/>
          </a:endParaRPr>
        </a:p>
      </dgm:t>
    </dgm:pt>
    <dgm:pt modelId="{589A06AA-D08D-4934-8A90-766CDDD3E81C}" type="sibTrans" cxnId="{F7E2554B-9C33-4C4F-93FC-2DDF84592AAB}">
      <dgm:prSet/>
      <dgm:spPr/>
      <dgm:t>
        <a:bodyPr/>
        <a:lstStyle/>
        <a:p>
          <a:endParaRPr lang="en-AU">
            <a:latin typeface="+mn-lt"/>
          </a:endParaRPr>
        </a:p>
      </dgm:t>
    </dgm:pt>
    <dgm:pt modelId="{D790D663-0BAD-44E2-AF95-729CD5F2188D}">
      <dgm:prSet phldrT="[Text]" custT="1"/>
      <dgm:spPr>
        <a:xfrm>
          <a:off x="286575" y="5814930"/>
          <a:ext cx="4012057" cy="236160"/>
        </a:xfrm>
        <a:prstGeom prst="roundRect">
          <a:avLst/>
        </a:prstGeom>
        <a:solidFill>
          <a:srgbClr val="7030A0"/>
        </a:solidFill>
        <a:ln w="12700" cap="flat" cmpd="sng" algn="ctr">
          <a:solidFill>
            <a:srgbClr val="FFFFFF">
              <a:hueOff val="0"/>
              <a:satOff val="0"/>
              <a:lumOff val="0"/>
              <a:alphaOff val="0"/>
            </a:srgbClr>
          </a:solidFill>
          <a:prstDash val="solid"/>
          <a:miter lim="800000"/>
        </a:ln>
        <a:effectLst/>
      </dgm:spPr>
      <dgm:t>
        <a:bodyPr/>
        <a:lstStyle/>
        <a:p>
          <a:pPr>
            <a:buNone/>
          </a:pPr>
          <a:r>
            <a:rPr lang="en-AU" sz="1050" b="1" dirty="0">
              <a:solidFill>
                <a:srgbClr val="FFFFFF"/>
              </a:solidFill>
              <a:latin typeface="Arial" panose="020B0604020202020204"/>
              <a:ea typeface="+mn-ea"/>
              <a:cs typeface="+mn-cs"/>
            </a:rPr>
            <a:t>Skills Package in the 2023-24 budget</a:t>
          </a:r>
          <a:r>
            <a:rPr lang="en-AU" sz="1050" b="1" baseline="30000" dirty="0">
              <a:solidFill>
                <a:srgbClr val="FFFFFF"/>
              </a:solidFill>
              <a:latin typeface="Arial" panose="020B0604020202020204"/>
              <a:ea typeface="+mn-ea"/>
              <a:cs typeface="+mn-cs"/>
            </a:rPr>
            <a:t>8</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A2EFC512-A221-45F7-BB89-49D510C05520}" type="parTrans" cxnId="{13EFDA0A-69F5-4271-AD29-3DB6BA94D2FE}">
      <dgm:prSet/>
      <dgm:spPr/>
      <dgm:t>
        <a:bodyPr/>
        <a:lstStyle/>
        <a:p>
          <a:endParaRPr lang="en-AU">
            <a:latin typeface="+mn-lt"/>
          </a:endParaRPr>
        </a:p>
      </dgm:t>
    </dgm:pt>
    <dgm:pt modelId="{B0CA1FD5-4454-42E7-9A99-D6EF03EF26CE}" type="sibTrans" cxnId="{13EFDA0A-69F5-4271-AD29-3DB6BA94D2FE}">
      <dgm:prSet/>
      <dgm:spPr/>
      <dgm:t>
        <a:bodyPr/>
        <a:lstStyle/>
        <a:p>
          <a:endParaRPr lang="en-AU">
            <a:latin typeface="+mn-lt"/>
          </a:endParaRPr>
        </a:p>
      </dgm:t>
    </dgm:pt>
    <dgm:pt modelId="{644643D5-4B40-4708-9B25-2CA1F2B817D7}">
      <dgm:prSet phldrT="[Text]" custT="1"/>
      <dgm:spPr>
        <a:xfrm>
          <a:off x="0" y="5933010"/>
          <a:ext cx="5731510" cy="478800"/>
        </a:xfrm>
        <a:prstGeom prst="rect">
          <a:avLst/>
        </a:prstGeom>
        <a:solidFill>
          <a:srgbClr val="FFFFFF">
            <a:alpha val="90000"/>
            <a:hueOff val="0"/>
            <a:satOff val="0"/>
            <a:lumOff val="0"/>
            <a:alphaOff val="0"/>
          </a:srgbClr>
        </a:solidFill>
        <a:ln w="12700" cap="flat" cmpd="sng" algn="ctr">
          <a:solidFill>
            <a:srgbClr val="7030A0"/>
          </a:solidFill>
          <a:prstDash val="solid"/>
          <a:miter lim="800000"/>
        </a:ln>
        <a:effectLst/>
      </dgm:spPr>
      <dgm:t>
        <a:bodyPr/>
        <a:lstStyle/>
        <a:p>
          <a:pPr>
            <a:buNone/>
          </a:pPr>
          <a:r>
            <a:rPr lang="en-AU" sz="900" dirty="0">
              <a:solidFill>
                <a:srgbClr val="000000">
                  <a:hueOff val="0"/>
                  <a:satOff val="0"/>
                  <a:lumOff val="0"/>
                  <a:alphaOff val="0"/>
                </a:srgbClr>
              </a:solidFill>
              <a:latin typeface="Arial" panose="020B0604020202020204"/>
              <a:ea typeface="+mn-ea"/>
              <a:cs typeface="+mn-cs"/>
            </a:rPr>
            <a:t>$72.4 million funding boost to support more than 80,000 ECEC worker’s on-the-job training and upskilling for more complex and higher paying roles.</a:t>
          </a:r>
          <a:endParaRPr lang="en-AU" sz="1000" dirty="0">
            <a:solidFill>
              <a:srgbClr val="000000">
                <a:hueOff val="0"/>
                <a:satOff val="0"/>
                <a:lumOff val="0"/>
                <a:alphaOff val="0"/>
              </a:srgbClr>
            </a:solidFill>
            <a:latin typeface="Arial" panose="020B0604020202020204"/>
            <a:ea typeface="+mn-ea"/>
            <a:cs typeface="+mn-cs"/>
          </a:endParaRP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E743DB5C-3074-4F34-9FEE-3803A357175B}" type="parTrans" cxnId="{F045DFFD-22A4-4EAA-BFBF-888EBB0F5D8C}">
      <dgm:prSet/>
      <dgm:spPr/>
      <dgm:t>
        <a:bodyPr/>
        <a:lstStyle/>
        <a:p>
          <a:endParaRPr lang="en-AU">
            <a:latin typeface="+mn-lt"/>
          </a:endParaRPr>
        </a:p>
      </dgm:t>
    </dgm:pt>
    <dgm:pt modelId="{115589F7-0026-4802-83CE-738C218FE9BF}" type="sibTrans" cxnId="{F045DFFD-22A4-4EAA-BFBF-888EBB0F5D8C}">
      <dgm:prSet/>
      <dgm:spPr/>
      <dgm:t>
        <a:bodyPr/>
        <a:lstStyle/>
        <a:p>
          <a:endParaRPr lang="en-AU">
            <a:latin typeface="+mn-lt"/>
          </a:endParaRPr>
        </a:p>
      </dgm:t>
    </dgm:pt>
    <dgm:pt modelId="{6DD6F832-821F-4DBD-B73F-95CC7D7975A7}">
      <dgm:prSet phldrT="[Text]" custT="1"/>
      <dgm:spPr>
        <a:xfrm>
          <a:off x="0" y="6573090"/>
          <a:ext cx="5731510" cy="478800"/>
        </a:xfrm>
        <a:prstGeom prst="rect">
          <a:avLst/>
        </a:prstGeom>
        <a:solidFill>
          <a:srgbClr val="FFFFFF">
            <a:alpha val="90000"/>
            <a:hueOff val="0"/>
            <a:satOff val="0"/>
            <a:lumOff val="0"/>
            <a:alphaOff val="0"/>
          </a:srgbClr>
        </a:solidFill>
        <a:ln w="12700" cap="flat" cmpd="sng" algn="ctr">
          <a:solidFill>
            <a:srgbClr val="7030A0"/>
          </a:solidFill>
          <a:prstDash val="solid"/>
          <a:miter lim="800000"/>
        </a:ln>
        <a:effectLst/>
      </dgm:spPr>
      <dgm:t>
        <a:bodyPr/>
        <a:lstStyle/>
        <a:p>
          <a:pPr>
            <a:buNone/>
          </a:pPr>
          <a:r>
            <a:rPr lang="en-AU" sz="900" dirty="0">
              <a:solidFill>
                <a:srgbClr val="000000">
                  <a:hueOff val="0"/>
                  <a:satOff val="0"/>
                  <a:lumOff val="0"/>
                  <a:alphaOff val="0"/>
                </a:srgbClr>
              </a:solidFill>
              <a:latin typeface="Arial" panose="020B0604020202020204"/>
              <a:ea typeface="+mn-ea"/>
              <a:cs typeface="+mn-cs"/>
            </a:rPr>
            <a:t>Provide industry with a stronger, more strategic voice and promote participation in the VET sector (both industry and individual) to address workforce challenges.</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75BA3770-EEF9-455A-8F6D-85E530247067}" type="parTrans" cxnId="{255AC70D-375D-49A8-983D-0726D2A98BE6}">
      <dgm:prSet/>
      <dgm:spPr/>
      <dgm:t>
        <a:bodyPr/>
        <a:lstStyle/>
        <a:p>
          <a:endParaRPr lang="en-AU">
            <a:latin typeface="+mn-lt"/>
          </a:endParaRPr>
        </a:p>
      </dgm:t>
    </dgm:pt>
    <dgm:pt modelId="{EEE28D8A-F73A-4EAF-8441-32F2121D2E38}" type="sibTrans" cxnId="{255AC70D-375D-49A8-983D-0726D2A98BE6}">
      <dgm:prSet/>
      <dgm:spPr/>
      <dgm:t>
        <a:bodyPr/>
        <a:lstStyle/>
        <a:p>
          <a:endParaRPr lang="en-AU">
            <a:latin typeface="+mn-lt"/>
          </a:endParaRPr>
        </a:p>
      </dgm:t>
    </dgm:pt>
    <dgm:pt modelId="{64B509C4-F087-43B5-842F-B7F7DFF48CED}">
      <dgm:prSet phldrT="[Text]" custT="1"/>
      <dgm:spPr>
        <a:xfrm>
          <a:off x="0" y="7213170"/>
          <a:ext cx="5731510" cy="982799"/>
        </a:xfrm>
        <a:prstGeom prst="rect">
          <a:avLst/>
        </a:prstGeom>
        <a:solidFill>
          <a:srgbClr val="FFFFFF">
            <a:alpha val="90000"/>
            <a:hueOff val="0"/>
            <a:satOff val="0"/>
            <a:lumOff val="0"/>
            <a:alphaOff val="0"/>
          </a:srgbClr>
        </a:solidFill>
        <a:ln w="12700" cap="flat" cmpd="sng" algn="ctr">
          <a:solidFill>
            <a:srgbClr val="7030A0"/>
          </a:solidFill>
          <a:prstDash val="solid"/>
          <a:miter lim="800000"/>
        </a:ln>
        <a:effectLst/>
      </dgm:spPr>
      <dgm:t>
        <a:bodyPr/>
        <a:lstStyle/>
        <a:p>
          <a:pPr>
            <a:buChar char="•"/>
          </a:pPr>
          <a:r>
            <a:rPr lang="en-AU" sz="900">
              <a:solidFill>
                <a:srgbClr val="000000">
                  <a:hueOff val="0"/>
                  <a:satOff val="0"/>
                  <a:lumOff val="0"/>
                  <a:alphaOff val="0"/>
                </a:srgbClr>
              </a:solidFill>
              <a:latin typeface="Arial" panose="020B0604020202020204"/>
              <a:ea typeface="+mn-ea"/>
              <a:cs typeface="+mn-cs"/>
            </a:rPr>
            <a:t>ACCC recently conducted an inquiry into the market for the supply of childcare services. The final report was released in January 2024, with interim reports in June and September 2023.</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8763C92E-000B-4D15-88AA-D5EE7DA93031}" type="parTrans" cxnId="{6B0B4CF6-8348-48C7-96E6-63F054A56D76}">
      <dgm:prSet/>
      <dgm:spPr/>
      <dgm:t>
        <a:bodyPr/>
        <a:lstStyle/>
        <a:p>
          <a:endParaRPr lang="en-AU">
            <a:latin typeface="+mn-lt"/>
          </a:endParaRPr>
        </a:p>
      </dgm:t>
    </dgm:pt>
    <dgm:pt modelId="{F0AF656A-A5AB-4251-92C7-31A1171D9D3C}" type="sibTrans" cxnId="{6B0B4CF6-8348-48C7-96E6-63F054A56D76}">
      <dgm:prSet/>
      <dgm:spPr/>
      <dgm:t>
        <a:bodyPr/>
        <a:lstStyle/>
        <a:p>
          <a:endParaRPr lang="en-AU">
            <a:latin typeface="+mn-lt"/>
          </a:endParaRPr>
        </a:p>
      </dgm:t>
    </dgm:pt>
    <dgm:pt modelId="{9F2D89B5-9405-4C35-9E95-1F2DC4761224}">
      <dgm:prSet phldrT="[Text]" custT="1"/>
      <dgm:spPr>
        <a:xfrm>
          <a:off x="0" y="7213170"/>
          <a:ext cx="5731510" cy="982799"/>
        </a:xfrm>
        <a:prstGeom prst="rect">
          <a:avLst/>
        </a:prstGeom>
        <a:solidFill>
          <a:srgbClr val="FFFFFF">
            <a:alpha val="90000"/>
            <a:hueOff val="0"/>
            <a:satOff val="0"/>
            <a:lumOff val="0"/>
            <a:alphaOff val="0"/>
          </a:srgbClr>
        </a:solidFill>
        <a:ln w="12700" cap="flat" cmpd="sng" algn="ctr">
          <a:solidFill>
            <a:srgbClr val="7030A0"/>
          </a:solidFill>
          <a:prstDash val="solid"/>
          <a:miter lim="800000"/>
        </a:ln>
        <a:effectLst/>
      </dgm:spPr>
      <dgm:t>
        <a:bodyPr/>
        <a:lstStyle/>
        <a:p>
          <a:pPr>
            <a:buChar char="•"/>
          </a:pPr>
          <a:r>
            <a:rPr lang="en-AU" sz="900" dirty="0">
              <a:solidFill>
                <a:srgbClr val="000000">
                  <a:hueOff val="0"/>
                  <a:satOff val="0"/>
                  <a:lumOff val="0"/>
                  <a:alphaOff val="0"/>
                </a:srgbClr>
              </a:solidFill>
              <a:latin typeface="Arial" panose="020B0604020202020204"/>
              <a:ea typeface="+mn-ea"/>
              <a:cs typeface="+mn-cs"/>
            </a:rPr>
            <a:t>PC are undertaking an inquiry in the ECEC sector and considers the cost and availability barriers that affect access to services and ways to support better outcomes for children and families. A draft report was released in November 2023 with a final report expected to be delivered to Government in June 2024. </a:t>
          </a:r>
          <a:endParaRPr lang="en-AU" sz="1000" dirty="0">
            <a:solidFill>
              <a:srgbClr val="000000">
                <a:hueOff val="0"/>
                <a:satOff val="0"/>
                <a:lumOff val="0"/>
                <a:alphaOff val="0"/>
              </a:srgbClr>
            </a:solidFill>
            <a:latin typeface="Arial" panose="020B0604020202020204"/>
            <a:ea typeface="+mn-ea"/>
            <a:cs typeface="+mn-cs"/>
          </a:endParaRPr>
        </a:p>
      </dgm:t>
    </dgm:pt>
    <dgm:pt modelId="{09436898-1D27-498C-A3B2-A198FC4DCD63}" type="parTrans" cxnId="{5EA550FA-8FE0-483A-AE83-5F1257AB92CF}">
      <dgm:prSet/>
      <dgm:spPr/>
      <dgm:t>
        <a:bodyPr/>
        <a:lstStyle/>
        <a:p>
          <a:endParaRPr lang="en-AU">
            <a:latin typeface="+mn-lt"/>
          </a:endParaRPr>
        </a:p>
      </dgm:t>
    </dgm:pt>
    <dgm:pt modelId="{E1E4AE73-92DF-493D-9075-7617C1CB58B3}" type="sibTrans" cxnId="{5EA550FA-8FE0-483A-AE83-5F1257AB92CF}">
      <dgm:prSet/>
      <dgm:spPr/>
      <dgm:t>
        <a:bodyPr/>
        <a:lstStyle/>
        <a:p>
          <a:endParaRPr lang="en-AU">
            <a:latin typeface="+mn-lt"/>
          </a:endParaRPr>
        </a:p>
      </dgm:t>
    </dgm:pt>
    <dgm:pt modelId="{D1B3F6BE-2880-4007-87EC-83F9B91C1853}">
      <dgm:prSet phldrT="[Text]" custT="1"/>
      <dgm:spPr>
        <a:xfrm>
          <a:off x="286575" y="727050"/>
          <a:ext cx="4012057" cy="236160"/>
        </a:xfrm>
        <a:prstGeom prst="roundRect">
          <a:avLst/>
        </a:prstGeom>
        <a:solidFill>
          <a:srgbClr val="7030A0"/>
        </a:solidFill>
        <a:ln w="12700" cap="flat" cmpd="sng" algn="ctr">
          <a:solidFill>
            <a:srgbClr val="FFFFFF">
              <a:hueOff val="0"/>
              <a:satOff val="0"/>
              <a:lumOff val="0"/>
              <a:alphaOff val="0"/>
            </a:srgbClr>
          </a:solidFill>
          <a:prstDash val="solid"/>
          <a:miter lim="800000"/>
        </a:ln>
        <a:effectLst/>
      </dgm:spPr>
      <dgm:t>
        <a:bodyPr/>
        <a:lstStyle/>
        <a:p>
          <a:pPr>
            <a:buNone/>
          </a:pPr>
          <a:r>
            <a:rPr lang="en-AU" sz="1050" b="1" strike="noStrike" baseline="0" dirty="0">
              <a:solidFill>
                <a:srgbClr val="FFFFFF"/>
              </a:solidFill>
              <a:latin typeface="Arial" panose="020B0604020202020204"/>
              <a:ea typeface="+mn-ea"/>
              <a:cs typeface="+mn-cs"/>
            </a:rPr>
            <a:t>The Early Years Strategy (2024-2034)</a:t>
          </a:r>
          <a:r>
            <a:rPr lang="en-AU" sz="1050" b="1" strike="noStrike" baseline="30000" dirty="0">
              <a:solidFill>
                <a:srgbClr val="FFFFFF"/>
              </a:solidFill>
              <a:latin typeface="Arial" panose="020B0604020202020204"/>
              <a:ea typeface="+mn-ea"/>
              <a:cs typeface="+mn-cs"/>
            </a:rPr>
            <a:t>2 </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F16E4032-0894-49B1-9C49-A96CA1A76C7E}" type="parTrans" cxnId="{799969C1-E87A-4F1E-9F6E-2DF4027F5FB8}">
      <dgm:prSet/>
      <dgm:spPr/>
      <dgm:t>
        <a:bodyPr/>
        <a:lstStyle/>
        <a:p>
          <a:endParaRPr lang="en-AU">
            <a:latin typeface="+mn-lt"/>
          </a:endParaRPr>
        </a:p>
      </dgm:t>
    </dgm:pt>
    <dgm:pt modelId="{853F864D-A1F2-4B48-BB36-3A969A200606}" type="sibTrans" cxnId="{799969C1-E87A-4F1E-9F6E-2DF4027F5FB8}">
      <dgm:prSet/>
      <dgm:spPr/>
      <dgm:t>
        <a:bodyPr/>
        <a:lstStyle/>
        <a:p>
          <a:endParaRPr lang="en-AU">
            <a:latin typeface="+mn-lt"/>
          </a:endParaRPr>
        </a:p>
      </dgm:t>
    </dgm:pt>
    <dgm:pt modelId="{7B29B828-2EC8-403B-9576-DDBA115F8E6E}">
      <dgm:prSet phldrT="[Text]" custT="1"/>
      <dgm:spPr>
        <a:xfrm>
          <a:off x="0" y="845130"/>
          <a:ext cx="5731510" cy="592200"/>
        </a:xfrm>
        <a:prstGeom prst="rect">
          <a:avLst/>
        </a:prstGeom>
        <a:noFill/>
        <a:ln w="12700" cap="flat" cmpd="sng" algn="ctr">
          <a:solidFill>
            <a:srgbClr val="7030A0"/>
          </a:solidFill>
          <a:prstDash val="solid"/>
          <a:miter lim="800000"/>
        </a:ln>
        <a:effectLst/>
      </dgm:spPr>
      <dgm:t>
        <a:bodyPr/>
        <a:lstStyle/>
        <a:p>
          <a:pPr>
            <a:buNone/>
          </a:pPr>
          <a:r>
            <a:rPr lang="en-AU" sz="900" dirty="0">
              <a:solidFill>
                <a:srgbClr val="000000">
                  <a:hueOff val="0"/>
                  <a:satOff val="0"/>
                  <a:lumOff val="0"/>
                  <a:alphaOff val="0"/>
                </a:srgbClr>
              </a:solidFill>
              <a:latin typeface="Arial" panose="020B0604020202020204"/>
              <a:ea typeface="+mn-ea"/>
              <a:cs typeface="+mn-cs"/>
            </a:rPr>
            <a:t>The strategy aims to improve wellbeing outcomes for children aged 0-5. It aims to provide culturally </a:t>
          </a:r>
          <a:r>
            <a:rPr lang="en-AU" sz="900">
              <a:solidFill>
                <a:srgbClr val="000000">
                  <a:hueOff val="0"/>
                  <a:satOff val="0"/>
                  <a:lumOff val="0"/>
                  <a:alphaOff val="0"/>
                </a:srgbClr>
              </a:solidFill>
              <a:latin typeface="Arial" panose="020B0604020202020204"/>
              <a:ea typeface="+mn-ea"/>
              <a:cs typeface="+mn-cs"/>
            </a:rPr>
            <a:t>safe services </a:t>
          </a:r>
          <a:r>
            <a:rPr lang="en-AU" sz="900" dirty="0">
              <a:solidFill>
                <a:srgbClr val="000000">
                  <a:hueOff val="0"/>
                  <a:satOff val="0"/>
                  <a:lumOff val="0"/>
                  <a:alphaOff val="0"/>
                </a:srgbClr>
              </a:solidFill>
              <a:latin typeface="Arial" panose="020B0604020202020204"/>
              <a:ea typeface="+mn-ea"/>
              <a:cs typeface="+mn-cs"/>
            </a:rPr>
            <a:t>ensuring connection to a child’s own culture, language, beliefs and identity are supported.</a:t>
          </a:r>
          <a:endParaRPr lang="en-AU" sz="900" b="1" strike="noStrike" baseline="30000" dirty="0">
            <a:solidFill>
              <a:srgbClr val="000000">
                <a:hueOff val="0"/>
                <a:satOff val="0"/>
                <a:lumOff val="0"/>
                <a:alphaOff val="0"/>
              </a:srgbClr>
            </a:solidFill>
            <a:latin typeface="Arial" panose="020B0604020202020204"/>
            <a:ea typeface="+mn-ea"/>
            <a:cs typeface="+mn-cs"/>
          </a:endParaRP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0D75FD2F-E3C7-4EF6-A816-E5DAEEDB2F09}" type="parTrans" cxnId="{840C4695-BD17-44F4-9784-4C452AE9312B}">
      <dgm:prSet/>
      <dgm:spPr/>
      <dgm:t>
        <a:bodyPr/>
        <a:lstStyle/>
        <a:p>
          <a:endParaRPr lang="en-AU">
            <a:latin typeface="+mn-lt"/>
          </a:endParaRPr>
        </a:p>
      </dgm:t>
    </dgm:pt>
    <dgm:pt modelId="{7947B989-8795-4CFB-94B3-F9C037D969F8}" type="sibTrans" cxnId="{840C4695-BD17-44F4-9784-4C452AE9312B}">
      <dgm:prSet/>
      <dgm:spPr/>
      <dgm:t>
        <a:bodyPr/>
        <a:lstStyle/>
        <a:p>
          <a:endParaRPr lang="en-AU">
            <a:latin typeface="+mn-lt"/>
          </a:endParaRPr>
        </a:p>
      </dgm:t>
    </dgm:pt>
    <dgm:pt modelId="{C557124B-FB51-48C6-9C67-141DD23FE84F}">
      <dgm:prSet phldrT="[Text]" custT="1"/>
      <dgm:spPr>
        <a:xfrm>
          <a:off x="286575" y="1480530"/>
          <a:ext cx="4012057" cy="236160"/>
        </a:xfrm>
        <a:prstGeom prst="roundRect">
          <a:avLst/>
        </a:prstGeom>
        <a:solidFill>
          <a:srgbClr val="7030A0"/>
        </a:solidFill>
        <a:ln w="12700" cap="flat" cmpd="sng" algn="ctr">
          <a:solidFill>
            <a:srgbClr val="FFFFFF">
              <a:hueOff val="0"/>
              <a:satOff val="0"/>
              <a:lumOff val="0"/>
              <a:alphaOff val="0"/>
            </a:srgbClr>
          </a:solidFill>
          <a:prstDash val="solid"/>
          <a:miter lim="800000"/>
        </a:ln>
        <a:effectLst/>
      </dgm:spPr>
      <dgm:t>
        <a:bodyPr/>
        <a:lstStyle/>
        <a:p>
          <a:pPr>
            <a:buNone/>
          </a:pPr>
          <a:r>
            <a:rPr lang="en-AU" sz="1050" b="1" strike="noStrike" baseline="0" dirty="0">
              <a:solidFill>
                <a:srgbClr val="FFFFFF"/>
              </a:solidFill>
              <a:latin typeface="Arial" panose="020B0604020202020204"/>
              <a:ea typeface="+mn-ea"/>
              <a:cs typeface="+mn-cs"/>
            </a:rPr>
            <a:t>Approved Learning Frameworks</a:t>
          </a:r>
          <a:r>
            <a:rPr lang="en-AU" sz="1050" b="1" strike="noStrike" baseline="30000" dirty="0">
              <a:solidFill>
                <a:srgbClr val="FFFFFF"/>
              </a:solidFill>
              <a:latin typeface="Arial" panose="020B0604020202020204"/>
              <a:ea typeface="+mn-ea"/>
              <a:cs typeface="+mn-cs"/>
            </a:rPr>
            <a:t>3</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0FF085BD-A9D4-4470-96C1-14F37C322BE3}" type="parTrans" cxnId="{018D4012-A5E8-4E4E-A3BF-2EF165E18EF4}">
      <dgm:prSet/>
      <dgm:spPr/>
      <dgm:t>
        <a:bodyPr/>
        <a:lstStyle/>
        <a:p>
          <a:endParaRPr lang="en-AU">
            <a:latin typeface="+mn-lt"/>
          </a:endParaRPr>
        </a:p>
      </dgm:t>
    </dgm:pt>
    <dgm:pt modelId="{891258FC-3A73-4FAD-AC04-2448DAB6133A}" type="sibTrans" cxnId="{018D4012-A5E8-4E4E-A3BF-2EF165E18EF4}">
      <dgm:prSet/>
      <dgm:spPr/>
      <dgm:t>
        <a:bodyPr/>
        <a:lstStyle/>
        <a:p>
          <a:endParaRPr lang="en-AU">
            <a:latin typeface="+mn-lt"/>
          </a:endParaRPr>
        </a:p>
      </dgm:t>
    </dgm:pt>
    <dgm:pt modelId="{0E3E4C2F-69C0-4326-A123-36A3DE11C2BB}">
      <dgm:prSet phldrT="[Text]" custT="1"/>
      <dgm:spPr>
        <a:xfrm>
          <a:off x="286575" y="2498610"/>
          <a:ext cx="4012057" cy="236160"/>
        </a:xfrm>
        <a:prstGeom prst="roundRect">
          <a:avLst/>
        </a:prstGeom>
        <a:solidFill>
          <a:srgbClr val="7030A0"/>
        </a:solidFill>
        <a:ln w="12700" cap="flat" cmpd="sng" algn="ctr">
          <a:solidFill>
            <a:srgbClr val="FFFFFF">
              <a:hueOff val="0"/>
              <a:satOff val="0"/>
              <a:lumOff val="0"/>
              <a:alphaOff val="0"/>
            </a:srgbClr>
          </a:solidFill>
          <a:prstDash val="solid"/>
          <a:miter lim="800000"/>
        </a:ln>
        <a:effectLst/>
      </dgm:spPr>
      <dgm:t>
        <a:bodyPr/>
        <a:lstStyle/>
        <a:p>
          <a:pPr>
            <a:buNone/>
          </a:pPr>
          <a:r>
            <a:rPr lang="en-AU" sz="1050" b="1" strike="noStrike" baseline="0" dirty="0">
              <a:solidFill>
                <a:srgbClr val="FFFFFF"/>
              </a:solidFill>
              <a:latin typeface="Arial" panose="020B0604020202020204"/>
              <a:ea typeface="+mn-ea"/>
              <a:cs typeface="+mn-cs"/>
            </a:rPr>
            <a:t>National Quality Framework</a:t>
          </a:r>
          <a:r>
            <a:rPr lang="en-AU" sz="1050" b="1" strike="noStrike" baseline="30000" dirty="0">
              <a:solidFill>
                <a:srgbClr val="FFFFFF"/>
              </a:solidFill>
              <a:latin typeface="Arial" panose="020B0604020202020204"/>
              <a:ea typeface="+mn-ea"/>
              <a:cs typeface="+mn-cs"/>
            </a:rPr>
            <a:t>4</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FA4BBA11-CE1A-43D0-9913-F254316F9F55}" type="parTrans" cxnId="{2144586F-DAAE-4BCD-ACFA-7B2A75CB1EDF}">
      <dgm:prSet/>
      <dgm:spPr/>
      <dgm:t>
        <a:bodyPr/>
        <a:lstStyle/>
        <a:p>
          <a:endParaRPr lang="en-AU">
            <a:latin typeface="+mn-lt"/>
          </a:endParaRPr>
        </a:p>
      </dgm:t>
    </dgm:pt>
    <dgm:pt modelId="{04120736-32D8-4C9D-BA53-04A8A47258A8}" type="sibTrans" cxnId="{2144586F-DAAE-4BCD-ACFA-7B2A75CB1EDF}">
      <dgm:prSet/>
      <dgm:spPr/>
      <dgm:t>
        <a:bodyPr/>
        <a:lstStyle/>
        <a:p>
          <a:endParaRPr lang="en-AU">
            <a:latin typeface="+mn-lt"/>
          </a:endParaRPr>
        </a:p>
      </dgm:t>
    </dgm:pt>
    <dgm:pt modelId="{FF3DEFB5-6F83-4724-881A-7C609AF1D6EC}">
      <dgm:prSet phldrT="[Text]" custT="1"/>
      <dgm:spPr>
        <a:xfrm>
          <a:off x="0" y="2616690"/>
          <a:ext cx="5731510" cy="478800"/>
        </a:xfrm>
        <a:prstGeom prst="rect">
          <a:avLst/>
        </a:prstGeom>
        <a:noFill/>
        <a:ln w="12700" cap="flat" cmpd="sng" algn="ctr">
          <a:solidFill>
            <a:srgbClr val="7030A0"/>
          </a:solidFill>
          <a:prstDash val="solid"/>
          <a:miter lim="800000"/>
        </a:ln>
        <a:effectLst/>
      </dgm:spPr>
      <dgm:t>
        <a:bodyPr/>
        <a:lstStyle/>
        <a:p>
          <a:pPr>
            <a:buNone/>
          </a:pPr>
          <a:r>
            <a:rPr lang="en-AU" sz="900" b="0" i="0" dirty="0">
              <a:solidFill>
                <a:srgbClr val="000000">
                  <a:hueOff val="0"/>
                  <a:satOff val="0"/>
                  <a:lumOff val="0"/>
                  <a:alphaOff val="0"/>
                </a:srgbClr>
              </a:solidFill>
              <a:latin typeface="Arial" panose="020B0604020202020204"/>
              <a:ea typeface="+mn-ea"/>
              <a:cs typeface="+mn-cs"/>
            </a:rPr>
            <a:t>The NQF provides a national approach to regulation, assessment and quality improvement for early childhood education and care and outside school hours care services across Australia.</a:t>
          </a:r>
          <a:endParaRPr lang="en-AU" sz="900" b="1" strike="noStrike" baseline="30000" dirty="0">
            <a:solidFill>
              <a:srgbClr val="000000">
                <a:hueOff val="0"/>
                <a:satOff val="0"/>
                <a:lumOff val="0"/>
                <a:alphaOff val="0"/>
              </a:srgbClr>
            </a:solidFill>
            <a:latin typeface="Arial" panose="020B0604020202020204"/>
            <a:ea typeface="+mn-ea"/>
            <a:cs typeface="+mn-cs"/>
          </a:endParaRP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D8C253EC-D2DE-4F4F-A2E2-809B5560C5E8}" type="parTrans" cxnId="{BA7C1F71-0070-49DF-ABED-CDC0C68B9A9C}">
      <dgm:prSet/>
      <dgm:spPr/>
      <dgm:t>
        <a:bodyPr/>
        <a:lstStyle/>
        <a:p>
          <a:endParaRPr lang="en-AU">
            <a:latin typeface="+mn-lt"/>
          </a:endParaRPr>
        </a:p>
      </dgm:t>
    </dgm:pt>
    <dgm:pt modelId="{0D64B900-310D-4F08-8CAD-2E4F6C4FD50F}" type="sibTrans" cxnId="{BA7C1F71-0070-49DF-ABED-CDC0C68B9A9C}">
      <dgm:prSet/>
      <dgm:spPr/>
      <dgm:t>
        <a:bodyPr/>
        <a:lstStyle/>
        <a:p>
          <a:endParaRPr lang="en-AU">
            <a:latin typeface="+mn-lt"/>
          </a:endParaRPr>
        </a:p>
      </dgm:t>
    </dgm:pt>
    <dgm:pt modelId="{F14C0C94-51CF-4629-9F31-E107AF4D3449}">
      <dgm:prSet phldrT="[Text]" custT="1"/>
      <dgm:spPr>
        <a:xfrm>
          <a:off x="0" y="1598610"/>
          <a:ext cx="5731510" cy="856800"/>
        </a:xfrm>
        <a:prstGeom prst="rect">
          <a:avLst/>
        </a:prstGeom>
        <a:noFill/>
        <a:ln w="12700" cap="flat" cmpd="sng" algn="ctr">
          <a:solidFill>
            <a:srgbClr val="7030A0"/>
          </a:solidFill>
          <a:prstDash val="solid"/>
          <a:miter lim="800000"/>
        </a:ln>
        <a:effectLst/>
      </dgm:spPr>
      <dgm:t>
        <a:bodyPr/>
        <a:lstStyle/>
        <a:p>
          <a:pPr>
            <a:buNone/>
          </a:pPr>
          <a:r>
            <a:rPr lang="en-AU" sz="900" b="1" strike="noStrike" baseline="0" dirty="0">
              <a:solidFill>
                <a:srgbClr val="000000">
                  <a:hueOff val="0"/>
                  <a:satOff val="0"/>
                  <a:lumOff val="0"/>
                  <a:alphaOff val="0"/>
                </a:srgbClr>
              </a:solidFill>
              <a:latin typeface="Arial" panose="020B0604020202020204"/>
              <a:ea typeface="+mn-ea"/>
              <a:cs typeface="+mn-cs"/>
            </a:rPr>
            <a:t>1. Belonging, Being and Becoming: Early Years Learning Framework for Australia - </a:t>
          </a:r>
          <a:r>
            <a:rPr lang="en-AU" sz="900" b="0" strike="noStrike" baseline="0" dirty="0">
              <a:solidFill>
                <a:srgbClr val="000000">
                  <a:hueOff val="0"/>
                  <a:satOff val="0"/>
                  <a:lumOff val="0"/>
                  <a:alphaOff val="0"/>
                </a:srgbClr>
              </a:solidFill>
              <a:latin typeface="Arial" panose="020B0604020202020204"/>
              <a:ea typeface="+mn-ea"/>
              <a:cs typeface="+mn-cs"/>
            </a:rPr>
            <a:t>guide to supporting and nurturing children's learning from 0-5 years. This includes supporting children in their transition to school.</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F4A3BF93-F14D-4B24-95DA-8EA462200564}" type="parTrans" cxnId="{008A0E66-2C6A-4CED-8355-B86C3A1EA083}">
      <dgm:prSet/>
      <dgm:spPr/>
      <dgm:t>
        <a:bodyPr/>
        <a:lstStyle/>
        <a:p>
          <a:endParaRPr lang="en-AU">
            <a:latin typeface="+mn-lt"/>
          </a:endParaRPr>
        </a:p>
      </dgm:t>
    </dgm:pt>
    <dgm:pt modelId="{80CADAC9-998C-46E2-8A2C-D7A1C2240AC4}" type="sibTrans" cxnId="{008A0E66-2C6A-4CED-8355-B86C3A1EA083}">
      <dgm:prSet/>
      <dgm:spPr/>
      <dgm:t>
        <a:bodyPr/>
        <a:lstStyle/>
        <a:p>
          <a:endParaRPr lang="en-AU">
            <a:latin typeface="+mn-lt"/>
          </a:endParaRPr>
        </a:p>
      </dgm:t>
    </dgm:pt>
    <dgm:pt modelId="{C25A7302-AAAA-4AFB-818F-34B4E9B0A7A0}">
      <dgm:prSet phldrT="[Text]" custT="1"/>
      <dgm:spPr>
        <a:xfrm>
          <a:off x="0" y="1598610"/>
          <a:ext cx="5731510" cy="856800"/>
        </a:xfrm>
        <a:prstGeom prst="rect">
          <a:avLst/>
        </a:prstGeom>
        <a:noFill/>
        <a:ln w="12700" cap="flat" cmpd="sng" algn="ctr">
          <a:solidFill>
            <a:srgbClr val="7030A0"/>
          </a:solidFill>
          <a:prstDash val="solid"/>
          <a:miter lim="800000"/>
        </a:ln>
        <a:effectLst/>
      </dgm:spPr>
      <dgm:t>
        <a:bodyPr/>
        <a:lstStyle/>
        <a:p>
          <a:pPr>
            <a:buNone/>
          </a:pPr>
          <a:r>
            <a:rPr lang="en-AU" sz="900" b="1" strike="noStrike" baseline="0" dirty="0">
              <a:solidFill>
                <a:srgbClr val="000000">
                  <a:hueOff val="0"/>
                  <a:satOff val="0"/>
                  <a:lumOff val="0"/>
                  <a:alphaOff val="0"/>
                </a:srgbClr>
              </a:solidFill>
              <a:latin typeface="Arial" panose="020B0604020202020204"/>
              <a:ea typeface="+mn-ea"/>
              <a:cs typeface="+mn-cs"/>
            </a:rPr>
            <a:t>2. My Time, Our Place: Framework for School Age Care in Australia - </a:t>
          </a:r>
          <a:r>
            <a:rPr lang="en-AU" sz="900" b="0" strike="noStrike" baseline="0" dirty="0">
              <a:solidFill>
                <a:srgbClr val="000000">
                  <a:hueOff val="0"/>
                  <a:satOff val="0"/>
                  <a:lumOff val="0"/>
                  <a:alphaOff val="0"/>
                </a:srgbClr>
              </a:solidFill>
              <a:latin typeface="Arial" panose="020B0604020202020204"/>
              <a:ea typeface="+mn-ea"/>
              <a:cs typeface="+mn-cs"/>
            </a:rPr>
            <a:t>a learning framework for OSHC.</a:t>
          </a:r>
        </a:p>
      </dgm:t>
    </dgm:pt>
    <dgm:pt modelId="{D4FB3E56-1DAA-42C2-961F-D0CEA56C65FA}" type="parTrans" cxnId="{1EF18E80-9A1A-4DA6-A798-42173DE9D767}">
      <dgm:prSet/>
      <dgm:spPr/>
      <dgm:t>
        <a:bodyPr/>
        <a:lstStyle/>
        <a:p>
          <a:endParaRPr lang="en-AU">
            <a:latin typeface="+mn-lt"/>
          </a:endParaRPr>
        </a:p>
      </dgm:t>
    </dgm:pt>
    <dgm:pt modelId="{EDD00820-2495-402D-9D74-C9C94208C9E5}" type="sibTrans" cxnId="{1EF18E80-9A1A-4DA6-A798-42173DE9D767}">
      <dgm:prSet/>
      <dgm:spPr/>
      <dgm:t>
        <a:bodyPr/>
        <a:lstStyle/>
        <a:p>
          <a:endParaRPr lang="en-AU">
            <a:latin typeface="+mn-lt"/>
          </a:endParaRPr>
        </a:p>
      </dgm:t>
    </dgm:pt>
    <dgm:pt modelId="{0C429E84-D3A3-4296-B184-6AC7A291C5E9}">
      <dgm:prSet phldrT="[Text]" custT="1"/>
      <dgm:spPr>
        <a:xfrm>
          <a:off x="0" y="3256770"/>
          <a:ext cx="5731510" cy="856800"/>
        </a:xfrm>
        <a:prstGeom prst="rect">
          <a:avLst/>
        </a:prstGeom>
        <a:solidFill>
          <a:srgbClr val="FFFFFF">
            <a:alpha val="90000"/>
            <a:hueOff val="0"/>
            <a:satOff val="0"/>
            <a:lumOff val="0"/>
            <a:alphaOff val="0"/>
          </a:srgbClr>
        </a:solidFill>
        <a:ln w="12700" cap="flat" cmpd="sng" algn="ctr">
          <a:solidFill>
            <a:srgbClr val="7030A0"/>
          </a:solidFill>
          <a:prstDash val="solid"/>
          <a:miter lim="800000"/>
        </a:ln>
        <a:effectLst/>
      </dgm:spPr>
      <dgm:t>
        <a:bodyPr/>
        <a:lstStyle/>
        <a:p>
          <a:pPr>
            <a:buChar char="•"/>
          </a:pPr>
          <a:r>
            <a:rPr lang="en-AU" sz="900" kern="1200" dirty="0">
              <a:solidFill>
                <a:prstClr val="black">
                  <a:hueOff val="0"/>
                  <a:satOff val="0"/>
                  <a:lumOff val="0"/>
                  <a:alphaOff val="0"/>
                </a:prstClr>
              </a:solidFill>
              <a:latin typeface="Arial" panose="020B0604020202020204"/>
              <a:ea typeface="+mn-ea"/>
              <a:cs typeface="+mn-cs"/>
            </a:rPr>
            <a:t>The Australian Government funds the delivery of 15 hours of preschool a week – 600 hours a year – in the YBFS </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751A6324-33CB-4CBA-971D-A5F831B7CCC3}" type="parTrans" cxnId="{C2BEEC80-436D-4BB7-AB45-A5348C99A25B}">
      <dgm:prSet/>
      <dgm:spPr/>
      <dgm:t>
        <a:bodyPr/>
        <a:lstStyle/>
        <a:p>
          <a:endParaRPr lang="en-AU">
            <a:latin typeface="+mn-lt"/>
          </a:endParaRPr>
        </a:p>
      </dgm:t>
    </dgm:pt>
    <dgm:pt modelId="{AB9BF33B-A843-4663-BC31-2662AA1C6B3A}" type="sibTrans" cxnId="{C2BEEC80-436D-4BB7-AB45-A5348C99A25B}">
      <dgm:prSet/>
      <dgm:spPr/>
      <dgm:t>
        <a:bodyPr/>
        <a:lstStyle/>
        <a:p>
          <a:endParaRPr lang="en-AU">
            <a:latin typeface="+mn-lt"/>
          </a:endParaRPr>
        </a:p>
      </dgm:t>
    </dgm:pt>
    <dgm:pt modelId="{7370DAC5-97EA-4F58-BA5F-5E7630539FFB}" type="pres">
      <dgm:prSet presAssocID="{FCC8D2EE-5585-4169-BCA3-B36AA4569D7F}" presName="linear" presStyleCnt="0">
        <dgm:presLayoutVars>
          <dgm:dir/>
          <dgm:animLvl val="lvl"/>
          <dgm:resizeHandles val="exact"/>
        </dgm:presLayoutVars>
      </dgm:prSet>
      <dgm:spPr/>
    </dgm:pt>
    <dgm:pt modelId="{D80C7E3E-1B23-4589-A71D-CEF3A095C2BE}" type="pres">
      <dgm:prSet presAssocID="{3585B44C-71FF-4CDC-A1A2-1B69C36F5D41}" presName="parentLin" presStyleCnt="0"/>
      <dgm:spPr/>
    </dgm:pt>
    <dgm:pt modelId="{BE10F3E7-B9F9-40C7-9C8A-13FFAEF9E978}" type="pres">
      <dgm:prSet presAssocID="{3585B44C-71FF-4CDC-A1A2-1B69C36F5D41}" presName="parentLeftMargin" presStyleLbl="node1" presStyleIdx="0" presStyleCnt="10"/>
      <dgm:spPr/>
    </dgm:pt>
    <dgm:pt modelId="{BF558AF8-9083-4F28-9ABD-938FF2182A50}" type="pres">
      <dgm:prSet presAssocID="{3585B44C-71FF-4CDC-A1A2-1B69C36F5D41}" presName="parentText" presStyleLbl="node1" presStyleIdx="0" presStyleCnt="10">
        <dgm:presLayoutVars>
          <dgm:chMax val="0"/>
          <dgm:bulletEnabled val="1"/>
        </dgm:presLayoutVars>
      </dgm:prSet>
      <dgm:spPr/>
    </dgm:pt>
    <dgm:pt modelId="{99C795CB-DCBE-429B-AC38-E5EDCDF039B2}" type="pres">
      <dgm:prSet presAssocID="{3585B44C-71FF-4CDC-A1A2-1B69C36F5D41}" presName="negativeSpace" presStyleCnt="0"/>
      <dgm:spPr/>
    </dgm:pt>
    <dgm:pt modelId="{1C61CA45-93D4-428E-9D35-93A37FD3EE97}" type="pres">
      <dgm:prSet presAssocID="{3585B44C-71FF-4CDC-A1A2-1B69C36F5D41}" presName="childText" presStyleLbl="conFgAcc1" presStyleIdx="0" presStyleCnt="10">
        <dgm:presLayoutVars>
          <dgm:bulletEnabled val="1"/>
        </dgm:presLayoutVars>
      </dgm:prSet>
      <dgm:spPr/>
    </dgm:pt>
    <dgm:pt modelId="{88B22473-0D4E-4CE6-8712-8DD0ED5DC103}" type="pres">
      <dgm:prSet presAssocID="{E697AFEB-C4F3-4677-B883-F16F32035C11}" presName="spaceBetweenRectangles" presStyleCnt="0"/>
      <dgm:spPr/>
    </dgm:pt>
    <dgm:pt modelId="{D6C42D80-AED4-44CA-AAA9-9B7CCD7FBDA4}" type="pres">
      <dgm:prSet presAssocID="{D1B3F6BE-2880-4007-87EC-83F9B91C1853}" presName="parentLin" presStyleCnt="0"/>
      <dgm:spPr/>
    </dgm:pt>
    <dgm:pt modelId="{E7902B8A-E389-4B19-8BE4-70B25C2F7CD2}" type="pres">
      <dgm:prSet presAssocID="{D1B3F6BE-2880-4007-87EC-83F9B91C1853}" presName="parentLeftMargin" presStyleLbl="node1" presStyleIdx="0" presStyleCnt="10"/>
      <dgm:spPr/>
    </dgm:pt>
    <dgm:pt modelId="{277D8BF1-25B6-41FB-8C77-E786541BC541}" type="pres">
      <dgm:prSet presAssocID="{D1B3F6BE-2880-4007-87EC-83F9B91C1853}" presName="parentText" presStyleLbl="node1" presStyleIdx="1" presStyleCnt="10">
        <dgm:presLayoutVars>
          <dgm:chMax val="0"/>
          <dgm:bulletEnabled val="1"/>
        </dgm:presLayoutVars>
      </dgm:prSet>
      <dgm:spPr/>
    </dgm:pt>
    <dgm:pt modelId="{BC6D6C63-90CA-4084-BF77-A71F91DC2056}" type="pres">
      <dgm:prSet presAssocID="{D1B3F6BE-2880-4007-87EC-83F9B91C1853}" presName="negativeSpace" presStyleCnt="0"/>
      <dgm:spPr/>
    </dgm:pt>
    <dgm:pt modelId="{701BFCE3-E6EB-4568-B581-2E3C7D1ABEBE}" type="pres">
      <dgm:prSet presAssocID="{D1B3F6BE-2880-4007-87EC-83F9B91C1853}" presName="childText" presStyleLbl="conFgAcc1" presStyleIdx="1" presStyleCnt="10">
        <dgm:presLayoutVars>
          <dgm:bulletEnabled val="1"/>
        </dgm:presLayoutVars>
      </dgm:prSet>
      <dgm:spPr/>
    </dgm:pt>
    <dgm:pt modelId="{FF25FBFB-4149-47CE-9046-3D2CDC333DF3}" type="pres">
      <dgm:prSet presAssocID="{853F864D-A1F2-4B48-BB36-3A969A200606}" presName="spaceBetweenRectangles" presStyleCnt="0"/>
      <dgm:spPr/>
    </dgm:pt>
    <dgm:pt modelId="{3B7C127C-E04E-48DF-925E-209EAD4BB81C}" type="pres">
      <dgm:prSet presAssocID="{C557124B-FB51-48C6-9C67-141DD23FE84F}" presName="parentLin" presStyleCnt="0"/>
      <dgm:spPr/>
    </dgm:pt>
    <dgm:pt modelId="{331A9F7C-69A6-4C81-89E8-F229C02D761B}" type="pres">
      <dgm:prSet presAssocID="{C557124B-FB51-48C6-9C67-141DD23FE84F}" presName="parentLeftMargin" presStyleLbl="node1" presStyleIdx="1" presStyleCnt="10"/>
      <dgm:spPr/>
    </dgm:pt>
    <dgm:pt modelId="{DDDBA0B2-A7AB-4583-8E14-69F37650675D}" type="pres">
      <dgm:prSet presAssocID="{C557124B-FB51-48C6-9C67-141DD23FE84F}" presName="parentText" presStyleLbl="node1" presStyleIdx="2" presStyleCnt="10">
        <dgm:presLayoutVars>
          <dgm:chMax val="0"/>
          <dgm:bulletEnabled val="1"/>
        </dgm:presLayoutVars>
      </dgm:prSet>
      <dgm:spPr/>
    </dgm:pt>
    <dgm:pt modelId="{BE3B8C5F-347D-4BC9-AE80-9B31C38FBAF4}" type="pres">
      <dgm:prSet presAssocID="{C557124B-FB51-48C6-9C67-141DD23FE84F}" presName="negativeSpace" presStyleCnt="0"/>
      <dgm:spPr/>
    </dgm:pt>
    <dgm:pt modelId="{C7CA326D-9C8E-4526-BF26-D6DC728E7141}" type="pres">
      <dgm:prSet presAssocID="{C557124B-FB51-48C6-9C67-141DD23FE84F}" presName="childText" presStyleLbl="conFgAcc1" presStyleIdx="2" presStyleCnt="10">
        <dgm:presLayoutVars>
          <dgm:bulletEnabled val="1"/>
        </dgm:presLayoutVars>
      </dgm:prSet>
      <dgm:spPr/>
    </dgm:pt>
    <dgm:pt modelId="{A8397DA6-3A4E-4D1F-B171-F93CD71C4173}" type="pres">
      <dgm:prSet presAssocID="{891258FC-3A73-4FAD-AC04-2448DAB6133A}" presName="spaceBetweenRectangles" presStyleCnt="0"/>
      <dgm:spPr/>
    </dgm:pt>
    <dgm:pt modelId="{1FD51C71-B963-44D9-AA19-251A0C78FEBA}" type="pres">
      <dgm:prSet presAssocID="{0E3E4C2F-69C0-4326-A123-36A3DE11C2BB}" presName="parentLin" presStyleCnt="0"/>
      <dgm:spPr/>
    </dgm:pt>
    <dgm:pt modelId="{7544CEB6-434A-40DB-87AF-6A2EF7CD1CC7}" type="pres">
      <dgm:prSet presAssocID="{0E3E4C2F-69C0-4326-A123-36A3DE11C2BB}" presName="parentLeftMargin" presStyleLbl="node1" presStyleIdx="2" presStyleCnt="10"/>
      <dgm:spPr/>
    </dgm:pt>
    <dgm:pt modelId="{534AEE4A-8608-4009-8E4E-15A408FFBCA3}" type="pres">
      <dgm:prSet presAssocID="{0E3E4C2F-69C0-4326-A123-36A3DE11C2BB}" presName="parentText" presStyleLbl="node1" presStyleIdx="3" presStyleCnt="10">
        <dgm:presLayoutVars>
          <dgm:chMax val="0"/>
          <dgm:bulletEnabled val="1"/>
        </dgm:presLayoutVars>
      </dgm:prSet>
      <dgm:spPr/>
    </dgm:pt>
    <dgm:pt modelId="{A08B3447-96F2-4A2C-B284-E34925589A78}" type="pres">
      <dgm:prSet presAssocID="{0E3E4C2F-69C0-4326-A123-36A3DE11C2BB}" presName="negativeSpace" presStyleCnt="0"/>
      <dgm:spPr/>
    </dgm:pt>
    <dgm:pt modelId="{637A134A-A54E-4326-B0A5-75283BE502A8}" type="pres">
      <dgm:prSet presAssocID="{0E3E4C2F-69C0-4326-A123-36A3DE11C2BB}" presName="childText" presStyleLbl="conFgAcc1" presStyleIdx="3" presStyleCnt="10">
        <dgm:presLayoutVars>
          <dgm:bulletEnabled val="1"/>
        </dgm:presLayoutVars>
      </dgm:prSet>
      <dgm:spPr/>
    </dgm:pt>
    <dgm:pt modelId="{6E91116D-42C6-42A4-BF93-553543518BF7}" type="pres">
      <dgm:prSet presAssocID="{04120736-32D8-4C9D-BA53-04A8A47258A8}" presName="spaceBetweenRectangles" presStyleCnt="0"/>
      <dgm:spPr/>
    </dgm:pt>
    <dgm:pt modelId="{83080A12-A589-460D-A2EC-AD90638796E4}" type="pres">
      <dgm:prSet presAssocID="{8B22A588-C9CB-4437-9D48-D3C70331F986}" presName="parentLin" presStyleCnt="0"/>
      <dgm:spPr/>
    </dgm:pt>
    <dgm:pt modelId="{4BCD2845-C0D9-49E9-81B1-9B5C0B9E1DA3}" type="pres">
      <dgm:prSet presAssocID="{8B22A588-C9CB-4437-9D48-D3C70331F986}" presName="parentLeftMargin" presStyleLbl="node1" presStyleIdx="3" presStyleCnt="10"/>
      <dgm:spPr/>
    </dgm:pt>
    <dgm:pt modelId="{50EC7AA2-20D6-4A98-BA00-D3D1CE9156AB}" type="pres">
      <dgm:prSet presAssocID="{8B22A588-C9CB-4437-9D48-D3C70331F986}" presName="parentText" presStyleLbl="node1" presStyleIdx="4" presStyleCnt="10">
        <dgm:presLayoutVars>
          <dgm:chMax val="0"/>
          <dgm:bulletEnabled val="1"/>
        </dgm:presLayoutVars>
      </dgm:prSet>
      <dgm:spPr/>
    </dgm:pt>
    <dgm:pt modelId="{F0F1DC25-F076-4A28-8C7D-2F657F764979}" type="pres">
      <dgm:prSet presAssocID="{8B22A588-C9CB-4437-9D48-D3C70331F986}" presName="negativeSpace" presStyleCnt="0"/>
      <dgm:spPr/>
    </dgm:pt>
    <dgm:pt modelId="{560FC687-651D-4524-8E55-8BD2E26805A3}" type="pres">
      <dgm:prSet presAssocID="{8B22A588-C9CB-4437-9D48-D3C70331F986}" presName="childText" presStyleLbl="conFgAcc1" presStyleIdx="4" presStyleCnt="10">
        <dgm:presLayoutVars>
          <dgm:bulletEnabled val="1"/>
        </dgm:presLayoutVars>
      </dgm:prSet>
      <dgm:spPr/>
    </dgm:pt>
    <dgm:pt modelId="{039C6672-4433-4588-A872-6593BDEB4D3A}" type="pres">
      <dgm:prSet presAssocID="{70651535-65A3-4178-9585-18ED63FF9A60}" presName="spaceBetweenRectangles" presStyleCnt="0"/>
      <dgm:spPr/>
    </dgm:pt>
    <dgm:pt modelId="{EB280079-744B-4B6A-BD3F-6B9B2573299D}" type="pres">
      <dgm:prSet presAssocID="{98EB2AF6-F431-4418-80A9-CC4CFA55F9D8}" presName="parentLin" presStyleCnt="0"/>
      <dgm:spPr/>
    </dgm:pt>
    <dgm:pt modelId="{7B109DD3-03BF-4904-9D82-6847DCE93D28}" type="pres">
      <dgm:prSet presAssocID="{98EB2AF6-F431-4418-80A9-CC4CFA55F9D8}" presName="parentLeftMargin" presStyleLbl="node1" presStyleIdx="4" presStyleCnt="10"/>
      <dgm:spPr/>
    </dgm:pt>
    <dgm:pt modelId="{EBC4F823-E162-467A-AA5B-D1A66AB175EF}" type="pres">
      <dgm:prSet presAssocID="{98EB2AF6-F431-4418-80A9-CC4CFA55F9D8}" presName="parentText" presStyleLbl="node1" presStyleIdx="5" presStyleCnt="10">
        <dgm:presLayoutVars>
          <dgm:chMax val="0"/>
          <dgm:bulletEnabled val="1"/>
        </dgm:presLayoutVars>
      </dgm:prSet>
      <dgm:spPr/>
    </dgm:pt>
    <dgm:pt modelId="{8BAE2BAF-267F-4255-8D1B-FD33D220D189}" type="pres">
      <dgm:prSet presAssocID="{98EB2AF6-F431-4418-80A9-CC4CFA55F9D8}" presName="negativeSpace" presStyleCnt="0"/>
      <dgm:spPr/>
    </dgm:pt>
    <dgm:pt modelId="{888AB65F-09F8-43A2-9913-8671C87CDB4E}" type="pres">
      <dgm:prSet presAssocID="{98EB2AF6-F431-4418-80A9-CC4CFA55F9D8}" presName="childText" presStyleLbl="conFgAcc1" presStyleIdx="5" presStyleCnt="10">
        <dgm:presLayoutVars>
          <dgm:bulletEnabled val="1"/>
        </dgm:presLayoutVars>
      </dgm:prSet>
      <dgm:spPr/>
    </dgm:pt>
    <dgm:pt modelId="{9108ED26-3535-4C6B-8B60-77476FECF491}" type="pres">
      <dgm:prSet presAssocID="{6466BF07-937A-45D7-AC07-FE4ACCF5FBD2}" presName="spaceBetweenRectangles" presStyleCnt="0"/>
      <dgm:spPr/>
    </dgm:pt>
    <dgm:pt modelId="{3B172C34-F739-4058-AF20-BFF2A049AC6F}" type="pres">
      <dgm:prSet presAssocID="{6F619D9C-21E6-41C3-9E98-BC5455A068A8}" presName="parentLin" presStyleCnt="0"/>
      <dgm:spPr/>
    </dgm:pt>
    <dgm:pt modelId="{F4F1B405-F8D8-47D7-A025-232BF6681322}" type="pres">
      <dgm:prSet presAssocID="{6F619D9C-21E6-41C3-9E98-BC5455A068A8}" presName="parentLeftMargin" presStyleLbl="node1" presStyleIdx="5" presStyleCnt="10"/>
      <dgm:spPr/>
    </dgm:pt>
    <dgm:pt modelId="{96F4766C-E391-44CC-B96C-D8C150297D89}" type="pres">
      <dgm:prSet presAssocID="{6F619D9C-21E6-41C3-9E98-BC5455A068A8}" presName="parentText" presStyleLbl="node1" presStyleIdx="6" presStyleCnt="10">
        <dgm:presLayoutVars>
          <dgm:chMax val="0"/>
          <dgm:bulletEnabled val="1"/>
        </dgm:presLayoutVars>
      </dgm:prSet>
      <dgm:spPr/>
    </dgm:pt>
    <dgm:pt modelId="{360937EA-56A3-41FE-9ECD-638A57F69AE0}" type="pres">
      <dgm:prSet presAssocID="{6F619D9C-21E6-41C3-9E98-BC5455A068A8}" presName="negativeSpace" presStyleCnt="0"/>
      <dgm:spPr/>
    </dgm:pt>
    <dgm:pt modelId="{BAC91D04-44C0-4A89-998C-C68724D7E49F}" type="pres">
      <dgm:prSet presAssocID="{6F619D9C-21E6-41C3-9E98-BC5455A068A8}" presName="childText" presStyleLbl="conFgAcc1" presStyleIdx="6" presStyleCnt="10">
        <dgm:presLayoutVars>
          <dgm:bulletEnabled val="1"/>
        </dgm:presLayoutVars>
      </dgm:prSet>
      <dgm:spPr/>
    </dgm:pt>
    <dgm:pt modelId="{AB4ABB58-CC02-4B00-BFF2-8713C54DBCDE}" type="pres">
      <dgm:prSet presAssocID="{D637A692-6046-422A-A6F7-2E5EF4868996}" presName="spaceBetweenRectangles" presStyleCnt="0"/>
      <dgm:spPr/>
    </dgm:pt>
    <dgm:pt modelId="{917EDD2F-6089-418A-9114-B4E9BC3E5EF2}" type="pres">
      <dgm:prSet presAssocID="{D790D663-0BAD-44E2-AF95-729CD5F2188D}" presName="parentLin" presStyleCnt="0"/>
      <dgm:spPr/>
    </dgm:pt>
    <dgm:pt modelId="{3D1C72FA-F2FE-4DC1-87BD-817368AEE2B2}" type="pres">
      <dgm:prSet presAssocID="{D790D663-0BAD-44E2-AF95-729CD5F2188D}" presName="parentLeftMargin" presStyleLbl="node1" presStyleIdx="6" presStyleCnt="10"/>
      <dgm:spPr/>
    </dgm:pt>
    <dgm:pt modelId="{F28877A8-0001-428B-9CC6-96130F747E65}" type="pres">
      <dgm:prSet presAssocID="{D790D663-0BAD-44E2-AF95-729CD5F2188D}" presName="parentText" presStyleLbl="node1" presStyleIdx="7" presStyleCnt="10">
        <dgm:presLayoutVars>
          <dgm:chMax val="0"/>
          <dgm:bulletEnabled val="1"/>
        </dgm:presLayoutVars>
      </dgm:prSet>
      <dgm:spPr/>
    </dgm:pt>
    <dgm:pt modelId="{38ED36D3-1E10-42C8-ACBB-CCE0972BBD4E}" type="pres">
      <dgm:prSet presAssocID="{D790D663-0BAD-44E2-AF95-729CD5F2188D}" presName="negativeSpace" presStyleCnt="0"/>
      <dgm:spPr/>
    </dgm:pt>
    <dgm:pt modelId="{5EDB13BF-5A68-48B0-B9A9-41DD80DE78E2}" type="pres">
      <dgm:prSet presAssocID="{D790D663-0BAD-44E2-AF95-729CD5F2188D}" presName="childText" presStyleLbl="conFgAcc1" presStyleIdx="7" presStyleCnt="10">
        <dgm:presLayoutVars>
          <dgm:bulletEnabled val="1"/>
        </dgm:presLayoutVars>
      </dgm:prSet>
      <dgm:spPr/>
    </dgm:pt>
    <dgm:pt modelId="{8066662E-7A6A-4403-933D-B907CD54FFF9}" type="pres">
      <dgm:prSet presAssocID="{B0CA1FD5-4454-42E7-9A99-D6EF03EF26CE}" presName="spaceBetweenRectangles" presStyleCnt="0"/>
      <dgm:spPr/>
    </dgm:pt>
    <dgm:pt modelId="{2307D758-0436-46B6-933A-FC68B786EE54}" type="pres">
      <dgm:prSet presAssocID="{515C4526-A8C2-42D1-AE09-009D1F309721}" presName="parentLin" presStyleCnt="0"/>
      <dgm:spPr/>
    </dgm:pt>
    <dgm:pt modelId="{54711BC7-1DEC-42C2-A69C-AAD69B99F2B5}" type="pres">
      <dgm:prSet presAssocID="{515C4526-A8C2-42D1-AE09-009D1F309721}" presName="parentLeftMargin" presStyleLbl="node1" presStyleIdx="7" presStyleCnt="10"/>
      <dgm:spPr/>
    </dgm:pt>
    <dgm:pt modelId="{58FCF7C1-6E5F-445C-86B7-8E94B212D748}" type="pres">
      <dgm:prSet presAssocID="{515C4526-A8C2-42D1-AE09-009D1F309721}" presName="parentText" presStyleLbl="node1" presStyleIdx="8" presStyleCnt="10">
        <dgm:presLayoutVars>
          <dgm:chMax val="0"/>
          <dgm:bulletEnabled val="1"/>
        </dgm:presLayoutVars>
      </dgm:prSet>
      <dgm:spPr/>
    </dgm:pt>
    <dgm:pt modelId="{E9AF666B-0E6D-4E83-8F0D-FAA2878D24AB}" type="pres">
      <dgm:prSet presAssocID="{515C4526-A8C2-42D1-AE09-009D1F309721}" presName="negativeSpace" presStyleCnt="0"/>
      <dgm:spPr/>
    </dgm:pt>
    <dgm:pt modelId="{06BD52F5-0AF5-4DB5-AA4E-B7CA5C122568}" type="pres">
      <dgm:prSet presAssocID="{515C4526-A8C2-42D1-AE09-009D1F309721}" presName="childText" presStyleLbl="conFgAcc1" presStyleIdx="8" presStyleCnt="10">
        <dgm:presLayoutVars>
          <dgm:bulletEnabled val="1"/>
        </dgm:presLayoutVars>
      </dgm:prSet>
      <dgm:spPr/>
    </dgm:pt>
    <dgm:pt modelId="{E31E5F1C-E804-442D-8765-2ABFB565CCCA}" type="pres">
      <dgm:prSet presAssocID="{512081AC-AE09-4188-8D8F-62DCA9B85F96}" presName="spaceBetweenRectangles" presStyleCnt="0"/>
      <dgm:spPr/>
    </dgm:pt>
    <dgm:pt modelId="{08794678-C214-4A33-BE49-371C8F9908CF}" type="pres">
      <dgm:prSet presAssocID="{E5D384C8-31AB-42AD-A884-3FFDBF41B58A}" presName="parentLin" presStyleCnt="0"/>
      <dgm:spPr/>
    </dgm:pt>
    <dgm:pt modelId="{F8A53C51-270C-465D-8997-B9CF7B21CAE3}" type="pres">
      <dgm:prSet presAssocID="{E5D384C8-31AB-42AD-A884-3FFDBF41B58A}" presName="parentLeftMargin" presStyleLbl="node1" presStyleIdx="8" presStyleCnt="10"/>
      <dgm:spPr/>
    </dgm:pt>
    <dgm:pt modelId="{B5DCF5C6-4002-488C-B09B-D5EA981669B7}" type="pres">
      <dgm:prSet presAssocID="{E5D384C8-31AB-42AD-A884-3FFDBF41B58A}" presName="parentText" presStyleLbl="node1" presStyleIdx="9" presStyleCnt="10">
        <dgm:presLayoutVars>
          <dgm:chMax val="0"/>
          <dgm:bulletEnabled val="1"/>
        </dgm:presLayoutVars>
      </dgm:prSet>
      <dgm:spPr/>
    </dgm:pt>
    <dgm:pt modelId="{F324E423-E3C5-43EB-AD65-D1588F00BB1D}" type="pres">
      <dgm:prSet presAssocID="{E5D384C8-31AB-42AD-A884-3FFDBF41B58A}" presName="negativeSpace" presStyleCnt="0"/>
      <dgm:spPr/>
    </dgm:pt>
    <dgm:pt modelId="{944AD537-9E73-4FC2-A9C1-9A557E554313}" type="pres">
      <dgm:prSet presAssocID="{E5D384C8-31AB-42AD-A884-3FFDBF41B58A}" presName="childText" presStyleLbl="conFgAcc1" presStyleIdx="9" presStyleCnt="10">
        <dgm:presLayoutVars>
          <dgm:bulletEnabled val="1"/>
        </dgm:presLayoutVars>
      </dgm:prSet>
      <dgm:spPr/>
    </dgm:pt>
  </dgm:ptLst>
  <dgm:cxnLst>
    <dgm:cxn modelId="{93679600-7DFB-486E-AD79-AD92C72E8141}" type="presOf" srcId="{FF3DEFB5-6F83-4724-881A-7C609AF1D6EC}" destId="{637A134A-A54E-4326-B0A5-75283BE502A8}" srcOrd="0" destOrd="0" presId="urn:microsoft.com/office/officeart/2005/8/layout/list1"/>
    <dgm:cxn modelId="{13EFDA0A-69F5-4271-AD29-3DB6BA94D2FE}" srcId="{FCC8D2EE-5585-4169-BCA3-B36AA4569D7F}" destId="{D790D663-0BAD-44E2-AF95-729CD5F2188D}" srcOrd="7" destOrd="0" parTransId="{A2EFC512-A221-45F7-BB89-49D510C05520}" sibTransId="{B0CA1FD5-4454-42E7-9A99-D6EF03EF26CE}"/>
    <dgm:cxn modelId="{0BBB940C-750E-4112-813B-88EA268008EC}" type="presOf" srcId="{FCC8D2EE-5585-4169-BCA3-B36AA4569D7F}" destId="{7370DAC5-97EA-4F58-BA5F-5E7630539FFB}" srcOrd="0" destOrd="0" presId="urn:microsoft.com/office/officeart/2005/8/layout/list1"/>
    <dgm:cxn modelId="{255AC70D-375D-49A8-983D-0726D2A98BE6}" srcId="{515C4526-A8C2-42D1-AE09-009D1F309721}" destId="{6DD6F832-821F-4DBD-B73F-95CC7D7975A7}" srcOrd="0" destOrd="0" parTransId="{75BA3770-EEF9-455A-8F6D-85E530247067}" sibTransId="{EEE28D8A-F73A-4EAF-8441-32F2121D2E38}"/>
    <dgm:cxn modelId="{70500D11-3042-4448-BEE7-5ACFA940ED84}" type="presOf" srcId="{F14C0C94-51CF-4629-9F31-E107AF4D3449}" destId="{C7CA326D-9C8E-4526-BF26-D6DC728E7141}" srcOrd="0" destOrd="0" presId="urn:microsoft.com/office/officeart/2005/8/layout/list1"/>
    <dgm:cxn modelId="{AE3B1D11-DBAE-468C-91FF-A59CF0CBC805}" type="presOf" srcId="{0E3E4C2F-69C0-4326-A123-36A3DE11C2BB}" destId="{534AEE4A-8608-4009-8E4E-15A408FFBCA3}" srcOrd="1" destOrd="0" presId="urn:microsoft.com/office/officeart/2005/8/layout/list1"/>
    <dgm:cxn modelId="{018D4012-A5E8-4E4E-A3BF-2EF165E18EF4}" srcId="{FCC8D2EE-5585-4169-BCA3-B36AA4569D7F}" destId="{C557124B-FB51-48C6-9C67-141DD23FE84F}" srcOrd="2" destOrd="0" parTransId="{0FF085BD-A9D4-4470-96C1-14F37C322BE3}" sibTransId="{891258FC-3A73-4FAD-AC04-2448DAB6133A}"/>
    <dgm:cxn modelId="{19711F13-30C6-4964-8A9B-6F7E313EEFB2}" type="presOf" srcId="{C557124B-FB51-48C6-9C67-141DD23FE84F}" destId="{DDDBA0B2-A7AB-4583-8E14-69F37650675D}" srcOrd="1" destOrd="0" presId="urn:microsoft.com/office/officeart/2005/8/layout/list1"/>
    <dgm:cxn modelId="{36529314-CEB8-44C9-853D-0B1543CA1BBE}" type="presOf" srcId="{3585B44C-71FF-4CDC-A1A2-1B69C36F5D41}" destId="{BF558AF8-9083-4F28-9ABD-938FF2182A50}" srcOrd="1" destOrd="0" presId="urn:microsoft.com/office/officeart/2005/8/layout/list1"/>
    <dgm:cxn modelId="{A18E0318-1887-44D3-923C-9EEA32CC6CEF}" type="presOf" srcId="{0C429E84-D3A3-4296-B184-6AC7A291C5E9}" destId="{560FC687-651D-4524-8E55-8BD2E26805A3}" srcOrd="0" destOrd="0" presId="urn:microsoft.com/office/officeart/2005/8/layout/list1"/>
    <dgm:cxn modelId="{7B7CDF1B-FD88-47B6-A726-FBB098402A22}" type="presOf" srcId="{BB6B2F76-E6AD-4358-AF83-4BDAC223DE86}" destId="{BAC91D04-44C0-4A89-998C-C68724D7E49F}" srcOrd="0" destOrd="0" presId="urn:microsoft.com/office/officeart/2005/8/layout/list1"/>
    <dgm:cxn modelId="{2A266325-195E-4E6A-A625-FBCE2E67F813}" type="presOf" srcId="{E5D384C8-31AB-42AD-A884-3FFDBF41B58A}" destId="{F8A53C51-270C-465D-8997-B9CF7B21CAE3}" srcOrd="0" destOrd="0" presId="urn:microsoft.com/office/officeart/2005/8/layout/list1"/>
    <dgm:cxn modelId="{3944D92D-D351-4B6A-B1D7-C2011143A680}" srcId="{FCC8D2EE-5585-4169-BCA3-B36AA4569D7F}" destId="{98EB2AF6-F431-4418-80A9-CC4CFA55F9D8}" srcOrd="5" destOrd="0" parTransId="{6C70B957-9FA3-4E99-BC0A-5616CB6F8BE4}" sibTransId="{6466BF07-937A-45D7-AC07-FE4ACCF5FBD2}"/>
    <dgm:cxn modelId="{4D39A631-4350-458A-AC87-336C418C0270}" type="presOf" srcId="{8B22A588-C9CB-4437-9D48-D3C70331F986}" destId="{4BCD2845-C0D9-49E9-81B1-9B5C0B9E1DA3}" srcOrd="0" destOrd="0" presId="urn:microsoft.com/office/officeart/2005/8/layout/list1"/>
    <dgm:cxn modelId="{AD696835-2080-4AE7-A7A5-B8167EE7DE6A}" type="presOf" srcId="{D1B3F6BE-2880-4007-87EC-83F9B91C1853}" destId="{277D8BF1-25B6-41FB-8C77-E786541BC541}" srcOrd="1" destOrd="0" presId="urn:microsoft.com/office/officeart/2005/8/layout/list1"/>
    <dgm:cxn modelId="{16323738-4A77-464E-935A-9D322F6D2527}" type="presOf" srcId="{ADA6CD3A-6300-4960-8242-B1A11BCF957B}" destId="{BAC91D04-44C0-4A89-998C-C68724D7E49F}" srcOrd="0" destOrd="1" presId="urn:microsoft.com/office/officeart/2005/8/layout/list1"/>
    <dgm:cxn modelId="{CE045B39-958D-4A84-9D6D-B7B8C1A022A4}" srcId="{FCC8D2EE-5585-4169-BCA3-B36AA4569D7F}" destId="{E5D384C8-31AB-42AD-A884-3FFDBF41B58A}" srcOrd="9" destOrd="0" parTransId="{E4C700FE-1851-4584-8184-69F1BDD718D5}" sibTransId="{F550FCD7-1BFF-4EEA-9258-D9E795051BC4}"/>
    <dgm:cxn modelId="{9BDCBD5B-686A-41BE-AD17-2BA9A0701B7F}" type="presOf" srcId="{98EB2AF6-F431-4418-80A9-CC4CFA55F9D8}" destId="{7B109DD3-03BF-4904-9D82-6847DCE93D28}" srcOrd="0" destOrd="0" presId="urn:microsoft.com/office/officeart/2005/8/layout/list1"/>
    <dgm:cxn modelId="{AC31E65E-B3F0-401D-B672-5B71F528E783}" type="presOf" srcId="{D790D663-0BAD-44E2-AF95-729CD5F2188D}" destId="{F28877A8-0001-428B-9CC6-96130F747E65}" srcOrd="1" destOrd="0" presId="urn:microsoft.com/office/officeart/2005/8/layout/list1"/>
    <dgm:cxn modelId="{6E160343-94E3-46E6-9516-E5F409AE9128}" type="presOf" srcId="{6F619D9C-21E6-41C3-9E98-BC5455A068A8}" destId="{F4F1B405-F8D8-47D7-A025-232BF6681322}" srcOrd="0" destOrd="0" presId="urn:microsoft.com/office/officeart/2005/8/layout/list1"/>
    <dgm:cxn modelId="{008A0E66-2C6A-4CED-8355-B86C3A1EA083}" srcId="{C557124B-FB51-48C6-9C67-141DD23FE84F}" destId="{F14C0C94-51CF-4629-9F31-E107AF4D3449}" srcOrd="0" destOrd="0" parTransId="{F4A3BF93-F14D-4B24-95DA-8EA462200564}" sibTransId="{80CADAC9-998C-46E2-8A2C-D7A1C2240AC4}"/>
    <dgm:cxn modelId="{DCEC896A-1887-4828-B0D0-CD76FDBEAF84}" type="presOf" srcId="{9F2D89B5-9405-4C35-9E95-1F2DC4761224}" destId="{944AD537-9E73-4FC2-A9C1-9A557E554313}" srcOrd="0" destOrd="1" presId="urn:microsoft.com/office/officeart/2005/8/layout/list1"/>
    <dgm:cxn modelId="{F7E2554B-9C33-4C4F-93FC-2DDF84592AAB}" srcId="{6F619D9C-21E6-41C3-9E98-BC5455A068A8}" destId="{ADA6CD3A-6300-4960-8242-B1A11BCF957B}" srcOrd="1" destOrd="0" parTransId="{512480F7-36AA-4172-BBE8-1FC5A078620A}" sibTransId="{589A06AA-D08D-4934-8A90-766CDDD3E81C}"/>
    <dgm:cxn modelId="{6163246E-3891-4D85-9F19-C1E07D406FB1}" srcId="{FCC8D2EE-5585-4169-BCA3-B36AA4569D7F}" destId="{8B22A588-C9CB-4437-9D48-D3C70331F986}" srcOrd="4" destOrd="0" parTransId="{26B93898-F23C-4517-973D-5ED0DD37BD5D}" sibTransId="{70651535-65A3-4178-9585-18ED63FF9A60}"/>
    <dgm:cxn modelId="{2144586F-DAAE-4BCD-ACFA-7B2A75CB1EDF}" srcId="{FCC8D2EE-5585-4169-BCA3-B36AA4569D7F}" destId="{0E3E4C2F-69C0-4326-A123-36A3DE11C2BB}" srcOrd="3" destOrd="0" parTransId="{FA4BBA11-CE1A-43D0-9913-F254316F9F55}" sibTransId="{04120736-32D8-4C9D-BA53-04A8A47258A8}"/>
    <dgm:cxn modelId="{4182AE4F-5684-43E6-87A6-78E80550A5E6}" type="presOf" srcId="{8B22A588-C9CB-4437-9D48-D3C70331F986}" destId="{50EC7AA2-20D6-4A98-BA00-D3D1CE9156AB}" srcOrd="1" destOrd="0" presId="urn:microsoft.com/office/officeart/2005/8/layout/list1"/>
    <dgm:cxn modelId="{BA7C1F71-0070-49DF-ABED-CDC0C68B9A9C}" srcId="{0E3E4C2F-69C0-4326-A123-36A3DE11C2BB}" destId="{FF3DEFB5-6F83-4724-881A-7C609AF1D6EC}" srcOrd="0" destOrd="0" parTransId="{D8C253EC-D2DE-4F4F-A2E2-809B5560C5E8}" sibTransId="{0D64B900-310D-4F08-8CAD-2E4F6C4FD50F}"/>
    <dgm:cxn modelId="{6A040F52-5742-4565-A8CA-7F281FC0D4F3}" type="presOf" srcId="{D1B3F6BE-2880-4007-87EC-83F9B91C1853}" destId="{E7902B8A-E389-4B19-8BE4-70B25C2F7CD2}" srcOrd="0" destOrd="0" presId="urn:microsoft.com/office/officeart/2005/8/layout/list1"/>
    <dgm:cxn modelId="{D5F92172-4470-4833-89AC-7D111F89FAA6}" type="presOf" srcId="{270AEF2A-FAD6-48B7-A4A2-9FC75F139B7A}" destId="{1C61CA45-93D4-428E-9D35-93A37FD3EE97}" srcOrd="0" destOrd="0" presId="urn:microsoft.com/office/officeart/2005/8/layout/list1"/>
    <dgm:cxn modelId="{DD28A552-754E-4AB6-9611-013263C7F9AC}" srcId="{FCC8D2EE-5585-4169-BCA3-B36AA4569D7F}" destId="{3585B44C-71FF-4CDC-A1A2-1B69C36F5D41}" srcOrd="0" destOrd="0" parTransId="{34885DA7-2A03-4EC4-8266-E57224F8622F}" sibTransId="{E697AFEB-C4F3-4677-B883-F16F32035C11}"/>
    <dgm:cxn modelId="{8BD95B76-ED50-4423-B063-46FCA0383400}" type="presOf" srcId="{EAF4CD55-D976-4930-840A-10DAF97587C1}" destId="{560FC687-651D-4524-8E55-8BD2E26805A3}" srcOrd="0" destOrd="1" presId="urn:microsoft.com/office/officeart/2005/8/layout/list1"/>
    <dgm:cxn modelId="{4A661957-2611-4EFE-911D-D90732F46A57}" type="presOf" srcId="{D790D663-0BAD-44E2-AF95-729CD5F2188D}" destId="{3D1C72FA-F2FE-4DC1-87BD-817368AEE2B2}" srcOrd="0" destOrd="0" presId="urn:microsoft.com/office/officeart/2005/8/layout/list1"/>
    <dgm:cxn modelId="{72A5AC79-6186-44B9-A994-F97E6348FED4}" type="presOf" srcId="{7B29B828-2EC8-403B-9576-DDBA115F8E6E}" destId="{701BFCE3-E6EB-4568-B581-2E3C7D1ABEBE}" srcOrd="0" destOrd="0" presId="urn:microsoft.com/office/officeart/2005/8/layout/list1"/>
    <dgm:cxn modelId="{0007267F-FE01-4854-B086-569794ED8E7E}" srcId="{FCC8D2EE-5585-4169-BCA3-B36AA4569D7F}" destId="{515C4526-A8C2-42D1-AE09-009D1F309721}" srcOrd="8" destOrd="0" parTransId="{8111F728-0F53-42B0-B164-6C3D4F44E8FA}" sibTransId="{512081AC-AE09-4188-8D8F-62DCA9B85F96}"/>
    <dgm:cxn modelId="{1EF18E80-9A1A-4DA6-A798-42173DE9D767}" srcId="{C557124B-FB51-48C6-9C67-141DD23FE84F}" destId="{C25A7302-AAAA-4AFB-818F-34B4E9B0A7A0}" srcOrd="1" destOrd="0" parTransId="{D4FB3E56-1DAA-42C2-961F-D0CEA56C65FA}" sibTransId="{EDD00820-2495-402D-9D74-C9C94208C9E5}"/>
    <dgm:cxn modelId="{C2BEEC80-436D-4BB7-AB45-A5348C99A25B}" srcId="{8B22A588-C9CB-4437-9D48-D3C70331F986}" destId="{0C429E84-D3A3-4296-B184-6AC7A291C5E9}" srcOrd="0" destOrd="0" parTransId="{751A6324-33CB-4CBA-971D-A5F831B7CCC3}" sibTransId="{AB9BF33B-A843-4663-BC31-2662AA1C6B3A}"/>
    <dgm:cxn modelId="{D8151C95-EEB0-4BC9-8F39-C04BDD44FEDE}" srcId="{8B22A588-C9CB-4437-9D48-D3C70331F986}" destId="{EAF4CD55-D976-4930-840A-10DAF97587C1}" srcOrd="1" destOrd="0" parTransId="{3E1E8DA3-CD32-4A0F-89EE-A6983A371B3A}" sibTransId="{3F309701-4354-4554-AB14-0E1239FB3661}"/>
    <dgm:cxn modelId="{840C4695-BD17-44F4-9784-4C452AE9312B}" srcId="{D1B3F6BE-2880-4007-87EC-83F9B91C1853}" destId="{7B29B828-2EC8-403B-9576-DDBA115F8E6E}" srcOrd="0" destOrd="0" parTransId="{0D75FD2F-E3C7-4EF6-A816-E5DAEEDB2F09}" sibTransId="{7947B989-8795-4CFB-94B3-F9C037D969F8}"/>
    <dgm:cxn modelId="{BAB04E95-0354-40B9-8D5B-35870F467735}" type="presOf" srcId="{0E3E4C2F-69C0-4326-A123-36A3DE11C2BB}" destId="{7544CEB6-434A-40DB-87AF-6A2EF7CD1CC7}" srcOrd="0" destOrd="0" presId="urn:microsoft.com/office/officeart/2005/8/layout/list1"/>
    <dgm:cxn modelId="{5F6F5D9F-59E1-41E7-A92C-8504DFEA2CC2}" type="presOf" srcId="{B1ABBFFC-E4EE-402C-88AB-65B94EADCC12}" destId="{888AB65F-09F8-43A2-9913-8671C87CDB4E}" srcOrd="0" destOrd="0" presId="urn:microsoft.com/office/officeart/2005/8/layout/list1"/>
    <dgm:cxn modelId="{FD7EE0AA-BC57-4162-A4B6-5430F2683E3E}" srcId="{98EB2AF6-F431-4418-80A9-CC4CFA55F9D8}" destId="{B1ABBFFC-E4EE-402C-88AB-65B94EADCC12}" srcOrd="0" destOrd="0" parTransId="{18693845-88F2-43C5-A40A-8061D1E519BA}" sibTransId="{BD76A6ED-ABC0-43ED-A710-9B0B135A96BC}"/>
    <dgm:cxn modelId="{3F78ACB3-FBC3-4FB9-8465-EA22ECE0AD97}" srcId="{FCC8D2EE-5585-4169-BCA3-B36AA4569D7F}" destId="{6F619D9C-21E6-41C3-9E98-BC5455A068A8}" srcOrd="6" destOrd="0" parTransId="{75811F99-96C2-4735-BF1A-C29D347E2E6D}" sibTransId="{D637A692-6046-422A-A6F7-2E5EF4868996}"/>
    <dgm:cxn modelId="{87B71DBE-E0A6-4D9B-A427-6A6757FE5140}" type="presOf" srcId="{6DD6F832-821F-4DBD-B73F-95CC7D7975A7}" destId="{06BD52F5-0AF5-4DB5-AA4E-B7CA5C122568}" srcOrd="0" destOrd="0" presId="urn:microsoft.com/office/officeart/2005/8/layout/list1"/>
    <dgm:cxn modelId="{799969C1-E87A-4F1E-9F6E-2DF4027F5FB8}" srcId="{FCC8D2EE-5585-4169-BCA3-B36AA4569D7F}" destId="{D1B3F6BE-2880-4007-87EC-83F9B91C1853}" srcOrd="1" destOrd="0" parTransId="{F16E4032-0894-49B1-9C49-A96CA1A76C7E}" sibTransId="{853F864D-A1F2-4B48-BB36-3A969A200606}"/>
    <dgm:cxn modelId="{C54AEEC2-229F-4828-8E79-306402C141CF}" type="presOf" srcId="{C557124B-FB51-48C6-9C67-141DD23FE84F}" destId="{331A9F7C-69A6-4C81-89E8-F229C02D761B}" srcOrd="0" destOrd="0" presId="urn:microsoft.com/office/officeart/2005/8/layout/list1"/>
    <dgm:cxn modelId="{0896E7C8-DCA1-4276-BD74-07ECF7750BFD}" type="presOf" srcId="{98EB2AF6-F431-4418-80A9-CC4CFA55F9D8}" destId="{EBC4F823-E162-467A-AA5B-D1A66AB175EF}" srcOrd="1" destOrd="0" presId="urn:microsoft.com/office/officeart/2005/8/layout/list1"/>
    <dgm:cxn modelId="{EBDB9BD2-30C4-421E-BE1C-09CB091776DE}" srcId="{3585B44C-71FF-4CDC-A1A2-1B69C36F5D41}" destId="{270AEF2A-FAD6-48B7-A4A2-9FC75F139B7A}" srcOrd="0" destOrd="0" parTransId="{14217C4D-83A0-4348-9466-737435409DC1}" sibTransId="{BBC5D170-0317-406F-BCE6-9D9A6F543ED6}"/>
    <dgm:cxn modelId="{A3B960D4-0B74-44F2-AA2B-A46140BD102D}" type="presOf" srcId="{C25A7302-AAAA-4AFB-818F-34B4E9B0A7A0}" destId="{C7CA326D-9C8E-4526-BF26-D6DC728E7141}" srcOrd="0" destOrd="1" presId="urn:microsoft.com/office/officeart/2005/8/layout/list1"/>
    <dgm:cxn modelId="{BD5DF3D8-91BC-41A2-B830-674C6CC5B854}" type="presOf" srcId="{64B509C4-F087-43B5-842F-B7F7DFF48CED}" destId="{944AD537-9E73-4FC2-A9C1-9A557E554313}" srcOrd="0" destOrd="0" presId="urn:microsoft.com/office/officeart/2005/8/layout/list1"/>
    <dgm:cxn modelId="{B95314E6-5803-4483-A9D1-E4E59A45851F}" type="presOf" srcId="{515C4526-A8C2-42D1-AE09-009D1F309721}" destId="{54711BC7-1DEC-42C2-A69C-AAD69B99F2B5}" srcOrd="0" destOrd="0" presId="urn:microsoft.com/office/officeart/2005/8/layout/list1"/>
    <dgm:cxn modelId="{1D018DF5-1102-4425-9DE9-0BC07433BE58}" type="presOf" srcId="{6F619D9C-21E6-41C3-9E98-BC5455A068A8}" destId="{96F4766C-E391-44CC-B96C-D8C150297D89}" srcOrd="1" destOrd="0" presId="urn:microsoft.com/office/officeart/2005/8/layout/list1"/>
    <dgm:cxn modelId="{55D266F6-4031-4DE9-89E6-1C2231DC0407}" type="presOf" srcId="{E5D384C8-31AB-42AD-A884-3FFDBF41B58A}" destId="{B5DCF5C6-4002-488C-B09B-D5EA981669B7}" srcOrd="1" destOrd="0" presId="urn:microsoft.com/office/officeart/2005/8/layout/list1"/>
    <dgm:cxn modelId="{6B0B4CF6-8348-48C7-96E6-63F054A56D76}" srcId="{E5D384C8-31AB-42AD-A884-3FFDBF41B58A}" destId="{64B509C4-F087-43B5-842F-B7F7DFF48CED}" srcOrd="0" destOrd="0" parTransId="{8763C92E-000B-4D15-88AA-D5EE7DA93031}" sibTransId="{F0AF656A-A5AB-4251-92C7-31A1171D9D3C}"/>
    <dgm:cxn modelId="{5EA550FA-8FE0-483A-AE83-5F1257AB92CF}" srcId="{E5D384C8-31AB-42AD-A884-3FFDBF41B58A}" destId="{9F2D89B5-9405-4C35-9E95-1F2DC4761224}" srcOrd="1" destOrd="0" parTransId="{09436898-1D27-498C-A3B2-A198FC4DCD63}" sibTransId="{E1E4AE73-92DF-493D-9075-7617C1CB58B3}"/>
    <dgm:cxn modelId="{45F389FD-54FD-45F9-9444-6FB29C73A594}" srcId="{6F619D9C-21E6-41C3-9E98-BC5455A068A8}" destId="{BB6B2F76-E6AD-4358-AF83-4BDAC223DE86}" srcOrd="0" destOrd="0" parTransId="{3B708AB1-C3AC-41F3-924A-B3293F5FB89A}" sibTransId="{77FEE799-3F18-468A-A211-92702EE819CF}"/>
    <dgm:cxn modelId="{4E8CBCFD-8A7B-4066-9C1F-82E73F6EC1D1}" type="presOf" srcId="{3585B44C-71FF-4CDC-A1A2-1B69C36F5D41}" destId="{BE10F3E7-B9F9-40C7-9C8A-13FFAEF9E978}" srcOrd="0" destOrd="0" presId="urn:microsoft.com/office/officeart/2005/8/layout/list1"/>
    <dgm:cxn modelId="{F045DFFD-22A4-4EAA-BFBF-888EBB0F5D8C}" srcId="{D790D663-0BAD-44E2-AF95-729CD5F2188D}" destId="{644643D5-4B40-4708-9B25-2CA1F2B817D7}" srcOrd="0" destOrd="0" parTransId="{E743DB5C-3074-4F34-9FEE-3803A357175B}" sibTransId="{115589F7-0026-4802-83CE-738C218FE9BF}"/>
    <dgm:cxn modelId="{721BF3FD-4F9E-43AB-B88A-D49DFF3091F2}" type="presOf" srcId="{644643D5-4B40-4708-9B25-2CA1F2B817D7}" destId="{5EDB13BF-5A68-48B0-B9A9-41DD80DE78E2}" srcOrd="0" destOrd="0" presId="urn:microsoft.com/office/officeart/2005/8/layout/list1"/>
    <dgm:cxn modelId="{8C719BFE-7C0D-4A44-9715-C207CFF34224}" type="presOf" srcId="{515C4526-A8C2-42D1-AE09-009D1F309721}" destId="{58FCF7C1-6E5F-445C-86B7-8E94B212D748}" srcOrd="1" destOrd="0" presId="urn:microsoft.com/office/officeart/2005/8/layout/list1"/>
    <dgm:cxn modelId="{17CC1C20-F5CA-43FE-852F-81FEA59BAC68}" type="presParOf" srcId="{7370DAC5-97EA-4F58-BA5F-5E7630539FFB}" destId="{D80C7E3E-1B23-4589-A71D-CEF3A095C2BE}" srcOrd="0" destOrd="0" presId="urn:microsoft.com/office/officeart/2005/8/layout/list1"/>
    <dgm:cxn modelId="{62952EB7-D65B-42A9-9280-4935D480072D}" type="presParOf" srcId="{D80C7E3E-1B23-4589-A71D-CEF3A095C2BE}" destId="{BE10F3E7-B9F9-40C7-9C8A-13FFAEF9E978}" srcOrd="0" destOrd="0" presId="urn:microsoft.com/office/officeart/2005/8/layout/list1"/>
    <dgm:cxn modelId="{F59846B0-F488-49F7-B97D-10E32BB5C30E}" type="presParOf" srcId="{D80C7E3E-1B23-4589-A71D-CEF3A095C2BE}" destId="{BF558AF8-9083-4F28-9ABD-938FF2182A50}" srcOrd="1" destOrd="0" presId="urn:microsoft.com/office/officeart/2005/8/layout/list1"/>
    <dgm:cxn modelId="{914E38B1-E5B1-4C90-9285-6F5CCD066B97}" type="presParOf" srcId="{7370DAC5-97EA-4F58-BA5F-5E7630539FFB}" destId="{99C795CB-DCBE-429B-AC38-E5EDCDF039B2}" srcOrd="1" destOrd="0" presId="urn:microsoft.com/office/officeart/2005/8/layout/list1"/>
    <dgm:cxn modelId="{11EFD737-7C1C-4A0D-84E8-0619969D69E6}" type="presParOf" srcId="{7370DAC5-97EA-4F58-BA5F-5E7630539FFB}" destId="{1C61CA45-93D4-428E-9D35-93A37FD3EE97}" srcOrd="2" destOrd="0" presId="urn:microsoft.com/office/officeart/2005/8/layout/list1"/>
    <dgm:cxn modelId="{CE044590-CD78-4E91-8597-5D0DBA485B9E}" type="presParOf" srcId="{7370DAC5-97EA-4F58-BA5F-5E7630539FFB}" destId="{88B22473-0D4E-4CE6-8712-8DD0ED5DC103}" srcOrd="3" destOrd="0" presId="urn:microsoft.com/office/officeart/2005/8/layout/list1"/>
    <dgm:cxn modelId="{412FEBFD-9CF9-46ED-A4BC-758ABE649C88}" type="presParOf" srcId="{7370DAC5-97EA-4F58-BA5F-5E7630539FFB}" destId="{D6C42D80-AED4-44CA-AAA9-9B7CCD7FBDA4}" srcOrd="4" destOrd="0" presId="urn:microsoft.com/office/officeart/2005/8/layout/list1"/>
    <dgm:cxn modelId="{C1C22968-239D-47ED-A804-0D230869AB53}" type="presParOf" srcId="{D6C42D80-AED4-44CA-AAA9-9B7CCD7FBDA4}" destId="{E7902B8A-E389-4B19-8BE4-70B25C2F7CD2}" srcOrd="0" destOrd="0" presId="urn:microsoft.com/office/officeart/2005/8/layout/list1"/>
    <dgm:cxn modelId="{325E0040-3628-424D-ADDD-48751322100A}" type="presParOf" srcId="{D6C42D80-AED4-44CA-AAA9-9B7CCD7FBDA4}" destId="{277D8BF1-25B6-41FB-8C77-E786541BC541}" srcOrd="1" destOrd="0" presId="urn:microsoft.com/office/officeart/2005/8/layout/list1"/>
    <dgm:cxn modelId="{D0D98D8E-E393-4102-A8E2-F5D6E74D948B}" type="presParOf" srcId="{7370DAC5-97EA-4F58-BA5F-5E7630539FFB}" destId="{BC6D6C63-90CA-4084-BF77-A71F91DC2056}" srcOrd="5" destOrd="0" presId="urn:microsoft.com/office/officeart/2005/8/layout/list1"/>
    <dgm:cxn modelId="{AFC95EE8-5CDA-455C-975F-7E3AF12F7657}" type="presParOf" srcId="{7370DAC5-97EA-4F58-BA5F-5E7630539FFB}" destId="{701BFCE3-E6EB-4568-B581-2E3C7D1ABEBE}" srcOrd="6" destOrd="0" presId="urn:microsoft.com/office/officeart/2005/8/layout/list1"/>
    <dgm:cxn modelId="{82CBE757-84D7-4808-AB35-CFD607D0A8B0}" type="presParOf" srcId="{7370DAC5-97EA-4F58-BA5F-5E7630539FFB}" destId="{FF25FBFB-4149-47CE-9046-3D2CDC333DF3}" srcOrd="7" destOrd="0" presId="urn:microsoft.com/office/officeart/2005/8/layout/list1"/>
    <dgm:cxn modelId="{A3282A54-2AAE-4226-A42D-073221C4DE86}" type="presParOf" srcId="{7370DAC5-97EA-4F58-BA5F-5E7630539FFB}" destId="{3B7C127C-E04E-48DF-925E-209EAD4BB81C}" srcOrd="8" destOrd="0" presId="urn:microsoft.com/office/officeart/2005/8/layout/list1"/>
    <dgm:cxn modelId="{3EE81478-AB98-4D30-865E-8012203F03F7}" type="presParOf" srcId="{3B7C127C-E04E-48DF-925E-209EAD4BB81C}" destId="{331A9F7C-69A6-4C81-89E8-F229C02D761B}" srcOrd="0" destOrd="0" presId="urn:microsoft.com/office/officeart/2005/8/layout/list1"/>
    <dgm:cxn modelId="{622973EA-A53A-40E5-87C5-6E86CC3E8126}" type="presParOf" srcId="{3B7C127C-E04E-48DF-925E-209EAD4BB81C}" destId="{DDDBA0B2-A7AB-4583-8E14-69F37650675D}" srcOrd="1" destOrd="0" presId="urn:microsoft.com/office/officeart/2005/8/layout/list1"/>
    <dgm:cxn modelId="{856D0B23-ACEA-486C-ADFA-49CC9A4C9F5E}" type="presParOf" srcId="{7370DAC5-97EA-4F58-BA5F-5E7630539FFB}" destId="{BE3B8C5F-347D-4BC9-AE80-9B31C38FBAF4}" srcOrd="9" destOrd="0" presId="urn:microsoft.com/office/officeart/2005/8/layout/list1"/>
    <dgm:cxn modelId="{F9242CB7-512F-4582-B470-AC4ED0D3965D}" type="presParOf" srcId="{7370DAC5-97EA-4F58-BA5F-5E7630539FFB}" destId="{C7CA326D-9C8E-4526-BF26-D6DC728E7141}" srcOrd="10" destOrd="0" presId="urn:microsoft.com/office/officeart/2005/8/layout/list1"/>
    <dgm:cxn modelId="{3A7E66C4-4446-407B-B7B1-4D26DDBCADCE}" type="presParOf" srcId="{7370DAC5-97EA-4F58-BA5F-5E7630539FFB}" destId="{A8397DA6-3A4E-4D1F-B171-F93CD71C4173}" srcOrd="11" destOrd="0" presId="urn:microsoft.com/office/officeart/2005/8/layout/list1"/>
    <dgm:cxn modelId="{041251AA-04D8-48E8-BE6B-1FB5F41DABBC}" type="presParOf" srcId="{7370DAC5-97EA-4F58-BA5F-5E7630539FFB}" destId="{1FD51C71-B963-44D9-AA19-251A0C78FEBA}" srcOrd="12" destOrd="0" presId="urn:microsoft.com/office/officeart/2005/8/layout/list1"/>
    <dgm:cxn modelId="{BDDEAD7B-7FAA-4E17-8F9B-78CA248CBE86}" type="presParOf" srcId="{1FD51C71-B963-44D9-AA19-251A0C78FEBA}" destId="{7544CEB6-434A-40DB-87AF-6A2EF7CD1CC7}" srcOrd="0" destOrd="0" presId="urn:microsoft.com/office/officeart/2005/8/layout/list1"/>
    <dgm:cxn modelId="{2D247FE5-2193-4B68-BEE5-B4333106F085}" type="presParOf" srcId="{1FD51C71-B963-44D9-AA19-251A0C78FEBA}" destId="{534AEE4A-8608-4009-8E4E-15A408FFBCA3}" srcOrd="1" destOrd="0" presId="urn:microsoft.com/office/officeart/2005/8/layout/list1"/>
    <dgm:cxn modelId="{6267BDC1-6B42-4D5E-B30E-26C309875A7B}" type="presParOf" srcId="{7370DAC5-97EA-4F58-BA5F-5E7630539FFB}" destId="{A08B3447-96F2-4A2C-B284-E34925589A78}" srcOrd="13" destOrd="0" presId="urn:microsoft.com/office/officeart/2005/8/layout/list1"/>
    <dgm:cxn modelId="{D043DE03-EF13-477B-9A9A-27F056286977}" type="presParOf" srcId="{7370DAC5-97EA-4F58-BA5F-5E7630539FFB}" destId="{637A134A-A54E-4326-B0A5-75283BE502A8}" srcOrd="14" destOrd="0" presId="urn:microsoft.com/office/officeart/2005/8/layout/list1"/>
    <dgm:cxn modelId="{3776D951-E3A3-4030-9667-E83E839627BF}" type="presParOf" srcId="{7370DAC5-97EA-4F58-BA5F-5E7630539FFB}" destId="{6E91116D-42C6-42A4-BF93-553543518BF7}" srcOrd="15" destOrd="0" presId="urn:microsoft.com/office/officeart/2005/8/layout/list1"/>
    <dgm:cxn modelId="{067EFF27-DC8F-470E-A33C-88599B8FB681}" type="presParOf" srcId="{7370DAC5-97EA-4F58-BA5F-5E7630539FFB}" destId="{83080A12-A589-460D-A2EC-AD90638796E4}" srcOrd="16" destOrd="0" presId="urn:microsoft.com/office/officeart/2005/8/layout/list1"/>
    <dgm:cxn modelId="{8FEAB870-835C-49B5-97F2-4ED8DDC2F4CA}" type="presParOf" srcId="{83080A12-A589-460D-A2EC-AD90638796E4}" destId="{4BCD2845-C0D9-49E9-81B1-9B5C0B9E1DA3}" srcOrd="0" destOrd="0" presId="urn:microsoft.com/office/officeart/2005/8/layout/list1"/>
    <dgm:cxn modelId="{7B02AD13-AC7C-4EC0-A39D-1D0DBAFA330C}" type="presParOf" srcId="{83080A12-A589-460D-A2EC-AD90638796E4}" destId="{50EC7AA2-20D6-4A98-BA00-D3D1CE9156AB}" srcOrd="1" destOrd="0" presId="urn:microsoft.com/office/officeart/2005/8/layout/list1"/>
    <dgm:cxn modelId="{7CEFEE1C-70F1-4B4A-8F94-685C52F065A9}" type="presParOf" srcId="{7370DAC5-97EA-4F58-BA5F-5E7630539FFB}" destId="{F0F1DC25-F076-4A28-8C7D-2F657F764979}" srcOrd="17" destOrd="0" presId="urn:microsoft.com/office/officeart/2005/8/layout/list1"/>
    <dgm:cxn modelId="{1EFDCD23-EB76-4232-B7AD-796E016FA657}" type="presParOf" srcId="{7370DAC5-97EA-4F58-BA5F-5E7630539FFB}" destId="{560FC687-651D-4524-8E55-8BD2E26805A3}" srcOrd="18" destOrd="0" presId="urn:microsoft.com/office/officeart/2005/8/layout/list1"/>
    <dgm:cxn modelId="{49E12097-40DC-483A-8AB9-BF34B592C778}" type="presParOf" srcId="{7370DAC5-97EA-4F58-BA5F-5E7630539FFB}" destId="{039C6672-4433-4588-A872-6593BDEB4D3A}" srcOrd="19" destOrd="0" presId="urn:microsoft.com/office/officeart/2005/8/layout/list1"/>
    <dgm:cxn modelId="{F79D0CEB-963A-4452-A834-550024CEFB3E}" type="presParOf" srcId="{7370DAC5-97EA-4F58-BA5F-5E7630539FFB}" destId="{EB280079-744B-4B6A-BD3F-6B9B2573299D}" srcOrd="20" destOrd="0" presId="urn:microsoft.com/office/officeart/2005/8/layout/list1"/>
    <dgm:cxn modelId="{485D134B-204C-4A02-934D-EEA54EFA4603}" type="presParOf" srcId="{EB280079-744B-4B6A-BD3F-6B9B2573299D}" destId="{7B109DD3-03BF-4904-9D82-6847DCE93D28}" srcOrd="0" destOrd="0" presId="urn:microsoft.com/office/officeart/2005/8/layout/list1"/>
    <dgm:cxn modelId="{7D852856-4F21-4EEB-A1D3-164F142E8F7E}" type="presParOf" srcId="{EB280079-744B-4B6A-BD3F-6B9B2573299D}" destId="{EBC4F823-E162-467A-AA5B-D1A66AB175EF}" srcOrd="1" destOrd="0" presId="urn:microsoft.com/office/officeart/2005/8/layout/list1"/>
    <dgm:cxn modelId="{BA30BAA4-1678-4195-9881-5B516E2D3141}" type="presParOf" srcId="{7370DAC5-97EA-4F58-BA5F-5E7630539FFB}" destId="{8BAE2BAF-267F-4255-8D1B-FD33D220D189}" srcOrd="21" destOrd="0" presId="urn:microsoft.com/office/officeart/2005/8/layout/list1"/>
    <dgm:cxn modelId="{C3D51FF0-FABA-4355-958E-B234CC1A795D}" type="presParOf" srcId="{7370DAC5-97EA-4F58-BA5F-5E7630539FFB}" destId="{888AB65F-09F8-43A2-9913-8671C87CDB4E}" srcOrd="22" destOrd="0" presId="urn:microsoft.com/office/officeart/2005/8/layout/list1"/>
    <dgm:cxn modelId="{03F84C75-03F5-49C7-823E-BF1EEDA258BE}" type="presParOf" srcId="{7370DAC5-97EA-4F58-BA5F-5E7630539FFB}" destId="{9108ED26-3535-4C6B-8B60-77476FECF491}" srcOrd="23" destOrd="0" presId="urn:microsoft.com/office/officeart/2005/8/layout/list1"/>
    <dgm:cxn modelId="{6B483434-5953-4D44-ADB9-058E76DCC8E7}" type="presParOf" srcId="{7370DAC5-97EA-4F58-BA5F-5E7630539FFB}" destId="{3B172C34-F739-4058-AF20-BFF2A049AC6F}" srcOrd="24" destOrd="0" presId="urn:microsoft.com/office/officeart/2005/8/layout/list1"/>
    <dgm:cxn modelId="{7A72F363-3BF0-4DA8-B175-7CFCDFC20383}" type="presParOf" srcId="{3B172C34-F739-4058-AF20-BFF2A049AC6F}" destId="{F4F1B405-F8D8-47D7-A025-232BF6681322}" srcOrd="0" destOrd="0" presId="urn:microsoft.com/office/officeart/2005/8/layout/list1"/>
    <dgm:cxn modelId="{071A0131-72FE-49C7-964E-208BCDA89E7A}" type="presParOf" srcId="{3B172C34-F739-4058-AF20-BFF2A049AC6F}" destId="{96F4766C-E391-44CC-B96C-D8C150297D89}" srcOrd="1" destOrd="0" presId="urn:microsoft.com/office/officeart/2005/8/layout/list1"/>
    <dgm:cxn modelId="{33896266-847B-4A0B-BCBB-768170C7645B}" type="presParOf" srcId="{7370DAC5-97EA-4F58-BA5F-5E7630539FFB}" destId="{360937EA-56A3-41FE-9ECD-638A57F69AE0}" srcOrd="25" destOrd="0" presId="urn:microsoft.com/office/officeart/2005/8/layout/list1"/>
    <dgm:cxn modelId="{98635131-AF11-47D0-B881-4A883C4BE99E}" type="presParOf" srcId="{7370DAC5-97EA-4F58-BA5F-5E7630539FFB}" destId="{BAC91D04-44C0-4A89-998C-C68724D7E49F}" srcOrd="26" destOrd="0" presId="urn:microsoft.com/office/officeart/2005/8/layout/list1"/>
    <dgm:cxn modelId="{CD0B5117-073F-4DC1-9BB4-CE85E1CBDDA9}" type="presParOf" srcId="{7370DAC5-97EA-4F58-BA5F-5E7630539FFB}" destId="{AB4ABB58-CC02-4B00-BFF2-8713C54DBCDE}" srcOrd="27" destOrd="0" presId="urn:microsoft.com/office/officeart/2005/8/layout/list1"/>
    <dgm:cxn modelId="{B854B270-15D5-4B77-8883-808D6B59BC22}" type="presParOf" srcId="{7370DAC5-97EA-4F58-BA5F-5E7630539FFB}" destId="{917EDD2F-6089-418A-9114-B4E9BC3E5EF2}" srcOrd="28" destOrd="0" presId="urn:microsoft.com/office/officeart/2005/8/layout/list1"/>
    <dgm:cxn modelId="{79072EC4-8BAB-4C23-8B68-FC3E1E6420DD}" type="presParOf" srcId="{917EDD2F-6089-418A-9114-B4E9BC3E5EF2}" destId="{3D1C72FA-F2FE-4DC1-87BD-817368AEE2B2}" srcOrd="0" destOrd="0" presId="urn:microsoft.com/office/officeart/2005/8/layout/list1"/>
    <dgm:cxn modelId="{8C0DFB58-8D1C-4A4C-936C-27E14A4B74AB}" type="presParOf" srcId="{917EDD2F-6089-418A-9114-B4E9BC3E5EF2}" destId="{F28877A8-0001-428B-9CC6-96130F747E65}" srcOrd="1" destOrd="0" presId="urn:microsoft.com/office/officeart/2005/8/layout/list1"/>
    <dgm:cxn modelId="{65DAD3B4-01F2-487C-9025-A931AC140858}" type="presParOf" srcId="{7370DAC5-97EA-4F58-BA5F-5E7630539FFB}" destId="{38ED36D3-1E10-42C8-ACBB-CCE0972BBD4E}" srcOrd="29" destOrd="0" presId="urn:microsoft.com/office/officeart/2005/8/layout/list1"/>
    <dgm:cxn modelId="{3D69A854-A80A-4BCC-88CA-87C225955779}" type="presParOf" srcId="{7370DAC5-97EA-4F58-BA5F-5E7630539FFB}" destId="{5EDB13BF-5A68-48B0-B9A9-41DD80DE78E2}" srcOrd="30" destOrd="0" presId="urn:microsoft.com/office/officeart/2005/8/layout/list1"/>
    <dgm:cxn modelId="{FD878DEE-DC08-44F3-AD95-1AA73C784A76}" type="presParOf" srcId="{7370DAC5-97EA-4F58-BA5F-5E7630539FFB}" destId="{8066662E-7A6A-4403-933D-B907CD54FFF9}" srcOrd="31" destOrd="0" presId="urn:microsoft.com/office/officeart/2005/8/layout/list1"/>
    <dgm:cxn modelId="{E481EC30-EBB6-45AD-B60D-C6D12EA5367D}" type="presParOf" srcId="{7370DAC5-97EA-4F58-BA5F-5E7630539FFB}" destId="{2307D758-0436-46B6-933A-FC68B786EE54}" srcOrd="32" destOrd="0" presId="urn:microsoft.com/office/officeart/2005/8/layout/list1"/>
    <dgm:cxn modelId="{28EF5F18-3287-4E6A-A1CD-0F174CC6065C}" type="presParOf" srcId="{2307D758-0436-46B6-933A-FC68B786EE54}" destId="{54711BC7-1DEC-42C2-A69C-AAD69B99F2B5}" srcOrd="0" destOrd="0" presId="urn:microsoft.com/office/officeart/2005/8/layout/list1"/>
    <dgm:cxn modelId="{8D9C4ED6-7AEE-4866-A8BF-FD4FFE82E954}" type="presParOf" srcId="{2307D758-0436-46B6-933A-FC68B786EE54}" destId="{58FCF7C1-6E5F-445C-86B7-8E94B212D748}" srcOrd="1" destOrd="0" presId="urn:microsoft.com/office/officeart/2005/8/layout/list1"/>
    <dgm:cxn modelId="{537FBDD7-DE16-46EC-B07F-54E8E0193BA3}" type="presParOf" srcId="{7370DAC5-97EA-4F58-BA5F-5E7630539FFB}" destId="{E9AF666B-0E6D-4E83-8F0D-FAA2878D24AB}" srcOrd="33" destOrd="0" presId="urn:microsoft.com/office/officeart/2005/8/layout/list1"/>
    <dgm:cxn modelId="{23EB81DD-BC82-4289-BC9F-2153FF579E21}" type="presParOf" srcId="{7370DAC5-97EA-4F58-BA5F-5E7630539FFB}" destId="{06BD52F5-0AF5-4DB5-AA4E-B7CA5C122568}" srcOrd="34" destOrd="0" presId="urn:microsoft.com/office/officeart/2005/8/layout/list1"/>
    <dgm:cxn modelId="{565BB454-1D95-44E6-B823-F30EB076AE0F}" type="presParOf" srcId="{7370DAC5-97EA-4F58-BA5F-5E7630539FFB}" destId="{E31E5F1C-E804-442D-8765-2ABFB565CCCA}" srcOrd="35" destOrd="0" presId="urn:microsoft.com/office/officeart/2005/8/layout/list1"/>
    <dgm:cxn modelId="{7621F3B8-4733-4C73-B490-660B4E7D0DCA}" type="presParOf" srcId="{7370DAC5-97EA-4F58-BA5F-5E7630539FFB}" destId="{08794678-C214-4A33-BE49-371C8F9908CF}" srcOrd="36" destOrd="0" presId="urn:microsoft.com/office/officeart/2005/8/layout/list1"/>
    <dgm:cxn modelId="{D851E422-506D-4C16-A6F5-A24157BAE567}" type="presParOf" srcId="{08794678-C214-4A33-BE49-371C8F9908CF}" destId="{F8A53C51-270C-465D-8997-B9CF7B21CAE3}" srcOrd="0" destOrd="0" presId="urn:microsoft.com/office/officeart/2005/8/layout/list1"/>
    <dgm:cxn modelId="{E61595D7-1928-4A0B-8380-C2A89B2EFC86}" type="presParOf" srcId="{08794678-C214-4A33-BE49-371C8F9908CF}" destId="{B5DCF5C6-4002-488C-B09B-D5EA981669B7}" srcOrd="1" destOrd="0" presId="urn:microsoft.com/office/officeart/2005/8/layout/list1"/>
    <dgm:cxn modelId="{4EBF094D-F99E-46EA-9D07-B681765AB9E3}" type="presParOf" srcId="{7370DAC5-97EA-4F58-BA5F-5E7630539FFB}" destId="{F324E423-E3C5-43EB-AD65-D1588F00BB1D}" srcOrd="37" destOrd="0" presId="urn:microsoft.com/office/officeart/2005/8/layout/list1"/>
    <dgm:cxn modelId="{7029D27D-7228-4F5C-A795-169A4B337E21}" type="presParOf" srcId="{7370DAC5-97EA-4F58-BA5F-5E7630539FFB}" destId="{944AD537-9E73-4FC2-A9C1-9A557E554313}" srcOrd="38" destOrd="0" presId="urn:microsoft.com/office/officeart/2005/8/layout/list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D910747-57CE-4937-9BB6-3AC9EEABBEE6}" type="doc">
      <dgm:prSet loTypeId="urn:diagrams.loki3.com/BracketList" loCatId="list" qsTypeId="urn:microsoft.com/office/officeart/2005/8/quickstyle/simple1" qsCatId="simple" csTypeId="urn:microsoft.com/office/officeart/2005/8/colors/accent4_2" csCatId="accent4" phldr="1"/>
      <dgm:spPr/>
      <dgm:t>
        <a:bodyPr/>
        <a:lstStyle/>
        <a:p>
          <a:endParaRPr lang="en-AU"/>
        </a:p>
      </dgm:t>
    </dgm:pt>
    <dgm:pt modelId="{CEE72AC4-9C96-4ED8-89A0-D7ADA7C78A9B}">
      <dgm:prSet phldrT="[Text]"/>
      <dgm:spPr/>
      <dgm:t>
        <a:bodyPr/>
        <a:lstStyle/>
        <a:p>
          <a:r>
            <a:rPr lang="en-AU" b="1"/>
            <a:t>Current Working Conditions </a:t>
          </a:r>
          <a:endParaRPr lang="en-AU"/>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90C9322D-A270-4F55-BA39-CFBA9E6D383E}" type="parTrans" cxnId="{BC42F9D0-6A12-4FFD-A4B6-E304937B317D}">
      <dgm:prSet/>
      <dgm:spPr/>
      <dgm:t>
        <a:bodyPr/>
        <a:lstStyle/>
        <a:p>
          <a:endParaRPr lang="en-AU"/>
        </a:p>
      </dgm:t>
    </dgm:pt>
    <dgm:pt modelId="{63B25828-6AAC-4AE3-8940-1E358F14D083}" type="sibTrans" cxnId="{BC42F9D0-6A12-4FFD-A4B6-E304937B317D}">
      <dgm:prSet/>
      <dgm:spPr/>
      <dgm:t>
        <a:bodyPr/>
        <a:lstStyle/>
        <a:p>
          <a:endParaRPr lang="en-AU"/>
        </a:p>
      </dgm:t>
    </dgm:pt>
    <dgm:pt modelId="{A78916E6-1DBF-438F-AE61-89328F8CFEC7}">
      <dgm:prSet phldrT="[Text]" custT="1"/>
      <dgm:spPr/>
      <dgm:t>
        <a:bodyPr/>
        <a:lstStyle/>
        <a:p>
          <a:r>
            <a:rPr lang="en-AU" sz="1300"/>
            <a:t>Sick and annual leave – assumes 2 weeks of sick leave and 4 weeks of annual leave per year</a:t>
          </a:r>
          <a:br>
            <a:rPr lang="en-AU" sz="1300"/>
          </a:br>
          <a:r>
            <a:rPr lang="en-AU" sz="1050"/>
            <a:t>(Source: Children Services Awards)</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2A7D2FE3-E5C2-44BA-B0F5-68020DCFFE3E}" type="parTrans" cxnId="{3FABF2CF-125B-43CF-AE6A-44E3A1261A55}">
      <dgm:prSet/>
      <dgm:spPr/>
      <dgm:t>
        <a:bodyPr/>
        <a:lstStyle/>
        <a:p>
          <a:endParaRPr lang="en-AU"/>
        </a:p>
      </dgm:t>
    </dgm:pt>
    <dgm:pt modelId="{64B43985-7691-4D4B-AB03-A076A7EDD5A9}" type="sibTrans" cxnId="{3FABF2CF-125B-43CF-AE6A-44E3A1261A55}">
      <dgm:prSet/>
      <dgm:spPr/>
      <dgm:t>
        <a:bodyPr/>
        <a:lstStyle/>
        <a:p>
          <a:endParaRPr lang="en-AU"/>
        </a:p>
      </dgm:t>
    </dgm:pt>
    <dgm:pt modelId="{93F251DE-7C62-4A48-BE04-660649090303}">
      <dgm:prSet phldrT="[Text]"/>
      <dgm:spPr/>
      <dgm:t>
        <a:bodyPr/>
        <a:lstStyle/>
        <a:p>
          <a:r>
            <a:rPr lang="en-AU" b="1"/>
            <a:t>Sustainable Working Conditions</a:t>
          </a:r>
          <a:endParaRPr lang="en-AU"/>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25E3B6B5-5A95-4B78-B18C-A8CED2742AA4}" type="parTrans" cxnId="{69BF378B-FD0E-45E1-B74E-96BC2508F8C5}">
      <dgm:prSet/>
      <dgm:spPr/>
      <dgm:t>
        <a:bodyPr/>
        <a:lstStyle/>
        <a:p>
          <a:endParaRPr lang="en-AU"/>
        </a:p>
      </dgm:t>
    </dgm:pt>
    <dgm:pt modelId="{44A84350-B6B5-4585-9C79-60FD8412F606}" type="sibTrans" cxnId="{69BF378B-FD0E-45E1-B74E-96BC2508F8C5}">
      <dgm:prSet/>
      <dgm:spPr/>
      <dgm:t>
        <a:bodyPr/>
        <a:lstStyle/>
        <a:p>
          <a:endParaRPr lang="en-AU"/>
        </a:p>
      </dgm:t>
    </dgm:pt>
    <dgm:pt modelId="{41AA0DBD-DCDA-4E01-92D1-98A0A5F0D9C0}">
      <dgm:prSet phldrT="[Text]" custT="1"/>
      <dgm:spPr/>
      <dgm:t>
        <a:bodyPr/>
        <a:lstStyle/>
        <a:p>
          <a:r>
            <a:rPr lang="en-AU" sz="1300"/>
            <a:t>Professional development – assumes 2 days per year</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74DAC3EF-8E13-4BA4-95AB-633271EB5510}" type="parTrans" cxnId="{9500956A-67AE-42E7-A731-16D555149FFC}">
      <dgm:prSet/>
      <dgm:spPr/>
      <dgm:t>
        <a:bodyPr/>
        <a:lstStyle/>
        <a:p>
          <a:endParaRPr lang="en-AU"/>
        </a:p>
      </dgm:t>
    </dgm:pt>
    <dgm:pt modelId="{F594066E-1AE1-4EA1-839A-C4CA057B3418}" type="sibTrans" cxnId="{9500956A-67AE-42E7-A731-16D555149FFC}">
      <dgm:prSet/>
      <dgm:spPr/>
      <dgm:t>
        <a:bodyPr/>
        <a:lstStyle/>
        <a:p>
          <a:endParaRPr lang="en-AU"/>
        </a:p>
      </dgm:t>
    </dgm:pt>
    <dgm:pt modelId="{693D8B55-12C0-4B47-B0F8-75E6384BCC35}">
      <dgm:prSet custT="1"/>
      <dgm:spPr/>
      <dgm:t>
        <a:bodyPr/>
        <a:lstStyle/>
        <a:p>
          <a:r>
            <a:rPr lang="en-AU" sz="1300"/>
            <a:t>Group size margin – 12%, based on analysis of NWC data on attendance for preschool aged children, relative to class sizes at ratio</a:t>
          </a:r>
        </a:p>
      </dgm:t>
    </dgm:pt>
    <dgm:pt modelId="{5B19AE00-3C63-4902-B0F5-D75BA087C719}" type="parTrans" cxnId="{E00B9624-A46E-4958-9E4D-68071E26BBCA}">
      <dgm:prSet/>
      <dgm:spPr/>
      <dgm:t>
        <a:bodyPr/>
        <a:lstStyle/>
        <a:p>
          <a:endParaRPr lang="en-AU"/>
        </a:p>
      </dgm:t>
    </dgm:pt>
    <dgm:pt modelId="{7677673F-B1D5-4922-93A9-C4469AF6814F}" type="sibTrans" cxnId="{E00B9624-A46E-4958-9E4D-68071E26BBCA}">
      <dgm:prSet/>
      <dgm:spPr/>
      <dgm:t>
        <a:bodyPr/>
        <a:lstStyle/>
        <a:p>
          <a:endParaRPr lang="en-AU"/>
        </a:p>
      </dgm:t>
    </dgm:pt>
    <dgm:pt modelId="{02D8EF17-76BC-455C-A0FD-EB179FAE85E6}">
      <dgm:prSet custT="1"/>
      <dgm:spPr/>
      <dgm:t>
        <a:bodyPr/>
        <a:lstStyle/>
        <a:p>
          <a:r>
            <a:rPr lang="en-AU" sz="1300"/>
            <a:t>Overtime – 8%, based on analysis of working hours for full-time ECEC workers (40 hours per week)</a:t>
          </a:r>
        </a:p>
      </dgm:t>
    </dgm:pt>
    <dgm:pt modelId="{77DE4C11-6881-460A-9536-082AC27CA4CA}" type="parTrans" cxnId="{50FB8918-1D12-413A-9892-3E69898D99BB}">
      <dgm:prSet/>
      <dgm:spPr/>
      <dgm:t>
        <a:bodyPr/>
        <a:lstStyle/>
        <a:p>
          <a:endParaRPr lang="en-AU"/>
        </a:p>
      </dgm:t>
    </dgm:pt>
    <dgm:pt modelId="{46B728F4-23F5-4C4F-8548-E94A8CF5CB3E}" type="sibTrans" cxnId="{50FB8918-1D12-413A-9892-3E69898D99BB}">
      <dgm:prSet/>
      <dgm:spPr/>
      <dgm:t>
        <a:bodyPr/>
        <a:lstStyle/>
        <a:p>
          <a:endParaRPr lang="en-AU"/>
        </a:p>
      </dgm:t>
    </dgm:pt>
    <dgm:pt modelId="{C1D482F5-6965-4E08-9CE0-B1622D66DD4A}" type="pres">
      <dgm:prSet presAssocID="{1D910747-57CE-4937-9BB6-3AC9EEABBEE6}" presName="Name0" presStyleCnt="0">
        <dgm:presLayoutVars>
          <dgm:dir/>
          <dgm:animLvl val="lvl"/>
          <dgm:resizeHandles val="exact"/>
        </dgm:presLayoutVars>
      </dgm:prSet>
      <dgm:spPr/>
    </dgm:pt>
    <dgm:pt modelId="{F0CB5BEC-3BC6-42CF-8C5D-9FFDD5263543}" type="pres">
      <dgm:prSet presAssocID="{CEE72AC4-9C96-4ED8-89A0-D7ADA7C78A9B}" presName="linNode" presStyleCnt="0"/>
      <dgm:spPr/>
    </dgm:pt>
    <dgm:pt modelId="{10124A24-9BD3-42C8-8615-05D87E913D7E}" type="pres">
      <dgm:prSet presAssocID="{CEE72AC4-9C96-4ED8-89A0-D7ADA7C78A9B}" presName="parTx" presStyleLbl="revTx" presStyleIdx="0" presStyleCnt="2">
        <dgm:presLayoutVars>
          <dgm:chMax val="1"/>
          <dgm:bulletEnabled val="1"/>
        </dgm:presLayoutVars>
      </dgm:prSet>
      <dgm:spPr/>
    </dgm:pt>
    <dgm:pt modelId="{58D45A4A-919B-4EE9-B6E9-BC273189F497}" type="pres">
      <dgm:prSet presAssocID="{CEE72AC4-9C96-4ED8-89A0-D7ADA7C78A9B}" presName="bracket" presStyleLbl="parChTrans1D1" presStyleIdx="0" presStyleCnt="2"/>
      <dgm:spPr/>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83B2B6F4-6960-49AF-AB03-4E28990DCF00}" type="pres">
      <dgm:prSet presAssocID="{CEE72AC4-9C96-4ED8-89A0-D7ADA7C78A9B}" presName="spH" presStyleCnt="0"/>
      <dgm:spPr/>
    </dgm:pt>
    <dgm:pt modelId="{E0C1FF4A-9F47-451E-A385-0D98D6D79C95}" type="pres">
      <dgm:prSet presAssocID="{CEE72AC4-9C96-4ED8-89A0-D7ADA7C78A9B}" presName="desTx" presStyleLbl="node1" presStyleIdx="0" presStyleCnt="2">
        <dgm:presLayoutVars>
          <dgm:bulletEnabled val="1"/>
        </dgm:presLayoutVars>
      </dgm:prSet>
      <dgm:spPr/>
    </dgm:pt>
    <dgm:pt modelId="{3ED65705-B7D0-48E5-95C8-4CF9C7D80A9C}" type="pres">
      <dgm:prSet presAssocID="{63B25828-6AAC-4AE3-8940-1E358F14D083}" presName="spV" presStyleCnt="0"/>
      <dgm:spPr/>
    </dgm:pt>
    <dgm:pt modelId="{629EEA2C-3C44-4829-A37E-4F3DA2D1F90E}" type="pres">
      <dgm:prSet presAssocID="{93F251DE-7C62-4A48-BE04-660649090303}" presName="linNode" presStyleCnt="0"/>
      <dgm:spPr/>
    </dgm:pt>
    <dgm:pt modelId="{2552D437-3CF1-4C2C-9254-ECA499A1AA60}" type="pres">
      <dgm:prSet presAssocID="{93F251DE-7C62-4A48-BE04-660649090303}" presName="parTx" presStyleLbl="revTx" presStyleIdx="1" presStyleCnt="2">
        <dgm:presLayoutVars>
          <dgm:chMax val="1"/>
          <dgm:bulletEnabled val="1"/>
        </dgm:presLayoutVars>
      </dgm:prSet>
      <dgm:spPr/>
    </dgm:pt>
    <dgm:pt modelId="{0DC33962-8496-441B-80AC-41BFF3C7968F}" type="pres">
      <dgm:prSet presAssocID="{93F251DE-7C62-4A48-BE04-660649090303}" presName="bracket" presStyleLbl="parChTrans1D1" presStyleIdx="1" presStyleCnt="2"/>
      <dgm:spPr/>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B5D44C8E-7A6D-4300-A1DB-E34DABCF259A}" type="pres">
      <dgm:prSet presAssocID="{93F251DE-7C62-4A48-BE04-660649090303}" presName="spH" presStyleCnt="0"/>
      <dgm:spPr/>
    </dgm:pt>
    <dgm:pt modelId="{E0F1BA88-383C-4221-870B-4C5B7661B8CB}" type="pres">
      <dgm:prSet presAssocID="{93F251DE-7C62-4A48-BE04-660649090303}" presName="desTx" presStyleLbl="node1" presStyleIdx="1" presStyleCnt="2">
        <dgm:presLayoutVars>
          <dgm:bulletEnabled val="1"/>
        </dgm:presLayoutVars>
      </dgm:prSet>
      <dgm:spPr/>
    </dgm:pt>
  </dgm:ptLst>
  <dgm:cxnLst>
    <dgm:cxn modelId="{50FB8918-1D12-413A-9892-3E69898D99BB}" srcId="{93F251DE-7C62-4A48-BE04-660649090303}" destId="{02D8EF17-76BC-455C-A0FD-EB179FAE85E6}" srcOrd="1" destOrd="0" parTransId="{77DE4C11-6881-460A-9536-082AC27CA4CA}" sibTransId="{46B728F4-23F5-4C4F-8548-E94A8CF5CB3E}"/>
    <dgm:cxn modelId="{E00B9624-A46E-4958-9E4D-68071E26BBCA}" srcId="{CEE72AC4-9C96-4ED8-89A0-D7ADA7C78A9B}" destId="{693D8B55-12C0-4B47-B0F8-75E6384BCC35}" srcOrd="1" destOrd="0" parTransId="{5B19AE00-3C63-4902-B0F5-D75BA087C719}" sibTransId="{7677673F-B1D5-4922-93A9-C4469AF6814F}"/>
    <dgm:cxn modelId="{BE78902C-B0AE-4858-9848-376193AFDF10}" type="presOf" srcId="{02D8EF17-76BC-455C-A0FD-EB179FAE85E6}" destId="{E0F1BA88-383C-4221-870B-4C5B7661B8CB}" srcOrd="0" destOrd="1" presId="urn:diagrams.loki3.com/BracketList"/>
    <dgm:cxn modelId="{E40EBD45-9E99-4AD9-801D-EACF2A489B4C}" type="presOf" srcId="{1D910747-57CE-4937-9BB6-3AC9EEABBEE6}" destId="{C1D482F5-6965-4E08-9CE0-B1622D66DD4A}" srcOrd="0" destOrd="0" presId="urn:diagrams.loki3.com/BracketList"/>
    <dgm:cxn modelId="{9500956A-67AE-42E7-A731-16D555149FFC}" srcId="{93F251DE-7C62-4A48-BE04-660649090303}" destId="{41AA0DBD-DCDA-4E01-92D1-98A0A5F0D9C0}" srcOrd="0" destOrd="0" parTransId="{74DAC3EF-8E13-4BA4-95AB-633271EB5510}" sibTransId="{F594066E-1AE1-4EA1-839A-C4CA057B3418}"/>
    <dgm:cxn modelId="{D9D01554-AC97-4F7A-96BF-063703C9FC82}" type="presOf" srcId="{693D8B55-12C0-4B47-B0F8-75E6384BCC35}" destId="{E0C1FF4A-9F47-451E-A385-0D98D6D79C95}" srcOrd="0" destOrd="1" presId="urn:diagrams.loki3.com/BracketList"/>
    <dgm:cxn modelId="{A65EE659-7F97-465A-9145-60283103381F}" type="presOf" srcId="{A78916E6-1DBF-438F-AE61-89328F8CFEC7}" destId="{E0C1FF4A-9F47-451E-A385-0D98D6D79C95}" srcOrd="0" destOrd="0" presId="urn:diagrams.loki3.com/BracketList"/>
    <dgm:cxn modelId="{EC857A89-8E1D-4196-B0FA-ED69DB29FC03}" type="presOf" srcId="{41AA0DBD-DCDA-4E01-92D1-98A0A5F0D9C0}" destId="{E0F1BA88-383C-4221-870B-4C5B7661B8CB}" srcOrd="0" destOrd="0" presId="urn:diagrams.loki3.com/BracketList"/>
    <dgm:cxn modelId="{69BF378B-FD0E-45E1-B74E-96BC2508F8C5}" srcId="{1D910747-57CE-4937-9BB6-3AC9EEABBEE6}" destId="{93F251DE-7C62-4A48-BE04-660649090303}" srcOrd="1" destOrd="0" parTransId="{25E3B6B5-5A95-4B78-B18C-A8CED2742AA4}" sibTransId="{44A84350-B6B5-4585-9C79-60FD8412F606}"/>
    <dgm:cxn modelId="{46526C8E-0947-4EE7-A224-0D794542F86B}" type="presOf" srcId="{CEE72AC4-9C96-4ED8-89A0-D7ADA7C78A9B}" destId="{10124A24-9BD3-42C8-8615-05D87E913D7E}" srcOrd="0" destOrd="0" presId="urn:diagrams.loki3.com/BracketList"/>
    <dgm:cxn modelId="{7DC529A0-CE61-4F7D-AA2A-0F8FC516A7F9}" type="presOf" srcId="{93F251DE-7C62-4A48-BE04-660649090303}" destId="{2552D437-3CF1-4C2C-9254-ECA499A1AA60}" srcOrd="0" destOrd="0" presId="urn:diagrams.loki3.com/BracketList"/>
    <dgm:cxn modelId="{3FABF2CF-125B-43CF-AE6A-44E3A1261A55}" srcId="{CEE72AC4-9C96-4ED8-89A0-D7ADA7C78A9B}" destId="{A78916E6-1DBF-438F-AE61-89328F8CFEC7}" srcOrd="0" destOrd="0" parTransId="{2A7D2FE3-E5C2-44BA-B0F5-68020DCFFE3E}" sibTransId="{64B43985-7691-4D4B-AB03-A076A7EDD5A9}"/>
    <dgm:cxn modelId="{BC42F9D0-6A12-4FFD-A4B6-E304937B317D}" srcId="{1D910747-57CE-4937-9BB6-3AC9EEABBEE6}" destId="{CEE72AC4-9C96-4ED8-89A0-D7ADA7C78A9B}" srcOrd="0" destOrd="0" parTransId="{90C9322D-A270-4F55-BA39-CFBA9E6D383E}" sibTransId="{63B25828-6AAC-4AE3-8940-1E358F14D083}"/>
    <dgm:cxn modelId="{CEF03551-1BF9-4E94-A8D6-FCED206D3C0D}" type="presParOf" srcId="{C1D482F5-6965-4E08-9CE0-B1622D66DD4A}" destId="{F0CB5BEC-3BC6-42CF-8C5D-9FFDD5263543}" srcOrd="0" destOrd="0" presId="urn:diagrams.loki3.com/BracketList"/>
    <dgm:cxn modelId="{B873B4D3-DA3E-4644-A19F-CEBC617EFECC}" type="presParOf" srcId="{F0CB5BEC-3BC6-42CF-8C5D-9FFDD5263543}" destId="{10124A24-9BD3-42C8-8615-05D87E913D7E}" srcOrd="0" destOrd="0" presId="urn:diagrams.loki3.com/BracketList"/>
    <dgm:cxn modelId="{0EE05DC0-7983-4ACE-9AAB-F43254D58484}" type="presParOf" srcId="{F0CB5BEC-3BC6-42CF-8C5D-9FFDD5263543}" destId="{58D45A4A-919B-4EE9-B6E9-BC273189F497}" srcOrd="1" destOrd="0" presId="urn:diagrams.loki3.com/BracketList"/>
    <dgm:cxn modelId="{160CE916-DF9B-479F-B0C1-B5A896F1A92C}" type="presParOf" srcId="{F0CB5BEC-3BC6-42CF-8C5D-9FFDD5263543}" destId="{83B2B6F4-6960-49AF-AB03-4E28990DCF00}" srcOrd="2" destOrd="0" presId="urn:diagrams.loki3.com/BracketList"/>
    <dgm:cxn modelId="{109930DD-88CE-4954-976D-B4FAA3FF427B}" type="presParOf" srcId="{F0CB5BEC-3BC6-42CF-8C5D-9FFDD5263543}" destId="{E0C1FF4A-9F47-451E-A385-0D98D6D79C95}" srcOrd="3" destOrd="0" presId="urn:diagrams.loki3.com/BracketList"/>
    <dgm:cxn modelId="{BF6BC69B-6FFE-4EC5-9F34-912545E5F0E6}" type="presParOf" srcId="{C1D482F5-6965-4E08-9CE0-B1622D66DD4A}" destId="{3ED65705-B7D0-48E5-95C8-4CF9C7D80A9C}" srcOrd="1" destOrd="0" presId="urn:diagrams.loki3.com/BracketList"/>
    <dgm:cxn modelId="{5A929DB1-EB1B-47E8-87A7-68ACF3F773AF}" type="presParOf" srcId="{C1D482F5-6965-4E08-9CE0-B1622D66DD4A}" destId="{629EEA2C-3C44-4829-A37E-4F3DA2D1F90E}" srcOrd="2" destOrd="0" presId="urn:diagrams.loki3.com/BracketList"/>
    <dgm:cxn modelId="{879E5E9F-5B30-48D4-8F9C-4D6A29EFF9DB}" type="presParOf" srcId="{629EEA2C-3C44-4829-A37E-4F3DA2D1F90E}" destId="{2552D437-3CF1-4C2C-9254-ECA499A1AA60}" srcOrd="0" destOrd="0" presId="urn:diagrams.loki3.com/BracketList"/>
    <dgm:cxn modelId="{9796465F-01A1-4E0E-A830-BD99C5D6379C}" type="presParOf" srcId="{629EEA2C-3C44-4829-A37E-4F3DA2D1F90E}" destId="{0DC33962-8496-441B-80AC-41BFF3C7968F}" srcOrd="1" destOrd="0" presId="urn:diagrams.loki3.com/BracketList"/>
    <dgm:cxn modelId="{5402AF4E-B9AD-4726-B975-4E0853587C78}" type="presParOf" srcId="{629EEA2C-3C44-4829-A37E-4F3DA2D1F90E}" destId="{B5D44C8E-7A6D-4300-A1DB-E34DABCF259A}" srcOrd="2" destOrd="0" presId="urn:diagrams.loki3.com/BracketList"/>
    <dgm:cxn modelId="{ABF3316B-8D4A-4414-8191-BA0842F074B1}" type="presParOf" srcId="{629EEA2C-3C44-4829-A37E-4F3DA2D1F90E}" destId="{E0F1BA88-383C-4221-870B-4C5B7661B8CB}" srcOrd="3" destOrd="0" presId="urn:diagrams.loki3.com/BracketList"/>
  </dgm:cxnLst>
  <dgm:bg/>
  <dgm:whole/>
  <dgm:extLst>
    <a:ext uri="http://schemas.microsoft.com/office/drawing/2008/diagram">
      <dsp:dataModelExt xmlns:dsp="http://schemas.microsoft.com/office/drawing/2008/diagram" relId="rId1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720272-E840-4E22-9BBC-E8C26ECA38BF}">
      <dsp:nvSpPr>
        <dsp:cNvPr id="0" name=""/>
        <dsp:cNvSpPr/>
      </dsp:nvSpPr>
      <dsp:spPr>
        <a:xfrm rot="5400000">
          <a:off x="2575392" y="-842158"/>
          <a:ext cx="948821" cy="2870403"/>
        </a:xfrm>
        <a:prstGeom prst="round2SameRect">
          <a:avLst/>
        </a:prstGeom>
        <a:solidFill>
          <a:srgbClr val="6929C4">
            <a:alpha val="90000"/>
            <a:tint val="40000"/>
            <a:hueOff val="0"/>
            <a:satOff val="0"/>
            <a:lumOff val="0"/>
            <a:alphaOff val="0"/>
          </a:srgbClr>
        </a:solidFill>
        <a:ln w="6350" cap="flat" cmpd="sng" algn="ctr">
          <a:solidFill>
            <a:srgbClr val="6929C4">
              <a:alpha val="90000"/>
              <a:tint val="40000"/>
              <a:hueOff val="0"/>
              <a:satOff val="0"/>
              <a:lumOff val="0"/>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0" algn="l" defTabSz="444500">
            <a:lnSpc>
              <a:spcPct val="90000"/>
            </a:lnSpc>
            <a:spcBef>
              <a:spcPct val="0"/>
            </a:spcBef>
            <a:spcAft>
              <a:spcPct val="15000"/>
            </a:spcAft>
            <a:buNone/>
          </a:pPr>
          <a:r>
            <a:rPr lang="en-AU" sz="1000" kern="1200" dirty="0">
              <a:solidFill>
                <a:srgbClr val="000000">
                  <a:hueOff val="0"/>
                  <a:satOff val="0"/>
                  <a:lumOff val="0"/>
                  <a:alphaOff val="0"/>
                </a:srgbClr>
              </a:solidFill>
              <a:latin typeface="Arial" panose="020B0604020202020204"/>
              <a:ea typeface="+mn-ea"/>
              <a:cs typeface="+mn-cs"/>
            </a:rPr>
            <a:t>By 2025, increase the proportion of Aboriginal and Torres Strait Islander children enrolled in Year Before Full-time Schooling (YBFS) early childhood education to 95%. </a:t>
          </a:r>
        </a:p>
      </dsp:txBody>
      <dsp:txXfrm rot="-5400000">
        <a:off x="1614601" y="164951"/>
        <a:ext cx="2824085" cy="856185"/>
      </dsp:txXfrm>
    </dsp:sp>
    <dsp:sp modelId="{35A7956B-E6B5-4B35-86C3-82C0E1F10DE5}">
      <dsp:nvSpPr>
        <dsp:cNvPr id="0" name=""/>
        <dsp:cNvSpPr/>
      </dsp:nvSpPr>
      <dsp:spPr>
        <a:xfrm>
          <a:off x="0" y="29"/>
          <a:ext cx="1614601" cy="1186027"/>
        </a:xfrm>
        <a:prstGeom prst="roundRect">
          <a:avLst/>
        </a:prstGeom>
        <a:gradFill rotWithShape="0">
          <a:gsLst>
            <a:gs pos="0">
              <a:srgbClr val="6929C4">
                <a:hueOff val="0"/>
                <a:satOff val="0"/>
                <a:lumOff val="0"/>
                <a:alphaOff val="0"/>
                <a:satMod val="103000"/>
                <a:lumMod val="102000"/>
                <a:tint val="94000"/>
              </a:srgbClr>
            </a:gs>
            <a:gs pos="50000">
              <a:srgbClr val="6929C4">
                <a:hueOff val="0"/>
                <a:satOff val="0"/>
                <a:lumOff val="0"/>
                <a:alphaOff val="0"/>
                <a:satMod val="110000"/>
                <a:lumMod val="100000"/>
                <a:shade val="100000"/>
              </a:srgbClr>
            </a:gs>
            <a:gs pos="100000">
              <a:srgbClr val="6929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en-AU" sz="1000" b="1" i="1" kern="1200" dirty="0">
              <a:solidFill>
                <a:srgbClr val="FFFFFF"/>
              </a:solidFill>
              <a:latin typeface="Arial" panose="020B0604020202020204"/>
              <a:ea typeface="+mn-ea"/>
              <a:cs typeface="+mn-cs"/>
            </a:rPr>
            <a:t>Target 3: Children are engaged in high quality, culturally appropriate early childhood education in their early years. </a:t>
          </a:r>
        </a:p>
      </dsp:txBody>
      <dsp:txXfrm>
        <a:off x="57897" y="57926"/>
        <a:ext cx="1498807" cy="1070233"/>
      </dsp:txXfrm>
    </dsp:sp>
    <dsp:sp modelId="{F1CDE6EE-2128-4464-97A3-B809B412AEA3}">
      <dsp:nvSpPr>
        <dsp:cNvPr id="0" name=""/>
        <dsp:cNvSpPr/>
      </dsp:nvSpPr>
      <dsp:spPr>
        <a:xfrm rot="5400000">
          <a:off x="2575392" y="403170"/>
          <a:ext cx="948821" cy="2870403"/>
        </a:xfrm>
        <a:prstGeom prst="round2SameRect">
          <a:avLst/>
        </a:prstGeom>
        <a:solidFill>
          <a:srgbClr val="6929C4">
            <a:alpha val="90000"/>
            <a:tint val="40000"/>
            <a:hueOff val="0"/>
            <a:satOff val="0"/>
            <a:lumOff val="0"/>
            <a:alphaOff val="0"/>
          </a:srgbClr>
        </a:solidFill>
        <a:ln w="6350" cap="flat" cmpd="sng" algn="ctr">
          <a:solidFill>
            <a:srgbClr val="6929C4">
              <a:alpha val="90000"/>
              <a:tint val="40000"/>
              <a:hueOff val="0"/>
              <a:satOff val="0"/>
              <a:lumOff val="0"/>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0" algn="l" defTabSz="444500">
            <a:lnSpc>
              <a:spcPct val="90000"/>
            </a:lnSpc>
            <a:spcBef>
              <a:spcPct val="0"/>
            </a:spcBef>
            <a:spcAft>
              <a:spcPct val="15000"/>
            </a:spcAft>
            <a:buNone/>
          </a:pPr>
          <a:r>
            <a:rPr lang="en-AU" sz="1000" kern="1200" dirty="0">
              <a:solidFill>
                <a:srgbClr val="000000">
                  <a:hueOff val="0"/>
                  <a:satOff val="0"/>
                  <a:lumOff val="0"/>
                  <a:alphaOff val="0"/>
                </a:srgbClr>
              </a:solidFill>
              <a:latin typeface="Arial" panose="020B0604020202020204"/>
              <a:ea typeface="+mn-ea"/>
              <a:cs typeface="+mn-cs"/>
            </a:rPr>
            <a:t>By 2031, increase the proportion of Aboriginal and Torres Strait Islander children assessed as developmentally on track in all five domains of the Australian Early Development Census (AEDC) to 55%. </a:t>
          </a:r>
        </a:p>
      </dsp:txBody>
      <dsp:txXfrm rot="-5400000">
        <a:off x="1614601" y="1410279"/>
        <a:ext cx="2824085" cy="856185"/>
      </dsp:txXfrm>
    </dsp:sp>
    <dsp:sp modelId="{54819111-6B96-4A9A-AA1F-2D91ADF30F4B}">
      <dsp:nvSpPr>
        <dsp:cNvPr id="0" name=""/>
        <dsp:cNvSpPr/>
      </dsp:nvSpPr>
      <dsp:spPr>
        <a:xfrm>
          <a:off x="0" y="1245358"/>
          <a:ext cx="1614601" cy="1186027"/>
        </a:xfrm>
        <a:prstGeom prst="roundRect">
          <a:avLst/>
        </a:prstGeom>
        <a:gradFill rotWithShape="0">
          <a:gsLst>
            <a:gs pos="0">
              <a:srgbClr val="6929C4">
                <a:hueOff val="0"/>
                <a:satOff val="0"/>
                <a:lumOff val="0"/>
                <a:alphaOff val="0"/>
                <a:satMod val="103000"/>
                <a:lumMod val="102000"/>
                <a:tint val="94000"/>
              </a:srgbClr>
            </a:gs>
            <a:gs pos="50000">
              <a:srgbClr val="6929C4">
                <a:hueOff val="0"/>
                <a:satOff val="0"/>
                <a:lumOff val="0"/>
                <a:alphaOff val="0"/>
                <a:satMod val="110000"/>
                <a:lumMod val="100000"/>
                <a:shade val="100000"/>
              </a:srgbClr>
            </a:gs>
            <a:gs pos="100000">
              <a:srgbClr val="6929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en-AU" sz="1000" b="1" i="1" kern="1200" dirty="0">
              <a:solidFill>
                <a:srgbClr val="FFFFFF"/>
              </a:solidFill>
              <a:latin typeface="Arial" panose="020B0604020202020204"/>
              <a:ea typeface="+mn-ea"/>
              <a:cs typeface="+mn-cs"/>
            </a:rPr>
            <a:t>Target 4: Children thrive in their early years.</a:t>
          </a:r>
          <a:r>
            <a:rPr lang="en-AU" sz="1000" i="1" kern="1200" dirty="0">
              <a:solidFill>
                <a:srgbClr val="FFFFFF"/>
              </a:solidFill>
              <a:latin typeface="Arial" panose="020B0604020202020204"/>
              <a:ea typeface="+mn-ea"/>
              <a:cs typeface="+mn-cs"/>
            </a:rPr>
            <a:t> </a:t>
          </a:r>
        </a:p>
      </dsp:txBody>
      <dsp:txXfrm>
        <a:off x="57897" y="1303255"/>
        <a:ext cx="1498807" cy="107023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61CA45-93D4-428E-9D35-93A37FD3EE97}">
      <dsp:nvSpPr>
        <dsp:cNvPr id="0" name=""/>
        <dsp:cNvSpPr/>
      </dsp:nvSpPr>
      <dsp:spPr>
        <a:xfrm>
          <a:off x="0" y="205050"/>
          <a:ext cx="5731510" cy="478800"/>
        </a:xfrm>
        <a:prstGeom prst="rect">
          <a:avLst/>
        </a:prstGeom>
        <a:solidFill>
          <a:srgbClr val="FFFFFF">
            <a:alpha val="90000"/>
            <a:hueOff val="0"/>
            <a:satOff val="0"/>
            <a:lumOff val="0"/>
            <a:alphaOff val="0"/>
          </a:srgbClr>
        </a:solid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4829" tIns="166624" rIns="444829" bIns="64008" numCol="1" spcCol="1270" anchor="t" anchorCtr="0">
          <a:noAutofit/>
        </a:bodyPr>
        <a:lstStyle/>
        <a:p>
          <a:pPr marL="57150" lvl="1" indent="-57150" algn="l" defTabSz="400050">
            <a:lnSpc>
              <a:spcPct val="90000"/>
            </a:lnSpc>
            <a:spcBef>
              <a:spcPct val="0"/>
            </a:spcBef>
            <a:spcAft>
              <a:spcPct val="15000"/>
            </a:spcAft>
            <a:buNone/>
          </a:pPr>
          <a:r>
            <a:rPr lang="en-AU" sz="900" kern="1200" dirty="0">
              <a:solidFill>
                <a:srgbClr val="000000">
                  <a:hueOff val="0"/>
                  <a:satOff val="0"/>
                  <a:lumOff val="0"/>
                  <a:alphaOff val="0"/>
                </a:srgbClr>
              </a:solidFill>
              <a:latin typeface="Arial" panose="020B0604020202020204"/>
              <a:ea typeface="+mn-ea"/>
              <a:cs typeface="+mn-cs"/>
            </a:rPr>
            <a:t>A strategy to address the complex and longstanding workforce challenges experienced by the sector, including 21 actions for implementation by 2024, 2027 and 2031.</a:t>
          </a:r>
        </a:p>
      </dsp:txBody>
      <dsp:txXfrm>
        <a:off x="0" y="205050"/>
        <a:ext cx="5731510" cy="478800"/>
      </dsp:txXfrm>
    </dsp:sp>
    <dsp:sp modelId="{BF558AF8-9083-4F28-9ABD-938FF2182A50}">
      <dsp:nvSpPr>
        <dsp:cNvPr id="0" name=""/>
        <dsp:cNvSpPr/>
      </dsp:nvSpPr>
      <dsp:spPr>
        <a:xfrm>
          <a:off x="286575" y="86970"/>
          <a:ext cx="4012057" cy="236160"/>
        </a:xfrm>
        <a:prstGeom prst="roundRect">
          <a:avLst/>
        </a:prstGeom>
        <a:solidFill>
          <a:srgbClr val="7030A0"/>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1646" tIns="0" rIns="151646" bIns="0" numCol="1" spcCol="1270" anchor="ctr" anchorCtr="0">
          <a:noAutofit/>
        </a:bodyPr>
        <a:lstStyle/>
        <a:p>
          <a:pPr marL="0" lvl="0" indent="0" algn="l" defTabSz="466725">
            <a:lnSpc>
              <a:spcPct val="90000"/>
            </a:lnSpc>
            <a:spcBef>
              <a:spcPct val="0"/>
            </a:spcBef>
            <a:spcAft>
              <a:spcPct val="35000"/>
            </a:spcAft>
            <a:buNone/>
          </a:pPr>
          <a:r>
            <a:rPr lang="en-AU" sz="1050" b="1" kern="1200" dirty="0">
              <a:solidFill>
                <a:srgbClr val="FFFFFF"/>
              </a:solidFill>
              <a:latin typeface="Arial" panose="020B0604020202020204"/>
              <a:ea typeface="+mn-ea"/>
              <a:cs typeface="+mn-cs"/>
            </a:rPr>
            <a:t>Shaping Our Future</a:t>
          </a:r>
          <a:r>
            <a:rPr lang="en-AU" sz="1050" b="1" kern="1200" baseline="30000" dirty="0">
              <a:solidFill>
                <a:srgbClr val="FFFFFF"/>
              </a:solidFill>
              <a:latin typeface="Arial" panose="020B0604020202020204"/>
              <a:ea typeface="+mn-ea"/>
              <a:cs typeface="+mn-cs"/>
            </a:rPr>
            <a:t>1</a:t>
          </a:r>
        </a:p>
      </dsp:txBody>
      <dsp:txXfrm>
        <a:off x="298103" y="98498"/>
        <a:ext cx="3989001" cy="213104"/>
      </dsp:txXfrm>
    </dsp:sp>
    <dsp:sp modelId="{701BFCE3-E6EB-4568-B581-2E3C7D1ABEBE}">
      <dsp:nvSpPr>
        <dsp:cNvPr id="0" name=""/>
        <dsp:cNvSpPr/>
      </dsp:nvSpPr>
      <dsp:spPr>
        <a:xfrm>
          <a:off x="0" y="845130"/>
          <a:ext cx="5731510" cy="592200"/>
        </a:xfrm>
        <a:prstGeom prst="rect">
          <a:avLst/>
        </a:prstGeom>
        <a:no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4829" tIns="166624" rIns="444829" bIns="64008" numCol="1" spcCol="1270" anchor="t" anchorCtr="0">
          <a:noAutofit/>
        </a:bodyPr>
        <a:lstStyle/>
        <a:p>
          <a:pPr marL="57150" lvl="1" indent="-57150" algn="l" defTabSz="400050">
            <a:lnSpc>
              <a:spcPct val="90000"/>
            </a:lnSpc>
            <a:spcBef>
              <a:spcPct val="0"/>
            </a:spcBef>
            <a:spcAft>
              <a:spcPct val="15000"/>
            </a:spcAft>
            <a:buNone/>
          </a:pPr>
          <a:r>
            <a:rPr lang="en-AU" sz="900" kern="1200" dirty="0">
              <a:solidFill>
                <a:srgbClr val="000000">
                  <a:hueOff val="0"/>
                  <a:satOff val="0"/>
                  <a:lumOff val="0"/>
                  <a:alphaOff val="0"/>
                </a:srgbClr>
              </a:solidFill>
              <a:latin typeface="Arial" panose="020B0604020202020204"/>
              <a:ea typeface="+mn-ea"/>
              <a:cs typeface="+mn-cs"/>
            </a:rPr>
            <a:t>The strategy aims to improve wellbeing outcomes for children aged 0-5. It aims to provide culturally </a:t>
          </a:r>
          <a:r>
            <a:rPr lang="en-AU" sz="900" kern="1200">
              <a:solidFill>
                <a:srgbClr val="000000">
                  <a:hueOff val="0"/>
                  <a:satOff val="0"/>
                  <a:lumOff val="0"/>
                  <a:alphaOff val="0"/>
                </a:srgbClr>
              </a:solidFill>
              <a:latin typeface="Arial" panose="020B0604020202020204"/>
              <a:ea typeface="+mn-ea"/>
              <a:cs typeface="+mn-cs"/>
            </a:rPr>
            <a:t>safe services </a:t>
          </a:r>
          <a:r>
            <a:rPr lang="en-AU" sz="900" kern="1200" dirty="0">
              <a:solidFill>
                <a:srgbClr val="000000">
                  <a:hueOff val="0"/>
                  <a:satOff val="0"/>
                  <a:lumOff val="0"/>
                  <a:alphaOff val="0"/>
                </a:srgbClr>
              </a:solidFill>
              <a:latin typeface="Arial" panose="020B0604020202020204"/>
              <a:ea typeface="+mn-ea"/>
              <a:cs typeface="+mn-cs"/>
            </a:rPr>
            <a:t>ensuring connection to a child’s own culture, language, beliefs and identity are supported.</a:t>
          </a:r>
          <a:endParaRPr lang="en-AU" sz="900" b="1" strike="noStrike" kern="1200" baseline="30000" dirty="0">
            <a:solidFill>
              <a:srgbClr val="000000">
                <a:hueOff val="0"/>
                <a:satOff val="0"/>
                <a:lumOff val="0"/>
                <a:alphaOff val="0"/>
              </a:srgbClr>
            </a:solidFill>
            <a:latin typeface="Arial" panose="020B0604020202020204"/>
            <a:ea typeface="+mn-ea"/>
            <a:cs typeface="+mn-cs"/>
          </a:endParaRPr>
        </a:p>
      </dsp:txBody>
      <dsp:txXfrm>
        <a:off x="0" y="845130"/>
        <a:ext cx="5731510" cy="592200"/>
      </dsp:txXfrm>
    </dsp:sp>
    <dsp:sp modelId="{277D8BF1-25B6-41FB-8C77-E786541BC541}">
      <dsp:nvSpPr>
        <dsp:cNvPr id="0" name=""/>
        <dsp:cNvSpPr/>
      </dsp:nvSpPr>
      <dsp:spPr>
        <a:xfrm>
          <a:off x="286575" y="727050"/>
          <a:ext cx="4012057" cy="236160"/>
        </a:xfrm>
        <a:prstGeom prst="roundRect">
          <a:avLst/>
        </a:prstGeom>
        <a:solidFill>
          <a:srgbClr val="7030A0"/>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1646" tIns="0" rIns="151646" bIns="0" numCol="1" spcCol="1270" anchor="ctr" anchorCtr="0">
          <a:noAutofit/>
        </a:bodyPr>
        <a:lstStyle/>
        <a:p>
          <a:pPr marL="0" lvl="0" indent="0" algn="l" defTabSz="466725">
            <a:lnSpc>
              <a:spcPct val="90000"/>
            </a:lnSpc>
            <a:spcBef>
              <a:spcPct val="0"/>
            </a:spcBef>
            <a:spcAft>
              <a:spcPct val="35000"/>
            </a:spcAft>
            <a:buNone/>
          </a:pPr>
          <a:r>
            <a:rPr lang="en-AU" sz="1050" b="1" strike="noStrike" kern="1200" baseline="0" dirty="0">
              <a:solidFill>
                <a:srgbClr val="FFFFFF"/>
              </a:solidFill>
              <a:latin typeface="Arial" panose="020B0604020202020204"/>
              <a:ea typeface="+mn-ea"/>
              <a:cs typeface="+mn-cs"/>
            </a:rPr>
            <a:t>The Early Years Strategy (2024-2034)</a:t>
          </a:r>
          <a:r>
            <a:rPr lang="en-AU" sz="1050" b="1" strike="noStrike" kern="1200" baseline="30000" dirty="0">
              <a:solidFill>
                <a:srgbClr val="FFFFFF"/>
              </a:solidFill>
              <a:latin typeface="Arial" panose="020B0604020202020204"/>
              <a:ea typeface="+mn-ea"/>
              <a:cs typeface="+mn-cs"/>
            </a:rPr>
            <a:t>2 </a:t>
          </a:r>
        </a:p>
      </dsp:txBody>
      <dsp:txXfrm>
        <a:off x="298103" y="738578"/>
        <a:ext cx="3989001" cy="213104"/>
      </dsp:txXfrm>
    </dsp:sp>
    <dsp:sp modelId="{C7CA326D-9C8E-4526-BF26-D6DC728E7141}">
      <dsp:nvSpPr>
        <dsp:cNvPr id="0" name=""/>
        <dsp:cNvSpPr/>
      </dsp:nvSpPr>
      <dsp:spPr>
        <a:xfrm>
          <a:off x="0" y="1598610"/>
          <a:ext cx="5731510" cy="856800"/>
        </a:xfrm>
        <a:prstGeom prst="rect">
          <a:avLst/>
        </a:prstGeom>
        <a:no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4829" tIns="166624" rIns="444829" bIns="64008" numCol="1" spcCol="1270" anchor="t" anchorCtr="0">
          <a:noAutofit/>
        </a:bodyPr>
        <a:lstStyle/>
        <a:p>
          <a:pPr marL="57150" lvl="1" indent="-57150" algn="l" defTabSz="400050">
            <a:lnSpc>
              <a:spcPct val="90000"/>
            </a:lnSpc>
            <a:spcBef>
              <a:spcPct val="0"/>
            </a:spcBef>
            <a:spcAft>
              <a:spcPct val="15000"/>
            </a:spcAft>
            <a:buNone/>
          </a:pPr>
          <a:r>
            <a:rPr lang="en-AU" sz="900" b="1" strike="noStrike" kern="1200" baseline="0" dirty="0">
              <a:solidFill>
                <a:srgbClr val="000000">
                  <a:hueOff val="0"/>
                  <a:satOff val="0"/>
                  <a:lumOff val="0"/>
                  <a:alphaOff val="0"/>
                </a:srgbClr>
              </a:solidFill>
              <a:latin typeface="Arial" panose="020B0604020202020204"/>
              <a:ea typeface="+mn-ea"/>
              <a:cs typeface="+mn-cs"/>
            </a:rPr>
            <a:t>1. Belonging, Being and Becoming: Early Years Learning Framework for Australia - </a:t>
          </a:r>
          <a:r>
            <a:rPr lang="en-AU" sz="900" b="0" strike="noStrike" kern="1200" baseline="0" dirty="0">
              <a:solidFill>
                <a:srgbClr val="000000">
                  <a:hueOff val="0"/>
                  <a:satOff val="0"/>
                  <a:lumOff val="0"/>
                  <a:alphaOff val="0"/>
                </a:srgbClr>
              </a:solidFill>
              <a:latin typeface="Arial" panose="020B0604020202020204"/>
              <a:ea typeface="+mn-ea"/>
              <a:cs typeface="+mn-cs"/>
            </a:rPr>
            <a:t>guide to supporting and nurturing children's learning from 0-5 years. This includes supporting children in their transition to school.</a:t>
          </a:r>
        </a:p>
        <a:p>
          <a:pPr marL="57150" lvl="1" indent="-57150" algn="l" defTabSz="400050">
            <a:lnSpc>
              <a:spcPct val="90000"/>
            </a:lnSpc>
            <a:spcBef>
              <a:spcPct val="0"/>
            </a:spcBef>
            <a:spcAft>
              <a:spcPct val="15000"/>
            </a:spcAft>
            <a:buNone/>
          </a:pPr>
          <a:r>
            <a:rPr lang="en-AU" sz="900" b="1" strike="noStrike" kern="1200" baseline="0" dirty="0">
              <a:solidFill>
                <a:srgbClr val="000000">
                  <a:hueOff val="0"/>
                  <a:satOff val="0"/>
                  <a:lumOff val="0"/>
                  <a:alphaOff val="0"/>
                </a:srgbClr>
              </a:solidFill>
              <a:latin typeface="Arial" panose="020B0604020202020204"/>
              <a:ea typeface="+mn-ea"/>
              <a:cs typeface="+mn-cs"/>
            </a:rPr>
            <a:t>2. My Time, Our Place: Framework for School Age Care in Australia - </a:t>
          </a:r>
          <a:r>
            <a:rPr lang="en-AU" sz="900" b="0" strike="noStrike" kern="1200" baseline="0" dirty="0">
              <a:solidFill>
                <a:srgbClr val="000000">
                  <a:hueOff val="0"/>
                  <a:satOff val="0"/>
                  <a:lumOff val="0"/>
                  <a:alphaOff val="0"/>
                </a:srgbClr>
              </a:solidFill>
              <a:latin typeface="Arial" panose="020B0604020202020204"/>
              <a:ea typeface="+mn-ea"/>
              <a:cs typeface="+mn-cs"/>
            </a:rPr>
            <a:t>a learning framework for OSHC.</a:t>
          </a:r>
        </a:p>
      </dsp:txBody>
      <dsp:txXfrm>
        <a:off x="0" y="1598610"/>
        <a:ext cx="5731510" cy="856800"/>
      </dsp:txXfrm>
    </dsp:sp>
    <dsp:sp modelId="{DDDBA0B2-A7AB-4583-8E14-69F37650675D}">
      <dsp:nvSpPr>
        <dsp:cNvPr id="0" name=""/>
        <dsp:cNvSpPr/>
      </dsp:nvSpPr>
      <dsp:spPr>
        <a:xfrm>
          <a:off x="286575" y="1480530"/>
          <a:ext cx="4012057" cy="236160"/>
        </a:xfrm>
        <a:prstGeom prst="roundRect">
          <a:avLst/>
        </a:prstGeom>
        <a:solidFill>
          <a:srgbClr val="7030A0"/>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1646" tIns="0" rIns="151646" bIns="0" numCol="1" spcCol="1270" anchor="ctr" anchorCtr="0">
          <a:noAutofit/>
        </a:bodyPr>
        <a:lstStyle/>
        <a:p>
          <a:pPr marL="0" lvl="0" indent="0" algn="l" defTabSz="466725">
            <a:lnSpc>
              <a:spcPct val="90000"/>
            </a:lnSpc>
            <a:spcBef>
              <a:spcPct val="0"/>
            </a:spcBef>
            <a:spcAft>
              <a:spcPct val="35000"/>
            </a:spcAft>
            <a:buNone/>
          </a:pPr>
          <a:r>
            <a:rPr lang="en-AU" sz="1050" b="1" strike="noStrike" kern="1200" baseline="0" dirty="0">
              <a:solidFill>
                <a:srgbClr val="FFFFFF"/>
              </a:solidFill>
              <a:latin typeface="Arial" panose="020B0604020202020204"/>
              <a:ea typeface="+mn-ea"/>
              <a:cs typeface="+mn-cs"/>
            </a:rPr>
            <a:t>Approved Learning Frameworks</a:t>
          </a:r>
          <a:r>
            <a:rPr lang="en-AU" sz="1050" b="1" strike="noStrike" kern="1200" baseline="30000" dirty="0">
              <a:solidFill>
                <a:srgbClr val="FFFFFF"/>
              </a:solidFill>
              <a:latin typeface="Arial" panose="020B0604020202020204"/>
              <a:ea typeface="+mn-ea"/>
              <a:cs typeface="+mn-cs"/>
            </a:rPr>
            <a:t>3</a:t>
          </a:r>
        </a:p>
      </dsp:txBody>
      <dsp:txXfrm>
        <a:off x="298103" y="1492058"/>
        <a:ext cx="3989001" cy="213104"/>
      </dsp:txXfrm>
    </dsp:sp>
    <dsp:sp modelId="{637A134A-A54E-4326-B0A5-75283BE502A8}">
      <dsp:nvSpPr>
        <dsp:cNvPr id="0" name=""/>
        <dsp:cNvSpPr/>
      </dsp:nvSpPr>
      <dsp:spPr>
        <a:xfrm>
          <a:off x="0" y="2616690"/>
          <a:ext cx="5731510" cy="478800"/>
        </a:xfrm>
        <a:prstGeom prst="rect">
          <a:avLst/>
        </a:prstGeom>
        <a:no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4829" tIns="166624" rIns="444829" bIns="64008" numCol="1" spcCol="1270" anchor="t" anchorCtr="0">
          <a:noAutofit/>
        </a:bodyPr>
        <a:lstStyle/>
        <a:p>
          <a:pPr marL="57150" lvl="1" indent="-57150" algn="l" defTabSz="400050">
            <a:lnSpc>
              <a:spcPct val="90000"/>
            </a:lnSpc>
            <a:spcBef>
              <a:spcPct val="0"/>
            </a:spcBef>
            <a:spcAft>
              <a:spcPct val="15000"/>
            </a:spcAft>
            <a:buNone/>
          </a:pPr>
          <a:r>
            <a:rPr lang="en-AU" sz="900" b="0" i="0" kern="1200" dirty="0">
              <a:solidFill>
                <a:srgbClr val="000000">
                  <a:hueOff val="0"/>
                  <a:satOff val="0"/>
                  <a:lumOff val="0"/>
                  <a:alphaOff val="0"/>
                </a:srgbClr>
              </a:solidFill>
              <a:latin typeface="Arial" panose="020B0604020202020204"/>
              <a:ea typeface="+mn-ea"/>
              <a:cs typeface="+mn-cs"/>
            </a:rPr>
            <a:t>The NQF provides a national approach to regulation, assessment and quality improvement for early childhood education and care and outside school hours care services across Australia.</a:t>
          </a:r>
          <a:endParaRPr lang="en-AU" sz="900" b="1" strike="noStrike" kern="1200" baseline="30000" dirty="0">
            <a:solidFill>
              <a:srgbClr val="000000">
                <a:hueOff val="0"/>
                <a:satOff val="0"/>
                <a:lumOff val="0"/>
                <a:alphaOff val="0"/>
              </a:srgbClr>
            </a:solidFill>
            <a:latin typeface="Arial" panose="020B0604020202020204"/>
            <a:ea typeface="+mn-ea"/>
            <a:cs typeface="+mn-cs"/>
          </a:endParaRPr>
        </a:p>
      </dsp:txBody>
      <dsp:txXfrm>
        <a:off x="0" y="2616690"/>
        <a:ext cx="5731510" cy="478800"/>
      </dsp:txXfrm>
    </dsp:sp>
    <dsp:sp modelId="{534AEE4A-8608-4009-8E4E-15A408FFBCA3}">
      <dsp:nvSpPr>
        <dsp:cNvPr id="0" name=""/>
        <dsp:cNvSpPr/>
      </dsp:nvSpPr>
      <dsp:spPr>
        <a:xfrm>
          <a:off x="286575" y="2498610"/>
          <a:ext cx="4012057" cy="236160"/>
        </a:xfrm>
        <a:prstGeom prst="roundRect">
          <a:avLst/>
        </a:prstGeom>
        <a:solidFill>
          <a:srgbClr val="7030A0"/>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1646" tIns="0" rIns="151646" bIns="0" numCol="1" spcCol="1270" anchor="ctr" anchorCtr="0">
          <a:noAutofit/>
        </a:bodyPr>
        <a:lstStyle/>
        <a:p>
          <a:pPr marL="0" lvl="0" indent="0" algn="l" defTabSz="466725">
            <a:lnSpc>
              <a:spcPct val="90000"/>
            </a:lnSpc>
            <a:spcBef>
              <a:spcPct val="0"/>
            </a:spcBef>
            <a:spcAft>
              <a:spcPct val="35000"/>
            </a:spcAft>
            <a:buNone/>
          </a:pPr>
          <a:r>
            <a:rPr lang="en-AU" sz="1050" b="1" strike="noStrike" kern="1200" baseline="0" dirty="0">
              <a:solidFill>
                <a:srgbClr val="FFFFFF"/>
              </a:solidFill>
              <a:latin typeface="Arial" panose="020B0604020202020204"/>
              <a:ea typeface="+mn-ea"/>
              <a:cs typeface="+mn-cs"/>
            </a:rPr>
            <a:t>National Quality Framework</a:t>
          </a:r>
          <a:r>
            <a:rPr lang="en-AU" sz="1050" b="1" strike="noStrike" kern="1200" baseline="30000" dirty="0">
              <a:solidFill>
                <a:srgbClr val="FFFFFF"/>
              </a:solidFill>
              <a:latin typeface="Arial" panose="020B0604020202020204"/>
              <a:ea typeface="+mn-ea"/>
              <a:cs typeface="+mn-cs"/>
            </a:rPr>
            <a:t>4</a:t>
          </a:r>
        </a:p>
      </dsp:txBody>
      <dsp:txXfrm>
        <a:off x="298103" y="2510138"/>
        <a:ext cx="3989001" cy="213104"/>
      </dsp:txXfrm>
    </dsp:sp>
    <dsp:sp modelId="{560FC687-651D-4524-8E55-8BD2E26805A3}">
      <dsp:nvSpPr>
        <dsp:cNvPr id="0" name=""/>
        <dsp:cNvSpPr/>
      </dsp:nvSpPr>
      <dsp:spPr>
        <a:xfrm>
          <a:off x="0" y="3256770"/>
          <a:ext cx="5731510" cy="856800"/>
        </a:xfrm>
        <a:prstGeom prst="rect">
          <a:avLst/>
        </a:prstGeom>
        <a:solidFill>
          <a:srgbClr val="FFFFFF">
            <a:alpha val="90000"/>
            <a:hueOff val="0"/>
            <a:satOff val="0"/>
            <a:lumOff val="0"/>
            <a:alphaOff val="0"/>
          </a:srgbClr>
        </a:solid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4829" tIns="166624" rIns="444829" bIns="64008" numCol="1" spcCol="1270" anchor="t" anchorCtr="0">
          <a:noAutofit/>
        </a:bodyPr>
        <a:lstStyle/>
        <a:p>
          <a:pPr marL="57150" lvl="1" indent="-57150" algn="l" defTabSz="400050">
            <a:lnSpc>
              <a:spcPct val="90000"/>
            </a:lnSpc>
            <a:spcBef>
              <a:spcPct val="0"/>
            </a:spcBef>
            <a:spcAft>
              <a:spcPct val="15000"/>
            </a:spcAft>
            <a:buChar char="•"/>
          </a:pPr>
          <a:r>
            <a:rPr lang="en-AU" sz="900" kern="1200" dirty="0">
              <a:solidFill>
                <a:prstClr val="black">
                  <a:hueOff val="0"/>
                  <a:satOff val="0"/>
                  <a:lumOff val="0"/>
                  <a:alphaOff val="0"/>
                </a:prstClr>
              </a:solidFill>
              <a:latin typeface="Arial" panose="020B0604020202020204"/>
              <a:ea typeface="+mn-ea"/>
              <a:cs typeface="+mn-cs"/>
            </a:rPr>
            <a:t>The Australian Government funds the delivery of 15 hours of preschool a week – 600 hours a year – in the YBFS </a:t>
          </a:r>
        </a:p>
        <a:p>
          <a:pPr marL="57150" lvl="1" indent="-57150" algn="l" defTabSz="400050">
            <a:lnSpc>
              <a:spcPct val="90000"/>
            </a:lnSpc>
            <a:spcBef>
              <a:spcPct val="0"/>
            </a:spcBef>
            <a:spcAft>
              <a:spcPct val="15000"/>
            </a:spcAft>
            <a:buChar char="•"/>
          </a:pPr>
          <a:r>
            <a:rPr lang="en-AU" sz="900" kern="1200" dirty="0">
              <a:solidFill>
                <a:srgbClr val="000000">
                  <a:hueOff val="0"/>
                  <a:satOff val="0"/>
                  <a:lumOff val="0"/>
                  <a:alphaOff val="0"/>
                </a:srgbClr>
              </a:solidFill>
              <a:latin typeface="Arial" panose="020B0604020202020204"/>
              <a:ea typeface="+mn-ea"/>
              <a:cs typeface="+mn-cs"/>
            </a:rPr>
            <a:t>NSW, SA and VIC governments are committed to expanding access to 30 hours of preschool in the YBFS and support more 3-year-old children participating in preschool. Other state and territories are expected to make similar commitments. </a:t>
          </a:r>
          <a:endParaRPr lang="en-AU" sz="1050" kern="1200" dirty="0">
            <a:solidFill>
              <a:srgbClr val="000000">
                <a:hueOff val="0"/>
                <a:satOff val="0"/>
                <a:lumOff val="0"/>
                <a:alphaOff val="0"/>
              </a:srgbClr>
            </a:solidFill>
            <a:latin typeface="Arial" panose="020B0604020202020204"/>
            <a:ea typeface="+mn-ea"/>
            <a:cs typeface="+mn-cs"/>
          </a:endParaRPr>
        </a:p>
      </dsp:txBody>
      <dsp:txXfrm>
        <a:off x="0" y="3256770"/>
        <a:ext cx="5731510" cy="856800"/>
      </dsp:txXfrm>
    </dsp:sp>
    <dsp:sp modelId="{50EC7AA2-20D6-4A98-BA00-D3D1CE9156AB}">
      <dsp:nvSpPr>
        <dsp:cNvPr id="0" name=""/>
        <dsp:cNvSpPr/>
      </dsp:nvSpPr>
      <dsp:spPr>
        <a:xfrm>
          <a:off x="286575" y="3138690"/>
          <a:ext cx="4012057" cy="236160"/>
        </a:xfrm>
        <a:prstGeom prst="roundRect">
          <a:avLst/>
        </a:prstGeom>
        <a:solidFill>
          <a:srgbClr val="7030A0"/>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1646" tIns="0" rIns="151646" bIns="0" numCol="1" spcCol="1270" anchor="ctr" anchorCtr="0">
          <a:noAutofit/>
        </a:bodyPr>
        <a:lstStyle/>
        <a:p>
          <a:pPr marL="0" lvl="0" indent="0" algn="l" defTabSz="466725">
            <a:lnSpc>
              <a:spcPct val="90000"/>
            </a:lnSpc>
            <a:spcBef>
              <a:spcPct val="0"/>
            </a:spcBef>
            <a:spcAft>
              <a:spcPct val="35000"/>
            </a:spcAft>
            <a:buNone/>
          </a:pPr>
          <a:r>
            <a:rPr lang="en-AU" sz="1050" b="1" kern="1200" dirty="0">
              <a:solidFill>
                <a:srgbClr val="FFFFFF"/>
              </a:solidFill>
              <a:latin typeface="Arial" panose="020B0604020202020204"/>
              <a:ea typeface="+mn-ea"/>
              <a:cs typeface="+mn-cs"/>
            </a:rPr>
            <a:t>Universal access to preschool</a:t>
          </a:r>
          <a:r>
            <a:rPr lang="en-AU" sz="1050" b="1" kern="1200" baseline="30000" dirty="0">
              <a:solidFill>
                <a:srgbClr val="FFFFFF"/>
              </a:solidFill>
              <a:latin typeface="Arial" panose="020B0604020202020204"/>
              <a:ea typeface="+mn-ea"/>
              <a:cs typeface="+mn-cs"/>
            </a:rPr>
            <a:t>5</a:t>
          </a:r>
          <a:endParaRPr lang="en-AU" sz="1050" b="1" strike="noStrike" kern="1200" baseline="30000" dirty="0">
            <a:solidFill>
              <a:srgbClr val="FFFFFF"/>
            </a:solidFill>
            <a:latin typeface="Arial" panose="020B0604020202020204"/>
            <a:ea typeface="+mn-ea"/>
            <a:cs typeface="+mn-cs"/>
          </a:endParaRPr>
        </a:p>
      </dsp:txBody>
      <dsp:txXfrm>
        <a:off x="298103" y="3150218"/>
        <a:ext cx="3989001" cy="213104"/>
      </dsp:txXfrm>
    </dsp:sp>
    <dsp:sp modelId="{888AB65F-09F8-43A2-9913-8671C87CDB4E}">
      <dsp:nvSpPr>
        <dsp:cNvPr id="0" name=""/>
        <dsp:cNvSpPr/>
      </dsp:nvSpPr>
      <dsp:spPr>
        <a:xfrm>
          <a:off x="0" y="4274850"/>
          <a:ext cx="5731510" cy="604800"/>
        </a:xfrm>
        <a:prstGeom prst="rect">
          <a:avLst/>
        </a:prstGeom>
        <a:solidFill>
          <a:srgbClr val="FFFFFF">
            <a:alpha val="90000"/>
            <a:hueOff val="0"/>
            <a:satOff val="0"/>
            <a:lumOff val="0"/>
            <a:alphaOff val="0"/>
          </a:srgbClr>
        </a:solid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4829" tIns="166624" rIns="444829" bIns="64008" numCol="1" spcCol="1270" anchor="t" anchorCtr="0">
          <a:noAutofit/>
        </a:bodyPr>
        <a:lstStyle/>
        <a:p>
          <a:pPr marL="57150" lvl="1" indent="-57150" algn="l" defTabSz="400050">
            <a:lnSpc>
              <a:spcPct val="90000"/>
            </a:lnSpc>
            <a:spcBef>
              <a:spcPct val="0"/>
            </a:spcBef>
            <a:spcAft>
              <a:spcPct val="15000"/>
            </a:spcAft>
            <a:buNone/>
          </a:pPr>
          <a:r>
            <a:rPr lang="en-AU" sz="900" kern="1200" dirty="0">
              <a:solidFill>
                <a:srgbClr val="000000">
                  <a:hueOff val="0"/>
                  <a:satOff val="0"/>
                  <a:lumOff val="0"/>
                  <a:alphaOff val="0"/>
                </a:srgbClr>
              </a:solidFill>
              <a:latin typeface="Arial" panose="020B0604020202020204"/>
              <a:ea typeface="+mn-ea"/>
              <a:cs typeface="+mn-cs"/>
            </a:rPr>
            <a:t>The Australian government along with state and territory governments have agreed to accelerate the delivery of fee-free TAFE places, with 300,000 to be delivered in 2024</a:t>
          </a:r>
          <a:r>
            <a:rPr lang="en-AU" sz="1000" kern="1200" dirty="0">
              <a:solidFill>
                <a:srgbClr val="000000">
                  <a:hueOff val="0"/>
                  <a:satOff val="0"/>
                  <a:lumOff val="0"/>
                  <a:alphaOff val="0"/>
                </a:srgbClr>
              </a:solidFill>
              <a:latin typeface="Arial" panose="020B0604020202020204"/>
              <a:ea typeface="+mn-ea"/>
              <a:cs typeface="+mn-cs"/>
            </a:rPr>
            <a:t>. </a:t>
          </a:r>
          <a:r>
            <a:rPr lang="en-AU" sz="900" kern="1200" dirty="0">
              <a:solidFill>
                <a:srgbClr val="000000">
                  <a:hueOff val="0"/>
                  <a:satOff val="0"/>
                  <a:lumOff val="0"/>
                  <a:alphaOff val="0"/>
                </a:srgbClr>
              </a:solidFill>
              <a:latin typeface="Arial" panose="020B0604020202020204"/>
              <a:ea typeface="+mn-ea"/>
              <a:cs typeface="+mn-cs"/>
            </a:rPr>
            <a:t>A portion of these places will go to ECEC students across Australia.</a:t>
          </a:r>
          <a:endParaRPr lang="en-AU" sz="1000" kern="1200" dirty="0">
            <a:solidFill>
              <a:srgbClr val="000000">
                <a:hueOff val="0"/>
                <a:satOff val="0"/>
                <a:lumOff val="0"/>
                <a:alphaOff val="0"/>
              </a:srgbClr>
            </a:solidFill>
            <a:latin typeface="Arial" panose="020B0604020202020204"/>
            <a:ea typeface="+mn-ea"/>
            <a:cs typeface="+mn-cs"/>
          </a:endParaRPr>
        </a:p>
      </dsp:txBody>
      <dsp:txXfrm>
        <a:off x="0" y="4274850"/>
        <a:ext cx="5731510" cy="604800"/>
      </dsp:txXfrm>
    </dsp:sp>
    <dsp:sp modelId="{EBC4F823-E162-467A-AA5B-D1A66AB175EF}">
      <dsp:nvSpPr>
        <dsp:cNvPr id="0" name=""/>
        <dsp:cNvSpPr/>
      </dsp:nvSpPr>
      <dsp:spPr>
        <a:xfrm>
          <a:off x="286575" y="4156770"/>
          <a:ext cx="4012057" cy="236160"/>
        </a:xfrm>
        <a:prstGeom prst="roundRect">
          <a:avLst/>
        </a:prstGeom>
        <a:solidFill>
          <a:srgbClr val="7030A0"/>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1646" tIns="0" rIns="151646" bIns="0" numCol="1" spcCol="1270" anchor="ctr" anchorCtr="0">
          <a:noAutofit/>
        </a:bodyPr>
        <a:lstStyle/>
        <a:p>
          <a:pPr marL="0" lvl="0" indent="0" algn="l" defTabSz="466725">
            <a:lnSpc>
              <a:spcPct val="90000"/>
            </a:lnSpc>
            <a:spcBef>
              <a:spcPct val="0"/>
            </a:spcBef>
            <a:spcAft>
              <a:spcPct val="35000"/>
            </a:spcAft>
            <a:buNone/>
          </a:pPr>
          <a:r>
            <a:rPr lang="en-AU" sz="1050" b="1" kern="1200" dirty="0">
              <a:solidFill>
                <a:srgbClr val="FFFFFF"/>
              </a:solidFill>
              <a:latin typeface="Arial" panose="020B0604020202020204"/>
              <a:ea typeface="+mn-ea"/>
              <a:cs typeface="+mn-cs"/>
            </a:rPr>
            <a:t>Fee-free TAFE</a:t>
          </a:r>
          <a:r>
            <a:rPr lang="en-AU" sz="1050" b="1" kern="1200" baseline="30000" dirty="0">
              <a:solidFill>
                <a:srgbClr val="FFFFFF"/>
              </a:solidFill>
              <a:latin typeface="Arial" panose="020B0604020202020204"/>
              <a:ea typeface="+mn-ea"/>
              <a:cs typeface="+mn-cs"/>
            </a:rPr>
            <a:t>6</a:t>
          </a:r>
        </a:p>
      </dsp:txBody>
      <dsp:txXfrm>
        <a:off x="298103" y="4168298"/>
        <a:ext cx="3989001" cy="213104"/>
      </dsp:txXfrm>
    </dsp:sp>
    <dsp:sp modelId="{BAC91D04-44C0-4A89-998C-C68724D7E49F}">
      <dsp:nvSpPr>
        <dsp:cNvPr id="0" name=""/>
        <dsp:cNvSpPr/>
      </dsp:nvSpPr>
      <dsp:spPr>
        <a:xfrm>
          <a:off x="0" y="5040930"/>
          <a:ext cx="5731510" cy="730800"/>
        </a:xfrm>
        <a:prstGeom prst="rect">
          <a:avLst/>
        </a:prstGeom>
        <a:solidFill>
          <a:srgbClr val="FFFFFF">
            <a:alpha val="90000"/>
            <a:hueOff val="0"/>
            <a:satOff val="0"/>
            <a:lumOff val="0"/>
            <a:alphaOff val="0"/>
          </a:srgbClr>
        </a:solid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4829" tIns="166624" rIns="444829" bIns="64008" numCol="1" spcCol="1270" anchor="t" anchorCtr="0">
          <a:noAutofit/>
        </a:bodyPr>
        <a:lstStyle/>
        <a:p>
          <a:pPr marL="57150" lvl="1" indent="-57150" algn="l" defTabSz="400050">
            <a:lnSpc>
              <a:spcPct val="90000"/>
            </a:lnSpc>
            <a:spcBef>
              <a:spcPct val="0"/>
            </a:spcBef>
            <a:spcAft>
              <a:spcPct val="15000"/>
            </a:spcAft>
            <a:buChar char="•"/>
          </a:pPr>
          <a:r>
            <a:rPr lang="en-AU" sz="900" kern="1200" dirty="0">
              <a:solidFill>
                <a:srgbClr val="000000">
                  <a:hueOff val="0"/>
                  <a:satOff val="0"/>
                  <a:lumOff val="0"/>
                  <a:alphaOff val="0"/>
                </a:srgbClr>
              </a:solidFill>
              <a:latin typeface="Arial" panose="020B0604020202020204"/>
              <a:ea typeface="+mn-ea"/>
              <a:cs typeface="+mn-cs"/>
            </a:rPr>
            <a:t>In July 2020, the Coalition of Aboriginal and Torres Strait Islander Peak Organisations and all Australian Governments agreed a National Agreement on Closing the Gap.</a:t>
          </a:r>
          <a:endParaRPr lang="en-AU" sz="1050" kern="1200" dirty="0">
            <a:solidFill>
              <a:srgbClr val="000000">
                <a:hueOff val="0"/>
                <a:satOff val="0"/>
                <a:lumOff val="0"/>
                <a:alphaOff val="0"/>
              </a:srgbClr>
            </a:solidFill>
            <a:latin typeface="Arial" panose="020B0604020202020204"/>
            <a:ea typeface="+mn-ea"/>
            <a:cs typeface="+mn-cs"/>
          </a:endParaRPr>
        </a:p>
        <a:p>
          <a:pPr marL="57150" lvl="1" indent="-57150" algn="l" defTabSz="400050">
            <a:lnSpc>
              <a:spcPct val="90000"/>
            </a:lnSpc>
            <a:spcBef>
              <a:spcPct val="0"/>
            </a:spcBef>
            <a:spcAft>
              <a:spcPct val="15000"/>
            </a:spcAft>
            <a:buChar char="•"/>
          </a:pPr>
          <a:r>
            <a:rPr lang="en-AU" sz="900" kern="1200" dirty="0">
              <a:solidFill>
                <a:srgbClr val="000000">
                  <a:hueOff val="0"/>
                  <a:satOff val="0"/>
                  <a:lumOff val="0"/>
                  <a:alphaOff val="0"/>
                </a:srgbClr>
              </a:solidFill>
              <a:latin typeface="Arial" panose="020B0604020202020204"/>
              <a:ea typeface="+mn-ea"/>
              <a:cs typeface="+mn-cs"/>
            </a:rPr>
            <a:t>ECEC was identified as a policy priority area with a strong community-controlled sector needed to deliver services and programs.</a:t>
          </a:r>
          <a:endParaRPr lang="en-AU" sz="1400" kern="1200" dirty="0">
            <a:solidFill>
              <a:srgbClr val="000000">
                <a:hueOff val="0"/>
                <a:satOff val="0"/>
                <a:lumOff val="0"/>
                <a:alphaOff val="0"/>
              </a:srgbClr>
            </a:solidFill>
            <a:latin typeface="Arial" panose="020B0604020202020204"/>
            <a:ea typeface="+mn-ea"/>
            <a:cs typeface="+mn-cs"/>
          </a:endParaRPr>
        </a:p>
      </dsp:txBody>
      <dsp:txXfrm>
        <a:off x="0" y="5040930"/>
        <a:ext cx="5731510" cy="730800"/>
      </dsp:txXfrm>
    </dsp:sp>
    <dsp:sp modelId="{96F4766C-E391-44CC-B96C-D8C150297D89}">
      <dsp:nvSpPr>
        <dsp:cNvPr id="0" name=""/>
        <dsp:cNvSpPr/>
      </dsp:nvSpPr>
      <dsp:spPr>
        <a:xfrm>
          <a:off x="286575" y="4922850"/>
          <a:ext cx="4012057" cy="236160"/>
        </a:xfrm>
        <a:prstGeom prst="roundRect">
          <a:avLst/>
        </a:prstGeom>
        <a:solidFill>
          <a:srgbClr val="7030A0"/>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1646" tIns="0" rIns="151646" bIns="0" numCol="1" spcCol="1270" anchor="ctr" anchorCtr="0">
          <a:noAutofit/>
        </a:bodyPr>
        <a:lstStyle/>
        <a:p>
          <a:pPr marL="0" lvl="0" indent="0" algn="l" defTabSz="466725">
            <a:lnSpc>
              <a:spcPct val="90000"/>
            </a:lnSpc>
            <a:spcBef>
              <a:spcPct val="0"/>
            </a:spcBef>
            <a:spcAft>
              <a:spcPct val="35000"/>
            </a:spcAft>
            <a:buNone/>
          </a:pPr>
          <a:r>
            <a:rPr lang="en-AU" sz="1050" b="1" kern="1200" dirty="0">
              <a:solidFill>
                <a:srgbClr val="FFFFFF"/>
              </a:solidFill>
              <a:latin typeface="Arial" panose="020B0604020202020204"/>
              <a:ea typeface="+mn-ea"/>
              <a:cs typeface="+mn-cs"/>
            </a:rPr>
            <a:t>Closing the Gap</a:t>
          </a:r>
          <a:r>
            <a:rPr lang="en-AU" sz="1050" b="1" kern="1200" baseline="30000" dirty="0">
              <a:solidFill>
                <a:srgbClr val="FFFFFF"/>
              </a:solidFill>
              <a:latin typeface="Arial" panose="020B0604020202020204"/>
              <a:ea typeface="+mn-ea"/>
              <a:cs typeface="+mn-cs"/>
            </a:rPr>
            <a:t>7</a:t>
          </a:r>
        </a:p>
      </dsp:txBody>
      <dsp:txXfrm>
        <a:off x="298103" y="4934378"/>
        <a:ext cx="3989001" cy="213104"/>
      </dsp:txXfrm>
    </dsp:sp>
    <dsp:sp modelId="{5EDB13BF-5A68-48B0-B9A9-41DD80DE78E2}">
      <dsp:nvSpPr>
        <dsp:cNvPr id="0" name=""/>
        <dsp:cNvSpPr/>
      </dsp:nvSpPr>
      <dsp:spPr>
        <a:xfrm>
          <a:off x="0" y="5933010"/>
          <a:ext cx="5731510" cy="478800"/>
        </a:xfrm>
        <a:prstGeom prst="rect">
          <a:avLst/>
        </a:prstGeom>
        <a:solidFill>
          <a:srgbClr val="FFFFFF">
            <a:alpha val="90000"/>
            <a:hueOff val="0"/>
            <a:satOff val="0"/>
            <a:lumOff val="0"/>
            <a:alphaOff val="0"/>
          </a:srgbClr>
        </a:solid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4829" tIns="166624" rIns="444829" bIns="64008" numCol="1" spcCol="1270" anchor="t" anchorCtr="0">
          <a:noAutofit/>
        </a:bodyPr>
        <a:lstStyle/>
        <a:p>
          <a:pPr marL="57150" lvl="1" indent="-57150" algn="l" defTabSz="400050">
            <a:lnSpc>
              <a:spcPct val="90000"/>
            </a:lnSpc>
            <a:spcBef>
              <a:spcPct val="0"/>
            </a:spcBef>
            <a:spcAft>
              <a:spcPct val="15000"/>
            </a:spcAft>
            <a:buNone/>
          </a:pPr>
          <a:r>
            <a:rPr lang="en-AU" sz="900" kern="1200" dirty="0">
              <a:solidFill>
                <a:srgbClr val="000000">
                  <a:hueOff val="0"/>
                  <a:satOff val="0"/>
                  <a:lumOff val="0"/>
                  <a:alphaOff val="0"/>
                </a:srgbClr>
              </a:solidFill>
              <a:latin typeface="Arial" panose="020B0604020202020204"/>
              <a:ea typeface="+mn-ea"/>
              <a:cs typeface="+mn-cs"/>
            </a:rPr>
            <a:t>$72.4 million funding boost to support more than 80,000 ECEC worker’s on-the-job training and upskilling for more complex and higher paying roles.</a:t>
          </a:r>
          <a:endParaRPr lang="en-AU" sz="1000" kern="1200" dirty="0">
            <a:solidFill>
              <a:srgbClr val="000000">
                <a:hueOff val="0"/>
                <a:satOff val="0"/>
                <a:lumOff val="0"/>
                <a:alphaOff val="0"/>
              </a:srgbClr>
            </a:solidFill>
            <a:latin typeface="Arial" panose="020B0604020202020204"/>
            <a:ea typeface="+mn-ea"/>
            <a:cs typeface="+mn-cs"/>
          </a:endParaRPr>
        </a:p>
      </dsp:txBody>
      <dsp:txXfrm>
        <a:off x="0" y="5933010"/>
        <a:ext cx="5731510" cy="478800"/>
      </dsp:txXfrm>
    </dsp:sp>
    <dsp:sp modelId="{F28877A8-0001-428B-9CC6-96130F747E65}">
      <dsp:nvSpPr>
        <dsp:cNvPr id="0" name=""/>
        <dsp:cNvSpPr/>
      </dsp:nvSpPr>
      <dsp:spPr>
        <a:xfrm>
          <a:off x="286575" y="5814930"/>
          <a:ext cx="4012057" cy="236160"/>
        </a:xfrm>
        <a:prstGeom prst="roundRect">
          <a:avLst/>
        </a:prstGeom>
        <a:solidFill>
          <a:srgbClr val="7030A0"/>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1646" tIns="0" rIns="151646" bIns="0" numCol="1" spcCol="1270" anchor="ctr" anchorCtr="0">
          <a:noAutofit/>
        </a:bodyPr>
        <a:lstStyle/>
        <a:p>
          <a:pPr marL="0" lvl="0" indent="0" algn="l" defTabSz="466725">
            <a:lnSpc>
              <a:spcPct val="90000"/>
            </a:lnSpc>
            <a:spcBef>
              <a:spcPct val="0"/>
            </a:spcBef>
            <a:spcAft>
              <a:spcPct val="35000"/>
            </a:spcAft>
            <a:buNone/>
          </a:pPr>
          <a:r>
            <a:rPr lang="en-AU" sz="1050" b="1" kern="1200" dirty="0">
              <a:solidFill>
                <a:srgbClr val="FFFFFF"/>
              </a:solidFill>
              <a:latin typeface="Arial" panose="020B0604020202020204"/>
              <a:ea typeface="+mn-ea"/>
              <a:cs typeface="+mn-cs"/>
            </a:rPr>
            <a:t>Skills Package in the 2023-24 budget</a:t>
          </a:r>
          <a:r>
            <a:rPr lang="en-AU" sz="1050" b="1" kern="1200" baseline="30000" dirty="0">
              <a:solidFill>
                <a:srgbClr val="FFFFFF"/>
              </a:solidFill>
              <a:latin typeface="Arial" panose="020B0604020202020204"/>
              <a:ea typeface="+mn-ea"/>
              <a:cs typeface="+mn-cs"/>
            </a:rPr>
            <a:t>8</a:t>
          </a:r>
        </a:p>
      </dsp:txBody>
      <dsp:txXfrm>
        <a:off x="298103" y="5826458"/>
        <a:ext cx="3989001" cy="213104"/>
      </dsp:txXfrm>
    </dsp:sp>
    <dsp:sp modelId="{06BD52F5-0AF5-4DB5-AA4E-B7CA5C122568}">
      <dsp:nvSpPr>
        <dsp:cNvPr id="0" name=""/>
        <dsp:cNvSpPr/>
      </dsp:nvSpPr>
      <dsp:spPr>
        <a:xfrm>
          <a:off x="0" y="6573090"/>
          <a:ext cx="5731510" cy="478800"/>
        </a:xfrm>
        <a:prstGeom prst="rect">
          <a:avLst/>
        </a:prstGeom>
        <a:solidFill>
          <a:srgbClr val="FFFFFF">
            <a:alpha val="90000"/>
            <a:hueOff val="0"/>
            <a:satOff val="0"/>
            <a:lumOff val="0"/>
            <a:alphaOff val="0"/>
          </a:srgbClr>
        </a:solid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4829" tIns="166624" rIns="444829" bIns="64008" numCol="1" spcCol="1270" anchor="t" anchorCtr="0">
          <a:noAutofit/>
        </a:bodyPr>
        <a:lstStyle/>
        <a:p>
          <a:pPr marL="57150" lvl="1" indent="-57150" algn="l" defTabSz="400050">
            <a:lnSpc>
              <a:spcPct val="90000"/>
            </a:lnSpc>
            <a:spcBef>
              <a:spcPct val="0"/>
            </a:spcBef>
            <a:spcAft>
              <a:spcPct val="15000"/>
            </a:spcAft>
            <a:buNone/>
          </a:pPr>
          <a:r>
            <a:rPr lang="en-AU" sz="900" kern="1200" dirty="0">
              <a:solidFill>
                <a:srgbClr val="000000">
                  <a:hueOff val="0"/>
                  <a:satOff val="0"/>
                  <a:lumOff val="0"/>
                  <a:alphaOff val="0"/>
                </a:srgbClr>
              </a:solidFill>
              <a:latin typeface="Arial" panose="020B0604020202020204"/>
              <a:ea typeface="+mn-ea"/>
              <a:cs typeface="+mn-cs"/>
            </a:rPr>
            <a:t>Provide industry with a stronger, more strategic voice and promote participation in the VET sector (both industry and individual) to address workforce challenges.</a:t>
          </a:r>
        </a:p>
      </dsp:txBody>
      <dsp:txXfrm>
        <a:off x="0" y="6573090"/>
        <a:ext cx="5731510" cy="478800"/>
      </dsp:txXfrm>
    </dsp:sp>
    <dsp:sp modelId="{58FCF7C1-6E5F-445C-86B7-8E94B212D748}">
      <dsp:nvSpPr>
        <dsp:cNvPr id="0" name=""/>
        <dsp:cNvSpPr/>
      </dsp:nvSpPr>
      <dsp:spPr>
        <a:xfrm>
          <a:off x="286575" y="6455010"/>
          <a:ext cx="4012057" cy="236160"/>
        </a:xfrm>
        <a:prstGeom prst="roundRect">
          <a:avLst/>
        </a:prstGeom>
        <a:solidFill>
          <a:srgbClr val="7030A0"/>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1646" tIns="0" rIns="151646" bIns="0" numCol="1" spcCol="1270" anchor="ctr" anchorCtr="0">
          <a:noAutofit/>
        </a:bodyPr>
        <a:lstStyle/>
        <a:p>
          <a:pPr marL="0" lvl="0" indent="0" algn="l" defTabSz="466725">
            <a:lnSpc>
              <a:spcPct val="90000"/>
            </a:lnSpc>
            <a:spcBef>
              <a:spcPct val="0"/>
            </a:spcBef>
            <a:spcAft>
              <a:spcPct val="35000"/>
            </a:spcAft>
            <a:buNone/>
          </a:pPr>
          <a:r>
            <a:rPr lang="en-AU" sz="1050" b="1" kern="1200" dirty="0">
              <a:solidFill>
                <a:srgbClr val="FFFFFF"/>
              </a:solidFill>
              <a:latin typeface="Arial" panose="020B0604020202020204"/>
              <a:ea typeface="+mn-ea"/>
              <a:cs typeface="+mn-cs"/>
            </a:rPr>
            <a:t>Jobs and Skills Councils (HumanAbility)</a:t>
          </a:r>
          <a:r>
            <a:rPr lang="en-AU" sz="1050" b="1" kern="1200" baseline="30000" dirty="0">
              <a:solidFill>
                <a:srgbClr val="FFFFFF"/>
              </a:solidFill>
              <a:latin typeface="Arial" panose="020B0604020202020204"/>
              <a:ea typeface="+mn-ea"/>
              <a:cs typeface="+mn-cs"/>
            </a:rPr>
            <a:t>9</a:t>
          </a:r>
        </a:p>
      </dsp:txBody>
      <dsp:txXfrm>
        <a:off x="298103" y="6466538"/>
        <a:ext cx="3989001" cy="213104"/>
      </dsp:txXfrm>
    </dsp:sp>
    <dsp:sp modelId="{944AD537-9E73-4FC2-A9C1-9A557E554313}">
      <dsp:nvSpPr>
        <dsp:cNvPr id="0" name=""/>
        <dsp:cNvSpPr/>
      </dsp:nvSpPr>
      <dsp:spPr>
        <a:xfrm>
          <a:off x="0" y="7213170"/>
          <a:ext cx="5731510" cy="982799"/>
        </a:xfrm>
        <a:prstGeom prst="rect">
          <a:avLst/>
        </a:prstGeom>
        <a:solidFill>
          <a:srgbClr val="FFFFFF">
            <a:alpha val="90000"/>
            <a:hueOff val="0"/>
            <a:satOff val="0"/>
            <a:lumOff val="0"/>
            <a:alphaOff val="0"/>
          </a:srgbClr>
        </a:solid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4829" tIns="166624" rIns="444829" bIns="64008" numCol="1" spcCol="1270" anchor="t" anchorCtr="0">
          <a:noAutofit/>
        </a:bodyPr>
        <a:lstStyle/>
        <a:p>
          <a:pPr marL="57150" lvl="1" indent="-57150" algn="l" defTabSz="400050">
            <a:lnSpc>
              <a:spcPct val="90000"/>
            </a:lnSpc>
            <a:spcBef>
              <a:spcPct val="0"/>
            </a:spcBef>
            <a:spcAft>
              <a:spcPct val="15000"/>
            </a:spcAft>
            <a:buChar char="•"/>
          </a:pPr>
          <a:r>
            <a:rPr lang="en-AU" sz="900" kern="1200">
              <a:solidFill>
                <a:srgbClr val="000000">
                  <a:hueOff val="0"/>
                  <a:satOff val="0"/>
                  <a:lumOff val="0"/>
                  <a:alphaOff val="0"/>
                </a:srgbClr>
              </a:solidFill>
              <a:latin typeface="Arial" panose="020B0604020202020204"/>
              <a:ea typeface="+mn-ea"/>
              <a:cs typeface="+mn-cs"/>
            </a:rPr>
            <a:t>ACCC recently conducted an inquiry into the market for the supply of childcare services. The final report was released in January 2024, with interim reports in June and September 2023.</a:t>
          </a:r>
        </a:p>
        <a:p>
          <a:pPr marL="57150" lvl="1" indent="-57150" algn="l" defTabSz="400050">
            <a:lnSpc>
              <a:spcPct val="90000"/>
            </a:lnSpc>
            <a:spcBef>
              <a:spcPct val="0"/>
            </a:spcBef>
            <a:spcAft>
              <a:spcPct val="15000"/>
            </a:spcAft>
            <a:buChar char="•"/>
          </a:pPr>
          <a:r>
            <a:rPr lang="en-AU" sz="900" kern="1200" dirty="0">
              <a:solidFill>
                <a:srgbClr val="000000">
                  <a:hueOff val="0"/>
                  <a:satOff val="0"/>
                  <a:lumOff val="0"/>
                  <a:alphaOff val="0"/>
                </a:srgbClr>
              </a:solidFill>
              <a:latin typeface="Arial" panose="020B0604020202020204"/>
              <a:ea typeface="+mn-ea"/>
              <a:cs typeface="+mn-cs"/>
            </a:rPr>
            <a:t>PC are undertaking an inquiry in the ECEC sector and considers the cost and availability barriers that affect access to services and ways to support better outcomes for children and families. A draft report was released in November 2023 with a final report expected to be delivered to Government in June 2024. </a:t>
          </a:r>
          <a:endParaRPr lang="en-AU" sz="1000" kern="1200" dirty="0">
            <a:solidFill>
              <a:srgbClr val="000000">
                <a:hueOff val="0"/>
                <a:satOff val="0"/>
                <a:lumOff val="0"/>
                <a:alphaOff val="0"/>
              </a:srgbClr>
            </a:solidFill>
            <a:latin typeface="Arial" panose="020B0604020202020204"/>
            <a:ea typeface="+mn-ea"/>
            <a:cs typeface="+mn-cs"/>
          </a:endParaRPr>
        </a:p>
      </dsp:txBody>
      <dsp:txXfrm>
        <a:off x="0" y="7213170"/>
        <a:ext cx="5731510" cy="982799"/>
      </dsp:txXfrm>
    </dsp:sp>
    <dsp:sp modelId="{B5DCF5C6-4002-488C-B09B-D5EA981669B7}">
      <dsp:nvSpPr>
        <dsp:cNvPr id="0" name=""/>
        <dsp:cNvSpPr/>
      </dsp:nvSpPr>
      <dsp:spPr>
        <a:xfrm>
          <a:off x="286575" y="7095090"/>
          <a:ext cx="4012057" cy="236160"/>
        </a:xfrm>
        <a:prstGeom prst="roundRect">
          <a:avLst/>
        </a:prstGeom>
        <a:solidFill>
          <a:srgbClr val="7030A0"/>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1646" tIns="0" rIns="151646" bIns="0" numCol="1" spcCol="1270" anchor="ctr" anchorCtr="0">
          <a:noAutofit/>
        </a:bodyPr>
        <a:lstStyle/>
        <a:p>
          <a:pPr marL="0" lvl="0" indent="0" algn="l" defTabSz="466725">
            <a:lnSpc>
              <a:spcPct val="90000"/>
            </a:lnSpc>
            <a:spcBef>
              <a:spcPct val="0"/>
            </a:spcBef>
            <a:spcAft>
              <a:spcPct val="35000"/>
            </a:spcAft>
            <a:buNone/>
          </a:pPr>
          <a:r>
            <a:rPr lang="en-AU" sz="1050" b="1" kern="1200" dirty="0">
              <a:solidFill>
                <a:srgbClr val="FFFFFF"/>
              </a:solidFill>
              <a:latin typeface="Arial" panose="020B0604020202020204"/>
              <a:ea typeface="+mn-ea"/>
              <a:cs typeface="+mn-cs"/>
            </a:rPr>
            <a:t>ACCC and PC reports</a:t>
          </a:r>
          <a:r>
            <a:rPr lang="en-AU" sz="1050" b="1" kern="1200" baseline="30000" dirty="0">
              <a:solidFill>
                <a:srgbClr val="FFFFFF"/>
              </a:solidFill>
              <a:latin typeface="Arial" panose="020B0604020202020204"/>
              <a:ea typeface="+mn-ea"/>
              <a:cs typeface="+mn-cs"/>
            </a:rPr>
            <a:t>10,11</a:t>
          </a:r>
        </a:p>
      </dsp:txBody>
      <dsp:txXfrm>
        <a:off x="298103" y="7106618"/>
        <a:ext cx="3989001" cy="21310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124A24-9BD3-42C8-8615-05D87E913D7E}">
      <dsp:nvSpPr>
        <dsp:cNvPr id="0" name=""/>
        <dsp:cNvSpPr/>
      </dsp:nvSpPr>
      <dsp:spPr>
        <a:xfrm>
          <a:off x="2646" y="509287"/>
          <a:ext cx="1353608" cy="6682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6680" tIns="38100" rIns="106680" bIns="38100" numCol="1" spcCol="1270" anchor="ctr" anchorCtr="0">
          <a:noAutofit/>
        </a:bodyPr>
        <a:lstStyle/>
        <a:p>
          <a:pPr marL="0" lvl="0" indent="0" algn="r" defTabSz="666750">
            <a:lnSpc>
              <a:spcPct val="90000"/>
            </a:lnSpc>
            <a:spcBef>
              <a:spcPct val="0"/>
            </a:spcBef>
            <a:spcAft>
              <a:spcPct val="35000"/>
            </a:spcAft>
            <a:buNone/>
          </a:pPr>
          <a:r>
            <a:rPr lang="en-AU" sz="1500" b="1" kern="1200"/>
            <a:t>Current Working Conditions </a:t>
          </a:r>
          <a:endParaRPr lang="en-AU" sz="1500" kern="1200"/>
        </a:p>
      </dsp:txBody>
      <dsp:txXfrm>
        <a:off x="2646" y="509287"/>
        <a:ext cx="1353608" cy="668250"/>
      </dsp:txXfrm>
    </dsp:sp>
    <dsp:sp modelId="{58D45A4A-919B-4EE9-B6E9-BC273189F497}">
      <dsp:nvSpPr>
        <dsp:cNvPr id="0" name=""/>
        <dsp:cNvSpPr/>
      </dsp:nvSpPr>
      <dsp:spPr>
        <a:xfrm>
          <a:off x="1356254" y="196045"/>
          <a:ext cx="270721" cy="1294734"/>
        </a:xfrm>
        <a:prstGeom prst="leftBrace">
          <a:avLst>
            <a:gd name="adj1" fmla="val 35000"/>
            <a:gd name="adj2" fmla="val 50000"/>
          </a:avLst>
        </a:prstGeom>
        <a:noFill/>
        <a:ln w="12700" cap="flat" cmpd="sng" algn="ctr">
          <a:solidFill>
            <a:schemeClr val="accent4">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C1FF4A-9F47-451E-A385-0D98D6D79C95}">
      <dsp:nvSpPr>
        <dsp:cNvPr id="0" name=""/>
        <dsp:cNvSpPr/>
      </dsp:nvSpPr>
      <dsp:spPr>
        <a:xfrm>
          <a:off x="1735264" y="196045"/>
          <a:ext cx="3681813" cy="1294734"/>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114300" lvl="1" indent="-114300" algn="l" defTabSz="577850">
            <a:lnSpc>
              <a:spcPct val="90000"/>
            </a:lnSpc>
            <a:spcBef>
              <a:spcPct val="0"/>
            </a:spcBef>
            <a:spcAft>
              <a:spcPct val="15000"/>
            </a:spcAft>
            <a:buChar char="•"/>
          </a:pPr>
          <a:r>
            <a:rPr lang="en-AU" sz="1300" kern="1200"/>
            <a:t>Sick and annual leave – assumes 2 weeks of sick leave and 4 weeks of annual leave per year</a:t>
          </a:r>
          <a:br>
            <a:rPr lang="en-AU" sz="1300" kern="1200"/>
          </a:br>
          <a:r>
            <a:rPr lang="en-AU" sz="1050" kern="1200"/>
            <a:t>(Source: Children Services Awards)</a:t>
          </a:r>
        </a:p>
        <a:p>
          <a:pPr marL="114300" lvl="1" indent="-114300" algn="l" defTabSz="577850">
            <a:lnSpc>
              <a:spcPct val="90000"/>
            </a:lnSpc>
            <a:spcBef>
              <a:spcPct val="0"/>
            </a:spcBef>
            <a:spcAft>
              <a:spcPct val="15000"/>
            </a:spcAft>
            <a:buChar char="•"/>
          </a:pPr>
          <a:r>
            <a:rPr lang="en-AU" sz="1300" kern="1200"/>
            <a:t>Group size margin – 12%, based on analysis of NWC data on attendance for preschool aged children, relative to class sizes at ratio</a:t>
          </a:r>
        </a:p>
      </dsp:txBody>
      <dsp:txXfrm>
        <a:off x="1735264" y="196045"/>
        <a:ext cx="3681813" cy="1294734"/>
      </dsp:txXfrm>
    </dsp:sp>
    <dsp:sp modelId="{2552D437-3CF1-4C2C-9254-ECA499A1AA60}">
      <dsp:nvSpPr>
        <dsp:cNvPr id="0" name=""/>
        <dsp:cNvSpPr/>
      </dsp:nvSpPr>
      <dsp:spPr>
        <a:xfrm>
          <a:off x="2646" y="1711842"/>
          <a:ext cx="1353608" cy="6682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6680" tIns="38100" rIns="106680" bIns="38100" numCol="1" spcCol="1270" anchor="ctr" anchorCtr="0">
          <a:noAutofit/>
        </a:bodyPr>
        <a:lstStyle/>
        <a:p>
          <a:pPr marL="0" lvl="0" indent="0" algn="r" defTabSz="666750">
            <a:lnSpc>
              <a:spcPct val="90000"/>
            </a:lnSpc>
            <a:spcBef>
              <a:spcPct val="0"/>
            </a:spcBef>
            <a:spcAft>
              <a:spcPct val="35000"/>
            </a:spcAft>
            <a:buNone/>
          </a:pPr>
          <a:r>
            <a:rPr lang="en-AU" sz="1500" b="1" kern="1200"/>
            <a:t>Sustainable Working Conditions</a:t>
          </a:r>
          <a:endParaRPr lang="en-AU" sz="1500" kern="1200"/>
        </a:p>
      </dsp:txBody>
      <dsp:txXfrm>
        <a:off x="2646" y="1711842"/>
        <a:ext cx="1353608" cy="668250"/>
      </dsp:txXfrm>
    </dsp:sp>
    <dsp:sp modelId="{0DC33962-8496-441B-80AC-41BFF3C7968F}">
      <dsp:nvSpPr>
        <dsp:cNvPr id="0" name=""/>
        <dsp:cNvSpPr/>
      </dsp:nvSpPr>
      <dsp:spPr>
        <a:xfrm>
          <a:off x="1356254" y="1544779"/>
          <a:ext cx="270721" cy="1002375"/>
        </a:xfrm>
        <a:prstGeom prst="leftBrace">
          <a:avLst>
            <a:gd name="adj1" fmla="val 35000"/>
            <a:gd name="adj2" fmla="val 50000"/>
          </a:avLst>
        </a:prstGeom>
        <a:noFill/>
        <a:ln w="12700" cap="flat" cmpd="sng" algn="ctr">
          <a:solidFill>
            <a:schemeClr val="accent4">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F1BA88-383C-4221-870B-4C5B7661B8CB}">
      <dsp:nvSpPr>
        <dsp:cNvPr id="0" name=""/>
        <dsp:cNvSpPr/>
      </dsp:nvSpPr>
      <dsp:spPr>
        <a:xfrm>
          <a:off x="1735264" y="1544779"/>
          <a:ext cx="3681813" cy="1002375"/>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114300" lvl="1" indent="-114300" algn="l" defTabSz="577850">
            <a:lnSpc>
              <a:spcPct val="90000"/>
            </a:lnSpc>
            <a:spcBef>
              <a:spcPct val="0"/>
            </a:spcBef>
            <a:spcAft>
              <a:spcPct val="15000"/>
            </a:spcAft>
            <a:buChar char="•"/>
          </a:pPr>
          <a:r>
            <a:rPr lang="en-AU" sz="1300" kern="1200"/>
            <a:t>Professional development – assumes 2 days per year</a:t>
          </a:r>
        </a:p>
        <a:p>
          <a:pPr marL="114300" lvl="1" indent="-114300" algn="l" defTabSz="577850">
            <a:lnSpc>
              <a:spcPct val="90000"/>
            </a:lnSpc>
            <a:spcBef>
              <a:spcPct val="0"/>
            </a:spcBef>
            <a:spcAft>
              <a:spcPct val="15000"/>
            </a:spcAft>
            <a:buChar char="•"/>
          </a:pPr>
          <a:r>
            <a:rPr lang="en-AU" sz="1300" kern="1200"/>
            <a:t>Overtime – 8%, based on analysis of working hours for full-time ECEC workers (40 hours per week)</a:t>
          </a:r>
        </a:p>
      </dsp:txBody>
      <dsp:txXfrm>
        <a:off x="1735264" y="1544779"/>
        <a:ext cx="3681813" cy="1002375"/>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diagrams.loki3.com/BracketList">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JSA 100">
      <a:dk1>
        <a:srgbClr val="000000"/>
      </a:dk1>
      <a:lt1>
        <a:srgbClr val="FFFFFF"/>
      </a:lt1>
      <a:dk2>
        <a:srgbClr val="441170"/>
      </a:dk2>
      <a:lt2>
        <a:srgbClr val="D2DE5A"/>
      </a:lt2>
      <a:accent1>
        <a:srgbClr val="6929C4"/>
      </a:accent1>
      <a:accent2>
        <a:srgbClr val="005D5D"/>
      </a:accent2>
      <a:accent3>
        <a:srgbClr val="1192E8"/>
      </a:accent3>
      <a:accent4>
        <a:srgbClr val="9F1853"/>
      </a:accent4>
      <a:accent5>
        <a:srgbClr val="FA4D56"/>
      </a:accent5>
      <a:accent6>
        <a:srgbClr val="570408"/>
      </a:accent6>
      <a:hlink>
        <a:srgbClr val="215E9E"/>
      </a:hlink>
      <a:folHlink>
        <a:srgbClr val="00B4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JSA 100">
    <a:dk1>
      <a:srgbClr val="000000"/>
    </a:dk1>
    <a:lt1>
      <a:srgbClr val="FFFFFF"/>
    </a:lt1>
    <a:dk2>
      <a:srgbClr val="441170"/>
    </a:dk2>
    <a:lt2>
      <a:srgbClr val="D2DE5A"/>
    </a:lt2>
    <a:accent1>
      <a:srgbClr val="6929C4"/>
    </a:accent1>
    <a:accent2>
      <a:srgbClr val="005D5D"/>
    </a:accent2>
    <a:accent3>
      <a:srgbClr val="1192E8"/>
    </a:accent3>
    <a:accent4>
      <a:srgbClr val="9F1853"/>
    </a:accent4>
    <a:accent5>
      <a:srgbClr val="FA4D56"/>
    </a:accent5>
    <a:accent6>
      <a:srgbClr val="570408"/>
    </a:accent6>
    <a:hlink>
      <a:srgbClr val="215E9E"/>
    </a:hlink>
    <a:folHlink>
      <a:srgbClr val="00B4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JSA 100">
    <a:dk1>
      <a:srgbClr val="000000"/>
    </a:dk1>
    <a:lt1>
      <a:srgbClr val="FFFFFF"/>
    </a:lt1>
    <a:dk2>
      <a:srgbClr val="441170"/>
    </a:dk2>
    <a:lt2>
      <a:srgbClr val="D2DE5A"/>
    </a:lt2>
    <a:accent1>
      <a:srgbClr val="6929C4"/>
    </a:accent1>
    <a:accent2>
      <a:srgbClr val="005D5D"/>
    </a:accent2>
    <a:accent3>
      <a:srgbClr val="1192E8"/>
    </a:accent3>
    <a:accent4>
      <a:srgbClr val="9F1853"/>
    </a:accent4>
    <a:accent5>
      <a:srgbClr val="FA4D56"/>
    </a:accent5>
    <a:accent6>
      <a:srgbClr val="570408"/>
    </a:accent6>
    <a:hlink>
      <a:srgbClr val="215E9E"/>
    </a:hlink>
    <a:folHlink>
      <a:srgbClr val="00B4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New JSA purple fix">
    <a:dk1>
      <a:sysClr val="windowText" lastClr="000000"/>
    </a:dk1>
    <a:lt1>
      <a:sysClr val="window" lastClr="FFFFFF"/>
    </a:lt1>
    <a:dk2>
      <a:srgbClr val="4B0885"/>
    </a:dk2>
    <a:lt2>
      <a:srgbClr val="D2DE5A"/>
    </a:lt2>
    <a:accent1>
      <a:srgbClr val="6929C4"/>
    </a:accent1>
    <a:accent2>
      <a:srgbClr val="009D9A"/>
    </a:accent2>
    <a:accent3>
      <a:srgbClr val="012749"/>
    </a:accent3>
    <a:accent4>
      <a:srgbClr val="EE538B"/>
    </a:accent4>
    <a:accent5>
      <a:srgbClr val="1192E8"/>
    </a:accent5>
    <a:accent6>
      <a:srgbClr val="9F1853"/>
    </a:accent6>
    <a:hlink>
      <a:srgbClr val="013D74"/>
    </a:hlink>
    <a:folHlink>
      <a:srgbClr val="4B08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JSA 100">
    <a:dk1>
      <a:srgbClr val="000000"/>
    </a:dk1>
    <a:lt1>
      <a:srgbClr val="FFFFFF"/>
    </a:lt1>
    <a:dk2>
      <a:srgbClr val="441170"/>
    </a:dk2>
    <a:lt2>
      <a:srgbClr val="D2DE5A"/>
    </a:lt2>
    <a:accent1>
      <a:srgbClr val="6929C4"/>
    </a:accent1>
    <a:accent2>
      <a:srgbClr val="005D5D"/>
    </a:accent2>
    <a:accent3>
      <a:srgbClr val="1192E8"/>
    </a:accent3>
    <a:accent4>
      <a:srgbClr val="9F1853"/>
    </a:accent4>
    <a:accent5>
      <a:srgbClr val="FA4D56"/>
    </a:accent5>
    <a:accent6>
      <a:srgbClr val="570408"/>
    </a:accent6>
    <a:hlink>
      <a:srgbClr val="215E9E"/>
    </a:hlink>
    <a:folHlink>
      <a:srgbClr val="00B4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JSA 100">
    <a:dk1>
      <a:srgbClr val="000000"/>
    </a:dk1>
    <a:lt1>
      <a:srgbClr val="FFFFFF"/>
    </a:lt1>
    <a:dk2>
      <a:srgbClr val="441170"/>
    </a:dk2>
    <a:lt2>
      <a:srgbClr val="D2DE5A"/>
    </a:lt2>
    <a:accent1>
      <a:srgbClr val="6929C4"/>
    </a:accent1>
    <a:accent2>
      <a:srgbClr val="005D5D"/>
    </a:accent2>
    <a:accent3>
      <a:srgbClr val="1192E8"/>
    </a:accent3>
    <a:accent4>
      <a:srgbClr val="9F1853"/>
    </a:accent4>
    <a:accent5>
      <a:srgbClr val="FA4D56"/>
    </a:accent5>
    <a:accent6>
      <a:srgbClr val="570408"/>
    </a:accent6>
    <a:hlink>
      <a:srgbClr val="215E9E"/>
    </a:hlink>
    <a:folHlink>
      <a:srgbClr val="00B4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JSA 100">
    <a:dk1>
      <a:srgbClr val="000000"/>
    </a:dk1>
    <a:lt1>
      <a:srgbClr val="FFFFFF"/>
    </a:lt1>
    <a:dk2>
      <a:srgbClr val="441170"/>
    </a:dk2>
    <a:lt2>
      <a:srgbClr val="D2DE5A"/>
    </a:lt2>
    <a:accent1>
      <a:srgbClr val="6929C4"/>
    </a:accent1>
    <a:accent2>
      <a:srgbClr val="005D5D"/>
    </a:accent2>
    <a:accent3>
      <a:srgbClr val="1192E8"/>
    </a:accent3>
    <a:accent4>
      <a:srgbClr val="9F1853"/>
    </a:accent4>
    <a:accent5>
      <a:srgbClr val="FA4D56"/>
    </a:accent5>
    <a:accent6>
      <a:srgbClr val="570408"/>
    </a:accent6>
    <a:hlink>
      <a:srgbClr val="215E9E"/>
    </a:hlink>
    <a:folHlink>
      <a:srgbClr val="00B4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JSA 100">
    <a:dk1>
      <a:srgbClr val="000000"/>
    </a:dk1>
    <a:lt1>
      <a:srgbClr val="FFFFFF"/>
    </a:lt1>
    <a:dk2>
      <a:srgbClr val="441170"/>
    </a:dk2>
    <a:lt2>
      <a:srgbClr val="D2DE5A"/>
    </a:lt2>
    <a:accent1>
      <a:srgbClr val="6929C4"/>
    </a:accent1>
    <a:accent2>
      <a:srgbClr val="005D5D"/>
    </a:accent2>
    <a:accent3>
      <a:srgbClr val="1192E8"/>
    </a:accent3>
    <a:accent4>
      <a:srgbClr val="9F1853"/>
    </a:accent4>
    <a:accent5>
      <a:srgbClr val="FA4D56"/>
    </a:accent5>
    <a:accent6>
      <a:srgbClr val="570408"/>
    </a:accent6>
    <a:hlink>
      <a:srgbClr val="215E9E"/>
    </a:hlink>
    <a:folHlink>
      <a:srgbClr val="00B4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JSA 100">
    <a:dk1>
      <a:srgbClr val="000000"/>
    </a:dk1>
    <a:lt1>
      <a:srgbClr val="FFFFFF"/>
    </a:lt1>
    <a:dk2>
      <a:srgbClr val="441170"/>
    </a:dk2>
    <a:lt2>
      <a:srgbClr val="D2DE5A"/>
    </a:lt2>
    <a:accent1>
      <a:srgbClr val="6929C4"/>
    </a:accent1>
    <a:accent2>
      <a:srgbClr val="005D5D"/>
    </a:accent2>
    <a:accent3>
      <a:srgbClr val="1192E8"/>
    </a:accent3>
    <a:accent4>
      <a:srgbClr val="9F1853"/>
    </a:accent4>
    <a:accent5>
      <a:srgbClr val="FA4D56"/>
    </a:accent5>
    <a:accent6>
      <a:srgbClr val="570408"/>
    </a:accent6>
    <a:hlink>
      <a:srgbClr val="215E9E"/>
    </a:hlink>
    <a:folHlink>
      <a:srgbClr val="00B4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New JSA purple fix">
    <a:dk1>
      <a:sysClr val="windowText" lastClr="000000"/>
    </a:dk1>
    <a:lt1>
      <a:sysClr val="window" lastClr="FFFFFF"/>
    </a:lt1>
    <a:dk2>
      <a:srgbClr val="4B0885"/>
    </a:dk2>
    <a:lt2>
      <a:srgbClr val="D2DE5A"/>
    </a:lt2>
    <a:accent1>
      <a:srgbClr val="6929C4"/>
    </a:accent1>
    <a:accent2>
      <a:srgbClr val="009D9A"/>
    </a:accent2>
    <a:accent3>
      <a:srgbClr val="012749"/>
    </a:accent3>
    <a:accent4>
      <a:srgbClr val="EE538B"/>
    </a:accent4>
    <a:accent5>
      <a:srgbClr val="1192E8"/>
    </a:accent5>
    <a:accent6>
      <a:srgbClr val="9F1853"/>
    </a:accent6>
    <a:hlink>
      <a:srgbClr val="013D74"/>
    </a:hlink>
    <a:folHlink>
      <a:srgbClr val="4B08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JSA 100">
    <a:dk1>
      <a:srgbClr val="000000"/>
    </a:dk1>
    <a:lt1>
      <a:srgbClr val="FFFFFF"/>
    </a:lt1>
    <a:dk2>
      <a:srgbClr val="441170"/>
    </a:dk2>
    <a:lt2>
      <a:srgbClr val="D2DE5A"/>
    </a:lt2>
    <a:accent1>
      <a:srgbClr val="6929C4"/>
    </a:accent1>
    <a:accent2>
      <a:srgbClr val="005D5D"/>
    </a:accent2>
    <a:accent3>
      <a:srgbClr val="1192E8"/>
    </a:accent3>
    <a:accent4>
      <a:srgbClr val="9F1853"/>
    </a:accent4>
    <a:accent5>
      <a:srgbClr val="FA4D56"/>
    </a:accent5>
    <a:accent6>
      <a:srgbClr val="570408"/>
    </a:accent6>
    <a:hlink>
      <a:srgbClr val="215E9E"/>
    </a:hlink>
    <a:folHlink>
      <a:srgbClr val="00B4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JSA 100">
    <a:dk1>
      <a:srgbClr val="000000"/>
    </a:dk1>
    <a:lt1>
      <a:srgbClr val="FFFFFF"/>
    </a:lt1>
    <a:dk2>
      <a:srgbClr val="441170"/>
    </a:dk2>
    <a:lt2>
      <a:srgbClr val="D2DE5A"/>
    </a:lt2>
    <a:accent1>
      <a:srgbClr val="6929C4"/>
    </a:accent1>
    <a:accent2>
      <a:srgbClr val="005D5D"/>
    </a:accent2>
    <a:accent3>
      <a:srgbClr val="1192E8"/>
    </a:accent3>
    <a:accent4>
      <a:srgbClr val="9F1853"/>
    </a:accent4>
    <a:accent5>
      <a:srgbClr val="FA4D56"/>
    </a:accent5>
    <a:accent6>
      <a:srgbClr val="570408"/>
    </a:accent6>
    <a:hlink>
      <a:srgbClr val="215E9E"/>
    </a:hlink>
    <a:folHlink>
      <a:srgbClr val="00B4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JSA 100">
    <a:dk1>
      <a:srgbClr val="000000"/>
    </a:dk1>
    <a:lt1>
      <a:srgbClr val="FFFFFF"/>
    </a:lt1>
    <a:dk2>
      <a:srgbClr val="441170"/>
    </a:dk2>
    <a:lt2>
      <a:srgbClr val="D2DE5A"/>
    </a:lt2>
    <a:accent1>
      <a:srgbClr val="6929C4"/>
    </a:accent1>
    <a:accent2>
      <a:srgbClr val="005D5D"/>
    </a:accent2>
    <a:accent3>
      <a:srgbClr val="1192E8"/>
    </a:accent3>
    <a:accent4>
      <a:srgbClr val="9F1853"/>
    </a:accent4>
    <a:accent5>
      <a:srgbClr val="FA4D56"/>
    </a:accent5>
    <a:accent6>
      <a:srgbClr val="570408"/>
    </a:accent6>
    <a:hlink>
      <a:srgbClr val="215E9E"/>
    </a:hlink>
    <a:folHlink>
      <a:srgbClr val="00B4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JSA 100">
    <a:dk1>
      <a:srgbClr val="000000"/>
    </a:dk1>
    <a:lt1>
      <a:srgbClr val="FFFFFF"/>
    </a:lt1>
    <a:dk2>
      <a:srgbClr val="441170"/>
    </a:dk2>
    <a:lt2>
      <a:srgbClr val="D2DE5A"/>
    </a:lt2>
    <a:accent1>
      <a:srgbClr val="6929C4"/>
    </a:accent1>
    <a:accent2>
      <a:srgbClr val="005D5D"/>
    </a:accent2>
    <a:accent3>
      <a:srgbClr val="1192E8"/>
    </a:accent3>
    <a:accent4>
      <a:srgbClr val="9F1853"/>
    </a:accent4>
    <a:accent5>
      <a:srgbClr val="FA4D56"/>
    </a:accent5>
    <a:accent6>
      <a:srgbClr val="570408"/>
    </a:accent6>
    <a:hlink>
      <a:srgbClr val="215E9E"/>
    </a:hlink>
    <a:folHlink>
      <a:srgbClr val="00B4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JSA 100">
    <a:dk1>
      <a:srgbClr val="000000"/>
    </a:dk1>
    <a:lt1>
      <a:srgbClr val="FFFFFF"/>
    </a:lt1>
    <a:dk2>
      <a:srgbClr val="441170"/>
    </a:dk2>
    <a:lt2>
      <a:srgbClr val="D2DE5A"/>
    </a:lt2>
    <a:accent1>
      <a:srgbClr val="6929C4"/>
    </a:accent1>
    <a:accent2>
      <a:srgbClr val="005D5D"/>
    </a:accent2>
    <a:accent3>
      <a:srgbClr val="1192E8"/>
    </a:accent3>
    <a:accent4>
      <a:srgbClr val="9F1853"/>
    </a:accent4>
    <a:accent5>
      <a:srgbClr val="FA4D56"/>
    </a:accent5>
    <a:accent6>
      <a:srgbClr val="570408"/>
    </a:accent6>
    <a:hlink>
      <a:srgbClr val="215E9E"/>
    </a:hlink>
    <a:folHlink>
      <a:srgbClr val="00B4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JSA 100">
    <a:dk1>
      <a:srgbClr val="000000"/>
    </a:dk1>
    <a:lt1>
      <a:srgbClr val="FFFFFF"/>
    </a:lt1>
    <a:dk2>
      <a:srgbClr val="441170"/>
    </a:dk2>
    <a:lt2>
      <a:srgbClr val="D2DE5A"/>
    </a:lt2>
    <a:accent1>
      <a:srgbClr val="6929C4"/>
    </a:accent1>
    <a:accent2>
      <a:srgbClr val="005D5D"/>
    </a:accent2>
    <a:accent3>
      <a:srgbClr val="1192E8"/>
    </a:accent3>
    <a:accent4>
      <a:srgbClr val="9F1853"/>
    </a:accent4>
    <a:accent5>
      <a:srgbClr val="FA4D56"/>
    </a:accent5>
    <a:accent6>
      <a:srgbClr val="570408"/>
    </a:accent6>
    <a:hlink>
      <a:srgbClr val="215E9E"/>
    </a:hlink>
    <a:folHlink>
      <a:srgbClr val="00B4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144F8308199740885EEB9ACBD3F96F" ma:contentTypeVersion="14" ma:contentTypeDescription="Create a new document." ma:contentTypeScope="" ma:versionID="e9372d2d4ac7c653f5a7d97e7f98749b">
  <xsd:schema xmlns:xsd="http://www.w3.org/2001/XMLSchema" xmlns:xs="http://www.w3.org/2001/XMLSchema" xmlns:p="http://schemas.microsoft.com/office/2006/metadata/properties" xmlns:ns2="574bdbcb-6485-45f2-a4b5-19f5fe8d9456" xmlns:ns3="e03ae2bb-584e-48bf-b2f5-44d42683fa49" targetNamespace="http://schemas.microsoft.com/office/2006/metadata/properties" ma:root="true" ma:fieldsID="348835c54757139abe77977f4d212651" ns2:_="" ns3:_="">
    <xsd:import namespace="574bdbcb-6485-45f2-a4b5-19f5fe8d9456"/>
    <xsd:import namespace="e03ae2bb-584e-48bf-b2f5-44d42683fa4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bdbcb-6485-45f2-a4b5-19f5fe8d94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3ae2bb-584e-48bf-b2f5-44d42683fa4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f9a51be-55f3-47ee-9ba8-79942915c884}" ma:internalName="TaxCatchAll" ma:showField="CatchAllData" ma:web="e03ae2bb-584e-48bf-b2f5-44d42683fa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03ae2bb-584e-48bf-b2f5-44d42683fa49" xsi:nil="true"/>
    <lcf76f155ced4ddcb4097134ff3c332f xmlns="574bdbcb-6485-45f2-a4b5-19f5fe8d945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07CAF-EBB6-4F10-9684-137717420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4bdbcb-6485-45f2-a4b5-19f5fe8d9456"/>
    <ds:schemaRef ds:uri="e03ae2bb-584e-48bf-b2f5-44d42683fa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03CE3F-F641-47FC-954C-134C79BE4100}">
  <ds:schemaRefs>
    <ds:schemaRef ds:uri="http://schemas.microsoft.com/sharepoint/v3/contenttype/forms"/>
  </ds:schemaRefs>
</ds:datastoreItem>
</file>

<file path=customXml/itemProps3.xml><?xml version="1.0" encoding="utf-8"?>
<ds:datastoreItem xmlns:ds="http://schemas.openxmlformats.org/officeDocument/2006/customXml" ds:itemID="{C2702918-58CA-46EE-8942-FF18D08DC692}">
  <ds:schemaRefs>
    <ds:schemaRef ds:uri="http://schemas.microsoft.com/office/2006/metadata/properties"/>
    <ds:schemaRef ds:uri="http://www.w3.org/XML/1998/namespace"/>
    <ds:schemaRef ds:uri="http://purl.org/dc/dcmityp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03ae2bb-584e-48bf-b2f5-44d42683fa49"/>
    <ds:schemaRef ds:uri="574bdbcb-6485-45f2-a4b5-19f5fe8d9456"/>
    <ds:schemaRef ds:uri="http://purl.org/dc/elements/1.1/"/>
  </ds:schemaRefs>
</ds:datastoreItem>
</file>

<file path=customXml/itemProps4.xml><?xml version="1.0" encoding="utf-8"?>
<ds:datastoreItem xmlns:ds="http://schemas.openxmlformats.org/officeDocument/2006/customXml" ds:itemID="{829F5E02-D8F2-48C9-BC49-6E05594CA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206</Pages>
  <Words>66129</Words>
  <Characters>376937</Characters>
  <Application>Microsoft Office Word</Application>
  <DocSecurity>0</DocSecurity>
  <Lines>3141</Lines>
  <Paragraphs>884</Paragraphs>
  <ScaleCrop>false</ScaleCrop>
  <HeadingPairs>
    <vt:vector size="2" baseType="variant">
      <vt:variant>
        <vt:lpstr>Title</vt:lpstr>
      </vt:variant>
      <vt:variant>
        <vt:i4>1</vt:i4>
      </vt:variant>
    </vt:vector>
  </HeadingPairs>
  <TitlesOfParts>
    <vt:vector size="1" baseType="lpstr">
      <vt:lpstr>Early Childhood Education and Care Workforce Capacity Study</vt:lpstr>
    </vt:vector>
  </TitlesOfParts>
  <Company/>
  <LinksUpToDate>false</LinksUpToDate>
  <CharactersWithSpaces>442182</CharactersWithSpaces>
  <SharedDoc>false</SharedDoc>
  <HLinks>
    <vt:vector size="84" baseType="variant">
      <vt:variant>
        <vt:i4>7274560</vt:i4>
      </vt:variant>
      <vt:variant>
        <vt:i4>66</vt:i4>
      </vt:variant>
      <vt:variant>
        <vt:i4>0</vt:i4>
      </vt:variant>
      <vt:variant>
        <vt:i4>5</vt:i4>
      </vt:variant>
      <vt:variant>
        <vt:lpwstr>https://www.closingthegap.gov.au/sites/default/files/2021-12/sector-strengthening-plan-early-childhood-care-development_0.pdf</vt:lpwstr>
      </vt:variant>
      <vt:variant>
        <vt:lpwstr/>
      </vt:variant>
      <vt:variant>
        <vt:i4>1900594</vt:i4>
      </vt:variant>
      <vt:variant>
        <vt:i4>51</vt:i4>
      </vt:variant>
      <vt:variant>
        <vt:i4>0</vt:i4>
      </vt:variant>
      <vt:variant>
        <vt:i4>5</vt:i4>
      </vt:variant>
      <vt:variant>
        <vt:lpwstr/>
      </vt:variant>
      <vt:variant>
        <vt:lpwstr>_Toc168389360</vt:lpwstr>
      </vt:variant>
      <vt:variant>
        <vt:i4>1376307</vt:i4>
      </vt:variant>
      <vt:variant>
        <vt:i4>44</vt:i4>
      </vt:variant>
      <vt:variant>
        <vt:i4>0</vt:i4>
      </vt:variant>
      <vt:variant>
        <vt:i4>5</vt:i4>
      </vt:variant>
      <vt:variant>
        <vt:lpwstr/>
      </vt:variant>
      <vt:variant>
        <vt:lpwstr>_Toc170462433</vt:lpwstr>
      </vt:variant>
      <vt:variant>
        <vt:i4>1376307</vt:i4>
      </vt:variant>
      <vt:variant>
        <vt:i4>38</vt:i4>
      </vt:variant>
      <vt:variant>
        <vt:i4>0</vt:i4>
      </vt:variant>
      <vt:variant>
        <vt:i4>5</vt:i4>
      </vt:variant>
      <vt:variant>
        <vt:lpwstr/>
      </vt:variant>
      <vt:variant>
        <vt:lpwstr>_Toc170462432</vt:lpwstr>
      </vt:variant>
      <vt:variant>
        <vt:i4>1376307</vt:i4>
      </vt:variant>
      <vt:variant>
        <vt:i4>32</vt:i4>
      </vt:variant>
      <vt:variant>
        <vt:i4>0</vt:i4>
      </vt:variant>
      <vt:variant>
        <vt:i4>5</vt:i4>
      </vt:variant>
      <vt:variant>
        <vt:lpwstr/>
      </vt:variant>
      <vt:variant>
        <vt:lpwstr>_Toc170462431</vt:lpwstr>
      </vt:variant>
      <vt:variant>
        <vt:i4>1376307</vt:i4>
      </vt:variant>
      <vt:variant>
        <vt:i4>26</vt:i4>
      </vt:variant>
      <vt:variant>
        <vt:i4>0</vt:i4>
      </vt:variant>
      <vt:variant>
        <vt:i4>5</vt:i4>
      </vt:variant>
      <vt:variant>
        <vt:lpwstr/>
      </vt:variant>
      <vt:variant>
        <vt:lpwstr>_Toc170462430</vt:lpwstr>
      </vt:variant>
      <vt:variant>
        <vt:i4>1310771</vt:i4>
      </vt:variant>
      <vt:variant>
        <vt:i4>20</vt:i4>
      </vt:variant>
      <vt:variant>
        <vt:i4>0</vt:i4>
      </vt:variant>
      <vt:variant>
        <vt:i4>5</vt:i4>
      </vt:variant>
      <vt:variant>
        <vt:lpwstr/>
      </vt:variant>
      <vt:variant>
        <vt:lpwstr>_Toc170462429</vt:lpwstr>
      </vt:variant>
      <vt:variant>
        <vt:i4>1310771</vt:i4>
      </vt:variant>
      <vt:variant>
        <vt:i4>14</vt:i4>
      </vt:variant>
      <vt:variant>
        <vt:i4>0</vt:i4>
      </vt:variant>
      <vt:variant>
        <vt:i4>5</vt:i4>
      </vt:variant>
      <vt:variant>
        <vt:lpwstr/>
      </vt:variant>
      <vt:variant>
        <vt:lpwstr>_Toc170462428</vt:lpwstr>
      </vt:variant>
      <vt:variant>
        <vt:i4>1310771</vt:i4>
      </vt:variant>
      <vt:variant>
        <vt:i4>8</vt:i4>
      </vt:variant>
      <vt:variant>
        <vt:i4>0</vt:i4>
      </vt:variant>
      <vt:variant>
        <vt:i4>5</vt:i4>
      </vt:variant>
      <vt:variant>
        <vt:lpwstr/>
      </vt:variant>
      <vt:variant>
        <vt:lpwstr>_Toc170462427</vt:lpwstr>
      </vt:variant>
      <vt:variant>
        <vt:i4>1310771</vt:i4>
      </vt:variant>
      <vt:variant>
        <vt:i4>2</vt:i4>
      </vt:variant>
      <vt:variant>
        <vt:i4>0</vt:i4>
      </vt:variant>
      <vt:variant>
        <vt:i4>5</vt:i4>
      </vt:variant>
      <vt:variant>
        <vt:lpwstr/>
      </vt:variant>
      <vt:variant>
        <vt:lpwstr>_Toc170462426</vt:lpwstr>
      </vt:variant>
      <vt:variant>
        <vt:i4>1507395</vt:i4>
      </vt:variant>
      <vt:variant>
        <vt:i4>9</vt:i4>
      </vt:variant>
      <vt:variant>
        <vt:i4>0</vt:i4>
      </vt:variant>
      <vt:variant>
        <vt:i4>5</vt:i4>
      </vt:variant>
      <vt:variant>
        <vt:lpwstr>https://www.yourcareer.gov.au/resources/case-studies/krista-lynch</vt:lpwstr>
      </vt:variant>
      <vt:variant>
        <vt:lpwstr/>
      </vt:variant>
      <vt:variant>
        <vt:i4>7209000</vt:i4>
      </vt:variant>
      <vt:variant>
        <vt:i4>6</vt:i4>
      </vt:variant>
      <vt:variant>
        <vt:i4>0</vt:i4>
      </vt:variant>
      <vt:variant>
        <vt:i4>5</vt:i4>
      </vt:variant>
      <vt:variant>
        <vt:lpwstr>https://myfuture.edu.au/career-stories/details/early-childhood-educator-celebrates-the-small-steps</vt:lpwstr>
      </vt:variant>
      <vt:variant>
        <vt:lpwstr/>
      </vt:variant>
      <vt:variant>
        <vt:i4>1114139</vt:i4>
      </vt:variant>
      <vt:variant>
        <vt:i4>3</vt:i4>
      </vt:variant>
      <vt:variant>
        <vt:i4>0</vt:i4>
      </vt:variant>
      <vt:variant>
        <vt:i4>5</vt:i4>
      </vt:variant>
      <vt:variant>
        <vt:lpwstr>https://myfuture.edu.au/career-stories/details/early-childhood-educator-addresses-her-future</vt:lpwstr>
      </vt:variant>
      <vt:variant>
        <vt:lpwstr/>
      </vt:variant>
      <vt:variant>
        <vt:i4>3932223</vt:i4>
      </vt:variant>
      <vt:variant>
        <vt:i4>0</vt:i4>
      </vt:variant>
      <vt:variant>
        <vt:i4>0</vt:i4>
      </vt:variant>
      <vt:variant>
        <vt:i4>5</vt:i4>
      </vt:variant>
      <vt:variant>
        <vt:lpwstr>https://www.education.gov.au/early-childhood/case-studies/case-study-jennys-early-learning-centres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Childhood Education and Care Workforce Capacity Study</dc:title>
  <dc:subject/>
  <dc:creator>Jobs and Skills Australia</dc:creator>
  <cp:keywords/>
  <dc:description/>
  <cp:lastModifiedBy>RICHARDSON,Tim</cp:lastModifiedBy>
  <cp:revision>13</cp:revision>
  <cp:lastPrinted>2024-09-01T22:55:00Z</cp:lastPrinted>
  <dcterms:created xsi:type="dcterms:W3CDTF">2024-08-22T01:48:00Z</dcterms:created>
  <dcterms:modified xsi:type="dcterms:W3CDTF">2024-09-01T22:59:00Z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2024-05-06T05:27:40Z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366a0b58-3f0a-477f-adff-af1bcae9243c</vt:lpwstr>
  </property>
  <property fmtid="{D5CDD505-2E9C-101B-9397-08002B2CF9AE}" pid="8" name="MSIP_Label_79d889eb-932f-4752-8739-64d25806ef64_ContentBits">
    <vt:lpwstr>0</vt:lpwstr>
  </property>
  <property fmtid="{D5CDD505-2E9C-101B-9397-08002B2CF9AE}" pid="9" name="ContentTypeId">
    <vt:lpwstr>0x01010071144F8308199740885EEB9ACBD3F96F</vt:lpwstr>
  </property>
  <property fmtid="{D5CDD505-2E9C-101B-9397-08002B2CF9AE}" pid="10" name="MediaServiceImageTags">
    <vt:lpwstr/>
  </property>
</Properties>
</file>