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C52F1" w14:textId="74225F03" w:rsidR="003E0B70" w:rsidRPr="00B11937" w:rsidRDefault="00997F6C" w:rsidP="00B11937">
      <w:bookmarkStart w:id="0" w:name="_Toc118443202"/>
      <w:bookmarkStart w:id="1" w:name="_Toc119418020"/>
      <w:r w:rsidRPr="00997F6C">
        <w:rPr>
          <w:noProof/>
        </w:rPr>
        <w:drawing>
          <wp:inline distT="0" distB="0" distL="0" distR="0" wp14:anchorId="202EBB92" wp14:editId="4A57C2D7">
            <wp:extent cx="3294580" cy="715784"/>
            <wp:effectExtent l="0" t="0" r="1270" b="8255"/>
            <wp:docPr id="717505474" name="Picture 717505474" descr="Australian Government Jobs and Skil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05474" name="Picture 1" descr="Australian Government Jobs and Skills Australia"/>
                    <pic:cNvPicPr/>
                  </pic:nvPicPr>
                  <pic:blipFill>
                    <a:blip r:embed="rId11"/>
                    <a:stretch>
                      <a:fillRect/>
                    </a:stretch>
                  </pic:blipFill>
                  <pic:spPr>
                    <a:xfrm>
                      <a:off x="0" y="0"/>
                      <a:ext cx="3524334" cy="765701"/>
                    </a:xfrm>
                    <a:prstGeom prst="rect">
                      <a:avLst/>
                    </a:prstGeom>
                  </pic:spPr>
                </pic:pic>
              </a:graphicData>
            </a:graphic>
          </wp:inline>
        </w:drawing>
      </w:r>
      <w:r w:rsidR="00B32201" w:rsidRPr="00B11937">
        <w:rPr>
          <w:noProof/>
        </w:rPr>
        <w:drawing>
          <wp:anchor distT="0" distB="0" distL="114300" distR="114300" simplePos="0" relativeHeight="251658241" behindDoc="1" locked="0" layoutInCell="1" allowOverlap="1" wp14:anchorId="41B9CE17" wp14:editId="067184C3">
            <wp:simplePos x="0" y="0"/>
            <wp:positionH relativeFrom="page">
              <wp:align>center</wp:align>
            </wp:positionH>
            <wp:positionV relativeFrom="page">
              <wp:align>top</wp:align>
            </wp:positionV>
            <wp:extent cx="7560000" cy="10695600"/>
            <wp:effectExtent l="0" t="0" r="3175" b="0"/>
            <wp:wrapNone/>
            <wp:docPr id="911560792" name="Picture 9115607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60792" name="Picture 7">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p w14:paraId="65CE7F50" w14:textId="642416F2" w:rsidR="004F2369" w:rsidRPr="00AB2FCB" w:rsidRDefault="00000000" w:rsidP="00233A75">
      <w:pPr>
        <w:pStyle w:val="Title"/>
        <w:rPr>
          <w:rFonts w:ascii="Arial" w:hAnsi="Arial" w:cs="Arial"/>
        </w:rPr>
      </w:pPr>
      <w:sdt>
        <w:sdtPr>
          <w:rPr>
            <w:rFonts w:ascii="Arial" w:hAnsi="Arial" w:cs="Arial"/>
          </w:rPr>
          <w:alias w:val="Title"/>
          <w:tag w:val=""/>
          <w:id w:val="1539707718"/>
          <w:placeholder>
            <w:docPart w:val="C17B4F57AD954C1F85BEEC00DDF3DE3E"/>
          </w:placeholder>
          <w:dataBinding w:prefixMappings="xmlns:ns0='http://purl.org/dc/elements/1.1/' xmlns:ns1='http://schemas.openxmlformats.org/package/2006/metadata/core-properties' " w:xpath="/ns1:coreProperties[1]/ns0:title[1]" w:storeItemID="{6C3C8BC8-F283-45AE-878A-BAB7291924A1}"/>
          <w:text/>
        </w:sdtPr>
        <w:sdtContent>
          <w:r w:rsidR="00694646">
            <w:rPr>
              <w:rFonts w:ascii="Arial" w:hAnsi="Arial" w:cs="Arial"/>
            </w:rPr>
            <w:t xml:space="preserve">Occupation Shortage </w:t>
          </w:r>
          <w:r w:rsidR="00944A76">
            <w:rPr>
              <w:rFonts w:ascii="Arial" w:hAnsi="Arial" w:cs="Arial"/>
            </w:rPr>
            <w:t>Report</w:t>
          </w:r>
        </w:sdtContent>
      </w:sdt>
    </w:p>
    <w:p w14:paraId="3DF70E82" w14:textId="57DAE5F2" w:rsidR="004F2369" w:rsidRPr="00AB2FCB" w:rsidRDefault="000816E3" w:rsidP="00233A75">
      <w:pPr>
        <w:pStyle w:val="Subtitle"/>
        <w:rPr>
          <w:rFonts w:ascii="Arial" w:hAnsi="Arial" w:cs="Arial"/>
        </w:rPr>
      </w:pPr>
      <w:r>
        <w:rPr>
          <w:rFonts w:ascii="Arial" w:hAnsi="Arial" w:cs="Arial"/>
        </w:rPr>
        <w:t>June</w:t>
      </w:r>
      <w:r w:rsidR="001512D3">
        <w:rPr>
          <w:rFonts w:ascii="Arial" w:hAnsi="Arial" w:cs="Arial"/>
        </w:rPr>
        <w:t xml:space="preserve"> quarter 2024 </w:t>
      </w:r>
    </w:p>
    <w:p w14:paraId="49F46106" w14:textId="45B199CD" w:rsidR="004F2369" w:rsidRPr="00233A75" w:rsidRDefault="009B52C6" w:rsidP="004F2369">
      <w:pPr>
        <w:spacing w:before="460"/>
      </w:pPr>
      <w:r>
        <w:rPr>
          <w:b/>
          <w:bCs/>
          <w:color w:val="FFFFFF" w:themeColor="background1"/>
          <w:spacing w:val="-10"/>
          <w:sz w:val="28"/>
          <w:szCs w:val="28"/>
        </w:rPr>
        <w:t>August</w:t>
      </w:r>
      <w:r w:rsidR="001512D3">
        <w:rPr>
          <w:b/>
          <w:bCs/>
          <w:color w:val="FFFFFF" w:themeColor="background1"/>
          <w:spacing w:val="-10"/>
          <w:sz w:val="28"/>
          <w:szCs w:val="28"/>
        </w:rPr>
        <w:t xml:space="preserve"> </w:t>
      </w:r>
      <w:r w:rsidR="004F2369" w:rsidRPr="004F2369">
        <w:rPr>
          <w:b/>
          <w:bCs/>
          <w:color w:val="FFFFFF" w:themeColor="background1"/>
          <w:spacing w:val="-10"/>
          <w:sz w:val="28"/>
          <w:szCs w:val="28"/>
        </w:rPr>
        <w:t>202</w:t>
      </w:r>
      <w:r w:rsidR="00B1604C">
        <w:rPr>
          <w:b/>
          <w:bCs/>
          <w:color w:val="FFFFFF" w:themeColor="background1"/>
          <w:spacing w:val="-10"/>
          <w:sz w:val="28"/>
          <w:szCs w:val="28"/>
        </w:rPr>
        <w:t>4</w:t>
      </w:r>
      <w:r w:rsidR="004F2369" w:rsidRPr="00233A75">
        <w:br w:type="page"/>
      </w:r>
    </w:p>
    <w:p w14:paraId="2C9651D4" w14:textId="77777777" w:rsidR="00B11937" w:rsidRDefault="00B11937" w:rsidP="00E47E48">
      <w:pPr>
        <w:pStyle w:val="TOCHeading"/>
      </w:pPr>
      <w:r>
        <w:lastRenderedPageBreak/>
        <w:t>Contents</w:t>
      </w:r>
    </w:p>
    <w:p w14:paraId="531C4F29" w14:textId="6C597131" w:rsidR="004A07AF" w:rsidRDefault="14248E42">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r>
        <w:rPr>
          <w:b w:val="0"/>
          <w:color w:val="auto"/>
        </w:rPr>
        <w:fldChar w:fldCharType="begin"/>
      </w:r>
      <w:r w:rsidR="00B11937">
        <w:instrText>TOC \o "1-3" \h \z \u</w:instrText>
      </w:r>
      <w:r>
        <w:rPr>
          <w:b w:val="0"/>
          <w:color w:val="auto"/>
        </w:rPr>
        <w:fldChar w:fldCharType="separate"/>
      </w:r>
      <w:hyperlink w:anchor="_Toc173755008" w:history="1">
        <w:r w:rsidR="004A07AF" w:rsidRPr="00850CD9">
          <w:rPr>
            <w:rStyle w:val="Hyperlink"/>
            <w:noProof/>
          </w:rPr>
          <w:t>About the Occupation Shortage Report</w:t>
        </w:r>
        <w:r w:rsidR="004A07AF">
          <w:rPr>
            <w:noProof/>
            <w:webHidden/>
          </w:rPr>
          <w:tab/>
        </w:r>
        <w:r w:rsidR="004A07AF">
          <w:rPr>
            <w:noProof/>
            <w:webHidden/>
          </w:rPr>
          <w:fldChar w:fldCharType="begin"/>
        </w:r>
        <w:r w:rsidR="004A07AF">
          <w:rPr>
            <w:noProof/>
            <w:webHidden/>
          </w:rPr>
          <w:instrText xml:space="preserve"> PAGEREF _Toc173755008 \h </w:instrText>
        </w:r>
        <w:r w:rsidR="004A07AF">
          <w:rPr>
            <w:noProof/>
            <w:webHidden/>
          </w:rPr>
        </w:r>
        <w:r w:rsidR="004A07AF">
          <w:rPr>
            <w:noProof/>
            <w:webHidden/>
          </w:rPr>
          <w:fldChar w:fldCharType="separate"/>
        </w:r>
        <w:r w:rsidR="00245DC9">
          <w:rPr>
            <w:noProof/>
            <w:webHidden/>
          </w:rPr>
          <w:t>2</w:t>
        </w:r>
        <w:r w:rsidR="004A07AF">
          <w:rPr>
            <w:noProof/>
            <w:webHidden/>
          </w:rPr>
          <w:fldChar w:fldCharType="end"/>
        </w:r>
      </w:hyperlink>
    </w:p>
    <w:p w14:paraId="0015C18C" w14:textId="20649B23" w:rsidR="004A07AF" w:rsidRDefault="00000000">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3755009" w:history="1">
        <w:r w:rsidR="004A07AF" w:rsidRPr="00850CD9">
          <w:rPr>
            <w:rStyle w:val="Hyperlink"/>
            <w:noProof/>
          </w:rPr>
          <w:t>National results</w:t>
        </w:r>
        <w:r w:rsidR="004A07AF">
          <w:rPr>
            <w:noProof/>
            <w:webHidden/>
          </w:rPr>
          <w:tab/>
        </w:r>
        <w:r w:rsidR="004A07AF">
          <w:rPr>
            <w:noProof/>
            <w:webHidden/>
          </w:rPr>
          <w:fldChar w:fldCharType="begin"/>
        </w:r>
        <w:r w:rsidR="004A07AF">
          <w:rPr>
            <w:noProof/>
            <w:webHidden/>
          </w:rPr>
          <w:instrText xml:space="preserve"> PAGEREF _Toc173755009 \h </w:instrText>
        </w:r>
        <w:r w:rsidR="004A07AF">
          <w:rPr>
            <w:noProof/>
            <w:webHidden/>
          </w:rPr>
        </w:r>
        <w:r w:rsidR="004A07AF">
          <w:rPr>
            <w:noProof/>
            <w:webHidden/>
          </w:rPr>
          <w:fldChar w:fldCharType="separate"/>
        </w:r>
        <w:r w:rsidR="00245DC9">
          <w:rPr>
            <w:noProof/>
            <w:webHidden/>
          </w:rPr>
          <w:t>3</w:t>
        </w:r>
        <w:r w:rsidR="004A07AF">
          <w:rPr>
            <w:noProof/>
            <w:webHidden/>
          </w:rPr>
          <w:fldChar w:fldCharType="end"/>
        </w:r>
      </w:hyperlink>
    </w:p>
    <w:p w14:paraId="5DAECFAE" w14:textId="79E84D4F" w:rsidR="004A07AF" w:rsidRDefault="00000000">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3755010" w:history="1">
        <w:r w:rsidR="004A07AF" w:rsidRPr="00850CD9">
          <w:rPr>
            <w:rStyle w:val="Hyperlink"/>
            <w:noProof/>
          </w:rPr>
          <w:t>Fill rates continue their gradual rise</w:t>
        </w:r>
        <w:r w:rsidR="004A07AF">
          <w:rPr>
            <w:noProof/>
            <w:webHidden/>
          </w:rPr>
          <w:tab/>
        </w:r>
        <w:r w:rsidR="004A07AF">
          <w:rPr>
            <w:noProof/>
            <w:webHidden/>
          </w:rPr>
          <w:fldChar w:fldCharType="begin"/>
        </w:r>
        <w:r w:rsidR="004A07AF">
          <w:rPr>
            <w:noProof/>
            <w:webHidden/>
          </w:rPr>
          <w:instrText xml:space="preserve"> PAGEREF _Toc173755010 \h </w:instrText>
        </w:r>
        <w:r w:rsidR="004A07AF">
          <w:rPr>
            <w:noProof/>
            <w:webHidden/>
          </w:rPr>
        </w:r>
        <w:r w:rsidR="004A07AF">
          <w:rPr>
            <w:noProof/>
            <w:webHidden/>
          </w:rPr>
          <w:fldChar w:fldCharType="separate"/>
        </w:r>
        <w:r w:rsidR="00245DC9">
          <w:rPr>
            <w:noProof/>
            <w:webHidden/>
          </w:rPr>
          <w:t>3</w:t>
        </w:r>
        <w:r w:rsidR="004A07AF">
          <w:rPr>
            <w:noProof/>
            <w:webHidden/>
          </w:rPr>
          <w:fldChar w:fldCharType="end"/>
        </w:r>
      </w:hyperlink>
    </w:p>
    <w:p w14:paraId="16622C6B" w14:textId="4B624341" w:rsidR="004A07AF" w:rsidRDefault="00000000">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3755011" w:history="1">
        <w:r w:rsidR="004A07AF" w:rsidRPr="00850CD9">
          <w:rPr>
            <w:rStyle w:val="Hyperlink"/>
            <w:noProof/>
          </w:rPr>
          <w:t>Results by region</w:t>
        </w:r>
        <w:r w:rsidR="004A07AF">
          <w:rPr>
            <w:noProof/>
            <w:webHidden/>
          </w:rPr>
          <w:tab/>
        </w:r>
        <w:r w:rsidR="004A07AF">
          <w:rPr>
            <w:noProof/>
            <w:webHidden/>
          </w:rPr>
          <w:fldChar w:fldCharType="begin"/>
        </w:r>
        <w:r w:rsidR="004A07AF">
          <w:rPr>
            <w:noProof/>
            <w:webHidden/>
          </w:rPr>
          <w:instrText xml:space="preserve"> PAGEREF _Toc173755011 \h </w:instrText>
        </w:r>
        <w:r w:rsidR="004A07AF">
          <w:rPr>
            <w:noProof/>
            <w:webHidden/>
          </w:rPr>
        </w:r>
        <w:r w:rsidR="004A07AF">
          <w:rPr>
            <w:noProof/>
            <w:webHidden/>
          </w:rPr>
          <w:fldChar w:fldCharType="separate"/>
        </w:r>
        <w:r w:rsidR="00245DC9">
          <w:rPr>
            <w:noProof/>
            <w:webHidden/>
          </w:rPr>
          <w:t>6</w:t>
        </w:r>
        <w:r w:rsidR="004A07AF">
          <w:rPr>
            <w:noProof/>
            <w:webHidden/>
          </w:rPr>
          <w:fldChar w:fldCharType="end"/>
        </w:r>
      </w:hyperlink>
    </w:p>
    <w:p w14:paraId="4F4EBCB1" w14:textId="06BC39E9" w:rsidR="004A07AF" w:rsidRDefault="00000000">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3755012" w:history="1">
        <w:r w:rsidR="004A07AF" w:rsidRPr="00850CD9">
          <w:rPr>
            <w:rStyle w:val="Hyperlink"/>
            <w:noProof/>
          </w:rPr>
          <w:t>Metropolitan area</w:t>
        </w:r>
        <w:r w:rsidR="004A07AF">
          <w:rPr>
            <w:noProof/>
            <w:webHidden/>
          </w:rPr>
          <w:tab/>
        </w:r>
        <w:r w:rsidR="004A07AF">
          <w:rPr>
            <w:noProof/>
            <w:webHidden/>
          </w:rPr>
          <w:fldChar w:fldCharType="begin"/>
        </w:r>
        <w:r w:rsidR="004A07AF">
          <w:rPr>
            <w:noProof/>
            <w:webHidden/>
          </w:rPr>
          <w:instrText xml:space="preserve"> PAGEREF _Toc173755012 \h </w:instrText>
        </w:r>
        <w:r w:rsidR="004A07AF">
          <w:rPr>
            <w:noProof/>
            <w:webHidden/>
          </w:rPr>
        </w:r>
        <w:r w:rsidR="004A07AF">
          <w:rPr>
            <w:noProof/>
            <w:webHidden/>
          </w:rPr>
          <w:fldChar w:fldCharType="separate"/>
        </w:r>
        <w:r w:rsidR="00245DC9">
          <w:rPr>
            <w:noProof/>
            <w:webHidden/>
          </w:rPr>
          <w:t>6</w:t>
        </w:r>
        <w:r w:rsidR="004A07AF">
          <w:rPr>
            <w:noProof/>
            <w:webHidden/>
          </w:rPr>
          <w:fldChar w:fldCharType="end"/>
        </w:r>
      </w:hyperlink>
    </w:p>
    <w:p w14:paraId="1AA9B881" w14:textId="52650CCE" w:rsidR="004A07AF" w:rsidRDefault="00000000">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3755013" w:history="1">
        <w:r w:rsidR="004A07AF" w:rsidRPr="00850CD9">
          <w:rPr>
            <w:rStyle w:val="Hyperlink"/>
            <w:noProof/>
          </w:rPr>
          <w:t>Regional area</w:t>
        </w:r>
        <w:r w:rsidR="004A07AF">
          <w:rPr>
            <w:noProof/>
            <w:webHidden/>
          </w:rPr>
          <w:tab/>
        </w:r>
        <w:r w:rsidR="004A07AF">
          <w:rPr>
            <w:noProof/>
            <w:webHidden/>
          </w:rPr>
          <w:fldChar w:fldCharType="begin"/>
        </w:r>
        <w:r w:rsidR="004A07AF">
          <w:rPr>
            <w:noProof/>
            <w:webHidden/>
          </w:rPr>
          <w:instrText xml:space="preserve"> PAGEREF _Toc173755013 \h </w:instrText>
        </w:r>
        <w:r w:rsidR="004A07AF">
          <w:rPr>
            <w:noProof/>
            <w:webHidden/>
          </w:rPr>
        </w:r>
        <w:r w:rsidR="004A07AF">
          <w:rPr>
            <w:noProof/>
            <w:webHidden/>
          </w:rPr>
          <w:fldChar w:fldCharType="separate"/>
        </w:r>
        <w:r w:rsidR="00245DC9">
          <w:rPr>
            <w:noProof/>
            <w:webHidden/>
          </w:rPr>
          <w:t>7</w:t>
        </w:r>
        <w:r w:rsidR="004A07AF">
          <w:rPr>
            <w:noProof/>
            <w:webHidden/>
          </w:rPr>
          <w:fldChar w:fldCharType="end"/>
        </w:r>
      </w:hyperlink>
    </w:p>
    <w:p w14:paraId="7C17FD68" w14:textId="3884EBC2" w:rsidR="004A07AF" w:rsidRDefault="00000000">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3755014" w:history="1">
        <w:r w:rsidR="004A07AF" w:rsidRPr="00850CD9">
          <w:rPr>
            <w:rStyle w:val="Hyperlink"/>
            <w:noProof/>
          </w:rPr>
          <w:t>Results by skill level</w:t>
        </w:r>
        <w:r w:rsidR="004A07AF">
          <w:rPr>
            <w:noProof/>
            <w:webHidden/>
          </w:rPr>
          <w:tab/>
        </w:r>
        <w:r w:rsidR="004A07AF">
          <w:rPr>
            <w:noProof/>
            <w:webHidden/>
          </w:rPr>
          <w:fldChar w:fldCharType="begin"/>
        </w:r>
        <w:r w:rsidR="004A07AF">
          <w:rPr>
            <w:noProof/>
            <w:webHidden/>
          </w:rPr>
          <w:instrText xml:space="preserve"> PAGEREF _Toc173755014 \h </w:instrText>
        </w:r>
        <w:r w:rsidR="004A07AF">
          <w:rPr>
            <w:noProof/>
            <w:webHidden/>
          </w:rPr>
        </w:r>
        <w:r w:rsidR="004A07AF">
          <w:rPr>
            <w:noProof/>
            <w:webHidden/>
          </w:rPr>
          <w:fldChar w:fldCharType="separate"/>
        </w:r>
        <w:r w:rsidR="00245DC9">
          <w:rPr>
            <w:noProof/>
            <w:webHidden/>
          </w:rPr>
          <w:t>9</w:t>
        </w:r>
        <w:r w:rsidR="004A07AF">
          <w:rPr>
            <w:noProof/>
            <w:webHidden/>
          </w:rPr>
          <w:fldChar w:fldCharType="end"/>
        </w:r>
      </w:hyperlink>
    </w:p>
    <w:p w14:paraId="3F618919" w14:textId="09AFEEAB" w:rsidR="004A07AF" w:rsidRDefault="00000000">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3755015" w:history="1">
        <w:r w:rsidR="004A07AF" w:rsidRPr="00850CD9">
          <w:rPr>
            <w:rStyle w:val="Hyperlink"/>
            <w:noProof/>
          </w:rPr>
          <w:t>Results by major group</w:t>
        </w:r>
        <w:r w:rsidR="004A07AF">
          <w:rPr>
            <w:noProof/>
            <w:webHidden/>
          </w:rPr>
          <w:tab/>
        </w:r>
        <w:r w:rsidR="004A07AF">
          <w:rPr>
            <w:noProof/>
            <w:webHidden/>
          </w:rPr>
          <w:fldChar w:fldCharType="begin"/>
        </w:r>
        <w:r w:rsidR="004A07AF">
          <w:rPr>
            <w:noProof/>
            <w:webHidden/>
          </w:rPr>
          <w:instrText xml:space="preserve"> PAGEREF _Toc173755015 \h </w:instrText>
        </w:r>
        <w:r w:rsidR="004A07AF">
          <w:rPr>
            <w:noProof/>
            <w:webHidden/>
          </w:rPr>
        </w:r>
        <w:r w:rsidR="004A07AF">
          <w:rPr>
            <w:noProof/>
            <w:webHidden/>
          </w:rPr>
          <w:fldChar w:fldCharType="separate"/>
        </w:r>
        <w:r w:rsidR="00245DC9">
          <w:rPr>
            <w:noProof/>
            <w:webHidden/>
          </w:rPr>
          <w:t>11</w:t>
        </w:r>
        <w:r w:rsidR="004A07AF">
          <w:rPr>
            <w:noProof/>
            <w:webHidden/>
          </w:rPr>
          <w:fldChar w:fldCharType="end"/>
        </w:r>
      </w:hyperlink>
    </w:p>
    <w:p w14:paraId="1BD569EA" w14:textId="3AF724B3" w:rsidR="004A07AF" w:rsidRDefault="00000000">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3755016" w:history="1">
        <w:r w:rsidR="004A07AF" w:rsidRPr="00850CD9">
          <w:rPr>
            <w:rStyle w:val="Hyperlink"/>
            <w:noProof/>
          </w:rPr>
          <w:t>Spotlight analysis: examining fill rates and hourly earnings of occupations</w:t>
        </w:r>
        <w:r w:rsidR="004A07AF">
          <w:rPr>
            <w:noProof/>
            <w:webHidden/>
          </w:rPr>
          <w:tab/>
        </w:r>
        <w:r w:rsidR="004A07AF">
          <w:rPr>
            <w:noProof/>
            <w:webHidden/>
          </w:rPr>
          <w:fldChar w:fldCharType="begin"/>
        </w:r>
        <w:r w:rsidR="004A07AF">
          <w:rPr>
            <w:noProof/>
            <w:webHidden/>
          </w:rPr>
          <w:instrText xml:space="preserve"> PAGEREF _Toc173755016 \h </w:instrText>
        </w:r>
        <w:r w:rsidR="004A07AF">
          <w:rPr>
            <w:noProof/>
            <w:webHidden/>
          </w:rPr>
        </w:r>
        <w:r w:rsidR="004A07AF">
          <w:rPr>
            <w:noProof/>
            <w:webHidden/>
          </w:rPr>
          <w:fldChar w:fldCharType="separate"/>
        </w:r>
        <w:r w:rsidR="00245DC9">
          <w:rPr>
            <w:noProof/>
            <w:webHidden/>
          </w:rPr>
          <w:t>14</w:t>
        </w:r>
        <w:r w:rsidR="004A07AF">
          <w:rPr>
            <w:noProof/>
            <w:webHidden/>
          </w:rPr>
          <w:fldChar w:fldCharType="end"/>
        </w:r>
      </w:hyperlink>
    </w:p>
    <w:p w14:paraId="654CE3B6" w14:textId="7877250F" w:rsidR="004A07AF" w:rsidRDefault="00000000">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3755017" w:history="1">
        <w:r w:rsidR="004A07AF" w:rsidRPr="00850CD9">
          <w:rPr>
            <w:rStyle w:val="Hyperlink"/>
            <w:noProof/>
          </w:rPr>
          <w:t>Patterns of fill rates and wages among major groups</w:t>
        </w:r>
        <w:r w:rsidR="004A07AF">
          <w:rPr>
            <w:noProof/>
            <w:webHidden/>
          </w:rPr>
          <w:tab/>
        </w:r>
        <w:r w:rsidR="004A07AF">
          <w:rPr>
            <w:noProof/>
            <w:webHidden/>
          </w:rPr>
          <w:fldChar w:fldCharType="begin"/>
        </w:r>
        <w:r w:rsidR="004A07AF">
          <w:rPr>
            <w:noProof/>
            <w:webHidden/>
          </w:rPr>
          <w:instrText xml:space="preserve"> PAGEREF _Toc173755017 \h </w:instrText>
        </w:r>
        <w:r w:rsidR="004A07AF">
          <w:rPr>
            <w:noProof/>
            <w:webHidden/>
          </w:rPr>
        </w:r>
        <w:r w:rsidR="004A07AF">
          <w:rPr>
            <w:noProof/>
            <w:webHidden/>
          </w:rPr>
          <w:fldChar w:fldCharType="separate"/>
        </w:r>
        <w:r w:rsidR="00245DC9">
          <w:rPr>
            <w:noProof/>
            <w:webHidden/>
          </w:rPr>
          <w:t>14</w:t>
        </w:r>
        <w:r w:rsidR="004A07AF">
          <w:rPr>
            <w:noProof/>
            <w:webHidden/>
          </w:rPr>
          <w:fldChar w:fldCharType="end"/>
        </w:r>
      </w:hyperlink>
    </w:p>
    <w:p w14:paraId="51C8B5AD" w14:textId="5B3FB8E5" w:rsidR="004A07AF" w:rsidRDefault="00000000">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3755018" w:history="1">
        <w:r w:rsidR="004A07AF" w:rsidRPr="00850CD9">
          <w:rPr>
            <w:rStyle w:val="Hyperlink"/>
            <w:noProof/>
          </w:rPr>
          <w:t>Explanatory notes</w:t>
        </w:r>
        <w:r w:rsidR="004A07AF">
          <w:rPr>
            <w:noProof/>
            <w:webHidden/>
          </w:rPr>
          <w:tab/>
        </w:r>
        <w:r w:rsidR="004A07AF">
          <w:rPr>
            <w:noProof/>
            <w:webHidden/>
          </w:rPr>
          <w:fldChar w:fldCharType="begin"/>
        </w:r>
        <w:r w:rsidR="004A07AF">
          <w:rPr>
            <w:noProof/>
            <w:webHidden/>
          </w:rPr>
          <w:instrText xml:space="preserve"> PAGEREF _Toc173755018 \h </w:instrText>
        </w:r>
        <w:r w:rsidR="004A07AF">
          <w:rPr>
            <w:noProof/>
            <w:webHidden/>
          </w:rPr>
        </w:r>
        <w:r w:rsidR="004A07AF">
          <w:rPr>
            <w:noProof/>
            <w:webHidden/>
          </w:rPr>
          <w:fldChar w:fldCharType="separate"/>
        </w:r>
        <w:r w:rsidR="00245DC9">
          <w:rPr>
            <w:noProof/>
            <w:webHidden/>
          </w:rPr>
          <w:t>18</w:t>
        </w:r>
        <w:r w:rsidR="004A07AF">
          <w:rPr>
            <w:noProof/>
            <w:webHidden/>
          </w:rPr>
          <w:fldChar w:fldCharType="end"/>
        </w:r>
      </w:hyperlink>
    </w:p>
    <w:p w14:paraId="1BEE91A8" w14:textId="750D2915" w:rsidR="004A07AF" w:rsidRDefault="00000000">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3755019" w:history="1">
        <w:r w:rsidR="004A07AF" w:rsidRPr="00850CD9">
          <w:rPr>
            <w:rStyle w:val="Hyperlink"/>
            <w:noProof/>
          </w:rPr>
          <w:t>Definitions of metrics</w:t>
        </w:r>
        <w:r w:rsidR="004A07AF">
          <w:rPr>
            <w:noProof/>
            <w:webHidden/>
          </w:rPr>
          <w:tab/>
        </w:r>
        <w:r w:rsidR="004A07AF">
          <w:rPr>
            <w:noProof/>
            <w:webHidden/>
          </w:rPr>
          <w:fldChar w:fldCharType="begin"/>
        </w:r>
        <w:r w:rsidR="004A07AF">
          <w:rPr>
            <w:noProof/>
            <w:webHidden/>
          </w:rPr>
          <w:instrText xml:space="preserve"> PAGEREF _Toc173755019 \h </w:instrText>
        </w:r>
        <w:r w:rsidR="004A07AF">
          <w:rPr>
            <w:noProof/>
            <w:webHidden/>
          </w:rPr>
        </w:r>
        <w:r w:rsidR="004A07AF">
          <w:rPr>
            <w:noProof/>
            <w:webHidden/>
          </w:rPr>
          <w:fldChar w:fldCharType="separate"/>
        </w:r>
        <w:r w:rsidR="00245DC9">
          <w:rPr>
            <w:noProof/>
            <w:webHidden/>
          </w:rPr>
          <w:t>18</w:t>
        </w:r>
        <w:r w:rsidR="004A07AF">
          <w:rPr>
            <w:noProof/>
            <w:webHidden/>
          </w:rPr>
          <w:fldChar w:fldCharType="end"/>
        </w:r>
      </w:hyperlink>
    </w:p>
    <w:p w14:paraId="78BACB18" w14:textId="2A568B69" w:rsidR="14248E42" w:rsidRDefault="14248E42" w:rsidP="007174CA">
      <w:pPr>
        <w:pStyle w:val="TOC1"/>
        <w:tabs>
          <w:tab w:val="right" w:leader="dot" w:pos="9015"/>
        </w:tabs>
      </w:pPr>
      <w:r>
        <w:fldChar w:fldCharType="end"/>
      </w:r>
    </w:p>
    <w:p w14:paraId="2832C9E3" w14:textId="5EC8E8E0" w:rsidR="00B11937" w:rsidRPr="00B11937" w:rsidRDefault="00B11937" w:rsidP="006F14E0">
      <w:pPr>
        <w:spacing w:after="160" w:line="259" w:lineRule="auto"/>
      </w:pPr>
      <w:r>
        <w:br w:type="page"/>
      </w:r>
    </w:p>
    <w:p w14:paraId="175EC940" w14:textId="43022DC5" w:rsidR="00AC0669" w:rsidRPr="00031B05" w:rsidRDefault="2BD10CF9" w:rsidP="00031B05">
      <w:pPr>
        <w:pStyle w:val="Heading1"/>
        <w:rPr>
          <w:rFonts w:eastAsiaTheme="minorEastAsia" w:cstheme="minorBidi"/>
          <w:b w:val="0"/>
          <w:sz w:val="22"/>
          <w:szCs w:val="22"/>
        </w:rPr>
      </w:pPr>
      <w:bookmarkStart w:id="2" w:name="_Toc173755008"/>
      <w:r w:rsidRPr="00031B05">
        <w:lastRenderedPageBreak/>
        <w:t xml:space="preserve">About the </w:t>
      </w:r>
      <w:r w:rsidR="00694646">
        <w:t xml:space="preserve">Occupation </w:t>
      </w:r>
      <w:r w:rsidRPr="00031B05">
        <w:t xml:space="preserve">Shortage </w:t>
      </w:r>
      <w:r w:rsidR="00467C53">
        <w:t>Report</w:t>
      </w:r>
      <w:bookmarkEnd w:id="2"/>
    </w:p>
    <w:p w14:paraId="4E82DE6B" w14:textId="4DAC448C" w:rsidR="001D4065" w:rsidRDefault="001D4065" w:rsidP="001D4065">
      <w:r w:rsidRPr="001D4065">
        <w:t xml:space="preserve">The </w:t>
      </w:r>
      <w:r w:rsidR="00694646">
        <w:t>Occupation</w:t>
      </w:r>
      <w:r w:rsidRPr="001D4065">
        <w:t xml:space="preserve"> Shortage report offers analysis on occupations that may be in shortage or are experiencing shortage pressures. The insights are based on the percentage of advertised vacancies filled by occupation</w:t>
      </w:r>
      <w:r w:rsidR="00D7096E">
        <w:t xml:space="preserve"> (fill rate)</w:t>
      </w:r>
      <w:r w:rsidRPr="001D4065">
        <w:t xml:space="preserve">, </w:t>
      </w:r>
      <w:r w:rsidR="00762367">
        <w:t xml:space="preserve">which is </w:t>
      </w:r>
      <w:r w:rsidRPr="001D4065">
        <w:t xml:space="preserve">drawn from </w:t>
      </w:r>
      <w:r w:rsidR="000D73CD">
        <w:t xml:space="preserve">the </w:t>
      </w:r>
      <w:r w:rsidRPr="001D4065">
        <w:t xml:space="preserve">Jobs and Skills Australia Survey of Employers who have Recently Advertised (SERA). </w:t>
      </w:r>
      <w:r w:rsidR="00B33B36">
        <w:t xml:space="preserve">Some </w:t>
      </w:r>
      <w:r w:rsidRPr="001D4065">
        <w:t xml:space="preserve">background on the fill rate </w:t>
      </w:r>
      <w:r w:rsidR="00CC73B2">
        <w:t>and</w:t>
      </w:r>
      <w:r w:rsidR="00A955A2">
        <w:t xml:space="preserve"> </w:t>
      </w:r>
      <w:r w:rsidRPr="001D4065">
        <w:t xml:space="preserve">other metrics used in the report and their definitions are provided in the </w:t>
      </w:r>
      <w:hyperlink w:anchor="_Explanatory_Notes">
        <w:r w:rsidR="0025449E">
          <w:rPr>
            <w:rStyle w:val="Hyperlink"/>
          </w:rPr>
          <w:t>e</w:t>
        </w:r>
        <w:r w:rsidR="309514A7" w:rsidRPr="350DAEBA">
          <w:rPr>
            <w:rStyle w:val="Hyperlink"/>
          </w:rPr>
          <w:t xml:space="preserve">xplanatory </w:t>
        </w:r>
        <w:r w:rsidR="0025449E">
          <w:rPr>
            <w:rStyle w:val="Hyperlink"/>
          </w:rPr>
          <w:t>n</w:t>
        </w:r>
        <w:r w:rsidR="309514A7" w:rsidRPr="350DAEBA">
          <w:rPr>
            <w:rStyle w:val="Hyperlink"/>
          </w:rPr>
          <w:t>otes</w:t>
        </w:r>
      </w:hyperlink>
      <w:r w:rsidR="516245E8">
        <w:t xml:space="preserve"> section</w:t>
      </w:r>
      <w:r w:rsidR="309514A7">
        <w:t>.</w:t>
      </w:r>
    </w:p>
    <w:p w14:paraId="3EA85B06" w14:textId="16533370" w:rsidR="00DD5885" w:rsidRDefault="00DD5885" w:rsidP="00DD5885">
      <w:pPr>
        <w:pStyle w:val="Caption"/>
      </w:pPr>
      <w:r>
        <w:t xml:space="preserve">Box </w:t>
      </w:r>
      <w:r>
        <w:fldChar w:fldCharType="begin"/>
      </w:r>
      <w:r>
        <w:instrText xml:space="preserve"> SEQ Box \* ARABIC </w:instrText>
      </w:r>
      <w:r>
        <w:fldChar w:fldCharType="separate"/>
      </w:r>
      <w:r w:rsidR="00245DC9">
        <w:rPr>
          <w:noProof/>
        </w:rPr>
        <w:t>1</w:t>
      </w:r>
      <w:r>
        <w:fldChar w:fldCharType="end"/>
      </w:r>
      <w:r>
        <w:t xml:space="preserve">: </w:t>
      </w:r>
      <w:r w:rsidRPr="00D65AC9">
        <w:t xml:space="preserve">Jobs and Skills Australia’s </w:t>
      </w:r>
      <w:r>
        <w:t>occupation</w:t>
      </w:r>
      <w:r w:rsidRPr="00D65AC9">
        <w:t xml:space="preserve"> shortage definition</w:t>
      </w:r>
    </w:p>
    <w:tbl>
      <w:tblPr>
        <w:tblStyle w:val="TableGrid"/>
        <w:tblW w:w="0" w:type="auto"/>
        <w:tblInd w:w="135" w:type="dxa"/>
        <w:tblLayout w:type="fixed"/>
        <w:tblLook w:val="04A0" w:firstRow="1" w:lastRow="0" w:firstColumn="1" w:lastColumn="0" w:noHBand="0" w:noVBand="1"/>
      </w:tblPr>
      <w:tblGrid>
        <w:gridCol w:w="9015"/>
      </w:tblGrid>
      <w:tr w:rsidR="350DAEBA" w14:paraId="06ECF876" w14:textId="77777777" w:rsidTr="350DAEBA">
        <w:trPr>
          <w:trHeight w:val="300"/>
        </w:trPr>
        <w:tc>
          <w:tcPr>
            <w:tcW w:w="9015" w:type="dxa"/>
            <w:tcBorders>
              <w:top w:val="nil"/>
              <w:left w:val="double" w:sz="4" w:space="0" w:color="009D9A" w:themeColor="accent2"/>
              <w:bottom w:val="nil"/>
              <w:right w:val="nil"/>
            </w:tcBorders>
            <w:shd w:val="clear" w:color="auto" w:fill="F2F2F2" w:themeFill="background1" w:themeFillShade="F2"/>
            <w:tcMar>
              <w:top w:w="397" w:type="dxa"/>
              <w:left w:w="397" w:type="dxa"/>
              <w:bottom w:w="397" w:type="dxa"/>
              <w:right w:w="397" w:type="dxa"/>
            </w:tcMar>
          </w:tcPr>
          <w:p w14:paraId="487D9053" w14:textId="3D2EEB7C" w:rsidR="350DAEBA" w:rsidRDefault="350DAEBA" w:rsidP="350DAEBA">
            <w:pPr>
              <w:spacing w:before="120" w:after="240"/>
            </w:pPr>
            <w:r w:rsidRPr="350DAEBA">
              <w:rPr>
                <w:rFonts w:eastAsia="Arial" w:cs="Arial"/>
                <w:color w:val="000000" w:themeColor="text1"/>
              </w:rPr>
              <w:t>An occupation is in shortage when employers are unable to fill or have considerable difficulty filling vacancies for an occupation or cannot meet significant specialised skill needs within that occupation – at current levels of remuneration and conditions of employment, and in reasonably accessible locations.</w:t>
            </w:r>
          </w:p>
          <w:p w14:paraId="7A404FE1" w14:textId="025E9A5A" w:rsidR="350DAEBA" w:rsidRDefault="350DAEBA" w:rsidP="350DAEBA">
            <w:pPr>
              <w:spacing w:before="120" w:after="240"/>
              <w:rPr>
                <w:rFonts w:eastAsia="Arial" w:cs="Arial"/>
                <w:color w:val="000000" w:themeColor="text1"/>
              </w:rPr>
            </w:pPr>
            <w:r w:rsidRPr="350DAEBA">
              <w:rPr>
                <w:rFonts w:eastAsia="Arial" w:cs="Arial"/>
                <w:color w:val="000000" w:themeColor="text1"/>
              </w:rPr>
              <w:t>Based on this definition, the fill rate is the key proxy measure of shortages. This metric has a simple intuition: if the fill rate is high, the likelihood of an occupation being in shortage or having high shortage pressures is low. In contrast, if the fill rate is low, the opposite is likely to be true</w:t>
            </w:r>
            <w:r w:rsidR="00E94AD8" w:rsidRPr="350DAEBA">
              <w:rPr>
                <w:rFonts w:eastAsia="Arial" w:cs="Arial"/>
                <w:color w:val="000000" w:themeColor="text1"/>
              </w:rPr>
              <w:t xml:space="preserve">. </w:t>
            </w:r>
          </w:p>
          <w:p w14:paraId="2405F862" w14:textId="3E3F75A5" w:rsidR="0043432D" w:rsidRDefault="0043432D" w:rsidP="350DAEBA">
            <w:pPr>
              <w:spacing w:before="120" w:after="240"/>
            </w:pPr>
            <w:r>
              <w:rPr>
                <w:noProof/>
              </w:rPr>
              <mc:AlternateContent>
                <mc:Choice Requires="wpg">
                  <w:drawing>
                    <wp:anchor distT="0" distB="0" distL="114300" distR="114300" simplePos="0" relativeHeight="251658240" behindDoc="0" locked="0" layoutInCell="1" allowOverlap="1" wp14:anchorId="23911575" wp14:editId="6DEC3D2D">
                      <wp:simplePos x="0" y="0"/>
                      <wp:positionH relativeFrom="column">
                        <wp:posOffset>1094740</wp:posOffset>
                      </wp:positionH>
                      <wp:positionV relativeFrom="paragraph">
                        <wp:posOffset>219456</wp:posOffset>
                      </wp:positionV>
                      <wp:extent cx="3402819" cy="2240280"/>
                      <wp:effectExtent l="0" t="0" r="7620" b="7620"/>
                      <wp:wrapNone/>
                      <wp:docPr id="1080656169" name="Group 1" descr="This diagram depicts that if a fill rate for an occupation is high, then the occupation has a higher probability of a 'No shortage' rating; whereas if it is low, it has a higher probability of a 'Shortage' rating."/>
                      <wp:cNvGraphicFramePr/>
                      <a:graphic xmlns:a="http://schemas.openxmlformats.org/drawingml/2006/main">
                        <a:graphicData uri="http://schemas.microsoft.com/office/word/2010/wordprocessingGroup">
                          <wpg:wgp>
                            <wpg:cNvGrpSpPr/>
                            <wpg:grpSpPr>
                              <a:xfrm>
                                <a:off x="0" y="0"/>
                                <a:ext cx="3402819" cy="2240280"/>
                                <a:chOff x="0" y="0"/>
                                <a:chExt cx="3402819" cy="2240280"/>
                              </a:xfrm>
                            </wpg:grpSpPr>
                            <wpg:grpSp>
                              <wpg:cNvPr id="33" name="Group 32">
                                <a:extLst>
                                  <a:ext uri="{FF2B5EF4-FFF2-40B4-BE49-F238E27FC236}">
                                    <a16:creationId xmlns:a16="http://schemas.microsoft.com/office/drawing/2014/main" id="{B97AE826-0C2F-5C09-3AAF-68F178ED9C08}"/>
                                  </a:ext>
                                </a:extLst>
                              </wpg:cNvPr>
                              <wpg:cNvGrpSpPr/>
                              <wpg:grpSpPr>
                                <a:xfrm>
                                  <a:off x="1410189" y="0"/>
                                  <a:ext cx="1992630" cy="2240280"/>
                                  <a:chOff x="0" y="0"/>
                                  <a:chExt cx="1992723" cy="2240868"/>
                                </a:xfrm>
                              </wpg:grpSpPr>
                              <wps:wsp>
                                <wps:cNvPr id="1256410548" name="Left Brace 1256410548">
                                  <a:extLst>
                                    <a:ext uri="{FF2B5EF4-FFF2-40B4-BE49-F238E27FC236}">
                                      <a16:creationId xmlns:a16="http://schemas.microsoft.com/office/drawing/2014/main" id="{F1A68C4C-37E7-04D5-FB61-CF328657CBEB}"/>
                                    </a:ext>
                                  </a:extLst>
                                </wps:cNvPr>
                                <wps:cNvSpPr/>
                                <wps:spPr>
                                  <a:xfrm>
                                    <a:off x="0" y="421911"/>
                                    <a:ext cx="717755" cy="1402031"/>
                                  </a:xfrm>
                                  <a:prstGeom prst="leftBrace">
                                    <a:avLst>
                                      <a:gd name="adj1" fmla="val 29317"/>
                                      <a:gd name="adj2" fmla="val 50000"/>
                                    </a:avLst>
                                  </a:prstGeom>
                                  <a:ln w="38100">
                                    <a:solidFill>
                                      <a:srgbClr val="2F005F"/>
                                    </a:solidFill>
                                  </a:ln>
                                </wps:spPr>
                                <wps:style>
                                  <a:lnRef idx="1">
                                    <a:schemeClr val="accent1"/>
                                  </a:lnRef>
                                  <a:fillRef idx="0">
                                    <a:schemeClr val="accent1"/>
                                  </a:fillRef>
                                  <a:effectRef idx="0">
                                    <a:schemeClr val="accent1"/>
                                  </a:effectRef>
                                  <a:fontRef idx="minor">
                                    <a:schemeClr val="tx1"/>
                                  </a:fontRef>
                                </wps:style>
                                <wps:bodyPr rtlCol="0" anchor="ctr"/>
                              </wps:wsp>
                              <wps:wsp>
                                <wps:cNvPr id="1297324973" name="Rectangle: Rounded Corners 1297324973">
                                  <a:extLst>
                                    <a:ext uri="{FF2B5EF4-FFF2-40B4-BE49-F238E27FC236}">
                                      <a16:creationId xmlns:a16="http://schemas.microsoft.com/office/drawing/2014/main" id="{AB64E9F5-DBE6-0554-3925-3DDFE54073A3}"/>
                                    </a:ext>
                                  </a:extLst>
                                </wps:cNvPr>
                                <wps:cNvSpPr/>
                                <wps:spPr>
                                  <a:xfrm>
                                    <a:off x="912723" y="0"/>
                                    <a:ext cx="1080000" cy="824837"/>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3BC2795" w14:textId="77777777" w:rsidR="0043432D" w:rsidRDefault="0043432D" w:rsidP="0043432D">
                                      <w:pPr>
                                        <w:jc w:val="center"/>
                                        <w:textAlignment w:val="baseline"/>
                                        <w:rPr>
                                          <w:rFonts w:ascii="Arial Nova" w:hAnsi="Arial Nova"/>
                                          <w:color w:val="FFFFFF" w:themeColor="light1"/>
                                          <w:kern w:val="24"/>
                                          <w:sz w:val="20"/>
                                          <w:szCs w:val="20"/>
                                        </w:rPr>
                                      </w:pPr>
                                      <w:r>
                                        <w:rPr>
                                          <w:rFonts w:ascii="Arial Nova" w:hAnsi="Arial Nova"/>
                                          <w:color w:val="FFFFFF" w:themeColor="light1"/>
                                          <w:kern w:val="24"/>
                                          <w:sz w:val="20"/>
                                          <w:szCs w:val="20"/>
                                        </w:rPr>
                                        <w:t>Higher probability of No shortage</w:t>
                                      </w:r>
                                    </w:p>
                                  </w:txbxContent>
                                </wps:txbx>
                                <wps:bodyPr rtlCol="0" anchor="ctr"/>
                              </wps:wsp>
                              <wps:wsp>
                                <wps:cNvPr id="1447851445" name="Rectangle: Rounded Corners 1447851445">
                                  <a:extLst>
                                    <a:ext uri="{FF2B5EF4-FFF2-40B4-BE49-F238E27FC236}">
                                      <a16:creationId xmlns:a16="http://schemas.microsoft.com/office/drawing/2014/main" id="{088E95F5-F821-D3CC-E1F0-A80AA70450D8}"/>
                                    </a:ext>
                                  </a:extLst>
                                </wps:cNvPr>
                                <wps:cNvSpPr/>
                                <wps:spPr>
                                  <a:xfrm>
                                    <a:off x="912723" y="1416031"/>
                                    <a:ext cx="1080000" cy="824837"/>
                                  </a:xfrm>
                                  <a:prstGeom prst="roundRect">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074D088" w14:textId="77777777" w:rsidR="0043432D" w:rsidRDefault="0043432D" w:rsidP="0043432D">
                                      <w:pPr>
                                        <w:jc w:val="center"/>
                                        <w:textAlignment w:val="baseline"/>
                                        <w:rPr>
                                          <w:rFonts w:ascii="Arial Nova" w:hAnsi="Arial Nova"/>
                                          <w:color w:val="FFFFFF" w:themeColor="light1"/>
                                          <w:kern w:val="24"/>
                                          <w:sz w:val="20"/>
                                          <w:szCs w:val="20"/>
                                        </w:rPr>
                                      </w:pPr>
                                      <w:r>
                                        <w:rPr>
                                          <w:rFonts w:ascii="Arial Nova" w:hAnsi="Arial Nova"/>
                                          <w:color w:val="FFFFFF" w:themeColor="light1"/>
                                          <w:kern w:val="24"/>
                                          <w:sz w:val="20"/>
                                          <w:szCs w:val="20"/>
                                        </w:rPr>
                                        <w:t>Higher probability of</w:t>
                                      </w:r>
                                    </w:p>
                                    <w:p w14:paraId="7C70D6DB" w14:textId="77777777" w:rsidR="0043432D" w:rsidRDefault="0043432D" w:rsidP="0043432D">
                                      <w:pPr>
                                        <w:jc w:val="center"/>
                                        <w:textAlignment w:val="baseline"/>
                                        <w:rPr>
                                          <w:rFonts w:ascii="Arial Nova" w:hAnsi="Arial Nova"/>
                                          <w:color w:val="FFFFFF" w:themeColor="light1"/>
                                          <w:kern w:val="24"/>
                                          <w:sz w:val="20"/>
                                          <w:szCs w:val="20"/>
                                        </w:rPr>
                                      </w:pPr>
                                      <w:r>
                                        <w:rPr>
                                          <w:rFonts w:ascii="Arial Nova" w:hAnsi="Arial Nova"/>
                                          <w:color w:val="FFFFFF" w:themeColor="light1"/>
                                          <w:kern w:val="24"/>
                                          <w:sz w:val="20"/>
                                          <w:szCs w:val="20"/>
                                        </w:rPr>
                                        <w:t>Shortage</w:t>
                                      </w:r>
                                    </w:p>
                                  </w:txbxContent>
                                </wps:txbx>
                                <wps:bodyPr rtlCol="0" anchor="ctr"/>
                              </wps:wsp>
                              <wps:wsp>
                                <wps:cNvPr id="2067606542" name="TextBox 11">
                                  <a:extLst>
                                    <a:ext uri="{FF2B5EF4-FFF2-40B4-BE49-F238E27FC236}">
                                      <a16:creationId xmlns:a16="http://schemas.microsoft.com/office/drawing/2014/main" id="{AC605ACC-C721-EEAF-11BB-6247CE6CA36A}"/>
                                    </a:ext>
                                  </a:extLst>
                                </wps:cNvPr>
                                <wps:cNvSpPr txBox="1"/>
                                <wps:spPr>
                                  <a:xfrm>
                                    <a:off x="409391" y="188085"/>
                                    <a:ext cx="308855" cy="274565"/>
                                  </a:xfrm>
                                  <a:prstGeom prst="rect">
                                    <a:avLst/>
                                  </a:prstGeom>
                                  <a:noFill/>
                                </wps:spPr>
                                <wps:txbx>
                                  <w:txbxContent>
                                    <w:p w14:paraId="7414C177" w14:textId="77777777" w:rsidR="0043432D" w:rsidRDefault="0043432D" w:rsidP="0043432D">
                                      <w:pPr>
                                        <w:spacing w:before="60" w:after="20"/>
                                        <w:textAlignment w:val="baseline"/>
                                        <w:rPr>
                                          <w:rFonts w:ascii="Arial Nova" w:hAnsi="Arial Nova"/>
                                          <w:color w:val="000000" w:themeColor="text1"/>
                                          <w:kern w:val="24"/>
                                          <w:sz w:val="18"/>
                                          <w:szCs w:val="18"/>
                                        </w:rPr>
                                      </w:pPr>
                                      <w:r>
                                        <w:rPr>
                                          <w:rFonts w:ascii="Arial Nova" w:hAnsi="Arial Nova"/>
                                          <w:color w:val="000000" w:themeColor="text1"/>
                                          <w:kern w:val="24"/>
                                          <w:sz w:val="18"/>
                                          <w:szCs w:val="18"/>
                                        </w:rPr>
                                        <w:t>High</w:t>
                                      </w:r>
                                    </w:p>
                                  </w:txbxContent>
                                </wps:txbx>
                                <wps:bodyPr wrap="square" lIns="36000" tIns="36000" rIns="36000" bIns="36000" rtlCol="0">
                                  <a:spAutoFit/>
                                </wps:bodyPr>
                              </wps:wsp>
                              <wps:wsp>
                                <wps:cNvPr id="1983187424" name="TextBox 12">
                                  <a:extLst>
                                    <a:ext uri="{FF2B5EF4-FFF2-40B4-BE49-F238E27FC236}">
                                      <a16:creationId xmlns:a16="http://schemas.microsoft.com/office/drawing/2014/main" id="{72795CE2-3B20-D687-0745-940C5616C7E3}"/>
                                    </a:ext>
                                  </a:extLst>
                                </wps:cNvPr>
                                <wps:cNvSpPr txBox="1"/>
                                <wps:spPr>
                                  <a:xfrm>
                                    <a:off x="433435" y="1844172"/>
                                    <a:ext cx="284725" cy="274565"/>
                                  </a:xfrm>
                                  <a:prstGeom prst="rect">
                                    <a:avLst/>
                                  </a:prstGeom>
                                  <a:noFill/>
                                </wps:spPr>
                                <wps:txbx>
                                  <w:txbxContent>
                                    <w:p w14:paraId="7B396637" w14:textId="77777777" w:rsidR="0043432D" w:rsidRDefault="0043432D" w:rsidP="0043432D">
                                      <w:pPr>
                                        <w:spacing w:before="60" w:after="20"/>
                                        <w:textAlignment w:val="baseline"/>
                                        <w:rPr>
                                          <w:rFonts w:ascii="Arial Nova" w:hAnsi="Arial Nova"/>
                                          <w:color w:val="000000" w:themeColor="text1"/>
                                          <w:kern w:val="24"/>
                                          <w:sz w:val="18"/>
                                          <w:szCs w:val="18"/>
                                        </w:rPr>
                                      </w:pPr>
                                      <w:r>
                                        <w:rPr>
                                          <w:rFonts w:ascii="Arial Nova" w:hAnsi="Arial Nova"/>
                                          <w:color w:val="000000" w:themeColor="text1"/>
                                          <w:kern w:val="24"/>
                                          <w:sz w:val="18"/>
                                          <w:szCs w:val="18"/>
                                        </w:rPr>
                                        <w:t>Low</w:t>
                                      </w:r>
                                    </w:p>
                                  </w:txbxContent>
                                </wps:txbx>
                                <wps:bodyPr wrap="square" lIns="36000" tIns="36000" rIns="36000" bIns="36000" rtlCol="0">
                                  <a:spAutoFit/>
                                </wps:bodyPr>
                              </wps:wsp>
                            </wpg:grpSp>
                            <wps:wsp>
                              <wps:cNvPr id="2139164008" name="Rectangle: Rounded Corners 7"/>
                              <wps:cNvSpPr/>
                              <wps:spPr>
                                <a:xfrm>
                                  <a:off x="0" y="937846"/>
                                  <a:ext cx="1387095" cy="338137"/>
                                </a:xfrm>
                                <a:prstGeom prst="round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FE640DB" w14:textId="77777777" w:rsidR="0043432D" w:rsidRDefault="0043432D" w:rsidP="0043432D">
                                    <w:pPr>
                                      <w:jc w:val="center"/>
                                      <w:textAlignment w:val="baseline"/>
                                      <w:rPr>
                                        <w:rFonts w:ascii="Arial Nova" w:hAnsi="Arial Nova"/>
                                        <w:color w:val="FFFFFF" w:themeColor="background1"/>
                                        <w:kern w:val="24"/>
                                        <w:sz w:val="24"/>
                                        <w:szCs w:val="24"/>
                                      </w:rPr>
                                    </w:pPr>
                                    <w:r>
                                      <w:rPr>
                                        <w:rFonts w:ascii="Arial Nova" w:hAnsi="Arial Nova"/>
                                        <w:color w:val="FFFFFF" w:themeColor="background1"/>
                                        <w:kern w:val="24"/>
                                      </w:rPr>
                                      <w:t>Fill rate</w:t>
                                    </w:r>
                                  </w:p>
                                </w:txbxContent>
                              </wps:txbx>
                              <wps:bodyPr rtlCol="0" anchor="ctr">
                                <a:noAutofit/>
                              </wps:bodyPr>
                            </wps:wsp>
                          </wpg:wgp>
                        </a:graphicData>
                      </a:graphic>
                    </wp:anchor>
                  </w:drawing>
                </mc:Choice>
                <mc:Fallback>
                  <w:pict>
                    <v:group w14:anchorId="23911575" id="Group 1" o:spid="_x0000_s1026" alt="This diagram depicts that if a fill rate for an occupation is high, then the occupation has a higher probability of a 'No shortage' rating; whereas if it is low, it has a higher probability of a 'Shortage' rating." style="position:absolute;margin-left:86.2pt;margin-top:17.3pt;width:267.95pt;height:176.4pt;z-index:251658240" coordsize="34028,2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">
                      <v:group id="Group 32" o:spid="_x0000_s1027" style="position:absolute;left:14101;width:19927;height:22402" coordsize="19927,2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256410548" o:spid="_x0000_s1028" type="#_x0000_t87" style="position:absolute;top:4219;width:7177;height:14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" adj="3242" strokecolor="#2f005f" strokeweight="3pt">
                          <v:stroke joinstyle="miter"/>
                        </v:shape>
                        <v:roundrect id="Rectangle: Rounded Corners 1297324973" o:spid="_x0000_s1029" style="position:absolute;left:9127;width:10800;height:82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" fillcolor="#012749 [3206]" stroked="f" strokeweight="1pt">
                          <v:stroke joinstyle="miter"/>
                          <v:textbox>
                            <w:txbxContent>
                              <w:p w14:paraId="43BC2795" w14:textId="77777777" w:rsidR="0043432D" w:rsidRDefault="0043432D" w:rsidP="0043432D">
                                <w:pPr>
                                  <w:jc w:val="center"/>
                                  <w:textAlignment w:val="baseline"/>
                                  <w:rPr>
                                    <w:rFonts w:ascii="Arial Nova" w:hAnsi="Arial Nova"/>
                                    <w:color w:val="FFFFFF" w:themeColor="light1"/>
                                    <w:kern w:val="24"/>
                                    <w:sz w:val="20"/>
                                    <w:szCs w:val="20"/>
                                  </w:rPr>
                                </w:pPr>
                                <w:r>
                                  <w:rPr>
                                    <w:rFonts w:ascii="Arial Nova" w:hAnsi="Arial Nova"/>
                                    <w:color w:val="FFFFFF" w:themeColor="light1"/>
                                    <w:kern w:val="24"/>
                                    <w:sz w:val="20"/>
                                    <w:szCs w:val="20"/>
                                  </w:rPr>
                                  <w:t>Higher probability of No shortage</w:t>
                                </w:r>
                              </w:p>
                            </w:txbxContent>
                          </v:textbox>
                        </v:roundrect>
                        <v:roundrect id="Rectangle: Rounded Corners 1447851445" o:spid="_x0000_s1030" style="position:absolute;left:9127;top:14160;width:10800;height:82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" fillcolor="#9f1853 [3209]" stroked="f" strokeweight="1pt">
                          <v:stroke joinstyle="miter"/>
                          <v:textbox>
                            <w:txbxContent>
                              <w:p w14:paraId="6074D088" w14:textId="77777777" w:rsidR="0043432D" w:rsidRDefault="0043432D" w:rsidP="0043432D">
                                <w:pPr>
                                  <w:jc w:val="center"/>
                                  <w:textAlignment w:val="baseline"/>
                                  <w:rPr>
                                    <w:rFonts w:ascii="Arial Nova" w:hAnsi="Arial Nova"/>
                                    <w:color w:val="FFFFFF" w:themeColor="light1"/>
                                    <w:kern w:val="24"/>
                                    <w:sz w:val="20"/>
                                    <w:szCs w:val="20"/>
                                  </w:rPr>
                                </w:pPr>
                                <w:r>
                                  <w:rPr>
                                    <w:rFonts w:ascii="Arial Nova" w:hAnsi="Arial Nova"/>
                                    <w:color w:val="FFFFFF" w:themeColor="light1"/>
                                    <w:kern w:val="24"/>
                                    <w:sz w:val="20"/>
                                    <w:szCs w:val="20"/>
                                  </w:rPr>
                                  <w:t>Higher probability of</w:t>
                                </w:r>
                              </w:p>
                              <w:p w14:paraId="7C70D6DB" w14:textId="77777777" w:rsidR="0043432D" w:rsidRDefault="0043432D" w:rsidP="0043432D">
                                <w:pPr>
                                  <w:jc w:val="center"/>
                                  <w:textAlignment w:val="baseline"/>
                                  <w:rPr>
                                    <w:rFonts w:ascii="Arial Nova" w:hAnsi="Arial Nova"/>
                                    <w:color w:val="FFFFFF" w:themeColor="light1"/>
                                    <w:kern w:val="24"/>
                                    <w:sz w:val="20"/>
                                    <w:szCs w:val="20"/>
                                  </w:rPr>
                                </w:pPr>
                                <w:r>
                                  <w:rPr>
                                    <w:rFonts w:ascii="Arial Nova" w:hAnsi="Arial Nova"/>
                                    <w:color w:val="FFFFFF" w:themeColor="light1"/>
                                    <w:kern w:val="24"/>
                                    <w:sz w:val="20"/>
                                    <w:szCs w:val="20"/>
                                  </w:rPr>
                                  <w:t>Shortage</w:t>
                                </w:r>
                              </w:p>
                            </w:txbxContent>
                          </v:textbox>
                        </v:roundrect>
                        <v:shapetype id="_x0000_t202" coordsize="21600,21600" o:spt="202" path="m,l,21600r21600,l21600,xe">
                          <v:stroke joinstyle="miter"/>
                          <v:path gradientshapeok="t" o:connecttype="rect"/>
                        </v:shapetype>
                        <v:shape id="TextBox 11" o:spid="_x0000_s1031" type="#_x0000_t202" style="position:absolute;left:4093;top:1880;width:308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" filled="f" stroked="f">
                          <v:textbox style="mso-fit-shape-to-text:t" inset="1mm,1mm,1mm,1mm">
                            <w:txbxContent>
                              <w:p w14:paraId="7414C177" w14:textId="77777777" w:rsidR="0043432D" w:rsidRDefault="0043432D" w:rsidP="0043432D">
                                <w:pPr>
                                  <w:spacing w:before="60" w:after="20"/>
                                  <w:textAlignment w:val="baseline"/>
                                  <w:rPr>
                                    <w:rFonts w:ascii="Arial Nova" w:hAnsi="Arial Nova"/>
                                    <w:color w:val="000000" w:themeColor="text1"/>
                                    <w:kern w:val="24"/>
                                    <w:sz w:val="18"/>
                                    <w:szCs w:val="18"/>
                                  </w:rPr>
                                </w:pPr>
                                <w:r>
                                  <w:rPr>
                                    <w:rFonts w:ascii="Arial Nova" w:hAnsi="Arial Nova"/>
                                    <w:color w:val="000000" w:themeColor="text1"/>
                                    <w:kern w:val="24"/>
                                    <w:sz w:val="18"/>
                                    <w:szCs w:val="18"/>
                                  </w:rPr>
                                  <w:t>High</w:t>
                                </w:r>
                              </w:p>
                            </w:txbxContent>
                          </v:textbox>
                        </v:shape>
                        <v:shape id="TextBox 12" o:spid="_x0000_s1032" type="#_x0000_t202" style="position:absolute;left:4334;top:18441;width:2847;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" filled="f" stroked="f">
                          <v:textbox style="mso-fit-shape-to-text:t" inset="1mm,1mm,1mm,1mm">
                            <w:txbxContent>
                              <w:p w14:paraId="7B396637" w14:textId="77777777" w:rsidR="0043432D" w:rsidRDefault="0043432D" w:rsidP="0043432D">
                                <w:pPr>
                                  <w:spacing w:before="60" w:after="20"/>
                                  <w:textAlignment w:val="baseline"/>
                                  <w:rPr>
                                    <w:rFonts w:ascii="Arial Nova" w:hAnsi="Arial Nova"/>
                                    <w:color w:val="000000" w:themeColor="text1"/>
                                    <w:kern w:val="24"/>
                                    <w:sz w:val="18"/>
                                    <w:szCs w:val="18"/>
                                  </w:rPr>
                                </w:pPr>
                                <w:r>
                                  <w:rPr>
                                    <w:rFonts w:ascii="Arial Nova" w:hAnsi="Arial Nova"/>
                                    <w:color w:val="000000" w:themeColor="text1"/>
                                    <w:kern w:val="24"/>
                                    <w:sz w:val="18"/>
                                    <w:szCs w:val="18"/>
                                  </w:rPr>
                                  <w:t>Low</w:t>
                                </w:r>
                              </w:p>
                            </w:txbxContent>
                          </v:textbox>
                        </v:shape>
                      </v:group>
                      <v:roundrect id="Rectangle: Rounded Corners 7" o:spid="_x0000_s1033" style="position:absolute;top:9378;width:13870;height:3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" fillcolor="#4b0885 [3215]" stroked="f" strokeweight="1pt">
                        <v:stroke joinstyle="miter"/>
                        <v:textbox>
                          <w:txbxContent>
                            <w:p w14:paraId="4FE640DB" w14:textId="77777777" w:rsidR="0043432D" w:rsidRDefault="0043432D" w:rsidP="0043432D">
                              <w:pPr>
                                <w:jc w:val="center"/>
                                <w:textAlignment w:val="baseline"/>
                                <w:rPr>
                                  <w:rFonts w:ascii="Arial Nova" w:hAnsi="Arial Nova"/>
                                  <w:color w:val="FFFFFF" w:themeColor="background1"/>
                                  <w:kern w:val="24"/>
                                  <w:sz w:val="24"/>
                                  <w:szCs w:val="24"/>
                                </w:rPr>
                              </w:pPr>
                              <w:r>
                                <w:rPr>
                                  <w:rFonts w:ascii="Arial Nova" w:hAnsi="Arial Nova"/>
                                  <w:color w:val="FFFFFF" w:themeColor="background1"/>
                                  <w:kern w:val="24"/>
                                </w:rPr>
                                <w:t>Fill rate</w:t>
                              </w:r>
                            </w:p>
                          </w:txbxContent>
                        </v:textbox>
                      </v:roundrect>
                    </v:group>
                  </w:pict>
                </mc:Fallback>
              </mc:AlternateContent>
            </w:r>
          </w:p>
          <w:p w14:paraId="03E6006A" w14:textId="58B20BD5" w:rsidR="350DAEBA" w:rsidRDefault="350DAEBA" w:rsidP="350DAEBA">
            <w:pPr>
              <w:spacing w:before="120" w:after="240"/>
            </w:pPr>
            <w:r w:rsidRPr="350DAEBA">
              <w:rPr>
                <w:rFonts w:eastAsia="Arial" w:cs="Arial"/>
              </w:rPr>
              <w:t xml:space="preserve"> </w:t>
            </w:r>
          </w:p>
          <w:p w14:paraId="4AD13E24" w14:textId="517DF89E" w:rsidR="350DAEBA" w:rsidRDefault="350DAEBA" w:rsidP="350DAEBA">
            <w:pPr>
              <w:spacing w:before="120" w:after="240"/>
            </w:pPr>
            <w:r w:rsidRPr="350DAEBA">
              <w:rPr>
                <w:rFonts w:eastAsia="Arial" w:cs="Arial"/>
              </w:rPr>
              <w:t xml:space="preserve"> </w:t>
            </w:r>
          </w:p>
          <w:p w14:paraId="234EDE72" w14:textId="38771497" w:rsidR="350DAEBA" w:rsidRDefault="350DAEBA" w:rsidP="350DAEBA">
            <w:pPr>
              <w:spacing w:before="120" w:after="240"/>
            </w:pPr>
            <w:r w:rsidRPr="350DAEBA">
              <w:rPr>
                <w:rFonts w:eastAsia="Arial" w:cs="Arial"/>
              </w:rPr>
              <w:t xml:space="preserve"> </w:t>
            </w:r>
          </w:p>
          <w:p w14:paraId="1FADABC9" w14:textId="351DF0AF" w:rsidR="350DAEBA" w:rsidRDefault="350DAEBA" w:rsidP="350DAEBA">
            <w:pPr>
              <w:spacing w:before="120" w:after="240"/>
            </w:pPr>
            <w:r w:rsidRPr="350DAEBA">
              <w:rPr>
                <w:rFonts w:eastAsia="Arial" w:cs="Arial"/>
              </w:rPr>
              <w:t xml:space="preserve"> </w:t>
            </w:r>
          </w:p>
          <w:p w14:paraId="436FE6BB" w14:textId="630B1411" w:rsidR="350DAEBA" w:rsidRDefault="350DAEBA" w:rsidP="350DAEBA">
            <w:pPr>
              <w:spacing w:before="120" w:after="240"/>
            </w:pPr>
            <w:r w:rsidRPr="350DAEBA">
              <w:rPr>
                <w:rFonts w:eastAsia="Arial" w:cs="Arial"/>
              </w:rPr>
              <w:t xml:space="preserve"> </w:t>
            </w:r>
          </w:p>
          <w:p w14:paraId="31CC9F60" w14:textId="3C9770C8" w:rsidR="350DAEBA" w:rsidRDefault="350DAEBA" w:rsidP="350DAEBA">
            <w:pPr>
              <w:spacing w:before="120" w:after="240"/>
            </w:pPr>
            <w:r w:rsidRPr="350DAEBA">
              <w:rPr>
                <w:rFonts w:eastAsia="Arial" w:cs="Arial"/>
              </w:rPr>
              <w:t xml:space="preserve"> </w:t>
            </w:r>
          </w:p>
          <w:p w14:paraId="3D1AE7D0" w14:textId="25477B8A" w:rsidR="350DAEBA" w:rsidRDefault="350DAEBA" w:rsidP="350DAEBA">
            <w:pPr>
              <w:spacing w:after="120"/>
              <w:ind w:left="284"/>
              <w:rPr>
                <w:rFonts w:eastAsia="Arial" w:cs="Arial"/>
                <w:lang w:val="en-GB"/>
              </w:rPr>
            </w:pPr>
          </w:p>
        </w:tc>
      </w:tr>
    </w:tbl>
    <w:p w14:paraId="24B501CD" w14:textId="4B67CA4F" w:rsidR="00295E40" w:rsidRDefault="00295E40" w:rsidP="001D4065"/>
    <w:p w14:paraId="0BC64A2A" w14:textId="6E40D947" w:rsidR="007757DA" w:rsidRPr="00031B05" w:rsidRDefault="007757DA" w:rsidP="009A6F13">
      <w:pPr>
        <w:pStyle w:val="Heading1"/>
      </w:pPr>
      <w:bookmarkStart w:id="3" w:name="_Toc173755009"/>
      <w:r w:rsidRPr="00031B05">
        <w:lastRenderedPageBreak/>
        <w:t>National results</w:t>
      </w:r>
      <w:bookmarkEnd w:id="3"/>
      <w:r w:rsidR="00C8111D">
        <w:t xml:space="preserve"> </w:t>
      </w:r>
    </w:p>
    <w:p w14:paraId="10F0B00C" w14:textId="51EBE8F6" w:rsidR="0088237E" w:rsidRDefault="001A754F" w:rsidP="0013328C">
      <w:pPr>
        <w:pStyle w:val="Heading2"/>
      </w:pPr>
      <w:bookmarkStart w:id="4" w:name="_Toc173755010"/>
      <w:r w:rsidRPr="00031B05">
        <w:t>Fill rates continue their gradual rise</w:t>
      </w:r>
      <w:bookmarkEnd w:id="4"/>
    </w:p>
    <w:p w14:paraId="609D109E" w14:textId="3E7DFBD5" w:rsidR="00676458" w:rsidRPr="00676458" w:rsidRDefault="00961458" w:rsidP="00847164">
      <w:pPr>
        <w:pStyle w:val="Caption"/>
      </w:pPr>
      <w:bookmarkStart w:id="5" w:name="_Ref173248539"/>
      <w:r w:rsidRPr="00847164">
        <w:t xml:space="preserve">Table </w:t>
      </w:r>
      <w:r w:rsidRPr="00847164">
        <w:fldChar w:fldCharType="begin"/>
      </w:r>
      <w:r w:rsidRPr="00847164">
        <w:instrText xml:space="preserve"> SEQ Table \* ARABIC </w:instrText>
      </w:r>
      <w:r w:rsidRPr="00847164">
        <w:fldChar w:fldCharType="separate"/>
      </w:r>
      <w:r w:rsidR="00245DC9">
        <w:rPr>
          <w:noProof/>
        </w:rPr>
        <w:t>1</w:t>
      </w:r>
      <w:r w:rsidRPr="00847164">
        <w:fldChar w:fldCharType="end"/>
      </w:r>
      <w:bookmarkEnd w:id="5"/>
      <w:r w:rsidRPr="00847164">
        <w:t xml:space="preserve">: </w:t>
      </w:r>
      <w:r w:rsidR="00A24747" w:rsidRPr="00847164">
        <w:t>National snapshot</w:t>
      </w:r>
      <w:r w:rsidR="00847164">
        <w:t xml:space="preserve"> </w:t>
      </w:r>
    </w:p>
    <w:tbl>
      <w:tblPr>
        <w:tblStyle w:val="JSATable1"/>
        <w:tblW w:w="5000" w:type="pct"/>
        <w:tblLook w:val="0020" w:firstRow="1" w:lastRow="0" w:firstColumn="0" w:lastColumn="0" w:noHBand="0" w:noVBand="0"/>
      </w:tblPr>
      <w:tblGrid>
        <w:gridCol w:w="3116"/>
        <w:gridCol w:w="1682"/>
        <w:gridCol w:w="2127"/>
        <w:gridCol w:w="2101"/>
      </w:tblGrid>
      <w:tr w:rsidR="00A07A1A" w:rsidRPr="00B26C3D" w14:paraId="0F60DE95" w14:textId="77777777" w:rsidTr="00A07A1A">
        <w:trPr>
          <w:cnfStyle w:val="100000000000" w:firstRow="1" w:lastRow="0" w:firstColumn="0" w:lastColumn="0" w:oddVBand="0" w:evenVBand="0" w:oddHBand="0" w:evenHBand="0" w:firstRowFirstColumn="0" w:firstRowLastColumn="0" w:lastRowFirstColumn="0" w:lastRowLastColumn="0"/>
        </w:trPr>
        <w:tc>
          <w:tcPr>
            <w:tcW w:w="1726" w:type="pct"/>
          </w:tcPr>
          <w:p w14:paraId="39481379" w14:textId="3FD47AF2" w:rsidR="00A07A1A" w:rsidRPr="00B26C3D" w:rsidRDefault="00A07A1A" w:rsidP="00A07A1A"/>
        </w:tc>
        <w:tc>
          <w:tcPr>
            <w:tcW w:w="932" w:type="pct"/>
          </w:tcPr>
          <w:p w14:paraId="1D1FCCFF" w14:textId="452BCC24" w:rsidR="00A07A1A" w:rsidRPr="00B26C3D" w:rsidRDefault="00A07A1A" w:rsidP="00A07A1A">
            <w:pPr>
              <w:jc w:val="right"/>
            </w:pPr>
            <w:r w:rsidRPr="00B15A7C">
              <w:t>June quarter 2024</w:t>
            </w:r>
          </w:p>
        </w:tc>
        <w:tc>
          <w:tcPr>
            <w:tcW w:w="1178" w:type="pct"/>
          </w:tcPr>
          <w:p w14:paraId="6808036A" w14:textId="7F5FB6E7" w:rsidR="00A07A1A" w:rsidRPr="00B26C3D" w:rsidRDefault="00A07A1A" w:rsidP="00A07A1A">
            <w:pPr>
              <w:jc w:val="right"/>
            </w:pPr>
            <w:r w:rsidRPr="00B15A7C">
              <w:t>Change over the quarter</w:t>
            </w:r>
          </w:p>
        </w:tc>
        <w:tc>
          <w:tcPr>
            <w:tcW w:w="1164" w:type="pct"/>
          </w:tcPr>
          <w:p w14:paraId="1677DCDE" w14:textId="7FC0A0C0" w:rsidR="00A07A1A" w:rsidRPr="00B26C3D" w:rsidRDefault="00A07A1A" w:rsidP="00A07A1A">
            <w:pPr>
              <w:jc w:val="right"/>
            </w:pPr>
            <w:r w:rsidRPr="00B15A7C">
              <w:t>Change over 12 months</w:t>
            </w:r>
          </w:p>
        </w:tc>
      </w:tr>
      <w:tr w:rsidR="00386DB1" w:rsidRPr="00B26C3D" w14:paraId="01C74F8F" w14:textId="77777777" w:rsidTr="00A07A1A">
        <w:tc>
          <w:tcPr>
            <w:tcW w:w="1726" w:type="pct"/>
          </w:tcPr>
          <w:p w14:paraId="1247BADF" w14:textId="5A1D7D9B" w:rsidR="00386DB1" w:rsidRPr="00031B05" w:rsidRDefault="00386DB1" w:rsidP="00386DB1">
            <w:pPr>
              <w:rPr>
                <w:sz w:val="20"/>
                <w:szCs w:val="20"/>
              </w:rPr>
            </w:pPr>
            <w:bookmarkStart w:id="6" w:name="_Hlk165297810"/>
            <w:r w:rsidRPr="001C69EF">
              <w:t>Vacancy fill rate (%)</w:t>
            </w:r>
          </w:p>
        </w:tc>
        <w:tc>
          <w:tcPr>
            <w:tcW w:w="932" w:type="pct"/>
          </w:tcPr>
          <w:p w14:paraId="64D8AE16" w14:textId="1C0047B2" w:rsidR="00386DB1" w:rsidRPr="00031B05" w:rsidRDefault="00386DB1" w:rsidP="00386DB1">
            <w:pPr>
              <w:jc w:val="right"/>
              <w:rPr>
                <w:rFonts w:asciiTheme="minorHAnsi" w:hAnsiTheme="minorHAnsi"/>
                <w:sz w:val="20"/>
                <w:szCs w:val="20"/>
              </w:rPr>
            </w:pPr>
            <w:r w:rsidRPr="001C69EF">
              <w:t>66.2%</w:t>
            </w:r>
          </w:p>
        </w:tc>
        <w:tc>
          <w:tcPr>
            <w:tcW w:w="1178" w:type="pct"/>
          </w:tcPr>
          <w:p w14:paraId="679B8138" w14:textId="7A56F4D7" w:rsidR="00386DB1" w:rsidRPr="00031B05" w:rsidRDefault="00386DB1" w:rsidP="00386DB1">
            <w:pPr>
              <w:jc w:val="right"/>
              <w:rPr>
                <w:rFonts w:asciiTheme="minorHAnsi" w:hAnsiTheme="minorHAnsi" w:cstheme="minorHAnsi"/>
                <w:sz w:val="20"/>
                <w:szCs w:val="20"/>
              </w:rPr>
            </w:pPr>
            <w:r w:rsidRPr="001C69EF">
              <w:t>↑1.7% pts</w:t>
            </w:r>
          </w:p>
        </w:tc>
        <w:tc>
          <w:tcPr>
            <w:tcW w:w="1164" w:type="pct"/>
          </w:tcPr>
          <w:p w14:paraId="53B92B84" w14:textId="7E9B64B8" w:rsidR="00386DB1" w:rsidRPr="00031B05" w:rsidRDefault="00386DB1" w:rsidP="00386DB1">
            <w:pPr>
              <w:jc w:val="right"/>
              <w:rPr>
                <w:rFonts w:asciiTheme="minorHAnsi" w:hAnsiTheme="minorHAnsi" w:cstheme="minorHAnsi"/>
                <w:sz w:val="20"/>
                <w:szCs w:val="20"/>
              </w:rPr>
            </w:pPr>
            <w:r w:rsidRPr="001C69EF">
              <w:t>↑4.8% pts</w:t>
            </w:r>
          </w:p>
        </w:tc>
      </w:tr>
      <w:tr w:rsidR="00386DB1" w:rsidRPr="00B26C3D" w14:paraId="6084898E" w14:textId="77777777" w:rsidTr="00A07A1A">
        <w:trPr>
          <w:cnfStyle w:val="000000010000" w:firstRow="0" w:lastRow="0" w:firstColumn="0" w:lastColumn="0" w:oddVBand="0" w:evenVBand="0" w:oddHBand="0" w:evenHBand="1" w:firstRowFirstColumn="0" w:firstRowLastColumn="0" w:lastRowFirstColumn="0" w:lastRowLastColumn="0"/>
        </w:trPr>
        <w:tc>
          <w:tcPr>
            <w:tcW w:w="1726" w:type="pct"/>
          </w:tcPr>
          <w:p w14:paraId="5643C3F1" w14:textId="3B6809A0" w:rsidR="00386DB1" w:rsidRPr="00031B05" w:rsidRDefault="00386DB1" w:rsidP="00386DB1">
            <w:pPr>
              <w:rPr>
                <w:sz w:val="20"/>
                <w:szCs w:val="20"/>
              </w:rPr>
            </w:pPr>
            <w:r w:rsidRPr="001C69EF">
              <w:t>Applicants per vacancy (no.)</w:t>
            </w:r>
          </w:p>
        </w:tc>
        <w:tc>
          <w:tcPr>
            <w:tcW w:w="932" w:type="pct"/>
          </w:tcPr>
          <w:p w14:paraId="00C0C7BA" w14:textId="16EB47EB" w:rsidR="00386DB1" w:rsidRPr="00031B05" w:rsidRDefault="00386DB1" w:rsidP="00386DB1">
            <w:pPr>
              <w:jc w:val="right"/>
              <w:rPr>
                <w:rFonts w:asciiTheme="minorHAnsi" w:hAnsiTheme="minorHAnsi" w:cstheme="minorHAnsi"/>
                <w:sz w:val="20"/>
                <w:szCs w:val="20"/>
              </w:rPr>
            </w:pPr>
            <w:r w:rsidRPr="001C69EF">
              <w:t>24.1</w:t>
            </w:r>
          </w:p>
        </w:tc>
        <w:tc>
          <w:tcPr>
            <w:tcW w:w="1178" w:type="pct"/>
          </w:tcPr>
          <w:p w14:paraId="7EBAE682" w14:textId="56F27906" w:rsidR="00386DB1" w:rsidRPr="00031B05" w:rsidRDefault="00386DB1" w:rsidP="00386DB1">
            <w:pPr>
              <w:jc w:val="right"/>
              <w:rPr>
                <w:rFonts w:asciiTheme="minorHAnsi" w:hAnsiTheme="minorHAnsi"/>
                <w:sz w:val="20"/>
                <w:szCs w:val="20"/>
              </w:rPr>
            </w:pPr>
            <w:r w:rsidRPr="001C69EF">
              <w:t>↑3</w:t>
            </w:r>
            <w:r w:rsidR="00797341">
              <w:t>.0</w:t>
            </w:r>
          </w:p>
        </w:tc>
        <w:tc>
          <w:tcPr>
            <w:tcW w:w="1164" w:type="pct"/>
          </w:tcPr>
          <w:p w14:paraId="632A156B" w14:textId="5A94E1DA" w:rsidR="00386DB1" w:rsidRPr="00031B05" w:rsidRDefault="00386DB1" w:rsidP="00386DB1">
            <w:pPr>
              <w:jc w:val="right"/>
              <w:rPr>
                <w:rFonts w:asciiTheme="minorHAnsi" w:hAnsiTheme="minorHAnsi" w:cstheme="minorHAnsi"/>
                <w:sz w:val="20"/>
                <w:szCs w:val="20"/>
              </w:rPr>
            </w:pPr>
            <w:r w:rsidRPr="001C69EF">
              <w:t>↑8.1</w:t>
            </w:r>
          </w:p>
        </w:tc>
      </w:tr>
      <w:tr w:rsidR="00386DB1" w:rsidRPr="00B26C3D" w14:paraId="539FEF33" w14:textId="77777777" w:rsidTr="00A07A1A">
        <w:tc>
          <w:tcPr>
            <w:tcW w:w="1726" w:type="pct"/>
          </w:tcPr>
          <w:p w14:paraId="579DE4B3" w14:textId="2559D94E" w:rsidR="00386DB1" w:rsidRPr="00031B05" w:rsidRDefault="00386DB1" w:rsidP="00386DB1">
            <w:pPr>
              <w:rPr>
                <w:sz w:val="20"/>
                <w:szCs w:val="20"/>
              </w:rPr>
            </w:pPr>
            <w:r w:rsidRPr="001C69EF">
              <w:t>Qualified applicants per vacancy (no.)</w:t>
            </w:r>
          </w:p>
        </w:tc>
        <w:tc>
          <w:tcPr>
            <w:tcW w:w="932" w:type="pct"/>
          </w:tcPr>
          <w:p w14:paraId="5F5B983E" w14:textId="2351C007" w:rsidR="00386DB1" w:rsidRPr="00031B05" w:rsidRDefault="00386DB1" w:rsidP="00386DB1">
            <w:pPr>
              <w:jc w:val="right"/>
              <w:rPr>
                <w:rFonts w:asciiTheme="minorHAnsi" w:hAnsiTheme="minorHAnsi" w:cstheme="minorHAnsi"/>
                <w:sz w:val="20"/>
                <w:szCs w:val="20"/>
              </w:rPr>
            </w:pPr>
            <w:r w:rsidRPr="001C69EF">
              <w:t>7.5</w:t>
            </w:r>
          </w:p>
        </w:tc>
        <w:tc>
          <w:tcPr>
            <w:tcW w:w="1178" w:type="pct"/>
          </w:tcPr>
          <w:p w14:paraId="57EC6DF8" w14:textId="519E4FEB" w:rsidR="00386DB1" w:rsidRPr="00031B05" w:rsidRDefault="00386DB1" w:rsidP="00386DB1">
            <w:pPr>
              <w:jc w:val="right"/>
              <w:rPr>
                <w:rFonts w:asciiTheme="minorHAnsi" w:hAnsiTheme="minorHAnsi" w:cstheme="minorHAnsi"/>
                <w:sz w:val="20"/>
                <w:szCs w:val="20"/>
              </w:rPr>
            </w:pPr>
            <w:r w:rsidRPr="001C69EF">
              <w:t>↑0.6</w:t>
            </w:r>
          </w:p>
        </w:tc>
        <w:tc>
          <w:tcPr>
            <w:tcW w:w="1164" w:type="pct"/>
          </w:tcPr>
          <w:p w14:paraId="2443AF11" w14:textId="06A726A9" w:rsidR="00386DB1" w:rsidRPr="00031B05" w:rsidRDefault="00386DB1" w:rsidP="00386DB1">
            <w:pPr>
              <w:jc w:val="right"/>
              <w:rPr>
                <w:rFonts w:asciiTheme="minorHAnsi" w:hAnsiTheme="minorHAnsi" w:cstheme="minorHAnsi"/>
                <w:sz w:val="20"/>
                <w:szCs w:val="20"/>
              </w:rPr>
            </w:pPr>
            <w:r w:rsidRPr="001C69EF">
              <w:t>↑1.9</w:t>
            </w:r>
          </w:p>
        </w:tc>
      </w:tr>
      <w:tr w:rsidR="00386DB1" w:rsidRPr="00B26C3D" w14:paraId="7BB830F6" w14:textId="77777777" w:rsidTr="00A07A1A">
        <w:trPr>
          <w:cnfStyle w:val="000000010000" w:firstRow="0" w:lastRow="0" w:firstColumn="0" w:lastColumn="0" w:oddVBand="0" w:evenVBand="0" w:oddHBand="0" w:evenHBand="1" w:firstRowFirstColumn="0" w:firstRowLastColumn="0" w:lastRowFirstColumn="0" w:lastRowLastColumn="0"/>
        </w:trPr>
        <w:tc>
          <w:tcPr>
            <w:tcW w:w="1726" w:type="pct"/>
          </w:tcPr>
          <w:p w14:paraId="39A85111" w14:textId="18441424" w:rsidR="00386DB1" w:rsidRPr="00031B05" w:rsidRDefault="00386DB1" w:rsidP="00386DB1">
            <w:pPr>
              <w:rPr>
                <w:sz w:val="20"/>
                <w:szCs w:val="20"/>
              </w:rPr>
            </w:pPr>
            <w:r w:rsidRPr="001C69EF">
              <w:t>Suitable applicants per vacancy (no.)</w:t>
            </w:r>
          </w:p>
        </w:tc>
        <w:tc>
          <w:tcPr>
            <w:tcW w:w="932" w:type="pct"/>
          </w:tcPr>
          <w:p w14:paraId="093AD557" w14:textId="08081BFB" w:rsidR="00386DB1" w:rsidRPr="00031B05" w:rsidRDefault="00386DB1" w:rsidP="00386DB1">
            <w:pPr>
              <w:jc w:val="right"/>
              <w:rPr>
                <w:rFonts w:asciiTheme="minorHAnsi" w:hAnsiTheme="minorHAnsi" w:cstheme="minorHAnsi"/>
                <w:sz w:val="20"/>
                <w:szCs w:val="20"/>
              </w:rPr>
            </w:pPr>
            <w:r w:rsidRPr="001C69EF">
              <w:t>3.0</w:t>
            </w:r>
          </w:p>
        </w:tc>
        <w:tc>
          <w:tcPr>
            <w:tcW w:w="1178" w:type="pct"/>
          </w:tcPr>
          <w:p w14:paraId="31172E1E" w14:textId="0A2C9651" w:rsidR="00386DB1" w:rsidRPr="00031B05" w:rsidRDefault="00386DB1" w:rsidP="00386DB1">
            <w:pPr>
              <w:jc w:val="right"/>
              <w:rPr>
                <w:rFonts w:asciiTheme="minorHAnsi" w:hAnsiTheme="minorHAnsi" w:cstheme="minorHAnsi"/>
                <w:sz w:val="20"/>
                <w:szCs w:val="20"/>
              </w:rPr>
            </w:pPr>
            <w:r w:rsidRPr="001C69EF">
              <w:t>↑0.1</w:t>
            </w:r>
          </w:p>
        </w:tc>
        <w:tc>
          <w:tcPr>
            <w:tcW w:w="1164" w:type="pct"/>
          </w:tcPr>
          <w:p w14:paraId="615101A0" w14:textId="54CCFA3D" w:rsidR="00386DB1" w:rsidRPr="00031B05" w:rsidRDefault="00386DB1" w:rsidP="00386DB1">
            <w:pPr>
              <w:jc w:val="right"/>
              <w:rPr>
                <w:rFonts w:asciiTheme="minorHAnsi" w:hAnsiTheme="minorHAnsi" w:cstheme="minorHAnsi"/>
                <w:sz w:val="20"/>
                <w:szCs w:val="20"/>
              </w:rPr>
            </w:pPr>
            <w:r w:rsidRPr="001C69EF">
              <w:t>↑0.4</w:t>
            </w:r>
          </w:p>
        </w:tc>
      </w:tr>
      <w:tr w:rsidR="00386DB1" w:rsidRPr="00B26C3D" w14:paraId="30514E14" w14:textId="77777777" w:rsidTr="00A07A1A">
        <w:tc>
          <w:tcPr>
            <w:tcW w:w="1726" w:type="pct"/>
          </w:tcPr>
          <w:p w14:paraId="643B4567" w14:textId="278227AE" w:rsidR="00386DB1" w:rsidRPr="00031B05" w:rsidRDefault="00386DB1" w:rsidP="00386DB1">
            <w:pPr>
              <w:rPr>
                <w:sz w:val="20"/>
                <w:szCs w:val="20"/>
              </w:rPr>
            </w:pPr>
            <w:r w:rsidRPr="001C69EF">
              <w:t xml:space="preserve">Suitability gap (%) </w:t>
            </w:r>
          </w:p>
        </w:tc>
        <w:tc>
          <w:tcPr>
            <w:tcW w:w="932" w:type="pct"/>
          </w:tcPr>
          <w:p w14:paraId="50E259F5" w14:textId="70E4445B" w:rsidR="00386DB1" w:rsidRPr="00031B05" w:rsidRDefault="00386DB1" w:rsidP="00386DB1">
            <w:pPr>
              <w:jc w:val="right"/>
              <w:rPr>
                <w:rFonts w:asciiTheme="minorHAnsi" w:hAnsiTheme="minorHAnsi"/>
                <w:sz w:val="20"/>
                <w:szCs w:val="20"/>
              </w:rPr>
            </w:pPr>
            <w:r w:rsidRPr="001C69EF">
              <w:t>60.7%</w:t>
            </w:r>
          </w:p>
        </w:tc>
        <w:tc>
          <w:tcPr>
            <w:tcW w:w="1178" w:type="pct"/>
          </w:tcPr>
          <w:p w14:paraId="16A1E82B" w14:textId="48AF0D33" w:rsidR="00386DB1" w:rsidRPr="00031B05" w:rsidRDefault="00386DB1" w:rsidP="00386DB1">
            <w:pPr>
              <w:jc w:val="right"/>
              <w:rPr>
                <w:rFonts w:asciiTheme="minorHAnsi" w:hAnsiTheme="minorHAnsi" w:cstheme="minorHAnsi"/>
                <w:sz w:val="20"/>
                <w:szCs w:val="20"/>
              </w:rPr>
            </w:pPr>
            <w:r w:rsidRPr="001C69EF">
              <w:t>↑1.8% pts</w:t>
            </w:r>
          </w:p>
        </w:tc>
        <w:tc>
          <w:tcPr>
            <w:tcW w:w="1164" w:type="pct"/>
          </w:tcPr>
          <w:p w14:paraId="5C547D21" w14:textId="7D481155" w:rsidR="00386DB1" w:rsidRPr="00031B05" w:rsidRDefault="00386DB1" w:rsidP="00386DB1">
            <w:pPr>
              <w:jc w:val="right"/>
              <w:rPr>
                <w:rFonts w:asciiTheme="minorHAnsi" w:hAnsiTheme="minorHAnsi" w:cstheme="minorHAnsi"/>
                <w:sz w:val="20"/>
                <w:szCs w:val="20"/>
              </w:rPr>
            </w:pPr>
            <w:r w:rsidRPr="001C69EF">
              <w:t>↑7% pts</w:t>
            </w:r>
          </w:p>
        </w:tc>
      </w:tr>
    </w:tbl>
    <w:bookmarkEnd w:id="6"/>
    <w:p w14:paraId="2135D085" w14:textId="24D2CC12" w:rsidR="00B75CFA" w:rsidRDefault="002E63D5" w:rsidP="00EC2238">
      <w:pPr>
        <w:pStyle w:val="Source"/>
      </w:pPr>
      <w:r w:rsidRPr="002E63D5">
        <w:t>Source: Jobs and Skills Australia, Survey of Employers who Recently Advertised (SERA).</w:t>
      </w:r>
      <w:r w:rsidR="005A148A">
        <w:br/>
        <w:t xml:space="preserve">Note: </w:t>
      </w:r>
      <w:r w:rsidR="006C3A92">
        <w:t>The change from previous quarter refers to the change from March q</w:t>
      </w:r>
      <w:r w:rsidR="00C655D6">
        <w:t>uar</w:t>
      </w:r>
      <w:r w:rsidR="006C3A92">
        <w:t>t</w:t>
      </w:r>
      <w:r w:rsidR="00C655D6">
        <w:t>e</w:t>
      </w:r>
      <w:r w:rsidR="006C3A92">
        <w:t>r 20</w:t>
      </w:r>
      <w:r w:rsidR="00F21948">
        <w:t>24</w:t>
      </w:r>
      <w:r w:rsidR="006C3A92">
        <w:t xml:space="preserve"> to </w:t>
      </w:r>
      <w:r w:rsidR="007F0861">
        <w:t>June</w:t>
      </w:r>
      <w:r w:rsidR="006C3A92">
        <w:t xml:space="preserve"> q</w:t>
      </w:r>
      <w:r w:rsidR="00C655D6">
        <w:t>uar</w:t>
      </w:r>
      <w:r w:rsidR="006C3A92">
        <w:t>t</w:t>
      </w:r>
      <w:r w:rsidR="00C655D6">
        <w:t>e</w:t>
      </w:r>
      <w:r w:rsidR="006C3A92">
        <w:t>r 20</w:t>
      </w:r>
      <w:r w:rsidR="00F21948">
        <w:t xml:space="preserve">24. The change from the previous year refers to the change from </w:t>
      </w:r>
      <w:r w:rsidR="00F1257E">
        <w:t>June</w:t>
      </w:r>
      <w:r w:rsidR="00F21948">
        <w:t xml:space="preserve"> q</w:t>
      </w:r>
      <w:r w:rsidR="00C655D6">
        <w:t>uar</w:t>
      </w:r>
      <w:r w:rsidR="00F21948">
        <w:t>t</w:t>
      </w:r>
      <w:r w:rsidR="00C655D6">
        <w:t>e</w:t>
      </w:r>
      <w:r w:rsidR="00F21948">
        <w:t xml:space="preserve">r 2023 to </w:t>
      </w:r>
      <w:r w:rsidR="00F1257E">
        <w:t>June</w:t>
      </w:r>
      <w:r w:rsidR="00F21948">
        <w:t xml:space="preserve"> q</w:t>
      </w:r>
      <w:r w:rsidR="00C655D6">
        <w:t>uar</w:t>
      </w:r>
      <w:r w:rsidR="00F21948">
        <w:t>t</w:t>
      </w:r>
      <w:r w:rsidR="00C655D6">
        <w:t>e</w:t>
      </w:r>
      <w:r w:rsidR="00F21948">
        <w:t>r 2024.</w:t>
      </w:r>
    </w:p>
    <w:p w14:paraId="41808622" w14:textId="2E890F1A" w:rsidR="00DA389A" w:rsidRDefault="00FA021B" w:rsidP="00DA389A">
      <w:pPr>
        <w:spacing w:after="160" w:line="259" w:lineRule="auto"/>
      </w:pPr>
      <w:bookmarkStart w:id="7" w:name="_Hlk150886432"/>
      <w:r w:rsidRPr="00D93C1A">
        <w:t xml:space="preserve">The fill rate </w:t>
      </w:r>
      <w:r>
        <w:t>across all</w:t>
      </w:r>
      <w:r w:rsidRPr="00D93C1A">
        <w:t xml:space="preserve"> occupations increased by </w:t>
      </w:r>
      <w:r>
        <w:t xml:space="preserve">1.7 percentage points </w:t>
      </w:r>
      <w:r w:rsidRPr="00D93C1A">
        <w:t xml:space="preserve">to </w:t>
      </w:r>
      <w:r>
        <w:t>66.2</w:t>
      </w:r>
      <w:r w:rsidRPr="00D93C1A">
        <w:t xml:space="preserve">% </w:t>
      </w:r>
      <w:r>
        <w:t xml:space="preserve">over the June quarter 2024 </w:t>
      </w:r>
      <w:r w:rsidR="00B77169" w:rsidRPr="00D93C1A">
        <w:t>(</w:t>
      </w:r>
      <w:r w:rsidR="00CF6F7B">
        <w:fldChar w:fldCharType="begin"/>
      </w:r>
      <w:r w:rsidR="00CF6F7B">
        <w:instrText xml:space="preserve"> REF _Ref173248539 \h </w:instrText>
      </w:r>
      <w:r w:rsidR="00CF6F7B">
        <w:fldChar w:fldCharType="separate"/>
      </w:r>
      <w:r w:rsidR="00245DC9" w:rsidRPr="00847164">
        <w:t xml:space="preserve">Table </w:t>
      </w:r>
      <w:r w:rsidR="00245DC9">
        <w:rPr>
          <w:noProof/>
        </w:rPr>
        <w:t>1</w:t>
      </w:r>
      <w:r w:rsidR="00CF6F7B">
        <w:fldChar w:fldCharType="end"/>
      </w:r>
      <w:r w:rsidR="00CF6F7B">
        <w:t xml:space="preserve"> </w:t>
      </w:r>
      <w:r w:rsidR="00E61D3A">
        <w:t xml:space="preserve">and </w:t>
      </w:r>
      <w:r w:rsidR="00013D87">
        <w:fldChar w:fldCharType="begin"/>
      </w:r>
      <w:r w:rsidR="00013D87">
        <w:instrText xml:space="preserve"> REF _Ref172275203 \h </w:instrText>
      </w:r>
      <w:r w:rsidR="00013D87">
        <w:fldChar w:fldCharType="separate"/>
      </w:r>
      <w:r w:rsidR="00245DC9">
        <w:rPr>
          <w:noProof/>
        </w:rPr>
        <w:t>1</w:t>
      </w:r>
      <w:r w:rsidR="00013D87">
        <w:fldChar w:fldCharType="end"/>
      </w:r>
      <w:r w:rsidR="00B77169" w:rsidRPr="00D93C1A">
        <w:t>).</w:t>
      </w:r>
      <w:r w:rsidR="00B77169">
        <w:rPr>
          <w:rStyle w:val="FootnoteReference"/>
        </w:rPr>
        <w:footnoteReference w:id="2"/>
      </w:r>
      <w:r w:rsidR="00B77169" w:rsidRPr="00D93C1A">
        <w:t xml:space="preserve"> </w:t>
      </w:r>
      <w:bookmarkEnd w:id="7"/>
      <w:r w:rsidR="00DA389A">
        <w:t xml:space="preserve">It increased by 4.8 percentage points over the last 12 months to the current quarter. This is underpinned by increases in the total </w:t>
      </w:r>
      <w:r w:rsidR="00DA389A" w:rsidRPr="00D93C1A">
        <w:t xml:space="preserve">number of applicants, qualified </w:t>
      </w:r>
      <w:r w:rsidR="00E94AD8" w:rsidRPr="00D93C1A">
        <w:t>applicants,</w:t>
      </w:r>
      <w:r w:rsidR="00DA389A" w:rsidRPr="00D93C1A">
        <w:t xml:space="preserve"> and suitable applicants </w:t>
      </w:r>
      <w:r w:rsidR="00DA389A">
        <w:t>per vacancy over the quarter and the year to June quarter 2024</w:t>
      </w:r>
      <w:r w:rsidR="00DA389A" w:rsidRPr="00D93C1A">
        <w:t>.</w:t>
      </w:r>
      <w:r w:rsidR="00DA389A">
        <w:t xml:space="preserve"> </w:t>
      </w:r>
    </w:p>
    <w:p w14:paraId="7061DF39" w14:textId="1F956220" w:rsidR="00E61D3A" w:rsidRDefault="000C46C5">
      <w:pPr>
        <w:spacing w:after="160" w:line="259" w:lineRule="auto"/>
      </w:pPr>
      <w:r>
        <w:t xml:space="preserve">In </w:t>
      </w:r>
      <w:r w:rsidR="52082080">
        <w:t>June</w:t>
      </w:r>
      <w:r w:rsidR="00E873EF">
        <w:t xml:space="preserve"> quarter</w:t>
      </w:r>
      <w:r w:rsidR="0056147D">
        <w:t xml:space="preserve"> 2024</w:t>
      </w:r>
      <w:r w:rsidR="00E97381">
        <w:t xml:space="preserve">, the suitability gap increased by </w:t>
      </w:r>
      <w:r w:rsidR="00967F97">
        <w:t>1.8</w:t>
      </w:r>
      <w:r w:rsidR="00E97381">
        <w:t xml:space="preserve"> percentage points to </w:t>
      </w:r>
      <w:r w:rsidR="00967F97">
        <w:t>60.7</w:t>
      </w:r>
      <w:r w:rsidR="00E97381">
        <w:t>%.</w:t>
      </w:r>
      <w:r w:rsidR="00E97381">
        <w:rPr>
          <w:rStyle w:val="FootnoteReference"/>
        </w:rPr>
        <w:footnoteReference w:id="3"/>
      </w:r>
      <w:r w:rsidR="00E97381" w:rsidRPr="001D52EF">
        <w:t xml:space="preserve"> </w:t>
      </w:r>
      <w:r w:rsidR="00846A66">
        <w:t>The</w:t>
      </w:r>
      <w:r w:rsidR="00E97381">
        <w:t xml:space="preserve"> suitability gap captures the percentage </w:t>
      </w:r>
      <w:r w:rsidR="00E97381" w:rsidRPr="00C17744">
        <w:t xml:space="preserve">of applicants who have the required qualifications but are deemed unsuitable </w:t>
      </w:r>
      <w:r w:rsidR="004D2507">
        <w:t xml:space="preserve">by employers </w:t>
      </w:r>
      <w:r w:rsidR="00E97381" w:rsidRPr="00C17744">
        <w:t>for the job advertised</w:t>
      </w:r>
      <w:r w:rsidR="00E97381">
        <w:t>.</w:t>
      </w:r>
      <w:r w:rsidR="00655781">
        <w:rPr>
          <w:rStyle w:val="FootnoteReference"/>
        </w:rPr>
        <w:footnoteReference w:id="4"/>
      </w:r>
      <w:r w:rsidR="00E97381">
        <w:t xml:space="preserve"> </w:t>
      </w:r>
      <w:r w:rsidR="002C6D86">
        <w:t xml:space="preserve">The gap </w:t>
      </w:r>
      <w:r w:rsidR="00B770EF">
        <w:t xml:space="preserve">increased </w:t>
      </w:r>
      <w:r w:rsidR="005430CF">
        <w:t xml:space="preserve">from </w:t>
      </w:r>
      <w:r w:rsidR="00820AE5">
        <w:t>53.8</w:t>
      </w:r>
      <w:r w:rsidR="005430CF">
        <w:t xml:space="preserve">% in </w:t>
      </w:r>
      <w:r w:rsidR="00536167">
        <w:t>June</w:t>
      </w:r>
      <w:r w:rsidR="00612B05">
        <w:t xml:space="preserve"> quarter 2023 </w:t>
      </w:r>
      <w:r w:rsidR="008540E3">
        <w:t xml:space="preserve">to </w:t>
      </w:r>
      <w:r w:rsidR="009B3E8A">
        <w:t>60.7% in June quarter 2024</w:t>
      </w:r>
      <w:r w:rsidR="004F5093">
        <w:t xml:space="preserve">. This is a </w:t>
      </w:r>
      <w:r w:rsidR="00820AE5">
        <w:t xml:space="preserve">7 </w:t>
      </w:r>
      <w:r w:rsidR="008540E3">
        <w:t xml:space="preserve">percentage points </w:t>
      </w:r>
      <w:r w:rsidR="004F5093">
        <w:t xml:space="preserve">increase. </w:t>
      </w:r>
      <w:r w:rsidR="0074210A">
        <w:t>The i</w:t>
      </w:r>
      <w:r w:rsidR="0074210A" w:rsidRPr="00817F17">
        <w:t xml:space="preserve">ncrease </w:t>
      </w:r>
      <w:r w:rsidR="00817F17" w:rsidRPr="00817F17">
        <w:t>in suitability gap</w:t>
      </w:r>
      <w:r w:rsidR="0074692C">
        <w:t xml:space="preserve"> may</w:t>
      </w:r>
      <w:r w:rsidR="00817F17" w:rsidRPr="00817F17">
        <w:t xml:space="preserve"> indicates that employers </w:t>
      </w:r>
      <w:r w:rsidR="00DD16ED">
        <w:t>have more choice</w:t>
      </w:r>
      <w:r w:rsidR="00EC319D">
        <w:t xml:space="preserve"> </w:t>
      </w:r>
      <w:r w:rsidR="00185352">
        <w:t xml:space="preserve">and can scrutinise </w:t>
      </w:r>
      <w:r w:rsidR="00EC319D">
        <w:t xml:space="preserve">qualified </w:t>
      </w:r>
      <w:r w:rsidR="0074210A">
        <w:t>applicants</w:t>
      </w:r>
      <w:r w:rsidR="00DD16ED">
        <w:t xml:space="preserve"> </w:t>
      </w:r>
      <w:r w:rsidR="00185352">
        <w:t xml:space="preserve">more </w:t>
      </w:r>
      <w:r w:rsidR="00817F17" w:rsidRPr="00817F17">
        <w:t>during recruitment</w:t>
      </w:r>
      <w:r w:rsidR="00185352">
        <w:t xml:space="preserve">. During tighter labour market conditions last year, the suitability gap was much narrower. </w:t>
      </w:r>
    </w:p>
    <w:p w14:paraId="2DC744EB" w14:textId="77777777" w:rsidR="002D50BD" w:rsidRDefault="002D50BD">
      <w:pPr>
        <w:spacing w:after="160" w:line="259" w:lineRule="auto"/>
      </w:pPr>
    </w:p>
    <w:p w14:paraId="0F4D5078" w14:textId="77777777" w:rsidR="002D50BD" w:rsidRDefault="002D50BD">
      <w:pPr>
        <w:spacing w:after="160" w:line="259" w:lineRule="auto"/>
      </w:pPr>
    </w:p>
    <w:p w14:paraId="2EB5197D" w14:textId="77777777" w:rsidR="002D50BD" w:rsidRDefault="002D50BD">
      <w:pPr>
        <w:spacing w:after="160" w:line="259" w:lineRule="auto"/>
      </w:pPr>
    </w:p>
    <w:p w14:paraId="69A6C3DC" w14:textId="77777777" w:rsidR="002D50BD" w:rsidRDefault="002D50BD">
      <w:pPr>
        <w:spacing w:after="160" w:line="259" w:lineRule="auto"/>
      </w:pPr>
    </w:p>
    <w:p w14:paraId="2AF8047A" w14:textId="6FE51F10" w:rsidR="002D50BD" w:rsidRDefault="0081652C" w:rsidP="002D50BD">
      <w:pPr>
        <w:pStyle w:val="Caption"/>
      </w:pPr>
      <w:r>
        <w:lastRenderedPageBreak/>
        <w:t xml:space="preserve">Figure </w:t>
      </w:r>
      <w:bookmarkStart w:id="8" w:name="_Ref172275203"/>
      <w:r>
        <w:fldChar w:fldCharType="begin"/>
      </w:r>
      <w:r>
        <w:instrText xml:space="preserve"> SEQ Figure \* ARABIC </w:instrText>
      </w:r>
      <w:r>
        <w:fldChar w:fldCharType="separate"/>
      </w:r>
      <w:r w:rsidR="00245DC9">
        <w:rPr>
          <w:noProof/>
        </w:rPr>
        <w:t>1</w:t>
      </w:r>
      <w:r>
        <w:fldChar w:fldCharType="end"/>
      </w:r>
      <w:bookmarkEnd w:id="8"/>
      <w:r>
        <w:t>:</w:t>
      </w:r>
      <w:r w:rsidRPr="00400195">
        <w:t xml:space="preserve"> </w:t>
      </w:r>
      <w:r>
        <w:t xml:space="preserve">National </w:t>
      </w:r>
      <w:r w:rsidRPr="00400195">
        <w:t>Fill rate (%); average total, qualified and suitable applicants per vacancy (no.)</w:t>
      </w:r>
      <w:r w:rsidR="00803F77">
        <w:rPr>
          <w:rStyle w:val="FootnoteReference"/>
        </w:rPr>
        <w:footnoteReference w:id="5"/>
      </w:r>
      <w:r w:rsidRPr="00400195">
        <w:t xml:space="preserve"> </w:t>
      </w:r>
      <w:r w:rsidR="002D50BD">
        <w:br/>
      </w:r>
      <w:r w:rsidR="00F5129B">
        <w:br/>
      </w:r>
      <w:r w:rsidR="00862424" w:rsidRPr="00F13746">
        <w:rPr>
          <w:noProof/>
          <w:color w:val="FFFFFF" w:themeColor="background1"/>
        </w:rPr>
        <w:drawing>
          <wp:inline distT="0" distB="0" distL="0" distR="0" wp14:anchorId="54EFF604" wp14:editId="285BB4A5">
            <wp:extent cx="5731200" cy="3348000"/>
            <wp:effectExtent l="0" t="0" r="3175" b="5080"/>
            <wp:docPr id="1909907943" name="Chart 1" descr="Figure 1: National Fill rate (%); average total, qualified and suitable applicants per vacancy (no.) ">
              <a:extLst xmlns:a="http://schemas.openxmlformats.org/drawingml/2006/main">
                <a:ext uri="{FF2B5EF4-FFF2-40B4-BE49-F238E27FC236}">
                  <a16:creationId xmlns:a16="http://schemas.microsoft.com/office/drawing/2014/main" id="{0D91017C-41AE-44A9-9C2C-4DEA7968AC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96678F8" w14:textId="30C33725" w:rsidR="002D50BD" w:rsidRPr="002D50BD" w:rsidRDefault="002D50BD" w:rsidP="004A07AF">
      <w:pPr>
        <w:pStyle w:val="Source"/>
      </w:pPr>
      <w:r w:rsidRPr="003425BF">
        <w:t>Source: Jobs and Skills Australia, Survey of Employers who Recently Advertised</w:t>
      </w:r>
      <w:r>
        <w:br/>
      </w:r>
    </w:p>
    <w:p w14:paraId="00216BD8" w14:textId="0884FFDB" w:rsidR="00D56882" w:rsidRDefault="00E81DE9">
      <w:pPr>
        <w:spacing w:after="160" w:line="259" w:lineRule="auto"/>
      </w:pPr>
      <w:r w:rsidRPr="00E81DE9">
        <w:t>Increases in the fill rate indicate</w:t>
      </w:r>
      <w:r w:rsidR="00954C15">
        <w:t xml:space="preserve"> </w:t>
      </w:r>
      <w:r w:rsidRPr="00E81DE9">
        <w:t xml:space="preserve">that </w:t>
      </w:r>
      <w:r w:rsidR="00954C15">
        <w:t>employers</w:t>
      </w:r>
      <w:r w:rsidR="005D52EC">
        <w:t xml:space="preserve"> </w:t>
      </w:r>
      <w:r w:rsidR="00E33224">
        <w:t xml:space="preserve">fill vacancies, </w:t>
      </w:r>
      <w:r w:rsidRPr="00E81DE9">
        <w:t>relatively</w:t>
      </w:r>
      <w:r w:rsidR="00E33224">
        <w:t>,</w:t>
      </w:r>
      <w:r w:rsidRPr="00E81DE9">
        <w:t xml:space="preserve"> </w:t>
      </w:r>
      <w:r w:rsidR="00E33224">
        <w:t xml:space="preserve">more </w:t>
      </w:r>
      <w:r w:rsidRPr="00E81DE9">
        <w:t>eas</w:t>
      </w:r>
      <w:r w:rsidR="00E33224">
        <w:t xml:space="preserve">ily. </w:t>
      </w:r>
      <w:r w:rsidR="00A53040">
        <w:t xml:space="preserve">The rise in the fill rates </w:t>
      </w:r>
      <w:r w:rsidR="002B4EFE">
        <w:t>is</w:t>
      </w:r>
      <w:r w:rsidR="00A53040">
        <w:t xml:space="preserve"> consistent with </w:t>
      </w:r>
      <w:r w:rsidR="00D25152">
        <w:t xml:space="preserve">movement in </w:t>
      </w:r>
      <w:r w:rsidRPr="00E81DE9">
        <w:t>other labour market indicators</w:t>
      </w:r>
      <w:r w:rsidR="00A53040">
        <w:t xml:space="preserve">, which </w:t>
      </w:r>
      <w:r w:rsidR="00D25152">
        <w:t xml:space="preserve">are signalling </w:t>
      </w:r>
      <w:r w:rsidR="00D64CCF">
        <w:t>softening labour market conditions</w:t>
      </w:r>
      <w:r w:rsidRPr="00E81DE9">
        <w:t xml:space="preserve">. </w:t>
      </w:r>
    </w:p>
    <w:p w14:paraId="0735D295" w14:textId="2198F6E2" w:rsidR="00D87930" w:rsidRDefault="00D257C0">
      <w:pPr>
        <w:spacing w:after="160" w:line="259" w:lineRule="auto"/>
      </w:pPr>
      <w:r>
        <w:t>T</w:t>
      </w:r>
      <w:r w:rsidR="00E81DE9" w:rsidRPr="00E81DE9">
        <w:t xml:space="preserve">he recent </w:t>
      </w:r>
      <w:r w:rsidR="000229F4">
        <w:t xml:space="preserve">June </w:t>
      </w:r>
      <w:r w:rsidR="00E81DE9" w:rsidRPr="00E81DE9">
        <w:t>Labour Force survey data from</w:t>
      </w:r>
      <w:r w:rsidR="00F87681">
        <w:t xml:space="preserve"> the</w:t>
      </w:r>
      <w:r w:rsidR="00E81DE9" w:rsidRPr="00E81DE9">
        <w:t xml:space="preserve"> Australian Bureau of Statistics</w:t>
      </w:r>
      <w:r w:rsidR="00F87681">
        <w:t xml:space="preserve"> </w:t>
      </w:r>
      <w:r w:rsidR="00E81DE9" w:rsidRPr="00E81DE9">
        <w:t xml:space="preserve">shows that </w:t>
      </w:r>
      <w:r w:rsidR="00FE3766">
        <w:t xml:space="preserve">the unemployment has increased </w:t>
      </w:r>
      <w:r w:rsidR="003272BE">
        <w:t>by 0.5</w:t>
      </w:r>
      <w:r w:rsidR="0033625E">
        <w:t xml:space="preserve">% pts to </w:t>
      </w:r>
      <w:r w:rsidR="00FE3766">
        <w:t xml:space="preserve">4.1 percent </w:t>
      </w:r>
      <w:r w:rsidR="0033625E">
        <w:t xml:space="preserve">over the 12 months to June </w:t>
      </w:r>
      <w:r w:rsidR="0044625A">
        <w:t xml:space="preserve">2024. </w:t>
      </w:r>
      <w:r w:rsidR="00E81DE9" w:rsidRPr="00E81DE9">
        <w:t>The number of internet vacancies</w:t>
      </w:r>
      <w:r w:rsidR="00262A66">
        <w:t>,</w:t>
      </w:r>
      <w:r w:rsidR="00E81DE9" w:rsidRPr="00E81DE9">
        <w:t xml:space="preserve"> as measured by </w:t>
      </w:r>
      <w:r w:rsidR="00DF08B4">
        <w:t>Jobs and Skills Australia’s</w:t>
      </w:r>
      <w:r w:rsidR="00DF08B4" w:rsidRPr="00E81DE9">
        <w:t xml:space="preserve"> </w:t>
      </w:r>
      <w:r w:rsidR="00E81DE9" w:rsidRPr="00E81DE9">
        <w:t>Internet Vacancy Index (IVI)</w:t>
      </w:r>
      <w:r w:rsidR="00262A66">
        <w:t>,</w:t>
      </w:r>
      <w:r w:rsidR="00E81DE9" w:rsidRPr="00E81DE9">
        <w:t xml:space="preserve"> and the recruitment difficulty rate from </w:t>
      </w:r>
      <w:r w:rsidR="00DF08B4">
        <w:t>Jobs and Skills Australia’s</w:t>
      </w:r>
      <w:r w:rsidR="00DF08B4" w:rsidRPr="00E81DE9">
        <w:t xml:space="preserve"> </w:t>
      </w:r>
      <w:r w:rsidR="00E81DE9" w:rsidRPr="00E81DE9">
        <w:t xml:space="preserve">Recruitment Experiences and Outlook Survey (REOS) </w:t>
      </w:r>
      <w:r w:rsidR="00A93164">
        <w:t xml:space="preserve">have </w:t>
      </w:r>
      <w:r w:rsidR="00E81DE9" w:rsidRPr="00E81DE9">
        <w:t xml:space="preserve">both </w:t>
      </w:r>
      <w:r w:rsidR="00A93164">
        <w:t xml:space="preserve">been trending down </w:t>
      </w:r>
      <w:r w:rsidR="00BA6F4B">
        <w:t xml:space="preserve">since March </w:t>
      </w:r>
      <w:r w:rsidR="00E81DE9" w:rsidRPr="00E81DE9">
        <w:t>quarter 202</w:t>
      </w:r>
      <w:r w:rsidR="00BA6F4B">
        <w:t xml:space="preserve">3, generally. </w:t>
      </w:r>
      <w:r w:rsidR="00C24311">
        <w:t xml:space="preserve">Further, they </w:t>
      </w:r>
      <w:r w:rsidR="00474442">
        <w:t xml:space="preserve">are both </w:t>
      </w:r>
      <w:r w:rsidR="00E81DE9" w:rsidRPr="00E81DE9">
        <w:t>lower than a year ago (</w:t>
      </w:r>
      <w:r w:rsidR="00CF6F7B">
        <w:fldChar w:fldCharType="begin"/>
      </w:r>
      <w:r w:rsidR="00CF6F7B">
        <w:instrText xml:space="preserve"> REF _Ref173248482 \h </w:instrText>
      </w:r>
      <w:r w:rsidR="00CF6F7B">
        <w:fldChar w:fldCharType="separate"/>
      </w:r>
      <w:r w:rsidR="00245DC9">
        <w:t xml:space="preserve">Figure </w:t>
      </w:r>
      <w:r w:rsidR="00245DC9">
        <w:rPr>
          <w:noProof/>
        </w:rPr>
        <w:t>2</w:t>
      </w:r>
      <w:r w:rsidR="00CF6F7B">
        <w:fldChar w:fldCharType="end"/>
      </w:r>
      <w:r w:rsidR="00E81DE9" w:rsidRPr="00E81DE9">
        <w:t xml:space="preserve">). </w:t>
      </w:r>
    </w:p>
    <w:p w14:paraId="4055379C" w14:textId="57B7CE5E" w:rsidR="0067316A" w:rsidRDefault="00E955B3">
      <w:pPr>
        <w:spacing w:after="160" w:line="259" w:lineRule="auto"/>
      </w:pPr>
      <w:r>
        <w:t xml:space="preserve">Rising fill rates and </w:t>
      </w:r>
      <w:r w:rsidR="00D87930" w:rsidRPr="006A2319">
        <w:t>easing labour market conditions</w:t>
      </w:r>
      <w:r>
        <w:t xml:space="preserve"> does not </w:t>
      </w:r>
      <w:r w:rsidR="003E5ED3">
        <w:t xml:space="preserve">necessarily </w:t>
      </w:r>
      <w:r>
        <w:t xml:space="preserve">mean </w:t>
      </w:r>
      <w:r w:rsidR="00D87930" w:rsidRPr="006A2319">
        <w:t xml:space="preserve">employers are </w:t>
      </w:r>
      <w:r>
        <w:t xml:space="preserve">not </w:t>
      </w:r>
      <w:r w:rsidR="00D87930" w:rsidRPr="006A2319">
        <w:t xml:space="preserve">experiencing challenges finding suitably skilled workers to fill vacant positions. </w:t>
      </w:r>
      <w:r w:rsidR="00AB2774">
        <w:t xml:space="preserve">The average number of suitable applicants per vacancy </w:t>
      </w:r>
      <w:r w:rsidR="00D25C09">
        <w:t xml:space="preserve">has increased </w:t>
      </w:r>
      <w:r w:rsidR="00A745A9">
        <w:t xml:space="preserve">more </w:t>
      </w:r>
      <w:r w:rsidR="00D25C09">
        <w:t>modestly over the course of the year</w:t>
      </w:r>
      <w:r w:rsidR="00A745A9">
        <w:t xml:space="preserve"> compared to total number of applicants per vacancy and </w:t>
      </w:r>
      <w:r w:rsidR="00063E6A">
        <w:t xml:space="preserve">qualified applicants per vacancy. </w:t>
      </w:r>
    </w:p>
    <w:p w14:paraId="299F6DC6" w14:textId="199EBC19" w:rsidR="0046081C" w:rsidRDefault="0046081C">
      <w:pPr>
        <w:spacing w:after="160" w:line="259" w:lineRule="auto"/>
        <w:rPr>
          <w:b/>
          <w:bCs/>
          <w:sz w:val="18"/>
          <w:szCs w:val="18"/>
        </w:rPr>
      </w:pPr>
      <w:r>
        <w:rPr>
          <w:b/>
          <w:bCs/>
          <w:sz w:val="18"/>
          <w:szCs w:val="18"/>
        </w:rPr>
        <w:br w:type="page"/>
      </w:r>
    </w:p>
    <w:p w14:paraId="7478E09B" w14:textId="1FF237C4" w:rsidR="00313229" w:rsidRPr="00320F64" w:rsidRDefault="00CF6F7B" w:rsidP="00CF6F7B">
      <w:pPr>
        <w:pStyle w:val="Caption"/>
      </w:pPr>
      <w:bookmarkStart w:id="9" w:name="_Ref173248482"/>
      <w:bookmarkStart w:id="10" w:name="_Hlk166666062"/>
      <w:r>
        <w:lastRenderedPageBreak/>
        <w:t xml:space="preserve">Figure </w:t>
      </w:r>
      <w:r>
        <w:fldChar w:fldCharType="begin"/>
      </w:r>
      <w:r>
        <w:instrText xml:space="preserve"> SEQ Figure \* ARABIC </w:instrText>
      </w:r>
      <w:r>
        <w:fldChar w:fldCharType="separate"/>
      </w:r>
      <w:r w:rsidR="00245DC9">
        <w:rPr>
          <w:noProof/>
        </w:rPr>
        <w:t>2</w:t>
      </w:r>
      <w:r>
        <w:fldChar w:fldCharType="end"/>
      </w:r>
      <w:bookmarkEnd w:id="9"/>
      <w:bookmarkEnd w:id="10"/>
      <w:r w:rsidR="00320F64" w:rsidRPr="00906A5D">
        <w:t>:</w:t>
      </w:r>
      <w:r w:rsidR="00F06BF6">
        <w:t xml:space="preserve"> National</w:t>
      </w:r>
      <w:r w:rsidR="00320F64" w:rsidRPr="00906A5D">
        <w:t xml:space="preserve"> </w:t>
      </w:r>
      <w:r w:rsidR="00F06BF6">
        <w:t>f</w:t>
      </w:r>
      <w:r w:rsidR="00320F64" w:rsidRPr="00906A5D">
        <w:t xml:space="preserve">ill rate (%) and </w:t>
      </w:r>
      <w:r w:rsidR="004C0E68" w:rsidRPr="00906A5D">
        <w:t xml:space="preserve">monthly </w:t>
      </w:r>
      <w:r w:rsidR="00320F64" w:rsidRPr="00906A5D">
        <w:t>recruitment difficulty rate (%) (l</w:t>
      </w:r>
      <w:r w:rsidR="00487523" w:rsidRPr="00906A5D">
        <w:t>eft</w:t>
      </w:r>
      <w:r w:rsidR="00271280" w:rsidRPr="00906A5D">
        <w:t xml:space="preserve"> axis</w:t>
      </w:r>
      <w:r w:rsidR="00320F64" w:rsidRPr="00906A5D">
        <w:t xml:space="preserve">), and </w:t>
      </w:r>
      <w:r w:rsidR="004C0E68" w:rsidRPr="00906A5D">
        <w:t xml:space="preserve">monthly </w:t>
      </w:r>
      <w:r w:rsidR="00320F64" w:rsidRPr="00906A5D">
        <w:t>internet vacancy index (r</w:t>
      </w:r>
      <w:r w:rsidR="00487523" w:rsidRPr="00906A5D">
        <w:t>ight</w:t>
      </w:r>
      <w:r w:rsidR="00320F64" w:rsidRPr="00906A5D">
        <w:t>)</w:t>
      </w:r>
      <w:r w:rsidR="00AD4F1B" w:rsidRPr="00906A5D">
        <w:t xml:space="preserve">, </w:t>
      </w:r>
      <w:r w:rsidR="00D34F4E">
        <w:t>by national</w:t>
      </w:r>
    </w:p>
    <w:p w14:paraId="665D3244" w14:textId="6F3A832C" w:rsidR="009F6311" w:rsidRPr="00031B05" w:rsidRDefault="003B0E2C" w:rsidP="00F13746">
      <w:pPr>
        <w:pStyle w:val="Source"/>
      </w:pPr>
      <w:r>
        <w:rPr>
          <w:noProof/>
        </w:rPr>
        <w:drawing>
          <wp:inline distT="0" distB="0" distL="0" distR="0" wp14:anchorId="32C73389" wp14:editId="08048DF7">
            <wp:extent cx="5731200" cy="3348000"/>
            <wp:effectExtent l="0" t="0" r="3175" b="5080"/>
            <wp:docPr id="2089291212" name="Chart 1" descr="Figure 2: National fill rate (%) and monthly recruitment difficulty rate (%) (left axis), and monthly internet vacancy index (right), by national">
              <a:extLst xmlns:a="http://schemas.openxmlformats.org/drawingml/2006/main">
                <a:ext uri="{FF2B5EF4-FFF2-40B4-BE49-F238E27FC236}">
                  <a16:creationId xmlns:a16="http://schemas.microsoft.com/office/drawing/2014/main" id="{B0212168-1ACA-4696-81A8-221FD2120B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C41F95">
        <w:br/>
      </w:r>
      <w:r w:rsidR="009B61CE" w:rsidRPr="00EC2238">
        <w:t>Source: Jobs and Skills Australia: Survey of Employers who Recently Advertised; Recruitment Experiences and Outlook Survey; and Internet Vacancy Index (seasonally adjusted).</w:t>
      </w:r>
    </w:p>
    <w:p w14:paraId="530664A8" w14:textId="77777777" w:rsidR="00F76342" w:rsidRDefault="00F76342">
      <w:pPr>
        <w:spacing w:after="160" w:line="259" w:lineRule="auto"/>
        <w:rPr>
          <w:rFonts w:eastAsiaTheme="majorEastAsia" w:cstheme="majorBidi"/>
          <w:b/>
          <w:color w:val="4B0885" w:themeColor="text2"/>
          <w:sz w:val="56"/>
          <w:szCs w:val="32"/>
        </w:rPr>
      </w:pPr>
      <w:r>
        <w:br w:type="page"/>
      </w:r>
    </w:p>
    <w:p w14:paraId="7BB32F9D" w14:textId="0C63281C" w:rsidR="00A13E6D" w:rsidRDefault="00A13E6D" w:rsidP="00A13E6D">
      <w:pPr>
        <w:pStyle w:val="Heading1"/>
      </w:pPr>
      <w:bookmarkStart w:id="11" w:name="_Toc173755011"/>
      <w:r>
        <w:lastRenderedPageBreak/>
        <w:t>Results by region</w:t>
      </w:r>
      <w:bookmarkEnd w:id="11"/>
      <w:r>
        <w:t xml:space="preserve"> </w:t>
      </w:r>
    </w:p>
    <w:p w14:paraId="1DF59549" w14:textId="0DDF7AC3" w:rsidR="005D5FC7" w:rsidRDefault="00C77B5B" w:rsidP="00F13746">
      <w:pPr>
        <w:pStyle w:val="Heading2"/>
      </w:pPr>
      <w:bookmarkStart w:id="12" w:name="_Toc173755012"/>
      <w:r w:rsidRPr="00C77B5B">
        <w:t>Metro</w:t>
      </w:r>
      <w:r w:rsidR="003E5ED3">
        <w:t>politan area</w:t>
      </w:r>
      <w:bookmarkEnd w:id="12"/>
    </w:p>
    <w:p w14:paraId="5333F4BF" w14:textId="3B8D5EE6" w:rsidR="005D5FC7" w:rsidRDefault="00CF6F7B" w:rsidP="00CF6F7B">
      <w:pPr>
        <w:pStyle w:val="Caption"/>
      </w:pPr>
      <w:bookmarkStart w:id="13" w:name="_Ref173248727"/>
      <w:r>
        <w:t xml:space="preserve">Table </w:t>
      </w:r>
      <w:r>
        <w:fldChar w:fldCharType="begin"/>
      </w:r>
      <w:r>
        <w:instrText xml:space="preserve"> SEQ Table \* ARABIC </w:instrText>
      </w:r>
      <w:r>
        <w:fldChar w:fldCharType="separate"/>
      </w:r>
      <w:r w:rsidR="00245DC9">
        <w:rPr>
          <w:noProof/>
        </w:rPr>
        <w:t>2</w:t>
      </w:r>
      <w:r>
        <w:fldChar w:fldCharType="end"/>
      </w:r>
      <w:bookmarkEnd w:id="13"/>
      <w:r w:rsidR="005D5FC7">
        <w:t>: Metro</w:t>
      </w:r>
      <w:r w:rsidR="003E5ED3">
        <w:t>politan</w:t>
      </w:r>
      <w:r w:rsidR="005D5FC7">
        <w:t xml:space="preserve"> snapshot</w:t>
      </w:r>
    </w:p>
    <w:tbl>
      <w:tblPr>
        <w:tblStyle w:val="JSATable1"/>
        <w:tblW w:w="5000" w:type="pct"/>
        <w:tblLook w:val="0020" w:firstRow="1" w:lastRow="0" w:firstColumn="0" w:lastColumn="0" w:noHBand="0" w:noVBand="0"/>
      </w:tblPr>
      <w:tblGrid>
        <w:gridCol w:w="3116"/>
        <w:gridCol w:w="1682"/>
        <w:gridCol w:w="2127"/>
        <w:gridCol w:w="2101"/>
      </w:tblGrid>
      <w:tr w:rsidR="00D400B7" w:rsidRPr="00FB201E" w14:paraId="675FFBB4" w14:textId="77777777" w:rsidTr="00901085">
        <w:trPr>
          <w:cnfStyle w:val="100000000000" w:firstRow="1" w:lastRow="0" w:firstColumn="0" w:lastColumn="0" w:oddVBand="0" w:evenVBand="0" w:oddHBand="0" w:evenHBand="0" w:firstRowFirstColumn="0" w:firstRowLastColumn="0" w:lastRowFirstColumn="0" w:lastRowLastColumn="0"/>
        </w:trPr>
        <w:tc>
          <w:tcPr>
            <w:tcW w:w="1726" w:type="pct"/>
          </w:tcPr>
          <w:p w14:paraId="27F39794" w14:textId="77777777" w:rsidR="00D400B7" w:rsidRPr="00F63323" w:rsidRDefault="00D400B7" w:rsidP="00901085">
            <w:pPr>
              <w:rPr>
                <w:rFonts w:asciiTheme="minorHAnsi" w:hAnsiTheme="minorHAnsi" w:cstheme="minorHAnsi"/>
              </w:rPr>
            </w:pPr>
          </w:p>
        </w:tc>
        <w:tc>
          <w:tcPr>
            <w:tcW w:w="932" w:type="pct"/>
          </w:tcPr>
          <w:p w14:paraId="470ACF0C" w14:textId="77777777" w:rsidR="00D400B7" w:rsidRPr="00F63323" w:rsidRDefault="00D400B7" w:rsidP="00901085">
            <w:pPr>
              <w:jc w:val="right"/>
              <w:rPr>
                <w:rFonts w:asciiTheme="minorHAnsi" w:hAnsiTheme="minorHAnsi" w:cstheme="minorHAnsi"/>
              </w:rPr>
            </w:pPr>
            <w:r w:rsidRPr="00F63323">
              <w:rPr>
                <w:rFonts w:asciiTheme="minorHAnsi" w:hAnsiTheme="minorHAnsi" w:cstheme="minorHAnsi"/>
              </w:rPr>
              <w:t>June quarter 2024</w:t>
            </w:r>
          </w:p>
        </w:tc>
        <w:tc>
          <w:tcPr>
            <w:tcW w:w="1178" w:type="pct"/>
          </w:tcPr>
          <w:p w14:paraId="04B5E7BD" w14:textId="77777777" w:rsidR="00D400B7" w:rsidRPr="00F63323" w:rsidRDefault="00D400B7" w:rsidP="00901085">
            <w:pPr>
              <w:jc w:val="right"/>
              <w:rPr>
                <w:rFonts w:asciiTheme="minorHAnsi" w:hAnsiTheme="minorHAnsi" w:cstheme="minorHAnsi"/>
              </w:rPr>
            </w:pPr>
            <w:r w:rsidRPr="00F63323">
              <w:rPr>
                <w:rFonts w:asciiTheme="minorHAnsi" w:hAnsiTheme="minorHAnsi" w:cstheme="minorHAnsi"/>
              </w:rPr>
              <w:t>Change over the quarter</w:t>
            </w:r>
          </w:p>
        </w:tc>
        <w:tc>
          <w:tcPr>
            <w:tcW w:w="1164" w:type="pct"/>
          </w:tcPr>
          <w:p w14:paraId="5187F21C" w14:textId="77777777" w:rsidR="00D400B7" w:rsidRPr="00F63323" w:rsidRDefault="00D400B7" w:rsidP="00901085">
            <w:pPr>
              <w:jc w:val="right"/>
              <w:rPr>
                <w:rFonts w:asciiTheme="minorHAnsi" w:hAnsiTheme="minorHAnsi" w:cstheme="minorHAnsi"/>
              </w:rPr>
            </w:pPr>
            <w:r w:rsidRPr="00F63323">
              <w:rPr>
                <w:rFonts w:asciiTheme="minorHAnsi" w:hAnsiTheme="minorHAnsi" w:cstheme="minorHAnsi"/>
              </w:rPr>
              <w:t>Change over 12 months</w:t>
            </w:r>
          </w:p>
        </w:tc>
      </w:tr>
      <w:tr w:rsidR="00D400B7" w:rsidRPr="00FB201E" w14:paraId="0142C6AD" w14:textId="77777777" w:rsidTr="00901085">
        <w:tc>
          <w:tcPr>
            <w:tcW w:w="1726" w:type="pct"/>
          </w:tcPr>
          <w:p w14:paraId="684818EE" w14:textId="77777777" w:rsidR="00D400B7" w:rsidRPr="00F63323" w:rsidRDefault="00D400B7" w:rsidP="00901085">
            <w:pPr>
              <w:rPr>
                <w:rFonts w:asciiTheme="minorHAnsi" w:hAnsiTheme="minorHAnsi" w:cstheme="minorHAnsi"/>
              </w:rPr>
            </w:pPr>
            <w:r w:rsidRPr="00F63323">
              <w:rPr>
                <w:rFonts w:asciiTheme="minorHAnsi" w:hAnsiTheme="minorHAnsi" w:cstheme="minorHAnsi"/>
              </w:rPr>
              <w:t>Vacancy fill rate (%)</w:t>
            </w:r>
          </w:p>
        </w:tc>
        <w:tc>
          <w:tcPr>
            <w:tcW w:w="932" w:type="pct"/>
          </w:tcPr>
          <w:p w14:paraId="30F15BEC" w14:textId="0193B4AD" w:rsidR="00D400B7" w:rsidRPr="00F63323" w:rsidRDefault="003C7C9D" w:rsidP="00F13746">
            <w:pPr>
              <w:spacing w:after="0" w:line="240" w:lineRule="auto"/>
              <w:jc w:val="right"/>
              <w:rPr>
                <w:rFonts w:asciiTheme="minorHAnsi" w:hAnsiTheme="minorHAnsi" w:cstheme="minorHAnsi"/>
                <w:color w:val="000000"/>
              </w:rPr>
            </w:pPr>
            <w:r w:rsidRPr="00F63323">
              <w:rPr>
                <w:rFonts w:asciiTheme="minorHAnsi" w:hAnsiTheme="minorHAnsi" w:cstheme="minorHAnsi"/>
                <w:color w:val="000000"/>
              </w:rPr>
              <w:t>68.0%</w:t>
            </w:r>
          </w:p>
        </w:tc>
        <w:tc>
          <w:tcPr>
            <w:tcW w:w="1178" w:type="pct"/>
          </w:tcPr>
          <w:p w14:paraId="36603112" w14:textId="4053DD5E" w:rsidR="00D400B7" w:rsidRPr="00F63323" w:rsidRDefault="003C7C9D" w:rsidP="00F13746">
            <w:pPr>
              <w:spacing w:after="0" w:line="240" w:lineRule="auto"/>
              <w:jc w:val="right"/>
              <w:rPr>
                <w:rFonts w:asciiTheme="minorHAnsi" w:hAnsiTheme="minorHAnsi" w:cstheme="minorHAnsi"/>
                <w:color w:val="000000"/>
              </w:rPr>
            </w:pPr>
            <w:r w:rsidRPr="00F63323">
              <w:rPr>
                <w:rFonts w:asciiTheme="minorHAnsi" w:hAnsiTheme="minorHAnsi" w:cstheme="minorHAnsi"/>
              </w:rPr>
              <w:t>↑</w:t>
            </w:r>
            <w:r w:rsidRPr="00F63323">
              <w:rPr>
                <w:rFonts w:asciiTheme="minorHAnsi" w:hAnsiTheme="minorHAnsi" w:cstheme="minorHAnsi"/>
                <w:color w:val="000000"/>
              </w:rPr>
              <w:t>1.8%</w:t>
            </w:r>
          </w:p>
        </w:tc>
        <w:tc>
          <w:tcPr>
            <w:tcW w:w="1164" w:type="pct"/>
          </w:tcPr>
          <w:p w14:paraId="23474C31" w14:textId="7A9C6ED3" w:rsidR="00D400B7" w:rsidRPr="00F63323" w:rsidRDefault="003C7C9D" w:rsidP="003C7C9D">
            <w:pPr>
              <w:jc w:val="right"/>
              <w:rPr>
                <w:rFonts w:asciiTheme="minorHAnsi" w:hAnsiTheme="minorHAnsi" w:cstheme="minorHAnsi"/>
              </w:rPr>
            </w:pPr>
            <w:r w:rsidRPr="00F63323">
              <w:rPr>
                <w:rFonts w:asciiTheme="minorHAnsi" w:hAnsiTheme="minorHAnsi" w:cstheme="minorHAnsi"/>
              </w:rPr>
              <w:t>↑5.4%</w:t>
            </w:r>
          </w:p>
        </w:tc>
      </w:tr>
      <w:tr w:rsidR="00D400B7" w:rsidRPr="00FB201E" w14:paraId="09E62AB3" w14:textId="77777777" w:rsidTr="00901085">
        <w:trPr>
          <w:cnfStyle w:val="000000010000" w:firstRow="0" w:lastRow="0" w:firstColumn="0" w:lastColumn="0" w:oddVBand="0" w:evenVBand="0" w:oddHBand="0" w:evenHBand="1" w:firstRowFirstColumn="0" w:firstRowLastColumn="0" w:lastRowFirstColumn="0" w:lastRowLastColumn="0"/>
        </w:trPr>
        <w:tc>
          <w:tcPr>
            <w:tcW w:w="1726" w:type="pct"/>
          </w:tcPr>
          <w:p w14:paraId="79CC8A46" w14:textId="77777777" w:rsidR="00D400B7" w:rsidRPr="00F63323" w:rsidRDefault="00D400B7" w:rsidP="00901085">
            <w:pPr>
              <w:rPr>
                <w:rFonts w:asciiTheme="minorHAnsi" w:hAnsiTheme="minorHAnsi" w:cstheme="minorHAnsi"/>
              </w:rPr>
            </w:pPr>
            <w:r w:rsidRPr="00F63323">
              <w:rPr>
                <w:rFonts w:asciiTheme="minorHAnsi" w:hAnsiTheme="minorHAnsi" w:cstheme="minorHAnsi"/>
              </w:rPr>
              <w:t>Applicants per vacancy (no.)</w:t>
            </w:r>
          </w:p>
        </w:tc>
        <w:tc>
          <w:tcPr>
            <w:tcW w:w="932" w:type="pct"/>
          </w:tcPr>
          <w:p w14:paraId="36E19ECF" w14:textId="6B91D059" w:rsidR="00D400B7" w:rsidRPr="00F63323" w:rsidRDefault="003C7C9D" w:rsidP="00F13746">
            <w:pPr>
              <w:spacing w:after="0" w:line="240" w:lineRule="auto"/>
              <w:jc w:val="right"/>
              <w:rPr>
                <w:rFonts w:asciiTheme="minorHAnsi" w:hAnsiTheme="minorHAnsi" w:cstheme="minorHAnsi"/>
                <w:color w:val="000000"/>
              </w:rPr>
            </w:pPr>
            <w:r w:rsidRPr="00F63323">
              <w:rPr>
                <w:rFonts w:asciiTheme="minorHAnsi" w:hAnsiTheme="minorHAnsi" w:cstheme="minorHAnsi"/>
                <w:color w:val="000000"/>
              </w:rPr>
              <w:t>28.0</w:t>
            </w:r>
          </w:p>
        </w:tc>
        <w:tc>
          <w:tcPr>
            <w:tcW w:w="1178" w:type="pct"/>
          </w:tcPr>
          <w:p w14:paraId="0896487D" w14:textId="608044D6" w:rsidR="00D400B7" w:rsidRPr="00F63323" w:rsidRDefault="003C7C9D" w:rsidP="00F13746">
            <w:pPr>
              <w:spacing w:after="0" w:line="240" w:lineRule="auto"/>
              <w:jc w:val="right"/>
              <w:rPr>
                <w:rFonts w:asciiTheme="minorHAnsi" w:hAnsiTheme="minorHAnsi" w:cstheme="minorHAnsi"/>
                <w:color w:val="000000"/>
              </w:rPr>
            </w:pPr>
            <w:r w:rsidRPr="00F63323">
              <w:rPr>
                <w:rFonts w:asciiTheme="minorHAnsi" w:hAnsiTheme="minorHAnsi" w:cstheme="minorHAnsi"/>
              </w:rPr>
              <w:t>↑</w:t>
            </w:r>
            <w:r w:rsidRPr="00F63323">
              <w:rPr>
                <w:rFonts w:asciiTheme="minorHAnsi" w:hAnsiTheme="minorHAnsi" w:cstheme="minorHAnsi"/>
                <w:color w:val="000000"/>
              </w:rPr>
              <w:t>3.7</w:t>
            </w:r>
          </w:p>
        </w:tc>
        <w:tc>
          <w:tcPr>
            <w:tcW w:w="1164" w:type="pct"/>
          </w:tcPr>
          <w:p w14:paraId="08679C5C" w14:textId="63D4C7BA" w:rsidR="00D400B7" w:rsidRPr="00F63323" w:rsidRDefault="003C7C9D" w:rsidP="00F13746">
            <w:pPr>
              <w:spacing w:after="0" w:line="240" w:lineRule="auto"/>
              <w:jc w:val="right"/>
              <w:rPr>
                <w:rFonts w:asciiTheme="minorHAnsi" w:hAnsiTheme="minorHAnsi" w:cstheme="minorHAnsi"/>
                <w:color w:val="000000"/>
              </w:rPr>
            </w:pPr>
            <w:r w:rsidRPr="00F63323">
              <w:rPr>
                <w:rFonts w:asciiTheme="minorHAnsi" w:hAnsiTheme="minorHAnsi" w:cstheme="minorHAnsi"/>
              </w:rPr>
              <w:t>↑</w:t>
            </w:r>
            <w:r w:rsidRPr="00F63323">
              <w:rPr>
                <w:rFonts w:asciiTheme="minorHAnsi" w:hAnsiTheme="minorHAnsi" w:cstheme="minorHAnsi"/>
                <w:color w:val="000000"/>
              </w:rPr>
              <w:t>9.8</w:t>
            </w:r>
          </w:p>
        </w:tc>
      </w:tr>
      <w:tr w:rsidR="00D400B7" w:rsidRPr="00FB201E" w14:paraId="0962FFB1" w14:textId="77777777" w:rsidTr="00901085">
        <w:tc>
          <w:tcPr>
            <w:tcW w:w="1726" w:type="pct"/>
          </w:tcPr>
          <w:p w14:paraId="5E00CE1F" w14:textId="77777777" w:rsidR="00D400B7" w:rsidRPr="00F63323" w:rsidRDefault="00D400B7" w:rsidP="00901085">
            <w:pPr>
              <w:rPr>
                <w:rFonts w:asciiTheme="minorHAnsi" w:hAnsiTheme="minorHAnsi" w:cstheme="minorHAnsi"/>
              </w:rPr>
            </w:pPr>
            <w:r w:rsidRPr="00F63323">
              <w:rPr>
                <w:rFonts w:asciiTheme="minorHAnsi" w:hAnsiTheme="minorHAnsi" w:cstheme="minorHAnsi"/>
              </w:rPr>
              <w:t>Qualified applicants per vacancy (no.)</w:t>
            </w:r>
          </w:p>
        </w:tc>
        <w:tc>
          <w:tcPr>
            <w:tcW w:w="932" w:type="pct"/>
          </w:tcPr>
          <w:p w14:paraId="6219ED68" w14:textId="77777777" w:rsidR="003C7C9D" w:rsidRPr="00F63323" w:rsidRDefault="003C7C9D" w:rsidP="003C7C9D">
            <w:pPr>
              <w:spacing w:after="0" w:line="240" w:lineRule="auto"/>
              <w:jc w:val="right"/>
              <w:rPr>
                <w:rFonts w:asciiTheme="minorHAnsi" w:hAnsiTheme="minorHAnsi" w:cstheme="minorHAnsi"/>
                <w:color w:val="000000"/>
              </w:rPr>
            </w:pPr>
            <w:r w:rsidRPr="00F63323">
              <w:rPr>
                <w:rFonts w:asciiTheme="minorHAnsi" w:hAnsiTheme="minorHAnsi" w:cstheme="minorHAnsi"/>
                <w:color w:val="000000"/>
              </w:rPr>
              <w:t>8.9</w:t>
            </w:r>
          </w:p>
          <w:p w14:paraId="5FF064D6" w14:textId="340EC5FD" w:rsidR="00D400B7" w:rsidRPr="00F63323" w:rsidRDefault="00D400B7" w:rsidP="00901085">
            <w:pPr>
              <w:jc w:val="right"/>
              <w:rPr>
                <w:rFonts w:asciiTheme="minorHAnsi" w:hAnsiTheme="minorHAnsi" w:cstheme="minorHAnsi"/>
              </w:rPr>
            </w:pPr>
          </w:p>
        </w:tc>
        <w:tc>
          <w:tcPr>
            <w:tcW w:w="1178" w:type="pct"/>
          </w:tcPr>
          <w:p w14:paraId="720D3BB7" w14:textId="02E6BF77" w:rsidR="003C7C9D" w:rsidRPr="00F63323" w:rsidRDefault="003C7C9D" w:rsidP="003C7C9D">
            <w:pPr>
              <w:spacing w:after="0" w:line="240" w:lineRule="auto"/>
              <w:jc w:val="right"/>
              <w:rPr>
                <w:rFonts w:asciiTheme="minorHAnsi" w:hAnsiTheme="minorHAnsi" w:cstheme="minorHAnsi"/>
                <w:color w:val="000000"/>
              </w:rPr>
            </w:pPr>
            <w:r w:rsidRPr="00F63323">
              <w:rPr>
                <w:rFonts w:asciiTheme="minorHAnsi" w:hAnsiTheme="minorHAnsi" w:cstheme="minorHAnsi"/>
              </w:rPr>
              <w:t>↑</w:t>
            </w:r>
            <w:r w:rsidRPr="00F63323">
              <w:rPr>
                <w:rFonts w:asciiTheme="minorHAnsi" w:hAnsiTheme="minorHAnsi" w:cstheme="minorHAnsi"/>
                <w:color w:val="000000"/>
              </w:rPr>
              <w:t>0.8</w:t>
            </w:r>
          </w:p>
          <w:p w14:paraId="24593CF6" w14:textId="68D0F9DF" w:rsidR="00D400B7" w:rsidRPr="00F63323" w:rsidRDefault="00D400B7" w:rsidP="00901085">
            <w:pPr>
              <w:jc w:val="right"/>
              <w:rPr>
                <w:rFonts w:asciiTheme="minorHAnsi" w:hAnsiTheme="minorHAnsi" w:cstheme="minorHAnsi"/>
              </w:rPr>
            </w:pPr>
          </w:p>
        </w:tc>
        <w:tc>
          <w:tcPr>
            <w:tcW w:w="1164" w:type="pct"/>
          </w:tcPr>
          <w:p w14:paraId="0E846D55" w14:textId="3B6339E6" w:rsidR="00D400B7" w:rsidRPr="00F63323" w:rsidRDefault="003C7C9D" w:rsidP="003C7C9D">
            <w:pPr>
              <w:jc w:val="right"/>
              <w:rPr>
                <w:rFonts w:asciiTheme="minorHAnsi" w:hAnsiTheme="minorHAnsi" w:cstheme="minorHAnsi"/>
              </w:rPr>
            </w:pPr>
            <w:r w:rsidRPr="00F63323">
              <w:rPr>
                <w:rFonts w:asciiTheme="minorHAnsi" w:hAnsiTheme="minorHAnsi" w:cstheme="minorHAnsi"/>
              </w:rPr>
              <w:t>↑2.4</w:t>
            </w:r>
          </w:p>
        </w:tc>
      </w:tr>
      <w:tr w:rsidR="00D400B7" w:rsidRPr="00FB201E" w14:paraId="443CD253" w14:textId="77777777" w:rsidTr="00901085">
        <w:trPr>
          <w:cnfStyle w:val="000000010000" w:firstRow="0" w:lastRow="0" w:firstColumn="0" w:lastColumn="0" w:oddVBand="0" w:evenVBand="0" w:oddHBand="0" w:evenHBand="1" w:firstRowFirstColumn="0" w:firstRowLastColumn="0" w:lastRowFirstColumn="0" w:lastRowLastColumn="0"/>
        </w:trPr>
        <w:tc>
          <w:tcPr>
            <w:tcW w:w="1726" w:type="pct"/>
          </w:tcPr>
          <w:p w14:paraId="35F7EA6A" w14:textId="77777777" w:rsidR="00D400B7" w:rsidRPr="00F63323" w:rsidRDefault="00D400B7" w:rsidP="00901085">
            <w:pPr>
              <w:rPr>
                <w:rFonts w:asciiTheme="minorHAnsi" w:hAnsiTheme="minorHAnsi" w:cstheme="minorHAnsi"/>
              </w:rPr>
            </w:pPr>
            <w:r w:rsidRPr="00F63323">
              <w:rPr>
                <w:rFonts w:asciiTheme="minorHAnsi" w:hAnsiTheme="minorHAnsi" w:cstheme="minorHAnsi"/>
              </w:rPr>
              <w:t>Suitable applicants per vacancy (no.)</w:t>
            </w:r>
          </w:p>
        </w:tc>
        <w:tc>
          <w:tcPr>
            <w:tcW w:w="932" w:type="pct"/>
          </w:tcPr>
          <w:p w14:paraId="0D101579" w14:textId="77777777" w:rsidR="003C7C9D" w:rsidRPr="00F63323" w:rsidRDefault="003C7C9D" w:rsidP="003C7C9D">
            <w:pPr>
              <w:spacing w:after="0" w:line="240" w:lineRule="auto"/>
              <w:jc w:val="right"/>
              <w:rPr>
                <w:rFonts w:asciiTheme="minorHAnsi" w:hAnsiTheme="minorHAnsi" w:cstheme="minorHAnsi"/>
                <w:color w:val="000000"/>
              </w:rPr>
            </w:pPr>
            <w:r w:rsidRPr="00F63323">
              <w:rPr>
                <w:rFonts w:asciiTheme="minorHAnsi" w:hAnsiTheme="minorHAnsi" w:cstheme="minorHAnsi"/>
                <w:color w:val="000000"/>
              </w:rPr>
              <w:t>3.3</w:t>
            </w:r>
          </w:p>
          <w:p w14:paraId="02E8B86E" w14:textId="61A7E78E" w:rsidR="00D400B7" w:rsidRPr="00F63323" w:rsidRDefault="00D400B7" w:rsidP="00901085">
            <w:pPr>
              <w:jc w:val="right"/>
              <w:rPr>
                <w:rFonts w:asciiTheme="minorHAnsi" w:hAnsiTheme="minorHAnsi" w:cstheme="minorHAnsi"/>
              </w:rPr>
            </w:pPr>
          </w:p>
        </w:tc>
        <w:tc>
          <w:tcPr>
            <w:tcW w:w="1178" w:type="pct"/>
          </w:tcPr>
          <w:p w14:paraId="31EF99FC" w14:textId="559463A5" w:rsidR="003C7C9D" w:rsidRPr="00F63323" w:rsidRDefault="003C7C9D" w:rsidP="003C7C9D">
            <w:pPr>
              <w:spacing w:after="0" w:line="240" w:lineRule="auto"/>
              <w:jc w:val="right"/>
              <w:rPr>
                <w:rFonts w:asciiTheme="minorHAnsi" w:hAnsiTheme="minorHAnsi" w:cstheme="minorHAnsi"/>
                <w:color w:val="000000"/>
              </w:rPr>
            </w:pPr>
            <w:r w:rsidRPr="00F63323">
              <w:rPr>
                <w:rFonts w:asciiTheme="minorHAnsi" w:hAnsiTheme="minorHAnsi" w:cstheme="minorHAnsi"/>
              </w:rPr>
              <w:t>↑</w:t>
            </w:r>
            <w:r w:rsidRPr="00F63323">
              <w:rPr>
                <w:rFonts w:asciiTheme="minorHAnsi" w:hAnsiTheme="minorHAnsi" w:cstheme="minorHAnsi"/>
                <w:color w:val="000000"/>
              </w:rPr>
              <w:t>0.2</w:t>
            </w:r>
          </w:p>
          <w:p w14:paraId="34F81839" w14:textId="5C5C72AB" w:rsidR="00D400B7" w:rsidRPr="00F63323" w:rsidRDefault="00D400B7" w:rsidP="00901085">
            <w:pPr>
              <w:jc w:val="right"/>
              <w:rPr>
                <w:rFonts w:asciiTheme="minorHAnsi" w:hAnsiTheme="minorHAnsi" w:cstheme="minorHAnsi"/>
              </w:rPr>
            </w:pPr>
          </w:p>
        </w:tc>
        <w:tc>
          <w:tcPr>
            <w:tcW w:w="1164" w:type="pct"/>
          </w:tcPr>
          <w:p w14:paraId="22DA4E32" w14:textId="274B16EA" w:rsidR="003C7C9D" w:rsidRPr="00F63323" w:rsidRDefault="003C7C9D" w:rsidP="003C7C9D">
            <w:pPr>
              <w:jc w:val="right"/>
              <w:rPr>
                <w:rFonts w:asciiTheme="minorHAnsi" w:hAnsiTheme="minorHAnsi" w:cstheme="minorHAnsi"/>
              </w:rPr>
            </w:pPr>
            <w:r w:rsidRPr="00F63323">
              <w:rPr>
                <w:rFonts w:asciiTheme="minorHAnsi" w:hAnsiTheme="minorHAnsi" w:cstheme="minorHAnsi"/>
              </w:rPr>
              <w:t>↑0.5</w:t>
            </w:r>
          </w:p>
          <w:p w14:paraId="2CC60865" w14:textId="48CF6D53" w:rsidR="00D400B7" w:rsidRPr="00F63323" w:rsidRDefault="00D400B7" w:rsidP="00901085">
            <w:pPr>
              <w:jc w:val="right"/>
              <w:rPr>
                <w:rFonts w:asciiTheme="minorHAnsi" w:hAnsiTheme="minorHAnsi" w:cstheme="minorHAnsi"/>
              </w:rPr>
            </w:pPr>
          </w:p>
        </w:tc>
      </w:tr>
      <w:tr w:rsidR="00D400B7" w:rsidRPr="00FB201E" w14:paraId="417AB86D" w14:textId="77777777" w:rsidTr="00901085">
        <w:tc>
          <w:tcPr>
            <w:tcW w:w="1726" w:type="pct"/>
          </w:tcPr>
          <w:p w14:paraId="6C5D8680" w14:textId="77777777" w:rsidR="00D400B7" w:rsidRPr="00F63323" w:rsidRDefault="00D400B7" w:rsidP="00901085">
            <w:pPr>
              <w:rPr>
                <w:rFonts w:asciiTheme="minorHAnsi" w:hAnsiTheme="minorHAnsi" w:cstheme="minorHAnsi"/>
              </w:rPr>
            </w:pPr>
            <w:r w:rsidRPr="00F63323">
              <w:rPr>
                <w:rFonts w:asciiTheme="minorHAnsi" w:hAnsiTheme="minorHAnsi" w:cstheme="minorHAnsi"/>
              </w:rPr>
              <w:t xml:space="preserve">Suitability gap (%) </w:t>
            </w:r>
          </w:p>
        </w:tc>
        <w:tc>
          <w:tcPr>
            <w:tcW w:w="932" w:type="pct"/>
          </w:tcPr>
          <w:p w14:paraId="5AFDE039" w14:textId="398AD29B" w:rsidR="00D400B7" w:rsidRPr="00F63323" w:rsidRDefault="003C7C9D" w:rsidP="00F13746">
            <w:pPr>
              <w:spacing w:after="0" w:line="240" w:lineRule="auto"/>
              <w:jc w:val="right"/>
              <w:rPr>
                <w:rFonts w:asciiTheme="minorHAnsi" w:hAnsiTheme="minorHAnsi" w:cstheme="minorHAnsi"/>
                <w:color w:val="000000"/>
              </w:rPr>
            </w:pPr>
            <w:r w:rsidRPr="00F63323">
              <w:rPr>
                <w:rFonts w:asciiTheme="minorHAnsi" w:hAnsiTheme="minorHAnsi" w:cstheme="minorHAnsi"/>
                <w:color w:val="000000"/>
              </w:rPr>
              <w:t>62.4%</w:t>
            </w:r>
          </w:p>
        </w:tc>
        <w:tc>
          <w:tcPr>
            <w:tcW w:w="1178" w:type="pct"/>
          </w:tcPr>
          <w:p w14:paraId="588FD122" w14:textId="05960DDE" w:rsidR="00D400B7" w:rsidRPr="00F63323" w:rsidRDefault="003C7C9D" w:rsidP="00F13746">
            <w:pPr>
              <w:spacing w:after="0" w:line="240" w:lineRule="auto"/>
              <w:jc w:val="right"/>
              <w:rPr>
                <w:rFonts w:asciiTheme="minorHAnsi" w:hAnsiTheme="minorHAnsi" w:cstheme="minorHAnsi"/>
                <w:color w:val="000000"/>
              </w:rPr>
            </w:pPr>
            <w:r w:rsidRPr="00F63323">
              <w:rPr>
                <w:rFonts w:asciiTheme="minorHAnsi" w:hAnsiTheme="minorHAnsi" w:cstheme="minorHAnsi"/>
              </w:rPr>
              <w:t>↑</w:t>
            </w:r>
            <w:r w:rsidRPr="00F63323">
              <w:rPr>
                <w:rFonts w:asciiTheme="minorHAnsi" w:hAnsiTheme="minorHAnsi" w:cstheme="minorHAnsi"/>
                <w:color w:val="000000"/>
              </w:rPr>
              <w:t>1.8%</w:t>
            </w:r>
          </w:p>
        </w:tc>
        <w:tc>
          <w:tcPr>
            <w:tcW w:w="1164" w:type="pct"/>
          </w:tcPr>
          <w:p w14:paraId="2056EACF" w14:textId="09F35C0F" w:rsidR="00D400B7" w:rsidRPr="00F63323" w:rsidRDefault="003C7C9D" w:rsidP="003C7C9D">
            <w:pPr>
              <w:jc w:val="right"/>
              <w:rPr>
                <w:rFonts w:asciiTheme="minorHAnsi" w:hAnsiTheme="minorHAnsi" w:cstheme="minorHAnsi"/>
              </w:rPr>
            </w:pPr>
            <w:r w:rsidRPr="00F63323">
              <w:rPr>
                <w:rFonts w:asciiTheme="minorHAnsi" w:hAnsiTheme="minorHAnsi" w:cstheme="minorHAnsi"/>
              </w:rPr>
              <w:t>↑6.2%</w:t>
            </w:r>
          </w:p>
        </w:tc>
      </w:tr>
    </w:tbl>
    <w:p w14:paraId="24BFF465" w14:textId="44C8EE7D" w:rsidR="00F63288" w:rsidRPr="003425BF" w:rsidRDefault="005D5FC7" w:rsidP="00EC2238">
      <w:pPr>
        <w:pStyle w:val="Source"/>
      </w:pPr>
      <w:r w:rsidRPr="003425BF">
        <w:t>Source: Jobs and Skills Australia, Survey of Employers who Recently Advertised</w:t>
      </w:r>
    </w:p>
    <w:p w14:paraId="136EBE08" w14:textId="586EB858" w:rsidR="00A11385" w:rsidRDefault="006F10E8" w:rsidP="00A11385">
      <w:r>
        <w:t>The national metro</w:t>
      </w:r>
      <w:r w:rsidR="003E5ED3">
        <w:t>politan (metro) area</w:t>
      </w:r>
      <w:r>
        <w:t xml:space="preserve"> fill rate increased by 1.8 percentage points to 68% over the June quarter 2024, and 5.4 percentage points over the year</w:t>
      </w:r>
      <w:r w:rsidR="002E4FB4">
        <w:t xml:space="preserve"> </w:t>
      </w:r>
      <w:r w:rsidR="006F30A4">
        <w:t>(</w:t>
      </w:r>
      <w:r w:rsidR="006F30A4">
        <w:fldChar w:fldCharType="begin"/>
      </w:r>
      <w:r w:rsidR="006F30A4">
        <w:instrText xml:space="preserve"> REF _Ref173248727 \h </w:instrText>
      </w:r>
      <w:r w:rsidR="006F30A4">
        <w:fldChar w:fldCharType="separate"/>
      </w:r>
      <w:r w:rsidR="00245DC9">
        <w:t xml:space="preserve">Table </w:t>
      </w:r>
      <w:r w:rsidR="00245DC9">
        <w:rPr>
          <w:noProof/>
        </w:rPr>
        <w:t>2</w:t>
      </w:r>
      <w:r w:rsidR="006F30A4">
        <w:fldChar w:fldCharType="end"/>
      </w:r>
      <w:r w:rsidR="006F30A4">
        <w:t xml:space="preserve">). </w:t>
      </w:r>
      <w:r>
        <w:t xml:space="preserve">This is supported by the increases in the total number of applicants, qualified </w:t>
      </w:r>
      <w:r w:rsidR="00E94AD8">
        <w:t>applicants,</w:t>
      </w:r>
      <w:r>
        <w:t xml:space="preserve"> and suitable applicants per vacancy</w:t>
      </w:r>
      <w:r w:rsidR="00537D73">
        <w:t>,</w:t>
      </w:r>
      <w:r>
        <w:t xml:space="preserve"> over the </w:t>
      </w:r>
      <w:r w:rsidR="00537D73">
        <w:t xml:space="preserve">June </w:t>
      </w:r>
      <w:r>
        <w:t xml:space="preserve">quarter </w:t>
      </w:r>
      <w:r w:rsidR="00537D73">
        <w:t xml:space="preserve">2024 </w:t>
      </w:r>
      <w:r>
        <w:t xml:space="preserve">and </w:t>
      </w:r>
      <w:r w:rsidR="00C016E7">
        <w:t>in the last 12 months</w:t>
      </w:r>
      <w:r w:rsidR="006F30A4">
        <w:t xml:space="preserve"> (</w:t>
      </w:r>
      <w:r w:rsidR="006F30A4">
        <w:fldChar w:fldCharType="begin"/>
      </w:r>
      <w:r w:rsidR="006F30A4">
        <w:instrText xml:space="preserve"> REF _Ref173248603 \h </w:instrText>
      </w:r>
      <w:r w:rsidR="006F30A4">
        <w:fldChar w:fldCharType="separate"/>
      </w:r>
      <w:r w:rsidR="00245DC9">
        <w:t xml:space="preserve">Figure </w:t>
      </w:r>
      <w:r w:rsidR="00245DC9">
        <w:rPr>
          <w:noProof/>
        </w:rPr>
        <w:t>3</w:t>
      </w:r>
      <w:r w:rsidR="006F30A4">
        <w:fldChar w:fldCharType="end"/>
      </w:r>
      <w:r w:rsidR="006F30A4">
        <w:t>)</w:t>
      </w:r>
      <w:r>
        <w:t xml:space="preserve">. </w:t>
      </w:r>
      <w:r w:rsidR="00A11385">
        <w:t>In June quarter 2024, the suitability gap for metro increased by 1.8 percentage points to 62.4%</w:t>
      </w:r>
      <w:r w:rsidR="003E5ED3">
        <w:t xml:space="preserve"> and </w:t>
      </w:r>
      <w:r w:rsidR="00A11385">
        <w:t xml:space="preserve">by 6.2 percentage points from 56.2% in June quarter 2023. </w:t>
      </w:r>
    </w:p>
    <w:p w14:paraId="75FF02A7" w14:textId="16C71CE7" w:rsidR="00BA51D8" w:rsidRDefault="00CF6F7B" w:rsidP="00C6648E">
      <w:pPr>
        <w:pStyle w:val="Caption"/>
      </w:pPr>
      <w:bookmarkStart w:id="14" w:name="_Ref173248603"/>
      <w:bookmarkStart w:id="15" w:name="_Ref167704239"/>
      <w:r>
        <w:t xml:space="preserve">Figure </w:t>
      </w:r>
      <w:r>
        <w:fldChar w:fldCharType="begin"/>
      </w:r>
      <w:r>
        <w:instrText xml:space="preserve"> SEQ Figure \* ARABIC </w:instrText>
      </w:r>
      <w:r>
        <w:fldChar w:fldCharType="separate"/>
      </w:r>
      <w:r w:rsidR="00245DC9">
        <w:rPr>
          <w:noProof/>
        </w:rPr>
        <w:t>3</w:t>
      </w:r>
      <w:r>
        <w:fldChar w:fldCharType="end"/>
      </w:r>
      <w:bookmarkEnd w:id="14"/>
      <w:bookmarkEnd w:id="15"/>
      <w:r w:rsidR="00325B75" w:rsidRPr="00906A5D">
        <w:t xml:space="preserve">: </w:t>
      </w:r>
      <w:r w:rsidR="00A13E6D" w:rsidRPr="00906A5D">
        <w:t xml:space="preserve"> </w:t>
      </w:r>
      <w:r w:rsidR="00F26EC6" w:rsidRPr="00F26EC6">
        <w:t xml:space="preserve">Fill rate (%) and suitability gap (right axis), total applicants, qualified, and suitable applicants per vacancy (no.) (left axis), </w:t>
      </w:r>
      <w:r w:rsidR="00845462" w:rsidRPr="00906A5D">
        <w:t>by</w:t>
      </w:r>
      <w:r w:rsidR="00181A58">
        <w:t xml:space="preserve"> metro area</w:t>
      </w:r>
      <w:r w:rsidR="000D1739">
        <w:t>s</w:t>
      </w:r>
      <w:r w:rsidR="00655722" w:rsidRPr="00906A5D">
        <w:t>.</w:t>
      </w:r>
      <w:r w:rsidR="00906A5D">
        <w:t xml:space="preserve"> </w:t>
      </w:r>
      <w:r w:rsidR="00713D74">
        <w:br/>
      </w:r>
      <w:r w:rsidR="00CF0105">
        <w:rPr>
          <w:noProof/>
        </w:rPr>
        <w:drawing>
          <wp:inline distT="0" distB="0" distL="0" distR="0" wp14:anchorId="7FDE1B90" wp14:editId="144C0A4C">
            <wp:extent cx="5731200" cy="3348000"/>
            <wp:effectExtent l="0" t="0" r="3175" b="5080"/>
            <wp:docPr id="322586038" name="Chart 1" descr="Figure 3:  Fill rate (%) and suitability gap (right axis), total applicants, qualified, and suitable applicants per vacancy (no.) (left axis), by metro areas. ">
              <a:extLst xmlns:a="http://schemas.openxmlformats.org/drawingml/2006/main">
                <a:ext uri="{FF2B5EF4-FFF2-40B4-BE49-F238E27FC236}">
                  <a16:creationId xmlns:a16="http://schemas.microsoft.com/office/drawing/2014/main" id="{7DA80257-4A7D-4351-A93F-A03F897C64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2C6CC0">
        <w:br/>
      </w:r>
      <w:r w:rsidR="00C6648E" w:rsidRPr="00C6648E">
        <w:t xml:space="preserve"> </w:t>
      </w:r>
    </w:p>
    <w:p w14:paraId="5A4D7F6B" w14:textId="77777777" w:rsidR="00C6648E" w:rsidRPr="003425BF" w:rsidRDefault="00C6648E" w:rsidP="00C6648E">
      <w:pPr>
        <w:pStyle w:val="Source"/>
      </w:pPr>
      <w:r w:rsidRPr="003425BF">
        <w:t>Source: Jobs and Skills Australia, Survey of Employers who Recently Advertised</w:t>
      </w:r>
    </w:p>
    <w:p w14:paraId="736E937E" w14:textId="77777777" w:rsidR="00C6648E" w:rsidRPr="00C6648E" w:rsidRDefault="00C6648E" w:rsidP="004A07AF"/>
    <w:p w14:paraId="0D45BA2B" w14:textId="77777777" w:rsidR="00D400B7" w:rsidRPr="00D400B7" w:rsidRDefault="00D400B7" w:rsidP="00D400B7"/>
    <w:p w14:paraId="0AA6CE07" w14:textId="4E11FAEF" w:rsidR="006460C9" w:rsidRDefault="006460C9" w:rsidP="006460C9">
      <w:pPr>
        <w:pStyle w:val="Heading2"/>
      </w:pPr>
      <w:bookmarkStart w:id="16" w:name="_Toc173755013"/>
      <w:r>
        <w:t>Regional</w:t>
      </w:r>
      <w:r w:rsidR="003E5ED3">
        <w:t xml:space="preserve"> area</w:t>
      </w:r>
      <w:bookmarkEnd w:id="16"/>
    </w:p>
    <w:p w14:paraId="21628582" w14:textId="6B49B496" w:rsidR="005D5FC7" w:rsidRPr="003425BF" w:rsidRDefault="00E3373F" w:rsidP="00F63323">
      <w:pPr>
        <w:pStyle w:val="Caption"/>
      </w:pPr>
      <w:bookmarkStart w:id="17" w:name="_Ref173249539"/>
      <w:r>
        <w:t xml:space="preserve">Table </w:t>
      </w:r>
      <w:r>
        <w:fldChar w:fldCharType="begin"/>
      </w:r>
      <w:r>
        <w:instrText xml:space="preserve"> SEQ Table \* ARABIC </w:instrText>
      </w:r>
      <w:r>
        <w:fldChar w:fldCharType="separate"/>
      </w:r>
      <w:r w:rsidR="00245DC9">
        <w:rPr>
          <w:noProof/>
        </w:rPr>
        <w:t>3</w:t>
      </w:r>
      <w:r>
        <w:fldChar w:fldCharType="end"/>
      </w:r>
      <w:bookmarkEnd w:id="17"/>
      <w:r w:rsidR="005D5FC7" w:rsidRPr="003425BF">
        <w:t>: Regional Snapshot</w:t>
      </w:r>
    </w:p>
    <w:tbl>
      <w:tblPr>
        <w:tblStyle w:val="JSATable1"/>
        <w:tblW w:w="5000" w:type="pct"/>
        <w:tblLook w:val="0020" w:firstRow="1" w:lastRow="0" w:firstColumn="0" w:lastColumn="0" w:noHBand="0" w:noVBand="0"/>
      </w:tblPr>
      <w:tblGrid>
        <w:gridCol w:w="3116"/>
        <w:gridCol w:w="1682"/>
        <w:gridCol w:w="2127"/>
        <w:gridCol w:w="2101"/>
      </w:tblGrid>
      <w:tr w:rsidR="00D400B7" w:rsidRPr="002D468E" w14:paraId="72E016FB" w14:textId="77777777" w:rsidTr="00901085">
        <w:trPr>
          <w:cnfStyle w:val="100000000000" w:firstRow="1" w:lastRow="0" w:firstColumn="0" w:lastColumn="0" w:oddVBand="0" w:evenVBand="0" w:oddHBand="0" w:evenHBand="0" w:firstRowFirstColumn="0" w:firstRowLastColumn="0" w:lastRowFirstColumn="0" w:lastRowLastColumn="0"/>
        </w:trPr>
        <w:tc>
          <w:tcPr>
            <w:tcW w:w="1726" w:type="pct"/>
          </w:tcPr>
          <w:p w14:paraId="7B90D820" w14:textId="77777777" w:rsidR="00D400B7" w:rsidRPr="00F63323" w:rsidRDefault="00D400B7" w:rsidP="00901085">
            <w:pPr>
              <w:rPr>
                <w:rFonts w:asciiTheme="minorHAnsi" w:hAnsiTheme="minorHAnsi" w:cstheme="minorHAnsi"/>
              </w:rPr>
            </w:pPr>
          </w:p>
        </w:tc>
        <w:tc>
          <w:tcPr>
            <w:tcW w:w="932" w:type="pct"/>
          </w:tcPr>
          <w:p w14:paraId="7EC02DDF" w14:textId="77777777" w:rsidR="00D400B7" w:rsidRPr="00F63323" w:rsidRDefault="00D400B7" w:rsidP="00901085">
            <w:pPr>
              <w:jc w:val="right"/>
              <w:rPr>
                <w:rFonts w:asciiTheme="minorHAnsi" w:hAnsiTheme="minorHAnsi" w:cstheme="minorHAnsi"/>
              </w:rPr>
            </w:pPr>
            <w:r w:rsidRPr="00F63323">
              <w:rPr>
                <w:rFonts w:asciiTheme="minorHAnsi" w:hAnsiTheme="minorHAnsi" w:cstheme="minorHAnsi"/>
              </w:rPr>
              <w:t>June quarter 2024</w:t>
            </w:r>
          </w:p>
        </w:tc>
        <w:tc>
          <w:tcPr>
            <w:tcW w:w="1178" w:type="pct"/>
          </w:tcPr>
          <w:p w14:paraId="2DACB3BB" w14:textId="77777777" w:rsidR="00D400B7" w:rsidRPr="00F63323" w:rsidRDefault="00D400B7" w:rsidP="00901085">
            <w:pPr>
              <w:jc w:val="right"/>
              <w:rPr>
                <w:rFonts w:asciiTheme="minorHAnsi" w:hAnsiTheme="minorHAnsi" w:cstheme="minorHAnsi"/>
              </w:rPr>
            </w:pPr>
            <w:r w:rsidRPr="00F63323">
              <w:rPr>
                <w:rFonts w:asciiTheme="minorHAnsi" w:hAnsiTheme="minorHAnsi" w:cstheme="minorHAnsi"/>
              </w:rPr>
              <w:t>Change over the quarter</w:t>
            </w:r>
          </w:p>
        </w:tc>
        <w:tc>
          <w:tcPr>
            <w:tcW w:w="1164" w:type="pct"/>
          </w:tcPr>
          <w:p w14:paraId="5577E02E" w14:textId="77777777" w:rsidR="00D400B7" w:rsidRPr="00F63323" w:rsidRDefault="00D400B7" w:rsidP="00901085">
            <w:pPr>
              <w:jc w:val="right"/>
              <w:rPr>
                <w:rFonts w:asciiTheme="minorHAnsi" w:hAnsiTheme="minorHAnsi" w:cstheme="minorHAnsi"/>
              </w:rPr>
            </w:pPr>
            <w:r w:rsidRPr="00F63323">
              <w:rPr>
                <w:rFonts w:asciiTheme="minorHAnsi" w:hAnsiTheme="minorHAnsi" w:cstheme="minorHAnsi"/>
              </w:rPr>
              <w:t>Change over 12 months</w:t>
            </w:r>
          </w:p>
        </w:tc>
      </w:tr>
      <w:tr w:rsidR="00D400B7" w:rsidRPr="002D468E" w14:paraId="5111B431" w14:textId="77777777" w:rsidTr="00901085">
        <w:tc>
          <w:tcPr>
            <w:tcW w:w="1726" w:type="pct"/>
          </w:tcPr>
          <w:p w14:paraId="19DE85F6" w14:textId="77777777" w:rsidR="00D400B7" w:rsidRPr="00F63323" w:rsidRDefault="00D400B7" w:rsidP="00901085">
            <w:pPr>
              <w:rPr>
                <w:rFonts w:asciiTheme="minorHAnsi" w:hAnsiTheme="minorHAnsi" w:cstheme="minorHAnsi"/>
                <w:sz w:val="20"/>
                <w:szCs w:val="20"/>
              </w:rPr>
            </w:pPr>
            <w:r w:rsidRPr="00F63323">
              <w:rPr>
                <w:rFonts w:asciiTheme="minorHAnsi" w:hAnsiTheme="minorHAnsi" w:cstheme="minorHAnsi"/>
              </w:rPr>
              <w:t>Vacancy fill rate (%)</w:t>
            </w:r>
          </w:p>
        </w:tc>
        <w:tc>
          <w:tcPr>
            <w:tcW w:w="932" w:type="pct"/>
          </w:tcPr>
          <w:p w14:paraId="08C5DBB4" w14:textId="6D2844E3" w:rsidR="00D400B7" w:rsidRPr="00F63323" w:rsidRDefault="003C7C9D" w:rsidP="00F13746">
            <w:pPr>
              <w:spacing w:after="0" w:line="240" w:lineRule="auto"/>
              <w:jc w:val="right"/>
              <w:rPr>
                <w:rFonts w:asciiTheme="minorHAnsi" w:hAnsiTheme="minorHAnsi" w:cstheme="minorHAnsi"/>
                <w:color w:val="000000"/>
              </w:rPr>
            </w:pPr>
            <w:r w:rsidRPr="00F63323">
              <w:rPr>
                <w:rFonts w:asciiTheme="minorHAnsi" w:hAnsiTheme="minorHAnsi" w:cstheme="minorHAnsi"/>
                <w:color w:val="000000"/>
              </w:rPr>
              <w:t>61.3%</w:t>
            </w:r>
          </w:p>
        </w:tc>
        <w:tc>
          <w:tcPr>
            <w:tcW w:w="1178" w:type="pct"/>
          </w:tcPr>
          <w:p w14:paraId="298A37BF" w14:textId="5E2D25DB" w:rsidR="00D400B7" w:rsidRPr="002D468E" w:rsidRDefault="003C7C9D" w:rsidP="003C7C9D">
            <w:pPr>
              <w:jc w:val="right"/>
              <w:rPr>
                <w:rFonts w:asciiTheme="minorHAnsi" w:hAnsiTheme="minorHAnsi" w:cstheme="minorHAnsi"/>
                <w:sz w:val="20"/>
                <w:szCs w:val="20"/>
              </w:rPr>
            </w:pPr>
            <w:r w:rsidRPr="00F63323">
              <w:rPr>
                <w:rFonts w:asciiTheme="minorHAnsi" w:hAnsiTheme="minorHAnsi" w:cstheme="minorHAnsi"/>
              </w:rPr>
              <w:t>↑</w:t>
            </w:r>
            <w:r w:rsidRPr="00F63323">
              <w:rPr>
                <w:rFonts w:asciiTheme="minorHAnsi" w:hAnsiTheme="minorHAnsi" w:cstheme="minorHAnsi"/>
                <w:color w:val="000000"/>
              </w:rPr>
              <w:t>1.5%</w:t>
            </w:r>
          </w:p>
        </w:tc>
        <w:tc>
          <w:tcPr>
            <w:tcW w:w="1164" w:type="pct"/>
          </w:tcPr>
          <w:p w14:paraId="36896C6F" w14:textId="44173B02" w:rsidR="00D400B7" w:rsidRPr="00F63323" w:rsidRDefault="005D5FC7" w:rsidP="00F13746">
            <w:pPr>
              <w:spacing w:after="0" w:line="240" w:lineRule="auto"/>
              <w:jc w:val="right"/>
              <w:rPr>
                <w:rFonts w:asciiTheme="minorHAnsi" w:hAnsiTheme="minorHAnsi" w:cstheme="minorHAnsi"/>
                <w:color w:val="000000"/>
              </w:rPr>
            </w:pPr>
            <w:r w:rsidRPr="00F63323">
              <w:rPr>
                <w:rFonts w:asciiTheme="minorHAnsi" w:hAnsiTheme="minorHAnsi" w:cstheme="minorHAnsi"/>
              </w:rPr>
              <w:t>↑</w:t>
            </w:r>
            <w:r w:rsidRPr="00F63323">
              <w:rPr>
                <w:rFonts w:asciiTheme="minorHAnsi" w:hAnsiTheme="minorHAnsi" w:cstheme="minorHAnsi"/>
                <w:color w:val="000000"/>
              </w:rPr>
              <w:t>3.3%</w:t>
            </w:r>
          </w:p>
        </w:tc>
      </w:tr>
      <w:tr w:rsidR="00D400B7" w:rsidRPr="002D468E" w14:paraId="476551B7" w14:textId="77777777" w:rsidTr="00901085">
        <w:trPr>
          <w:cnfStyle w:val="000000010000" w:firstRow="0" w:lastRow="0" w:firstColumn="0" w:lastColumn="0" w:oddVBand="0" w:evenVBand="0" w:oddHBand="0" w:evenHBand="1" w:firstRowFirstColumn="0" w:firstRowLastColumn="0" w:lastRowFirstColumn="0" w:lastRowLastColumn="0"/>
        </w:trPr>
        <w:tc>
          <w:tcPr>
            <w:tcW w:w="1726" w:type="pct"/>
          </w:tcPr>
          <w:p w14:paraId="2F3A9BC9" w14:textId="77777777" w:rsidR="00D400B7" w:rsidRPr="00F63323" w:rsidRDefault="00D400B7" w:rsidP="00901085">
            <w:pPr>
              <w:rPr>
                <w:rFonts w:asciiTheme="minorHAnsi" w:hAnsiTheme="minorHAnsi" w:cstheme="minorHAnsi"/>
                <w:sz w:val="20"/>
                <w:szCs w:val="20"/>
              </w:rPr>
            </w:pPr>
            <w:r w:rsidRPr="00F63323">
              <w:rPr>
                <w:rFonts w:asciiTheme="minorHAnsi" w:hAnsiTheme="minorHAnsi" w:cstheme="minorHAnsi"/>
              </w:rPr>
              <w:t>Applicants per vacancy (no.)</w:t>
            </w:r>
          </w:p>
        </w:tc>
        <w:tc>
          <w:tcPr>
            <w:tcW w:w="932" w:type="pct"/>
          </w:tcPr>
          <w:p w14:paraId="76773BA4" w14:textId="0CC0A7DE" w:rsidR="00D400B7" w:rsidRPr="00F63323" w:rsidRDefault="003C7C9D" w:rsidP="00F13746">
            <w:pPr>
              <w:spacing w:after="0" w:line="240" w:lineRule="auto"/>
              <w:jc w:val="right"/>
              <w:rPr>
                <w:rFonts w:asciiTheme="minorHAnsi" w:hAnsiTheme="minorHAnsi" w:cstheme="minorHAnsi"/>
                <w:color w:val="000000"/>
              </w:rPr>
            </w:pPr>
            <w:r w:rsidRPr="00F63323">
              <w:rPr>
                <w:rFonts w:asciiTheme="minorHAnsi" w:hAnsiTheme="minorHAnsi" w:cstheme="minorHAnsi"/>
                <w:color w:val="000000"/>
              </w:rPr>
              <w:t>14.6</w:t>
            </w:r>
          </w:p>
        </w:tc>
        <w:tc>
          <w:tcPr>
            <w:tcW w:w="1178" w:type="pct"/>
          </w:tcPr>
          <w:p w14:paraId="573809AC" w14:textId="4718A8FD" w:rsidR="00D400B7" w:rsidRPr="00F63323" w:rsidRDefault="005D5FC7" w:rsidP="00F13746">
            <w:pPr>
              <w:spacing w:after="0" w:line="240" w:lineRule="auto"/>
              <w:jc w:val="right"/>
              <w:rPr>
                <w:rFonts w:asciiTheme="minorHAnsi" w:hAnsiTheme="minorHAnsi" w:cstheme="minorHAnsi"/>
                <w:color w:val="000000"/>
              </w:rPr>
            </w:pPr>
            <w:r w:rsidRPr="00F63323">
              <w:rPr>
                <w:rFonts w:asciiTheme="minorHAnsi" w:hAnsiTheme="minorHAnsi" w:cstheme="minorHAnsi"/>
              </w:rPr>
              <w:t>↑</w:t>
            </w:r>
            <w:r w:rsidRPr="00F63323">
              <w:rPr>
                <w:rFonts w:asciiTheme="minorHAnsi" w:hAnsiTheme="minorHAnsi" w:cstheme="minorHAnsi"/>
                <w:color w:val="000000"/>
              </w:rPr>
              <w:t>1.7</w:t>
            </w:r>
          </w:p>
        </w:tc>
        <w:tc>
          <w:tcPr>
            <w:tcW w:w="1164" w:type="pct"/>
          </w:tcPr>
          <w:p w14:paraId="1BD7F882" w14:textId="7ED70800" w:rsidR="00D400B7" w:rsidRPr="00F63323" w:rsidRDefault="005D5FC7" w:rsidP="00F13746">
            <w:pPr>
              <w:spacing w:after="0" w:line="240" w:lineRule="auto"/>
              <w:jc w:val="right"/>
              <w:rPr>
                <w:rFonts w:asciiTheme="minorHAnsi" w:hAnsiTheme="minorHAnsi" w:cstheme="minorHAnsi"/>
                <w:color w:val="000000"/>
              </w:rPr>
            </w:pPr>
            <w:r w:rsidRPr="00F63323">
              <w:rPr>
                <w:rFonts w:asciiTheme="minorHAnsi" w:hAnsiTheme="minorHAnsi" w:cstheme="minorHAnsi"/>
              </w:rPr>
              <w:t>↑</w:t>
            </w:r>
            <w:r w:rsidRPr="00F63323">
              <w:rPr>
                <w:rFonts w:asciiTheme="minorHAnsi" w:hAnsiTheme="minorHAnsi" w:cstheme="minorHAnsi"/>
                <w:color w:val="000000"/>
              </w:rPr>
              <w:t>4.3</w:t>
            </w:r>
          </w:p>
        </w:tc>
      </w:tr>
      <w:tr w:rsidR="00D400B7" w:rsidRPr="002D468E" w14:paraId="2B1B050B" w14:textId="77777777" w:rsidTr="00901085">
        <w:tc>
          <w:tcPr>
            <w:tcW w:w="1726" w:type="pct"/>
          </w:tcPr>
          <w:p w14:paraId="14FCC60E" w14:textId="77777777" w:rsidR="00D400B7" w:rsidRPr="00F63323" w:rsidRDefault="00D400B7" w:rsidP="00901085">
            <w:pPr>
              <w:rPr>
                <w:rFonts w:asciiTheme="minorHAnsi" w:hAnsiTheme="minorHAnsi" w:cstheme="minorHAnsi"/>
                <w:sz w:val="20"/>
                <w:szCs w:val="20"/>
              </w:rPr>
            </w:pPr>
            <w:r w:rsidRPr="00F63323">
              <w:rPr>
                <w:rFonts w:asciiTheme="minorHAnsi" w:hAnsiTheme="minorHAnsi" w:cstheme="minorHAnsi"/>
              </w:rPr>
              <w:t>Qualified applicants per vacancy (no.)</w:t>
            </w:r>
          </w:p>
        </w:tc>
        <w:tc>
          <w:tcPr>
            <w:tcW w:w="932" w:type="pct"/>
          </w:tcPr>
          <w:p w14:paraId="26106956" w14:textId="77777777" w:rsidR="003C7C9D" w:rsidRPr="00F63323" w:rsidRDefault="003C7C9D" w:rsidP="003C7C9D">
            <w:pPr>
              <w:spacing w:after="0" w:line="240" w:lineRule="auto"/>
              <w:jc w:val="right"/>
              <w:rPr>
                <w:rFonts w:asciiTheme="minorHAnsi" w:hAnsiTheme="minorHAnsi" w:cstheme="minorHAnsi"/>
                <w:color w:val="000000"/>
              </w:rPr>
            </w:pPr>
            <w:r w:rsidRPr="00F63323">
              <w:rPr>
                <w:rFonts w:asciiTheme="minorHAnsi" w:hAnsiTheme="minorHAnsi" w:cstheme="minorHAnsi"/>
                <w:color w:val="000000"/>
              </w:rPr>
              <w:t>4.6</w:t>
            </w:r>
          </w:p>
          <w:p w14:paraId="4046C221" w14:textId="138D2CB4" w:rsidR="00D400B7" w:rsidRPr="002D468E" w:rsidRDefault="00D400B7" w:rsidP="00901085">
            <w:pPr>
              <w:jc w:val="right"/>
              <w:rPr>
                <w:rFonts w:asciiTheme="minorHAnsi" w:hAnsiTheme="minorHAnsi" w:cstheme="minorHAnsi"/>
                <w:sz w:val="20"/>
                <w:szCs w:val="20"/>
              </w:rPr>
            </w:pPr>
          </w:p>
        </w:tc>
        <w:tc>
          <w:tcPr>
            <w:tcW w:w="1178" w:type="pct"/>
          </w:tcPr>
          <w:p w14:paraId="687FBB78" w14:textId="0FE68E90" w:rsidR="005D5FC7" w:rsidRPr="00F63323" w:rsidRDefault="005D5FC7" w:rsidP="005D5FC7">
            <w:pPr>
              <w:spacing w:after="0" w:line="240" w:lineRule="auto"/>
              <w:jc w:val="right"/>
              <w:rPr>
                <w:rFonts w:asciiTheme="minorHAnsi" w:hAnsiTheme="minorHAnsi" w:cstheme="minorHAnsi"/>
                <w:color w:val="000000"/>
              </w:rPr>
            </w:pPr>
            <w:r w:rsidRPr="00F63323">
              <w:rPr>
                <w:rFonts w:asciiTheme="minorHAnsi" w:hAnsiTheme="minorHAnsi" w:cstheme="minorHAnsi"/>
              </w:rPr>
              <w:t>↑</w:t>
            </w:r>
            <w:r w:rsidRPr="00F63323">
              <w:rPr>
                <w:rFonts w:asciiTheme="minorHAnsi" w:hAnsiTheme="minorHAnsi" w:cstheme="minorHAnsi"/>
                <w:color w:val="000000"/>
              </w:rPr>
              <w:t>0.4</w:t>
            </w:r>
          </w:p>
          <w:p w14:paraId="75924AEB" w14:textId="6BEA38AD" w:rsidR="00D400B7" w:rsidRPr="002D468E" w:rsidRDefault="00D400B7" w:rsidP="00901085">
            <w:pPr>
              <w:jc w:val="right"/>
              <w:rPr>
                <w:rFonts w:asciiTheme="minorHAnsi" w:hAnsiTheme="minorHAnsi" w:cstheme="minorHAnsi"/>
                <w:sz w:val="20"/>
                <w:szCs w:val="20"/>
              </w:rPr>
            </w:pPr>
          </w:p>
        </w:tc>
        <w:tc>
          <w:tcPr>
            <w:tcW w:w="1164" w:type="pct"/>
          </w:tcPr>
          <w:p w14:paraId="247BD798" w14:textId="092DDFE5" w:rsidR="005D5FC7" w:rsidRPr="00F63323" w:rsidRDefault="005D5FC7" w:rsidP="005D5FC7">
            <w:pPr>
              <w:spacing w:after="0" w:line="240" w:lineRule="auto"/>
              <w:jc w:val="right"/>
              <w:rPr>
                <w:rFonts w:asciiTheme="minorHAnsi" w:hAnsiTheme="minorHAnsi" w:cstheme="minorHAnsi"/>
                <w:color w:val="000000"/>
              </w:rPr>
            </w:pPr>
            <w:r w:rsidRPr="00F63323">
              <w:rPr>
                <w:rFonts w:asciiTheme="minorHAnsi" w:hAnsiTheme="minorHAnsi" w:cstheme="minorHAnsi"/>
              </w:rPr>
              <w:t>↑</w:t>
            </w:r>
            <w:r w:rsidRPr="00F63323">
              <w:rPr>
                <w:rFonts w:asciiTheme="minorHAnsi" w:hAnsiTheme="minorHAnsi" w:cstheme="minorHAnsi"/>
                <w:color w:val="000000"/>
              </w:rPr>
              <w:t>1.1</w:t>
            </w:r>
          </w:p>
          <w:p w14:paraId="08511EE6" w14:textId="634F151F" w:rsidR="00D400B7" w:rsidRPr="002D468E" w:rsidRDefault="00D400B7" w:rsidP="00901085">
            <w:pPr>
              <w:jc w:val="right"/>
              <w:rPr>
                <w:rFonts w:asciiTheme="minorHAnsi" w:hAnsiTheme="minorHAnsi" w:cstheme="minorHAnsi"/>
                <w:sz w:val="20"/>
                <w:szCs w:val="20"/>
              </w:rPr>
            </w:pPr>
          </w:p>
        </w:tc>
      </w:tr>
      <w:tr w:rsidR="00D400B7" w:rsidRPr="002D468E" w14:paraId="0172C862" w14:textId="77777777" w:rsidTr="00901085">
        <w:trPr>
          <w:cnfStyle w:val="000000010000" w:firstRow="0" w:lastRow="0" w:firstColumn="0" w:lastColumn="0" w:oddVBand="0" w:evenVBand="0" w:oddHBand="0" w:evenHBand="1" w:firstRowFirstColumn="0" w:firstRowLastColumn="0" w:lastRowFirstColumn="0" w:lastRowLastColumn="0"/>
        </w:trPr>
        <w:tc>
          <w:tcPr>
            <w:tcW w:w="1726" w:type="pct"/>
          </w:tcPr>
          <w:p w14:paraId="469D4645" w14:textId="77777777" w:rsidR="00D400B7" w:rsidRPr="00F63323" w:rsidRDefault="00D400B7" w:rsidP="00901085">
            <w:pPr>
              <w:rPr>
                <w:rFonts w:asciiTheme="minorHAnsi" w:hAnsiTheme="minorHAnsi" w:cstheme="minorHAnsi"/>
                <w:sz w:val="20"/>
                <w:szCs w:val="20"/>
              </w:rPr>
            </w:pPr>
            <w:r w:rsidRPr="00F63323">
              <w:rPr>
                <w:rFonts w:asciiTheme="minorHAnsi" w:hAnsiTheme="minorHAnsi" w:cstheme="minorHAnsi"/>
              </w:rPr>
              <w:t>Suitable applicants per vacancy (no.)</w:t>
            </w:r>
          </w:p>
        </w:tc>
        <w:tc>
          <w:tcPr>
            <w:tcW w:w="932" w:type="pct"/>
          </w:tcPr>
          <w:p w14:paraId="52E6A9FF" w14:textId="77777777" w:rsidR="003C7C9D" w:rsidRPr="00F63323" w:rsidRDefault="003C7C9D" w:rsidP="003C7C9D">
            <w:pPr>
              <w:spacing w:after="0" w:line="240" w:lineRule="auto"/>
              <w:jc w:val="right"/>
              <w:rPr>
                <w:rFonts w:asciiTheme="minorHAnsi" w:hAnsiTheme="minorHAnsi" w:cstheme="minorHAnsi"/>
                <w:color w:val="000000"/>
              </w:rPr>
            </w:pPr>
            <w:r w:rsidRPr="00F63323">
              <w:rPr>
                <w:rFonts w:asciiTheme="minorHAnsi" w:hAnsiTheme="minorHAnsi" w:cstheme="minorHAnsi"/>
                <w:color w:val="000000"/>
              </w:rPr>
              <w:t>2.1</w:t>
            </w:r>
          </w:p>
          <w:p w14:paraId="1A9DA5A7" w14:textId="67EEEA21" w:rsidR="00D400B7" w:rsidRPr="002D468E" w:rsidRDefault="00D400B7" w:rsidP="00901085">
            <w:pPr>
              <w:jc w:val="right"/>
              <w:rPr>
                <w:rFonts w:asciiTheme="minorHAnsi" w:hAnsiTheme="minorHAnsi" w:cstheme="minorHAnsi"/>
                <w:sz w:val="20"/>
                <w:szCs w:val="20"/>
              </w:rPr>
            </w:pPr>
          </w:p>
        </w:tc>
        <w:tc>
          <w:tcPr>
            <w:tcW w:w="1178" w:type="pct"/>
          </w:tcPr>
          <w:p w14:paraId="6990277B" w14:textId="302CCA3D" w:rsidR="005D5FC7" w:rsidRPr="00F63323" w:rsidRDefault="005D5FC7" w:rsidP="005D5FC7">
            <w:pPr>
              <w:spacing w:after="0" w:line="240" w:lineRule="auto"/>
              <w:jc w:val="right"/>
              <w:rPr>
                <w:rFonts w:asciiTheme="minorHAnsi" w:hAnsiTheme="minorHAnsi" w:cstheme="minorHAnsi"/>
                <w:color w:val="000000"/>
              </w:rPr>
            </w:pPr>
            <w:r w:rsidRPr="00F63323">
              <w:rPr>
                <w:rFonts w:asciiTheme="minorHAnsi" w:hAnsiTheme="minorHAnsi" w:cstheme="minorHAnsi"/>
              </w:rPr>
              <w:t>↑</w:t>
            </w:r>
            <w:r w:rsidRPr="00F63323">
              <w:rPr>
                <w:rFonts w:asciiTheme="minorHAnsi" w:hAnsiTheme="minorHAnsi" w:cstheme="minorHAnsi"/>
                <w:color w:val="000000"/>
              </w:rPr>
              <w:t>0.1</w:t>
            </w:r>
          </w:p>
          <w:p w14:paraId="2CE8B051" w14:textId="151F2C30" w:rsidR="00D400B7" w:rsidRPr="002D468E" w:rsidRDefault="00D400B7" w:rsidP="00901085">
            <w:pPr>
              <w:jc w:val="right"/>
              <w:rPr>
                <w:rFonts w:asciiTheme="minorHAnsi" w:hAnsiTheme="minorHAnsi" w:cstheme="minorHAnsi"/>
                <w:sz w:val="20"/>
                <w:szCs w:val="20"/>
              </w:rPr>
            </w:pPr>
          </w:p>
        </w:tc>
        <w:tc>
          <w:tcPr>
            <w:tcW w:w="1164" w:type="pct"/>
          </w:tcPr>
          <w:p w14:paraId="6D34BEE1" w14:textId="7184A107" w:rsidR="005D5FC7" w:rsidRPr="00F63323" w:rsidRDefault="005D5FC7" w:rsidP="005D5FC7">
            <w:pPr>
              <w:spacing w:after="0" w:line="240" w:lineRule="auto"/>
              <w:jc w:val="right"/>
              <w:rPr>
                <w:rFonts w:asciiTheme="minorHAnsi" w:hAnsiTheme="minorHAnsi" w:cstheme="minorHAnsi"/>
                <w:color w:val="000000"/>
              </w:rPr>
            </w:pPr>
            <w:r w:rsidRPr="00F63323">
              <w:rPr>
                <w:rFonts w:asciiTheme="minorHAnsi" w:hAnsiTheme="minorHAnsi" w:cstheme="minorHAnsi"/>
              </w:rPr>
              <w:t>↑</w:t>
            </w:r>
            <w:r w:rsidRPr="00F63323">
              <w:rPr>
                <w:rFonts w:asciiTheme="minorHAnsi" w:hAnsiTheme="minorHAnsi" w:cstheme="minorHAnsi"/>
                <w:color w:val="000000"/>
              </w:rPr>
              <w:t>0.1</w:t>
            </w:r>
          </w:p>
          <w:p w14:paraId="75C0D330" w14:textId="420EAE5B" w:rsidR="00D400B7" w:rsidRPr="002D468E" w:rsidRDefault="00D400B7" w:rsidP="00901085">
            <w:pPr>
              <w:jc w:val="right"/>
              <w:rPr>
                <w:rFonts w:asciiTheme="minorHAnsi" w:hAnsiTheme="minorHAnsi" w:cstheme="minorHAnsi"/>
                <w:sz w:val="20"/>
                <w:szCs w:val="20"/>
              </w:rPr>
            </w:pPr>
          </w:p>
        </w:tc>
      </w:tr>
      <w:tr w:rsidR="00D400B7" w:rsidRPr="002D468E" w14:paraId="3D0A6B0E" w14:textId="77777777" w:rsidTr="00901085">
        <w:tc>
          <w:tcPr>
            <w:tcW w:w="1726" w:type="pct"/>
          </w:tcPr>
          <w:p w14:paraId="2B7E1977" w14:textId="77777777" w:rsidR="00D400B7" w:rsidRPr="00F63323" w:rsidRDefault="00D400B7" w:rsidP="00901085">
            <w:pPr>
              <w:rPr>
                <w:rFonts w:asciiTheme="minorHAnsi" w:hAnsiTheme="minorHAnsi" w:cstheme="minorHAnsi"/>
                <w:sz w:val="20"/>
                <w:szCs w:val="20"/>
              </w:rPr>
            </w:pPr>
            <w:r w:rsidRPr="00F63323">
              <w:rPr>
                <w:rFonts w:asciiTheme="minorHAnsi" w:hAnsiTheme="minorHAnsi" w:cstheme="minorHAnsi"/>
              </w:rPr>
              <w:t xml:space="preserve">Suitability gap (%) </w:t>
            </w:r>
          </w:p>
        </w:tc>
        <w:tc>
          <w:tcPr>
            <w:tcW w:w="932" w:type="pct"/>
          </w:tcPr>
          <w:p w14:paraId="1FA3B71C" w14:textId="1A6251A2" w:rsidR="00D400B7" w:rsidRPr="00F63323" w:rsidRDefault="003C7C9D" w:rsidP="00F13746">
            <w:pPr>
              <w:spacing w:after="0" w:line="240" w:lineRule="auto"/>
              <w:jc w:val="right"/>
              <w:rPr>
                <w:rFonts w:asciiTheme="minorHAnsi" w:hAnsiTheme="minorHAnsi" w:cstheme="minorHAnsi"/>
                <w:color w:val="000000"/>
              </w:rPr>
            </w:pPr>
            <w:r w:rsidRPr="00F63323">
              <w:rPr>
                <w:rFonts w:asciiTheme="minorHAnsi" w:hAnsiTheme="minorHAnsi" w:cstheme="minorHAnsi"/>
                <w:color w:val="000000"/>
              </w:rPr>
              <w:t>54.9%</w:t>
            </w:r>
          </w:p>
        </w:tc>
        <w:tc>
          <w:tcPr>
            <w:tcW w:w="1178" w:type="pct"/>
          </w:tcPr>
          <w:p w14:paraId="66B47A15" w14:textId="628F75D8" w:rsidR="00D400B7" w:rsidRPr="00F63323" w:rsidRDefault="005D5FC7" w:rsidP="00F13746">
            <w:pPr>
              <w:spacing w:after="0" w:line="240" w:lineRule="auto"/>
              <w:jc w:val="right"/>
              <w:rPr>
                <w:rFonts w:asciiTheme="minorHAnsi" w:hAnsiTheme="minorHAnsi" w:cstheme="minorHAnsi"/>
                <w:color w:val="000000"/>
              </w:rPr>
            </w:pPr>
            <w:r w:rsidRPr="00F63323">
              <w:rPr>
                <w:rFonts w:asciiTheme="minorHAnsi" w:hAnsiTheme="minorHAnsi" w:cstheme="minorHAnsi"/>
              </w:rPr>
              <w:t>↑</w:t>
            </w:r>
            <w:r w:rsidRPr="00F63323">
              <w:rPr>
                <w:rFonts w:asciiTheme="minorHAnsi" w:hAnsiTheme="minorHAnsi" w:cstheme="minorHAnsi"/>
                <w:color w:val="000000"/>
              </w:rPr>
              <w:t>1.9%</w:t>
            </w:r>
          </w:p>
        </w:tc>
        <w:tc>
          <w:tcPr>
            <w:tcW w:w="1164" w:type="pct"/>
          </w:tcPr>
          <w:p w14:paraId="34BC7612" w14:textId="51C6AB76" w:rsidR="00D400B7" w:rsidRPr="00F63323" w:rsidRDefault="005D5FC7" w:rsidP="00F13746">
            <w:pPr>
              <w:spacing w:after="0" w:line="240" w:lineRule="auto"/>
              <w:jc w:val="right"/>
              <w:rPr>
                <w:rFonts w:asciiTheme="minorHAnsi" w:hAnsiTheme="minorHAnsi" w:cstheme="minorHAnsi"/>
                <w:color w:val="000000"/>
              </w:rPr>
            </w:pPr>
            <w:r w:rsidRPr="00F63323">
              <w:rPr>
                <w:rFonts w:asciiTheme="minorHAnsi" w:hAnsiTheme="minorHAnsi" w:cstheme="minorHAnsi"/>
              </w:rPr>
              <w:t>↑</w:t>
            </w:r>
            <w:r w:rsidRPr="00F63323">
              <w:rPr>
                <w:rFonts w:asciiTheme="minorHAnsi" w:hAnsiTheme="minorHAnsi" w:cstheme="minorHAnsi"/>
                <w:color w:val="000000"/>
              </w:rPr>
              <w:t>12.0%</w:t>
            </w:r>
          </w:p>
        </w:tc>
      </w:tr>
    </w:tbl>
    <w:p w14:paraId="4A2E2901" w14:textId="29213E87" w:rsidR="00D400B7" w:rsidRPr="003425BF" w:rsidRDefault="005D5FC7" w:rsidP="00EC2238">
      <w:pPr>
        <w:pStyle w:val="Source"/>
      </w:pPr>
      <w:r w:rsidRPr="003425BF">
        <w:t>Source: Jobs and Skills Australia, Survey of Employers who Recently Advertised</w:t>
      </w:r>
    </w:p>
    <w:p w14:paraId="7783732E" w14:textId="6DDCEEEE" w:rsidR="00656624" w:rsidRDefault="006460C9" w:rsidP="00656624">
      <w:pPr>
        <w:pStyle w:val="Caption"/>
        <w:spacing w:before="0"/>
        <w:rPr>
          <w:b w:val="0"/>
          <w:bCs w:val="0"/>
          <w:sz w:val="22"/>
          <w:szCs w:val="22"/>
        </w:rPr>
      </w:pPr>
      <w:r w:rsidRPr="0011185C">
        <w:rPr>
          <w:b w:val="0"/>
          <w:bCs w:val="0"/>
          <w:sz w:val="22"/>
          <w:szCs w:val="22"/>
        </w:rPr>
        <w:t xml:space="preserve">The </w:t>
      </w:r>
      <w:r>
        <w:rPr>
          <w:b w:val="0"/>
          <w:bCs w:val="0"/>
          <w:sz w:val="22"/>
          <w:szCs w:val="22"/>
        </w:rPr>
        <w:t xml:space="preserve">national </w:t>
      </w:r>
      <w:r w:rsidRPr="0011185C">
        <w:rPr>
          <w:b w:val="0"/>
          <w:bCs w:val="0"/>
          <w:sz w:val="22"/>
          <w:szCs w:val="22"/>
        </w:rPr>
        <w:t>regional fill rate increased by 1.5 percentage points to 61.3% in June quarter</w:t>
      </w:r>
      <w:r>
        <w:rPr>
          <w:b w:val="0"/>
          <w:bCs w:val="0"/>
          <w:sz w:val="22"/>
          <w:szCs w:val="22"/>
        </w:rPr>
        <w:t> </w:t>
      </w:r>
      <w:r w:rsidRPr="0011185C">
        <w:rPr>
          <w:b w:val="0"/>
          <w:bCs w:val="0"/>
          <w:sz w:val="22"/>
          <w:szCs w:val="22"/>
        </w:rPr>
        <w:t xml:space="preserve">2024 and by 3.3 percentage points </w:t>
      </w:r>
      <w:r>
        <w:rPr>
          <w:b w:val="0"/>
          <w:bCs w:val="0"/>
          <w:sz w:val="22"/>
          <w:szCs w:val="22"/>
        </w:rPr>
        <w:t>compared</w:t>
      </w:r>
      <w:r w:rsidRPr="0011185C">
        <w:rPr>
          <w:b w:val="0"/>
          <w:bCs w:val="0"/>
          <w:sz w:val="22"/>
          <w:szCs w:val="22"/>
        </w:rPr>
        <w:t xml:space="preserve"> to a yea</w:t>
      </w:r>
      <w:r w:rsidRPr="00F31C3B">
        <w:rPr>
          <w:b w:val="0"/>
          <w:bCs w:val="0"/>
          <w:sz w:val="22"/>
          <w:szCs w:val="22"/>
        </w:rPr>
        <w:t>r ago (</w:t>
      </w:r>
      <w:r w:rsidR="00F31C3B" w:rsidRPr="00F31C3B">
        <w:rPr>
          <w:b w:val="0"/>
          <w:bCs w:val="0"/>
          <w:sz w:val="22"/>
          <w:szCs w:val="22"/>
        </w:rPr>
        <w:fldChar w:fldCharType="begin"/>
      </w:r>
      <w:r w:rsidR="00F31C3B" w:rsidRPr="00F31C3B">
        <w:rPr>
          <w:b w:val="0"/>
          <w:bCs w:val="0"/>
          <w:sz w:val="22"/>
          <w:szCs w:val="22"/>
        </w:rPr>
        <w:instrText xml:space="preserve"> REF _Ref173249539 \h </w:instrText>
      </w:r>
      <w:r w:rsidR="00F31C3B" w:rsidRPr="00F63323">
        <w:rPr>
          <w:b w:val="0"/>
          <w:bCs w:val="0"/>
          <w:sz w:val="22"/>
          <w:szCs w:val="22"/>
        </w:rPr>
        <w:instrText xml:space="preserve"> \* MERGEFORMAT </w:instrText>
      </w:r>
      <w:r w:rsidR="00F31C3B" w:rsidRPr="00F31C3B">
        <w:rPr>
          <w:b w:val="0"/>
          <w:bCs w:val="0"/>
          <w:sz w:val="22"/>
          <w:szCs w:val="22"/>
        </w:rPr>
      </w:r>
      <w:r w:rsidR="00F31C3B" w:rsidRPr="00F31C3B">
        <w:rPr>
          <w:b w:val="0"/>
          <w:bCs w:val="0"/>
          <w:sz w:val="22"/>
          <w:szCs w:val="22"/>
        </w:rPr>
        <w:fldChar w:fldCharType="separate"/>
      </w:r>
      <w:r w:rsidR="00245DC9" w:rsidRPr="00245DC9">
        <w:rPr>
          <w:b w:val="0"/>
          <w:bCs w:val="0"/>
          <w:sz w:val="22"/>
          <w:szCs w:val="22"/>
        </w:rPr>
        <w:t xml:space="preserve">Table </w:t>
      </w:r>
      <w:r w:rsidR="00245DC9" w:rsidRPr="00245DC9">
        <w:rPr>
          <w:b w:val="0"/>
          <w:bCs w:val="0"/>
          <w:noProof/>
          <w:sz w:val="22"/>
          <w:szCs w:val="22"/>
        </w:rPr>
        <w:t>3</w:t>
      </w:r>
      <w:r w:rsidR="00F31C3B" w:rsidRPr="00F31C3B">
        <w:rPr>
          <w:b w:val="0"/>
          <w:bCs w:val="0"/>
          <w:sz w:val="22"/>
          <w:szCs w:val="22"/>
        </w:rPr>
        <w:fldChar w:fldCharType="end"/>
      </w:r>
      <w:r w:rsidR="00F31C3B" w:rsidRPr="00F31C3B">
        <w:rPr>
          <w:b w:val="0"/>
          <w:bCs w:val="0"/>
          <w:sz w:val="22"/>
          <w:szCs w:val="22"/>
        </w:rPr>
        <w:t xml:space="preserve"> </w:t>
      </w:r>
      <w:r w:rsidR="00E3373F" w:rsidRPr="00F31C3B">
        <w:rPr>
          <w:b w:val="0"/>
          <w:bCs w:val="0"/>
          <w:sz w:val="22"/>
          <w:szCs w:val="22"/>
        </w:rPr>
        <w:t xml:space="preserve">and </w:t>
      </w:r>
      <w:r w:rsidR="00E3373F" w:rsidRPr="00F31C3B">
        <w:rPr>
          <w:b w:val="0"/>
          <w:bCs w:val="0"/>
          <w:sz w:val="22"/>
          <w:szCs w:val="22"/>
        </w:rPr>
        <w:fldChar w:fldCharType="begin"/>
      </w:r>
      <w:r w:rsidR="00E3373F" w:rsidRPr="00F31C3B">
        <w:rPr>
          <w:b w:val="0"/>
          <w:bCs w:val="0"/>
          <w:sz w:val="22"/>
          <w:szCs w:val="22"/>
        </w:rPr>
        <w:instrText xml:space="preserve"> REF _Ref173249781 \h </w:instrText>
      </w:r>
      <w:r w:rsidR="00E3373F" w:rsidRPr="00F63323">
        <w:rPr>
          <w:b w:val="0"/>
          <w:bCs w:val="0"/>
          <w:sz w:val="22"/>
          <w:szCs w:val="22"/>
        </w:rPr>
        <w:instrText xml:space="preserve"> \* MERGEFORMAT </w:instrText>
      </w:r>
      <w:r w:rsidR="00E3373F" w:rsidRPr="00F31C3B">
        <w:rPr>
          <w:b w:val="0"/>
          <w:bCs w:val="0"/>
          <w:sz w:val="22"/>
          <w:szCs w:val="22"/>
        </w:rPr>
      </w:r>
      <w:r w:rsidR="00E3373F" w:rsidRPr="00F31C3B">
        <w:rPr>
          <w:b w:val="0"/>
          <w:bCs w:val="0"/>
          <w:sz w:val="22"/>
          <w:szCs w:val="22"/>
        </w:rPr>
        <w:fldChar w:fldCharType="separate"/>
      </w:r>
      <w:r w:rsidR="00245DC9" w:rsidRPr="00245DC9">
        <w:rPr>
          <w:b w:val="0"/>
          <w:bCs w:val="0"/>
          <w:sz w:val="22"/>
          <w:szCs w:val="22"/>
        </w:rPr>
        <w:t xml:space="preserve">Figure </w:t>
      </w:r>
      <w:r w:rsidR="00245DC9" w:rsidRPr="00245DC9">
        <w:rPr>
          <w:b w:val="0"/>
          <w:bCs w:val="0"/>
          <w:noProof/>
          <w:sz w:val="22"/>
          <w:szCs w:val="22"/>
        </w:rPr>
        <w:t>4</w:t>
      </w:r>
      <w:r w:rsidR="00E3373F" w:rsidRPr="00F31C3B">
        <w:rPr>
          <w:b w:val="0"/>
          <w:bCs w:val="0"/>
          <w:sz w:val="22"/>
          <w:szCs w:val="22"/>
        </w:rPr>
        <w:fldChar w:fldCharType="end"/>
      </w:r>
      <w:r w:rsidRPr="00E3373F">
        <w:rPr>
          <w:b w:val="0"/>
          <w:bCs w:val="0"/>
          <w:sz w:val="22"/>
          <w:szCs w:val="22"/>
        </w:rPr>
        <w:t>).</w:t>
      </w:r>
      <w:r w:rsidRPr="0011185C">
        <w:rPr>
          <w:b w:val="0"/>
          <w:bCs w:val="0"/>
          <w:sz w:val="22"/>
          <w:szCs w:val="22"/>
        </w:rPr>
        <w:t xml:space="preserve"> </w:t>
      </w:r>
    </w:p>
    <w:p w14:paraId="37663FDC" w14:textId="5DE42C77" w:rsidR="00F76342" w:rsidRDefault="00F76342" w:rsidP="00F76342">
      <w:pPr>
        <w:pStyle w:val="Caption"/>
        <w:spacing w:before="0"/>
        <w:rPr>
          <w:b w:val="0"/>
          <w:bCs w:val="0"/>
          <w:sz w:val="22"/>
          <w:szCs w:val="22"/>
        </w:rPr>
      </w:pPr>
      <w:r>
        <w:rPr>
          <w:b w:val="0"/>
          <w:bCs w:val="0"/>
          <w:sz w:val="22"/>
          <w:szCs w:val="22"/>
        </w:rPr>
        <w:t>T</w:t>
      </w:r>
      <w:r w:rsidRPr="0011185C">
        <w:rPr>
          <w:b w:val="0"/>
          <w:bCs w:val="0"/>
          <w:sz w:val="22"/>
          <w:szCs w:val="22"/>
        </w:rPr>
        <w:t xml:space="preserve">otal applicants, qualified applicants and suitable applicants </w:t>
      </w:r>
      <w:r>
        <w:rPr>
          <w:b w:val="0"/>
          <w:bCs w:val="0"/>
          <w:sz w:val="22"/>
          <w:szCs w:val="22"/>
        </w:rPr>
        <w:t xml:space="preserve">have also </w:t>
      </w:r>
      <w:r w:rsidRPr="0011185C">
        <w:rPr>
          <w:b w:val="0"/>
          <w:bCs w:val="0"/>
          <w:sz w:val="22"/>
          <w:szCs w:val="22"/>
        </w:rPr>
        <w:t xml:space="preserve">increased in </w:t>
      </w:r>
      <w:r>
        <w:rPr>
          <w:b w:val="0"/>
          <w:bCs w:val="0"/>
          <w:sz w:val="22"/>
          <w:szCs w:val="22"/>
        </w:rPr>
        <w:t xml:space="preserve">regional </w:t>
      </w:r>
      <w:r w:rsidRPr="0011185C">
        <w:rPr>
          <w:b w:val="0"/>
          <w:bCs w:val="0"/>
          <w:sz w:val="22"/>
          <w:szCs w:val="22"/>
        </w:rPr>
        <w:t xml:space="preserve">areas. In </w:t>
      </w:r>
      <w:r>
        <w:rPr>
          <w:b w:val="0"/>
          <w:bCs w:val="0"/>
          <w:sz w:val="22"/>
          <w:szCs w:val="22"/>
        </w:rPr>
        <w:t>J</w:t>
      </w:r>
      <w:r w:rsidRPr="0011185C">
        <w:rPr>
          <w:b w:val="0"/>
          <w:bCs w:val="0"/>
          <w:sz w:val="22"/>
          <w:szCs w:val="22"/>
        </w:rPr>
        <w:t>une quarter 2024, the suitability gap in regional areas increased by 1.9 percentage points to</w:t>
      </w:r>
      <w:r>
        <w:rPr>
          <w:b w:val="0"/>
          <w:bCs w:val="0"/>
          <w:sz w:val="22"/>
          <w:szCs w:val="22"/>
        </w:rPr>
        <w:t xml:space="preserve"> </w:t>
      </w:r>
      <w:r w:rsidRPr="0011185C">
        <w:rPr>
          <w:b w:val="0"/>
          <w:bCs w:val="0"/>
          <w:sz w:val="22"/>
          <w:szCs w:val="22"/>
        </w:rPr>
        <w:t>54.9% and over the year, it increased 12 percentage points to 54.9% from June quarter</w:t>
      </w:r>
      <w:r>
        <w:rPr>
          <w:b w:val="0"/>
          <w:bCs w:val="0"/>
          <w:sz w:val="22"/>
          <w:szCs w:val="22"/>
        </w:rPr>
        <w:t> </w:t>
      </w:r>
      <w:r w:rsidRPr="0011185C">
        <w:rPr>
          <w:b w:val="0"/>
          <w:bCs w:val="0"/>
          <w:sz w:val="22"/>
          <w:szCs w:val="22"/>
        </w:rPr>
        <w:t xml:space="preserve">2023. </w:t>
      </w:r>
    </w:p>
    <w:p w14:paraId="4104977E" w14:textId="73508315" w:rsidR="00BC3DA1" w:rsidRDefault="00E3373F" w:rsidP="00BC3DA1">
      <w:pPr>
        <w:pStyle w:val="Caption"/>
      </w:pPr>
      <w:bookmarkStart w:id="18" w:name="_Ref173249781"/>
      <w:r w:rsidRPr="00EC2238">
        <w:t xml:space="preserve">Figure </w:t>
      </w:r>
      <w:r w:rsidRPr="00EC2238">
        <w:fldChar w:fldCharType="begin"/>
      </w:r>
      <w:r w:rsidRPr="00EC2238">
        <w:instrText xml:space="preserve"> SEQ Figure \* ARABIC </w:instrText>
      </w:r>
      <w:r w:rsidRPr="00EC2238">
        <w:fldChar w:fldCharType="separate"/>
      </w:r>
      <w:r w:rsidR="00245DC9">
        <w:rPr>
          <w:noProof/>
        </w:rPr>
        <w:t>4</w:t>
      </w:r>
      <w:r w:rsidRPr="00EC2238">
        <w:fldChar w:fldCharType="end"/>
      </w:r>
      <w:bookmarkEnd w:id="18"/>
      <w:r w:rsidR="00656624" w:rsidRPr="00EC2238">
        <w:t>:  Fill rate (%) and suitability gap (right axis), total applicants, qualified, and suitable applicants per vacancy (no.) (left axis), by regional areas.</w:t>
      </w:r>
      <w:r w:rsidR="00656624">
        <w:t xml:space="preserve"> </w:t>
      </w:r>
      <w:r w:rsidR="00656624">
        <w:br/>
      </w:r>
      <w:r w:rsidR="00656624">
        <w:rPr>
          <w:noProof/>
        </w:rPr>
        <w:drawing>
          <wp:inline distT="0" distB="0" distL="0" distR="0" wp14:anchorId="7D385EE9" wp14:editId="5221C263">
            <wp:extent cx="5731200" cy="3348000"/>
            <wp:effectExtent l="0" t="0" r="3175" b="5080"/>
            <wp:docPr id="2106453106" name="Chart 1" descr="Figure 4:  Fill rate (%) and suitability gap (right axis), total applicants, qualified, and suitable applicants per vacancy (no.) (left axis), by regional areas">
              <a:extLst xmlns:a="http://schemas.openxmlformats.org/drawingml/2006/main">
                <a:ext uri="{FF2B5EF4-FFF2-40B4-BE49-F238E27FC236}">
                  <a16:creationId xmlns:a16="http://schemas.microsoft.com/office/drawing/2014/main" id="{A4F721BB-97AB-4B63-AAD7-58F7E2E8AF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2D0AD7E" w14:textId="1621BC35" w:rsidR="00BC3DA1" w:rsidRPr="00BC3DA1" w:rsidRDefault="00BC3DA1" w:rsidP="004A07AF">
      <w:pPr>
        <w:pStyle w:val="Source"/>
      </w:pPr>
      <w:r w:rsidRPr="00975843">
        <w:t>Source: Jobs and Skills Australia, Survey of Employers who Recently Advertised</w:t>
      </w:r>
    </w:p>
    <w:p w14:paraId="071FF7A3" w14:textId="27F2A98E" w:rsidR="003E5ED3" w:rsidRDefault="003E5ED3" w:rsidP="003E5ED3">
      <w:r>
        <w:lastRenderedPageBreak/>
        <w:t>However, i</w:t>
      </w:r>
      <w:r w:rsidRPr="0011185C">
        <w:t xml:space="preserve">n regional areas, the fill rates remained well below those </w:t>
      </w:r>
      <w:r>
        <w:t>of</w:t>
      </w:r>
      <w:r w:rsidRPr="0011185C">
        <w:t xml:space="preserve"> metropolitan areas.</w:t>
      </w:r>
      <w:r w:rsidRPr="00114B47">
        <w:t xml:space="preserve"> </w:t>
      </w:r>
      <w:r w:rsidRPr="0011185C">
        <w:t>The average difference in fill rates between the two areas has widened over time from 1.1 percentage points in 2022 to 6.8 percentage points in 2024, indicating shortage pressures in regional areas have become more pronounced</w:t>
      </w:r>
      <w:r w:rsidRPr="00F76342">
        <w:t xml:space="preserve"> relative to metro areas</w:t>
      </w:r>
      <w:r w:rsidRPr="0011185C">
        <w:t>.</w:t>
      </w:r>
      <w:r>
        <w:t xml:space="preserve"> </w:t>
      </w:r>
    </w:p>
    <w:p w14:paraId="47AA8605" w14:textId="77777777" w:rsidR="003E5ED3" w:rsidRDefault="003E5ED3" w:rsidP="003E5ED3">
      <w:r>
        <w:t xml:space="preserve">Further, the much higher level of </w:t>
      </w:r>
      <w:r w:rsidRPr="0011185C">
        <w:t xml:space="preserve">total applicants, qualified applicants and suitable applicants </w:t>
      </w:r>
      <w:r>
        <w:t xml:space="preserve">in metro areas </w:t>
      </w:r>
      <w:r w:rsidRPr="0011185C">
        <w:t xml:space="preserve">is a product of larger pools of workers in </w:t>
      </w:r>
      <w:r>
        <w:t xml:space="preserve">those </w:t>
      </w:r>
      <w:r w:rsidRPr="0011185C">
        <w:t>areas compared to regional areas</w:t>
      </w:r>
      <w:r>
        <w:t>.</w:t>
      </w:r>
    </w:p>
    <w:p w14:paraId="5ACD3745" w14:textId="4731417F" w:rsidR="008B219D" w:rsidRDefault="00F54698" w:rsidP="003E5ED3">
      <w:r>
        <w:t xml:space="preserve">In both metro and regional areas </w:t>
      </w:r>
      <w:r w:rsidR="006A0DD4">
        <w:t>‘</w:t>
      </w:r>
      <w:r w:rsidR="004F476E" w:rsidRPr="004F476E">
        <w:t>lacking work experience</w:t>
      </w:r>
      <w:r w:rsidR="006A0DD4">
        <w:t>’</w:t>
      </w:r>
      <w:r w:rsidR="004F476E" w:rsidRPr="004F476E">
        <w:t xml:space="preserve">, </w:t>
      </w:r>
      <w:r w:rsidR="00600DAD">
        <w:t xml:space="preserve">and </w:t>
      </w:r>
      <w:r w:rsidR="006A0DD4">
        <w:t>‘</w:t>
      </w:r>
      <w:r w:rsidR="004F476E" w:rsidRPr="004F476E">
        <w:t>lacking relevant qualifications</w:t>
      </w:r>
      <w:r w:rsidR="006A0DD4">
        <w:t>’</w:t>
      </w:r>
      <w:r w:rsidR="004F476E" w:rsidRPr="004F476E">
        <w:t xml:space="preserve"> </w:t>
      </w:r>
      <w:r w:rsidR="00600DAD">
        <w:t xml:space="preserve">were the two most common reasons applicants to vacancies were found unsuitable. However, </w:t>
      </w:r>
      <w:r w:rsidR="003B7963">
        <w:t xml:space="preserve">in metro areas, </w:t>
      </w:r>
      <w:r w:rsidR="004F476E" w:rsidRPr="004F476E">
        <w:t xml:space="preserve">lacking specific skills or experience </w:t>
      </w:r>
      <w:r w:rsidR="006F0994">
        <w:t xml:space="preserve">was third most common </w:t>
      </w:r>
      <w:r w:rsidR="003B7963">
        <w:t xml:space="preserve">reason </w:t>
      </w:r>
      <w:r w:rsidR="004F476E" w:rsidRPr="004F476E">
        <w:t xml:space="preserve">applicants </w:t>
      </w:r>
      <w:r w:rsidR="004D7AC6">
        <w:t xml:space="preserve">are </w:t>
      </w:r>
      <w:r w:rsidR="004F476E" w:rsidRPr="004F476E">
        <w:t>deemed unsuitable for employment.</w:t>
      </w:r>
      <w:r w:rsidR="003B7963">
        <w:t xml:space="preserve"> </w:t>
      </w:r>
      <w:r w:rsidR="009D455B">
        <w:t>On the other hand, i</w:t>
      </w:r>
      <w:r w:rsidR="003B7963">
        <w:t xml:space="preserve">n regional areas, </w:t>
      </w:r>
      <w:r w:rsidR="009D455B">
        <w:t xml:space="preserve">lacking working rights was the third most common reason. </w:t>
      </w:r>
    </w:p>
    <w:p w14:paraId="285CA3E1" w14:textId="5586ABF3" w:rsidR="003E5ED3" w:rsidRDefault="003E5ED3">
      <w:pPr>
        <w:spacing w:after="160" w:line="259" w:lineRule="auto"/>
      </w:pPr>
      <w:r>
        <w:br w:type="page"/>
      </w:r>
    </w:p>
    <w:p w14:paraId="6261BD4F" w14:textId="2459E545" w:rsidR="006818C2" w:rsidRPr="00783E7A" w:rsidRDefault="006818C2" w:rsidP="00783E7A">
      <w:pPr>
        <w:pStyle w:val="Heading1"/>
        <w:rPr>
          <w:rStyle w:val="Emphasis"/>
          <w:i w:val="0"/>
          <w:iCs w:val="0"/>
          <w:sz w:val="56"/>
        </w:rPr>
      </w:pPr>
      <w:bookmarkStart w:id="19" w:name="_Toc173755014"/>
      <w:r w:rsidRPr="00783E7A">
        <w:lastRenderedPageBreak/>
        <w:t>Results by</w:t>
      </w:r>
      <w:r w:rsidRPr="00783E7A">
        <w:rPr>
          <w:rStyle w:val="Emphasis"/>
          <w:i w:val="0"/>
          <w:iCs w:val="0"/>
          <w:sz w:val="56"/>
        </w:rPr>
        <w:t xml:space="preserve"> </w:t>
      </w:r>
      <w:r w:rsidR="00F73C2C">
        <w:rPr>
          <w:rStyle w:val="Emphasis"/>
          <w:i w:val="0"/>
          <w:iCs w:val="0"/>
          <w:sz w:val="56"/>
        </w:rPr>
        <w:t>s</w:t>
      </w:r>
      <w:r w:rsidRPr="00783E7A">
        <w:rPr>
          <w:rStyle w:val="Emphasis"/>
          <w:i w:val="0"/>
          <w:iCs w:val="0"/>
          <w:sz w:val="56"/>
        </w:rPr>
        <w:t xml:space="preserve">kill </w:t>
      </w:r>
      <w:r w:rsidR="00F73C2C">
        <w:rPr>
          <w:rStyle w:val="Emphasis"/>
          <w:i w:val="0"/>
          <w:iCs w:val="0"/>
          <w:sz w:val="56"/>
        </w:rPr>
        <w:t>l</w:t>
      </w:r>
      <w:r w:rsidRPr="00783E7A">
        <w:rPr>
          <w:rStyle w:val="Emphasis"/>
          <w:i w:val="0"/>
          <w:iCs w:val="0"/>
          <w:sz w:val="56"/>
        </w:rPr>
        <w:t>evel</w:t>
      </w:r>
      <w:bookmarkEnd w:id="19"/>
    </w:p>
    <w:p w14:paraId="7E7FC25E" w14:textId="2E262726" w:rsidR="00F033E2" w:rsidRDefault="00B17A25" w:rsidP="00B17A25">
      <w:r>
        <w:t>In the current quarter</w:t>
      </w:r>
      <w:r w:rsidR="007C3157">
        <w:t xml:space="preserve"> and in over the past 12 months</w:t>
      </w:r>
      <w:r>
        <w:t xml:space="preserve">, </w:t>
      </w:r>
      <w:r w:rsidR="007C3157">
        <w:t xml:space="preserve">fill rates improved across all Skill Level 1 to 4 occupations. </w:t>
      </w:r>
      <w:r w:rsidR="00F033E2">
        <w:t xml:space="preserve">This is supported by increases in </w:t>
      </w:r>
      <w:r w:rsidR="004E7BAA">
        <w:t xml:space="preserve">the total number of applicants, qualified </w:t>
      </w:r>
      <w:r w:rsidR="00E94AD8">
        <w:t>applicants,</w:t>
      </w:r>
      <w:r w:rsidR="004E7BAA">
        <w:t xml:space="preserve"> and suitable applicants per vacancy for all these skill level occupation groups</w:t>
      </w:r>
      <w:r w:rsidR="00016277">
        <w:t xml:space="preserve"> (</w:t>
      </w:r>
      <w:r w:rsidR="00E3373F">
        <w:fldChar w:fldCharType="begin"/>
      </w:r>
      <w:r w:rsidR="00E3373F">
        <w:instrText xml:space="preserve"> REF _Ref173249857 \h </w:instrText>
      </w:r>
      <w:r w:rsidR="00E3373F">
        <w:fldChar w:fldCharType="separate"/>
      </w:r>
      <w:r w:rsidR="00245DC9">
        <w:t xml:space="preserve">Figure </w:t>
      </w:r>
      <w:r w:rsidR="00245DC9">
        <w:rPr>
          <w:noProof/>
        </w:rPr>
        <w:t>5</w:t>
      </w:r>
      <w:r w:rsidR="00E3373F">
        <w:fldChar w:fldCharType="end"/>
      </w:r>
      <w:r w:rsidR="00016277">
        <w:t>)</w:t>
      </w:r>
      <w:r w:rsidR="004E7BAA">
        <w:t xml:space="preserve">. </w:t>
      </w:r>
    </w:p>
    <w:p w14:paraId="3518F7B7" w14:textId="3201CC07" w:rsidR="00EA09D0" w:rsidRDefault="00EA09D0" w:rsidP="00EA09D0">
      <w:r>
        <w:t>Improvements in fill rates and suitable applicants per vacancy appear to have slowed for Skill Level 2 occupations</w:t>
      </w:r>
      <w:r w:rsidR="003B0993">
        <w:t>, although their fill rate remains higher than for the other skill levels analysed</w:t>
      </w:r>
      <w:r>
        <w:t xml:space="preserve">. Over the last two quarters these metrics were largely unchanged. Further, there has only been a 1 percentage point increase in the fill rate since the December quarter 2023. </w:t>
      </w:r>
    </w:p>
    <w:p w14:paraId="341D5001" w14:textId="36FD9476" w:rsidR="005F027E" w:rsidRDefault="00050B48" w:rsidP="00B17A25">
      <w:r>
        <w:t xml:space="preserve">The largest improvements have been for Skill Level </w:t>
      </w:r>
      <w:r w:rsidR="00E92B22">
        <w:t>3</w:t>
      </w:r>
      <w:r>
        <w:t xml:space="preserve"> and 4 occupations</w:t>
      </w:r>
      <w:r w:rsidR="00AC7B7D">
        <w:t xml:space="preserve">, where the fill rates </w:t>
      </w:r>
      <w:r w:rsidR="008E2BD6">
        <w:t xml:space="preserve">for both </w:t>
      </w:r>
      <w:r w:rsidR="00AC7B7D">
        <w:t>increase</w:t>
      </w:r>
      <w:r w:rsidR="00EE4523">
        <w:t>d</w:t>
      </w:r>
      <w:r w:rsidR="00AC7B7D">
        <w:t xml:space="preserve"> by 2.1 percentage points </w:t>
      </w:r>
      <w:r w:rsidR="00E67A95">
        <w:t>over the quarter</w:t>
      </w:r>
      <w:r w:rsidR="00EE4523">
        <w:t>.</w:t>
      </w:r>
      <w:r>
        <w:t xml:space="preserve"> </w:t>
      </w:r>
    </w:p>
    <w:p w14:paraId="5ABD1DDF" w14:textId="5A97532E" w:rsidR="00EA09D0" w:rsidRDefault="00EA09D0" w:rsidP="00EA09D0">
      <w:r>
        <w:t>Despite the increase in fill rates for Skill Level 3 occupations, the fill rates remain very low at 51.9%</w:t>
      </w:r>
      <w:r w:rsidR="003B0993">
        <w:t>, which</w:t>
      </w:r>
      <w:r>
        <w:t xml:space="preserve"> is significantly below the fill rates of the other skill level</w:t>
      </w:r>
      <w:r w:rsidR="003B0993">
        <w:t>s analysed</w:t>
      </w:r>
      <w:r>
        <w:t xml:space="preserve">. </w:t>
      </w:r>
      <w:bookmarkStart w:id="20" w:name="_Hlk173246164"/>
      <w:r>
        <w:t>The June quarter 2024 is the first time</w:t>
      </w:r>
      <w:r w:rsidR="005F7FEF">
        <w:t>,</w:t>
      </w:r>
      <w:r w:rsidR="003E14CB">
        <w:t xml:space="preserve"> </w:t>
      </w:r>
      <w:r w:rsidR="0089073E">
        <w:t xml:space="preserve">since </w:t>
      </w:r>
      <w:r w:rsidR="00190CE3">
        <w:t>September</w:t>
      </w:r>
      <w:r w:rsidR="00FB01E8">
        <w:t xml:space="preserve"> </w:t>
      </w:r>
      <w:r w:rsidR="002A0971">
        <w:t xml:space="preserve">quarter </w:t>
      </w:r>
      <w:r w:rsidR="00190CE3">
        <w:t>2021</w:t>
      </w:r>
      <w:r w:rsidR="00AD0B37">
        <w:t>,</w:t>
      </w:r>
      <w:r>
        <w:t xml:space="preserve"> the average fill rate has risen above 50% for Skill Level 3 occupations</w:t>
      </w:r>
      <w:r w:rsidR="00F0099F">
        <w:t xml:space="preserve">. </w:t>
      </w:r>
      <w:r>
        <w:t>The result suggests that while there is ongoing improvement in the fill rate, skill shortage pressures remain acute for Skill Level 3 occupations</w:t>
      </w:r>
      <w:bookmarkEnd w:id="20"/>
      <w:r>
        <w:t xml:space="preserve">. </w:t>
      </w:r>
    </w:p>
    <w:p w14:paraId="242FCBC1" w14:textId="77777777" w:rsidR="00EA09D0" w:rsidRDefault="00EA09D0" w:rsidP="00EA09D0">
      <w:r>
        <w:t xml:space="preserve">Skill Level 3 occupations are generally those with Vocational Education and Training as the primary pathway to the labour market. These occupations typically require a Certificate III/IV. </w:t>
      </w:r>
    </w:p>
    <w:p w14:paraId="7FDF47F0" w14:textId="77777777" w:rsidR="00334FDB" w:rsidRDefault="00334FDB">
      <w:pPr>
        <w:spacing w:after="160" w:line="259" w:lineRule="auto"/>
        <w:rPr>
          <w:b/>
          <w:bCs/>
          <w:sz w:val="18"/>
          <w:szCs w:val="18"/>
        </w:rPr>
      </w:pPr>
      <w:r>
        <w:br w:type="page"/>
      </w:r>
    </w:p>
    <w:p w14:paraId="7E42C87A" w14:textId="3FC19336" w:rsidR="00334FDB" w:rsidRPr="00334FDB" w:rsidRDefault="00E3373F" w:rsidP="005F7FEF">
      <w:pPr>
        <w:pStyle w:val="Caption"/>
      </w:pPr>
      <w:bookmarkStart w:id="21" w:name="_Ref173249857"/>
      <w:r>
        <w:lastRenderedPageBreak/>
        <w:t xml:space="preserve">Figure </w:t>
      </w:r>
      <w:r>
        <w:fldChar w:fldCharType="begin"/>
      </w:r>
      <w:r>
        <w:instrText xml:space="preserve"> SEQ Figure \* ARABIC </w:instrText>
      </w:r>
      <w:r>
        <w:fldChar w:fldCharType="separate"/>
      </w:r>
      <w:r w:rsidR="00245DC9">
        <w:rPr>
          <w:noProof/>
        </w:rPr>
        <w:t>5</w:t>
      </w:r>
      <w:r>
        <w:fldChar w:fldCharType="end"/>
      </w:r>
      <w:bookmarkEnd w:id="21"/>
      <w:r w:rsidR="00A8025D" w:rsidRPr="00906A5D">
        <w:t>: Fill rate (%)</w:t>
      </w:r>
      <w:r w:rsidR="00A8025D">
        <w:t>,</w:t>
      </w:r>
      <w:r w:rsidR="00A8025D" w:rsidRPr="00906A5D">
        <w:t xml:space="preserve"> total applicants, qualified and suitable applicants per vacancy (no.), by </w:t>
      </w:r>
      <w:r w:rsidR="00A8025D">
        <w:t>Skill Level</w:t>
      </w:r>
    </w:p>
    <w:p w14:paraId="1496BB12" w14:textId="09B284AC" w:rsidR="00FD13BA" w:rsidRPr="00F13746" w:rsidRDefault="00DD7A8F" w:rsidP="00EC2238">
      <w:pPr>
        <w:pStyle w:val="Source"/>
        <w:rPr>
          <w:b/>
          <w:bCs/>
          <w:color w:val="FF0000"/>
        </w:rPr>
      </w:pPr>
      <w:r w:rsidRPr="005F7FEF">
        <w:rPr>
          <w:noProof/>
          <w:color w:val="FFFFFF" w:themeColor="background1"/>
          <w:sz w:val="12"/>
          <w:szCs w:val="12"/>
        </w:rPr>
        <w:drawing>
          <wp:inline distT="0" distB="0" distL="0" distR="0" wp14:anchorId="6CD0B73D" wp14:editId="1A4E7FA2">
            <wp:extent cx="5731200" cy="2070000"/>
            <wp:effectExtent l="0" t="0" r="3175" b="6985"/>
            <wp:docPr id="1044605111" name="Chart 1" descr="Figure 5: Fill rate (%), total applicants, qualified and suitable applicants per vacancy (no.), by Skill Level 1">
              <a:extLst xmlns:a="http://schemas.openxmlformats.org/drawingml/2006/main">
                <a:ext uri="{FF2B5EF4-FFF2-40B4-BE49-F238E27FC236}">
                  <a16:creationId xmlns:a16="http://schemas.microsoft.com/office/drawing/2014/main" id="{F5468B9D-26B0-4473-3CF3-14287BD690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5F7FEF">
        <w:rPr>
          <w:noProof/>
          <w:color w:val="FFFFFF" w:themeColor="background1"/>
          <w:sz w:val="12"/>
          <w:szCs w:val="12"/>
        </w:rPr>
        <w:drawing>
          <wp:inline distT="0" distB="0" distL="0" distR="0" wp14:anchorId="6C04FC83" wp14:editId="50804011">
            <wp:extent cx="5731200" cy="2070000"/>
            <wp:effectExtent l="0" t="0" r="3175" b="6985"/>
            <wp:docPr id="1387610828" name="Chart 1" descr="Figure 5: Fill rate (%), total applicants, qualified and suitable applicants per vacancy (no.), by Skill Level 2">
              <a:extLst xmlns:a="http://schemas.openxmlformats.org/drawingml/2006/main">
                <a:ext uri="{FF2B5EF4-FFF2-40B4-BE49-F238E27FC236}">
                  <a16:creationId xmlns:a16="http://schemas.microsoft.com/office/drawing/2014/main" id="{B535967A-E042-4199-9573-521C8F36DD63}"/>
                </a:ext>
                <a:ext uri="{147F2762-F138-4A5C-976F-8EAC2B608ADB}">
                  <a16:predDERef xmlns:a16="http://schemas.microsoft.com/office/drawing/2014/main" pred="{F5468B9D-26B0-4473-3CF3-14287BD690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br/>
      </w:r>
      <w:r>
        <w:rPr>
          <w:noProof/>
        </w:rPr>
        <w:drawing>
          <wp:inline distT="0" distB="0" distL="0" distR="0" wp14:anchorId="64C407B7" wp14:editId="5C8B9B41">
            <wp:extent cx="5731200" cy="2070000"/>
            <wp:effectExtent l="0" t="0" r="3175" b="6985"/>
            <wp:docPr id="1710231799" name="Chart 1" descr="Figure 5: Fill rate (%), total applicants, qualified and suitable applicants per vacancy (no.), by Skill Level 3">
              <a:extLst xmlns:a="http://schemas.openxmlformats.org/drawingml/2006/main">
                <a:ext uri="{FF2B5EF4-FFF2-40B4-BE49-F238E27FC236}">
                  <a16:creationId xmlns:a16="http://schemas.microsoft.com/office/drawing/2014/main" id="{20921A18-1998-4735-BF34-414D0A984A31}"/>
                </a:ext>
                <a:ext uri="{147F2762-F138-4A5C-976F-8EAC2B608ADB}">
                  <a16:predDERef xmlns:a16="http://schemas.microsoft.com/office/drawing/2014/main" pred="{B535967A-E042-4199-9573-521C8F36DD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br/>
      </w:r>
      <w:r>
        <w:rPr>
          <w:noProof/>
        </w:rPr>
        <w:drawing>
          <wp:inline distT="0" distB="0" distL="0" distR="0" wp14:anchorId="04363512" wp14:editId="086DD5B0">
            <wp:extent cx="5730875" cy="2346385"/>
            <wp:effectExtent l="0" t="0" r="3175" b="0"/>
            <wp:docPr id="1163806740" name="Chart 1" descr="Figure 5: Fill rate (%), total applicants, qualified and suitable applicants per vacancy (no.), by Skill Level 4">
              <a:extLst xmlns:a="http://schemas.openxmlformats.org/drawingml/2006/main">
                <a:ext uri="{FF2B5EF4-FFF2-40B4-BE49-F238E27FC236}">
                  <a16:creationId xmlns:a16="http://schemas.microsoft.com/office/drawing/2014/main" id="{1BD90962-164E-4EBB-BD70-09D02C480966}"/>
                </a:ext>
                <a:ext uri="{147F2762-F138-4A5C-976F-8EAC2B608ADB}">
                  <a16:predDERef xmlns:a16="http://schemas.microsoft.com/office/drawing/2014/main" pred="{20921A18-1998-4735-BF34-414D0A984A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5F7FEF">
        <w:br/>
      </w:r>
      <w:r w:rsidR="00975843" w:rsidRPr="00975843">
        <w:t>Source: Jobs and Skills Australia, Survey of Employers who Recently Advertised</w:t>
      </w:r>
    </w:p>
    <w:p w14:paraId="162B4485" w14:textId="159C4E80" w:rsidR="00CC717D" w:rsidRPr="009532F6" w:rsidRDefault="00CC717D" w:rsidP="009532F6">
      <w:pPr>
        <w:pStyle w:val="Heading1"/>
        <w:rPr>
          <w:rStyle w:val="Emphasis"/>
          <w:i w:val="0"/>
          <w:iCs w:val="0"/>
          <w:sz w:val="56"/>
        </w:rPr>
      </w:pPr>
      <w:bookmarkStart w:id="22" w:name="_Toc173755015"/>
      <w:r w:rsidRPr="009532F6">
        <w:lastRenderedPageBreak/>
        <w:t>Results by</w:t>
      </w:r>
      <w:r w:rsidRPr="009532F6">
        <w:rPr>
          <w:rStyle w:val="Emphasis"/>
          <w:i w:val="0"/>
          <w:iCs w:val="0"/>
          <w:sz w:val="56"/>
        </w:rPr>
        <w:t xml:space="preserve"> </w:t>
      </w:r>
      <w:r w:rsidR="00ED34D4" w:rsidRPr="009532F6">
        <w:rPr>
          <w:rStyle w:val="Emphasis"/>
          <w:i w:val="0"/>
          <w:iCs w:val="0"/>
          <w:sz w:val="56"/>
        </w:rPr>
        <w:t>m</w:t>
      </w:r>
      <w:r w:rsidR="00F2384D" w:rsidRPr="009532F6">
        <w:rPr>
          <w:rStyle w:val="Emphasis"/>
          <w:i w:val="0"/>
          <w:iCs w:val="0"/>
          <w:sz w:val="56"/>
        </w:rPr>
        <w:t>ajor group</w:t>
      </w:r>
      <w:bookmarkEnd w:id="22"/>
    </w:p>
    <w:p w14:paraId="26AF2F81" w14:textId="35BDB88E" w:rsidR="00CC717D" w:rsidRPr="003425BF" w:rsidRDefault="00E3373F" w:rsidP="00F63323">
      <w:pPr>
        <w:pStyle w:val="Caption"/>
      </w:pPr>
      <w:bookmarkStart w:id="23" w:name="_Ref173249903"/>
      <w:r>
        <w:t xml:space="preserve">Table </w:t>
      </w:r>
      <w:r>
        <w:fldChar w:fldCharType="begin"/>
      </w:r>
      <w:r>
        <w:instrText xml:space="preserve"> SEQ Table \* ARABIC </w:instrText>
      </w:r>
      <w:r>
        <w:fldChar w:fldCharType="separate"/>
      </w:r>
      <w:r w:rsidR="00245DC9">
        <w:rPr>
          <w:noProof/>
        </w:rPr>
        <w:t>4</w:t>
      </w:r>
      <w:r>
        <w:fldChar w:fldCharType="end"/>
      </w:r>
      <w:bookmarkEnd w:id="23"/>
      <w:r w:rsidR="00ED34D4" w:rsidRPr="003425BF">
        <w:t>: ANZSCO</w:t>
      </w:r>
      <w:r w:rsidR="00E571FB" w:rsidRPr="003425BF">
        <w:rPr>
          <w:rStyle w:val="FootnoteReference"/>
        </w:rPr>
        <w:footnoteReference w:id="6"/>
      </w:r>
      <w:r w:rsidR="00E571FB" w:rsidRPr="003425BF">
        <w:t xml:space="preserve"> </w:t>
      </w:r>
      <w:r w:rsidR="00ED34D4" w:rsidRPr="003425BF">
        <w:t>Major group snapshot</w:t>
      </w:r>
    </w:p>
    <w:tbl>
      <w:tblPr>
        <w:tblStyle w:val="JSATable1"/>
        <w:tblW w:w="5000" w:type="pct"/>
        <w:tblLayout w:type="fixed"/>
        <w:tblLook w:val="0020" w:firstRow="1" w:lastRow="0" w:firstColumn="0" w:lastColumn="0" w:noHBand="0" w:noVBand="0"/>
      </w:tblPr>
      <w:tblGrid>
        <w:gridCol w:w="1605"/>
        <w:gridCol w:w="2950"/>
        <w:gridCol w:w="1117"/>
        <w:gridCol w:w="1699"/>
        <w:gridCol w:w="1655"/>
      </w:tblGrid>
      <w:tr w:rsidR="00905B79" w:rsidRPr="002D468E" w14:paraId="4FF19780" w14:textId="77777777" w:rsidTr="2482F2FF">
        <w:trPr>
          <w:cnfStyle w:val="100000000000" w:firstRow="1" w:lastRow="0" w:firstColumn="0" w:lastColumn="0" w:oddVBand="0" w:evenVBand="0" w:oddHBand="0" w:evenHBand="0" w:firstRowFirstColumn="0" w:firstRowLastColumn="0" w:lastRowFirstColumn="0" w:lastRowLastColumn="0"/>
          <w:tblHeader/>
        </w:trPr>
        <w:tc>
          <w:tcPr>
            <w:tcW w:w="889" w:type="pct"/>
            <w:tcBorders>
              <w:bottom w:val="nil"/>
            </w:tcBorders>
          </w:tcPr>
          <w:p w14:paraId="100E25C1" w14:textId="4AB2126A" w:rsidR="00CC717D" w:rsidRPr="002D468E" w:rsidRDefault="00CC717D" w:rsidP="00CC717D">
            <w:pPr>
              <w:rPr>
                <w:rFonts w:asciiTheme="minorHAnsi" w:hAnsiTheme="minorHAnsi" w:cstheme="minorHAnsi"/>
              </w:rPr>
            </w:pPr>
            <w:r w:rsidRPr="002D468E">
              <w:rPr>
                <w:rFonts w:asciiTheme="minorHAnsi" w:hAnsiTheme="minorHAnsi" w:cstheme="minorHAnsi"/>
              </w:rPr>
              <w:t>Major group</w:t>
            </w:r>
            <w:r w:rsidR="00F2384D" w:rsidRPr="002D468E">
              <w:rPr>
                <w:rFonts w:asciiTheme="minorHAnsi" w:hAnsiTheme="minorHAnsi" w:cstheme="minorHAnsi"/>
              </w:rPr>
              <w:t xml:space="preserve"> </w:t>
            </w:r>
          </w:p>
          <w:p w14:paraId="2FD59440" w14:textId="77777777" w:rsidR="00CC717D" w:rsidRPr="002D468E" w:rsidRDefault="00CC717D" w:rsidP="00901085">
            <w:pPr>
              <w:rPr>
                <w:rFonts w:asciiTheme="minorHAnsi" w:hAnsiTheme="minorHAnsi" w:cstheme="minorHAnsi"/>
              </w:rPr>
            </w:pPr>
          </w:p>
        </w:tc>
        <w:tc>
          <w:tcPr>
            <w:tcW w:w="1634" w:type="pct"/>
          </w:tcPr>
          <w:p w14:paraId="044A53C5" w14:textId="7106E03E" w:rsidR="00CC717D" w:rsidRPr="002D468E" w:rsidRDefault="00CC717D" w:rsidP="00901085">
            <w:pPr>
              <w:rPr>
                <w:rFonts w:asciiTheme="minorHAnsi" w:hAnsiTheme="minorHAnsi" w:cstheme="minorHAnsi"/>
              </w:rPr>
            </w:pPr>
          </w:p>
        </w:tc>
        <w:tc>
          <w:tcPr>
            <w:tcW w:w="619" w:type="pct"/>
          </w:tcPr>
          <w:p w14:paraId="327C5747" w14:textId="77777777" w:rsidR="00CC717D" w:rsidRPr="002D468E" w:rsidRDefault="00CC717D" w:rsidP="00901085">
            <w:pPr>
              <w:jc w:val="right"/>
              <w:rPr>
                <w:rFonts w:asciiTheme="minorHAnsi" w:hAnsiTheme="minorHAnsi" w:cstheme="minorHAnsi"/>
              </w:rPr>
            </w:pPr>
            <w:r w:rsidRPr="002D468E">
              <w:rPr>
                <w:rFonts w:asciiTheme="minorHAnsi" w:hAnsiTheme="minorHAnsi" w:cstheme="minorHAnsi"/>
              </w:rPr>
              <w:t>June quarter 2024</w:t>
            </w:r>
          </w:p>
        </w:tc>
        <w:tc>
          <w:tcPr>
            <w:tcW w:w="941" w:type="pct"/>
          </w:tcPr>
          <w:p w14:paraId="672D06CC" w14:textId="77777777" w:rsidR="00CC717D" w:rsidRPr="002D468E" w:rsidRDefault="00CC717D" w:rsidP="00901085">
            <w:pPr>
              <w:jc w:val="right"/>
              <w:rPr>
                <w:rFonts w:asciiTheme="minorHAnsi" w:hAnsiTheme="minorHAnsi" w:cstheme="minorHAnsi"/>
              </w:rPr>
            </w:pPr>
            <w:r w:rsidRPr="002D468E">
              <w:rPr>
                <w:rFonts w:asciiTheme="minorHAnsi" w:hAnsiTheme="minorHAnsi" w:cstheme="minorHAnsi"/>
              </w:rPr>
              <w:t>Change over the quarter</w:t>
            </w:r>
          </w:p>
        </w:tc>
        <w:tc>
          <w:tcPr>
            <w:tcW w:w="917" w:type="pct"/>
          </w:tcPr>
          <w:p w14:paraId="456AAF4E" w14:textId="77777777" w:rsidR="00CC717D" w:rsidRPr="002D468E" w:rsidRDefault="00CC717D" w:rsidP="00901085">
            <w:pPr>
              <w:jc w:val="right"/>
              <w:rPr>
                <w:rFonts w:asciiTheme="minorHAnsi" w:hAnsiTheme="minorHAnsi" w:cstheme="minorHAnsi"/>
              </w:rPr>
            </w:pPr>
            <w:r w:rsidRPr="002D468E">
              <w:rPr>
                <w:rFonts w:asciiTheme="minorHAnsi" w:hAnsiTheme="minorHAnsi" w:cstheme="minorHAnsi"/>
              </w:rPr>
              <w:t>Change over 12 months</w:t>
            </w:r>
          </w:p>
        </w:tc>
      </w:tr>
      <w:tr w:rsidR="000147DC" w:rsidRPr="002D468E" w14:paraId="6A578084" w14:textId="77777777" w:rsidTr="2482F2FF">
        <w:tc>
          <w:tcPr>
            <w:tcW w:w="889" w:type="pct"/>
            <w:vMerge w:val="restart"/>
            <w:tcBorders>
              <w:bottom w:val="single" w:sz="4" w:space="0" w:color="auto"/>
            </w:tcBorders>
          </w:tcPr>
          <w:p w14:paraId="42B15150" w14:textId="77777777" w:rsidR="00CC717D" w:rsidRPr="002D468E" w:rsidRDefault="00CC717D" w:rsidP="00901085">
            <w:pPr>
              <w:rPr>
                <w:rFonts w:asciiTheme="minorHAnsi" w:hAnsiTheme="minorHAnsi" w:cstheme="minorHAnsi"/>
              </w:rPr>
            </w:pPr>
          </w:p>
          <w:p w14:paraId="2CBD4A51" w14:textId="77777777" w:rsidR="00CC717D" w:rsidRPr="002D468E" w:rsidRDefault="00CC717D" w:rsidP="00901085">
            <w:pPr>
              <w:rPr>
                <w:rFonts w:asciiTheme="minorHAnsi" w:hAnsiTheme="minorHAnsi" w:cstheme="minorHAnsi"/>
              </w:rPr>
            </w:pPr>
          </w:p>
          <w:p w14:paraId="08857422" w14:textId="4FC752B8" w:rsidR="00CC717D" w:rsidRPr="002D468E" w:rsidRDefault="00CC717D" w:rsidP="00901085">
            <w:pPr>
              <w:rPr>
                <w:rFonts w:asciiTheme="minorHAnsi" w:hAnsiTheme="minorHAnsi" w:cstheme="minorHAnsi"/>
              </w:rPr>
            </w:pPr>
            <w:r w:rsidRPr="002D468E">
              <w:rPr>
                <w:rFonts w:asciiTheme="minorHAnsi" w:hAnsiTheme="minorHAnsi" w:cstheme="minorHAnsi"/>
              </w:rPr>
              <w:t>Managers</w:t>
            </w:r>
          </w:p>
        </w:tc>
        <w:tc>
          <w:tcPr>
            <w:tcW w:w="1634" w:type="pct"/>
          </w:tcPr>
          <w:p w14:paraId="69E0B681" w14:textId="32E14E4B" w:rsidR="00CC717D" w:rsidRPr="00F63323" w:rsidRDefault="00CC717D" w:rsidP="00901085">
            <w:pPr>
              <w:rPr>
                <w:rFonts w:asciiTheme="minorHAnsi" w:hAnsiTheme="minorHAnsi" w:cstheme="minorHAnsi"/>
              </w:rPr>
            </w:pPr>
            <w:r w:rsidRPr="002D468E">
              <w:rPr>
                <w:rFonts w:asciiTheme="minorHAnsi" w:hAnsiTheme="minorHAnsi" w:cstheme="minorHAnsi"/>
              </w:rPr>
              <w:t>Vacancy fill rate (%)</w:t>
            </w:r>
          </w:p>
        </w:tc>
        <w:tc>
          <w:tcPr>
            <w:tcW w:w="619" w:type="pct"/>
          </w:tcPr>
          <w:p w14:paraId="6CC65F22" w14:textId="43283AC6" w:rsidR="00CC717D" w:rsidRPr="002D468E" w:rsidRDefault="004338FF"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81.9%</w:t>
            </w:r>
          </w:p>
        </w:tc>
        <w:tc>
          <w:tcPr>
            <w:tcW w:w="941" w:type="pct"/>
          </w:tcPr>
          <w:p w14:paraId="113C8740" w14:textId="135F9854" w:rsidR="00CC717D"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004338FF" w:rsidRPr="002D468E">
              <w:rPr>
                <w:rFonts w:asciiTheme="minorHAnsi" w:hAnsiTheme="minorHAnsi" w:cstheme="minorHAnsi"/>
                <w:color w:val="000000"/>
              </w:rPr>
              <w:t>2.4%</w:t>
            </w:r>
          </w:p>
        </w:tc>
        <w:tc>
          <w:tcPr>
            <w:tcW w:w="0" w:type="pct"/>
          </w:tcPr>
          <w:p w14:paraId="5A1D6B4E" w14:textId="14E08D92" w:rsidR="00CC717D"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5.0%</w:t>
            </w:r>
          </w:p>
        </w:tc>
      </w:tr>
      <w:tr w:rsidR="000147DC" w:rsidRPr="002D468E" w14:paraId="6E001169" w14:textId="77777777" w:rsidTr="2482F2FF">
        <w:trPr>
          <w:cnfStyle w:val="000000010000" w:firstRow="0" w:lastRow="0" w:firstColumn="0" w:lastColumn="0" w:oddVBand="0" w:evenVBand="0" w:oddHBand="0" w:evenHBand="1" w:firstRowFirstColumn="0" w:firstRowLastColumn="0" w:lastRowFirstColumn="0" w:lastRowLastColumn="0"/>
        </w:trPr>
        <w:tc>
          <w:tcPr>
            <w:tcW w:w="889" w:type="pct"/>
            <w:vMerge/>
          </w:tcPr>
          <w:p w14:paraId="70F56358" w14:textId="77777777" w:rsidR="00CC717D" w:rsidRPr="002D468E" w:rsidRDefault="00CC717D" w:rsidP="00901085">
            <w:pPr>
              <w:rPr>
                <w:rFonts w:asciiTheme="minorHAnsi" w:hAnsiTheme="minorHAnsi" w:cstheme="minorHAnsi"/>
              </w:rPr>
            </w:pPr>
          </w:p>
        </w:tc>
        <w:tc>
          <w:tcPr>
            <w:tcW w:w="1634" w:type="pct"/>
          </w:tcPr>
          <w:p w14:paraId="66244E6C" w14:textId="65290017" w:rsidR="00CC717D" w:rsidRPr="00F63323" w:rsidRDefault="00CC717D" w:rsidP="00901085">
            <w:pPr>
              <w:rPr>
                <w:rFonts w:asciiTheme="minorHAnsi" w:hAnsiTheme="minorHAnsi" w:cstheme="minorHAnsi"/>
              </w:rPr>
            </w:pPr>
            <w:r w:rsidRPr="002D468E">
              <w:rPr>
                <w:rFonts w:asciiTheme="minorHAnsi" w:hAnsiTheme="minorHAnsi" w:cstheme="minorHAnsi"/>
              </w:rPr>
              <w:t>Applicants per vacancy (no.)</w:t>
            </w:r>
          </w:p>
        </w:tc>
        <w:tc>
          <w:tcPr>
            <w:tcW w:w="619" w:type="pct"/>
          </w:tcPr>
          <w:p w14:paraId="19E172A2" w14:textId="0296F78D" w:rsidR="00CC717D" w:rsidRPr="00F63323" w:rsidRDefault="004338FF" w:rsidP="002D468E">
            <w:pPr>
              <w:jc w:val="right"/>
              <w:rPr>
                <w:rFonts w:asciiTheme="minorHAnsi" w:hAnsiTheme="minorHAnsi" w:cstheme="minorHAnsi"/>
              </w:rPr>
            </w:pPr>
            <w:r w:rsidRPr="00F63323">
              <w:rPr>
                <w:rFonts w:asciiTheme="minorHAnsi" w:hAnsiTheme="minorHAnsi" w:cstheme="minorHAnsi"/>
              </w:rPr>
              <w:t>32.6</w:t>
            </w:r>
          </w:p>
        </w:tc>
        <w:tc>
          <w:tcPr>
            <w:tcW w:w="941" w:type="pct"/>
          </w:tcPr>
          <w:p w14:paraId="78F76BD1" w14:textId="2B7DC96F" w:rsidR="00CC717D"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004338FF" w:rsidRPr="002D468E">
              <w:rPr>
                <w:rFonts w:asciiTheme="minorHAnsi" w:hAnsiTheme="minorHAnsi" w:cstheme="minorHAnsi"/>
                <w:color w:val="000000"/>
              </w:rPr>
              <w:t>3.1</w:t>
            </w:r>
          </w:p>
        </w:tc>
        <w:tc>
          <w:tcPr>
            <w:tcW w:w="0" w:type="pct"/>
          </w:tcPr>
          <w:p w14:paraId="46F02F41" w14:textId="7DA4C910" w:rsidR="00CC717D"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8.1</w:t>
            </w:r>
          </w:p>
        </w:tc>
      </w:tr>
      <w:tr w:rsidR="000147DC" w:rsidRPr="002D468E" w14:paraId="469511AF" w14:textId="77777777" w:rsidTr="2482F2FF">
        <w:tc>
          <w:tcPr>
            <w:tcW w:w="889" w:type="pct"/>
            <w:vMerge/>
          </w:tcPr>
          <w:p w14:paraId="47EA006E" w14:textId="77777777" w:rsidR="00CC717D" w:rsidRPr="002D468E" w:rsidRDefault="00CC717D" w:rsidP="00901085">
            <w:pPr>
              <w:rPr>
                <w:rFonts w:asciiTheme="minorHAnsi" w:hAnsiTheme="minorHAnsi" w:cstheme="minorHAnsi"/>
              </w:rPr>
            </w:pPr>
          </w:p>
        </w:tc>
        <w:tc>
          <w:tcPr>
            <w:tcW w:w="1634" w:type="pct"/>
          </w:tcPr>
          <w:p w14:paraId="6474E542" w14:textId="4ED4771A" w:rsidR="00CC717D" w:rsidRPr="00F63323" w:rsidRDefault="00CC717D" w:rsidP="00901085">
            <w:pPr>
              <w:rPr>
                <w:rFonts w:asciiTheme="minorHAnsi" w:hAnsiTheme="minorHAnsi" w:cstheme="minorHAnsi"/>
              </w:rPr>
            </w:pPr>
            <w:r w:rsidRPr="002D468E">
              <w:rPr>
                <w:rFonts w:asciiTheme="minorHAnsi" w:hAnsiTheme="minorHAnsi" w:cstheme="minorHAnsi"/>
              </w:rPr>
              <w:t>Qualified applicants per vacancy (no.)</w:t>
            </w:r>
          </w:p>
        </w:tc>
        <w:tc>
          <w:tcPr>
            <w:tcW w:w="619" w:type="pct"/>
          </w:tcPr>
          <w:p w14:paraId="738BF7F4" w14:textId="0D8210C6" w:rsidR="00CC717D" w:rsidRPr="00F63323" w:rsidRDefault="004338FF" w:rsidP="002D468E">
            <w:pPr>
              <w:spacing w:after="0" w:line="240" w:lineRule="auto"/>
              <w:jc w:val="right"/>
              <w:rPr>
                <w:rFonts w:asciiTheme="minorHAnsi" w:hAnsiTheme="minorHAnsi" w:cstheme="minorHAnsi"/>
              </w:rPr>
            </w:pPr>
            <w:r w:rsidRPr="002D468E">
              <w:rPr>
                <w:rFonts w:asciiTheme="minorHAnsi" w:hAnsiTheme="minorHAnsi" w:cstheme="minorHAnsi"/>
                <w:color w:val="000000"/>
              </w:rPr>
              <w:t>10.5</w:t>
            </w:r>
          </w:p>
        </w:tc>
        <w:tc>
          <w:tcPr>
            <w:tcW w:w="941" w:type="pct"/>
          </w:tcPr>
          <w:p w14:paraId="5BB449D2" w14:textId="51CA237E" w:rsidR="00CC717D" w:rsidRPr="00F63323" w:rsidRDefault="00D42BA2" w:rsidP="002D468E">
            <w:pPr>
              <w:spacing w:after="0" w:line="240" w:lineRule="auto"/>
              <w:jc w:val="right"/>
              <w:rPr>
                <w:rFonts w:asciiTheme="minorHAnsi" w:hAnsiTheme="minorHAnsi" w:cstheme="minorHAnsi"/>
              </w:rPr>
            </w:pPr>
            <w:r w:rsidRPr="002D468E">
              <w:rPr>
                <w:rFonts w:asciiTheme="minorHAnsi" w:hAnsiTheme="minorHAnsi" w:cstheme="minorHAnsi"/>
              </w:rPr>
              <w:t>↑</w:t>
            </w:r>
            <w:r w:rsidR="004338FF" w:rsidRPr="002D468E">
              <w:rPr>
                <w:rFonts w:asciiTheme="minorHAnsi" w:hAnsiTheme="minorHAnsi" w:cstheme="minorHAnsi"/>
                <w:color w:val="000000"/>
              </w:rPr>
              <w:t>0.6</w:t>
            </w:r>
          </w:p>
        </w:tc>
        <w:tc>
          <w:tcPr>
            <w:tcW w:w="0" w:type="pct"/>
          </w:tcPr>
          <w:p w14:paraId="2E80D2A2" w14:textId="52C06F04" w:rsidR="00CC717D" w:rsidRPr="00F63323" w:rsidRDefault="00D42BA2" w:rsidP="002D468E">
            <w:pPr>
              <w:spacing w:after="0" w:line="240" w:lineRule="auto"/>
              <w:jc w:val="right"/>
              <w:rPr>
                <w:rFonts w:asciiTheme="minorHAnsi" w:hAnsiTheme="minorHAnsi" w:cstheme="minorHAnsi"/>
              </w:rPr>
            </w:pPr>
            <w:r w:rsidRPr="002D468E">
              <w:rPr>
                <w:rFonts w:asciiTheme="minorHAnsi" w:hAnsiTheme="minorHAnsi" w:cstheme="minorHAnsi"/>
              </w:rPr>
              <w:t>↑</w:t>
            </w:r>
            <w:r w:rsidRPr="002D468E">
              <w:rPr>
                <w:rFonts w:asciiTheme="minorHAnsi" w:hAnsiTheme="minorHAnsi" w:cstheme="minorHAnsi"/>
                <w:color w:val="000000"/>
              </w:rPr>
              <w:t>1.6</w:t>
            </w:r>
          </w:p>
        </w:tc>
      </w:tr>
      <w:tr w:rsidR="000147DC" w:rsidRPr="002D468E" w14:paraId="1C7DB126" w14:textId="77777777" w:rsidTr="2482F2FF">
        <w:trPr>
          <w:cnfStyle w:val="000000010000" w:firstRow="0" w:lastRow="0" w:firstColumn="0" w:lastColumn="0" w:oddVBand="0" w:evenVBand="0" w:oddHBand="0" w:evenHBand="1" w:firstRowFirstColumn="0" w:firstRowLastColumn="0" w:lastRowFirstColumn="0" w:lastRowLastColumn="0"/>
        </w:trPr>
        <w:tc>
          <w:tcPr>
            <w:tcW w:w="889" w:type="pct"/>
            <w:vMerge/>
          </w:tcPr>
          <w:p w14:paraId="5F34DF6C" w14:textId="77777777" w:rsidR="00CC717D" w:rsidRPr="002D468E" w:rsidRDefault="00CC717D" w:rsidP="00901085">
            <w:pPr>
              <w:rPr>
                <w:rFonts w:asciiTheme="minorHAnsi" w:hAnsiTheme="minorHAnsi" w:cstheme="minorHAnsi"/>
              </w:rPr>
            </w:pPr>
          </w:p>
        </w:tc>
        <w:tc>
          <w:tcPr>
            <w:tcW w:w="1634" w:type="pct"/>
            <w:tcBorders>
              <w:bottom w:val="nil"/>
            </w:tcBorders>
          </w:tcPr>
          <w:p w14:paraId="45EF0158" w14:textId="4DE4D7BA" w:rsidR="00CC717D" w:rsidRPr="00F63323" w:rsidRDefault="00CC717D" w:rsidP="00901085">
            <w:pPr>
              <w:rPr>
                <w:rFonts w:asciiTheme="minorHAnsi" w:hAnsiTheme="minorHAnsi" w:cstheme="minorHAnsi"/>
              </w:rPr>
            </w:pPr>
            <w:r w:rsidRPr="002D468E">
              <w:rPr>
                <w:rFonts w:asciiTheme="minorHAnsi" w:hAnsiTheme="minorHAnsi" w:cstheme="minorHAnsi"/>
              </w:rPr>
              <w:t>Suitable applicants per vacancy (no.)</w:t>
            </w:r>
          </w:p>
        </w:tc>
        <w:tc>
          <w:tcPr>
            <w:tcW w:w="619" w:type="pct"/>
            <w:tcBorders>
              <w:bottom w:val="nil"/>
            </w:tcBorders>
          </w:tcPr>
          <w:p w14:paraId="3ADBF408" w14:textId="77777777" w:rsidR="004338FF" w:rsidRPr="002D468E" w:rsidRDefault="004338FF"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3.9</w:t>
            </w:r>
          </w:p>
          <w:p w14:paraId="7D136B13" w14:textId="77777777" w:rsidR="00CC717D" w:rsidRPr="00F63323" w:rsidRDefault="00CC717D" w:rsidP="002D468E">
            <w:pPr>
              <w:jc w:val="right"/>
              <w:rPr>
                <w:rFonts w:asciiTheme="minorHAnsi" w:hAnsiTheme="minorHAnsi" w:cstheme="minorHAnsi"/>
              </w:rPr>
            </w:pPr>
          </w:p>
        </w:tc>
        <w:tc>
          <w:tcPr>
            <w:tcW w:w="941" w:type="pct"/>
            <w:tcBorders>
              <w:bottom w:val="nil"/>
            </w:tcBorders>
          </w:tcPr>
          <w:p w14:paraId="4BE24F89" w14:textId="6B795B71" w:rsidR="004338FF"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004338FF" w:rsidRPr="002D468E">
              <w:rPr>
                <w:rFonts w:asciiTheme="minorHAnsi" w:hAnsiTheme="minorHAnsi" w:cstheme="minorHAnsi"/>
                <w:color w:val="000000"/>
              </w:rPr>
              <w:t>0.3</w:t>
            </w:r>
          </w:p>
          <w:p w14:paraId="6CFFBD7F" w14:textId="77777777" w:rsidR="00CC717D" w:rsidRPr="00F63323" w:rsidRDefault="00CC717D" w:rsidP="002D468E">
            <w:pPr>
              <w:jc w:val="right"/>
              <w:rPr>
                <w:rFonts w:asciiTheme="minorHAnsi" w:hAnsiTheme="minorHAnsi" w:cstheme="minorHAnsi"/>
              </w:rPr>
            </w:pPr>
          </w:p>
        </w:tc>
        <w:tc>
          <w:tcPr>
            <w:tcW w:w="0" w:type="pct"/>
            <w:tcBorders>
              <w:bottom w:val="nil"/>
            </w:tcBorders>
          </w:tcPr>
          <w:p w14:paraId="026FF451" w14:textId="12129B10" w:rsidR="00D42BA2"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0.3</w:t>
            </w:r>
          </w:p>
          <w:p w14:paraId="2A15AC3F" w14:textId="77777777" w:rsidR="00CC717D" w:rsidRPr="00F63323" w:rsidRDefault="00CC717D" w:rsidP="002D468E">
            <w:pPr>
              <w:jc w:val="right"/>
              <w:rPr>
                <w:rFonts w:asciiTheme="minorHAnsi" w:hAnsiTheme="minorHAnsi" w:cstheme="minorHAnsi"/>
              </w:rPr>
            </w:pPr>
          </w:p>
        </w:tc>
      </w:tr>
      <w:tr w:rsidR="006A3275" w:rsidRPr="002D468E" w14:paraId="751E4238" w14:textId="77777777" w:rsidTr="2482F2FF">
        <w:tc>
          <w:tcPr>
            <w:tcW w:w="889" w:type="pct"/>
            <w:vMerge/>
          </w:tcPr>
          <w:p w14:paraId="03E7A2BE" w14:textId="77777777" w:rsidR="00CC717D" w:rsidRPr="002D468E" w:rsidRDefault="00CC717D" w:rsidP="00901085">
            <w:pPr>
              <w:rPr>
                <w:rFonts w:asciiTheme="minorHAnsi" w:hAnsiTheme="minorHAnsi" w:cstheme="minorHAnsi"/>
              </w:rPr>
            </w:pPr>
          </w:p>
        </w:tc>
        <w:tc>
          <w:tcPr>
            <w:tcW w:w="1634" w:type="pct"/>
            <w:tcBorders>
              <w:bottom w:val="single" w:sz="4" w:space="0" w:color="auto"/>
            </w:tcBorders>
          </w:tcPr>
          <w:p w14:paraId="1D01C47E" w14:textId="5B847775" w:rsidR="00CC717D" w:rsidRPr="00F63323" w:rsidRDefault="00CC717D" w:rsidP="00901085">
            <w:pPr>
              <w:rPr>
                <w:rFonts w:asciiTheme="minorHAnsi" w:hAnsiTheme="minorHAnsi" w:cstheme="minorHAnsi"/>
              </w:rPr>
            </w:pPr>
            <w:r w:rsidRPr="002D468E">
              <w:rPr>
                <w:rFonts w:asciiTheme="minorHAnsi" w:hAnsiTheme="minorHAnsi" w:cstheme="minorHAnsi"/>
              </w:rPr>
              <w:t xml:space="preserve">Suitability gap (%) </w:t>
            </w:r>
          </w:p>
        </w:tc>
        <w:tc>
          <w:tcPr>
            <w:tcW w:w="619" w:type="pct"/>
            <w:tcBorders>
              <w:bottom w:val="single" w:sz="4" w:space="0" w:color="auto"/>
            </w:tcBorders>
          </w:tcPr>
          <w:p w14:paraId="67DBC666" w14:textId="249FBEC9" w:rsidR="00CC717D" w:rsidRPr="002D468E" w:rsidRDefault="004338FF"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62.8%</w:t>
            </w:r>
          </w:p>
        </w:tc>
        <w:tc>
          <w:tcPr>
            <w:tcW w:w="941" w:type="pct"/>
            <w:tcBorders>
              <w:bottom w:val="single" w:sz="4" w:space="0" w:color="auto"/>
            </w:tcBorders>
          </w:tcPr>
          <w:p w14:paraId="755732D5" w14:textId="638FB767" w:rsidR="00CC717D"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w:t>
            </w:r>
            <w:r w:rsidR="004338FF" w:rsidRPr="002D468E">
              <w:rPr>
                <w:rFonts w:asciiTheme="minorHAnsi" w:hAnsiTheme="minorHAnsi" w:cstheme="minorHAnsi"/>
                <w:color w:val="000000"/>
              </w:rPr>
              <w:t>-0.4%</w:t>
            </w:r>
          </w:p>
        </w:tc>
        <w:tc>
          <w:tcPr>
            <w:tcW w:w="0" w:type="pct"/>
            <w:tcBorders>
              <w:bottom w:val="single" w:sz="4" w:space="0" w:color="auto"/>
            </w:tcBorders>
          </w:tcPr>
          <w:p w14:paraId="2D461848" w14:textId="08A451FB" w:rsidR="00CC717D"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3.1%</w:t>
            </w:r>
          </w:p>
        </w:tc>
      </w:tr>
      <w:tr w:rsidR="006A3275" w:rsidRPr="002D468E" w14:paraId="09EAE519" w14:textId="77777777" w:rsidTr="2482F2FF">
        <w:trPr>
          <w:cnfStyle w:val="000000010000" w:firstRow="0" w:lastRow="0" w:firstColumn="0" w:lastColumn="0" w:oddVBand="0" w:evenVBand="0" w:oddHBand="0" w:evenHBand="1" w:firstRowFirstColumn="0" w:firstRowLastColumn="0" w:lastRowFirstColumn="0" w:lastRowLastColumn="0"/>
        </w:trPr>
        <w:tc>
          <w:tcPr>
            <w:tcW w:w="889" w:type="pct"/>
            <w:vMerge w:val="restart"/>
            <w:tcBorders>
              <w:top w:val="single" w:sz="4" w:space="0" w:color="auto"/>
              <w:bottom w:val="single" w:sz="4" w:space="0" w:color="auto"/>
            </w:tcBorders>
          </w:tcPr>
          <w:p w14:paraId="382071A7" w14:textId="77777777" w:rsidR="005D5FC7" w:rsidRPr="002D468E" w:rsidRDefault="005D5FC7" w:rsidP="00901085">
            <w:pPr>
              <w:rPr>
                <w:rFonts w:asciiTheme="minorHAnsi" w:hAnsiTheme="minorHAnsi" w:cstheme="minorHAnsi"/>
              </w:rPr>
            </w:pPr>
          </w:p>
          <w:p w14:paraId="468EA64B" w14:textId="77777777" w:rsidR="005D5FC7" w:rsidRPr="002D468E" w:rsidRDefault="005D5FC7" w:rsidP="00901085">
            <w:pPr>
              <w:rPr>
                <w:rFonts w:asciiTheme="minorHAnsi" w:hAnsiTheme="minorHAnsi" w:cstheme="minorHAnsi"/>
              </w:rPr>
            </w:pPr>
          </w:p>
          <w:p w14:paraId="613D92F2" w14:textId="77777777" w:rsidR="00D42BA2" w:rsidRPr="002D468E" w:rsidRDefault="00D42BA2" w:rsidP="00901085">
            <w:pPr>
              <w:rPr>
                <w:rFonts w:asciiTheme="minorHAnsi" w:hAnsiTheme="minorHAnsi" w:cstheme="minorHAnsi"/>
              </w:rPr>
            </w:pPr>
          </w:p>
          <w:p w14:paraId="79A4CC89" w14:textId="2436B153" w:rsidR="005D5FC7" w:rsidRPr="002D468E" w:rsidRDefault="005D5FC7" w:rsidP="00901085">
            <w:pPr>
              <w:rPr>
                <w:rFonts w:asciiTheme="minorHAnsi" w:hAnsiTheme="minorHAnsi" w:cstheme="minorHAnsi"/>
              </w:rPr>
            </w:pPr>
            <w:r w:rsidRPr="002D468E">
              <w:rPr>
                <w:rFonts w:asciiTheme="minorHAnsi" w:hAnsiTheme="minorHAnsi" w:cstheme="minorHAnsi"/>
              </w:rPr>
              <w:t>Professional</w:t>
            </w:r>
            <w:r w:rsidR="004338FF" w:rsidRPr="002D468E">
              <w:rPr>
                <w:rFonts w:asciiTheme="minorHAnsi" w:hAnsiTheme="minorHAnsi" w:cstheme="minorHAnsi"/>
              </w:rPr>
              <w:t>s</w:t>
            </w:r>
          </w:p>
        </w:tc>
        <w:tc>
          <w:tcPr>
            <w:tcW w:w="1634" w:type="pct"/>
            <w:tcBorders>
              <w:top w:val="single" w:sz="4" w:space="0" w:color="auto"/>
            </w:tcBorders>
          </w:tcPr>
          <w:p w14:paraId="4247A2EC" w14:textId="4843C6DF" w:rsidR="005D5FC7" w:rsidRPr="002D468E" w:rsidRDefault="005D5FC7" w:rsidP="00901085">
            <w:pPr>
              <w:rPr>
                <w:rFonts w:asciiTheme="minorHAnsi" w:hAnsiTheme="minorHAnsi" w:cstheme="minorHAnsi"/>
              </w:rPr>
            </w:pPr>
            <w:r w:rsidRPr="002D468E">
              <w:rPr>
                <w:rFonts w:asciiTheme="minorHAnsi" w:hAnsiTheme="minorHAnsi" w:cstheme="minorHAnsi"/>
              </w:rPr>
              <w:t>Vacancy fill rate (%)</w:t>
            </w:r>
          </w:p>
        </w:tc>
        <w:tc>
          <w:tcPr>
            <w:tcW w:w="619" w:type="pct"/>
            <w:tcBorders>
              <w:top w:val="single" w:sz="4" w:space="0" w:color="auto"/>
            </w:tcBorders>
          </w:tcPr>
          <w:p w14:paraId="51421B03" w14:textId="766429D1" w:rsidR="005D5FC7"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64.9%</w:t>
            </w:r>
          </w:p>
        </w:tc>
        <w:tc>
          <w:tcPr>
            <w:tcW w:w="941" w:type="pct"/>
            <w:tcBorders>
              <w:top w:val="single" w:sz="4" w:space="0" w:color="auto"/>
            </w:tcBorders>
          </w:tcPr>
          <w:p w14:paraId="701335C7" w14:textId="29BAE736" w:rsidR="005D5FC7" w:rsidRPr="00F63323" w:rsidRDefault="00D42BA2" w:rsidP="002D468E">
            <w:pPr>
              <w:jc w:val="right"/>
              <w:rPr>
                <w:rFonts w:asciiTheme="minorHAnsi" w:hAnsiTheme="minorHAnsi" w:cstheme="minorHAnsi"/>
              </w:rPr>
            </w:pPr>
            <w:r w:rsidRPr="002D468E">
              <w:rPr>
                <w:rFonts w:asciiTheme="minorHAnsi" w:hAnsiTheme="minorHAnsi" w:cstheme="minorHAnsi"/>
              </w:rPr>
              <w:t>↑</w:t>
            </w:r>
            <w:r w:rsidRPr="00F63323">
              <w:rPr>
                <w:rFonts w:asciiTheme="minorHAnsi" w:hAnsiTheme="minorHAnsi" w:cstheme="minorHAnsi"/>
              </w:rPr>
              <w:t>1.1%</w:t>
            </w:r>
          </w:p>
        </w:tc>
        <w:tc>
          <w:tcPr>
            <w:tcW w:w="0" w:type="pct"/>
            <w:tcBorders>
              <w:top w:val="single" w:sz="4" w:space="0" w:color="auto"/>
            </w:tcBorders>
          </w:tcPr>
          <w:p w14:paraId="2C02FE84" w14:textId="2F84EDDB" w:rsidR="005D5FC7"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3.4%</w:t>
            </w:r>
          </w:p>
        </w:tc>
      </w:tr>
      <w:tr w:rsidR="000147DC" w:rsidRPr="002D468E" w14:paraId="2B81CA20" w14:textId="77777777" w:rsidTr="2482F2FF">
        <w:tc>
          <w:tcPr>
            <w:tcW w:w="889" w:type="pct"/>
            <w:vMerge/>
          </w:tcPr>
          <w:p w14:paraId="27E9D447" w14:textId="77777777" w:rsidR="005D5FC7" w:rsidRPr="002D468E" w:rsidRDefault="005D5FC7" w:rsidP="005D5FC7">
            <w:pPr>
              <w:rPr>
                <w:rFonts w:asciiTheme="minorHAnsi" w:hAnsiTheme="minorHAnsi" w:cstheme="minorHAnsi"/>
              </w:rPr>
            </w:pPr>
          </w:p>
        </w:tc>
        <w:tc>
          <w:tcPr>
            <w:tcW w:w="1634" w:type="pct"/>
          </w:tcPr>
          <w:p w14:paraId="5081605D" w14:textId="1B284BB4" w:rsidR="005D5FC7" w:rsidRPr="002D468E" w:rsidRDefault="005D5FC7" w:rsidP="005D5FC7">
            <w:pPr>
              <w:rPr>
                <w:rFonts w:asciiTheme="minorHAnsi" w:hAnsiTheme="minorHAnsi" w:cstheme="minorHAnsi"/>
              </w:rPr>
            </w:pPr>
            <w:r w:rsidRPr="002D468E">
              <w:rPr>
                <w:rFonts w:asciiTheme="minorHAnsi" w:hAnsiTheme="minorHAnsi" w:cstheme="minorHAnsi"/>
              </w:rPr>
              <w:t>Applicants per vacancy (no.)</w:t>
            </w:r>
          </w:p>
        </w:tc>
        <w:tc>
          <w:tcPr>
            <w:tcW w:w="619" w:type="pct"/>
          </w:tcPr>
          <w:p w14:paraId="0E5AAEF3" w14:textId="3B6FC8EA" w:rsidR="005D5FC7" w:rsidRPr="00F63323" w:rsidRDefault="00D42BA2" w:rsidP="002D468E">
            <w:pPr>
              <w:spacing w:after="0" w:line="240" w:lineRule="auto"/>
              <w:jc w:val="right"/>
              <w:rPr>
                <w:rFonts w:asciiTheme="minorHAnsi" w:hAnsiTheme="minorHAnsi" w:cstheme="minorHAnsi"/>
              </w:rPr>
            </w:pPr>
            <w:r w:rsidRPr="002D468E">
              <w:rPr>
                <w:rFonts w:asciiTheme="minorHAnsi" w:hAnsiTheme="minorHAnsi" w:cstheme="minorHAnsi"/>
                <w:color w:val="000000"/>
              </w:rPr>
              <w:t>24.7</w:t>
            </w:r>
          </w:p>
        </w:tc>
        <w:tc>
          <w:tcPr>
            <w:tcW w:w="941" w:type="pct"/>
          </w:tcPr>
          <w:p w14:paraId="47F6479D" w14:textId="4A7B9864" w:rsidR="005D5FC7" w:rsidRPr="00F63323" w:rsidRDefault="00D42BA2" w:rsidP="002D468E">
            <w:pPr>
              <w:spacing w:after="0" w:line="240" w:lineRule="auto"/>
              <w:jc w:val="right"/>
              <w:rPr>
                <w:rFonts w:asciiTheme="minorHAnsi" w:hAnsiTheme="minorHAnsi" w:cstheme="minorHAnsi"/>
              </w:rPr>
            </w:pPr>
            <w:r w:rsidRPr="002D468E">
              <w:rPr>
                <w:rFonts w:asciiTheme="minorHAnsi" w:hAnsiTheme="minorHAnsi" w:cstheme="minorHAnsi"/>
              </w:rPr>
              <w:t>↑</w:t>
            </w:r>
            <w:r w:rsidRPr="002D468E">
              <w:rPr>
                <w:rFonts w:asciiTheme="minorHAnsi" w:hAnsiTheme="minorHAnsi" w:cstheme="minorHAnsi"/>
                <w:color w:val="000000"/>
              </w:rPr>
              <w:t>3.5</w:t>
            </w:r>
          </w:p>
        </w:tc>
        <w:tc>
          <w:tcPr>
            <w:tcW w:w="0" w:type="pct"/>
          </w:tcPr>
          <w:p w14:paraId="4E2639BC" w14:textId="029216F0" w:rsidR="005D5FC7" w:rsidRPr="00F63323" w:rsidRDefault="00D42BA2" w:rsidP="002D468E">
            <w:pPr>
              <w:spacing w:after="0" w:line="240" w:lineRule="auto"/>
              <w:jc w:val="right"/>
              <w:rPr>
                <w:rFonts w:asciiTheme="minorHAnsi" w:hAnsiTheme="minorHAnsi" w:cstheme="minorHAnsi"/>
              </w:rPr>
            </w:pPr>
            <w:r w:rsidRPr="002D468E">
              <w:rPr>
                <w:rFonts w:asciiTheme="minorHAnsi" w:hAnsiTheme="minorHAnsi" w:cstheme="minorHAnsi"/>
              </w:rPr>
              <w:t>↑</w:t>
            </w:r>
            <w:r w:rsidRPr="002D468E">
              <w:rPr>
                <w:rFonts w:asciiTheme="minorHAnsi" w:hAnsiTheme="minorHAnsi" w:cstheme="minorHAnsi"/>
                <w:color w:val="000000"/>
              </w:rPr>
              <w:t>8.0</w:t>
            </w:r>
          </w:p>
        </w:tc>
      </w:tr>
      <w:tr w:rsidR="000147DC" w:rsidRPr="002D468E" w14:paraId="3EB62FDA" w14:textId="77777777" w:rsidTr="2482F2FF">
        <w:trPr>
          <w:cnfStyle w:val="000000010000" w:firstRow="0" w:lastRow="0" w:firstColumn="0" w:lastColumn="0" w:oddVBand="0" w:evenVBand="0" w:oddHBand="0" w:evenHBand="1" w:firstRowFirstColumn="0" w:firstRowLastColumn="0" w:lastRowFirstColumn="0" w:lastRowLastColumn="0"/>
        </w:trPr>
        <w:tc>
          <w:tcPr>
            <w:tcW w:w="889" w:type="pct"/>
            <w:vMerge/>
          </w:tcPr>
          <w:p w14:paraId="5C9E3768" w14:textId="77777777" w:rsidR="005D5FC7" w:rsidRPr="002D468E" w:rsidRDefault="005D5FC7" w:rsidP="005D5FC7">
            <w:pPr>
              <w:rPr>
                <w:rFonts w:asciiTheme="minorHAnsi" w:hAnsiTheme="minorHAnsi" w:cstheme="minorHAnsi"/>
              </w:rPr>
            </w:pPr>
          </w:p>
        </w:tc>
        <w:tc>
          <w:tcPr>
            <w:tcW w:w="1634" w:type="pct"/>
          </w:tcPr>
          <w:p w14:paraId="3CC07C27" w14:textId="73ECF8E7" w:rsidR="005D5FC7" w:rsidRPr="002D468E" w:rsidRDefault="005D5FC7" w:rsidP="005D5FC7">
            <w:pPr>
              <w:rPr>
                <w:rFonts w:asciiTheme="minorHAnsi" w:hAnsiTheme="minorHAnsi" w:cstheme="minorHAnsi"/>
              </w:rPr>
            </w:pPr>
            <w:r w:rsidRPr="002D468E">
              <w:rPr>
                <w:rFonts w:asciiTheme="minorHAnsi" w:hAnsiTheme="minorHAnsi" w:cstheme="minorHAnsi"/>
              </w:rPr>
              <w:t>Qualified applicants per vacancy (no.)</w:t>
            </w:r>
          </w:p>
        </w:tc>
        <w:tc>
          <w:tcPr>
            <w:tcW w:w="619" w:type="pct"/>
          </w:tcPr>
          <w:p w14:paraId="3F67C92C" w14:textId="3986AA2A" w:rsidR="005D5FC7" w:rsidRPr="00F63323" w:rsidRDefault="00D42BA2" w:rsidP="002D468E">
            <w:pPr>
              <w:spacing w:after="0" w:line="240" w:lineRule="auto"/>
              <w:jc w:val="right"/>
              <w:rPr>
                <w:rFonts w:asciiTheme="minorHAnsi" w:hAnsiTheme="minorHAnsi" w:cstheme="minorHAnsi"/>
              </w:rPr>
            </w:pPr>
            <w:r w:rsidRPr="002D468E">
              <w:rPr>
                <w:rFonts w:asciiTheme="minorHAnsi" w:hAnsiTheme="minorHAnsi" w:cstheme="minorHAnsi"/>
                <w:color w:val="000000"/>
              </w:rPr>
              <w:t>9.3</w:t>
            </w:r>
          </w:p>
        </w:tc>
        <w:tc>
          <w:tcPr>
            <w:tcW w:w="941" w:type="pct"/>
          </w:tcPr>
          <w:p w14:paraId="0B9D7122" w14:textId="7E3AD0D8" w:rsidR="005D5FC7" w:rsidRPr="00F63323" w:rsidRDefault="00D42BA2" w:rsidP="002D468E">
            <w:pPr>
              <w:spacing w:after="0" w:line="240" w:lineRule="auto"/>
              <w:jc w:val="right"/>
              <w:rPr>
                <w:rFonts w:asciiTheme="minorHAnsi" w:hAnsiTheme="minorHAnsi" w:cstheme="minorHAnsi"/>
              </w:rPr>
            </w:pPr>
            <w:r w:rsidRPr="002D468E">
              <w:rPr>
                <w:rFonts w:asciiTheme="minorHAnsi" w:hAnsiTheme="minorHAnsi" w:cstheme="minorHAnsi"/>
              </w:rPr>
              <w:t>↑</w:t>
            </w:r>
            <w:r w:rsidRPr="002D468E">
              <w:rPr>
                <w:rFonts w:asciiTheme="minorHAnsi" w:hAnsiTheme="minorHAnsi" w:cstheme="minorHAnsi"/>
                <w:color w:val="000000"/>
              </w:rPr>
              <w:t>0.8</w:t>
            </w:r>
          </w:p>
        </w:tc>
        <w:tc>
          <w:tcPr>
            <w:tcW w:w="0" w:type="pct"/>
          </w:tcPr>
          <w:p w14:paraId="3209D827" w14:textId="316AD92B" w:rsidR="005D5FC7" w:rsidRPr="00F63323" w:rsidRDefault="00D42BA2" w:rsidP="002D468E">
            <w:pPr>
              <w:spacing w:after="0" w:line="240" w:lineRule="auto"/>
              <w:jc w:val="right"/>
              <w:rPr>
                <w:rFonts w:asciiTheme="minorHAnsi" w:hAnsiTheme="minorHAnsi" w:cstheme="minorHAnsi"/>
              </w:rPr>
            </w:pPr>
            <w:r w:rsidRPr="002D468E">
              <w:rPr>
                <w:rFonts w:asciiTheme="minorHAnsi" w:hAnsiTheme="minorHAnsi" w:cstheme="minorHAnsi"/>
              </w:rPr>
              <w:t>↑</w:t>
            </w:r>
            <w:r w:rsidRPr="002D468E">
              <w:rPr>
                <w:rFonts w:asciiTheme="minorHAnsi" w:hAnsiTheme="minorHAnsi" w:cstheme="minorHAnsi"/>
                <w:color w:val="000000"/>
              </w:rPr>
              <w:t>2.4</w:t>
            </w:r>
          </w:p>
        </w:tc>
      </w:tr>
      <w:tr w:rsidR="000147DC" w:rsidRPr="002D468E" w14:paraId="76D58ED8" w14:textId="77777777" w:rsidTr="2482F2FF">
        <w:tc>
          <w:tcPr>
            <w:tcW w:w="889" w:type="pct"/>
            <w:vMerge/>
          </w:tcPr>
          <w:p w14:paraId="303AB507" w14:textId="77777777" w:rsidR="005D5FC7" w:rsidRPr="002D468E" w:rsidRDefault="005D5FC7" w:rsidP="005D5FC7">
            <w:pPr>
              <w:rPr>
                <w:rFonts w:asciiTheme="minorHAnsi" w:hAnsiTheme="minorHAnsi" w:cstheme="minorHAnsi"/>
              </w:rPr>
            </w:pPr>
          </w:p>
        </w:tc>
        <w:tc>
          <w:tcPr>
            <w:tcW w:w="1634" w:type="pct"/>
            <w:tcBorders>
              <w:bottom w:val="nil"/>
            </w:tcBorders>
          </w:tcPr>
          <w:p w14:paraId="573F898F" w14:textId="65159ED1" w:rsidR="005D5FC7" w:rsidRPr="002D468E" w:rsidRDefault="005D5FC7" w:rsidP="005D5FC7">
            <w:pPr>
              <w:rPr>
                <w:rFonts w:asciiTheme="minorHAnsi" w:hAnsiTheme="minorHAnsi" w:cstheme="minorHAnsi"/>
              </w:rPr>
            </w:pPr>
            <w:r w:rsidRPr="002D468E">
              <w:rPr>
                <w:rFonts w:asciiTheme="minorHAnsi" w:hAnsiTheme="minorHAnsi" w:cstheme="minorHAnsi"/>
              </w:rPr>
              <w:t>Suitable applicants per vacancy (no.)</w:t>
            </w:r>
          </w:p>
        </w:tc>
        <w:tc>
          <w:tcPr>
            <w:tcW w:w="619" w:type="pct"/>
            <w:tcBorders>
              <w:bottom w:val="nil"/>
            </w:tcBorders>
          </w:tcPr>
          <w:p w14:paraId="7F0AD7EE" w14:textId="77777777" w:rsidR="00D42BA2"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2.7</w:t>
            </w:r>
          </w:p>
          <w:p w14:paraId="3B8D1FBF" w14:textId="77777777" w:rsidR="005D5FC7" w:rsidRPr="00F63323" w:rsidRDefault="005D5FC7" w:rsidP="002D468E">
            <w:pPr>
              <w:jc w:val="right"/>
              <w:rPr>
                <w:rFonts w:asciiTheme="minorHAnsi" w:hAnsiTheme="minorHAnsi" w:cstheme="minorHAnsi"/>
              </w:rPr>
            </w:pPr>
          </w:p>
        </w:tc>
        <w:tc>
          <w:tcPr>
            <w:tcW w:w="941" w:type="pct"/>
            <w:tcBorders>
              <w:bottom w:val="nil"/>
            </w:tcBorders>
          </w:tcPr>
          <w:p w14:paraId="68D7E5DA" w14:textId="4B64769A" w:rsidR="00D42BA2"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0.1</w:t>
            </w:r>
          </w:p>
          <w:p w14:paraId="3007B256" w14:textId="77777777" w:rsidR="005D5FC7" w:rsidRPr="00F63323" w:rsidRDefault="005D5FC7" w:rsidP="002D468E">
            <w:pPr>
              <w:jc w:val="right"/>
              <w:rPr>
                <w:rFonts w:asciiTheme="minorHAnsi" w:hAnsiTheme="minorHAnsi" w:cstheme="minorHAnsi"/>
              </w:rPr>
            </w:pPr>
          </w:p>
        </w:tc>
        <w:tc>
          <w:tcPr>
            <w:tcW w:w="0" w:type="pct"/>
            <w:tcBorders>
              <w:bottom w:val="nil"/>
            </w:tcBorders>
          </w:tcPr>
          <w:p w14:paraId="46917DAB" w14:textId="5ED24000" w:rsidR="00D42BA2"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0.1</w:t>
            </w:r>
          </w:p>
          <w:p w14:paraId="32515FD0" w14:textId="77777777" w:rsidR="005D5FC7" w:rsidRPr="00F63323" w:rsidRDefault="005D5FC7" w:rsidP="002D468E">
            <w:pPr>
              <w:jc w:val="right"/>
              <w:rPr>
                <w:rFonts w:asciiTheme="minorHAnsi" w:hAnsiTheme="minorHAnsi" w:cstheme="minorHAnsi"/>
              </w:rPr>
            </w:pPr>
          </w:p>
        </w:tc>
      </w:tr>
      <w:tr w:rsidR="006A3275" w:rsidRPr="002D468E" w14:paraId="2705D497" w14:textId="77777777" w:rsidTr="2482F2FF">
        <w:trPr>
          <w:cnfStyle w:val="000000010000" w:firstRow="0" w:lastRow="0" w:firstColumn="0" w:lastColumn="0" w:oddVBand="0" w:evenVBand="0" w:oddHBand="0" w:evenHBand="1" w:firstRowFirstColumn="0" w:firstRowLastColumn="0" w:lastRowFirstColumn="0" w:lastRowLastColumn="0"/>
        </w:trPr>
        <w:tc>
          <w:tcPr>
            <w:tcW w:w="889" w:type="pct"/>
            <w:vMerge/>
          </w:tcPr>
          <w:p w14:paraId="4C7621EC" w14:textId="77777777" w:rsidR="005D5FC7" w:rsidRPr="002D468E" w:rsidRDefault="005D5FC7" w:rsidP="005D5FC7">
            <w:pPr>
              <w:rPr>
                <w:rFonts w:asciiTheme="minorHAnsi" w:hAnsiTheme="minorHAnsi" w:cstheme="minorHAnsi"/>
              </w:rPr>
            </w:pPr>
          </w:p>
        </w:tc>
        <w:tc>
          <w:tcPr>
            <w:tcW w:w="1634" w:type="pct"/>
            <w:tcBorders>
              <w:bottom w:val="single" w:sz="4" w:space="0" w:color="auto"/>
            </w:tcBorders>
          </w:tcPr>
          <w:p w14:paraId="6B00335F" w14:textId="4DEB47AC" w:rsidR="005D5FC7" w:rsidRPr="002D468E" w:rsidRDefault="005D5FC7" w:rsidP="005D5FC7">
            <w:pPr>
              <w:rPr>
                <w:rFonts w:asciiTheme="minorHAnsi" w:hAnsiTheme="minorHAnsi" w:cstheme="minorHAnsi"/>
              </w:rPr>
            </w:pPr>
            <w:r w:rsidRPr="002D468E">
              <w:rPr>
                <w:rFonts w:asciiTheme="minorHAnsi" w:hAnsiTheme="minorHAnsi" w:cstheme="minorHAnsi"/>
              </w:rPr>
              <w:t>Suitability gap (%)</w:t>
            </w:r>
          </w:p>
        </w:tc>
        <w:tc>
          <w:tcPr>
            <w:tcW w:w="619" w:type="pct"/>
            <w:tcBorders>
              <w:bottom w:val="single" w:sz="4" w:space="0" w:color="auto"/>
            </w:tcBorders>
          </w:tcPr>
          <w:p w14:paraId="01BFBF26" w14:textId="7C4F4F61" w:rsidR="005D5FC7"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70.6%</w:t>
            </w:r>
          </w:p>
        </w:tc>
        <w:tc>
          <w:tcPr>
            <w:tcW w:w="941" w:type="pct"/>
            <w:tcBorders>
              <w:bottom w:val="single" w:sz="4" w:space="0" w:color="auto"/>
            </w:tcBorders>
          </w:tcPr>
          <w:p w14:paraId="3414BD31" w14:textId="2943E3EC" w:rsidR="005D5FC7"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2.1%</w:t>
            </w:r>
          </w:p>
        </w:tc>
        <w:tc>
          <w:tcPr>
            <w:tcW w:w="0" w:type="pct"/>
            <w:tcBorders>
              <w:bottom w:val="single" w:sz="4" w:space="0" w:color="auto"/>
            </w:tcBorders>
          </w:tcPr>
          <w:p w14:paraId="1AAAD6F9" w14:textId="4CD2F058" w:rsidR="005D5FC7"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8.3%</w:t>
            </w:r>
          </w:p>
        </w:tc>
      </w:tr>
      <w:tr w:rsidR="00905B79" w:rsidRPr="002D468E" w14:paraId="1AB02BFE" w14:textId="77777777" w:rsidTr="2482F2FF">
        <w:tc>
          <w:tcPr>
            <w:tcW w:w="889" w:type="pct"/>
            <w:vMerge w:val="restart"/>
            <w:tcBorders>
              <w:top w:val="single" w:sz="4" w:space="0" w:color="auto"/>
              <w:bottom w:val="single" w:sz="4" w:space="0" w:color="auto"/>
            </w:tcBorders>
          </w:tcPr>
          <w:p w14:paraId="5620D13E" w14:textId="77777777" w:rsidR="005D5FC7" w:rsidRPr="002D468E" w:rsidRDefault="005D5FC7" w:rsidP="005D5FC7">
            <w:pPr>
              <w:rPr>
                <w:rFonts w:asciiTheme="minorHAnsi" w:hAnsiTheme="minorHAnsi" w:cstheme="minorHAnsi"/>
              </w:rPr>
            </w:pPr>
          </w:p>
          <w:p w14:paraId="606118B4" w14:textId="77777777" w:rsidR="005D5FC7" w:rsidRPr="002D468E" w:rsidRDefault="005D5FC7" w:rsidP="005D5FC7">
            <w:pPr>
              <w:rPr>
                <w:rFonts w:asciiTheme="minorHAnsi" w:hAnsiTheme="minorHAnsi" w:cstheme="minorHAnsi"/>
              </w:rPr>
            </w:pPr>
          </w:p>
          <w:p w14:paraId="24F5A113" w14:textId="7F043B3A" w:rsidR="005D5FC7" w:rsidRPr="002D468E" w:rsidRDefault="005D5FC7" w:rsidP="005D5FC7">
            <w:pPr>
              <w:rPr>
                <w:rFonts w:asciiTheme="minorHAnsi" w:hAnsiTheme="minorHAnsi" w:cstheme="minorHAnsi"/>
              </w:rPr>
            </w:pPr>
            <w:r w:rsidRPr="002D468E">
              <w:rPr>
                <w:rFonts w:asciiTheme="minorHAnsi" w:hAnsiTheme="minorHAnsi" w:cstheme="minorHAnsi"/>
              </w:rPr>
              <w:t>Technicians and Trades Workers</w:t>
            </w:r>
          </w:p>
        </w:tc>
        <w:tc>
          <w:tcPr>
            <w:tcW w:w="1634" w:type="pct"/>
            <w:tcBorders>
              <w:top w:val="single" w:sz="4" w:space="0" w:color="auto"/>
            </w:tcBorders>
          </w:tcPr>
          <w:p w14:paraId="7E312433" w14:textId="365A4D6A" w:rsidR="005D5FC7" w:rsidRPr="002D468E" w:rsidRDefault="005D5FC7" w:rsidP="005D5FC7">
            <w:pPr>
              <w:rPr>
                <w:rFonts w:asciiTheme="minorHAnsi" w:hAnsiTheme="minorHAnsi" w:cstheme="minorHAnsi"/>
              </w:rPr>
            </w:pPr>
            <w:r w:rsidRPr="002D468E">
              <w:rPr>
                <w:rFonts w:asciiTheme="minorHAnsi" w:hAnsiTheme="minorHAnsi" w:cstheme="minorHAnsi"/>
              </w:rPr>
              <w:t>Vacancy fill rate (%)</w:t>
            </w:r>
          </w:p>
        </w:tc>
        <w:tc>
          <w:tcPr>
            <w:tcW w:w="619" w:type="pct"/>
            <w:tcBorders>
              <w:top w:val="single" w:sz="4" w:space="0" w:color="auto"/>
            </w:tcBorders>
          </w:tcPr>
          <w:p w14:paraId="3E46B19D" w14:textId="28E6553C" w:rsidR="005D5FC7"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51.9%</w:t>
            </w:r>
          </w:p>
        </w:tc>
        <w:tc>
          <w:tcPr>
            <w:tcW w:w="941" w:type="pct"/>
            <w:tcBorders>
              <w:top w:val="single" w:sz="4" w:space="0" w:color="auto"/>
            </w:tcBorders>
          </w:tcPr>
          <w:p w14:paraId="39189BE4" w14:textId="49DDC558" w:rsidR="005D5FC7"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2.2%</w:t>
            </w:r>
          </w:p>
        </w:tc>
        <w:tc>
          <w:tcPr>
            <w:tcW w:w="0" w:type="pct"/>
            <w:tcBorders>
              <w:top w:val="single" w:sz="4" w:space="0" w:color="auto"/>
            </w:tcBorders>
          </w:tcPr>
          <w:p w14:paraId="00215B17" w14:textId="63862A0D" w:rsidR="005D5FC7"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4.1%</w:t>
            </w:r>
          </w:p>
        </w:tc>
      </w:tr>
      <w:tr w:rsidR="00905B79" w:rsidRPr="002D468E" w14:paraId="3CDA13E0" w14:textId="77777777" w:rsidTr="2482F2FF">
        <w:trPr>
          <w:cnfStyle w:val="000000010000" w:firstRow="0" w:lastRow="0" w:firstColumn="0" w:lastColumn="0" w:oddVBand="0" w:evenVBand="0" w:oddHBand="0" w:evenHBand="1" w:firstRowFirstColumn="0" w:firstRowLastColumn="0" w:lastRowFirstColumn="0" w:lastRowLastColumn="0"/>
        </w:trPr>
        <w:tc>
          <w:tcPr>
            <w:tcW w:w="889" w:type="pct"/>
            <w:vMerge/>
          </w:tcPr>
          <w:p w14:paraId="7394704F" w14:textId="77777777" w:rsidR="005D5FC7" w:rsidRPr="002D468E" w:rsidRDefault="005D5FC7" w:rsidP="005D5FC7">
            <w:pPr>
              <w:rPr>
                <w:rFonts w:asciiTheme="minorHAnsi" w:hAnsiTheme="minorHAnsi" w:cstheme="minorHAnsi"/>
              </w:rPr>
            </w:pPr>
          </w:p>
        </w:tc>
        <w:tc>
          <w:tcPr>
            <w:tcW w:w="1634" w:type="pct"/>
          </w:tcPr>
          <w:p w14:paraId="20A58862" w14:textId="4158BF16" w:rsidR="005D5FC7" w:rsidRPr="002D468E" w:rsidRDefault="005D5FC7" w:rsidP="005D5FC7">
            <w:pPr>
              <w:rPr>
                <w:rFonts w:asciiTheme="minorHAnsi" w:hAnsiTheme="minorHAnsi" w:cstheme="minorHAnsi"/>
              </w:rPr>
            </w:pPr>
            <w:r w:rsidRPr="002D468E">
              <w:rPr>
                <w:rFonts w:asciiTheme="minorHAnsi" w:hAnsiTheme="minorHAnsi" w:cstheme="minorHAnsi"/>
              </w:rPr>
              <w:t>Applicants per vacancy (no.)</w:t>
            </w:r>
          </w:p>
        </w:tc>
        <w:tc>
          <w:tcPr>
            <w:tcW w:w="619" w:type="pct"/>
          </w:tcPr>
          <w:p w14:paraId="096DE30F" w14:textId="77832035" w:rsidR="005D5FC7"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17.2</w:t>
            </w:r>
          </w:p>
        </w:tc>
        <w:tc>
          <w:tcPr>
            <w:tcW w:w="941" w:type="pct"/>
          </w:tcPr>
          <w:p w14:paraId="57AC668D" w14:textId="77F0AB86" w:rsidR="005D5FC7"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1.5</w:t>
            </w:r>
          </w:p>
        </w:tc>
        <w:tc>
          <w:tcPr>
            <w:tcW w:w="917" w:type="pct"/>
          </w:tcPr>
          <w:p w14:paraId="0BE72098" w14:textId="0111EF1F" w:rsidR="005D5FC7"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5.2</w:t>
            </w:r>
          </w:p>
        </w:tc>
      </w:tr>
      <w:tr w:rsidR="00905B79" w:rsidRPr="002D468E" w14:paraId="48E9F593" w14:textId="77777777" w:rsidTr="2482F2FF">
        <w:tc>
          <w:tcPr>
            <w:tcW w:w="889" w:type="pct"/>
            <w:vMerge/>
          </w:tcPr>
          <w:p w14:paraId="15395C1C" w14:textId="77777777" w:rsidR="005D5FC7" w:rsidRPr="002D468E" w:rsidRDefault="005D5FC7" w:rsidP="005D5FC7">
            <w:pPr>
              <w:rPr>
                <w:rFonts w:asciiTheme="minorHAnsi" w:hAnsiTheme="minorHAnsi" w:cstheme="minorHAnsi"/>
              </w:rPr>
            </w:pPr>
          </w:p>
        </w:tc>
        <w:tc>
          <w:tcPr>
            <w:tcW w:w="1634" w:type="pct"/>
          </w:tcPr>
          <w:p w14:paraId="548F4895" w14:textId="04A79832" w:rsidR="005D5FC7" w:rsidRPr="002D468E" w:rsidRDefault="005D5FC7" w:rsidP="005D5FC7">
            <w:pPr>
              <w:rPr>
                <w:rFonts w:asciiTheme="minorHAnsi" w:hAnsiTheme="minorHAnsi" w:cstheme="minorHAnsi"/>
              </w:rPr>
            </w:pPr>
            <w:r w:rsidRPr="002D468E">
              <w:rPr>
                <w:rFonts w:asciiTheme="minorHAnsi" w:hAnsiTheme="minorHAnsi" w:cstheme="minorHAnsi"/>
              </w:rPr>
              <w:t>Qualified applicants per vacancy (no.)</w:t>
            </w:r>
          </w:p>
        </w:tc>
        <w:tc>
          <w:tcPr>
            <w:tcW w:w="619" w:type="pct"/>
          </w:tcPr>
          <w:p w14:paraId="17E04EA1" w14:textId="6B1A1345" w:rsidR="005D5FC7" w:rsidRPr="00F63323" w:rsidRDefault="00D42BA2" w:rsidP="002D468E">
            <w:pPr>
              <w:spacing w:after="0" w:line="240" w:lineRule="auto"/>
              <w:jc w:val="right"/>
              <w:rPr>
                <w:rFonts w:asciiTheme="minorHAnsi" w:hAnsiTheme="minorHAnsi" w:cstheme="minorHAnsi"/>
              </w:rPr>
            </w:pPr>
            <w:r w:rsidRPr="002D468E">
              <w:rPr>
                <w:rFonts w:asciiTheme="minorHAnsi" w:hAnsiTheme="minorHAnsi" w:cstheme="minorHAnsi"/>
                <w:color w:val="000000"/>
              </w:rPr>
              <w:t>4.5</w:t>
            </w:r>
          </w:p>
        </w:tc>
        <w:tc>
          <w:tcPr>
            <w:tcW w:w="941" w:type="pct"/>
          </w:tcPr>
          <w:p w14:paraId="13352971" w14:textId="6262374C" w:rsidR="005D5FC7" w:rsidRPr="00F63323" w:rsidRDefault="00D42BA2" w:rsidP="002D468E">
            <w:pPr>
              <w:spacing w:after="0" w:line="240" w:lineRule="auto"/>
              <w:jc w:val="right"/>
              <w:rPr>
                <w:rFonts w:asciiTheme="minorHAnsi" w:hAnsiTheme="minorHAnsi" w:cstheme="minorHAnsi"/>
              </w:rPr>
            </w:pPr>
            <w:r w:rsidRPr="002D468E">
              <w:rPr>
                <w:rFonts w:asciiTheme="minorHAnsi" w:hAnsiTheme="minorHAnsi" w:cstheme="minorHAnsi"/>
              </w:rPr>
              <w:t>↑</w:t>
            </w:r>
            <w:r w:rsidRPr="002D468E">
              <w:rPr>
                <w:rFonts w:asciiTheme="minorHAnsi" w:hAnsiTheme="minorHAnsi" w:cstheme="minorHAnsi"/>
                <w:color w:val="000000"/>
              </w:rPr>
              <w:t>0.2</w:t>
            </w:r>
          </w:p>
        </w:tc>
        <w:tc>
          <w:tcPr>
            <w:tcW w:w="917" w:type="pct"/>
          </w:tcPr>
          <w:p w14:paraId="79839B4E" w14:textId="6CF05AEA" w:rsidR="005D5FC7" w:rsidRPr="00F63323" w:rsidRDefault="00D42BA2" w:rsidP="002D468E">
            <w:pPr>
              <w:spacing w:after="0" w:line="240" w:lineRule="auto"/>
              <w:jc w:val="right"/>
              <w:rPr>
                <w:rFonts w:asciiTheme="minorHAnsi" w:hAnsiTheme="minorHAnsi" w:cstheme="minorHAnsi"/>
              </w:rPr>
            </w:pPr>
            <w:r w:rsidRPr="002D468E">
              <w:rPr>
                <w:rFonts w:asciiTheme="minorHAnsi" w:hAnsiTheme="minorHAnsi" w:cstheme="minorHAnsi"/>
              </w:rPr>
              <w:t>↑</w:t>
            </w:r>
            <w:r w:rsidRPr="002D468E">
              <w:rPr>
                <w:rFonts w:asciiTheme="minorHAnsi" w:hAnsiTheme="minorHAnsi" w:cstheme="minorHAnsi"/>
                <w:color w:val="000000"/>
              </w:rPr>
              <w:t>0.9</w:t>
            </w:r>
          </w:p>
        </w:tc>
      </w:tr>
      <w:tr w:rsidR="00905B79" w:rsidRPr="002D468E" w14:paraId="4403CDFE" w14:textId="77777777" w:rsidTr="2482F2FF">
        <w:trPr>
          <w:cnfStyle w:val="000000010000" w:firstRow="0" w:lastRow="0" w:firstColumn="0" w:lastColumn="0" w:oddVBand="0" w:evenVBand="0" w:oddHBand="0" w:evenHBand="1" w:firstRowFirstColumn="0" w:firstRowLastColumn="0" w:lastRowFirstColumn="0" w:lastRowLastColumn="0"/>
        </w:trPr>
        <w:tc>
          <w:tcPr>
            <w:tcW w:w="889" w:type="pct"/>
            <w:vMerge/>
          </w:tcPr>
          <w:p w14:paraId="527ED427" w14:textId="77777777" w:rsidR="005D5FC7" w:rsidRPr="002D468E" w:rsidRDefault="005D5FC7" w:rsidP="005D5FC7">
            <w:pPr>
              <w:rPr>
                <w:rFonts w:asciiTheme="minorHAnsi" w:hAnsiTheme="minorHAnsi" w:cstheme="minorHAnsi"/>
              </w:rPr>
            </w:pPr>
          </w:p>
        </w:tc>
        <w:tc>
          <w:tcPr>
            <w:tcW w:w="1634" w:type="pct"/>
            <w:tcBorders>
              <w:bottom w:val="nil"/>
            </w:tcBorders>
          </w:tcPr>
          <w:p w14:paraId="669DCE82" w14:textId="2C866A8A" w:rsidR="005D5FC7" w:rsidRPr="002D468E" w:rsidRDefault="005D5FC7" w:rsidP="005D5FC7">
            <w:pPr>
              <w:rPr>
                <w:rFonts w:asciiTheme="minorHAnsi" w:hAnsiTheme="minorHAnsi" w:cstheme="minorHAnsi"/>
              </w:rPr>
            </w:pPr>
            <w:r w:rsidRPr="002D468E">
              <w:rPr>
                <w:rFonts w:asciiTheme="minorHAnsi" w:hAnsiTheme="minorHAnsi" w:cstheme="minorHAnsi"/>
              </w:rPr>
              <w:t>Suitable applicants per vacancy (no.)</w:t>
            </w:r>
          </w:p>
        </w:tc>
        <w:tc>
          <w:tcPr>
            <w:tcW w:w="619" w:type="pct"/>
            <w:tcBorders>
              <w:bottom w:val="nil"/>
            </w:tcBorders>
          </w:tcPr>
          <w:p w14:paraId="4F08321C" w14:textId="07C88F06" w:rsidR="005D5FC7" w:rsidRPr="002D468E" w:rsidRDefault="00D42BA2" w:rsidP="00F63323">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 xml:space="preserve">            </w:t>
            </w:r>
            <w:r w:rsidR="00905B79" w:rsidRPr="002D468E">
              <w:rPr>
                <w:rFonts w:asciiTheme="minorHAnsi" w:hAnsiTheme="minorHAnsi" w:cstheme="minorHAnsi"/>
                <w:color w:val="000000"/>
              </w:rPr>
              <w:t xml:space="preserve">   </w:t>
            </w:r>
            <w:r w:rsidRPr="002D468E">
              <w:rPr>
                <w:rFonts w:asciiTheme="minorHAnsi" w:hAnsiTheme="minorHAnsi" w:cstheme="minorHAnsi"/>
                <w:color w:val="000000"/>
              </w:rPr>
              <w:t>1.9</w:t>
            </w:r>
          </w:p>
        </w:tc>
        <w:tc>
          <w:tcPr>
            <w:tcW w:w="941" w:type="pct"/>
            <w:tcBorders>
              <w:bottom w:val="nil"/>
            </w:tcBorders>
          </w:tcPr>
          <w:p w14:paraId="087730B2" w14:textId="4713D931" w:rsidR="005D5FC7"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0.0</w:t>
            </w:r>
          </w:p>
        </w:tc>
        <w:tc>
          <w:tcPr>
            <w:tcW w:w="917" w:type="pct"/>
            <w:tcBorders>
              <w:bottom w:val="nil"/>
            </w:tcBorders>
          </w:tcPr>
          <w:p w14:paraId="5F93CBF1" w14:textId="7E58BB6E" w:rsidR="005D5FC7"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0.1</w:t>
            </w:r>
          </w:p>
        </w:tc>
      </w:tr>
      <w:tr w:rsidR="00905B79" w:rsidRPr="002D468E" w14:paraId="38DD88AA" w14:textId="77777777" w:rsidTr="2482F2FF">
        <w:tc>
          <w:tcPr>
            <w:tcW w:w="889" w:type="pct"/>
            <w:vMerge/>
          </w:tcPr>
          <w:p w14:paraId="61026343" w14:textId="77777777" w:rsidR="005D5FC7" w:rsidRPr="002D468E" w:rsidRDefault="005D5FC7" w:rsidP="005D5FC7">
            <w:pPr>
              <w:rPr>
                <w:rFonts w:asciiTheme="minorHAnsi" w:hAnsiTheme="minorHAnsi" w:cstheme="minorHAnsi"/>
              </w:rPr>
            </w:pPr>
          </w:p>
        </w:tc>
        <w:tc>
          <w:tcPr>
            <w:tcW w:w="1634" w:type="pct"/>
            <w:tcBorders>
              <w:bottom w:val="single" w:sz="4" w:space="0" w:color="auto"/>
            </w:tcBorders>
          </w:tcPr>
          <w:p w14:paraId="33A6E0F3" w14:textId="3BB208B3" w:rsidR="005D5FC7" w:rsidRPr="002D468E" w:rsidRDefault="005D5FC7" w:rsidP="005D5FC7">
            <w:pPr>
              <w:rPr>
                <w:rFonts w:asciiTheme="minorHAnsi" w:hAnsiTheme="minorHAnsi" w:cstheme="minorHAnsi"/>
              </w:rPr>
            </w:pPr>
            <w:r w:rsidRPr="002D468E">
              <w:rPr>
                <w:rFonts w:asciiTheme="minorHAnsi" w:hAnsiTheme="minorHAnsi" w:cstheme="minorHAnsi"/>
              </w:rPr>
              <w:t>Suitability gap (%)</w:t>
            </w:r>
          </w:p>
        </w:tc>
        <w:tc>
          <w:tcPr>
            <w:tcW w:w="619" w:type="pct"/>
            <w:tcBorders>
              <w:bottom w:val="single" w:sz="4" w:space="0" w:color="auto"/>
            </w:tcBorders>
          </w:tcPr>
          <w:p w14:paraId="24109B6D" w14:textId="2745A981" w:rsidR="005D5FC7"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57.9%</w:t>
            </w:r>
          </w:p>
        </w:tc>
        <w:tc>
          <w:tcPr>
            <w:tcW w:w="941" w:type="pct"/>
            <w:tcBorders>
              <w:bottom w:val="single" w:sz="4" w:space="0" w:color="auto"/>
            </w:tcBorders>
          </w:tcPr>
          <w:p w14:paraId="2C277393" w14:textId="2EBB1875" w:rsidR="005D5FC7"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1.4%</w:t>
            </w:r>
          </w:p>
        </w:tc>
        <w:tc>
          <w:tcPr>
            <w:tcW w:w="917" w:type="pct"/>
            <w:tcBorders>
              <w:bottom w:val="single" w:sz="4" w:space="0" w:color="auto"/>
            </w:tcBorders>
          </w:tcPr>
          <w:p w14:paraId="0089931E" w14:textId="318A7796" w:rsidR="005D5FC7" w:rsidRPr="002D468E" w:rsidRDefault="00D42BA2"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6.4%</w:t>
            </w:r>
          </w:p>
        </w:tc>
      </w:tr>
      <w:tr w:rsidR="00905B79" w:rsidRPr="002D468E" w14:paraId="6D25C509" w14:textId="77777777" w:rsidTr="2482F2FF">
        <w:trPr>
          <w:cnfStyle w:val="000000010000" w:firstRow="0" w:lastRow="0" w:firstColumn="0" w:lastColumn="0" w:oddVBand="0" w:evenVBand="0" w:oddHBand="0" w:evenHBand="1" w:firstRowFirstColumn="0" w:firstRowLastColumn="0" w:lastRowFirstColumn="0" w:lastRowLastColumn="0"/>
        </w:trPr>
        <w:tc>
          <w:tcPr>
            <w:tcW w:w="889" w:type="pct"/>
            <w:vMerge w:val="restart"/>
          </w:tcPr>
          <w:p w14:paraId="599903FD" w14:textId="77777777" w:rsidR="00F2384D" w:rsidRPr="002D468E" w:rsidRDefault="00F2384D" w:rsidP="00F2384D">
            <w:pPr>
              <w:rPr>
                <w:rFonts w:asciiTheme="minorHAnsi" w:hAnsiTheme="minorHAnsi" w:cstheme="minorHAnsi"/>
              </w:rPr>
            </w:pPr>
          </w:p>
          <w:p w14:paraId="61A6C318" w14:textId="0029AB30" w:rsidR="00F2384D" w:rsidRPr="002D468E" w:rsidRDefault="00F2384D" w:rsidP="00F2384D">
            <w:pPr>
              <w:rPr>
                <w:rFonts w:asciiTheme="minorHAnsi" w:hAnsiTheme="minorHAnsi" w:cstheme="minorHAnsi"/>
              </w:rPr>
            </w:pPr>
            <w:r w:rsidRPr="002D468E">
              <w:rPr>
                <w:rFonts w:asciiTheme="minorHAnsi" w:hAnsiTheme="minorHAnsi" w:cstheme="minorHAnsi"/>
              </w:rPr>
              <w:t>Community and Personal Service Workers</w:t>
            </w:r>
          </w:p>
        </w:tc>
        <w:tc>
          <w:tcPr>
            <w:tcW w:w="1634" w:type="pct"/>
            <w:tcBorders>
              <w:bottom w:val="nil"/>
            </w:tcBorders>
          </w:tcPr>
          <w:p w14:paraId="55974B81" w14:textId="22A957BF" w:rsidR="00F2384D" w:rsidRPr="002D468E" w:rsidRDefault="00F2384D" w:rsidP="00F2384D">
            <w:pPr>
              <w:rPr>
                <w:rFonts w:asciiTheme="minorHAnsi" w:hAnsiTheme="minorHAnsi" w:cstheme="minorHAnsi"/>
              </w:rPr>
            </w:pPr>
            <w:r w:rsidRPr="002D468E">
              <w:rPr>
                <w:rFonts w:asciiTheme="minorHAnsi" w:hAnsiTheme="minorHAnsi" w:cstheme="minorHAnsi"/>
              </w:rPr>
              <w:t>Vacancy fill rate (%)</w:t>
            </w:r>
          </w:p>
        </w:tc>
        <w:tc>
          <w:tcPr>
            <w:tcW w:w="619" w:type="pct"/>
            <w:tcBorders>
              <w:bottom w:val="nil"/>
            </w:tcBorders>
          </w:tcPr>
          <w:p w14:paraId="28388143" w14:textId="42275A7E" w:rsidR="00F2384D"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 xml:space="preserve"> 72.6%</w:t>
            </w:r>
          </w:p>
        </w:tc>
        <w:tc>
          <w:tcPr>
            <w:tcW w:w="941" w:type="pct"/>
            <w:tcBorders>
              <w:bottom w:val="nil"/>
            </w:tcBorders>
          </w:tcPr>
          <w:p w14:paraId="1AC3A250" w14:textId="433210F3" w:rsidR="00F2384D"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1.5%</w:t>
            </w:r>
          </w:p>
        </w:tc>
        <w:tc>
          <w:tcPr>
            <w:tcW w:w="917" w:type="pct"/>
            <w:tcBorders>
              <w:bottom w:val="nil"/>
            </w:tcBorders>
          </w:tcPr>
          <w:p w14:paraId="5E3688AA" w14:textId="7AE70ADB" w:rsidR="00F2384D" w:rsidRPr="002D468E" w:rsidRDefault="00905B79" w:rsidP="00F63323">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themeColor="text1"/>
              </w:rPr>
              <w:t xml:space="preserve">6.5% </w:t>
            </w:r>
          </w:p>
        </w:tc>
      </w:tr>
      <w:tr w:rsidR="00905B79" w:rsidRPr="002D468E" w14:paraId="73A23DA5" w14:textId="77777777" w:rsidTr="2482F2FF">
        <w:tc>
          <w:tcPr>
            <w:tcW w:w="889" w:type="pct"/>
            <w:vMerge/>
          </w:tcPr>
          <w:p w14:paraId="5D04DDF5" w14:textId="77777777" w:rsidR="00F2384D" w:rsidRPr="002D468E" w:rsidRDefault="00F2384D" w:rsidP="00F2384D">
            <w:pPr>
              <w:rPr>
                <w:rFonts w:asciiTheme="minorHAnsi" w:hAnsiTheme="minorHAnsi" w:cstheme="minorHAnsi"/>
              </w:rPr>
            </w:pPr>
          </w:p>
        </w:tc>
        <w:tc>
          <w:tcPr>
            <w:tcW w:w="1634" w:type="pct"/>
            <w:tcBorders>
              <w:bottom w:val="nil"/>
            </w:tcBorders>
          </w:tcPr>
          <w:p w14:paraId="1EC3EB3B" w14:textId="5597FC3F" w:rsidR="00F2384D" w:rsidRPr="002D468E" w:rsidRDefault="00F2384D" w:rsidP="00F2384D">
            <w:pPr>
              <w:rPr>
                <w:rFonts w:asciiTheme="minorHAnsi" w:hAnsiTheme="minorHAnsi" w:cstheme="minorHAnsi"/>
              </w:rPr>
            </w:pPr>
            <w:r w:rsidRPr="002D468E">
              <w:rPr>
                <w:rFonts w:asciiTheme="minorHAnsi" w:hAnsiTheme="minorHAnsi" w:cstheme="minorHAnsi"/>
              </w:rPr>
              <w:t>Applicants per vacancy (no.)</w:t>
            </w:r>
          </w:p>
        </w:tc>
        <w:tc>
          <w:tcPr>
            <w:tcW w:w="619" w:type="pct"/>
            <w:tcBorders>
              <w:bottom w:val="nil"/>
            </w:tcBorders>
          </w:tcPr>
          <w:p w14:paraId="5D23E723" w14:textId="3781C4DF" w:rsidR="00F2384D"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18.7</w:t>
            </w:r>
          </w:p>
        </w:tc>
        <w:tc>
          <w:tcPr>
            <w:tcW w:w="941" w:type="pct"/>
            <w:tcBorders>
              <w:bottom w:val="nil"/>
            </w:tcBorders>
          </w:tcPr>
          <w:p w14:paraId="4567061A" w14:textId="612A2878" w:rsidR="00F2384D"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2.2</w:t>
            </w:r>
          </w:p>
        </w:tc>
        <w:tc>
          <w:tcPr>
            <w:tcW w:w="917" w:type="pct"/>
            <w:tcBorders>
              <w:bottom w:val="nil"/>
            </w:tcBorders>
          </w:tcPr>
          <w:p w14:paraId="1C61EBDD" w14:textId="5ECE4A79" w:rsidR="00F2384D"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7.2</w:t>
            </w:r>
          </w:p>
        </w:tc>
      </w:tr>
      <w:tr w:rsidR="00905B79" w:rsidRPr="002D468E" w14:paraId="36CA0498" w14:textId="77777777" w:rsidTr="2482F2FF">
        <w:trPr>
          <w:cnfStyle w:val="000000010000" w:firstRow="0" w:lastRow="0" w:firstColumn="0" w:lastColumn="0" w:oddVBand="0" w:evenVBand="0" w:oddHBand="0" w:evenHBand="1" w:firstRowFirstColumn="0" w:firstRowLastColumn="0" w:lastRowFirstColumn="0" w:lastRowLastColumn="0"/>
        </w:trPr>
        <w:tc>
          <w:tcPr>
            <w:tcW w:w="889" w:type="pct"/>
            <w:vMerge/>
          </w:tcPr>
          <w:p w14:paraId="3223E445" w14:textId="77777777" w:rsidR="00F2384D" w:rsidRPr="002D468E" w:rsidRDefault="00F2384D" w:rsidP="00F2384D">
            <w:pPr>
              <w:rPr>
                <w:rFonts w:asciiTheme="minorHAnsi" w:hAnsiTheme="minorHAnsi" w:cstheme="minorHAnsi"/>
              </w:rPr>
            </w:pPr>
          </w:p>
        </w:tc>
        <w:tc>
          <w:tcPr>
            <w:tcW w:w="1634" w:type="pct"/>
            <w:tcBorders>
              <w:bottom w:val="nil"/>
            </w:tcBorders>
          </w:tcPr>
          <w:p w14:paraId="25F8F253" w14:textId="42B4F020" w:rsidR="00F2384D" w:rsidRPr="002D468E" w:rsidRDefault="00F2384D" w:rsidP="00F2384D">
            <w:pPr>
              <w:rPr>
                <w:rFonts w:asciiTheme="minorHAnsi" w:hAnsiTheme="minorHAnsi" w:cstheme="minorHAnsi"/>
              </w:rPr>
            </w:pPr>
            <w:r w:rsidRPr="002D468E">
              <w:rPr>
                <w:rFonts w:asciiTheme="minorHAnsi" w:hAnsiTheme="minorHAnsi" w:cstheme="minorHAnsi"/>
              </w:rPr>
              <w:t>Qualified applicants per vacancy (no.)</w:t>
            </w:r>
          </w:p>
        </w:tc>
        <w:tc>
          <w:tcPr>
            <w:tcW w:w="619" w:type="pct"/>
            <w:tcBorders>
              <w:bottom w:val="nil"/>
            </w:tcBorders>
          </w:tcPr>
          <w:p w14:paraId="5A752A06" w14:textId="0C987B1B" w:rsidR="00F2384D" w:rsidRPr="00F63323" w:rsidRDefault="006A3275" w:rsidP="002D468E">
            <w:pPr>
              <w:spacing w:after="0" w:line="240" w:lineRule="auto"/>
              <w:jc w:val="right"/>
              <w:rPr>
                <w:rFonts w:asciiTheme="minorHAnsi" w:hAnsiTheme="minorHAnsi" w:cstheme="minorHAnsi"/>
              </w:rPr>
            </w:pPr>
            <w:r w:rsidRPr="002D468E">
              <w:rPr>
                <w:rFonts w:asciiTheme="minorHAnsi" w:hAnsiTheme="minorHAnsi" w:cstheme="minorHAnsi"/>
                <w:color w:val="000000"/>
              </w:rPr>
              <w:t>5.7</w:t>
            </w:r>
          </w:p>
        </w:tc>
        <w:tc>
          <w:tcPr>
            <w:tcW w:w="941" w:type="pct"/>
            <w:tcBorders>
              <w:bottom w:val="nil"/>
            </w:tcBorders>
          </w:tcPr>
          <w:p w14:paraId="5BDA1A25" w14:textId="50B784E9" w:rsidR="00F2384D" w:rsidRPr="00F63323" w:rsidRDefault="006A3275" w:rsidP="002D468E">
            <w:pPr>
              <w:spacing w:after="0" w:line="240" w:lineRule="auto"/>
              <w:jc w:val="right"/>
              <w:rPr>
                <w:rFonts w:asciiTheme="minorHAnsi" w:hAnsiTheme="minorHAnsi" w:cstheme="minorHAnsi"/>
              </w:rPr>
            </w:pPr>
            <w:r w:rsidRPr="002D468E">
              <w:rPr>
                <w:rFonts w:asciiTheme="minorHAnsi" w:hAnsiTheme="minorHAnsi" w:cstheme="minorHAnsi"/>
              </w:rPr>
              <w:t>↑</w:t>
            </w:r>
            <w:r w:rsidRPr="002D468E">
              <w:rPr>
                <w:rFonts w:asciiTheme="minorHAnsi" w:hAnsiTheme="minorHAnsi" w:cstheme="minorHAnsi"/>
                <w:color w:val="000000"/>
              </w:rPr>
              <w:t>0.6</w:t>
            </w:r>
          </w:p>
        </w:tc>
        <w:tc>
          <w:tcPr>
            <w:tcW w:w="917" w:type="pct"/>
            <w:tcBorders>
              <w:bottom w:val="nil"/>
            </w:tcBorders>
          </w:tcPr>
          <w:p w14:paraId="5929E1D8" w14:textId="2B72D123" w:rsidR="00F2384D" w:rsidRPr="00F63323" w:rsidRDefault="006A3275" w:rsidP="002D468E">
            <w:pPr>
              <w:spacing w:after="0" w:line="240" w:lineRule="auto"/>
              <w:jc w:val="right"/>
              <w:rPr>
                <w:rFonts w:asciiTheme="minorHAnsi" w:hAnsiTheme="minorHAnsi" w:cstheme="minorHAnsi"/>
              </w:rPr>
            </w:pPr>
            <w:r w:rsidRPr="002D468E">
              <w:rPr>
                <w:rFonts w:asciiTheme="minorHAnsi" w:hAnsiTheme="minorHAnsi" w:cstheme="minorHAnsi"/>
              </w:rPr>
              <w:t>↑</w:t>
            </w:r>
            <w:r w:rsidRPr="002D468E">
              <w:rPr>
                <w:rFonts w:asciiTheme="minorHAnsi" w:hAnsiTheme="minorHAnsi" w:cstheme="minorHAnsi"/>
                <w:color w:val="000000"/>
              </w:rPr>
              <w:t>1.7</w:t>
            </w:r>
          </w:p>
        </w:tc>
      </w:tr>
      <w:tr w:rsidR="00905B79" w:rsidRPr="002D468E" w14:paraId="1ABC9CAD" w14:textId="77777777" w:rsidTr="2482F2FF">
        <w:tc>
          <w:tcPr>
            <w:tcW w:w="889" w:type="pct"/>
            <w:vMerge/>
          </w:tcPr>
          <w:p w14:paraId="7F1F0EFC" w14:textId="77777777" w:rsidR="00F2384D" w:rsidRPr="002D468E" w:rsidRDefault="00F2384D" w:rsidP="00F2384D">
            <w:pPr>
              <w:rPr>
                <w:rFonts w:asciiTheme="minorHAnsi" w:hAnsiTheme="minorHAnsi" w:cstheme="minorHAnsi"/>
              </w:rPr>
            </w:pPr>
          </w:p>
        </w:tc>
        <w:tc>
          <w:tcPr>
            <w:tcW w:w="1634" w:type="pct"/>
            <w:tcBorders>
              <w:bottom w:val="nil"/>
            </w:tcBorders>
          </w:tcPr>
          <w:p w14:paraId="658EDC98" w14:textId="326CE367" w:rsidR="00F2384D" w:rsidRPr="002D468E" w:rsidRDefault="00F2384D" w:rsidP="00F2384D">
            <w:pPr>
              <w:rPr>
                <w:rFonts w:asciiTheme="minorHAnsi" w:hAnsiTheme="minorHAnsi" w:cstheme="minorHAnsi"/>
              </w:rPr>
            </w:pPr>
            <w:r w:rsidRPr="002D468E">
              <w:rPr>
                <w:rFonts w:asciiTheme="minorHAnsi" w:hAnsiTheme="minorHAnsi" w:cstheme="minorHAnsi"/>
              </w:rPr>
              <w:t>Suitable applicants per vacancy (no.)</w:t>
            </w:r>
          </w:p>
        </w:tc>
        <w:tc>
          <w:tcPr>
            <w:tcW w:w="619" w:type="pct"/>
            <w:tcBorders>
              <w:bottom w:val="nil"/>
            </w:tcBorders>
          </w:tcPr>
          <w:p w14:paraId="34B1A795" w14:textId="6ECDF42B" w:rsidR="00F2384D" w:rsidRPr="00F63323" w:rsidRDefault="006A3275" w:rsidP="002D468E">
            <w:pPr>
              <w:spacing w:after="0" w:line="240" w:lineRule="auto"/>
              <w:jc w:val="right"/>
              <w:rPr>
                <w:rFonts w:asciiTheme="minorHAnsi" w:hAnsiTheme="minorHAnsi" w:cstheme="minorHAnsi"/>
              </w:rPr>
            </w:pPr>
            <w:r w:rsidRPr="002D468E">
              <w:rPr>
                <w:rFonts w:asciiTheme="minorHAnsi" w:hAnsiTheme="minorHAnsi" w:cstheme="minorHAnsi"/>
                <w:color w:val="000000"/>
              </w:rPr>
              <w:t>2.9</w:t>
            </w:r>
          </w:p>
        </w:tc>
        <w:tc>
          <w:tcPr>
            <w:tcW w:w="941" w:type="pct"/>
            <w:tcBorders>
              <w:bottom w:val="nil"/>
            </w:tcBorders>
          </w:tcPr>
          <w:p w14:paraId="1E76DC58" w14:textId="6E1D0842" w:rsidR="00F2384D" w:rsidRPr="00F63323" w:rsidRDefault="006A3275" w:rsidP="002D468E">
            <w:pPr>
              <w:spacing w:after="0" w:line="240" w:lineRule="auto"/>
              <w:jc w:val="right"/>
              <w:rPr>
                <w:rFonts w:asciiTheme="minorHAnsi" w:hAnsiTheme="minorHAnsi" w:cstheme="minorHAnsi"/>
              </w:rPr>
            </w:pPr>
            <w:r w:rsidRPr="002D468E">
              <w:rPr>
                <w:rFonts w:asciiTheme="minorHAnsi" w:hAnsiTheme="minorHAnsi" w:cstheme="minorHAnsi"/>
              </w:rPr>
              <w:t>↑</w:t>
            </w:r>
            <w:r w:rsidRPr="002D468E">
              <w:rPr>
                <w:rFonts w:asciiTheme="minorHAnsi" w:hAnsiTheme="minorHAnsi" w:cstheme="minorHAnsi"/>
                <w:color w:val="000000"/>
              </w:rPr>
              <w:t>0.1</w:t>
            </w:r>
          </w:p>
        </w:tc>
        <w:tc>
          <w:tcPr>
            <w:tcW w:w="917" w:type="pct"/>
            <w:tcBorders>
              <w:bottom w:val="nil"/>
            </w:tcBorders>
          </w:tcPr>
          <w:p w14:paraId="50EFCDF2" w14:textId="6AD2C8E1" w:rsidR="00F2384D" w:rsidRPr="00F63323" w:rsidRDefault="006A3275" w:rsidP="002D468E">
            <w:pPr>
              <w:spacing w:after="0" w:line="240" w:lineRule="auto"/>
              <w:jc w:val="right"/>
              <w:rPr>
                <w:rFonts w:asciiTheme="minorHAnsi" w:hAnsiTheme="minorHAnsi" w:cstheme="minorHAnsi"/>
              </w:rPr>
            </w:pPr>
            <w:r w:rsidRPr="002D468E">
              <w:rPr>
                <w:rFonts w:asciiTheme="minorHAnsi" w:hAnsiTheme="minorHAnsi" w:cstheme="minorHAnsi"/>
              </w:rPr>
              <w:t>↑</w:t>
            </w:r>
            <w:r w:rsidRPr="002D468E">
              <w:rPr>
                <w:rFonts w:asciiTheme="minorHAnsi" w:hAnsiTheme="minorHAnsi" w:cstheme="minorHAnsi"/>
                <w:color w:val="000000"/>
              </w:rPr>
              <w:t>0.6</w:t>
            </w:r>
          </w:p>
        </w:tc>
      </w:tr>
      <w:tr w:rsidR="00905B79" w:rsidRPr="002D468E" w14:paraId="1C66F44D" w14:textId="77777777" w:rsidTr="2482F2FF">
        <w:trPr>
          <w:cnfStyle w:val="000000010000" w:firstRow="0" w:lastRow="0" w:firstColumn="0" w:lastColumn="0" w:oddVBand="0" w:evenVBand="0" w:oddHBand="0" w:evenHBand="1" w:firstRowFirstColumn="0" w:firstRowLastColumn="0" w:lastRowFirstColumn="0" w:lastRowLastColumn="0"/>
        </w:trPr>
        <w:tc>
          <w:tcPr>
            <w:tcW w:w="889" w:type="pct"/>
            <w:vMerge/>
          </w:tcPr>
          <w:p w14:paraId="50D35191" w14:textId="77777777" w:rsidR="00F2384D" w:rsidRPr="002D468E" w:rsidRDefault="00F2384D" w:rsidP="00F2384D">
            <w:pPr>
              <w:rPr>
                <w:rFonts w:asciiTheme="minorHAnsi" w:hAnsiTheme="minorHAnsi" w:cstheme="minorHAnsi"/>
              </w:rPr>
            </w:pPr>
          </w:p>
        </w:tc>
        <w:tc>
          <w:tcPr>
            <w:tcW w:w="1634" w:type="pct"/>
            <w:tcBorders>
              <w:top w:val="nil"/>
              <w:bottom w:val="single" w:sz="4" w:space="0" w:color="auto"/>
            </w:tcBorders>
          </w:tcPr>
          <w:p w14:paraId="55ED14C5" w14:textId="165CAFDA" w:rsidR="00F2384D" w:rsidRPr="002D468E" w:rsidRDefault="00F2384D" w:rsidP="00F2384D">
            <w:pPr>
              <w:rPr>
                <w:rFonts w:asciiTheme="minorHAnsi" w:hAnsiTheme="minorHAnsi" w:cstheme="minorHAnsi"/>
              </w:rPr>
            </w:pPr>
            <w:r w:rsidRPr="002D468E">
              <w:rPr>
                <w:rFonts w:asciiTheme="minorHAnsi" w:hAnsiTheme="minorHAnsi" w:cstheme="minorHAnsi"/>
              </w:rPr>
              <w:t>Suitability gap (%)</w:t>
            </w:r>
          </w:p>
        </w:tc>
        <w:tc>
          <w:tcPr>
            <w:tcW w:w="619" w:type="pct"/>
            <w:tcBorders>
              <w:top w:val="nil"/>
              <w:bottom w:val="single" w:sz="4" w:space="0" w:color="auto"/>
            </w:tcBorders>
          </w:tcPr>
          <w:p w14:paraId="0342B564" w14:textId="6073AD9B" w:rsidR="00F2384D"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48.2%</w:t>
            </w:r>
          </w:p>
        </w:tc>
        <w:tc>
          <w:tcPr>
            <w:tcW w:w="941" w:type="pct"/>
            <w:tcBorders>
              <w:top w:val="nil"/>
              <w:bottom w:val="single" w:sz="4" w:space="0" w:color="auto"/>
            </w:tcBorders>
          </w:tcPr>
          <w:p w14:paraId="31357F6B" w14:textId="15BAA0D3" w:rsidR="00F2384D"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4.2%</w:t>
            </w:r>
          </w:p>
        </w:tc>
        <w:tc>
          <w:tcPr>
            <w:tcW w:w="917" w:type="pct"/>
            <w:tcBorders>
              <w:top w:val="nil"/>
              <w:bottom w:val="single" w:sz="4" w:space="0" w:color="auto"/>
            </w:tcBorders>
          </w:tcPr>
          <w:p w14:paraId="6C65E74A" w14:textId="0171B96E" w:rsidR="00F2384D"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7.6%</w:t>
            </w:r>
          </w:p>
        </w:tc>
      </w:tr>
      <w:tr w:rsidR="006A3275" w:rsidRPr="002D468E" w14:paraId="6E0E6E45" w14:textId="77777777" w:rsidTr="00F63323">
        <w:tc>
          <w:tcPr>
            <w:tcW w:w="0" w:type="pct"/>
            <w:vMerge w:val="restart"/>
            <w:tcBorders>
              <w:top w:val="single" w:sz="4" w:space="0" w:color="auto"/>
              <w:bottom w:val="single" w:sz="4" w:space="0" w:color="auto"/>
            </w:tcBorders>
          </w:tcPr>
          <w:p w14:paraId="3AB5A0B7" w14:textId="74178D4B" w:rsidR="006A3275" w:rsidRPr="002D468E" w:rsidRDefault="006A3275" w:rsidP="006A3275">
            <w:pPr>
              <w:rPr>
                <w:rFonts w:asciiTheme="minorHAnsi" w:hAnsiTheme="minorHAnsi" w:cstheme="minorHAnsi"/>
              </w:rPr>
            </w:pPr>
            <w:r w:rsidRPr="002D468E">
              <w:rPr>
                <w:rFonts w:asciiTheme="minorHAnsi" w:hAnsiTheme="minorHAnsi" w:cstheme="minorHAnsi"/>
              </w:rPr>
              <w:t>Clerical and Administrative Workers</w:t>
            </w:r>
          </w:p>
        </w:tc>
        <w:tc>
          <w:tcPr>
            <w:tcW w:w="0" w:type="pct"/>
            <w:tcBorders>
              <w:top w:val="single" w:sz="4" w:space="0" w:color="auto"/>
            </w:tcBorders>
          </w:tcPr>
          <w:p w14:paraId="64E35E86" w14:textId="06243F70" w:rsidR="006A3275" w:rsidRPr="002D468E" w:rsidRDefault="006A3275" w:rsidP="006A3275">
            <w:pPr>
              <w:rPr>
                <w:rFonts w:asciiTheme="minorHAnsi" w:hAnsiTheme="minorHAnsi" w:cstheme="minorHAnsi"/>
              </w:rPr>
            </w:pPr>
            <w:r w:rsidRPr="002D468E">
              <w:rPr>
                <w:rFonts w:asciiTheme="minorHAnsi" w:hAnsiTheme="minorHAnsi" w:cstheme="minorHAnsi"/>
              </w:rPr>
              <w:t>Vacancy fill rate (%)</w:t>
            </w:r>
          </w:p>
        </w:tc>
        <w:tc>
          <w:tcPr>
            <w:tcW w:w="0" w:type="pct"/>
            <w:tcBorders>
              <w:top w:val="single" w:sz="4" w:space="0" w:color="auto"/>
            </w:tcBorders>
          </w:tcPr>
          <w:p w14:paraId="01AE36EA" w14:textId="6E47DDC7" w:rsidR="006A3275"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80.8%</w:t>
            </w:r>
          </w:p>
        </w:tc>
        <w:tc>
          <w:tcPr>
            <w:tcW w:w="0" w:type="pct"/>
            <w:tcBorders>
              <w:top w:val="single" w:sz="4" w:space="0" w:color="auto"/>
            </w:tcBorders>
          </w:tcPr>
          <w:p w14:paraId="137D68A1" w14:textId="5F431ECF" w:rsidR="006A3275"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1.5%</w:t>
            </w:r>
          </w:p>
        </w:tc>
        <w:tc>
          <w:tcPr>
            <w:tcW w:w="0" w:type="pct"/>
            <w:tcBorders>
              <w:top w:val="single" w:sz="4" w:space="0" w:color="auto"/>
            </w:tcBorders>
          </w:tcPr>
          <w:p w14:paraId="4D23B61E" w14:textId="697AE6CC" w:rsidR="006A3275"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5.4%</w:t>
            </w:r>
          </w:p>
        </w:tc>
      </w:tr>
      <w:tr w:rsidR="006A3275" w:rsidRPr="002D468E" w14:paraId="2A5F369F" w14:textId="77777777" w:rsidTr="00F63323">
        <w:trPr>
          <w:cnfStyle w:val="000000010000" w:firstRow="0" w:lastRow="0" w:firstColumn="0" w:lastColumn="0" w:oddVBand="0" w:evenVBand="0" w:oddHBand="0" w:evenHBand="1" w:firstRowFirstColumn="0" w:firstRowLastColumn="0" w:lastRowFirstColumn="0" w:lastRowLastColumn="0"/>
        </w:trPr>
        <w:tc>
          <w:tcPr>
            <w:tcW w:w="0" w:type="pct"/>
            <w:vMerge/>
          </w:tcPr>
          <w:p w14:paraId="3AA930F2" w14:textId="77777777" w:rsidR="006A3275" w:rsidRPr="002D468E" w:rsidRDefault="006A3275" w:rsidP="006A3275">
            <w:pPr>
              <w:rPr>
                <w:rFonts w:asciiTheme="minorHAnsi" w:hAnsiTheme="minorHAnsi" w:cstheme="minorHAnsi"/>
              </w:rPr>
            </w:pPr>
          </w:p>
        </w:tc>
        <w:tc>
          <w:tcPr>
            <w:tcW w:w="0" w:type="pct"/>
          </w:tcPr>
          <w:p w14:paraId="07C792B4" w14:textId="434B5879" w:rsidR="006A3275" w:rsidRPr="002D468E" w:rsidRDefault="006A3275" w:rsidP="006A3275">
            <w:pPr>
              <w:rPr>
                <w:rFonts w:asciiTheme="minorHAnsi" w:hAnsiTheme="minorHAnsi" w:cstheme="minorHAnsi"/>
              </w:rPr>
            </w:pPr>
            <w:r w:rsidRPr="002D468E">
              <w:rPr>
                <w:rFonts w:asciiTheme="minorHAnsi" w:hAnsiTheme="minorHAnsi" w:cstheme="minorHAnsi"/>
              </w:rPr>
              <w:t>Applicants per vacancy (no.)</w:t>
            </w:r>
          </w:p>
        </w:tc>
        <w:tc>
          <w:tcPr>
            <w:tcW w:w="0" w:type="pct"/>
          </w:tcPr>
          <w:p w14:paraId="0E53AE41" w14:textId="3F601354" w:rsidR="006A3275"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45.6</w:t>
            </w:r>
          </w:p>
        </w:tc>
        <w:tc>
          <w:tcPr>
            <w:tcW w:w="0" w:type="pct"/>
          </w:tcPr>
          <w:p w14:paraId="3B50A332" w14:textId="1E02BE4C" w:rsidR="006A3275"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5.0</w:t>
            </w:r>
          </w:p>
        </w:tc>
        <w:tc>
          <w:tcPr>
            <w:tcW w:w="0" w:type="pct"/>
          </w:tcPr>
          <w:p w14:paraId="1F9175C1" w14:textId="3FED6902" w:rsidR="006A3275"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16.6</w:t>
            </w:r>
          </w:p>
        </w:tc>
      </w:tr>
      <w:tr w:rsidR="00905B79" w:rsidRPr="002D468E" w14:paraId="35DF9467" w14:textId="77777777" w:rsidTr="00F63323">
        <w:tc>
          <w:tcPr>
            <w:tcW w:w="0" w:type="pct"/>
            <w:vMerge/>
          </w:tcPr>
          <w:p w14:paraId="21BF2C82" w14:textId="77777777" w:rsidR="006A3275" w:rsidRPr="002D468E" w:rsidRDefault="006A3275" w:rsidP="006A3275">
            <w:pPr>
              <w:rPr>
                <w:rFonts w:asciiTheme="minorHAnsi" w:hAnsiTheme="minorHAnsi" w:cstheme="minorHAnsi"/>
              </w:rPr>
            </w:pPr>
          </w:p>
        </w:tc>
        <w:tc>
          <w:tcPr>
            <w:tcW w:w="0" w:type="pct"/>
          </w:tcPr>
          <w:p w14:paraId="3E1B3A4A" w14:textId="6C0CB5B6" w:rsidR="006A3275" w:rsidRPr="002D468E" w:rsidRDefault="006A3275" w:rsidP="006A3275">
            <w:pPr>
              <w:rPr>
                <w:rFonts w:asciiTheme="minorHAnsi" w:hAnsiTheme="minorHAnsi" w:cstheme="minorHAnsi"/>
              </w:rPr>
            </w:pPr>
            <w:r w:rsidRPr="002D468E">
              <w:rPr>
                <w:rFonts w:asciiTheme="minorHAnsi" w:hAnsiTheme="minorHAnsi" w:cstheme="minorHAnsi"/>
              </w:rPr>
              <w:t>Qualified applicants per vacancy (no.)</w:t>
            </w:r>
          </w:p>
        </w:tc>
        <w:tc>
          <w:tcPr>
            <w:tcW w:w="0" w:type="pct"/>
          </w:tcPr>
          <w:p w14:paraId="3597F22A" w14:textId="2EC61647" w:rsidR="006A3275" w:rsidRPr="002D468E" w:rsidRDefault="006A3275" w:rsidP="00F63323">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 xml:space="preserve">               8.9</w:t>
            </w:r>
          </w:p>
        </w:tc>
        <w:tc>
          <w:tcPr>
            <w:tcW w:w="0" w:type="pct"/>
          </w:tcPr>
          <w:p w14:paraId="21320176" w14:textId="33715826" w:rsidR="006A3275" w:rsidRPr="00F63323" w:rsidRDefault="006A3275" w:rsidP="002D468E">
            <w:pPr>
              <w:spacing w:after="0" w:line="240" w:lineRule="auto"/>
              <w:jc w:val="right"/>
              <w:rPr>
                <w:rFonts w:asciiTheme="minorHAnsi" w:hAnsiTheme="minorHAnsi" w:cstheme="minorHAnsi"/>
              </w:rPr>
            </w:pPr>
            <w:r w:rsidRPr="002D468E">
              <w:rPr>
                <w:rFonts w:asciiTheme="minorHAnsi" w:hAnsiTheme="minorHAnsi" w:cstheme="minorHAnsi"/>
              </w:rPr>
              <w:t>↑</w:t>
            </w:r>
            <w:r w:rsidRPr="002D468E">
              <w:rPr>
                <w:rFonts w:asciiTheme="minorHAnsi" w:hAnsiTheme="minorHAnsi" w:cstheme="minorHAnsi"/>
                <w:color w:val="000000"/>
              </w:rPr>
              <w:t>0.3</w:t>
            </w:r>
          </w:p>
        </w:tc>
        <w:tc>
          <w:tcPr>
            <w:tcW w:w="0" w:type="pct"/>
          </w:tcPr>
          <w:p w14:paraId="166EDB4B" w14:textId="1E4F7FC0" w:rsidR="006A3275" w:rsidRPr="00F63323" w:rsidRDefault="006A3275" w:rsidP="002D468E">
            <w:pPr>
              <w:spacing w:after="0" w:line="240" w:lineRule="auto"/>
              <w:jc w:val="right"/>
              <w:rPr>
                <w:rFonts w:asciiTheme="minorHAnsi" w:hAnsiTheme="minorHAnsi" w:cstheme="minorHAnsi"/>
              </w:rPr>
            </w:pPr>
            <w:r w:rsidRPr="002D468E">
              <w:rPr>
                <w:rFonts w:asciiTheme="minorHAnsi" w:hAnsiTheme="minorHAnsi" w:cstheme="minorHAnsi"/>
              </w:rPr>
              <w:t>↑</w:t>
            </w:r>
            <w:r w:rsidRPr="002D468E">
              <w:rPr>
                <w:rFonts w:asciiTheme="minorHAnsi" w:hAnsiTheme="minorHAnsi" w:cstheme="minorHAnsi"/>
                <w:color w:val="000000"/>
              </w:rPr>
              <w:t>2.3</w:t>
            </w:r>
          </w:p>
        </w:tc>
      </w:tr>
      <w:tr w:rsidR="00905B79" w:rsidRPr="002D468E" w14:paraId="7FEBDBCF" w14:textId="77777777" w:rsidTr="00F63323">
        <w:trPr>
          <w:cnfStyle w:val="000000010000" w:firstRow="0" w:lastRow="0" w:firstColumn="0" w:lastColumn="0" w:oddVBand="0" w:evenVBand="0" w:oddHBand="0" w:evenHBand="1" w:firstRowFirstColumn="0" w:firstRowLastColumn="0" w:lastRowFirstColumn="0" w:lastRowLastColumn="0"/>
        </w:trPr>
        <w:tc>
          <w:tcPr>
            <w:tcW w:w="0" w:type="pct"/>
            <w:vMerge/>
          </w:tcPr>
          <w:p w14:paraId="5D4D0A2F" w14:textId="77777777" w:rsidR="006A3275" w:rsidRPr="002D468E" w:rsidRDefault="006A3275" w:rsidP="006A3275">
            <w:pPr>
              <w:rPr>
                <w:rFonts w:asciiTheme="minorHAnsi" w:hAnsiTheme="minorHAnsi" w:cstheme="minorHAnsi"/>
              </w:rPr>
            </w:pPr>
          </w:p>
        </w:tc>
        <w:tc>
          <w:tcPr>
            <w:tcW w:w="0" w:type="pct"/>
            <w:tcBorders>
              <w:bottom w:val="nil"/>
            </w:tcBorders>
          </w:tcPr>
          <w:p w14:paraId="6F8C93F3" w14:textId="3EA3F437" w:rsidR="006A3275" w:rsidRPr="002D468E" w:rsidRDefault="006A3275" w:rsidP="006A3275">
            <w:pPr>
              <w:rPr>
                <w:rFonts w:asciiTheme="minorHAnsi" w:hAnsiTheme="minorHAnsi" w:cstheme="minorHAnsi"/>
              </w:rPr>
            </w:pPr>
            <w:r w:rsidRPr="002D468E">
              <w:rPr>
                <w:rFonts w:asciiTheme="minorHAnsi" w:hAnsiTheme="minorHAnsi" w:cstheme="minorHAnsi"/>
              </w:rPr>
              <w:t>Suitable applicants per vacancy (no.)</w:t>
            </w:r>
          </w:p>
        </w:tc>
        <w:tc>
          <w:tcPr>
            <w:tcW w:w="0" w:type="pct"/>
            <w:tcBorders>
              <w:bottom w:val="nil"/>
            </w:tcBorders>
          </w:tcPr>
          <w:p w14:paraId="7F14BA2C" w14:textId="6AE4A956" w:rsidR="006A3275" w:rsidRPr="00F63323" w:rsidRDefault="006A3275" w:rsidP="002D468E">
            <w:pPr>
              <w:spacing w:after="0" w:line="240" w:lineRule="auto"/>
              <w:jc w:val="right"/>
              <w:rPr>
                <w:rFonts w:asciiTheme="minorHAnsi" w:hAnsiTheme="minorHAnsi" w:cstheme="minorHAnsi"/>
              </w:rPr>
            </w:pPr>
            <w:r w:rsidRPr="002D468E">
              <w:rPr>
                <w:rFonts w:asciiTheme="minorHAnsi" w:hAnsiTheme="minorHAnsi" w:cstheme="minorHAnsi"/>
                <w:color w:val="000000"/>
              </w:rPr>
              <w:t>5.8</w:t>
            </w:r>
          </w:p>
        </w:tc>
        <w:tc>
          <w:tcPr>
            <w:tcW w:w="0" w:type="pct"/>
            <w:tcBorders>
              <w:bottom w:val="nil"/>
            </w:tcBorders>
          </w:tcPr>
          <w:p w14:paraId="59373593" w14:textId="6141381C" w:rsidR="006A3275" w:rsidRPr="00F63323" w:rsidRDefault="006A3275" w:rsidP="002D468E">
            <w:pPr>
              <w:spacing w:after="0" w:line="240" w:lineRule="auto"/>
              <w:jc w:val="right"/>
              <w:rPr>
                <w:rFonts w:asciiTheme="minorHAnsi" w:hAnsiTheme="minorHAnsi" w:cstheme="minorHAnsi"/>
              </w:rPr>
            </w:pPr>
            <w:r w:rsidRPr="002D468E">
              <w:rPr>
                <w:rFonts w:asciiTheme="minorHAnsi" w:hAnsiTheme="minorHAnsi" w:cstheme="minorHAnsi"/>
              </w:rPr>
              <w:t>↑</w:t>
            </w:r>
            <w:r w:rsidRPr="002D468E">
              <w:rPr>
                <w:rFonts w:asciiTheme="minorHAnsi" w:hAnsiTheme="minorHAnsi" w:cstheme="minorHAnsi"/>
                <w:color w:val="000000"/>
              </w:rPr>
              <w:t>0.1</w:t>
            </w:r>
          </w:p>
        </w:tc>
        <w:tc>
          <w:tcPr>
            <w:tcW w:w="0" w:type="pct"/>
            <w:tcBorders>
              <w:bottom w:val="nil"/>
            </w:tcBorders>
          </w:tcPr>
          <w:p w14:paraId="360F3187" w14:textId="1E126B5B" w:rsidR="006A3275" w:rsidRPr="00F63323" w:rsidRDefault="006A3275" w:rsidP="002D468E">
            <w:pPr>
              <w:spacing w:after="0" w:line="240" w:lineRule="auto"/>
              <w:jc w:val="right"/>
              <w:rPr>
                <w:rFonts w:asciiTheme="minorHAnsi" w:hAnsiTheme="minorHAnsi" w:cstheme="minorHAnsi"/>
              </w:rPr>
            </w:pPr>
            <w:r w:rsidRPr="002D468E">
              <w:rPr>
                <w:rFonts w:asciiTheme="minorHAnsi" w:hAnsiTheme="minorHAnsi" w:cstheme="minorHAnsi"/>
              </w:rPr>
              <w:t>↑</w:t>
            </w:r>
            <w:r w:rsidRPr="002D468E">
              <w:rPr>
                <w:rFonts w:asciiTheme="minorHAnsi" w:hAnsiTheme="minorHAnsi" w:cstheme="minorHAnsi"/>
                <w:color w:val="000000"/>
              </w:rPr>
              <w:t>1.4</w:t>
            </w:r>
          </w:p>
        </w:tc>
      </w:tr>
      <w:tr w:rsidR="00905B79" w:rsidRPr="002D468E" w14:paraId="58DDC22C" w14:textId="77777777" w:rsidTr="00F63323">
        <w:tc>
          <w:tcPr>
            <w:tcW w:w="0" w:type="pct"/>
            <w:vMerge/>
          </w:tcPr>
          <w:p w14:paraId="165C9740" w14:textId="77777777" w:rsidR="006A3275" w:rsidRPr="002D468E" w:rsidRDefault="006A3275" w:rsidP="006A3275">
            <w:pPr>
              <w:rPr>
                <w:rFonts w:asciiTheme="minorHAnsi" w:hAnsiTheme="minorHAnsi" w:cstheme="minorHAnsi"/>
              </w:rPr>
            </w:pPr>
          </w:p>
        </w:tc>
        <w:tc>
          <w:tcPr>
            <w:tcW w:w="0" w:type="pct"/>
            <w:tcBorders>
              <w:bottom w:val="single" w:sz="4" w:space="0" w:color="auto"/>
            </w:tcBorders>
          </w:tcPr>
          <w:p w14:paraId="7923403F" w14:textId="32DCA771" w:rsidR="006A3275" w:rsidRPr="002D468E" w:rsidRDefault="006A3275" w:rsidP="006A3275">
            <w:pPr>
              <w:rPr>
                <w:rFonts w:asciiTheme="minorHAnsi" w:hAnsiTheme="minorHAnsi" w:cstheme="minorHAnsi"/>
              </w:rPr>
            </w:pPr>
            <w:r w:rsidRPr="002D468E">
              <w:rPr>
                <w:rFonts w:asciiTheme="minorHAnsi" w:hAnsiTheme="minorHAnsi" w:cstheme="minorHAnsi"/>
              </w:rPr>
              <w:t>Suitability gap (%)</w:t>
            </w:r>
          </w:p>
        </w:tc>
        <w:tc>
          <w:tcPr>
            <w:tcW w:w="0" w:type="pct"/>
            <w:tcBorders>
              <w:bottom w:val="single" w:sz="4" w:space="0" w:color="auto"/>
            </w:tcBorders>
          </w:tcPr>
          <w:p w14:paraId="5864B476" w14:textId="4F7226A4" w:rsidR="006A3275"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34.5%</w:t>
            </w:r>
          </w:p>
        </w:tc>
        <w:tc>
          <w:tcPr>
            <w:tcW w:w="0" w:type="pct"/>
            <w:tcBorders>
              <w:bottom w:val="single" w:sz="4" w:space="0" w:color="auto"/>
            </w:tcBorders>
          </w:tcPr>
          <w:p w14:paraId="2A6BEB36" w14:textId="0955B8C9" w:rsidR="006A3275"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1.0%</w:t>
            </w:r>
          </w:p>
        </w:tc>
        <w:tc>
          <w:tcPr>
            <w:tcW w:w="0" w:type="pct"/>
            <w:tcBorders>
              <w:bottom w:val="single" w:sz="4" w:space="0" w:color="auto"/>
            </w:tcBorders>
          </w:tcPr>
          <w:p w14:paraId="092B3004" w14:textId="12D69AC2" w:rsidR="006A3275"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2.2%</w:t>
            </w:r>
          </w:p>
        </w:tc>
      </w:tr>
      <w:tr w:rsidR="00905B79" w:rsidRPr="002D468E" w14:paraId="028ADF59" w14:textId="77777777" w:rsidTr="00F63323">
        <w:trPr>
          <w:cnfStyle w:val="000000010000" w:firstRow="0" w:lastRow="0" w:firstColumn="0" w:lastColumn="0" w:oddVBand="0" w:evenVBand="0" w:oddHBand="0" w:evenHBand="1" w:firstRowFirstColumn="0" w:firstRowLastColumn="0" w:lastRowFirstColumn="0" w:lastRowLastColumn="0"/>
        </w:trPr>
        <w:tc>
          <w:tcPr>
            <w:tcW w:w="0" w:type="pct"/>
            <w:vMerge w:val="restart"/>
            <w:tcBorders>
              <w:top w:val="single" w:sz="4" w:space="0" w:color="auto"/>
              <w:bottom w:val="single" w:sz="4" w:space="0" w:color="auto"/>
            </w:tcBorders>
          </w:tcPr>
          <w:p w14:paraId="7A7D22CD" w14:textId="77777777" w:rsidR="006A3275" w:rsidRPr="002D468E" w:rsidRDefault="006A3275" w:rsidP="006A3275">
            <w:pPr>
              <w:rPr>
                <w:rFonts w:asciiTheme="minorHAnsi" w:hAnsiTheme="minorHAnsi" w:cstheme="minorHAnsi"/>
              </w:rPr>
            </w:pPr>
          </w:p>
          <w:p w14:paraId="3D3AC621" w14:textId="77777777" w:rsidR="006A3275" w:rsidRPr="002D468E" w:rsidRDefault="006A3275" w:rsidP="006A3275">
            <w:pPr>
              <w:rPr>
                <w:rFonts w:asciiTheme="minorHAnsi" w:hAnsiTheme="minorHAnsi" w:cstheme="minorHAnsi"/>
              </w:rPr>
            </w:pPr>
          </w:p>
          <w:p w14:paraId="311CB0FB" w14:textId="77777777" w:rsidR="006A3275" w:rsidRPr="002D468E" w:rsidRDefault="006A3275" w:rsidP="006A3275">
            <w:pPr>
              <w:rPr>
                <w:rFonts w:asciiTheme="minorHAnsi" w:hAnsiTheme="minorHAnsi" w:cstheme="minorHAnsi"/>
              </w:rPr>
            </w:pPr>
          </w:p>
          <w:p w14:paraId="182B7E3B" w14:textId="544D35FB" w:rsidR="006A3275" w:rsidRPr="002D468E" w:rsidRDefault="006A3275" w:rsidP="006A3275">
            <w:pPr>
              <w:rPr>
                <w:rFonts w:asciiTheme="minorHAnsi" w:hAnsiTheme="minorHAnsi" w:cstheme="minorHAnsi"/>
              </w:rPr>
            </w:pPr>
            <w:r w:rsidRPr="002D468E">
              <w:rPr>
                <w:rFonts w:asciiTheme="minorHAnsi" w:hAnsiTheme="minorHAnsi" w:cstheme="minorHAnsi"/>
              </w:rPr>
              <w:t>Sales Workers</w:t>
            </w:r>
          </w:p>
        </w:tc>
        <w:tc>
          <w:tcPr>
            <w:tcW w:w="0" w:type="pct"/>
            <w:tcBorders>
              <w:top w:val="single" w:sz="4" w:space="0" w:color="auto"/>
            </w:tcBorders>
          </w:tcPr>
          <w:p w14:paraId="5796581A" w14:textId="0CAC42E4" w:rsidR="006A3275" w:rsidRPr="002D468E" w:rsidRDefault="006A3275" w:rsidP="006A3275">
            <w:pPr>
              <w:rPr>
                <w:rFonts w:asciiTheme="minorHAnsi" w:hAnsiTheme="minorHAnsi" w:cstheme="minorHAnsi"/>
              </w:rPr>
            </w:pPr>
            <w:r w:rsidRPr="002D468E">
              <w:rPr>
                <w:rFonts w:asciiTheme="minorHAnsi" w:hAnsiTheme="minorHAnsi" w:cstheme="minorHAnsi"/>
              </w:rPr>
              <w:t>Vacancy fill rate (%)</w:t>
            </w:r>
          </w:p>
        </w:tc>
        <w:tc>
          <w:tcPr>
            <w:tcW w:w="0" w:type="pct"/>
            <w:tcBorders>
              <w:top w:val="single" w:sz="4" w:space="0" w:color="auto"/>
            </w:tcBorders>
          </w:tcPr>
          <w:p w14:paraId="3DBEBFE7" w14:textId="31D03467" w:rsidR="006A3275"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69.8%</w:t>
            </w:r>
          </w:p>
        </w:tc>
        <w:tc>
          <w:tcPr>
            <w:tcW w:w="0" w:type="pct"/>
            <w:tcBorders>
              <w:top w:val="single" w:sz="4" w:space="0" w:color="auto"/>
            </w:tcBorders>
          </w:tcPr>
          <w:p w14:paraId="59D4CE51" w14:textId="27224D48" w:rsidR="006A3275" w:rsidRPr="002D468E" w:rsidRDefault="000147DC"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w:t>
            </w:r>
            <w:r w:rsidR="006A3275" w:rsidRPr="002D468E">
              <w:rPr>
                <w:rFonts w:asciiTheme="minorHAnsi" w:hAnsiTheme="minorHAnsi" w:cstheme="minorHAnsi"/>
                <w:color w:val="000000"/>
              </w:rPr>
              <w:t>-1.1%</w:t>
            </w:r>
          </w:p>
        </w:tc>
        <w:tc>
          <w:tcPr>
            <w:tcW w:w="0" w:type="pct"/>
            <w:tcBorders>
              <w:top w:val="single" w:sz="4" w:space="0" w:color="auto"/>
            </w:tcBorders>
          </w:tcPr>
          <w:p w14:paraId="53FBEB9E" w14:textId="5E320F41" w:rsidR="006A3275" w:rsidRPr="002D468E" w:rsidRDefault="000147DC"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w:t>
            </w:r>
            <w:r w:rsidR="006A3275" w:rsidRPr="002D468E">
              <w:rPr>
                <w:rFonts w:asciiTheme="minorHAnsi" w:hAnsiTheme="minorHAnsi" w:cstheme="minorHAnsi"/>
                <w:color w:val="000000"/>
              </w:rPr>
              <w:t>-1.3%</w:t>
            </w:r>
          </w:p>
        </w:tc>
      </w:tr>
      <w:tr w:rsidR="00905B79" w:rsidRPr="002D468E" w14:paraId="3935343E" w14:textId="77777777" w:rsidTr="00F63323">
        <w:tc>
          <w:tcPr>
            <w:tcW w:w="0" w:type="pct"/>
            <w:vMerge/>
          </w:tcPr>
          <w:p w14:paraId="24A70FBB" w14:textId="77777777" w:rsidR="006A3275" w:rsidRPr="002D468E" w:rsidRDefault="006A3275" w:rsidP="006A3275">
            <w:pPr>
              <w:rPr>
                <w:rFonts w:asciiTheme="minorHAnsi" w:hAnsiTheme="minorHAnsi" w:cstheme="minorHAnsi"/>
              </w:rPr>
            </w:pPr>
          </w:p>
        </w:tc>
        <w:tc>
          <w:tcPr>
            <w:tcW w:w="0" w:type="pct"/>
          </w:tcPr>
          <w:p w14:paraId="38134DD5" w14:textId="478ED2FC" w:rsidR="006A3275" w:rsidRPr="002D468E" w:rsidRDefault="006A3275" w:rsidP="006A3275">
            <w:pPr>
              <w:rPr>
                <w:rFonts w:asciiTheme="minorHAnsi" w:hAnsiTheme="minorHAnsi" w:cstheme="minorHAnsi"/>
              </w:rPr>
            </w:pPr>
            <w:r w:rsidRPr="002D468E">
              <w:rPr>
                <w:rFonts w:asciiTheme="minorHAnsi" w:hAnsiTheme="minorHAnsi" w:cstheme="minorHAnsi"/>
              </w:rPr>
              <w:t>Applicants per vacancy (no.)</w:t>
            </w:r>
          </w:p>
        </w:tc>
        <w:tc>
          <w:tcPr>
            <w:tcW w:w="0" w:type="pct"/>
          </w:tcPr>
          <w:p w14:paraId="579DA724" w14:textId="00230C4D" w:rsidR="006A3275"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21.5</w:t>
            </w:r>
          </w:p>
        </w:tc>
        <w:tc>
          <w:tcPr>
            <w:tcW w:w="0" w:type="pct"/>
          </w:tcPr>
          <w:p w14:paraId="5621E3D9" w14:textId="03CAE368" w:rsidR="006A3275" w:rsidRPr="002D468E" w:rsidRDefault="000147DC"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006A3275" w:rsidRPr="002D468E">
              <w:rPr>
                <w:rFonts w:asciiTheme="minorHAnsi" w:hAnsiTheme="minorHAnsi" w:cstheme="minorHAnsi"/>
                <w:color w:val="000000"/>
              </w:rPr>
              <w:t>2.2</w:t>
            </w:r>
          </w:p>
        </w:tc>
        <w:tc>
          <w:tcPr>
            <w:tcW w:w="0" w:type="pct"/>
          </w:tcPr>
          <w:p w14:paraId="6D2ED884" w14:textId="3F42B41F" w:rsidR="006A3275" w:rsidRPr="002D468E" w:rsidRDefault="000147DC"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006A3275" w:rsidRPr="002D468E">
              <w:rPr>
                <w:rFonts w:asciiTheme="minorHAnsi" w:hAnsiTheme="minorHAnsi" w:cstheme="minorHAnsi"/>
                <w:color w:val="000000"/>
              </w:rPr>
              <w:t>6.0</w:t>
            </w:r>
          </w:p>
        </w:tc>
      </w:tr>
      <w:tr w:rsidR="00905B79" w:rsidRPr="002D468E" w14:paraId="490B73AB" w14:textId="77777777" w:rsidTr="00F63323">
        <w:trPr>
          <w:cnfStyle w:val="000000010000" w:firstRow="0" w:lastRow="0" w:firstColumn="0" w:lastColumn="0" w:oddVBand="0" w:evenVBand="0" w:oddHBand="0" w:evenHBand="1" w:firstRowFirstColumn="0" w:firstRowLastColumn="0" w:lastRowFirstColumn="0" w:lastRowLastColumn="0"/>
        </w:trPr>
        <w:tc>
          <w:tcPr>
            <w:tcW w:w="0" w:type="pct"/>
            <w:vMerge/>
          </w:tcPr>
          <w:p w14:paraId="492204C4" w14:textId="77777777" w:rsidR="006A3275" w:rsidRPr="002D468E" w:rsidRDefault="006A3275" w:rsidP="006A3275">
            <w:pPr>
              <w:rPr>
                <w:rFonts w:asciiTheme="minorHAnsi" w:hAnsiTheme="minorHAnsi" w:cstheme="minorHAnsi"/>
              </w:rPr>
            </w:pPr>
          </w:p>
        </w:tc>
        <w:tc>
          <w:tcPr>
            <w:tcW w:w="0" w:type="pct"/>
          </w:tcPr>
          <w:p w14:paraId="391DAFAA" w14:textId="4D40E330" w:rsidR="006A3275" w:rsidRPr="002D468E" w:rsidRDefault="006A3275" w:rsidP="006A3275">
            <w:pPr>
              <w:rPr>
                <w:rFonts w:asciiTheme="minorHAnsi" w:hAnsiTheme="minorHAnsi" w:cstheme="minorHAnsi"/>
              </w:rPr>
            </w:pPr>
            <w:r w:rsidRPr="002D468E">
              <w:rPr>
                <w:rFonts w:asciiTheme="minorHAnsi" w:hAnsiTheme="minorHAnsi" w:cstheme="minorHAnsi"/>
              </w:rPr>
              <w:t>Qualified applicants per vacancy (no.)</w:t>
            </w:r>
          </w:p>
        </w:tc>
        <w:tc>
          <w:tcPr>
            <w:tcW w:w="0" w:type="pct"/>
          </w:tcPr>
          <w:p w14:paraId="42E8EC24" w14:textId="01EABB34" w:rsidR="006A3275"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3.8</w:t>
            </w:r>
          </w:p>
        </w:tc>
        <w:tc>
          <w:tcPr>
            <w:tcW w:w="0" w:type="pct"/>
          </w:tcPr>
          <w:p w14:paraId="7CB803AE" w14:textId="37A71971" w:rsidR="006A3275"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0.0</w:t>
            </w:r>
          </w:p>
        </w:tc>
        <w:tc>
          <w:tcPr>
            <w:tcW w:w="0" w:type="pct"/>
          </w:tcPr>
          <w:p w14:paraId="3A722BEA" w14:textId="5952BAC5" w:rsidR="006A3275" w:rsidRPr="002D468E" w:rsidRDefault="000147DC"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0.3</w:t>
            </w:r>
          </w:p>
        </w:tc>
      </w:tr>
      <w:tr w:rsidR="00905B79" w:rsidRPr="002D468E" w14:paraId="67B2A0B7" w14:textId="77777777" w:rsidTr="00F63323">
        <w:tc>
          <w:tcPr>
            <w:tcW w:w="0" w:type="pct"/>
            <w:vMerge/>
          </w:tcPr>
          <w:p w14:paraId="576141C9" w14:textId="77777777" w:rsidR="006A3275" w:rsidRPr="002D468E" w:rsidRDefault="006A3275" w:rsidP="006A3275">
            <w:pPr>
              <w:rPr>
                <w:rFonts w:asciiTheme="minorHAnsi" w:hAnsiTheme="minorHAnsi" w:cstheme="minorHAnsi"/>
              </w:rPr>
            </w:pPr>
          </w:p>
        </w:tc>
        <w:tc>
          <w:tcPr>
            <w:tcW w:w="0" w:type="pct"/>
            <w:tcBorders>
              <w:bottom w:val="nil"/>
            </w:tcBorders>
          </w:tcPr>
          <w:p w14:paraId="49258D9E" w14:textId="4D5899E1" w:rsidR="006A3275" w:rsidRPr="002D468E" w:rsidRDefault="006A3275" w:rsidP="006A3275">
            <w:pPr>
              <w:rPr>
                <w:rFonts w:asciiTheme="minorHAnsi" w:hAnsiTheme="minorHAnsi" w:cstheme="minorHAnsi"/>
              </w:rPr>
            </w:pPr>
            <w:r w:rsidRPr="002D468E">
              <w:rPr>
                <w:rFonts w:asciiTheme="minorHAnsi" w:hAnsiTheme="minorHAnsi" w:cstheme="minorHAnsi"/>
              </w:rPr>
              <w:t>Suitable applicants per vacancy (no.)</w:t>
            </w:r>
          </w:p>
        </w:tc>
        <w:tc>
          <w:tcPr>
            <w:tcW w:w="0" w:type="pct"/>
            <w:tcBorders>
              <w:bottom w:val="nil"/>
            </w:tcBorders>
          </w:tcPr>
          <w:p w14:paraId="6F72846C" w14:textId="77777777" w:rsidR="006A3275"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2.8</w:t>
            </w:r>
          </w:p>
          <w:p w14:paraId="40B6B8D2" w14:textId="77777777" w:rsidR="006A3275" w:rsidRPr="00F63323" w:rsidRDefault="006A3275" w:rsidP="002D468E">
            <w:pPr>
              <w:jc w:val="right"/>
              <w:rPr>
                <w:rFonts w:asciiTheme="minorHAnsi" w:hAnsiTheme="minorHAnsi" w:cstheme="minorHAnsi"/>
              </w:rPr>
            </w:pPr>
          </w:p>
        </w:tc>
        <w:tc>
          <w:tcPr>
            <w:tcW w:w="0" w:type="pct"/>
            <w:tcBorders>
              <w:bottom w:val="nil"/>
            </w:tcBorders>
          </w:tcPr>
          <w:p w14:paraId="04A83057" w14:textId="1FD243C3" w:rsidR="006A3275" w:rsidRPr="002D468E" w:rsidRDefault="000147DC"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006A3275" w:rsidRPr="002D468E">
              <w:rPr>
                <w:rFonts w:asciiTheme="minorHAnsi" w:hAnsiTheme="minorHAnsi" w:cstheme="minorHAnsi"/>
                <w:color w:val="000000"/>
              </w:rPr>
              <w:t>0.4</w:t>
            </w:r>
          </w:p>
          <w:p w14:paraId="3CDD22A3" w14:textId="77777777" w:rsidR="006A3275" w:rsidRPr="00F63323" w:rsidRDefault="006A3275" w:rsidP="002D468E">
            <w:pPr>
              <w:jc w:val="right"/>
              <w:rPr>
                <w:rFonts w:asciiTheme="minorHAnsi" w:hAnsiTheme="minorHAnsi" w:cstheme="minorHAnsi"/>
              </w:rPr>
            </w:pPr>
          </w:p>
        </w:tc>
        <w:tc>
          <w:tcPr>
            <w:tcW w:w="0" w:type="pct"/>
            <w:tcBorders>
              <w:bottom w:val="nil"/>
            </w:tcBorders>
          </w:tcPr>
          <w:p w14:paraId="0A3F3946" w14:textId="3CCA3C79" w:rsidR="000147DC" w:rsidRPr="002D468E" w:rsidRDefault="000147DC"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Pr="002D468E">
              <w:rPr>
                <w:rFonts w:asciiTheme="minorHAnsi" w:hAnsiTheme="minorHAnsi" w:cstheme="minorHAnsi"/>
                <w:color w:val="000000"/>
              </w:rPr>
              <w:t>0.5</w:t>
            </w:r>
          </w:p>
          <w:p w14:paraId="0A869299" w14:textId="77777777" w:rsidR="006A3275" w:rsidRPr="00F63323" w:rsidRDefault="006A3275" w:rsidP="002D468E">
            <w:pPr>
              <w:jc w:val="right"/>
              <w:rPr>
                <w:rFonts w:asciiTheme="minorHAnsi" w:hAnsiTheme="minorHAnsi" w:cstheme="minorHAnsi"/>
              </w:rPr>
            </w:pPr>
          </w:p>
        </w:tc>
      </w:tr>
      <w:tr w:rsidR="00905B79" w:rsidRPr="002D468E" w14:paraId="70DD5765" w14:textId="77777777" w:rsidTr="00F63323">
        <w:trPr>
          <w:cnfStyle w:val="000000010000" w:firstRow="0" w:lastRow="0" w:firstColumn="0" w:lastColumn="0" w:oddVBand="0" w:evenVBand="0" w:oddHBand="0" w:evenHBand="1" w:firstRowFirstColumn="0" w:firstRowLastColumn="0" w:lastRowFirstColumn="0" w:lastRowLastColumn="0"/>
        </w:trPr>
        <w:tc>
          <w:tcPr>
            <w:tcW w:w="0" w:type="pct"/>
            <w:vMerge/>
          </w:tcPr>
          <w:p w14:paraId="4ACC81F8" w14:textId="77777777" w:rsidR="006A3275" w:rsidRPr="002D468E" w:rsidRDefault="006A3275" w:rsidP="006A3275">
            <w:pPr>
              <w:rPr>
                <w:rFonts w:asciiTheme="minorHAnsi" w:hAnsiTheme="minorHAnsi" w:cstheme="minorHAnsi"/>
              </w:rPr>
            </w:pPr>
          </w:p>
        </w:tc>
        <w:tc>
          <w:tcPr>
            <w:tcW w:w="0" w:type="pct"/>
            <w:tcBorders>
              <w:bottom w:val="single" w:sz="4" w:space="0" w:color="auto"/>
            </w:tcBorders>
          </w:tcPr>
          <w:p w14:paraId="22A2D9BE" w14:textId="5B1426BA" w:rsidR="006A3275" w:rsidRPr="002D468E" w:rsidRDefault="006A3275" w:rsidP="006A3275">
            <w:pPr>
              <w:rPr>
                <w:rFonts w:asciiTheme="minorHAnsi" w:hAnsiTheme="minorHAnsi" w:cstheme="minorHAnsi"/>
              </w:rPr>
            </w:pPr>
            <w:r w:rsidRPr="002D468E">
              <w:rPr>
                <w:rFonts w:asciiTheme="minorHAnsi" w:hAnsiTheme="minorHAnsi" w:cstheme="minorHAnsi"/>
              </w:rPr>
              <w:t>Suitability gap (%)</w:t>
            </w:r>
          </w:p>
        </w:tc>
        <w:tc>
          <w:tcPr>
            <w:tcW w:w="0" w:type="pct"/>
            <w:tcBorders>
              <w:bottom w:val="single" w:sz="4" w:space="0" w:color="auto"/>
            </w:tcBorders>
          </w:tcPr>
          <w:p w14:paraId="5C880EE9" w14:textId="2756F9AC" w:rsidR="006A3275" w:rsidRPr="002D468E" w:rsidRDefault="006A3275"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25.3%</w:t>
            </w:r>
          </w:p>
        </w:tc>
        <w:tc>
          <w:tcPr>
            <w:tcW w:w="0" w:type="pct"/>
            <w:tcBorders>
              <w:bottom w:val="single" w:sz="4" w:space="0" w:color="auto"/>
            </w:tcBorders>
          </w:tcPr>
          <w:p w14:paraId="6AB0E605" w14:textId="10AF2AF6" w:rsidR="006A3275" w:rsidRPr="002D468E" w:rsidRDefault="000147DC"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w:t>
            </w:r>
            <w:r w:rsidR="006A3275" w:rsidRPr="002D468E">
              <w:rPr>
                <w:rFonts w:asciiTheme="minorHAnsi" w:hAnsiTheme="minorHAnsi" w:cstheme="minorHAnsi"/>
                <w:color w:val="000000"/>
              </w:rPr>
              <w:t>-11.2%</w:t>
            </w:r>
          </w:p>
        </w:tc>
        <w:tc>
          <w:tcPr>
            <w:tcW w:w="0" w:type="pct"/>
            <w:tcBorders>
              <w:bottom w:val="single" w:sz="4" w:space="0" w:color="auto"/>
            </w:tcBorders>
          </w:tcPr>
          <w:p w14:paraId="1F7544CE" w14:textId="112CC040" w:rsidR="006A3275" w:rsidRPr="002D468E" w:rsidRDefault="000147DC"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↓-6.6%</w:t>
            </w:r>
          </w:p>
        </w:tc>
      </w:tr>
      <w:tr w:rsidR="00905B79" w:rsidRPr="002D468E" w14:paraId="16AD733C" w14:textId="77777777" w:rsidTr="00F63323">
        <w:tc>
          <w:tcPr>
            <w:tcW w:w="0" w:type="pct"/>
            <w:vMerge w:val="restart"/>
            <w:tcBorders>
              <w:top w:val="single" w:sz="4" w:space="0" w:color="auto"/>
              <w:bottom w:val="single" w:sz="4" w:space="0" w:color="auto"/>
            </w:tcBorders>
          </w:tcPr>
          <w:p w14:paraId="69F64169" w14:textId="77777777" w:rsidR="006A3275" w:rsidRPr="002D468E" w:rsidRDefault="006A3275" w:rsidP="006A3275">
            <w:pPr>
              <w:rPr>
                <w:rFonts w:asciiTheme="minorHAnsi" w:hAnsiTheme="minorHAnsi" w:cstheme="minorHAnsi"/>
              </w:rPr>
            </w:pPr>
          </w:p>
          <w:p w14:paraId="50854644" w14:textId="77777777" w:rsidR="006A3275" w:rsidRPr="002D468E" w:rsidRDefault="006A3275" w:rsidP="006A3275">
            <w:pPr>
              <w:rPr>
                <w:rFonts w:asciiTheme="minorHAnsi" w:hAnsiTheme="minorHAnsi" w:cstheme="minorHAnsi"/>
              </w:rPr>
            </w:pPr>
          </w:p>
          <w:p w14:paraId="1F37A0C1" w14:textId="2E24B01E" w:rsidR="006A3275" w:rsidRPr="002D468E" w:rsidRDefault="006A3275" w:rsidP="006A3275">
            <w:pPr>
              <w:rPr>
                <w:rFonts w:asciiTheme="minorHAnsi" w:hAnsiTheme="minorHAnsi" w:cstheme="minorHAnsi"/>
              </w:rPr>
            </w:pPr>
            <w:r w:rsidRPr="002D468E">
              <w:rPr>
                <w:rFonts w:asciiTheme="minorHAnsi" w:hAnsiTheme="minorHAnsi" w:cstheme="minorHAnsi"/>
              </w:rPr>
              <w:t>Machinery Operators and Drivers</w:t>
            </w:r>
          </w:p>
        </w:tc>
        <w:tc>
          <w:tcPr>
            <w:tcW w:w="0" w:type="pct"/>
            <w:tcBorders>
              <w:top w:val="single" w:sz="4" w:space="0" w:color="auto"/>
            </w:tcBorders>
          </w:tcPr>
          <w:p w14:paraId="341EDA0A" w14:textId="59F5B202" w:rsidR="006A3275" w:rsidRPr="002D468E" w:rsidRDefault="006A3275" w:rsidP="006A3275">
            <w:pPr>
              <w:rPr>
                <w:rFonts w:asciiTheme="minorHAnsi" w:hAnsiTheme="minorHAnsi" w:cstheme="minorHAnsi"/>
              </w:rPr>
            </w:pPr>
            <w:r w:rsidRPr="002D468E">
              <w:rPr>
                <w:rFonts w:asciiTheme="minorHAnsi" w:hAnsiTheme="minorHAnsi" w:cstheme="minorHAnsi"/>
              </w:rPr>
              <w:t>Vacancy fill rate (%)</w:t>
            </w:r>
          </w:p>
        </w:tc>
        <w:tc>
          <w:tcPr>
            <w:tcW w:w="0" w:type="pct"/>
            <w:tcBorders>
              <w:top w:val="single" w:sz="4" w:space="0" w:color="auto"/>
            </w:tcBorders>
          </w:tcPr>
          <w:p w14:paraId="1E9F87E1" w14:textId="136837E6" w:rsidR="006A3275" w:rsidRPr="002D468E" w:rsidRDefault="000147DC"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70.0%</w:t>
            </w:r>
          </w:p>
        </w:tc>
        <w:tc>
          <w:tcPr>
            <w:tcW w:w="0" w:type="pct"/>
            <w:tcBorders>
              <w:top w:val="single" w:sz="4" w:space="0" w:color="auto"/>
            </w:tcBorders>
          </w:tcPr>
          <w:p w14:paraId="692C78D6" w14:textId="45488554" w:rsidR="006A3275" w:rsidRPr="002D468E" w:rsidRDefault="00905B79"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000147DC" w:rsidRPr="002D468E">
              <w:rPr>
                <w:rFonts w:asciiTheme="minorHAnsi" w:hAnsiTheme="minorHAnsi" w:cstheme="minorHAnsi"/>
                <w:color w:val="000000"/>
              </w:rPr>
              <w:t>1.1%</w:t>
            </w:r>
          </w:p>
        </w:tc>
        <w:tc>
          <w:tcPr>
            <w:tcW w:w="0" w:type="pct"/>
            <w:tcBorders>
              <w:top w:val="single" w:sz="4" w:space="0" w:color="auto"/>
            </w:tcBorders>
          </w:tcPr>
          <w:p w14:paraId="6A248920" w14:textId="33C76A6A" w:rsidR="006A3275" w:rsidRPr="002D468E" w:rsidRDefault="00905B79"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000147DC" w:rsidRPr="002D468E">
              <w:rPr>
                <w:rFonts w:asciiTheme="minorHAnsi" w:hAnsiTheme="minorHAnsi" w:cstheme="minorHAnsi"/>
                <w:color w:val="000000"/>
              </w:rPr>
              <w:t>8.0%</w:t>
            </w:r>
          </w:p>
        </w:tc>
      </w:tr>
      <w:tr w:rsidR="00905B79" w:rsidRPr="002D468E" w14:paraId="2D91EFF1" w14:textId="77777777" w:rsidTr="00F63323">
        <w:trPr>
          <w:cnfStyle w:val="000000010000" w:firstRow="0" w:lastRow="0" w:firstColumn="0" w:lastColumn="0" w:oddVBand="0" w:evenVBand="0" w:oddHBand="0" w:evenHBand="1" w:firstRowFirstColumn="0" w:firstRowLastColumn="0" w:lastRowFirstColumn="0" w:lastRowLastColumn="0"/>
        </w:trPr>
        <w:tc>
          <w:tcPr>
            <w:tcW w:w="0" w:type="pct"/>
            <w:vMerge/>
          </w:tcPr>
          <w:p w14:paraId="172A79C6" w14:textId="77777777" w:rsidR="006A3275" w:rsidRPr="002D468E" w:rsidRDefault="006A3275" w:rsidP="006A3275">
            <w:pPr>
              <w:rPr>
                <w:rFonts w:asciiTheme="minorHAnsi" w:hAnsiTheme="minorHAnsi" w:cstheme="minorHAnsi"/>
              </w:rPr>
            </w:pPr>
          </w:p>
        </w:tc>
        <w:tc>
          <w:tcPr>
            <w:tcW w:w="0" w:type="pct"/>
          </w:tcPr>
          <w:p w14:paraId="538E6484" w14:textId="41BAE3AC" w:rsidR="006A3275" w:rsidRPr="002D468E" w:rsidRDefault="006A3275" w:rsidP="006A3275">
            <w:pPr>
              <w:rPr>
                <w:rFonts w:asciiTheme="minorHAnsi" w:hAnsiTheme="minorHAnsi" w:cstheme="minorHAnsi"/>
              </w:rPr>
            </w:pPr>
            <w:r w:rsidRPr="002D468E">
              <w:rPr>
                <w:rFonts w:asciiTheme="minorHAnsi" w:hAnsiTheme="minorHAnsi" w:cstheme="minorHAnsi"/>
              </w:rPr>
              <w:t>Applicants per vacancy (no.)</w:t>
            </w:r>
          </w:p>
        </w:tc>
        <w:tc>
          <w:tcPr>
            <w:tcW w:w="0" w:type="pct"/>
          </w:tcPr>
          <w:p w14:paraId="18B2EFA7" w14:textId="168FC11D" w:rsidR="006A3275" w:rsidRPr="002D468E" w:rsidRDefault="000147DC"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24.7</w:t>
            </w:r>
          </w:p>
        </w:tc>
        <w:tc>
          <w:tcPr>
            <w:tcW w:w="0" w:type="pct"/>
          </w:tcPr>
          <w:p w14:paraId="23A08906" w14:textId="2EA17A68" w:rsidR="006A3275" w:rsidRPr="002D468E" w:rsidRDefault="00905B79"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000147DC" w:rsidRPr="002D468E">
              <w:rPr>
                <w:rFonts w:asciiTheme="minorHAnsi" w:hAnsiTheme="minorHAnsi" w:cstheme="minorHAnsi"/>
                <w:color w:val="000000"/>
              </w:rPr>
              <w:t>3.5</w:t>
            </w:r>
          </w:p>
        </w:tc>
        <w:tc>
          <w:tcPr>
            <w:tcW w:w="0" w:type="pct"/>
          </w:tcPr>
          <w:p w14:paraId="60B57D39" w14:textId="53F53B22" w:rsidR="006A3275" w:rsidRPr="002D468E" w:rsidRDefault="00905B79"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000147DC" w:rsidRPr="002D468E">
              <w:rPr>
                <w:rFonts w:asciiTheme="minorHAnsi" w:hAnsiTheme="minorHAnsi" w:cstheme="minorHAnsi"/>
                <w:color w:val="000000"/>
              </w:rPr>
              <w:t>10.7</w:t>
            </w:r>
          </w:p>
        </w:tc>
      </w:tr>
      <w:tr w:rsidR="00905B79" w:rsidRPr="002D468E" w14:paraId="1E0261E4" w14:textId="77777777" w:rsidTr="00F63323">
        <w:tc>
          <w:tcPr>
            <w:tcW w:w="0" w:type="pct"/>
            <w:vMerge/>
          </w:tcPr>
          <w:p w14:paraId="52AEAA2B" w14:textId="77777777" w:rsidR="006A3275" w:rsidRPr="002D468E" w:rsidRDefault="006A3275" w:rsidP="006A3275">
            <w:pPr>
              <w:rPr>
                <w:rFonts w:asciiTheme="minorHAnsi" w:hAnsiTheme="minorHAnsi" w:cstheme="minorHAnsi"/>
              </w:rPr>
            </w:pPr>
          </w:p>
        </w:tc>
        <w:tc>
          <w:tcPr>
            <w:tcW w:w="0" w:type="pct"/>
          </w:tcPr>
          <w:p w14:paraId="11C3279D" w14:textId="39BD1B5F" w:rsidR="006A3275" w:rsidRPr="002D468E" w:rsidRDefault="006A3275" w:rsidP="006A3275">
            <w:pPr>
              <w:rPr>
                <w:rFonts w:asciiTheme="minorHAnsi" w:hAnsiTheme="minorHAnsi" w:cstheme="minorHAnsi"/>
              </w:rPr>
            </w:pPr>
            <w:r w:rsidRPr="002D468E">
              <w:rPr>
                <w:rFonts w:asciiTheme="minorHAnsi" w:hAnsiTheme="minorHAnsi" w:cstheme="minorHAnsi"/>
              </w:rPr>
              <w:t>Qualified applicants per vacancy (no.)</w:t>
            </w:r>
          </w:p>
        </w:tc>
        <w:tc>
          <w:tcPr>
            <w:tcW w:w="0" w:type="pct"/>
          </w:tcPr>
          <w:p w14:paraId="06D36C68" w14:textId="43AD4C16" w:rsidR="006A3275" w:rsidRPr="00F63323" w:rsidRDefault="000147DC" w:rsidP="002D468E">
            <w:pPr>
              <w:spacing w:after="0" w:line="240" w:lineRule="auto"/>
              <w:jc w:val="right"/>
              <w:rPr>
                <w:rFonts w:asciiTheme="minorHAnsi" w:hAnsiTheme="minorHAnsi" w:cstheme="minorHAnsi"/>
              </w:rPr>
            </w:pPr>
            <w:r w:rsidRPr="002D468E">
              <w:rPr>
                <w:rFonts w:asciiTheme="minorHAnsi" w:hAnsiTheme="minorHAnsi" w:cstheme="minorHAnsi"/>
                <w:color w:val="000000"/>
              </w:rPr>
              <w:t>9.4</w:t>
            </w:r>
          </w:p>
        </w:tc>
        <w:tc>
          <w:tcPr>
            <w:tcW w:w="0" w:type="pct"/>
          </w:tcPr>
          <w:p w14:paraId="77F2985C" w14:textId="6A4CD383" w:rsidR="006A3275" w:rsidRPr="00F63323" w:rsidRDefault="00905B79" w:rsidP="002D468E">
            <w:pPr>
              <w:spacing w:after="0" w:line="240" w:lineRule="auto"/>
              <w:jc w:val="right"/>
              <w:rPr>
                <w:rFonts w:asciiTheme="minorHAnsi" w:hAnsiTheme="minorHAnsi" w:cstheme="minorHAnsi"/>
              </w:rPr>
            </w:pPr>
            <w:r w:rsidRPr="002D468E">
              <w:rPr>
                <w:rFonts w:asciiTheme="minorHAnsi" w:hAnsiTheme="minorHAnsi" w:cstheme="minorHAnsi"/>
              </w:rPr>
              <w:t>↑</w:t>
            </w:r>
            <w:r w:rsidR="000147DC" w:rsidRPr="002D468E">
              <w:rPr>
                <w:rFonts w:asciiTheme="minorHAnsi" w:hAnsiTheme="minorHAnsi" w:cstheme="minorHAnsi"/>
                <w:color w:val="000000"/>
              </w:rPr>
              <w:t>1.0</w:t>
            </w:r>
          </w:p>
        </w:tc>
        <w:tc>
          <w:tcPr>
            <w:tcW w:w="0" w:type="pct"/>
          </w:tcPr>
          <w:p w14:paraId="30CC05AC" w14:textId="205B3B88" w:rsidR="006A3275" w:rsidRPr="00F63323" w:rsidRDefault="00905B79" w:rsidP="002D468E">
            <w:pPr>
              <w:spacing w:after="0" w:line="240" w:lineRule="auto"/>
              <w:jc w:val="right"/>
              <w:rPr>
                <w:rFonts w:asciiTheme="minorHAnsi" w:hAnsiTheme="minorHAnsi" w:cstheme="minorHAnsi"/>
              </w:rPr>
            </w:pPr>
            <w:r w:rsidRPr="002D468E">
              <w:rPr>
                <w:rFonts w:asciiTheme="minorHAnsi" w:hAnsiTheme="minorHAnsi" w:cstheme="minorHAnsi"/>
              </w:rPr>
              <w:t>↑</w:t>
            </w:r>
            <w:r w:rsidR="000147DC" w:rsidRPr="002D468E">
              <w:rPr>
                <w:rFonts w:asciiTheme="minorHAnsi" w:hAnsiTheme="minorHAnsi" w:cstheme="minorHAnsi"/>
                <w:color w:val="000000"/>
              </w:rPr>
              <w:t>3.8</w:t>
            </w:r>
          </w:p>
        </w:tc>
      </w:tr>
      <w:tr w:rsidR="00905B79" w:rsidRPr="002D468E" w14:paraId="0F92C968" w14:textId="77777777" w:rsidTr="00F63323">
        <w:trPr>
          <w:cnfStyle w:val="000000010000" w:firstRow="0" w:lastRow="0" w:firstColumn="0" w:lastColumn="0" w:oddVBand="0" w:evenVBand="0" w:oddHBand="0" w:evenHBand="1" w:firstRowFirstColumn="0" w:firstRowLastColumn="0" w:lastRowFirstColumn="0" w:lastRowLastColumn="0"/>
        </w:trPr>
        <w:tc>
          <w:tcPr>
            <w:tcW w:w="0" w:type="pct"/>
            <w:vMerge/>
          </w:tcPr>
          <w:p w14:paraId="5C722977" w14:textId="77777777" w:rsidR="006A3275" w:rsidRPr="002D468E" w:rsidRDefault="006A3275" w:rsidP="006A3275">
            <w:pPr>
              <w:rPr>
                <w:rFonts w:asciiTheme="minorHAnsi" w:hAnsiTheme="minorHAnsi" w:cstheme="minorHAnsi"/>
              </w:rPr>
            </w:pPr>
          </w:p>
        </w:tc>
        <w:tc>
          <w:tcPr>
            <w:tcW w:w="0" w:type="pct"/>
            <w:tcBorders>
              <w:bottom w:val="nil"/>
            </w:tcBorders>
          </w:tcPr>
          <w:p w14:paraId="22AD9891" w14:textId="26CFD5D8" w:rsidR="006A3275" w:rsidRPr="002D468E" w:rsidRDefault="006A3275" w:rsidP="006A3275">
            <w:pPr>
              <w:rPr>
                <w:rFonts w:asciiTheme="minorHAnsi" w:hAnsiTheme="minorHAnsi" w:cstheme="minorHAnsi"/>
              </w:rPr>
            </w:pPr>
            <w:r w:rsidRPr="002D468E">
              <w:rPr>
                <w:rFonts w:asciiTheme="minorHAnsi" w:hAnsiTheme="minorHAnsi" w:cstheme="minorHAnsi"/>
              </w:rPr>
              <w:t>Suitable applicants per vacancy (no.)</w:t>
            </w:r>
          </w:p>
        </w:tc>
        <w:tc>
          <w:tcPr>
            <w:tcW w:w="0" w:type="pct"/>
            <w:tcBorders>
              <w:bottom w:val="nil"/>
            </w:tcBorders>
          </w:tcPr>
          <w:p w14:paraId="78C2C073" w14:textId="67079C4E" w:rsidR="006A3275" w:rsidRPr="00F63323" w:rsidRDefault="000147DC" w:rsidP="002D468E">
            <w:pPr>
              <w:spacing w:after="0" w:line="240" w:lineRule="auto"/>
              <w:jc w:val="right"/>
              <w:rPr>
                <w:rFonts w:asciiTheme="minorHAnsi" w:hAnsiTheme="minorHAnsi" w:cstheme="minorHAnsi"/>
              </w:rPr>
            </w:pPr>
            <w:r w:rsidRPr="002D468E">
              <w:rPr>
                <w:rFonts w:asciiTheme="minorHAnsi" w:hAnsiTheme="minorHAnsi" w:cstheme="minorHAnsi"/>
                <w:color w:val="000000"/>
              </w:rPr>
              <w:t>3.4</w:t>
            </w:r>
          </w:p>
        </w:tc>
        <w:tc>
          <w:tcPr>
            <w:tcW w:w="0" w:type="pct"/>
            <w:tcBorders>
              <w:bottom w:val="nil"/>
            </w:tcBorders>
          </w:tcPr>
          <w:p w14:paraId="625DEA72" w14:textId="2A045C9D" w:rsidR="006A3275" w:rsidRPr="00F63323" w:rsidRDefault="00905B79" w:rsidP="002D468E">
            <w:pPr>
              <w:spacing w:after="0" w:line="240" w:lineRule="auto"/>
              <w:jc w:val="right"/>
              <w:rPr>
                <w:rFonts w:asciiTheme="minorHAnsi" w:hAnsiTheme="minorHAnsi" w:cstheme="minorHAnsi"/>
              </w:rPr>
            </w:pPr>
            <w:r w:rsidRPr="002D468E">
              <w:rPr>
                <w:rFonts w:asciiTheme="minorHAnsi" w:hAnsiTheme="minorHAnsi" w:cstheme="minorHAnsi"/>
              </w:rPr>
              <w:t>↑</w:t>
            </w:r>
            <w:r w:rsidR="000147DC" w:rsidRPr="002D468E">
              <w:rPr>
                <w:rFonts w:asciiTheme="minorHAnsi" w:hAnsiTheme="minorHAnsi" w:cstheme="minorHAnsi"/>
                <w:color w:val="000000"/>
              </w:rPr>
              <w:t>0.2</w:t>
            </w:r>
          </w:p>
        </w:tc>
        <w:tc>
          <w:tcPr>
            <w:tcW w:w="0" w:type="pct"/>
            <w:tcBorders>
              <w:bottom w:val="nil"/>
            </w:tcBorders>
          </w:tcPr>
          <w:p w14:paraId="47F7FC31" w14:textId="0461CBAE" w:rsidR="006A3275" w:rsidRPr="00F63323" w:rsidRDefault="00905B79" w:rsidP="002D468E">
            <w:pPr>
              <w:spacing w:after="0" w:line="240" w:lineRule="auto"/>
              <w:jc w:val="right"/>
              <w:rPr>
                <w:rFonts w:asciiTheme="minorHAnsi" w:hAnsiTheme="minorHAnsi" w:cstheme="minorHAnsi"/>
              </w:rPr>
            </w:pPr>
            <w:r w:rsidRPr="002D468E">
              <w:rPr>
                <w:rFonts w:asciiTheme="minorHAnsi" w:hAnsiTheme="minorHAnsi" w:cstheme="minorHAnsi"/>
              </w:rPr>
              <w:t>↑</w:t>
            </w:r>
            <w:r w:rsidR="000147DC" w:rsidRPr="002D468E">
              <w:rPr>
                <w:rFonts w:asciiTheme="minorHAnsi" w:hAnsiTheme="minorHAnsi" w:cstheme="minorHAnsi"/>
                <w:color w:val="000000"/>
              </w:rPr>
              <w:t>0.5</w:t>
            </w:r>
          </w:p>
        </w:tc>
      </w:tr>
      <w:tr w:rsidR="00905B79" w:rsidRPr="002D468E" w14:paraId="1D2AA583" w14:textId="77777777" w:rsidTr="00F63323">
        <w:tc>
          <w:tcPr>
            <w:tcW w:w="0" w:type="pct"/>
            <w:vMerge/>
          </w:tcPr>
          <w:p w14:paraId="0D4559F3" w14:textId="77777777" w:rsidR="006A3275" w:rsidRPr="002D468E" w:rsidRDefault="006A3275" w:rsidP="006A3275">
            <w:pPr>
              <w:rPr>
                <w:rFonts w:asciiTheme="minorHAnsi" w:hAnsiTheme="minorHAnsi" w:cstheme="minorHAnsi"/>
              </w:rPr>
            </w:pPr>
          </w:p>
        </w:tc>
        <w:tc>
          <w:tcPr>
            <w:tcW w:w="0" w:type="pct"/>
            <w:tcBorders>
              <w:bottom w:val="single" w:sz="4" w:space="0" w:color="auto"/>
            </w:tcBorders>
          </w:tcPr>
          <w:p w14:paraId="38987779" w14:textId="0E4B7A24" w:rsidR="006A3275" w:rsidRPr="002D468E" w:rsidRDefault="006A3275" w:rsidP="006A3275">
            <w:pPr>
              <w:rPr>
                <w:rFonts w:asciiTheme="minorHAnsi" w:hAnsiTheme="minorHAnsi" w:cstheme="minorHAnsi"/>
              </w:rPr>
            </w:pPr>
            <w:r w:rsidRPr="002D468E">
              <w:rPr>
                <w:rFonts w:asciiTheme="minorHAnsi" w:hAnsiTheme="minorHAnsi" w:cstheme="minorHAnsi"/>
              </w:rPr>
              <w:t>Suitability gap (%)</w:t>
            </w:r>
          </w:p>
        </w:tc>
        <w:tc>
          <w:tcPr>
            <w:tcW w:w="0" w:type="pct"/>
            <w:tcBorders>
              <w:bottom w:val="single" w:sz="4" w:space="0" w:color="auto"/>
            </w:tcBorders>
          </w:tcPr>
          <w:p w14:paraId="4C2C3FA3" w14:textId="486D4950" w:rsidR="006A3275" w:rsidRPr="002D468E" w:rsidRDefault="000147DC"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64.0%</w:t>
            </w:r>
          </w:p>
        </w:tc>
        <w:tc>
          <w:tcPr>
            <w:tcW w:w="0" w:type="pct"/>
            <w:tcBorders>
              <w:bottom w:val="single" w:sz="4" w:space="0" w:color="auto"/>
            </w:tcBorders>
          </w:tcPr>
          <w:p w14:paraId="58923285" w14:textId="2B9D4EBB" w:rsidR="006A3275" w:rsidRPr="002D468E" w:rsidRDefault="00905B79"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000147DC" w:rsidRPr="002D468E">
              <w:rPr>
                <w:rFonts w:asciiTheme="minorHAnsi" w:hAnsiTheme="minorHAnsi" w:cstheme="minorHAnsi"/>
                <w:color w:val="000000"/>
              </w:rPr>
              <w:t>1.6%</w:t>
            </w:r>
          </w:p>
        </w:tc>
        <w:tc>
          <w:tcPr>
            <w:tcW w:w="0" w:type="pct"/>
            <w:tcBorders>
              <w:bottom w:val="single" w:sz="4" w:space="0" w:color="auto"/>
            </w:tcBorders>
          </w:tcPr>
          <w:p w14:paraId="7BA8FE24" w14:textId="5D821077" w:rsidR="006A3275" w:rsidRPr="002D468E" w:rsidRDefault="00905B79" w:rsidP="002D468E">
            <w:pPr>
              <w:spacing w:after="0" w:line="240" w:lineRule="auto"/>
              <w:jc w:val="right"/>
              <w:rPr>
                <w:rFonts w:asciiTheme="minorHAnsi" w:hAnsiTheme="minorHAnsi" w:cstheme="minorHAnsi"/>
                <w:color w:val="000000"/>
              </w:rPr>
            </w:pPr>
            <w:r w:rsidRPr="002D468E">
              <w:rPr>
                <w:rFonts w:asciiTheme="minorHAnsi" w:hAnsiTheme="minorHAnsi" w:cstheme="minorHAnsi"/>
              </w:rPr>
              <w:t>↑</w:t>
            </w:r>
            <w:r w:rsidR="000147DC" w:rsidRPr="002D468E">
              <w:rPr>
                <w:rFonts w:asciiTheme="minorHAnsi" w:hAnsiTheme="minorHAnsi" w:cstheme="minorHAnsi"/>
                <w:color w:val="000000"/>
              </w:rPr>
              <w:t>15.0%</w:t>
            </w:r>
          </w:p>
        </w:tc>
      </w:tr>
      <w:tr w:rsidR="00905B79" w:rsidRPr="002D468E" w14:paraId="64AB8C40" w14:textId="77777777" w:rsidTr="00F63323">
        <w:trPr>
          <w:cnfStyle w:val="000000010000" w:firstRow="0" w:lastRow="0" w:firstColumn="0" w:lastColumn="0" w:oddVBand="0" w:evenVBand="0" w:oddHBand="0" w:evenHBand="1" w:firstRowFirstColumn="0" w:firstRowLastColumn="0" w:lastRowFirstColumn="0" w:lastRowLastColumn="0"/>
        </w:trPr>
        <w:tc>
          <w:tcPr>
            <w:tcW w:w="0" w:type="pct"/>
            <w:vMerge w:val="restart"/>
            <w:tcBorders>
              <w:top w:val="single" w:sz="4" w:space="0" w:color="auto"/>
            </w:tcBorders>
          </w:tcPr>
          <w:p w14:paraId="37002B38" w14:textId="77777777" w:rsidR="006A3275" w:rsidRPr="002D468E" w:rsidRDefault="006A3275" w:rsidP="006A3275">
            <w:pPr>
              <w:rPr>
                <w:rFonts w:asciiTheme="minorHAnsi" w:hAnsiTheme="minorHAnsi" w:cstheme="minorHAnsi"/>
              </w:rPr>
            </w:pPr>
          </w:p>
          <w:p w14:paraId="64E8D67A" w14:textId="77777777" w:rsidR="006A3275" w:rsidRPr="002D468E" w:rsidRDefault="006A3275" w:rsidP="006A3275">
            <w:pPr>
              <w:rPr>
                <w:rFonts w:asciiTheme="minorHAnsi" w:hAnsiTheme="minorHAnsi" w:cstheme="minorHAnsi"/>
              </w:rPr>
            </w:pPr>
          </w:p>
          <w:p w14:paraId="7B06687F" w14:textId="251D022A" w:rsidR="006A3275" w:rsidRPr="002D468E" w:rsidRDefault="006A3275" w:rsidP="006A3275">
            <w:pPr>
              <w:rPr>
                <w:rFonts w:asciiTheme="minorHAnsi" w:hAnsiTheme="minorHAnsi" w:cstheme="minorHAnsi"/>
              </w:rPr>
            </w:pPr>
            <w:r w:rsidRPr="002D468E">
              <w:rPr>
                <w:rFonts w:asciiTheme="minorHAnsi" w:hAnsiTheme="minorHAnsi" w:cstheme="minorHAnsi"/>
              </w:rPr>
              <w:t>Labourers</w:t>
            </w:r>
          </w:p>
        </w:tc>
        <w:tc>
          <w:tcPr>
            <w:tcW w:w="0" w:type="pct"/>
            <w:tcBorders>
              <w:top w:val="single" w:sz="4" w:space="0" w:color="auto"/>
            </w:tcBorders>
          </w:tcPr>
          <w:p w14:paraId="3FE3BDAF" w14:textId="349C0350" w:rsidR="006A3275" w:rsidRPr="002D468E" w:rsidRDefault="006A3275" w:rsidP="006A3275">
            <w:pPr>
              <w:rPr>
                <w:rFonts w:asciiTheme="minorHAnsi" w:hAnsiTheme="minorHAnsi" w:cstheme="minorHAnsi"/>
              </w:rPr>
            </w:pPr>
            <w:r w:rsidRPr="002D468E">
              <w:rPr>
                <w:rFonts w:asciiTheme="minorHAnsi" w:hAnsiTheme="minorHAnsi" w:cstheme="minorHAnsi"/>
              </w:rPr>
              <w:t>Vacancy fill rate (%)</w:t>
            </w:r>
          </w:p>
        </w:tc>
        <w:tc>
          <w:tcPr>
            <w:tcW w:w="0" w:type="pct"/>
            <w:tcBorders>
              <w:top w:val="single" w:sz="4" w:space="0" w:color="auto"/>
            </w:tcBorders>
          </w:tcPr>
          <w:p w14:paraId="1EF0ABA2" w14:textId="7E35BA09" w:rsidR="006A3275" w:rsidRPr="002D468E" w:rsidRDefault="000147DC"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56.6%</w:t>
            </w:r>
          </w:p>
        </w:tc>
        <w:tc>
          <w:tcPr>
            <w:tcW w:w="0" w:type="pct"/>
            <w:tcBorders>
              <w:top w:val="single" w:sz="4" w:space="0" w:color="auto"/>
            </w:tcBorders>
          </w:tcPr>
          <w:p w14:paraId="11F51D27" w14:textId="55D09D83" w:rsidR="006A3275" w:rsidRPr="002D468E" w:rsidRDefault="00905B79"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w:t>
            </w:r>
            <w:r w:rsidR="000147DC" w:rsidRPr="002D468E">
              <w:rPr>
                <w:rFonts w:asciiTheme="minorHAnsi" w:hAnsiTheme="minorHAnsi" w:cstheme="minorHAnsi"/>
                <w:color w:val="000000"/>
              </w:rPr>
              <w:t>-0.9%</w:t>
            </w:r>
          </w:p>
        </w:tc>
        <w:tc>
          <w:tcPr>
            <w:tcW w:w="0" w:type="pct"/>
            <w:tcBorders>
              <w:top w:val="single" w:sz="4" w:space="0" w:color="auto"/>
            </w:tcBorders>
          </w:tcPr>
          <w:p w14:paraId="036C1699" w14:textId="5FDA45B2" w:rsidR="006A3275" w:rsidRPr="002D468E" w:rsidRDefault="000147DC"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1.6%</w:t>
            </w:r>
          </w:p>
        </w:tc>
      </w:tr>
      <w:tr w:rsidR="00905B79" w:rsidRPr="002D468E" w14:paraId="498DA3B4" w14:textId="77777777" w:rsidTr="00F63323">
        <w:tc>
          <w:tcPr>
            <w:tcW w:w="0" w:type="pct"/>
            <w:vMerge/>
          </w:tcPr>
          <w:p w14:paraId="24305495" w14:textId="77777777" w:rsidR="006A3275" w:rsidRPr="002D468E" w:rsidRDefault="006A3275" w:rsidP="006A3275">
            <w:pPr>
              <w:rPr>
                <w:rFonts w:asciiTheme="minorHAnsi" w:hAnsiTheme="minorHAnsi" w:cstheme="minorHAnsi"/>
              </w:rPr>
            </w:pPr>
          </w:p>
        </w:tc>
        <w:tc>
          <w:tcPr>
            <w:tcW w:w="0" w:type="pct"/>
          </w:tcPr>
          <w:p w14:paraId="6D29B018" w14:textId="6037ECDA" w:rsidR="006A3275" w:rsidRPr="002D468E" w:rsidRDefault="006A3275" w:rsidP="006A3275">
            <w:pPr>
              <w:rPr>
                <w:rFonts w:asciiTheme="minorHAnsi" w:hAnsiTheme="minorHAnsi" w:cstheme="minorHAnsi"/>
              </w:rPr>
            </w:pPr>
            <w:r w:rsidRPr="002D468E">
              <w:rPr>
                <w:rFonts w:asciiTheme="minorHAnsi" w:hAnsiTheme="minorHAnsi" w:cstheme="minorHAnsi"/>
              </w:rPr>
              <w:t>Applicants per vacancy (no.)</w:t>
            </w:r>
          </w:p>
        </w:tc>
        <w:tc>
          <w:tcPr>
            <w:tcW w:w="0" w:type="pct"/>
          </w:tcPr>
          <w:p w14:paraId="73556BFF" w14:textId="36CF811E" w:rsidR="006A3275" w:rsidRPr="00F63323" w:rsidRDefault="000147DC" w:rsidP="002D468E">
            <w:pPr>
              <w:spacing w:after="0" w:line="240" w:lineRule="auto"/>
              <w:jc w:val="right"/>
              <w:rPr>
                <w:rFonts w:asciiTheme="minorHAnsi" w:hAnsiTheme="minorHAnsi" w:cstheme="minorHAnsi"/>
              </w:rPr>
            </w:pPr>
            <w:r w:rsidRPr="002D468E">
              <w:rPr>
                <w:rFonts w:asciiTheme="minorHAnsi" w:hAnsiTheme="minorHAnsi" w:cstheme="minorHAnsi"/>
                <w:color w:val="000000"/>
              </w:rPr>
              <w:t>10.2</w:t>
            </w:r>
          </w:p>
        </w:tc>
        <w:tc>
          <w:tcPr>
            <w:tcW w:w="0" w:type="pct"/>
          </w:tcPr>
          <w:p w14:paraId="2F1D0967" w14:textId="51992A7F" w:rsidR="006A3275" w:rsidRPr="00F63323" w:rsidRDefault="00905B79" w:rsidP="002D468E">
            <w:pPr>
              <w:spacing w:after="0" w:line="240" w:lineRule="auto"/>
              <w:jc w:val="right"/>
              <w:rPr>
                <w:rFonts w:asciiTheme="minorHAnsi" w:hAnsiTheme="minorHAnsi" w:cstheme="minorHAnsi"/>
              </w:rPr>
            </w:pPr>
            <w:r w:rsidRPr="002D468E">
              <w:rPr>
                <w:rFonts w:asciiTheme="minorHAnsi" w:hAnsiTheme="minorHAnsi" w:cstheme="minorHAnsi"/>
              </w:rPr>
              <w:t>↑</w:t>
            </w:r>
            <w:r w:rsidR="000147DC" w:rsidRPr="002D468E">
              <w:rPr>
                <w:rFonts w:asciiTheme="minorHAnsi" w:hAnsiTheme="minorHAnsi" w:cstheme="minorHAnsi"/>
                <w:color w:val="000000"/>
              </w:rPr>
              <w:t>1.8</w:t>
            </w:r>
          </w:p>
        </w:tc>
        <w:tc>
          <w:tcPr>
            <w:tcW w:w="0" w:type="pct"/>
          </w:tcPr>
          <w:p w14:paraId="07FE8053" w14:textId="7C0038BA" w:rsidR="006A3275" w:rsidRPr="00F63323" w:rsidRDefault="00905B79" w:rsidP="002D468E">
            <w:pPr>
              <w:spacing w:after="0" w:line="240" w:lineRule="auto"/>
              <w:jc w:val="right"/>
              <w:rPr>
                <w:rFonts w:asciiTheme="minorHAnsi" w:hAnsiTheme="minorHAnsi" w:cstheme="minorHAnsi"/>
              </w:rPr>
            </w:pPr>
            <w:r w:rsidRPr="002D468E">
              <w:rPr>
                <w:rFonts w:asciiTheme="minorHAnsi" w:hAnsiTheme="minorHAnsi" w:cstheme="minorHAnsi"/>
              </w:rPr>
              <w:t>↑</w:t>
            </w:r>
            <w:r w:rsidR="000147DC" w:rsidRPr="002D468E">
              <w:rPr>
                <w:rFonts w:asciiTheme="minorHAnsi" w:hAnsiTheme="minorHAnsi" w:cstheme="minorHAnsi"/>
                <w:color w:val="000000"/>
              </w:rPr>
              <w:t>4.0</w:t>
            </w:r>
          </w:p>
        </w:tc>
      </w:tr>
      <w:tr w:rsidR="00905B79" w:rsidRPr="002D468E" w14:paraId="39549320" w14:textId="77777777" w:rsidTr="00F63323">
        <w:trPr>
          <w:cnfStyle w:val="000000010000" w:firstRow="0" w:lastRow="0" w:firstColumn="0" w:lastColumn="0" w:oddVBand="0" w:evenVBand="0" w:oddHBand="0" w:evenHBand="1" w:firstRowFirstColumn="0" w:firstRowLastColumn="0" w:lastRowFirstColumn="0" w:lastRowLastColumn="0"/>
        </w:trPr>
        <w:tc>
          <w:tcPr>
            <w:tcW w:w="0" w:type="pct"/>
            <w:vMerge/>
          </w:tcPr>
          <w:p w14:paraId="59CE0908" w14:textId="77777777" w:rsidR="006A3275" w:rsidRPr="002D468E" w:rsidRDefault="006A3275" w:rsidP="006A3275">
            <w:pPr>
              <w:rPr>
                <w:rFonts w:asciiTheme="minorHAnsi" w:hAnsiTheme="minorHAnsi" w:cstheme="minorHAnsi"/>
              </w:rPr>
            </w:pPr>
          </w:p>
        </w:tc>
        <w:tc>
          <w:tcPr>
            <w:tcW w:w="0" w:type="pct"/>
          </w:tcPr>
          <w:p w14:paraId="503D4D2D" w14:textId="5C864A66" w:rsidR="006A3275" w:rsidRPr="002D468E" w:rsidRDefault="006A3275" w:rsidP="006A3275">
            <w:pPr>
              <w:rPr>
                <w:rFonts w:asciiTheme="minorHAnsi" w:hAnsiTheme="minorHAnsi" w:cstheme="minorHAnsi"/>
              </w:rPr>
            </w:pPr>
            <w:r w:rsidRPr="002D468E">
              <w:rPr>
                <w:rFonts w:asciiTheme="minorHAnsi" w:hAnsiTheme="minorHAnsi" w:cstheme="minorHAnsi"/>
              </w:rPr>
              <w:t>Qualified applicants per vacancy (no.)</w:t>
            </w:r>
          </w:p>
        </w:tc>
        <w:tc>
          <w:tcPr>
            <w:tcW w:w="0" w:type="pct"/>
          </w:tcPr>
          <w:p w14:paraId="5AC685F2" w14:textId="2F8D3BAC" w:rsidR="006A3275" w:rsidRPr="00F63323" w:rsidRDefault="000147DC" w:rsidP="002D468E">
            <w:pPr>
              <w:spacing w:after="0" w:line="240" w:lineRule="auto"/>
              <w:jc w:val="right"/>
              <w:rPr>
                <w:rFonts w:asciiTheme="minorHAnsi" w:hAnsiTheme="minorHAnsi" w:cstheme="minorHAnsi"/>
              </w:rPr>
            </w:pPr>
            <w:r w:rsidRPr="002D468E">
              <w:rPr>
                <w:rFonts w:asciiTheme="minorHAnsi" w:hAnsiTheme="minorHAnsi" w:cstheme="minorHAnsi"/>
                <w:color w:val="000000"/>
              </w:rPr>
              <w:t>3.1</w:t>
            </w:r>
          </w:p>
        </w:tc>
        <w:tc>
          <w:tcPr>
            <w:tcW w:w="0" w:type="pct"/>
          </w:tcPr>
          <w:p w14:paraId="0D0D8383" w14:textId="5836F1F3" w:rsidR="006A3275" w:rsidRPr="00F63323" w:rsidRDefault="00905B79" w:rsidP="002D468E">
            <w:pPr>
              <w:spacing w:after="0" w:line="240" w:lineRule="auto"/>
              <w:jc w:val="right"/>
              <w:rPr>
                <w:rFonts w:asciiTheme="minorHAnsi" w:hAnsiTheme="minorHAnsi" w:cstheme="minorHAnsi"/>
              </w:rPr>
            </w:pPr>
            <w:r w:rsidRPr="002D468E">
              <w:rPr>
                <w:rFonts w:asciiTheme="minorHAnsi" w:hAnsiTheme="minorHAnsi" w:cstheme="minorHAnsi"/>
                <w:color w:val="000000"/>
              </w:rPr>
              <w:t>↓</w:t>
            </w:r>
            <w:r w:rsidR="000147DC" w:rsidRPr="002D468E">
              <w:rPr>
                <w:rFonts w:asciiTheme="minorHAnsi" w:hAnsiTheme="minorHAnsi" w:cstheme="minorHAnsi"/>
                <w:color w:val="000000"/>
              </w:rPr>
              <w:t>-0.1</w:t>
            </w:r>
          </w:p>
        </w:tc>
        <w:tc>
          <w:tcPr>
            <w:tcW w:w="0" w:type="pct"/>
          </w:tcPr>
          <w:p w14:paraId="5A7AEFF6" w14:textId="74BAFE5C" w:rsidR="006A3275" w:rsidRPr="00F63323" w:rsidRDefault="00905B79" w:rsidP="00F63323">
            <w:pPr>
              <w:tabs>
                <w:tab w:val="left" w:pos="1428"/>
              </w:tabs>
              <w:jc w:val="right"/>
              <w:rPr>
                <w:rFonts w:asciiTheme="minorHAnsi" w:hAnsiTheme="minorHAnsi" w:cstheme="minorHAnsi"/>
              </w:rPr>
            </w:pPr>
            <w:r w:rsidRPr="002D468E">
              <w:rPr>
                <w:rFonts w:asciiTheme="minorHAnsi" w:hAnsiTheme="minorHAnsi" w:cstheme="minorHAnsi"/>
              </w:rPr>
              <w:t xml:space="preserve">                 ↑</w:t>
            </w:r>
            <w:r w:rsidR="000147DC" w:rsidRPr="002D468E">
              <w:rPr>
                <w:rFonts w:asciiTheme="minorHAnsi" w:hAnsiTheme="minorHAnsi" w:cstheme="minorHAnsi"/>
                <w:color w:val="000000"/>
              </w:rPr>
              <w:t>0.6</w:t>
            </w:r>
          </w:p>
        </w:tc>
      </w:tr>
      <w:tr w:rsidR="00905B79" w:rsidRPr="002D468E" w14:paraId="3593A98B" w14:textId="77777777" w:rsidTr="00F63323">
        <w:tc>
          <w:tcPr>
            <w:tcW w:w="0" w:type="pct"/>
            <w:vMerge/>
          </w:tcPr>
          <w:p w14:paraId="7C9CF588" w14:textId="77777777" w:rsidR="006A3275" w:rsidRPr="002D468E" w:rsidRDefault="006A3275" w:rsidP="006A3275">
            <w:pPr>
              <w:rPr>
                <w:rFonts w:asciiTheme="minorHAnsi" w:hAnsiTheme="minorHAnsi" w:cstheme="minorHAnsi"/>
              </w:rPr>
            </w:pPr>
          </w:p>
        </w:tc>
        <w:tc>
          <w:tcPr>
            <w:tcW w:w="0" w:type="pct"/>
          </w:tcPr>
          <w:p w14:paraId="2C846A7A" w14:textId="26E117C7" w:rsidR="006A3275" w:rsidRPr="002D468E" w:rsidRDefault="006A3275" w:rsidP="006A3275">
            <w:pPr>
              <w:rPr>
                <w:rFonts w:asciiTheme="minorHAnsi" w:hAnsiTheme="minorHAnsi" w:cstheme="minorHAnsi"/>
              </w:rPr>
            </w:pPr>
            <w:r w:rsidRPr="002D468E">
              <w:rPr>
                <w:rFonts w:asciiTheme="minorHAnsi" w:hAnsiTheme="minorHAnsi" w:cstheme="minorHAnsi"/>
              </w:rPr>
              <w:t>Suitable applicants per vacancy (no.)</w:t>
            </w:r>
          </w:p>
        </w:tc>
        <w:tc>
          <w:tcPr>
            <w:tcW w:w="0" w:type="pct"/>
          </w:tcPr>
          <w:p w14:paraId="6EF59EC3" w14:textId="4EECE785" w:rsidR="006A3275" w:rsidRPr="00F63323" w:rsidRDefault="000147DC" w:rsidP="002D468E">
            <w:pPr>
              <w:spacing w:after="0" w:line="240" w:lineRule="auto"/>
              <w:jc w:val="right"/>
              <w:rPr>
                <w:rFonts w:asciiTheme="minorHAnsi" w:hAnsiTheme="minorHAnsi" w:cstheme="minorHAnsi"/>
              </w:rPr>
            </w:pPr>
            <w:r w:rsidRPr="002D468E">
              <w:rPr>
                <w:rFonts w:asciiTheme="minorHAnsi" w:hAnsiTheme="minorHAnsi" w:cstheme="minorHAnsi"/>
                <w:color w:val="000000"/>
              </w:rPr>
              <w:t>2.0</w:t>
            </w:r>
          </w:p>
        </w:tc>
        <w:tc>
          <w:tcPr>
            <w:tcW w:w="0" w:type="pct"/>
          </w:tcPr>
          <w:p w14:paraId="5FD893E0" w14:textId="717AB6E6" w:rsidR="006A3275" w:rsidRPr="00F63323" w:rsidRDefault="00905B79" w:rsidP="002D468E">
            <w:pPr>
              <w:spacing w:after="0" w:line="240" w:lineRule="auto"/>
              <w:jc w:val="right"/>
              <w:rPr>
                <w:rFonts w:asciiTheme="minorHAnsi" w:hAnsiTheme="minorHAnsi" w:cstheme="minorHAnsi"/>
              </w:rPr>
            </w:pPr>
            <w:r w:rsidRPr="002D468E">
              <w:rPr>
                <w:rFonts w:asciiTheme="minorHAnsi" w:hAnsiTheme="minorHAnsi" w:cstheme="minorHAnsi"/>
              </w:rPr>
              <w:t>↑</w:t>
            </w:r>
            <w:r w:rsidR="000147DC" w:rsidRPr="002D468E">
              <w:rPr>
                <w:rFonts w:asciiTheme="minorHAnsi" w:hAnsiTheme="minorHAnsi" w:cstheme="minorHAnsi"/>
                <w:color w:val="000000"/>
              </w:rPr>
              <w:t>0.2</w:t>
            </w:r>
          </w:p>
        </w:tc>
        <w:tc>
          <w:tcPr>
            <w:tcW w:w="0" w:type="pct"/>
          </w:tcPr>
          <w:p w14:paraId="12ADEE17" w14:textId="0BC790BE" w:rsidR="006A3275" w:rsidRPr="00F63323" w:rsidRDefault="00905B79" w:rsidP="002D468E">
            <w:pPr>
              <w:spacing w:after="0" w:line="240" w:lineRule="auto"/>
              <w:jc w:val="right"/>
              <w:rPr>
                <w:rFonts w:asciiTheme="minorHAnsi" w:hAnsiTheme="minorHAnsi" w:cstheme="minorHAnsi"/>
              </w:rPr>
            </w:pPr>
            <w:r w:rsidRPr="002D468E">
              <w:rPr>
                <w:rFonts w:asciiTheme="minorHAnsi" w:hAnsiTheme="minorHAnsi" w:cstheme="minorHAnsi"/>
              </w:rPr>
              <w:t>↑</w:t>
            </w:r>
            <w:r w:rsidR="000147DC" w:rsidRPr="002D468E">
              <w:rPr>
                <w:rFonts w:asciiTheme="minorHAnsi" w:hAnsiTheme="minorHAnsi" w:cstheme="minorHAnsi"/>
                <w:color w:val="000000"/>
              </w:rPr>
              <w:t>0.6</w:t>
            </w:r>
          </w:p>
        </w:tc>
      </w:tr>
      <w:tr w:rsidR="00905B79" w:rsidRPr="002D468E" w14:paraId="035E6C0F" w14:textId="77777777" w:rsidTr="00F63323">
        <w:trPr>
          <w:cnfStyle w:val="000000010000" w:firstRow="0" w:lastRow="0" w:firstColumn="0" w:lastColumn="0" w:oddVBand="0" w:evenVBand="0" w:oddHBand="0" w:evenHBand="1" w:firstRowFirstColumn="0" w:firstRowLastColumn="0" w:lastRowFirstColumn="0" w:lastRowLastColumn="0"/>
        </w:trPr>
        <w:tc>
          <w:tcPr>
            <w:tcW w:w="0" w:type="pct"/>
            <w:vMerge/>
          </w:tcPr>
          <w:p w14:paraId="7CDC1461" w14:textId="77777777" w:rsidR="006A3275" w:rsidRPr="002D468E" w:rsidRDefault="006A3275" w:rsidP="006A3275">
            <w:pPr>
              <w:rPr>
                <w:rFonts w:asciiTheme="minorHAnsi" w:hAnsiTheme="minorHAnsi" w:cstheme="minorHAnsi"/>
              </w:rPr>
            </w:pPr>
          </w:p>
        </w:tc>
        <w:tc>
          <w:tcPr>
            <w:tcW w:w="0" w:type="pct"/>
          </w:tcPr>
          <w:p w14:paraId="2206DA1B" w14:textId="2459F646" w:rsidR="006A3275" w:rsidRPr="002D468E" w:rsidRDefault="006A3275" w:rsidP="006A3275">
            <w:pPr>
              <w:rPr>
                <w:rFonts w:asciiTheme="minorHAnsi" w:hAnsiTheme="minorHAnsi" w:cstheme="minorHAnsi"/>
              </w:rPr>
            </w:pPr>
            <w:r w:rsidRPr="002D468E">
              <w:rPr>
                <w:rFonts w:asciiTheme="minorHAnsi" w:hAnsiTheme="minorHAnsi" w:cstheme="minorHAnsi"/>
              </w:rPr>
              <w:t>Suitability gap (%)</w:t>
            </w:r>
          </w:p>
        </w:tc>
        <w:tc>
          <w:tcPr>
            <w:tcW w:w="0" w:type="pct"/>
          </w:tcPr>
          <w:p w14:paraId="7BEA03DD" w14:textId="23B3B349" w:rsidR="006A3275" w:rsidRPr="002D468E" w:rsidRDefault="000147DC"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35.5%</w:t>
            </w:r>
          </w:p>
        </w:tc>
        <w:tc>
          <w:tcPr>
            <w:tcW w:w="0" w:type="pct"/>
          </w:tcPr>
          <w:p w14:paraId="5BA32F1E" w14:textId="4BD9F000" w:rsidR="006A3275" w:rsidRPr="002D468E" w:rsidRDefault="00905B79"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w:t>
            </w:r>
            <w:r w:rsidR="000147DC" w:rsidRPr="002D468E">
              <w:rPr>
                <w:rFonts w:asciiTheme="minorHAnsi" w:hAnsiTheme="minorHAnsi" w:cstheme="minorHAnsi"/>
                <w:color w:val="000000"/>
              </w:rPr>
              <w:t>-8.2%</w:t>
            </w:r>
          </w:p>
        </w:tc>
        <w:tc>
          <w:tcPr>
            <w:tcW w:w="0" w:type="pct"/>
          </w:tcPr>
          <w:p w14:paraId="1E53793A" w14:textId="6F4C5483" w:rsidR="006A3275" w:rsidRPr="002D468E" w:rsidRDefault="000147DC" w:rsidP="002D468E">
            <w:pPr>
              <w:spacing w:after="0" w:line="240" w:lineRule="auto"/>
              <w:jc w:val="right"/>
              <w:rPr>
                <w:rFonts w:asciiTheme="minorHAnsi" w:hAnsiTheme="minorHAnsi" w:cstheme="minorHAnsi"/>
                <w:color w:val="000000"/>
              </w:rPr>
            </w:pPr>
            <w:r w:rsidRPr="002D468E">
              <w:rPr>
                <w:rFonts w:asciiTheme="minorHAnsi" w:hAnsiTheme="minorHAnsi" w:cstheme="minorHAnsi"/>
                <w:color w:val="000000"/>
              </w:rPr>
              <w:t>-6.0%</w:t>
            </w:r>
          </w:p>
        </w:tc>
      </w:tr>
    </w:tbl>
    <w:p w14:paraId="5EFDBB45" w14:textId="76851E33" w:rsidR="00FD13BA" w:rsidRDefault="00ED34D4" w:rsidP="00EC2238">
      <w:pPr>
        <w:pStyle w:val="Source"/>
      </w:pPr>
      <w:r w:rsidRPr="00975843">
        <w:t>Source: Jobs and Skills Australia, Survey of Employers who Recently Advertised</w:t>
      </w:r>
    </w:p>
    <w:p w14:paraId="289F079C" w14:textId="4E9516B4" w:rsidR="007C582A" w:rsidRDefault="00ED34D4" w:rsidP="00ED34D4">
      <w:r>
        <w:t xml:space="preserve">In </w:t>
      </w:r>
      <w:r w:rsidR="00A02E9C">
        <w:t xml:space="preserve">June quarter 2024 </w:t>
      </w:r>
      <w:r w:rsidR="007C582A">
        <w:t>and over the past 12 months</w:t>
      </w:r>
      <w:r>
        <w:t>,</w:t>
      </w:r>
      <w:r w:rsidR="001C4ED0">
        <w:t xml:space="preserve"> the</w:t>
      </w:r>
      <w:r>
        <w:t xml:space="preserve"> fill rates </w:t>
      </w:r>
      <w:r w:rsidR="00C1762B">
        <w:t xml:space="preserve">and the </w:t>
      </w:r>
      <w:r w:rsidR="00367CB8">
        <w:t xml:space="preserve">total, qualified and suitable applicants </w:t>
      </w:r>
      <w:r w:rsidR="00C1762B">
        <w:t xml:space="preserve">per </w:t>
      </w:r>
      <w:r w:rsidR="00367CB8">
        <w:t xml:space="preserve">vacancies </w:t>
      </w:r>
      <w:r>
        <w:t>improved</w:t>
      </w:r>
      <w:r w:rsidR="00982C33">
        <w:t>, generally</w:t>
      </w:r>
      <w:r w:rsidR="00134407">
        <w:t>.</w:t>
      </w:r>
      <w:r w:rsidR="00982C33">
        <w:t xml:space="preserve"> However, </w:t>
      </w:r>
      <w:bookmarkStart w:id="24" w:name="_Hlk173246741"/>
      <w:r w:rsidR="00982C33">
        <w:t xml:space="preserve">for </w:t>
      </w:r>
      <w:r w:rsidR="00C47077">
        <w:t>Sales Workers</w:t>
      </w:r>
      <w:r w:rsidR="00982C33">
        <w:t xml:space="preserve">, </w:t>
      </w:r>
      <w:r w:rsidR="007C582A">
        <w:t>t</w:t>
      </w:r>
      <w:r w:rsidR="009A007D">
        <w:t xml:space="preserve">he </w:t>
      </w:r>
      <w:r w:rsidR="00C47077">
        <w:t>fill rate</w:t>
      </w:r>
      <w:r w:rsidR="005547CE">
        <w:t xml:space="preserve"> </w:t>
      </w:r>
      <w:r w:rsidR="009A007D">
        <w:t xml:space="preserve">fell by around 1 percentage point </w:t>
      </w:r>
      <w:r w:rsidR="00A02E9C">
        <w:t xml:space="preserve">in the current quarter </w:t>
      </w:r>
      <w:r w:rsidR="008C4BB7">
        <w:t>and over the year</w:t>
      </w:r>
      <w:r w:rsidR="004979E9">
        <w:t xml:space="preserve"> </w:t>
      </w:r>
      <w:bookmarkEnd w:id="24"/>
      <w:r w:rsidR="005547CE">
        <w:t>(</w:t>
      </w:r>
      <w:r w:rsidR="00F31C3B">
        <w:fldChar w:fldCharType="begin"/>
      </w:r>
      <w:r w:rsidR="00F31C3B">
        <w:instrText xml:space="preserve"> REF _Ref173249903 \h </w:instrText>
      </w:r>
      <w:r w:rsidR="00F31C3B">
        <w:fldChar w:fldCharType="separate"/>
      </w:r>
      <w:r w:rsidR="00245DC9">
        <w:t xml:space="preserve">Table </w:t>
      </w:r>
      <w:r w:rsidR="00245DC9">
        <w:rPr>
          <w:noProof/>
        </w:rPr>
        <w:t>4</w:t>
      </w:r>
      <w:r w:rsidR="00F31C3B">
        <w:fldChar w:fldCharType="end"/>
      </w:r>
      <w:r w:rsidR="005547CE">
        <w:t>)</w:t>
      </w:r>
      <w:r>
        <w:t xml:space="preserve">. </w:t>
      </w:r>
    </w:p>
    <w:p w14:paraId="5B8E07B8" w14:textId="4F26ED1F" w:rsidR="0063680D" w:rsidRDefault="00ED34D4" w:rsidP="00ED34D4">
      <w:r>
        <w:t xml:space="preserve">The largest improvements </w:t>
      </w:r>
      <w:r w:rsidR="0063680D">
        <w:t xml:space="preserve">in </w:t>
      </w:r>
      <w:r w:rsidR="00DA1FA6">
        <w:t xml:space="preserve">the quarter </w:t>
      </w:r>
      <w:r>
        <w:t xml:space="preserve">have been for </w:t>
      </w:r>
      <w:r w:rsidR="005547CE">
        <w:t xml:space="preserve">Managers and </w:t>
      </w:r>
      <w:r w:rsidR="005547CE" w:rsidRPr="005547CE">
        <w:t>Technicians and Trades Workers</w:t>
      </w:r>
      <w:r>
        <w:t>, where the fill rates have increase by 2.</w:t>
      </w:r>
      <w:r w:rsidR="005547CE">
        <w:t>4</w:t>
      </w:r>
      <w:r>
        <w:t xml:space="preserve"> and </w:t>
      </w:r>
      <w:r w:rsidR="005547CE">
        <w:t>2.2</w:t>
      </w:r>
      <w:r>
        <w:t xml:space="preserve"> percentage points over the quarter, respectively. </w:t>
      </w:r>
    </w:p>
    <w:p w14:paraId="60EC7F84" w14:textId="1B334110" w:rsidR="0063680D" w:rsidRDefault="001728D6" w:rsidP="00ED34D4">
      <w:r>
        <w:lastRenderedPageBreak/>
        <w:t xml:space="preserve">Over the past 12 months, </w:t>
      </w:r>
      <w:r w:rsidR="00CC280E">
        <w:t xml:space="preserve">Community and Personal Services Workers, Clerical and Administrative Workers, and </w:t>
      </w:r>
      <w:r w:rsidR="006B63A2">
        <w:t xml:space="preserve">Machinery Operators and Drivers, </w:t>
      </w:r>
      <w:r w:rsidR="00CC280E">
        <w:t xml:space="preserve">had the </w:t>
      </w:r>
      <w:r>
        <w:t>largest improvements in fill rates</w:t>
      </w:r>
      <w:r w:rsidR="00CC280E">
        <w:t>.</w:t>
      </w:r>
      <w:r>
        <w:t xml:space="preserve"> </w:t>
      </w:r>
    </w:p>
    <w:p w14:paraId="5CC708CC" w14:textId="209866D8" w:rsidR="00ED34D4" w:rsidRDefault="00733E0C" w:rsidP="00ED34D4">
      <w:bookmarkStart w:id="25" w:name="_Hlk173246255"/>
      <w:r>
        <w:t>T</w:t>
      </w:r>
      <w:r w:rsidR="009532F6" w:rsidRPr="009532F6">
        <w:t>he fill rate</w:t>
      </w:r>
      <w:r w:rsidR="009532F6">
        <w:t xml:space="preserve"> </w:t>
      </w:r>
      <w:r w:rsidR="009532F6" w:rsidRPr="009532F6">
        <w:t>for Technicians and Trades Workers</w:t>
      </w:r>
      <w:r w:rsidR="003B0993">
        <w:t>,</w:t>
      </w:r>
      <w:r w:rsidR="009532F6" w:rsidRPr="009532F6">
        <w:t xml:space="preserve"> </w:t>
      </w:r>
      <w:r w:rsidR="00507A51">
        <w:t>at</w:t>
      </w:r>
      <w:r w:rsidR="009532F6">
        <w:t xml:space="preserve"> 51.9%</w:t>
      </w:r>
      <w:r w:rsidR="003B0993">
        <w:t>,</w:t>
      </w:r>
      <w:r w:rsidR="009532F6">
        <w:t xml:space="preserve"> </w:t>
      </w:r>
      <w:r w:rsidR="009532F6" w:rsidRPr="009532F6">
        <w:t>remains</w:t>
      </w:r>
      <w:r w:rsidR="00D047BD">
        <w:t xml:space="preserve"> </w:t>
      </w:r>
      <w:r w:rsidR="009532F6" w:rsidRPr="009532F6">
        <w:t>the lowest of all major group</w:t>
      </w:r>
      <w:r>
        <w:t>s. This</w:t>
      </w:r>
      <w:r w:rsidR="009532F6">
        <w:t xml:space="preserve"> </w:t>
      </w:r>
      <w:r w:rsidR="009532F6" w:rsidRPr="009532F6">
        <w:t>indicate</w:t>
      </w:r>
      <w:r>
        <w:t>s acute</w:t>
      </w:r>
      <w:r w:rsidR="009532F6" w:rsidRPr="009532F6">
        <w:t xml:space="preserve"> shortage pressures for occupations within this </w:t>
      </w:r>
      <w:r>
        <w:t>major group.</w:t>
      </w:r>
    </w:p>
    <w:bookmarkEnd w:id="25"/>
    <w:p w14:paraId="68542F06" w14:textId="44BEF9C5" w:rsidR="00ED34D4" w:rsidRDefault="009532F6" w:rsidP="00ED34D4">
      <w:r>
        <w:t>The fill rate</w:t>
      </w:r>
      <w:r w:rsidR="00507A51">
        <w:t>s</w:t>
      </w:r>
      <w:r>
        <w:t xml:space="preserve"> for Managers and Clerical and Administrative Workers remain high</w:t>
      </w:r>
      <w:r w:rsidR="003B0993">
        <w:t>,</w:t>
      </w:r>
      <w:r>
        <w:t xml:space="preserve"> </w:t>
      </w:r>
      <w:r w:rsidR="00327EBD">
        <w:t xml:space="preserve">at above </w:t>
      </w:r>
      <w:r>
        <w:t>80% in recent quarters.</w:t>
      </w:r>
    </w:p>
    <w:p w14:paraId="7CE65CDE" w14:textId="77777777" w:rsidR="00350099" w:rsidRDefault="00350099" w:rsidP="00ED34D4"/>
    <w:p w14:paraId="05E46A88" w14:textId="2F9B0668" w:rsidR="00B23D6D" w:rsidRPr="000D7557" w:rsidRDefault="00FD13BA">
      <w:pPr>
        <w:spacing w:after="160" w:line="259" w:lineRule="auto"/>
        <w:rPr>
          <w:rFonts w:eastAsiaTheme="majorEastAsia" w:cstheme="majorBidi"/>
          <w:b/>
          <w:color w:val="4B0885" w:themeColor="text2"/>
          <w:sz w:val="56"/>
          <w:szCs w:val="32"/>
        </w:rPr>
      </w:pPr>
      <w:r>
        <w:br w:type="page"/>
      </w:r>
      <w:bookmarkStart w:id="26" w:name="_Explanatory_Notes"/>
      <w:bookmarkEnd w:id="0"/>
      <w:bookmarkEnd w:id="1"/>
      <w:bookmarkEnd w:id="26"/>
    </w:p>
    <w:p w14:paraId="0EF2CF61" w14:textId="28A02A67" w:rsidR="00741BB4" w:rsidRPr="006601C6" w:rsidRDefault="00741BB4" w:rsidP="00741BB4">
      <w:pPr>
        <w:pStyle w:val="Heading1"/>
      </w:pPr>
      <w:bookmarkStart w:id="27" w:name="_Toc170300710"/>
      <w:bookmarkStart w:id="28" w:name="_Toc173755016"/>
      <w:r w:rsidRPr="00031B05">
        <w:lastRenderedPageBreak/>
        <w:t xml:space="preserve">Spotlight analysis: </w:t>
      </w:r>
      <w:r>
        <w:t>examining f</w:t>
      </w:r>
      <w:r w:rsidRPr="00C7337E">
        <w:t>ill rate</w:t>
      </w:r>
      <w:r>
        <w:t>s</w:t>
      </w:r>
      <w:r w:rsidRPr="00C7337E">
        <w:t xml:space="preserve"> and </w:t>
      </w:r>
      <w:r>
        <w:t xml:space="preserve">hourly earnings </w:t>
      </w:r>
      <w:bookmarkEnd w:id="27"/>
      <w:r>
        <w:t>of occupations</w:t>
      </w:r>
      <w:bookmarkEnd w:id="28"/>
    </w:p>
    <w:p w14:paraId="140A830C" w14:textId="77777777" w:rsidR="00741BB4" w:rsidRDefault="00741BB4" w:rsidP="00741BB4">
      <w:pPr>
        <w:rPr>
          <w:rFonts w:cs="Arial"/>
        </w:rPr>
      </w:pPr>
      <w:r>
        <w:rPr>
          <w:rFonts w:cs="Arial"/>
        </w:rPr>
        <w:t xml:space="preserve">In this </w:t>
      </w:r>
      <w:r w:rsidRPr="00CD3E95">
        <w:rPr>
          <w:rFonts w:cs="Arial"/>
        </w:rPr>
        <w:t xml:space="preserve">spotlight </w:t>
      </w:r>
      <w:r>
        <w:rPr>
          <w:rFonts w:cs="Arial"/>
        </w:rPr>
        <w:t xml:space="preserve">piece, we explore the relationship between hourly earnings and fill rates of occupations. Doing so, we unpack some insights on traits that are similar and different across the various occupation groups. </w:t>
      </w:r>
    </w:p>
    <w:p w14:paraId="72522FC9" w14:textId="77777777" w:rsidR="00741BB4" w:rsidRPr="001C6ED5" w:rsidRDefault="00741BB4" w:rsidP="00741BB4">
      <w:pPr>
        <w:pStyle w:val="Heading2"/>
      </w:pPr>
      <w:bookmarkStart w:id="29" w:name="_Toc173755017"/>
      <w:r>
        <w:t>Patterns of fill rates and wages among major groups</w:t>
      </w:r>
      <w:bookmarkEnd w:id="29"/>
    </w:p>
    <w:p w14:paraId="56001659" w14:textId="143DE09F" w:rsidR="00741BB4" w:rsidRPr="00CD3E95" w:rsidRDefault="00F31C3B" w:rsidP="00741BB4">
      <w:pPr>
        <w:rPr>
          <w:rFonts w:cs="Arial"/>
        </w:rPr>
      </w:pPr>
      <w:r>
        <w:rPr>
          <w:rFonts w:cs="Arial"/>
        </w:rPr>
        <w:fldChar w:fldCharType="begin"/>
      </w:r>
      <w:r>
        <w:rPr>
          <w:rFonts w:cs="Arial"/>
        </w:rPr>
        <w:instrText xml:space="preserve"> REF _Ref173249958 \h </w:instrText>
      </w:r>
      <w:r>
        <w:rPr>
          <w:rFonts w:cs="Arial"/>
        </w:rPr>
      </w:r>
      <w:r>
        <w:rPr>
          <w:rFonts w:cs="Arial"/>
        </w:rPr>
        <w:fldChar w:fldCharType="separate"/>
      </w:r>
      <w:r w:rsidR="00245DC9">
        <w:t xml:space="preserve">Figure </w:t>
      </w:r>
      <w:r w:rsidR="00245DC9">
        <w:rPr>
          <w:noProof/>
        </w:rPr>
        <w:t>6</w:t>
      </w:r>
      <w:r>
        <w:rPr>
          <w:rFonts w:cs="Arial"/>
        </w:rPr>
        <w:fldChar w:fldCharType="end"/>
      </w:r>
      <w:r>
        <w:rPr>
          <w:rFonts w:cs="Arial"/>
        </w:rPr>
        <w:t xml:space="preserve"> </w:t>
      </w:r>
      <w:r w:rsidR="00741BB4">
        <w:rPr>
          <w:rFonts w:cs="Arial"/>
        </w:rPr>
        <w:t xml:space="preserve">shows the </w:t>
      </w:r>
      <w:r w:rsidR="00741BB4" w:rsidRPr="00CD3E95">
        <w:rPr>
          <w:rFonts w:cs="Arial"/>
        </w:rPr>
        <w:t>distribution of occupations categorised into four groups, based on the relationship between fill rates and hourly earnings</w:t>
      </w:r>
      <w:r w:rsidR="00741BB4">
        <w:rPr>
          <w:rFonts w:cs="Arial"/>
        </w:rPr>
        <w:t xml:space="preserve"> in the period from 2021 to 2023</w:t>
      </w:r>
      <w:r w:rsidR="00741BB4" w:rsidRPr="00CD3E95">
        <w:rPr>
          <w:rFonts w:cs="Arial"/>
        </w:rPr>
        <w:t>.</w:t>
      </w:r>
      <w:r w:rsidR="00741BB4" w:rsidRPr="00CD3E95">
        <w:rPr>
          <w:rStyle w:val="FootnoteReference"/>
          <w:rFonts w:cs="Arial"/>
        </w:rPr>
        <w:footnoteReference w:id="7"/>
      </w:r>
      <w:r w:rsidR="00741BB4" w:rsidRPr="00CD3E95">
        <w:rPr>
          <w:rFonts w:cs="Arial"/>
        </w:rPr>
        <w:t xml:space="preserve"> </w:t>
      </w:r>
    </w:p>
    <w:p w14:paraId="5C663690" w14:textId="77777777" w:rsidR="00741BB4" w:rsidRPr="00CD3E95" w:rsidRDefault="00741BB4" w:rsidP="00741BB4">
      <w:pPr>
        <w:pStyle w:val="ListParagraph"/>
        <w:numPr>
          <w:ilvl w:val="0"/>
          <w:numId w:val="21"/>
        </w:numPr>
        <w:spacing w:after="160" w:line="259" w:lineRule="auto"/>
        <w:rPr>
          <w:rFonts w:cs="Arial"/>
        </w:rPr>
      </w:pPr>
      <w:r w:rsidRPr="00CD3E95">
        <w:rPr>
          <w:rFonts w:cs="Arial"/>
        </w:rPr>
        <w:t xml:space="preserve">Quadrant </w:t>
      </w:r>
      <w:r>
        <w:rPr>
          <w:rFonts w:cs="Arial"/>
        </w:rPr>
        <w:t>One</w:t>
      </w:r>
      <w:r w:rsidRPr="00CD3E95">
        <w:rPr>
          <w:rFonts w:cs="Arial"/>
        </w:rPr>
        <w:t xml:space="preserve"> (top left) contains occupations with </w:t>
      </w:r>
      <w:r>
        <w:rPr>
          <w:rFonts w:cs="Arial"/>
        </w:rPr>
        <w:t>below average</w:t>
      </w:r>
      <w:r w:rsidRPr="00CD3E95">
        <w:rPr>
          <w:rFonts w:cs="Arial"/>
        </w:rPr>
        <w:t xml:space="preserve"> fill rates and </w:t>
      </w:r>
      <w:r>
        <w:rPr>
          <w:rFonts w:cs="Arial"/>
        </w:rPr>
        <w:t>above average</w:t>
      </w:r>
      <w:r w:rsidRPr="00CD3E95">
        <w:rPr>
          <w:rFonts w:cs="Arial"/>
        </w:rPr>
        <w:t xml:space="preserve"> hourly earnings.</w:t>
      </w:r>
    </w:p>
    <w:p w14:paraId="5848112C" w14:textId="77777777" w:rsidR="00741BB4" w:rsidRPr="00CD3E95" w:rsidRDefault="00741BB4" w:rsidP="00741BB4">
      <w:pPr>
        <w:pStyle w:val="ListParagraph"/>
        <w:numPr>
          <w:ilvl w:val="0"/>
          <w:numId w:val="21"/>
        </w:numPr>
        <w:spacing w:after="160" w:line="259" w:lineRule="auto"/>
        <w:rPr>
          <w:rFonts w:cs="Arial"/>
        </w:rPr>
      </w:pPr>
      <w:r w:rsidRPr="00CD3E95">
        <w:rPr>
          <w:rFonts w:cs="Arial"/>
        </w:rPr>
        <w:t xml:space="preserve">Quadrant </w:t>
      </w:r>
      <w:r>
        <w:rPr>
          <w:rFonts w:cs="Arial"/>
        </w:rPr>
        <w:t>Two</w:t>
      </w:r>
      <w:r w:rsidRPr="00CD3E95">
        <w:rPr>
          <w:rFonts w:cs="Arial"/>
        </w:rPr>
        <w:t xml:space="preserve"> (top right) contains occupations with </w:t>
      </w:r>
      <w:r>
        <w:rPr>
          <w:rFonts w:cs="Arial"/>
        </w:rPr>
        <w:t>above average</w:t>
      </w:r>
      <w:r w:rsidRPr="00CD3E95">
        <w:rPr>
          <w:rFonts w:cs="Arial"/>
        </w:rPr>
        <w:t xml:space="preserve"> fill rates and </w:t>
      </w:r>
      <w:r>
        <w:rPr>
          <w:rFonts w:cs="Arial"/>
        </w:rPr>
        <w:t>above average</w:t>
      </w:r>
      <w:r w:rsidRPr="00CD3E95">
        <w:rPr>
          <w:rFonts w:cs="Arial"/>
        </w:rPr>
        <w:t xml:space="preserve"> hourly earnings.</w:t>
      </w:r>
    </w:p>
    <w:p w14:paraId="5FC79D2C" w14:textId="77777777" w:rsidR="00741BB4" w:rsidRPr="00CD3E95" w:rsidRDefault="00741BB4" w:rsidP="00741BB4">
      <w:pPr>
        <w:pStyle w:val="ListParagraph"/>
        <w:numPr>
          <w:ilvl w:val="0"/>
          <w:numId w:val="21"/>
        </w:numPr>
        <w:spacing w:after="160" w:line="259" w:lineRule="auto"/>
        <w:rPr>
          <w:rFonts w:cs="Arial"/>
        </w:rPr>
      </w:pPr>
      <w:r w:rsidRPr="00CD3E95">
        <w:rPr>
          <w:rFonts w:cs="Arial"/>
        </w:rPr>
        <w:t xml:space="preserve">Quadrant </w:t>
      </w:r>
      <w:r>
        <w:rPr>
          <w:rFonts w:cs="Arial"/>
        </w:rPr>
        <w:t>Three</w:t>
      </w:r>
      <w:r w:rsidRPr="00CD3E95">
        <w:rPr>
          <w:rFonts w:cs="Arial"/>
        </w:rPr>
        <w:t xml:space="preserve"> (bottom right) contains occupations with </w:t>
      </w:r>
      <w:r>
        <w:rPr>
          <w:rFonts w:cs="Arial"/>
        </w:rPr>
        <w:t>above average</w:t>
      </w:r>
      <w:r w:rsidRPr="00CD3E95">
        <w:rPr>
          <w:rFonts w:cs="Arial"/>
        </w:rPr>
        <w:t xml:space="preserve"> fill rates and </w:t>
      </w:r>
      <w:r>
        <w:rPr>
          <w:rFonts w:cs="Arial"/>
        </w:rPr>
        <w:t>below average</w:t>
      </w:r>
      <w:r w:rsidRPr="00CD3E95">
        <w:rPr>
          <w:rFonts w:cs="Arial"/>
        </w:rPr>
        <w:t xml:space="preserve"> hourly earnings.</w:t>
      </w:r>
    </w:p>
    <w:p w14:paraId="07E5992C" w14:textId="77777777" w:rsidR="00741BB4" w:rsidRPr="001C6ED5" w:rsidRDefault="00741BB4" w:rsidP="00741BB4">
      <w:pPr>
        <w:pStyle w:val="ListParagraph"/>
        <w:numPr>
          <w:ilvl w:val="0"/>
          <w:numId w:val="21"/>
        </w:numPr>
        <w:spacing w:after="160" w:line="259" w:lineRule="auto"/>
        <w:rPr>
          <w:rFonts w:cs="Arial"/>
        </w:rPr>
      </w:pPr>
      <w:r w:rsidRPr="00CD3E95">
        <w:rPr>
          <w:rFonts w:cs="Arial"/>
        </w:rPr>
        <w:t xml:space="preserve">Quadrant </w:t>
      </w:r>
      <w:r>
        <w:rPr>
          <w:rFonts w:cs="Arial"/>
        </w:rPr>
        <w:t>Four</w:t>
      </w:r>
      <w:r w:rsidRPr="00CD3E95">
        <w:rPr>
          <w:rFonts w:cs="Arial"/>
        </w:rPr>
        <w:t xml:space="preserve"> (bottom left) contains occupations with </w:t>
      </w:r>
      <w:r>
        <w:rPr>
          <w:rFonts w:cs="Arial"/>
        </w:rPr>
        <w:t>below average</w:t>
      </w:r>
      <w:r w:rsidRPr="00CD3E95">
        <w:rPr>
          <w:rFonts w:cs="Arial"/>
        </w:rPr>
        <w:t xml:space="preserve"> fill rates and </w:t>
      </w:r>
      <w:r>
        <w:rPr>
          <w:rFonts w:cs="Arial"/>
        </w:rPr>
        <w:t>below average</w:t>
      </w:r>
      <w:r w:rsidRPr="00CD3E95">
        <w:rPr>
          <w:rFonts w:cs="Arial"/>
        </w:rPr>
        <w:t xml:space="preserve"> hourly earnings. </w:t>
      </w:r>
    </w:p>
    <w:p w14:paraId="0E31EDF3" w14:textId="77777777" w:rsidR="00741BB4" w:rsidRDefault="00741BB4" w:rsidP="00741BB4">
      <w:pPr>
        <w:rPr>
          <w:rFonts w:cs="Arial"/>
        </w:rPr>
      </w:pPr>
      <w:r w:rsidRPr="00CD3E95">
        <w:rPr>
          <w:rFonts w:cs="Arial"/>
        </w:rPr>
        <w:t>As the data is standardi</w:t>
      </w:r>
      <w:r>
        <w:rPr>
          <w:rFonts w:cs="Arial"/>
        </w:rPr>
        <w:t>s</w:t>
      </w:r>
      <w:r w:rsidRPr="00CD3E95">
        <w:rPr>
          <w:rFonts w:cs="Arial"/>
        </w:rPr>
        <w:t xml:space="preserve">ed, </w:t>
      </w:r>
      <w:r>
        <w:rPr>
          <w:rFonts w:cs="Arial"/>
        </w:rPr>
        <w:t>above average</w:t>
      </w:r>
      <w:r w:rsidRPr="00CD3E95">
        <w:rPr>
          <w:rFonts w:cs="Arial"/>
        </w:rPr>
        <w:t xml:space="preserve"> </w:t>
      </w:r>
      <w:r>
        <w:rPr>
          <w:rFonts w:cs="Arial"/>
        </w:rPr>
        <w:t xml:space="preserve">values of </w:t>
      </w:r>
      <w:r w:rsidRPr="00CD3E95">
        <w:rPr>
          <w:rFonts w:cs="Arial"/>
        </w:rPr>
        <w:t>fill rates</w:t>
      </w:r>
      <w:r>
        <w:rPr>
          <w:rFonts w:cs="Arial"/>
        </w:rPr>
        <w:t xml:space="preserve"> and hourly earnings</w:t>
      </w:r>
      <w:r w:rsidRPr="00CD3E95">
        <w:rPr>
          <w:rFonts w:cs="Arial"/>
        </w:rPr>
        <w:t xml:space="preserve"> are represented by </w:t>
      </w:r>
      <w:r>
        <w:rPr>
          <w:rFonts w:cs="Arial"/>
        </w:rPr>
        <w:t xml:space="preserve">positive values </w:t>
      </w:r>
      <w:r w:rsidRPr="00CD3E95">
        <w:rPr>
          <w:rFonts w:cs="Arial"/>
        </w:rPr>
        <w:t>along the horizontal</w:t>
      </w:r>
      <w:r>
        <w:rPr>
          <w:rFonts w:cs="Arial"/>
        </w:rPr>
        <w:t xml:space="preserve"> and vertical</w:t>
      </w:r>
      <w:r w:rsidRPr="00CD3E95">
        <w:rPr>
          <w:rFonts w:cs="Arial"/>
        </w:rPr>
        <w:t xml:space="preserve"> axis</w:t>
      </w:r>
      <w:r>
        <w:rPr>
          <w:rFonts w:cs="Arial"/>
        </w:rPr>
        <w:t>, respectively</w:t>
      </w:r>
      <w:r w:rsidRPr="00CD3E95">
        <w:rPr>
          <w:rFonts w:cs="Arial"/>
        </w:rPr>
        <w:t xml:space="preserve">. Similarly, </w:t>
      </w:r>
      <w:r>
        <w:rPr>
          <w:rFonts w:cs="Arial"/>
        </w:rPr>
        <w:t>below average</w:t>
      </w:r>
      <w:r w:rsidRPr="00CD3E95">
        <w:rPr>
          <w:rFonts w:cs="Arial"/>
        </w:rPr>
        <w:t xml:space="preserve"> </w:t>
      </w:r>
      <w:r>
        <w:rPr>
          <w:rFonts w:cs="Arial"/>
        </w:rPr>
        <w:t xml:space="preserve">values of fill rates and </w:t>
      </w:r>
      <w:r w:rsidRPr="00CD3E95">
        <w:rPr>
          <w:rFonts w:cs="Arial"/>
        </w:rPr>
        <w:t xml:space="preserve">hourly earnings are represented by </w:t>
      </w:r>
      <w:r>
        <w:rPr>
          <w:rFonts w:cs="Arial"/>
        </w:rPr>
        <w:t>negative values</w:t>
      </w:r>
      <w:r w:rsidRPr="00CD3E95">
        <w:rPr>
          <w:rFonts w:cs="Arial"/>
        </w:rPr>
        <w:t xml:space="preserve"> along the horizontal</w:t>
      </w:r>
      <w:r>
        <w:rPr>
          <w:rFonts w:cs="Arial"/>
        </w:rPr>
        <w:t xml:space="preserve"> and </w:t>
      </w:r>
      <w:r w:rsidRPr="00CD3E95">
        <w:rPr>
          <w:rFonts w:cs="Arial"/>
        </w:rPr>
        <w:t>vertical axis</w:t>
      </w:r>
      <w:r>
        <w:rPr>
          <w:rFonts w:cs="Arial"/>
        </w:rPr>
        <w:t>, respectively</w:t>
      </w:r>
      <w:r w:rsidRPr="00CD3E95">
        <w:rPr>
          <w:rFonts w:cs="Arial"/>
        </w:rPr>
        <w:t>.</w:t>
      </w:r>
    </w:p>
    <w:p w14:paraId="2C824943" w14:textId="77777777" w:rsidR="00741BB4" w:rsidRDefault="00741BB4" w:rsidP="00741BB4">
      <w:pPr>
        <w:rPr>
          <w:rFonts w:cs="Arial"/>
        </w:rPr>
      </w:pPr>
      <w:r>
        <w:rPr>
          <w:rFonts w:cs="Arial"/>
        </w:rPr>
        <w:t xml:space="preserve">When the data is grouped in the above manner, some notable similarities and differences between some major occupation groups are apparent: </w:t>
      </w:r>
    </w:p>
    <w:p w14:paraId="1D415BD8" w14:textId="77777777" w:rsidR="00741BB4" w:rsidRDefault="00741BB4" w:rsidP="00741BB4">
      <w:pPr>
        <w:pStyle w:val="ListParagraph"/>
        <w:numPr>
          <w:ilvl w:val="0"/>
          <w:numId w:val="22"/>
        </w:numPr>
        <w:rPr>
          <w:rFonts w:cs="Arial"/>
        </w:rPr>
      </w:pPr>
      <w:r>
        <w:rPr>
          <w:rFonts w:cs="Arial"/>
        </w:rPr>
        <w:t>Quadrant two, which has above average</w:t>
      </w:r>
      <w:r w:rsidRPr="00CD3E95">
        <w:rPr>
          <w:rFonts w:cs="Arial"/>
        </w:rPr>
        <w:t xml:space="preserve"> fill rates and </w:t>
      </w:r>
      <w:r>
        <w:rPr>
          <w:rFonts w:cs="Arial"/>
        </w:rPr>
        <w:t>above average</w:t>
      </w:r>
      <w:r w:rsidRPr="00CD3E95">
        <w:rPr>
          <w:rFonts w:cs="Arial"/>
        </w:rPr>
        <w:t xml:space="preserve"> hourly earnings</w:t>
      </w:r>
      <w:r>
        <w:rPr>
          <w:rFonts w:cs="Arial"/>
        </w:rPr>
        <w:t xml:space="preserve">, is dominated by occupations within the Managers and Professionals major groups. In the top righthand segment of this quadrant lie </w:t>
      </w:r>
      <w:r w:rsidRPr="00FA1366">
        <w:rPr>
          <w:rFonts w:cs="Arial"/>
        </w:rPr>
        <w:t>Business, Human Resource and Marketing Professionals</w:t>
      </w:r>
      <w:r>
        <w:rPr>
          <w:rFonts w:cs="Arial"/>
        </w:rPr>
        <w:t>;</w:t>
      </w:r>
      <w:r w:rsidRPr="00FA1366">
        <w:rPr>
          <w:rFonts w:cs="Arial"/>
        </w:rPr>
        <w:t xml:space="preserve"> </w:t>
      </w:r>
      <w:r>
        <w:rPr>
          <w:rFonts w:cs="Arial"/>
        </w:rPr>
        <w:t xml:space="preserve">and Finance Managers, General Managers, ICT Managers, Policy and Planning Managers and Production Managers. </w:t>
      </w:r>
    </w:p>
    <w:p w14:paraId="6F6D3266" w14:textId="3732158C" w:rsidR="00741BB4" w:rsidRPr="00FB6CDC" w:rsidRDefault="00741BB4" w:rsidP="00741BB4">
      <w:pPr>
        <w:pStyle w:val="ListParagraph"/>
        <w:numPr>
          <w:ilvl w:val="0"/>
          <w:numId w:val="22"/>
        </w:numPr>
        <w:rPr>
          <w:rFonts w:cs="Arial"/>
        </w:rPr>
      </w:pPr>
      <w:r w:rsidRPr="00FB6CDC">
        <w:rPr>
          <w:rFonts w:cs="Arial"/>
        </w:rPr>
        <w:t>Quadrant four, which has below average fill rates and below average hourly earnings, is dominated by occupations within Technicians and Trades Workers. Plumbers, Bricklayers and Stonemasons, Plasters, Painters, and Cabinet Makers, lie on the extremes of this quadrant.</w:t>
      </w:r>
      <w:r w:rsidR="003E5ED3">
        <w:rPr>
          <w:rFonts w:cs="Arial"/>
        </w:rPr>
        <w:t xml:space="preserve"> </w:t>
      </w:r>
    </w:p>
    <w:p w14:paraId="4B337774" w14:textId="77777777" w:rsidR="00741BB4" w:rsidRDefault="00741BB4" w:rsidP="00741BB4">
      <w:pPr>
        <w:rPr>
          <w:rFonts w:cs="Arial"/>
        </w:rPr>
      </w:pPr>
    </w:p>
    <w:p w14:paraId="107A757C" w14:textId="67AC46DB" w:rsidR="00741BB4" w:rsidRPr="003425BF" w:rsidRDefault="00F31C3B" w:rsidP="00F31C3B">
      <w:pPr>
        <w:pStyle w:val="Caption"/>
        <w:rPr>
          <w:rFonts w:cs="Arial"/>
          <w:b w:val="0"/>
          <w:bCs w:val="0"/>
        </w:rPr>
      </w:pPr>
      <w:bookmarkStart w:id="30" w:name="_Ref173249958"/>
      <w:bookmarkStart w:id="31" w:name="_Ref173226377"/>
      <w:r>
        <w:lastRenderedPageBreak/>
        <w:t xml:space="preserve">Figure </w:t>
      </w:r>
      <w:r>
        <w:fldChar w:fldCharType="begin"/>
      </w:r>
      <w:r>
        <w:instrText xml:space="preserve"> SEQ Figure \* ARABIC </w:instrText>
      </w:r>
      <w:r>
        <w:fldChar w:fldCharType="separate"/>
      </w:r>
      <w:r w:rsidR="00245DC9">
        <w:rPr>
          <w:noProof/>
        </w:rPr>
        <w:t>6</w:t>
      </w:r>
      <w:r>
        <w:fldChar w:fldCharType="end"/>
      </w:r>
      <w:bookmarkEnd w:id="30"/>
      <w:bookmarkEnd w:id="31"/>
      <w:r w:rsidR="00741BB4" w:rsidRPr="003425BF">
        <w:rPr>
          <w:rFonts w:cs="Arial"/>
        </w:rPr>
        <w:t>: Standardised hourly earnings and fill rates at 4-digit ANZSCO, by major occupation group, 2021-23</w:t>
      </w:r>
    </w:p>
    <w:p w14:paraId="3E980123" w14:textId="11230F01" w:rsidR="00741BB4" w:rsidRPr="00B61BDB" w:rsidRDefault="00741BB4" w:rsidP="00EC2238">
      <w:pPr>
        <w:pStyle w:val="Source"/>
      </w:pPr>
      <w:r>
        <w:rPr>
          <w:noProof/>
        </w:rPr>
        <w:drawing>
          <wp:inline distT="0" distB="0" distL="0" distR="0" wp14:anchorId="0590FC5C" wp14:editId="7042F276">
            <wp:extent cx="5731510" cy="2868930"/>
            <wp:effectExtent l="0" t="0" r="2540" b="7620"/>
            <wp:docPr id="549676771" name="Picture 1" descr="Figure 6 when observing standardized fill rates and hourly earnings, Professionals represent the majority of 4-digit occupations with high hourly earnings and low fill rate (Quadrant 1), while Professionals and Managers dominate occupations with high hourly earnings and high fill rate (Quadrant 2). Occupations with low hourly earnings but high fill rate (Quadrant 3) are mixed among the major groups, while Technicians and Trades Workers are the predominant major group where hourly earnings and fill rates are low (Quadrant 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676771" name="Picture 1" descr="Figure 6 when observing standardized fill rates and hourly earnings, Professionals represent the majority of 4-digit occupations with high hourly earnings and low fill rate (Quadrant 1), while Professionals and Managers dominate occupations with high hourly earnings and high fill rate (Quadrant 2). Occupations with low hourly earnings but high fill rate (Quadrant 3) are mixed among the major groups, while Technicians and Trades Workers are the predominant major group where hourly earnings and fill rates are low (Quadrant 4).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868930"/>
                    </a:xfrm>
                    <a:prstGeom prst="rect">
                      <a:avLst/>
                    </a:prstGeom>
                    <a:noFill/>
                    <a:ln>
                      <a:noFill/>
                    </a:ln>
                  </pic:spPr>
                </pic:pic>
              </a:graphicData>
            </a:graphic>
          </wp:inline>
        </w:drawing>
      </w:r>
      <w:r w:rsidR="005F7FEF">
        <w:br/>
      </w:r>
      <w:r w:rsidRPr="00CD3E95">
        <w:t>Source: Jobs and Skills Australia, Survey of Employers who Recently Advertised (SERA), 2021-23 financial year; Australian Bureau of Statistics, Characteristics of Employment, August 2023, TableBuilder.</w:t>
      </w:r>
    </w:p>
    <w:p w14:paraId="3A7D9B3D" w14:textId="77777777" w:rsidR="00741BB4" w:rsidRPr="00AB6F20" w:rsidRDefault="00741BB4" w:rsidP="00741BB4">
      <w:pPr>
        <w:rPr>
          <w:rFonts w:cs="Arial"/>
        </w:rPr>
      </w:pPr>
      <w:r>
        <w:rPr>
          <w:rFonts w:cs="Arial"/>
        </w:rPr>
        <w:t>Some other observations include the following:</w:t>
      </w:r>
    </w:p>
    <w:p w14:paraId="7FB9353E" w14:textId="0066A751" w:rsidR="00741BB4" w:rsidRPr="00FA1366" w:rsidRDefault="00741BB4" w:rsidP="00741BB4">
      <w:pPr>
        <w:pStyle w:val="ListParagraph"/>
        <w:numPr>
          <w:ilvl w:val="0"/>
          <w:numId w:val="22"/>
        </w:numPr>
        <w:rPr>
          <w:rFonts w:cs="Arial"/>
        </w:rPr>
      </w:pPr>
      <w:r>
        <w:rPr>
          <w:rFonts w:cs="Arial"/>
        </w:rPr>
        <w:t xml:space="preserve">There is a cluster of </w:t>
      </w:r>
      <w:r w:rsidRPr="00FA1366">
        <w:rPr>
          <w:rFonts w:cs="Arial"/>
        </w:rPr>
        <w:t xml:space="preserve">Professionals </w:t>
      </w:r>
      <w:r>
        <w:rPr>
          <w:rFonts w:cs="Arial"/>
        </w:rPr>
        <w:t>major group occupations in Quadrant one and are within -1 standard deviation of the average fill rate but above one standard deviation of average hourly earnings. That is, there is a group of occupations with below average fill rates but quite high hourly earnings. This characteristic belongs to H</w:t>
      </w:r>
      <w:r w:rsidRPr="00FA1366">
        <w:rPr>
          <w:rFonts w:cs="Arial"/>
        </w:rPr>
        <w:t>ealth Professional</w:t>
      </w:r>
      <w:r>
        <w:rPr>
          <w:rFonts w:cs="Arial"/>
        </w:rPr>
        <w:t xml:space="preserve"> sub-majors </w:t>
      </w:r>
      <w:r w:rsidRPr="00FA1366">
        <w:rPr>
          <w:rFonts w:cs="Arial"/>
        </w:rPr>
        <w:t xml:space="preserve">such as Midwives, Medical Imagining Professionals, and General Practitioners and Medical Resident Officers. </w:t>
      </w:r>
      <w:r w:rsidR="003E5ED3">
        <w:rPr>
          <w:rFonts w:cs="Arial"/>
        </w:rPr>
        <w:t>These are high skilled occupations with long lead times for training</w:t>
      </w:r>
      <w:r w:rsidR="008C3319">
        <w:rPr>
          <w:rFonts w:cs="Arial"/>
        </w:rPr>
        <w:t xml:space="preserve"> and require a lot of experience. </w:t>
      </w:r>
    </w:p>
    <w:p w14:paraId="7F3C93AA" w14:textId="5D5A34C7" w:rsidR="00741BB4" w:rsidRPr="007240B2" w:rsidRDefault="00741BB4" w:rsidP="00741BB4">
      <w:pPr>
        <w:pStyle w:val="ListParagraph"/>
        <w:numPr>
          <w:ilvl w:val="0"/>
          <w:numId w:val="22"/>
        </w:numPr>
      </w:pPr>
      <w:r>
        <w:t>Occupations with high fill rates but low earnings (Quadrant three) include a mix of all major groups</w:t>
      </w:r>
      <w:r w:rsidR="003A74F6">
        <w:t>,</w:t>
      </w:r>
      <w:r w:rsidRPr="00CD3E95">
        <w:t xml:space="preserve"> </w:t>
      </w:r>
      <w:r>
        <w:t xml:space="preserve">though occupations within </w:t>
      </w:r>
      <w:r w:rsidRPr="00CD3E95">
        <w:t>Clerical and Administrative Worker</w:t>
      </w:r>
      <w:r>
        <w:t xml:space="preserve">s, and </w:t>
      </w:r>
      <w:r w:rsidRPr="00CD3E95">
        <w:t>Community and Personal Service Workers</w:t>
      </w:r>
      <w:r w:rsidR="000B2020">
        <w:t xml:space="preserve"> </w:t>
      </w:r>
      <w:r w:rsidR="00FB31DC">
        <w:t>appear the most frequently</w:t>
      </w:r>
      <w:r>
        <w:t xml:space="preserve">. </w:t>
      </w:r>
    </w:p>
    <w:p w14:paraId="51F9E29C" w14:textId="3688536E" w:rsidR="00741BB4" w:rsidRDefault="00741BB4" w:rsidP="00741BB4">
      <w:pPr>
        <w:rPr>
          <w:rFonts w:cs="Arial"/>
        </w:rPr>
      </w:pPr>
      <w:r>
        <w:rPr>
          <w:rFonts w:cs="Arial"/>
        </w:rPr>
        <w:t xml:space="preserve">Time series analysis of hourly earnings and fill rates reveals additional insights. </w:t>
      </w:r>
      <w:r w:rsidR="00F31C3B">
        <w:rPr>
          <w:rFonts w:cs="Arial"/>
        </w:rPr>
        <w:fldChar w:fldCharType="begin"/>
      </w:r>
      <w:r w:rsidR="00F31C3B">
        <w:rPr>
          <w:rFonts w:cs="Arial"/>
        </w:rPr>
        <w:instrText xml:space="preserve"> REF _Ref173250005 \h </w:instrText>
      </w:r>
      <w:r w:rsidR="00F31C3B">
        <w:rPr>
          <w:rFonts w:cs="Arial"/>
        </w:rPr>
      </w:r>
      <w:r w:rsidR="00F31C3B">
        <w:rPr>
          <w:rFonts w:cs="Arial"/>
        </w:rPr>
        <w:fldChar w:fldCharType="separate"/>
      </w:r>
      <w:r w:rsidR="00245DC9">
        <w:t xml:space="preserve">Figure </w:t>
      </w:r>
      <w:r w:rsidR="00245DC9">
        <w:rPr>
          <w:noProof/>
        </w:rPr>
        <w:t>7</w:t>
      </w:r>
      <w:r w:rsidR="00F31C3B">
        <w:rPr>
          <w:rFonts w:cs="Arial"/>
        </w:rPr>
        <w:fldChar w:fldCharType="end"/>
      </w:r>
      <w:r w:rsidR="00F31C3B">
        <w:rPr>
          <w:rFonts w:cs="Arial"/>
        </w:rPr>
        <w:t xml:space="preserve"> </w:t>
      </w:r>
      <w:r>
        <w:rPr>
          <w:rFonts w:cs="Arial"/>
        </w:rPr>
        <w:t xml:space="preserve">shows the standardised annual average fill rate and hourly earnings of </w:t>
      </w:r>
      <w:r w:rsidR="00FA0FB4">
        <w:rPr>
          <w:rFonts w:cs="Arial"/>
        </w:rPr>
        <w:t xml:space="preserve">ANZSCO </w:t>
      </w:r>
      <w:r>
        <w:rPr>
          <w:rFonts w:cs="Arial"/>
        </w:rPr>
        <w:t>major groups 1 to 4 from 2014-23.</w:t>
      </w:r>
      <w:r>
        <w:rPr>
          <w:rStyle w:val="FootnoteReference"/>
          <w:rFonts w:cs="Arial"/>
        </w:rPr>
        <w:footnoteReference w:id="8"/>
      </w:r>
      <w:r>
        <w:rPr>
          <w:rFonts w:cs="Arial"/>
        </w:rPr>
        <w:t xml:space="preserve"> </w:t>
      </w:r>
    </w:p>
    <w:p w14:paraId="7A774C44" w14:textId="77777777" w:rsidR="00741BB4" w:rsidRPr="002B4137" w:rsidRDefault="00741BB4" w:rsidP="00741BB4">
      <w:pPr>
        <w:rPr>
          <w:rFonts w:cs="Arial"/>
        </w:rPr>
      </w:pPr>
      <w:r>
        <w:rPr>
          <w:rFonts w:cs="Arial"/>
        </w:rPr>
        <w:t xml:space="preserve">Since 2014, Managers and Professionals have had above average hourly earnings which have increased overtime, particularly for Professionals. The fill rates of Managers have remained above the average and have been relatively stable from 2020. However, for Professionals, fill rates have fallen overtime and have remained well below the average since 2021. The fall in fill rates coincides with the time labour market conditions significantly tightened post-COVID pandemic. </w:t>
      </w:r>
    </w:p>
    <w:p w14:paraId="4DB5C57D" w14:textId="361E7684" w:rsidR="00741BB4" w:rsidRPr="003425BF" w:rsidRDefault="00F31C3B" w:rsidP="00F31C3B">
      <w:pPr>
        <w:pStyle w:val="Caption"/>
        <w:rPr>
          <w:rFonts w:cs="Arial"/>
          <w:b w:val="0"/>
          <w:bCs w:val="0"/>
        </w:rPr>
      </w:pPr>
      <w:bookmarkStart w:id="32" w:name="_Ref173250005"/>
      <w:bookmarkStart w:id="33" w:name="_Ref173226428"/>
      <w:r>
        <w:lastRenderedPageBreak/>
        <w:t xml:space="preserve">Figure </w:t>
      </w:r>
      <w:r>
        <w:fldChar w:fldCharType="begin"/>
      </w:r>
      <w:r>
        <w:instrText xml:space="preserve"> SEQ Figure \* ARABIC </w:instrText>
      </w:r>
      <w:r>
        <w:fldChar w:fldCharType="separate"/>
      </w:r>
      <w:r w:rsidR="00245DC9">
        <w:rPr>
          <w:noProof/>
        </w:rPr>
        <w:t>7</w:t>
      </w:r>
      <w:r>
        <w:fldChar w:fldCharType="end"/>
      </w:r>
      <w:bookmarkEnd w:id="32"/>
      <w:bookmarkEnd w:id="33"/>
      <w:r w:rsidR="00741BB4" w:rsidRPr="003425BF">
        <w:rPr>
          <w:rFonts w:cs="Arial"/>
        </w:rPr>
        <w:t xml:space="preserve">: Standardised fill rate and hourly earnings by major occupation groups 1-4, 2014-23. </w:t>
      </w:r>
    </w:p>
    <w:p w14:paraId="55B6C3DA" w14:textId="5387677D" w:rsidR="00741BB4" w:rsidRDefault="00741BB4" w:rsidP="00EC2238">
      <w:pPr>
        <w:pStyle w:val="Source"/>
      </w:pPr>
      <w:r>
        <w:rPr>
          <w:noProof/>
        </w:rPr>
        <w:drawing>
          <wp:inline distT="0" distB="0" distL="0" distR="0" wp14:anchorId="4C4C716E" wp14:editId="763BACF6">
            <wp:extent cx="5408762" cy="5408762"/>
            <wp:effectExtent l="0" t="0" r="1905" b="1905"/>
            <wp:docPr id="1223616698" name="Picture 7" descr="Figure 7 shows the standardised annual average fill rate and hourly earnings of major groups 1-4 from 2014-23. Since 2014, Managers and Professionals have had above average hourly earnings which have steadily increased overtime. Meanwhile Groups 3 and 4 have had modest wage growth and remain at below average hourly earnings. Groups 1 and 4 have had relatively stable fill rates from 2014-23, while Groups 2 and 3 have had reductions in fill rate over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616698" name="Picture 7" descr="Figure 7 shows the standardised annual average fill rate and hourly earnings of major groups 1-4 from 2014-23. Since 2014, Managers and Professionals have had above average hourly earnings which have steadily increased overtime. Meanwhile Groups 3 and 4 have had modest wage growth and remain at below average hourly earnings. Groups 1 and 4 have had relatively stable fill rates from 2014-23, while Groups 2 and 3 have had reductions in fill rate overtime,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28667" cy="5428667"/>
                    </a:xfrm>
                    <a:prstGeom prst="rect">
                      <a:avLst/>
                    </a:prstGeom>
                    <a:noFill/>
                    <a:ln>
                      <a:noFill/>
                    </a:ln>
                  </pic:spPr>
                </pic:pic>
              </a:graphicData>
            </a:graphic>
          </wp:inline>
        </w:drawing>
      </w:r>
      <w:r w:rsidR="008C3319">
        <w:br/>
      </w:r>
      <w:r w:rsidRPr="00CD3E95">
        <w:t>Source: Jobs and Skills Australia, Survey of Employers who Recently Advertised (SERA), 20</w:t>
      </w:r>
      <w:r w:rsidR="000D7557">
        <w:t>14</w:t>
      </w:r>
      <w:r w:rsidRPr="00CD3E95">
        <w:t>-23 financial year; Australian Bureau of Statistics, Characteristics of Employment, August 2023, TableBuilder.</w:t>
      </w:r>
      <w:r>
        <w:t xml:space="preserve"> </w:t>
      </w:r>
    </w:p>
    <w:p w14:paraId="5F84780E" w14:textId="0F18FA1C" w:rsidR="00741BB4" w:rsidRDefault="00741BB4" w:rsidP="00741BB4">
      <w:pPr>
        <w:rPr>
          <w:rFonts w:cs="Arial"/>
        </w:rPr>
      </w:pPr>
      <w:r>
        <w:rPr>
          <w:rFonts w:cs="Arial"/>
        </w:rPr>
        <w:t>Meanwhile for occupations in major groups 3 and 4, hourly earnings have been steadily rising but still remain below the average. But despite the steady rising in earnings, fill rates for Technician</w:t>
      </w:r>
      <w:r w:rsidR="008C3319">
        <w:rPr>
          <w:rFonts w:cs="Arial"/>
        </w:rPr>
        <w:t>s</w:t>
      </w:r>
      <w:r>
        <w:rPr>
          <w:rFonts w:cs="Arial"/>
        </w:rPr>
        <w:t xml:space="preserve"> and Trades Workers remain acutely low. </w:t>
      </w:r>
    </w:p>
    <w:p w14:paraId="77FEA692" w14:textId="0C9A1B60" w:rsidR="00741BB4" w:rsidRDefault="00741BB4" w:rsidP="00741BB4">
      <w:pPr>
        <w:rPr>
          <w:rFonts w:cs="Arial"/>
        </w:rPr>
      </w:pPr>
      <w:r>
        <w:rPr>
          <w:rFonts w:cs="Arial"/>
        </w:rPr>
        <w:t xml:space="preserve">Figures </w:t>
      </w:r>
      <w:r w:rsidR="008F1D8C">
        <w:rPr>
          <w:rFonts w:cs="Arial"/>
        </w:rPr>
        <w:t>6</w:t>
      </w:r>
      <w:r>
        <w:rPr>
          <w:rFonts w:cs="Arial"/>
        </w:rPr>
        <w:t xml:space="preserve"> and </w:t>
      </w:r>
      <w:r w:rsidR="008F1D8C">
        <w:rPr>
          <w:rFonts w:cs="Arial"/>
        </w:rPr>
        <w:t>7</w:t>
      </w:r>
      <w:r>
        <w:rPr>
          <w:rFonts w:cs="Arial"/>
        </w:rPr>
        <w:t xml:space="preserve"> suggest that Technician</w:t>
      </w:r>
      <w:r w:rsidR="008C3319">
        <w:rPr>
          <w:rFonts w:cs="Arial"/>
        </w:rPr>
        <w:t>s</w:t>
      </w:r>
      <w:r>
        <w:rPr>
          <w:rFonts w:cs="Arial"/>
        </w:rPr>
        <w:t xml:space="preserve"> and Trades Workers may be impacted by constraints in the labour supply pipeline more so than the other major groups. That is, even though there has been steady rise in hourly earnings, fill rates for Technicians and Trade Workers remain largely unaffected. </w:t>
      </w:r>
    </w:p>
    <w:p w14:paraId="7F49280B" w14:textId="77777777" w:rsidR="00741BB4" w:rsidRDefault="00741BB4" w:rsidP="00741BB4">
      <w:pPr>
        <w:rPr>
          <w:rFonts w:cs="Arial"/>
        </w:rPr>
      </w:pPr>
      <w:r>
        <w:rPr>
          <w:rFonts w:cs="Arial"/>
        </w:rPr>
        <w:t>The findings may also suggest that for occupations with below average hourly earnings, marginal increases in wages may not be enough to impact the falling fill rates over time.</w:t>
      </w:r>
    </w:p>
    <w:p w14:paraId="34923BB0" w14:textId="1D1012F9" w:rsidR="00741BB4" w:rsidRDefault="00F31C3B" w:rsidP="00741BB4">
      <w:pPr>
        <w:rPr>
          <w:rFonts w:cs="Arial"/>
        </w:rPr>
      </w:pPr>
      <w:r>
        <w:rPr>
          <w:rFonts w:cs="Arial"/>
        </w:rPr>
        <w:fldChar w:fldCharType="begin"/>
      </w:r>
      <w:r>
        <w:rPr>
          <w:rFonts w:cs="Arial"/>
        </w:rPr>
        <w:instrText xml:space="preserve"> REF _Ref173250005 \h </w:instrText>
      </w:r>
      <w:r>
        <w:rPr>
          <w:rFonts w:cs="Arial"/>
        </w:rPr>
      </w:r>
      <w:r>
        <w:rPr>
          <w:rFonts w:cs="Arial"/>
        </w:rPr>
        <w:fldChar w:fldCharType="separate"/>
      </w:r>
      <w:r w:rsidR="00245DC9">
        <w:t xml:space="preserve">Figure </w:t>
      </w:r>
      <w:r w:rsidR="00245DC9">
        <w:rPr>
          <w:noProof/>
        </w:rPr>
        <w:t>7</w:t>
      </w:r>
      <w:r>
        <w:rPr>
          <w:rFonts w:cs="Arial"/>
        </w:rPr>
        <w:fldChar w:fldCharType="end"/>
      </w:r>
      <w:r>
        <w:rPr>
          <w:rFonts w:cs="Arial"/>
        </w:rPr>
        <w:t xml:space="preserve"> </w:t>
      </w:r>
      <w:r w:rsidR="00741BB4">
        <w:rPr>
          <w:rFonts w:cs="Arial"/>
        </w:rPr>
        <w:t xml:space="preserve">suggests that hourly earnings and fill rates of occupations are negatively correlated. </w:t>
      </w:r>
      <w:r w:rsidR="00512502">
        <w:rPr>
          <w:rFonts w:cs="Arial"/>
        </w:rPr>
        <w:t>This creates a hypothesis that, over time, employers respond to low fill rates with wage increases that are above the economy-wide average</w:t>
      </w:r>
    </w:p>
    <w:p w14:paraId="690894FE" w14:textId="2BDE8FDA" w:rsidR="00741BB4" w:rsidRPr="008F1D8C" w:rsidRDefault="00741BB4" w:rsidP="00741BB4">
      <w:pPr>
        <w:rPr>
          <w:rFonts w:cs="Arial"/>
        </w:rPr>
      </w:pPr>
      <w:r>
        <w:rPr>
          <w:rFonts w:cs="Arial"/>
        </w:rPr>
        <w:lastRenderedPageBreak/>
        <w:t xml:space="preserve">In </w:t>
      </w:r>
      <w:r w:rsidR="00F31C3B">
        <w:rPr>
          <w:rFonts w:cs="Arial"/>
        </w:rPr>
        <w:fldChar w:fldCharType="begin"/>
      </w:r>
      <w:r w:rsidR="00F31C3B">
        <w:rPr>
          <w:rFonts w:cs="Arial"/>
        </w:rPr>
        <w:instrText xml:space="preserve"> REF _Ref173250053 \h </w:instrText>
      </w:r>
      <w:r w:rsidR="00F31C3B">
        <w:rPr>
          <w:rFonts w:cs="Arial"/>
        </w:rPr>
      </w:r>
      <w:r w:rsidR="00F31C3B">
        <w:rPr>
          <w:rFonts w:cs="Arial"/>
        </w:rPr>
        <w:fldChar w:fldCharType="separate"/>
      </w:r>
      <w:r w:rsidR="00245DC9">
        <w:t xml:space="preserve">Figure </w:t>
      </w:r>
      <w:r w:rsidR="00245DC9">
        <w:rPr>
          <w:noProof/>
        </w:rPr>
        <w:t>8</w:t>
      </w:r>
      <w:r w:rsidR="00F31C3B">
        <w:rPr>
          <w:rFonts w:cs="Arial"/>
        </w:rPr>
        <w:fldChar w:fldCharType="end"/>
      </w:r>
      <w:r>
        <w:rPr>
          <w:rFonts w:cs="Arial"/>
        </w:rPr>
        <w:t>, we explore the correlation between fill rate and annual wage changes in the years from 2021-23 by Major Groups 1 to 3</w:t>
      </w:r>
      <w:r w:rsidR="00A02FB7">
        <w:rPr>
          <w:rFonts w:cs="Arial"/>
        </w:rPr>
        <w:t xml:space="preserve">, to test the hypothesis of a significant wage </w:t>
      </w:r>
      <w:r w:rsidR="00912BD8">
        <w:rPr>
          <w:rFonts w:cs="Arial"/>
        </w:rPr>
        <w:t>adjustment</w:t>
      </w:r>
      <w:r w:rsidR="00533084">
        <w:rPr>
          <w:rFonts w:cs="Arial"/>
        </w:rPr>
        <w:t xml:space="preserve"> by employers</w:t>
      </w:r>
      <w:r w:rsidR="00A02FB7">
        <w:rPr>
          <w:rFonts w:cs="Arial"/>
        </w:rPr>
        <w:t xml:space="preserve"> </w:t>
      </w:r>
      <w:r w:rsidR="00912BD8">
        <w:rPr>
          <w:rFonts w:cs="Arial"/>
        </w:rPr>
        <w:t>in response to low fill rates</w:t>
      </w:r>
      <w:r>
        <w:rPr>
          <w:rFonts w:cs="Arial"/>
        </w:rPr>
        <w:t>.</w:t>
      </w:r>
      <w:r>
        <w:rPr>
          <w:rStyle w:val="FootnoteReference"/>
          <w:rFonts w:cs="Arial"/>
        </w:rPr>
        <w:footnoteReference w:id="9"/>
      </w:r>
      <w:r>
        <w:rPr>
          <w:rFonts w:cs="Arial"/>
        </w:rPr>
        <w:t xml:space="preserve"> </w:t>
      </w:r>
    </w:p>
    <w:p w14:paraId="0948CE1C" w14:textId="2D49BD6B" w:rsidR="00741BB4" w:rsidRPr="003425BF" w:rsidRDefault="00F31C3B" w:rsidP="00F31C3B">
      <w:pPr>
        <w:pStyle w:val="Caption"/>
      </w:pPr>
      <w:bookmarkStart w:id="34" w:name="_Ref173250053"/>
      <w:bookmarkStart w:id="35" w:name="_Ref173226622"/>
      <w:r>
        <w:t xml:space="preserve">Figure </w:t>
      </w:r>
      <w:r>
        <w:fldChar w:fldCharType="begin"/>
      </w:r>
      <w:r>
        <w:instrText xml:space="preserve"> SEQ Figure \* ARABIC </w:instrText>
      </w:r>
      <w:r>
        <w:fldChar w:fldCharType="separate"/>
      </w:r>
      <w:r w:rsidR="00245DC9">
        <w:rPr>
          <w:noProof/>
        </w:rPr>
        <w:t>8</w:t>
      </w:r>
      <w:r>
        <w:fldChar w:fldCharType="end"/>
      </w:r>
      <w:bookmarkEnd w:id="34"/>
      <w:bookmarkEnd w:id="35"/>
      <w:r w:rsidR="00741BB4" w:rsidRPr="003425BF">
        <w:t xml:space="preserve">. </w:t>
      </w:r>
      <w:r w:rsidR="00741BB4" w:rsidRPr="003425BF">
        <w:rPr>
          <w:rFonts w:cs="Arial"/>
        </w:rPr>
        <w:t>Correlation of annual wage change vs fill rates (1-year lag) at ANZSCO 4 digit</w:t>
      </w:r>
      <w:r w:rsidR="00741BB4" w:rsidRPr="003425BF">
        <w:rPr>
          <w:rFonts w:cs="Arial"/>
          <w:noProof/>
        </w:rPr>
        <w:t xml:space="preserve">, by major occupation group 1-3, 2021-23 </w:t>
      </w:r>
      <w:r w:rsidR="00741BB4" w:rsidRPr="003425BF">
        <w:t xml:space="preserve"> </w:t>
      </w:r>
    </w:p>
    <w:p w14:paraId="2CBAD05A" w14:textId="68A7A15D" w:rsidR="000D7557" w:rsidRDefault="00741BB4" w:rsidP="00EC2238">
      <w:pPr>
        <w:pStyle w:val="Source"/>
      </w:pPr>
      <w:r>
        <w:rPr>
          <w:noProof/>
        </w:rPr>
        <w:drawing>
          <wp:inline distT="0" distB="0" distL="0" distR="0" wp14:anchorId="745F159A" wp14:editId="0AE038E3">
            <wp:extent cx="5731510" cy="1910715"/>
            <wp:effectExtent l="0" t="0" r="2540" b="0"/>
            <wp:docPr id="1835118444" name="Picture 7" descr="Figure 8 shows the correlation of fill rate (lagged by 1 year) versus annual wage changes in the years from 2021-23 for matched 4-digit occupations, by Major Groups 1-3. No statistically significant correlations were identified for each Major Group, however weak negative correlations were seen for Group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118444" name="Picture 7" descr="Figure 8 shows the correlation of fill rate (lagged by 1 year) versus annual wage changes in the years from 2021-23 for matched 4-digit occupations, by Major Groups 1-3. No statistically significant correlations were identified for each Major Group, however weak negative correlations were seen for Groups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1910715"/>
                    </a:xfrm>
                    <a:prstGeom prst="rect">
                      <a:avLst/>
                    </a:prstGeom>
                    <a:noFill/>
                    <a:ln>
                      <a:noFill/>
                    </a:ln>
                  </pic:spPr>
                </pic:pic>
              </a:graphicData>
            </a:graphic>
          </wp:inline>
        </w:drawing>
      </w:r>
      <w:r w:rsidR="005F7FEF">
        <w:br/>
      </w:r>
      <w:r w:rsidR="000D7557" w:rsidRPr="00CD3E95">
        <w:t>Source: Jobs and Skills Australia, Survey of Employers who Recently Advertised (SERA), 2021-23 financial year; Australian Bureau of Statistics, Characteristics of Employment, August 2023, TableBuilder.</w:t>
      </w:r>
      <w:r w:rsidR="000D7557">
        <w:t xml:space="preserve"> </w:t>
      </w:r>
    </w:p>
    <w:p w14:paraId="2AD010C0" w14:textId="4C3FBB8B" w:rsidR="00741BB4" w:rsidRDefault="00741BB4" w:rsidP="00741BB4">
      <w:pPr>
        <w:spacing w:after="160" w:line="259" w:lineRule="auto"/>
        <w:rPr>
          <w:rFonts w:cs="Arial"/>
          <w:sz w:val="18"/>
          <w:szCs w:val="18"/>
        </w:rPr>
      </w:pPr>
      <w:r>
        <w:rPr>
          <w:rFonts w:cs="Arial"/>
        </w:rPr>
        <w:t xml:space="preserve">The fill rates are lagged by one year, due to studies and analysis demonstrating that employers do not immediately respond to skill shortages or unfilled vacancies by raising wages. </w:t>
      </w:r>
    </w:p>
    <w:p w14:paraId="770FD4BA" w14:textId="1F479F2B" w:rsidR="00FC02F6" w:rsidRDefault="00F31C3B" w:rsidP="00FC02F6">
      <w:pPr>
        <w:rPr>
          <w:rFonts w:cs="Arial"/>
        </w:rPr>
      </w:pPr>
      <w:r>
        <w:rPr>
          <w:rFonts w:cs="Arial"/>
        </w:rPr>
        <w:fldChar w:fldCharType="begin"/>
      </w:r>
      <w:r>
        <w:rPr>
          <w:rFonts w:cs="Arial"/>
        </w:rPr>
        <w:instrText xml:space="preserve"> REF _Ref173250053 \h </w:instrText>
      </w:r>
      <w:r>
        <w:rPr>
          <w:rFonts w:cs="Arial"/>
        </w:rPr>
      </w:r>
      <w:r>
        <w:rPr>
          <w:rFonts w:cs="Arial"/>
        </w:rPr>
        <w:fldChar w:fldCharType="separate"/>
      </w:r>
      <w:r w:rsidR="00245DC9">
        <w:t xml:space="preserve">Figure </w:t>
      </w:r>
      <w:r w:rsidR="00245DC9">
        <w:rPr>
          <w:noProof/>
        </w:rPr>
        <w:t>8</w:t>
      </w:r>
      <w:r>
        <w:rPr>
          <w:rFonts w:cs="Arial"/>
        </w:rPr>
        <w:fldChar w:fldCharType="end"/>
      </w:r>
      <w:r>
        <w:rPr>
          <w:rFonts w:cs="Arial"/>
        </w:rPr>
        <w:t xml:space="preserve"> </w:t>
      </w:r>
      <w:r w:rsidR="00741BB4">
        <w:rPr>
          <w:rFonts w:cs="Arial"/>
        </w:rPr>
        <w:t xml:space="preserve">shows that the correlations are negative but weak and statistically insignificant for all three major groups. </w:t>
      </w:r>
      <w:r w:rsidR="00FC02F6">
        <w:rPr>
          <w:rFonts w:cs="Arial"/>
        </w:rPr>
        <w:t xml:space="preserve">For Managers, the spread of fill rates and wage changes are much narrower compared to Professionals and Technicians and Trades Workers. </w:t>
      </w:r>
    </w:p>
    <w:p w14:paraId="0B1F59F0" w14:textId="3560EB57" w:rsidR="00741BB4" w:rsidRDefault="00741BB4" w:rsidP="00741BB4">
      <w:pPr>
        <w:rPr>
          <w:rFonts w:cs="Arial"/>
        </w:rPr>
      </w:pPr>
      <w:r>
        <w:rPr>
          <w:rFonts w:cs="Arial"/>
        </w:rPr>
        <w:t xml:space="preserve">The gradient of the line of best fit is </w:t>
      </w:r>
      <w:r w:rsidR="008C3319">
        <w:rPr>
          <w:rFonts w:cs="Arial"/>
        </w:rPr>
        <w:t xml:space="preserve">marginally </w:t>
      </w:r>
      <w:r>
        <w:rPr>
          <w:rFonts w:cs="Arial"/>
        </w:rPr>
        <w:t xml:space="preserve">steeper for Managers and Professionals compared to Technicians and Trades Workers, which is almost flat. </w:t>
      </w:r>
    </w:p>
    <w:p w14:paraId="7E111B07" w14:textId="0A71B1DF" w:rsidR="00741BB4" w:rsidRDefault="00741BB4" w:rsidP="00741BB4">
      <w:pPr>
        <w:rPr>
          <w:rFonts w:cs="Arial"/>
        </w:rPr>
      </w:pPr>
      <w:r>
        <w:rPr>
          <w:rFonts w:cs="Arial"/>
        </w:rPr>
        <w:t xml:space="preserve">The correlation analysis reinforces SERA data, which </w:t>
      </w:r>
      <w:r w:rsidRPr="00CD3E95">
        <w:rPr>
          <w:rFonts w:cs="Arial"/>
        </w:rPr>
        <w:t xml:space="preserve">show that employers </w:t>
      </w:r>
      <w:r w:rsidRPr="00106692">
        <w:rPr>
          <w:rFonts w:cs="Arial"/>
        </w:rPr>
        <w:t>rarely</w:t>
      </w:r>
      <w:r w:rsidRPr="00CD3E95">
        <w:rPr>
          <w:rFonts w:cs="Arial"/>
        </w:rPr>
        <w:t xml:space="preserve"> </w:t>
      </w:r>
      <w:r w:rsidR="00533084">
        <w:rPr>
          <w:rFonts w:cs="Arial"/>
        </w:rPr>
        <w:t xml:space="preserve">make significant </w:t>
      </w:r>
      <w:r w:rsidRPr="00CD3E95">
        <w:rPr>
          <w:rFonts w:cs="Arial"/>
        </w:rPr>
        <w:t>adjust</w:t>
      </w:r>
      <w:r w:rsidR="00533084">
        <w:rPr>
          <w:rFonts w:cs="Arial"/>
        </w:rPr>
        <w:t>ments to</w:t>
      </w:r>
      <w:r w:rsidRPr="00CD3E95">
        <w:rPr>
          <w:rFonts w:cs="Arial"/>
        </w:rPr>
        <w:t xml:space="preserve"> wages to fill vacancies. </w:t>
      </w:r>
      <w:r>
        <w:rPr>
          <w:rFonts w:cs="Arial"/>
        </w:rPr>
        <w:t xml:space="preserve">It further aligns with current </w:t>
      </w:r>
      <w:r w:rsidRPr="00CD3E95">
        <w:rPr>
          <w:rFonts w:cs="Arial"/>
        </w:rPr>
        <w:t>research which show</w:t>
      </w:r>
      <w:r>
        <w:rPr>
          <w:rFonts w:cs="Arial"/>
        </w:rPr>
        <w:t>s</w:t>
      </w:r>
      <w:r w:rsidRPr="00CD3E95">
        <w:rPr>
          <w:rFonts w:cs="Arial"/>
        </w:rPr>
        <w:t xml:space="preserve"> limited evidence that firms raised wages in response to skill shortages</w:t>
      </w:r>
      <w:r>
        <w:rPr>
          <w:rFonts w:cs="Arial"/>
        </w:rPr>
        <w:t>.</w:t>
      </w:r>
      <w:r>
        <w:rPr>
          <w:rStyle w:val="FootnoteReference"/>
          <w:rFonts w:cs="Arial"/>
        </w:rPr>
        <w:footnoteReference w:id="10"/>
      </w:r>
      <w:r>
        <w:rPr>
          <w:rFonts w:cs="Arial"/>
          <w:vertAlign w:val="superscript"/>
        </w:rPr>
        <w:t>,</w:t>
      </w:r>
      <w:r>
        <w:rPr>
          <w:rStyle w:val="FootnoteReference"/>
          <w:rFonts w:cs="Arial"/>
        </w:rPr>
        <w:footnoteReference w:id="11"/>
      </w:r>
      <w:r>
        <w:rPr>
          <w:rFonts w:cs="Arial"/>
        </w:rPr>
        <w:t xml:space="preserve"> A much stronger and statistically significant relationship would suggest otherwise. </w:t>
      </w:r>
    </w:p>
    <w:p w14:paraId="7146D6F2" w14:textId="77777777" w:rsidR="00741BB4" w:rsidRDefault="00741BB4" w:rsidP="00741BB4">
      <w:pPr>
        <w:rPr>
          <w:rFonts w:cs="Arial"/>
        </w:rPr>
      </w:pPr>
    </w:p>
    <w:p w14:paraId="45B10869" w14:textId="77777777" w:rsidR="00741BB4" w:rsidRDefault="00741BB4" w:rsidP="00741BB4">
      <w:pPr>
        <w:spacing w:after="160" w:line="259" w:lineRule="auto"/>
        <w:sectPr w:rsidR="00741BB4" w:rsidSect="00FC0D73">
          <w:footerReference w:type="default" r:id="rId24"/>
          <w:pgSz w:w="11906" w:h="16838"/>
          <w:pgMar w:top="1276" w:right="1440" w:bottom="1134" w:left="1440" w:header="0" w:footer="539" w:gutter="0"/>
          <w:pgNumType w:start="0"/>
          <w:cols w:space="708"/>
          <w:titlePg/>
          <w:docGrid w:linePitch="360"/>
        </w:sectPr>
      </w:pPr>
    </w:p>
    <w:p w14:paraId="339C7FC8" w14:textId="73657959" w:rsidR="00741BB4" w:rsidRDefault="00741BB4" w:rsidP="00741BB4">
      <w:pPr>
        <w:pStyle w:val="Heading1"/>
      </w:pPr>
      <w:bookmarkStart w:id="36" w:name="_Toc170300714"/>
      <w:bookmarkStart w:id="37" w:name="_Toc173755018"/>
      <w:r>
        <w:lastRenderedPageBreak/>
        <w:t xml:space="preserve">Explanatory </w:t>
      </w:r>
      <w:bookmarkEnd w:id="36"/>
      <w:r w:rsidR="00372A90">
        <w:t>n</w:t>
      </w:r>
      <w:r w:rsidR="00372A90" w:rsidRPr="005D14CA">
        <w:t>otes</w:t>
      </w:r>
      <w:bookmarkEnd w:id="37"/>
    </w:p>
    <w:p w14:paraId="15DEFB1E" w14:textId="77777777" w:rsidR="00741BB4" w:rsidRDefault="00741BB4" w:rsidP="00741BB4">
      <w:pPr>
        <w:pStyle w:val="ListBullet"/>
        <w:numPr>
          <w:ilvl w:val="0"/>
          <w:numId w:val="0"/>
        </w:numPr>
      </w:pPr>
      <w:r>
        <w:t xml:space="preserve">The Survey of Employers who have Recently Advertised (SERA) is designed for the specific purpose of assessing occupational shortages for skilled occupations and provides a direct measure of the employer experience when recruiting. The survey receives around 2,000 responses each quarter from employers who have advertised vacancies online. Only those occupations with a sufficient quarterly sample size are included for analysis in this report to ensure data changes are more reflective of labour market developments. </w:t>
      </w:r>
    </w:p>
    <w:p w14:paraId="2654711C" w14:textId="77777777" w:rsidR="00741BB4" w:rsidRDefault="00741BB4" w:rsidP="00741BB4">
      <w:pPr>
        <w:pStyle w:val="ListBullet"/>
        <w:numPr>
          <w:ilvl w:val="0"/>
          <w:numId w:val="0"/>
        </w:numPr>
      </w:pPr>
      <w:r>
        <w:t xml:space="preserve">The survey covers occupations, as defined by </w:t>
      </w:r>
      <w:hyperlink r:id="rId25" w:history="1">
        <w:r w:rsidRPr="00F075C3">
          <w:rPr>
            <w:rStyle w:val="Hyperlink"/>
          </w:rPr>
          <w:t>Australian and New Zealand Standard Classification of Occupations</w:t>
        </w:r>
      </w:hyperlink>
      <w:r>
        <w:rPr>
          <w:rStyle w:val="Hyperlink"/>
        </w:rPr>
        <w:t xml:space="preserve">, </w:t>
      </w:r>
      <w:r>
        <w:t>generally requiring a university degree, trade apprenticeship or Certificate III or Certificate IV. As a result, the survey outcomes are reflective of occupations requiring post-school education and training.</w:t>
      </w:r>
      <w:r w:rsidRPr="00812B6B">
        <w:t xml:space="preserve"> </w:t>
      </w:r>
    </w:p>
    <w:p w14:paraId="10841664" w14:textId="77777777" w:rsidR="00741BB4" w:rsidRDefault="00741BB4" w:rsidP="00741BB4">
      <w:r>
        <w:t xml:space="preserve">The fill rate is used as a proxy for identifying occupations that may be in shortage: lower fill rates generally imply greater employer difficulties filling vacant positions. In contrast, higher fill rates suggest fewer challenges and in general, imply a lower likelihood of shortage. </w:t>
      </w:r>
    </w:p>
    <w:p w14:paraId="365BBE4A" w14:textId="77777777" w:rsidR="00741BB4" w:rsidRDefault="00741BB4" w:rsidP="00741BB4">
      <w:r>
        <w:t xml:space="preserve">Additional metrics collected in SERA include applicants on a per vacancy basis; the average number of total applicants; qualified applicants; suitable applicants; and the average years of labour market experience sought by employers (for definitions, refer to the following section). Movements in these variables add context to changes in fill rates over time. </w:t>
      </w:r>
    </w:p>
    <w:p w14:paraId="789FED0E" w14:textId="44E02B3D" w:rsidR="00741BB4" w:rsidRDefault="00741BB4" w:rsidP="00741BB4">
      <w:pPr>
        <w:pStyle w:val="ListBullet"/>
        <w:numPr>
          <w:ilvl w:val="0"/>
          <w:numId w:val="0"/>
        </w:numPr>
      </w:pPr>
      <w:r>
        <w:t xml:space="preserve">Data found in </w:t>
      </w:r>
      <w:r w:rsidR="0082210A">
        <w:t>Occupation</w:t>
      </w:r>
      <w:r>
        <w:t xml:space="preserve"> Shortage </w:t>
      </w:r>
      <w:r w:rsidR="00264C2E">
        <w:t>Report</w:t>
      </w:r>
      <w:r>
        <w:t xml:space="preserve"> is not an indicator of occupations </w:t>
      </w:r>
      <w:r w:rsidR="00F73C2C">
        <w:t xml:space="preserve">in shortage in upcoming Occupation Priority Lists, formerly known as the Skills Priority List. </w:t>
      </w:r>
    </w:p>
    <w:p w14:paraId="2A561990" w14:textId="77777777" w:rsidR="00741BB4" w:rsidRDefault="00741BB4" w:rsidP="00741BB4">
      <w:pPr>
        <w:pStyle w:val="ListBullet"/>
        <w:numPr>
          <w:ilvl w:val="0"/>
          <w:numId w:val="0"/>
        </w:numPr>
      </w:pPr>
      <w:r>
        <w:t xml:space="preserve">Caution should be exercised when interpreting data for Tasmania, the Northern Territory and the Australian Capital Territory given lower sample sizes. </w:t>
      </w:r>
    </w:p>
    <w:p w14:paraId="441F7D4F" w14:textId="77777777" w:rsidR="00741BB4" w:rsidRDefault="00741BB4" w:rsidP="00741BB4">
      <w:pPr>
        <w:pStyle w:val="Heading2"/>
      </w:pPr>
      <w:bookmarkStart w:id="38" w:name="_Toc173755019"/>
      <w:r>
        <w:t>Definitions of metrics</w:t>
      </w:r>
      <w:bookmarkEnd w:id="38"/>
    </w:p>
    <w:p w14:paraId="07170AEE" w14:textId="77777777" w:rsidR="00741BB4" w:rsidRPr="00BA38A0" w:rsidRDefault="00741BB4" w:rsidP="00741BB4">
      <w:r w:rsidRPr="00527111">
        <w:rPr>
          <w:rStyle w:val="Strong"/>
        </w:rPr>
        <w:t>The fill rate</w:t>
      </w:r>
      <w:r>
        <w:t xml:space="preserve"> is the percentage of vacancies employers advertised that were filled. The metric is calculated by dividing the number of filled vacancies by total advertised vacancies. </w:t>
      </w:r>
    </w:p>
    <w:p w14:paraId="1A0B0E07" w14:textId="77777777" w:rsidR="00741BB4" w:rsidRDefault="00741BB4" w:rsidP="00741BB4">
      <w:r w:rsidRPr="00527111">
        <w:rPr>
          <w:rStyle w:val="Strong"/>
        </w:rPr>
        <w:t>The average number of applicants per vacancy</w:t>
      </w:r>
      <w:r>
        <w:t xml:space="preserve"> is calculated as the sum of the number of applicants divided by the sum of advertised vacancies. </w:t>
      </w:r>
    </w:p>
    <w:p w14:paraId="3525D38C" w14:textId="77777777" w:rsidR="00741BB4" w:rsidRDefault="00741BB4" w:rsidP="00741BB4">
      <w:r w:rsidRPr="00527111">
        <w:rPr>
          <w:rStyle w:val="Strong"/>
        </w:rPr>
        <w:t>The average number of qualified applicants per vacancy</w:t>
      </w:r>
      <w:r w:rsidRPr="00E75656">
        <w:t xml:space="preserve"> </w:t>
      </w:r>
      <w:r>
        <w:t xml:space="preserve">is calculated as the sum of the number of qualified applicants divided by the sum of advertised vacancies. </w:t>
      </w:r>
      <w:r w:rsidRPr="00195CA0">
        <w:t xml:space="preserve">Qualified </w:t>
      </w:r>
      <w:r>
        <w:t xml:space="preserve">applicants are the applicants who are assessed by employers as meeting the required qualification criteria of an advertised vacancy. </w:t>
      </w:r>
    </w:p>
    <w:p w14:paraId="073173C3" w14:textId="77777777" w:rsidR="00741BB4" w:rsidRDefault="00741BB4" w:rsidP="00741BB4">
      <w:r w:rsidRPr="00527111">
        <w:rPr>
          <w:rStyle w:val="Strong"/>
        </w:rPr>
        <w:t>The average number of suitable applicants per vacancy</w:t>
      </w:r>
      <w:r>
        <w:t xml:space="preserve"> is calculated as the sum of the number of suitable applicants divided by the sum of advertised vacancies. Suitable applicants are those who are deemed by employers to be suitable for the job advertised. </w:t>
      </w:r>
    </w:p>
    <w:p w14:paraId="0F32A169" w14:textId="77777777" w:rsidR="00741BB4" w:rsidRDefault="00741BB4" w:rsidP="00741BB4">
      <w:r w:rsidRPr="00527111">
        <w:rPr>
          <w:rStyle w:val="Strong"/>
        </w:rPr>
        <w:t>The average years of labour market experience</w:t>
      </w:r>
      <w:r>
        <w:t xml:space="preserve"> sought by employer is t</w:t>
      </w:r>
      <w:r w:rsidRPr="00CD13AB">
        <w:t xml:space="preserve">he average number of years that employers require applicants </w:t>
      </w:r>
      <w:r>
        <w:t xml:space="preserve">to </w:t>
      </w:r>
      <w:r w:rsidRPr="00CD13AB">
        <w:t>have spent in relevant occupation</w:t>
      </w:r>
      <w:r>
        <w:t>s</w:t>
      </w:r>
      <w:r w:rsidRPr="00CD13AB">
        <w:t xml:space="preserve"> and </w:t>
      </w:r>
      <w:r>
        <w:t xml:space="preserve">is </w:t>
      </w:r>
      <w:r w:rsidRPr="00CD13AB">
        <w:t>calculated as the mean of the years required per employer.</w:t>
      </w:r>
    </w:p>
    <w:p w14:paraId="2466FB02" w14:textId="77777777" w:rsidR="00741BB4" w:rsidRDefault="00741BB4" w:rsidP="00741BB4">
      <w:r w:rsidRPr="00527111">
        <w:rPr>
          <w:rStyle w:val="Strong"/>
        </w:rPr>
        <w:t>Metropolitan area</w:t>
      </w:r>
      <w:r>
        <w:t xml:space="preserve"> refers to Capital City, while </w:t>
      </w:r>
      <w:r w:rsidRPr="00527111">
        <w:rPr>
          <w:rStyle w:val="Strong"/>
        </w:rPr>
        <w:t>Regional area</w:t>
      </w:r>
      <w:r>
        <w:t xml:space="preserve"> refers to Rest of State locations. Capital City and Rest of State areas are defined by the </w:t>
      </w:r>
      <w:hyperlink r:id="rId26" w:history="1">
        <w:r w:rsidRPr="00120794">
          <w:rPr>
            <w:rStyle w:val="Hyperlink"/>
          </w:rPr>
          <w:t>Australian Statistical Geography Standard (ASGS): Volume 1 – Main Structure and Greater Capital City Statistical Areas</w:t>
        </w:r>
      </w:hyperlink>
      <w:r>
        <w:t>, July 2016.</w:t>
      </w:r>
    </w:p>
    <w:p w14:paraId="1DB8489B" w14:textId="77777777" w:rsidR="00741BB4" w:rsidRDefault="00741BB4" w:rsidP="00741BB4">
      <w:r w:rsidRPr="00527111">
        <w:rPr>
          <w:rStyle w:val="Strong"/>
        </w:rPr>
        <w:t>Suitability gap</w:t>
      </w:r>
      <w:r>
        <w:rPr>
          <w:b/>
          <w:bCs/>
        </w:rPr>
        <w:t xml:space="preserve"> </w:t>
      </w:r>
      <w:r>
        <w:t xml:space="preserve">is the difference between the average number of qualified applicants per vacancy and the average number of suitable applicants per vacancy. A suitability gap </w:t>
      </w:r>
      <w:r>
        <w:lastRenderedPageBreak/>
        <w:t xml:space="preserve">greater than zero would mean that there are fewer suitable applicants than qualified applicants. </w:t>
      </w:r>
    </w:p>
    <w:p w14:paraId="41C623B9" w14:textId="09F78AA0" w:rsidR="00741BB4" w:rsidRPr="006D009D" w:rsidRDefault="00741BB4" w:rsidP="00741BB4">
      <w:r>
        <w:t xml:space="preserve">For more information, contact </w:t>
      </w:r>
      <w:hyperlink r:id="rId27" w:history="1">
        <w:r w:rsidR="003C73C1" w:rsidRPr="003C73C1">
          <w:rPr>
            <w:rStyle w:val="Hyperlink"/>
          </w:rPr>
          <w:t>OccupationShortageList@jobsandskills.gov.au</w:t>
        </w:r>
      </w:hyperlink>
      <w:r w:rsidRPr="12973D0E">
        <w:rPr>
          <w:lang w:val="en-US" w:eastAsia="en-AU"/>
        </w:rPr>
        <w:t>.</w:t>
      </w:r>
    </w:p>
    <w:p w14:paraId="0CA90B20" w14:textId="507F1DAB" w:rsidR="00741BB4" w:rsidRPr="00E61ADA" w:rsidRDefault="00741BB4">
      <w:pPr>
        <w:spacing w:after="160" w:line="259" w:lineRule="auto"/>
      </w:pPr>
    </w:p>
    <w:sectPr w:rsidR="00741BB4" w:rsidRPr="00E61ADA" w:rsidSect="00833FE6">
      <w:pgSz w:w="11906" w:h="16838"/>
      <w:pgMar w:top="1276" w:right="1440" w:bottom="1134" w:left="1440" w:header="0"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ABEC9" w14:textId="77777777" w:rsidR="007939DB" w:rsidRDefault="007939DB" w:rsidP="008C0056">
      <w:r>
        <w:separator/>
      </w:r>
    </w:p>
  </w:endnote>
  <w:endnote w:type="continuationSeparator" w:id="0">
    <w:p w14:paraId="26642BB3" w14:textId="77777777" w:rsidR="007939DB" w:rsidRDefault="007939DB" w:rsidP="008C0056">
      <w:r>
        <w:continuationSeparator/>
      </w:r>
    </w:p>
  </w:endnote>
  <w:endnote w:type="continuationNotice" w:id="1">
    <w:p w14:paraId="072B905A" w14:textId="77777777" w:rsidR="007939DB" w:rsidRDefault="007939DB"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1416288"/>
      <w:docPartObj>
        <w:docPartGallery w:val="Page Numbers (Bottom of Page)"/>
        <w:docPartUnique/>
      </w:docPartObj>
    </w:sdtPr>
    <w:sdtEndPr>
      <w:rPr>
        <w:noProof/>
      </w:rPr>
    </w:sdtEndPr>
    <w:sdtContent>
      <w:p w14:paraId="474EC237" w14:textId="01D17CF4" w:rsidR="00741BB4" w:rsidRPr="00991526" w:rsidRDefault="00741BB4" w:rsidP="00741BB4">
        <w:pPr>
          <w:pStyle w:val="Footer"/>
        </w:pPr>
        <w:r w:rsidRPr="00991526">
          <w:t xml:space="preserve">Jobs and Skills Australia – </w:t>
        </w:r>
        <w:sdt>
          <w:sdtPr>
            <w:alias w:val="Title"/>
            <w:tag w:val=""/>
            <w:id w:val="-1541898129"/>
            <w:placeholder>
              <w:docPart w:val="D0815E1BFC17437BB34E762E250C75DE"/>
            </w:placeholder>
            <w:dataBinding w:prefixMappings="xmlns:ns0='http://purl.org/dc/elements/1.1/' xmlns:ns1='http://schemas.openxmlformats.org/package/2006/metadata/core-properties' " w:xpath="/ns1:coreProperties[1]/ns0:title[1]" w:storeItemID="{6C3C8BC8-F283-45AE-878A-BAB7291924A1}"/>
            <w:text/>
          </w:sdtPr>
          <w:sdtContent>
            <w:r w:rsidR="00944A76">
              <w:t>Occupation Shortage Report</w:t>
            </w:r>
          </w:sdtContent>
        </w:sdt>
        <w:r>
          <w:tab/>
        </w:r>
        <w:r w:rsidRPr="00991526">
          <w:fldChar w:fldCharType="begin"/>
        </w:r>
        <w:r w:rsidRPr="00991526">
          <w:instrText xml:space="preserve"> PAGE   \* MERGEFORMAT </w:instrText>
        </w:r>
        <w:r w:rsidRPr="00991526">
          <w:fldChar w:fldCharType="separate"/>
        </w:r>
        <w:r>
          <w:t>1</w:t>
        </w:r>
        <w:r w:rsidRPr="00991526">
          <w:rPr>
            <w:noProof/>
          </w:rPr>
          <w:fldChar w:fldCharType="end"/>
        </w:r>
      </w:p>
    </w:sdtContent>
  </w:sdt>
  <w:p w14:paraId="481C20CF" w14:textId="77777777" w:rsidR="00741BB4" w:rsidRDefault="00741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67D7D" w14:textId="77777777" w:rsidR="007939DB" w:rsidRDefault="007939DB" w:rsidP="008C0056">
      <w:r>
        <w:separator/>
      </w:r>
    </w:p>
  </w:footnote>
  <w:footnote w:type="continuationSeparator" w:id="0">
    <w:p w14:paraId="746821EE" w14:textId="77777777" w:rsidR="007939DB" w:rsidRDefault="007939DB" w:rsidP="008C0056">
      <w:r>
        <w:continuationSeparator/>
      </w:r>
    </w:p>
  </w:footnote>
  <w:footnote w:type="continuationNotice" w:id="1">
    <w:p w14:paraId="18EA2532" w14:textId="77777777" w:rsidR="007939DB" w:rsidRDefault="007939DB" w:rsidP="008C0056"/>
  </w:footnote>
  <w:footnote w:id="2">
    <w:p w14:paraId="4E205B72" w14:textId="133262C1" w:rsidR="00B77169" w:rsidRDefault="00B77169" w:rsidP="00B77169">
      <w:pPr>
        <w:pStyle w:val="FootnoteText"/>
      </w:pPr>
      <w:r>
        <w:rPr>
          <w:rStyle w:val="FootnoteReference"/>
        </w:rPr>
        <w:footnoteRef/>
      </w:r>
      <w:r>
        <w:t xml:space="preserve"> </w:t>
      </w:r>
      <w:r w:rsidR="00A24747">
        <w:rPr>
          <w:sz w:val="16"/>
          <w:szCs w:val="16"/>
        </w:rPr>
        <w:t>Th</w:t>
      </w:r>
      <w:r w:rsidRPr="00FB0FB1">
        <w:rPr>
          <w:sz w:val="16"/>
          <w:szCs w:val="16"/>
        </w:rPr>
        <w:t xml:space="preserve">e fill rate and other metrics </w:t>
      </w:r>
      <w:r w:rsidR="00527FB5">
        <w:rPr>
          <w:sz w:val="16"/>
          <w:szCs w:val="16"/>
        </w:rPr>
        <w:t xml:space="preserve">in the table are based on </w:t>
      </w:r>
      <w:r w:rsidRPr="00FB0FB1">
        <w:rPr>
          <w:sz w:val="16"/>
          <w:szCs w:val="16"/>
        </w:rPr>
        <w:t>using 12 months of data leading to the latest quarter. Using a rolling annual period</w:t>
      </w:r>
      <w:r w:rsidR="00E960A9">
        <w:rPr>
          <w:sz w:val="16"/>
          <w:szCs w:val="16"/>
        </w:rPr>
        <w:t>,</w:t>
      </w:r>
      <w:r w:rsidRPr="00FB0FB1">
        <w:rPr>
          <w:sz w:val="16"/>
          <w:szCs w:val="16"/>
        </w:rPr>
        <w:t xml:space="preserve"> as opposed to the latest quarter itself</w:t>
      </w:r>
      <w:r w:rsidR="00E41419">
        <w:rPr>
          <w:sz w:val="16"/>
          <w:szCs w:val="16"/>
        </w:rPr>
        <w:t>,</w:t>
      </w:r>
      <w:r w:rsidRPr="00FB0FB1">
        <w:rPr>
          <w:sz w:val="16"/>
          <w:szCs w:val="16"/>
        </w:rPr>
        <w:t xml:space="preserve"> removes the impact of data volatility attributable to SERA sampling, whereby concentrations of sampling with respect to different occupational major groups can occur at different times of </w:t>
      </w:r>
      <w:r>
        <w:rPr>
          <w:sz w:val="16"/>
          <w:szCs w:val="16"/>
        </w:rPr>
        <w:t>a</w:t>
      </w:r>
      <w:r w:rsidRPr="00FB0FB1">
        <w:rPr>
          <w:sz w:val="16"/>
          <w:szCs w:val="16"/>
        </w:rPr>
        <w:t xml:space="preserve"> year.</w:t>
      </w:r>
    </w:p>
  </w:footnote>
  <w:footnote w:id="3">
    <w:p w14:paraId="2589DA3D" w14:textId="13DA606D" w:rsidR="00E97381" w:rsidRDefault="00E97381" w:rsidP="00E97381">
      <w:pPr>
        <w:pStyle w:val="FootnoteText"/>
      </w:pPr>
      <w:r>
        <w:rPr>
          <w:rStyle w:val="FootnoteReference"/>
        </w:rPr>
        <w:footnoteRef/>
      </w:r>
      <w:r>
        <w:t xml:space="preserve"> </w:t>
      </w:r>
      <w:r w:rsidR="004C261F">
        <w:rPr>
          <w:sz w:val="16"/>
          <w:szCs w:val="16"/>
        </w:rPr>
        <w:t xml:space="preserve">The </w:t>
      </w:r>
      <w:r w:rsidRPr="00236A7E">
        <w:rPr>
          <w:sz w:val="16"/>
          <w:szCs w:val="16"/>
        </w:rPr>
        <w:t xml:space="preserve">suitability gap </w:t>
      </w:r>
      <w:r w:rsidR="004C261F">
        <w:rPr>
          <w:sz w:val="16"/>
          <w:szCs w:val="16"/>
        </w:rPr>
        <w:t xml:space="preserve">is </w:t>
      </w:r>
      <w:r w:rsidRPr="00236A7E">
        <w:rPr>
          <w:sz w:val="16"/>
          <w:szCs w:val="16"/>
        </w:rPr>
        <w:t xml:space="preserve">the difference between the number of qualified applicants </w:t>
      </w:r>
      <w:r w:rsidR="00B67124">
        <w:rPr>
          <w:sz w:val="16"/>
          <w:szCs w:val="16"/>
        </w:rPr>
        <w:t xml:space="preserve">per vacancy </w:t>
      </w:r>
      <w:r w:rsidRPr="00236A7E">
        <w:rPr>
          <w:sz w:val="16"/>
          <w:szCs w:val="16"/>
        </w:rPr>
        <w:t>and suitable applicants</w:t>
      </w:r>
      <w:r w:rsidR="00B67124">
        <w:rPr>
          <w:sz w:val="16"/>
          <w:szCs w:val="16"/>
        </w:rPr>
        <w:t xml:space="preserve"> per vacancy</w:t>
      </w:r>
      <w:r>
        <w:rPr>
          <w:sz w:val="16"/>
          <w:szCs w:val="16"/>
        </w:rPr>
        <w:t>,</w:t>
      </w:r>
      <w:r w:rsidRPr="00236A7E">
        <w:rPr>
          <w:sz w:val="16"/>
          <w:szCs w:val="16"/>
        </w:rPr>
        <w:t xml:space="preserve"> as a </w:t>
      </w:r>
      <w:r w:rsidR="00B67124">
        <w:rPr>
          <w:sz w:val="16"/>
          <w:szCs w:val="16"/>
        </w:rPr>
        <w:t xml:space="preserve">percentage </w:t>
      </w:r>
      <w:r w:rsidRPr="00236A7E">
        <w:rPr>
          <w:sz w:val="16"/>
          <w:szCs w:val="16"/>
        </w:rPr>
        <w:t xml:space="preserve">of the number of qualified applicants per vacancy. </w:t>
      </w:r>
    </w:p>
  </w:footnote>
  <w:footnote w:id="4">
    <w:p w14:paraId="1C5A041C" w14:textId="29E6ECED" w:rsidR="00655781" w:rsidRDefault="00655781" w:rsidP="00655781">
      <w:pPr>
        <w:pStyle w:val="FootnoteText"/>
      </w:pPr>
      <w:r>
        <w:rPr>
          <w:rStyle w:val="FootnoteReference"/>
        </w:rPr>
        <w:footnoteRef/>
      </w:r>
      <w:r>
        <w:t xml:space="preserve"> </w:t>
      </w:r>
      <w:r w:rsidRPr="00031B05">
        <w:rPr>
          <w:sz w:val="16"/>
          <w:szCs w:val="16"/>
        </w:rPr>
        <w:t xml:space="preserve">The metric has several interpretations. </w:t>
      </w:r>
      <w:r>
        <w:rPr>
          <w:sz w:val="16"/>
          <w:szCs w:val="16"/>
        </w:rPr>
        <w:t>A</w:t>
      </w:r>
      <w:r w:rsidRPr="00031B05">
        <w:rPr>
          <w:sz w:val="16"/>
          <w:szCs w:val="16"/>
        </w:rPr>
        <w:t xml:space="preserve"> wide or widening gap may indicate</w:t>
      </w:r>
      <w:r>
        <w:rPr>
          <w:sz w:val="16"/>
          <w:szCs w:val="16"/>
        </w:rPr>
        <w:t xml:space="preserve"> </w:t>
      </w:r>
      <w:r w:rsidRPr="00031B05">
        <w:rPr>
          <w:sz w:val="16"/>
          <w:szCs w:val="16"/>
        </w:rPr>
        <w:t>that qualifications of applicants may not be equipping them with all skills and experiences needed, including the need for greater work experience and/or other soft or hard skills.</w:t>
      </w:r>
      <w:r w:rsidR="002E6506">
        <w:rPr>
          <w:sz w:val="16"/>
          <w:szCs w:val="16"/>
        </w:rPr>
        <w:t xml:space="preserve"> It could also suggest </w:t>
      </w:r>
      <w:r w:rsidRPr="00031B05">
        <w:rPr>
          <w:sz w:val="16"/>
          <w:szCs w:val="16"/>
        </w:rPr>
        <w:t>slack in the labour market, allowing employers greater scrutiny of candidates that apply for vacant roles.</w:t>
      </w:r>
    </w:p>
  </w:footnote>
  <w:footnote w:id="5">
    <w:p w14:paraId="3FCF40BE" w14:textId="45510781" w:rsidR="00803F77" w:rsidRDefault="00803F77">
      <w:pPr>
        <w:pStyle w:val="FootnoteText"/>
      </w:pPr>
      <w:r>
        <w:rPr>
          <w:rStyle w:val="FootnoteReference"/>
        </w:rPr>
        <w:footnoteRef/>
      </w:r>
      <w:r>
        <w:t xml:space="preserve"> </w:t>
      </w:r>
      <w:r w:rsidR="00167562">
        <w:rPr>
          <w:sz w:val="16"/>
          <w:szCs w:val="16"/>
        </w:rPr>
        <w:t xml:space="preserve">The difference in suitable applicants per vacancy between June quarter 2024 and March quarter 2024 appears to be 0.2. However, the difference is </w:t>
      </w:r>
      <w:r w:rsidR="001E1E26">
        <w:rPr>
          <w:sz w:val="16"/>
          <w:szCs w:val="16"/>
        </w:rPr>
        <w:t xml:space="preserve">actually 0.129 and 0.1 when rounded down. This is because the </w:t>
      </w:r>
      <w:r w:rsidRPr="00FC0D73">
        <w:rPr>
          <w:sz w:val="16"/>
          <w:szCs w:val="16"/>
        </w:rPr>
        <w:t xml:space="preserve">unrounded </w:t>
      </w:r>
      <w:r w:rsidR="001E1E26">
        <w:rPr>
          <w:sz w:val="16"/>
          <w:szCs w:val="16"/>
        </w:rPr>
        <w:t xml:space="preserve">suitable applicants per vacancy </w:t>
      </w:r>
      <w:r w:rsidR="00496FE0">
        <w:rPr>
          <w:sz w:val="16"/>
          <w:szCs w:val="16"/>
        </w:rPr>
        <w:t xml:space="preserve">in June </w:t>
      </w:r>
      <w:r w:rsidRPr="00FC0D73">
        <w:rPr>
          <w:sz w:val="16"/>
          <w:szCs w:val="16"/>
        </w:rPr>
        <w:t>quarter is 2.961</w:t>
      </w:r>
      <w:r w:rsidR="00496FE0">
        <w:rPr>
          <w:sz w:val="16"/>
          <w:szCs w:val="16"/>
        </w:rPr>
        <w:t xml:space="preserve"> and </w:t>
      </w:r>
      <w:r w:rsidRPr="00FC0D73">
        <w:rPr>
          <w:sz w:val="16"/>
          <w:szCs w:val="16"/>
        </w:rPr>
        <w:t>2.832</w:t>
      </w:r>
      <w:r w:rsidR="008524E4">
        <w:rPr>
          <w:sz w:val="16"/>
          <w:szCs w:val="16"/>
        </w:rPr>
        <w:t xml:space="preserve"> in the previous quarter</w:t>
      </w:r>
      <w:r w:rsidRPr="00FC0D73">
        <w:rPr>
          <w:sz w:val="16"/>
          <w:szCs w:val="16"/>
        </w:rPr>
        <w:t xml:space="preserve">. </w:t>
      </w:r>
    </w:p>
  </w:footnote>
  <w:footnote w:id="6">
    <w:p w14:paraId="647A021C" w14:textId="0F9AD0E6" w:rsidR="00E571FB" w:rsidRDefault="00E571FB">
      <w:pPr>
        <w:pStyle w:val="FootnoteText"/>
      </w:pPr>
      <w:r>
        <w:rPr>
          <w:rStyle w:val="FootnoteReference"/>
        </w:rPr>
        <w:footnoteRef/>
      </w:r>
      <w:r>
        <w:t xml:space="preserve"> </w:t>
      </w:r>
      <w:r w:rsidRPr="00AD2B8F">
        <w:rPr>
          <w:sz w:val="16"/>
          <w:szCs w:val="16"/>
        </w:rPr>
        <w:t>Australian and New Zealand Standard Classification of Occupations</w:t>
      </w:r>
    </w:p>
  </w:footnote>
  <w:footnote w:id="7">
    <w:p w14:paraId="0B600662" w14:textId="38C81B3F" w:rsidR="00741BB4" w:rsidRPr="00592546" w:rsidRDefault="00741BB4" w:rsidP="00741BB4">
      <w:pPr>
        <w:pStyle w:val="FootnoteText"/>
        <w:rPr>
          <w:rFonts w:cs="Arial"/>
          <w:sz w:val="16"/>
          <w:szCs w:val="16"/>
        </w:rPr>
      </w:pPr>
      <w:r w:rsidRPr="00592546">
        <w:rPr>
          <w:rStyle w:val="FootnoteReference"/>
          <w:sz w:val="16"/>
          <w:szCs w:val="16"/>
        </w:rPr>
        <w:footnoteRef/>
      </w:r>
      <w:r w:rsidRPr="00592546">
        <w:rPr>
          <w:sz w:val="16"/>
          <w:szCs w:val="16"/>
        </w:rPr>
        <w:t xml:space="preserve"> </w:t>
      </w:r>
      <w:r w:rsidRPr="00D718FC">
        <w:rPr>
          <w:sz w:val="16"/>
          <w:szCs w:val="16"/>
        </w:rPr>
        <w:t>We analysed the relationship between fill rates and wages by linking annual fill rates from SERA with the annual average weighted hourly earnings of employee’s main jobs from the A</w:t>
      </w:r>
      <w:r>
        <w:rPr>
          <w:sz w:val="16"/>
          <w:szCs w:val="16"/>
        </w:rPr>
        <w:t xml:space="preserve">ustralian </w:t>
      </w:r>
      <w:r w:rsidRPr="00D718FC">
        <w:rPr>
          <w:sz w:val="16"/>
          <w:szCs w:val="16"/>
        </w:rPr>
        <w:t>B</w:t>
      </w:r>
      <w:r>
        <w:rPr>
          <w:sz w:val="16"/>
          <w:szCs w:val="16"/>
        </w:rPr>
        <w:t xml:space="preserve">ureau of </w:t>
      </w:r>
      <w:r w:rsidRPr="00D718FC">
        <w:rPr>
          <w:sz w:val="16"/>
          <w:szCs w:val="16"/>
        </w:rPr>
        <w:t>S</w:t>
      </w:r>
      <w:r>
        <w:rPr>
          <w:sz w:val="16"/>
          <w:szCs w:val="16"/>
        </w:rPr>
        <w:t>tatistics</w:t>
      </w:r>
      <w:r w:rsidRPr="00D718FC">
        <w:rPr>
          <w:sz w:val="16"/>
          <w:szCs w:val="16"/>
        </w:rPr>
        <w:t xml:space="preserve"> Characteristics of Employment at ANZSCO 1-4 digits levels respectively, over the period 2014-2023. </w:t>
      </w:r>
      <w:r w:rsidRPr="00592546">
        <w:rPr>
          <w:rFonts w:cs="Arial"/>
          <w:sz w:val="16"/>
          <w:szCs w:val="16"/>
        </w:rPr>
        <w:t>The linked dataset is limited to occupations at Skill levels 1-4. Bulk rounds recruitments from SERA are also excluded from the dataset to exclude the impact of outliers. Observations with high RSE (more than 20) are excluded to ensure the data quality.</w:t>
      </w:r>
    </w:p>
  </w:footnote>
  <w:footnote w:id="8">
    <w:p w14:paraId="7DE1A00F" w14:textId="28C2BBAB" w:rsidR="00741BB4" w:rsidRDefault="00741BB4" w:rsidP="00741BB4">
      <w:pPr>
        <w:pStyle w:val="FootnoteText"/>
      </w:pPr>
      <w:r>
        <w:rPr>
          <w:rStyle w:val="FootnoteReference"/>
        </w:rPr>
        <w:footnoteRef/>
      </w:r>
      <w:r>
        <w:t xml:space="preserve"> </w:t>
      </w:r>
      <w:r w:rsidRPr="002B4137">
        <w:rPr>
          <w:sz w:val="16"/>
          <w:szCs w:val="16"/>
        </w:rPr>
        <w:t>Due to data limitations</w:t>
      </w:r>
      <w:r w:rsidR="00CF5564">
        <w:rPr>
          <w:sz w:val="16"/>
          <w:szCs w:val="16"/>
        </w:rPr>
        <w:t xml:space="preserve"> with respect to </w:t>
      </w:r>
      <w:r w:rsidR="00A530EC">
        <w:rPr>
          <w:sz w:val="16"/>
          <w:szCs w:val="16"/>
        </w:rPr>
        <w:t>fill rates</w:t>
      </w:r>
      <w:r w:rsidRPr="002B4137">
        <w:rPr>
          <w:sz w:val="16"/>
          <w:szCs w:val="16"/>
        </w:rPr>
        <w:t>, time series analysis on these four major groups are provided only.</w:t>
      </w:r>
      <w:r>
        <w:t xml:space="preserve"> </w:t>
      </w:r>
    </w:p>
  </w:footnote>
  <w:footnote w:id="9">
    <w:p w14:paraId="53C66412" w14:textId="77777777" w:rsidR="00741BB4" w:rsidRDefault="00741BB4" w:rsidP="00741BB4">
      <w:pPr>
        <w:pStyle w:val="FootnoteText"/>
      </w:pPr>
      <w:r>
        <w:rPr>
          <w:rStyle w:val="FootnoteReference"/>
        </w:rPr>
        <w:footnoteRef/>
      </w:r>
      <w:r>
        <w:t xml:space="preserve"> </w:t>
      </w:r>
      <w:r w:rsidRPr="00106692">
        <w:rPr>
          <w:sz w:val="16"/>
          <w:szCs w:val="16"/>
        </w:rPr>
        <w:t xml:space="preserve">Due to data limitations, </w:t>
      </w:r>
      <w:r>
        <w:rPr>
          <w:sz w:val="16"/>
          <w:szCs w:val="16"/>
        </w:rPr>
        <w:t xml:space="preserve">the correlation analysis was limited to </w:t>
      </w:r>
      <w:r w:rsidRPr="00106692">
        <w:rPr>
          <w:sz w:val="16"/>
          <w:szCs w:val="16"/>
        </w:rPr>
        <w:t xml:space="preserve">major groups </w:t>
      </w:r>
      <w:r>
        <w:rPr>
          <w:sz w:val="16"/>
          <w:szCs w:val="16"/>
        </w:rPr>
        <w:t xml:space="preserve">1 to 3. </w:t>
      </w:r>
    </w:p>
  </w:footnote>
  <w:footnote w:id="10">
    <w:p w14:paraId="7CF9F3DB" w14:textId="623E11C7" w:rsidR="00741BB4" w:rsidRPr="00592546" w:rsidRDefault="00741BB4" w:rsidP="00741BB4">
      <w:pPr>
        <w:pStyle w:val="FootnoteText"/>
        <w:rPr>
          <w:sz w:val="16"/>
          <w:szCs w:val="16"/>
        </w:rPr>
      </w:pPr>
      <w:r w:rsidRPr="00592546">
        <w:rPr>
          <w:rStyle w:val="FootnoteReference"/>
          <w:sz w:val="16"/>
          <w:szCs w:val="16"/>
        </w:rPr>
        <w:footnoteRef/>
      </w:r>
      <w:r w:rsidRPr="00592546">
        <w:rPr>
          <w:sz w:val="16"/>
          <w:szCs w:val="16"/>
        </w:rPr>
        <w:t xml:space="preserve"> RBA (Reserve Bank of Australia), ‘Firm-Level Insights </w:t>
      </w:r>
      <w:r w:rsidR="00E94AD8" w:rsidRPr="00592546">
        <w:rPr>
          <w:sz w:val="16"/>
          <w:szCs w:val="16"/>
        </w:rPr>
        <w:t>into</w:t>
      </w:r>
      <w:r w:rsidRPr="00592546">
        <w:rPr>
          <w:sz w:val="16"/>
          <w:szCs w:val="16"/>
        </w:rPr>
        <w:t xml:space="preserve"> Skills Shortages and Wages Growth’, Bulletin, March 2019</w:t>
      </w:r>
    </w:p>
  </w:footnote>
  <w:footnote w:id="11">
    <w:p w14:paraId="1C0D194A" w14:textId="77777777" w:rsidR="00741BB4" w:rsidRDefault="00741BB4" w:rsidP="00741BB4">
      <w:pPr>
        <w:pStyle w:val="FootnoteText"/>
      </w:pPr>
      <w:r w:rsidRPr="00592546">
        <w:rPr>
          <w:rStyle w:val="FootnoteReference"/>
          <w:sz w:val="16"/>
          <w:szCs w:val="16"/>
        </w:rPr>
        <w:footnoteRef/>
      </w:r>
      <w:r w:rsidRPr="00592546">
        <w:rPr>
          <w:sz w:val="16"/>
          <w:szCs w:val="16"/>
        </w:rPr>
        <w:t xml:space="preserve"> Agarwal &amp; Bishop, ACE Conference 2023, Brisbane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814DDA"/>
    <w:multiLevelType w:val="hybridMultilevel"/>
    <w:tmpl w:val="49301F06"/>
    <w:lvl w:ilvl="0" w:tplc="390E59D2">
      <w:start w:val="2024"/>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0" w15:restartNumberingAfterBreak="0">
    <w:nsid w:val="1EC47CB5"/>
    <w:multiLevelType w:val="hybridMultilevel"/>
    <w:tmpl w:val="192CF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9D51323"/>
    <w:multiLevelType w:val="hybridMultilevel"/>
    <w:tmpl w:val="368638B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BED5A47"/>
    <w:multiLevelType w:val="hybridMultilevel"/>
    <w:tmpl w:val="3946B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7E5D4C"/>
    <w:multiLevelType w:val="hybridMultilevel"/>
    <w:tmpl w:val="EB105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CB80418"/>
    <w:multiLevelType w:val="hybridMultilevel"/>
    <w:tmpl w:val="7B086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847C0E"/>
    <w:multiLevelType w:val="hybridMultilevel"/>
    <w:tmpl w:val="DB249B5A"/>
    <w:lvl w:ilvl="0" w:tplc="761224F2">
      <w:start w:val="1"/>
      <w:numFmt w:val="bullet"/>
      <w:lvlText w:val="•"/>
      <w:lvlJc w:val="left"/>
      <w:pPr>
        <w:tabs>
          <w:tab w:val="num" w:pos="720"/>
        </w:tabs>
        <w:ind w:left="720" w:hanging="360"/>
      </w:pPr>
      <w:rPr>
        <w:rFonts w:ascii="Arial" w:hAnsi="Arial" w:hint="default"/>
      </w:rPr>
    </w:lvl>
    <w:lvl w:ilvl="1" w:tplc="DAF6B9E0" w:tentative="1">
      <w:start w:val="1"/>
      <w:numFmt w:val="bullet"/>
      <w:lvlText w:val="•"/>
      <w:lvlJc w:val="left"/>
      <w:pPr>
        <w:tabs>
          <w:tab w:val="num" w:pos="1440"/>
        </w:tabs>
        <w:ind w:left="1440" w:hanging="360"/>
      </w:pPr>
      <w:rPr>
        <w:rFonts w:ascii="Arial" w:hAnsi="Arial" w:hint="default"/>
      </w:rPr>
    </w:lvl>
    <w:lvl w:ilvl="2" w:tplc="42C6083E">
      <w:start w:val="1"/>
      <w:numFmt w:val="bullet"/>
      <w:lvlText w:val="•"/>
      <w:lvlJc w:val="left"/>
      <w:pPr>
        <w:tabs>
          <w:tab w:val="num" w:pos="2160"/>
        </w:tabs>
        <w:ind w:left="2160" w:hanging="360"/>
      </w:pPr>
      <w:rPr>
        <w:rFonts w:ascii="Arial" w:hAnsi="Arial" w:hint="default"/>
      </w:rPr>
    </w:lvl>
    <w:lvl w:ilvl="3" w:tplc="71400B2A" w:tentative="1">
      <w:start w:val="1"/>
      <w:numFmt w:val="bullet"/>
      <w:lvlText w:val="•"/>
      <w:lvlJc w:val="left"/>
      <w:pPr>
        <w:tabs>
          <w:tab w:val="num" w:pos="2880"/>
        </w:tabs>
        <w:ind w:left="2880" w:hanging="360"/>
      </w:pPr>
      <w:rPr>
        <w:rFonts w:ascii="Arial" w:hAnsi="Arial" w:hint="default"/>
      </w:rPr>
    </w:lvl>
    <w:lvl w:ilvl="4" w:tplc="BB1CD5A6" w:tentative="1">
      <w:start w:val="1"/>
      <w:numFmt w:val="bullet"/>
      <w:lvlText w:val="•"/>
      <w:lvlJc w:val="left"/>
      <w:pPr>
        <w:tabs>
          <w:tab w:val="num" w:pos="3600"/>
        </w:tabs>
        <w:ind w:left="3600" w:hanging="360"/>
      </w:pPr>
      <w:rPr>
        <w:rFonts w:ascii="Arial" w:hAnsi="Arial" w:hint="default"/>
      </w:rPr>
    </w:lvl>
    <w:lvl w:ilvl="5" w:tplc="005AFC34" w:tentative="1">
      <w:start w:val="1"/>
      <w:numFmt w:val="bullet"/>
      <w:lvlText w:val="•"/>
      <w:lvlJc w:val="left"/>
      <w:pPr>
        <w:tabs>
          <w:tab w:val="num" w:pos="4320"/>
        </w:tabs>
        <w:ind w:left="4320" w:hanging="360"/>
      </w:pPr>
      <w:rPr>
        <w:rFonts w:ascii="Arial" w:hAnsi="Arial" w:hint="default"/>
      </w:rPr>
    </w:lvl>
    <w:lvl w:ilvl="6" w:tplc="EC1A5F6E" w:tentative="1">
      <w:start w:val="1"/>
      <w:numFmt w:val="bullet"/>
      <w:lvlText w:val="•"/>
      <w:lvlJc w:val="left"/>
      <w:pPr>
        <w:tabs>
          <w:tab w:val="num" w:pos="5040"/>
        </w:tabs>
        <w:ind w:left="5040" w:hanging="360"/>
      </w:pPr>
      <w:rPr>
        <w:rFonts w:ascii="Arial" w:hAnsi="Arial" w:hint="default"/>
      </w:rPr>
    </w:lvl>
    <w:lvl w:ilvl="7" w:tplc="6C52EC7C" w:tentative="1">
      <w:start w:val="1"/>
      <w:numFmt w:val="bullet"/>
      <w:lvlText w:val="•"/>
      <w:lvlJc w:val="left"/>
      <w:pPr>
        <w:tabs>
          <w:tab w:val="num" w:pos="5760"/>
        </w:tabs>
        <w:ind w:left="5760" w:hanging="360"/>
      </w:pPr>
      <w:rPr>
        <w:rFonts w:ascii="Arial" w:hAnsi="Arial" w:hint="default"/>
      </w:rPr>
    </w:lvl>
    <w:lvl w:ilvl="8" w:tplc="FE6AED9A" w:tentative="1">
      <w:start w:val="1"/>
      <w:numFmt w:val="bullet"/>
      <w:lvlText w:val="•"/>
      <w:lvlJc w:val="left"/>
      <w:pPr>
        <w:tabs>
          <w:tab w:val="num" w:pos="6480"/>
        </w:tabs>
        <w:ind w:left="6480" w:hanging="360"/>
      </w:pPr>
      <w:rPr>
        <w:rFonts w:ascii="Arial" w:hAnsi="Arial" w:hint="default"/>
      </w:rPr>
    </w:lvl>
  </w:abstractNum>
  <w:num w:numId="1" w16cid:durableId="1337269666">
    <w:abstractNumId w:val="19"/>
  </w:num>
  <w:num w:numId="2" w16cid:durableId="1668050683">
    <w:abstractNumId w:val="13"/>
  </w:num>
  <w:num w:numId="3" w16cid:durableId="1683042470">
    <w:abstractNumId w:val="6"/>
  </w:num>
  <w:num w:numId="4" w16cid:durableId="133523604">
    <w:abstractNumId w:val="17"/>
  </w:num>
  <w:num w:numId="5" w16cid:durableId="1994024302">
    <w:abstractNumId w:val="18"/>
  </w:num>
  <w:num w:numId="6" w16cid:durableId="1358852113">
    <w:abstractNumId w:val="12"/>
  </w:num>
  <w:num w:numId="7" w16cid:durableId="2047246184">
    <w:abstractNumId w:val="9"/>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11"/>
  </w:num>
  <w:num w:numId="15" w16cid:durableId="406730085">
    <w:abstractNumId w:val="8"/>
  </w:num>
  <w:num w:numId="16" w16cid:durableId="23675625">
    <w:abstractNumId w:val="7"/>
  </w:num>
  <w:num w:numId="17" w16cid:durableId="1539971187">
    <w:abstractNumId w:val="21"/>
  </w:num>
  <w:num w:numId="18" w16cid:durableId="947931840">
    <w:abstractNumId w:val="20"/>
  </w:num>
  <w:num w:numId="19" w16cid:durableId="910848616">
    <w:abstractNumId w:val="15"/>
  </w:num>
  <w:num w:numId="20" w16cid:durableId="1921909792">
    <w:abstractNumId w:val="16"/>
  </w:num>
  <w:num w:numId="21" w16cid:durableId="1543397242">
    <w:abstractNumId w:val="14"/>
  </w:num>
  <w:num w:numId="22" w16cid:durableId="813444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0643"/>
    <w:rsid w:val="0000095F"/>
    <w:rsid w:val="000011A7"/>
    <w:rsid w:val="0000175D"/>
    <w:rsid w:val="00003E8E"/>
    <w:rsid w:val="0000451F"/>
    <w:rsid w:val="00004ECA"/>
    <w:rsid w:val="000053DE"/>
    <w:rsid w:val="00005683"/>
    <w:rsid w:val="00006ABC"/>
    <w:rsid w:val="00007526"/>
    <w:rsid w:val="00007590"/>
    <w:rsid w:val="00007780"/>
    <w:rsid w:val="000107F6"/>
    <w:rsid w:val="00010CAE"/>
    <w:rsid w:val="00011189"/>
    <w:rsid w:val="0001140E"/>
    <w:rsid w:val="00013740"/>
    <w:rsid w:val="00013D87"/>
    <w:rsid w:val="000144D2"/>
    <w:rsid w:val="000147DC"/>
    <w:rsid w:val="000154CB"/>
    <w:rsid w:val="00015A73"/>
    <w:rsid w:val="00016277"/>
    <w:rsid w:val="000164B9"/>
    <w:rsid w:val="00016E56"/>
    <w:rsid w:val="00017429"/>
    <w:rsid w:val="000213C9"/>
    <w:rsid w:val="00021450"/>
    <w:rsid w:val="000217D5"/>
    <w:rsid w:val="00022888"/>
    <w:rsid w:val="000229F4"/>
    <w:rsid w:val="00022AF9"/>
    <w:rsid w:val="00023D0D"/>
    <w:rsid w:val="00024353"/>
    <w:rsid w:val="00024646"/>
    <w:rsid w:val="000246EF"/>
    <w:rsid w:val="00024CFB"/>
    <w:rsid w:val="000258AA"/>
    <w:rsid w:val="00025910"/>
    <w:rsid w:val="00025BD0"/>
    <w:rsid w:val="000261A3"/>
    <w:rsid w:val="000261BB"/>
    <w:rsid w:val="00026876"/>
    <w:rsid w:val="00027806"/>
    <w:rsid w:val="00027810"/>
    <w:rsid w:val="00027B35"/>
    <w:rsid w:val="000300AD"/>
    <w:rsid w:val="000302E3"/>
    <w:rsid w:val="00031B05"/>
    <w:rsid w:val="00032241"/>
    <w:rsid w:val="00032738"/>
    <w:rsid w:val="0003316F"/>
    <w:rsid w:val="000336B1"/>
    <w:rsid w:val="0003397D"/>
    <w:rsid w:val="000349D8"/>
    <w:rsid w:val="00035AF3"/>
    <w:rsid w:val="000361A7"/>
    <w:rsid w:val="000363A2"/>
    <w:rsid w:val="000364FA"/>
    <w:rsid w:val="000372E3"/>
    <w:rsid w:val="000374D0"/>
    <w:rsid w:val="00037EB9"/>
    <w:rsid w:val="00040045"/>
    <w:rsid w:val="000404CE"/>
    <w:rsid w:val="000406BF"/>
    <w:rsid w:val="00040C81"/>
    <w:rsid w:val="0004100D"/>
    <w:rsid w:val="00041073"/>
    <w:rsid w:val="000412B5"/>
    <w:rsid w:val="0004255C"/>
    <w:rsid w:val="00042611"/>
    <w:rsid w:val="00042EC7"/>
    <w:rsid w:val="00043ACF"/>
    <w:rsid w:val="00043D73"/>
    <w:rsid w:val="00044847"/>
    <w:rsid w:val="00044BAB"/>
    <w:rsid w:val="00045531"/>
    <w:rsid w:val="000457F9"/>
    <w:rsid w:val="0004647C"/>
    <w:rsid w:val="000464AD"/>
    <w:rsid w:val="00046663"/>
    <w:rsid w:val="000468FB"/>
    <w:rsid w:val="000479A0"/>
    <w:rsid w:val="00050762"/>
    <w:rsid w:val="00050ABA"/>
    <w:rsid w:val="00050B48"/>
    <w:rsid w:val="000511F8"/>
    <w:rsid w:val="00051CBE"/>
    <w:rsid w:val="00051D49"/>
    <w:rsid w:val="000523AE"/>
    <w:rsid w:val="000538DD"/>
    <w:rsid w:val="00053CBE"/>
    <w:rsid w:val="00054AA4"/>
    <w:rsid w:val="00054EE9"/>
    <w:rsid w:val="0005518A"/>
    <w:rsid w:val="00055789"/>
    <w:rsid w:val="000557A8"/>
    <w:rsid w:val="000562D3"/>
    <w:rsid w:val="000572BD"/>
    <w:rsid w:val="0006092E"/>
    <w:rsid w:val="00060DEF"/>
    <w:rsid w:val="00061D89"/>
    <w:rsid w:val="00062146"/>
    <w:rsid w:val="00062231"/>
    <w:rsid w:val="00062528"/>
    <w:rsid w:val="00062E2D"/>
    <w:rsid w:val="00063086"/>
    <w:rsid w:val="00063E6A"/>
    <w:rsid w:val="00064093"/>
    <w:rsid w:val="00064881"/>
    <w:rsid w:val="00064B8A"/>
    <w:rsid w:val="00065AC5"/>
    <w:rsid w:val="00066689"/>
    <w:rsid w:val="00066D32"/>
    <w:rsid w:val="00067100"/>
    <w:rsid w:val="00067F10"/>
    <w:rsid w:val="00071450"/>
    <w:rsid w:val="00072BAB"/>
    <w:rsid w:val="00073C4A"/>
    <w:rsid w:val="00073FF1"/>
    <w:rsid w:val="00077956"/>
    <w:rsid w:val="000779F5"/>
    <w:rsid w:val="00077C76"/>
    <w:rsid w:val="0008044B"/>
    <w:rsid w:val="000805DD"/>
    <w:rsid w:val="00080B5D"/>
    <w:rsid w:val="00080CC7"/>
    <w:rsid w:val="0008108A"/>
    <w:rsid w:val="000816E3"/>
    <w:rsid w:val="00082171"/>
    <w:rsid w:val="000824D3"/>
    <w:rsid w:val="0008382F"/>
    <w:rsid w:val="0008393E"/>
    <w:rsid w:val="00083CAA"/>
    <w:rsid w:val="00084615"/>
    <w:rsid w:val="00084A6D"/>
    <w:rsid w:val="000854F6"/>
    <w:rsid w:val="00085617"/>
    <w:rsid w:val="00085644"/>
    <w:rsid w:val="00086455"/>
    <w:rsid w:val="00086473"/>
    <w:rsid w:val="00086681"/>
    <w:rsid w:val="00086873"/>
    <w:rsid w:val="00086DA7"/>
    <w:rsid w:val="00086F5C"/>
    <w:rsid w:val="0009072C"/>
    <w:rsid w:val="000919CA"/>
    <w:rsid w:val="0009227A"/>
    <w:rsid w:val="00092709"/>
    <w:rsid w:val="00092A53"/>
    <w:rsid w:val="00092E17"/>
    <w:rsid w:val="00092EC8"/>
    <w:rsid w:val="000937F4"/>
    <w:rsid w:val="0009450F"/>
    <w:rsid w:val="00094D69"/>
    <w:rsid w:val="000957D6"/>
    <w:rsid w:val="000957E1"/>
    <w:rsid w:val="00095937"/>
    <w:rsid w:val="00095E11"/>
    <w:rsid w:val="000962D6"/>
    <w:rsid w:val="00096330"/>
    <w:rsid w:val="00096D2B"/>
    <w:rsid w:val="00096D7F"/>
    <w:rsid w:val="0009753C"/>
    <w:rsid w:val="00097869"/>
    <w:rsid w:val="00097A41"/>
    <w:rsid w:val="00097EEA"/>
    <w:rsid w:val="000A07BB"/>
    <w:rsid w:val="000A145A"/>
    <w:rsid w:val="000A1956"/>
    <w:rsid w:val="000A1C3A"/>
    <w:rsid w:val="000A2812"/>
    <w:rsid w:val="000A2887"/>
    <w:rsid w:val="000A3804"/>
    <w:rsid w:val="000A406E"/>
    <w:rsid w:val="000A4617"/>
    <w:rsid w:val="000A52A6"/>
    <w:rsid w:val="000A57DA"/>
    <w:rsid w:val="000A5FE0"/>
    <w:rsid w:val="000A6047"/>
    <w:rsid w:val="000A61C2"/>
    <w:rsid w:val="000A6DEE"/>
    <w:rsid w:val="000A7C01"/>
    <w:rsid w:val="000A7F1E"/>
    <w:rsid w:val="000B0168"/>
    <w:rsid w:val="000B0852"/>
    <w:rsid w:val="000B1F9B"/>
    <w:rsid w:val="000B2020"/>
    <w:rsid w:val="000B3090"/>
    <w:rsid w:val="000B34AA"/>
    <w:rsid w:val="000B4A7C"/>
    <w:rsid w:val="000B53F3"/>
    <w:rsid w:val="000B599F"/>
    <w:rsid w:val="000B5E30"/>
    <w:rsid w:val="000B6324"/>
    <w:rsid w:val="000B7889"/>
    <w:rsid w:val="000B7C33"/>
    <w:rsid w:val="000B7DD0"/>
    <w:rsid w:val="000C00AA"/>
    <w:rsid w:val="000C05A9"/>
    <w:rsid w:val="000C0BA2"/>
    <w:rsid w:val="000C0D9C"/>
    <w:rsid w:val="000C1956"/>
    <w:rsid w:val="000C1F86"/>
    <w:rsid w:val="000C2534"/>
    <w:rsid w:val="000C3CC8"/>
    <w:rsid w:val="000C3F32"/>
    <w:rsid w:val="000C42C6"/>
    <w:rsid w:val="000C46C5"/>
    <w:rsid w:val="000C4738"/>
    <w:rsid w:val="000C48C1"/>
    <w:rsid w:val="000C4CE1"/>
    <w:rsid w:val="000C592E"/>
    <w:rsid w:val="000C5B09"/>
    <w:rsid w:val="000C62BF"/>
    <w:rsid w:val="000C6A02"/>
    <w:rsid w:val="000C7662"/>
    <w:rsid w:val="000D0453"/>
    <w:rsid w:val="000D09CB"/>
    <w:rsid w:val="000D1496"/>
    <w:rsid w:val="000D1659"/>
    <w:rsid w:val="000D1739"/>
    <w:rsid w:val="000D1A99"/>
    <w:rsid w:val="000D2693"/>
    <w:rsid w:val="000D3572"/>
    <w:rsid w:val="000D3B13"/>
    <w:rsid w:val="000D3B6A"/>
    <w:rsid w:val="000D3E91"/>
    <w:rsid w:val="000D4135"/>
    <w:rsid w:val="000D438E"/>
    <w:rsid w:val="000D4B24"/>
    <w:rsid w:val="000D5AB8"/>
    <w:rsid w:val="000D5D56"/>
    <w:rsid w:val="000D5DC3"/>
    <w:rsid w:val="000D5FCE"/>
    <w:rsid w:val="000D6745"/>
    <w:rsid w:val="000D6EBB"/>
    <w:rsid w:val="000D7327"/>
    <w:rsid w:val="000D73CD"/>
    <w:rsid w:val="000D7557"/>
    <w:rsid w:val="000D756D"/>
    <w:rsid w:val="000E0151"/>
    <w:rsid w:val="000E064C"/>
    <w:rsid w:val="000E0EED"/>
    <w:rsid w:val="000E11B2"/>
    <w:rsid w:val="000E1A2F"/>
    <w:rsid w:val="000E2A42"/>
    <w:rsid w:val="000E2BCB"/>
    <w:rsid w:val="000E2F96"/>
    <w:rsid w:val="000E38BA"/>
    <w:rsid w:val="000E4949"/>
    <w:rsid w:val="000E49AF"/>
    <w:rsid w:val="000E4E6D"/>
    <w:rsid w:val="000E5D06"/>
    <w:rsid w:val="000E6306"/>
    <w:rsid w:val="000E7042"/>
    <w:rsid w:val="000E7BEC"/>
    <w:rsid w:val="000F059E"/>
    <w:rsid w:val="000F0A05"/>
    <w:rsid w:val="000F1827"/>
    <w:rsid w:val="000F183B"/>
    <w:rsid w:val="000F228E"/>
    <w:rsid w:val="000F234F"/>
    <w:rsid w:val="000F2539"/>
    <w:rsid w:val="000F28C1"/>
    <w:rsid w:val="000F2C43"/>
    <w:rsid w:val="000F45D7"/>
    <w:rsid w:val="000F5555"/>
    <w:rsid w:val="000F6780"/>
    <w:rsid w:val="0010054C"/>
    <w:rsid w:val="00101683"/>
    <w:rsid w:val="00101AC3"/>
    <w:rsid w:val="00101ADD"/>
    <w:rsid w:val="00101FBF"/>
    <w:rsid w:val="0010270D"/>
    <w:rsid w:val="00102821"/>
    <w:rsid w:val="001035CF"/>
    <w:rsid w:val="00103EC0"/>
    <w:rsid w:val="0010633E"/>
    <w:rsid w:val="0010721E"/>
    <w:rsid w:val="00107F98"/>
    <w:rsid w:val="00110985"/>
    <w:rsid w:val="0011126A"/>
    <w:rsid w:val="00111402"/>
    <w:rsid w:val="0011185C"/>
    <w:rsid w:val="001124D4"/>
    <w:rsid w:val="001128F7"/>
    <w:rsid w:val="0011295F"/>
    <w:rsid w:val="001134ED"/>
    <w:rsid w:val="00113799"/>
    <w:rsid w:val="00113875"/>
    <w:rsid w:val="00114B47"/>
    <w:rsid w:val="00114C2C"/>
    <w:rsid w:val="00115053"/>
    <w:rsid w:val="00116BCE"/>
    <w:rsid w:val="00117D44"/>
    <w:rsid w:val="00117FAB"/>
    <w:rsid w:val="001205CB"/>
    <w:rsid w:val="001206B5"/>
    <w:rsid w:val="00121357"/>
    <w:rsid w:val="001213E4"/>
    <w:rsid w:val="00122D0A"/>
    <w:rsid w:val="001236B9"/>
    <w:rsid w:val="00123DEC"/>
    <w:rsid w:val="00123DFA"/>
    <w:rsid w:val="001243F0"/>
    <w:rsid w:val="00124B70"/>
    <w:rsid w:val="00124C78"/>
    <w:rsid w:val="00124D93"/>
    <w:rsid w:val="00124D9E"/>
    <w:rsid w:val="001250B5"/>
    <w:rsid w:val="0012578C"/>
    <w:rsid w:val="00125C36"/>
    <w:rsid w:val="001262C9"/>
    <w:rsid w:val="0012717B"/>
    <w:rsid w:val="00130029"/>
    <w:rsid w:val="001306D6"/>
    <w:rsid w:val="001315A9"/>
    <w:rsid w:val="001316EA"/>
    <w:rsid w:val="00131E99"/>
    <w:rsid w:val="0013328C"/>
    <w:rsid w:val="00134407"/>
    <w:rsid w:val="00134E3C"/>
    <w:rsid w:val="0013574C"/>
    <w:rsid w:val="00135CB4"/>
    <w:rsid w:val="00137794"/>
    <w:rsid w:val="00137A40"/>
    <w:rsid w:val="0014053E"/>
    <w:rsid w:val="00140B03"/>
    <w:rsid w:val="0014158A"/>
    <w:rsid w:val="0014196D"/>
    <w:rsid w:val="00142169"/>
    <w:rsid w:val="00142554"/>
    <w:rsid w:val="001428C1"/>
    <w:rsid w:val="00143208"/>
    <w:rsid w:val="00144C9F"/>
    <w:rsid w:val="00146F34"/>
    <w:rsid w:val="00147353"/>
    <w:rsid w:val="0014787D"/>
    <w:rsid w:val="00147E76"/>
    <w:rsid w:val="00150032"/>
    <w:rsid w:val="00150823"/>
    <w:rsid w:val="001512D3"/>
    <w:rsid w:val="001516BF"/>
    <w:rsid w:val="0015174C"/>
    <w:rsid w:val="0015177C"/>
    <w:rsid w:val="00151BB9"/>
    <w:rsid w:val="00152A1B"/>
    <w:rsid w:val="00152D2B"/>
    <w:rsid w:val="0015321A"/>
    <w:rsid w:val="001534EA"/>
    <w:rsid w:val="001542A2"/>
    <w:rsid w:val="00154493"/>
    <w:rsid w:val="001550B7"/>
    <w:rsid w:val="001551B9"/>
    <w:rsid w:val="001555EE"/>
    <w:rsid w:val="00155B0B"/>
    <w:rsid w:val="00155B33"/>
    <w:rsid w:val="00155E98"/>
    <w:rsid w:val="00156B06"/>
    <w:rsid w:val="00157B2D"/>
    <w:rsid w:val="0016041C"/>
    <w:rsid w:val="00160650"/>
    <w:rsid w:val="001614A8"/>
    <w:rsid w:val="00162418"/>
    <w:rsid w:val="00162ABB"/>
    <w:rsid w:val="00162D23"/>
    <w:rsid w:val="00162E59"/>
    <w:rsid w:val="0016346F"/>
    <w:rsid w:val="0016375D"/>
    <w:rsid w:val="0016383D"/>
    <w:rsid w:val="0016407B"/>
    <w:rsid w:val="00164614"/>
    <w:rsid w:val="001650B1"/>
    <w:rsid w:val="0016587C"/>
    <w:rsid w:val="00167562"/>
    <w:rsid w:val="00167BA7"/>
    <w:rsid w:val="00171908"/>
    <w:rsid w:val="0017204E"/>
    <w:rsid w:val="0017256D"/>
    <w:rsid w:val="001728D6"/>
    <w:rsid w:val="00173F79"/>
    <w:rsid w:val="0017574A"/>
    <w:rsid w:val="001774B3"/>
    <w:rsid w:val="00177655"/>
    <w:rsid w:val="001805BA"/>
    <w:rsid w:val="001808C9"/>
    <w:rsid w:val="00180A12"/>
    <w:rsid w:val="00181725"/>
    <w:rsid w:val="00181A58"/>
    <w:rsid w:val="0018276D"/>
    <w:rsid w:val="00184146"/>
    <w:rsid w:val="001845BE"/>
    <w:rsid w:val="00184E39"/>
    <w:rsid w:val="00185352"/>
    <w:rsid w:val="00186B26"/>
    <w:rsid w:val="00186DC1"/>
    <w:rsid w:val="00187B34"/>
    <w:rsid w:val="001905DE"/>
    <w:rsid w:val="00190CE3"/>
    <w:rsid w:val="00191261"/>
    <w:rsid w:val="00192854"/>
    <w:rsid w:val="00192BED"/>
    <w:rsid w:val="00192F62"/>
    <w:rsid w:val="00193244"/>
    <w:rsid w:val="0019376E"/>
    <w:rsid w:val="00193C74"/>
    <w:rsid w:val="00196BE0"/>
    <w:rsid w:val="00197029"/>
    <w:rsid w:val="00197C42"/>
    <w:rsid w:val="001A100E"/>
    <w:rsid w:val="001A22A8"/>
    <w:rsid w:val="001A2329"/>
    <w:rsid w:val="001A29D6"/>
    <w:rsid w:val="001A3444"/>
    <w:rsid w:val="001A36B5"/>
    <w:rsid w:val="001A48C4"/>
    <w:rsid w:val="001A560A"/>
    <w:rsid w:val="001A58AE"/>
    <w:rsid w:val="001A58F9"/>
    <w:rsid w:val="001A6048"/>
    <w:rsid w:val="001A635D"/>
    <w:rsid w:val="001A72E0"/>
    <w:rsid w:val="001A754F"/>
    <w:rsid w:val="001A77A8"/>
    <w:rsid w:val="001B072E"/>
    <w:rsid w:val="001B0793"/>
    <w:rsid w:val="001B108A"/>
    <w:rsid w:val="001B335C"/>
    <w:rsid w:val="001B357B"/>
    <w:rsid w:val="001B3E4F"/>
    <w:rsid w:val="001B425E"/>
    <w:rsid w:val="001B4D09"/>
    <w:rsid w:val="001B6AB6"/>
    <w:rsid w:val="001B6F3D"/>
    <w:rsid w:val="001B6F6B"/>
    <w:rsid w:val="001B7035"/>
    <w:rsid w:val="001B7F1C"/>
    <w:rsid w:val="001C032E"/>
    <w:rsid w:val="001C097C"/>
    <w:rsid w:val="001C0CB2"/>
    <w:rsid w:val="001C0D18"/>
    <w:rsid w:val="001C0E89"/>
    <w:rsid w:val="001C0EAD"/>
    <w:rsid w:val="001C1CC4"/>
    <w:rsid w:val="001C1CF2"/>
    <w:rsid w:val="001C381D"/>
    <w:rsid w:val="001C4226"/>
    <w:rsid w:val="001C44E2"/>
    <w:rsid w:val="001C4ED0"/>
    <w:rsid w:val="001C567B"/>
    <w:rsid w:val="001C6BA8"/>
    <w:rsid w:val="001D0F2D"/>
    <w:rsid w:val="001D0F61"/>
    <w:rsid w:val="001D0FB2"/>
    <w:rsid w:val="001D0FC5"/>
    <w:rsid w:val="001D14C4"/>
    <w:rsid w:val="001D2D6E"/>
    <w:rsid w:val="001D3430"/>
    <w:rsid w:val="001D3778"/>
    <w:rsid w:val="001D3D15"/>
    <w:rsid w:val="001D4065"/>
    <w:rsid w:val="001D4AB8"/>
    <w:rsid w:val="001D544D"/>
    <w:rsid w:val="001D7151"/>
    <w:rsid w:val="001D7E55"/>
    <w:rsid w:val="001E0DD7"/>
    <w:rsid w:val="001E1E26"/>
    <w:rsid w:val="001E4423"/>
    <w:rsid w:val="001E5390"/>
    <w:rsid w:val="001E58C4"/>
    <w:rsid w:val="001E690E"/>
    <w:rsid w:val="001E786B"/>
    <w:rsid w:val="001F01FD"/>
    <w:rsid w:val="001F0AF5"/>
    <w:rsid w:val="001F0B9F"/>
    <w:rsid w:val="001F1895"/>
    <w:rsid w:val="001F36D6"/>
    <w:rsid w:val="001F37E1"/>
    <w:rsid w:val="001F3CEB"/>
    <w:rsid w:val="001F49D9"/>
    <w:rsid w:val="001F4D22"/>
    <w:rsid w:val="001F59D3"/>
    <w:rsid w:val="001F66C7"/>
    <w:rsid w:val="001F7A0E"/>
    <w:rsid w:val="002000C3"/>
    <w:rsid w:val="00200DA4"/>
    <w:rsid w:val="00201984"/>
    <w:rsid w:val="00201EFD"/>
    <w:rsid w:val="002025E3"/>
    <w:rsid w:val="0020303C"/>
    <w:rsid w:val="002038E7"/>
    <w:rsid w:val="002042F6"/>
    <w:rsid w:val="00205DAE"/>
    <w:rsid w:val="00206249"/>
    <w:rsid w:val="00207347"/>
    <w:rsid w:val="002076E4"/>
    <w:rsid w:val="002104C8"/>
    <w:rsid w:val="002112FB"/>
    <w:rsid w:val="00212487"/>
    <w:rsid w:val="00217435"/>
    <w:rsid w:val="00220E03"/>
    <w:rsid w:val="002224A1"/>
    <w:rsid w:val="0022285B"/>
    <w:rsid w:val="00222F53"/>
    <w:rsid w:val="002246D3"/>
    <w:rsid w:val="00224E75"/>
    <w:rsid w:val="00226346"/>
    <w:rsid w:val="00227631"/>
    <w:rsid w:val="00227CC5"/>
    <w:rsid w:val="00230240"/>
    <w:rsid w:val="00230CF5"/>
    <w:rsid w:val="0023110C"/>
    <w:rsid w:val="0023148B"/>
    <w:rsid w:val="00232966"/>
    <w:rsid w:val="00233A75"/>
    <w:rsid w:val="002346AD"/>
    <w:rsid w:val="0023562C"/>
    <w:rsid w:val="00235A6C"/>
    <w:rsid w:val="002362D2"/>
    <w:rsid w:val="0023631C"/>
    <w:rsid w:val="00236F33"/>
    <w:rsid w:val="00237CA6"/>
    <w:rsid w:val="00237D98"/>
    <w:rsid w:val="002402B1"/>
    <w:rsid w:val="002404EC"/>
    <w:rsid w:val="0024066A"/>
    <w:rsid w:val="00240B8F"/>
    <w:rsid w:val="002431E1"/>
    <w:rsid w:val="0024392D"/>
    <w:rsid w:val="00244160"/>
    <w:rsid w:val="00244550"/>
    <w:rsid w:val="00245326"/>
    <w:rsid w:val="00245DC9"/>
    <w:rsid w:val="00246AB0"/>
    <w:rsid w:val="00246FD0"/>
    <w:rsid w:val="00247F97"/>
    <w:rsid w:val="0025028B"/>
    <w:rsid w:val="0025068B"/>
    <w:rsid w:val="00250C8E"/>
    <w:rsid w:val="00251E5C"/>
    <w:rsid w:val="00251EB6"/>
    <w:rsid w:val="00251F14"/>
    <w:rsid w:val="00252907"/>
    <w:rsid w:val="00253BDA"/>
    <w:rsid w:val="0025449E"/>
    <w:rsid w:val="00254A13"/>
    <w:rsid w:val="002551A2"/>
    <w:rsid w:val="00255E84"/>
    <w:rsid w:val="00256821"/>
    <w:rsid w:val="002604F6"/>
    <w:rsid w:val="00260E07"/>
    <w:rsid w:val="002618DF"/>
    <w:rsid w:val="00261D00"/>
    <w:rsid w:val="00262A66"/>
    <w:rsid w:val="00262B10"/>
    <w:rsid w:val="00263219"/>
    <w:rsid w:val="002633D9"/>
    <w:rsid w:val="0026414B"/>
    <w:rsid w:val="00264C28"/>
    <w:rsid w:val="00264C2E"/>
    <w:rsid w:val="00264DCA"/>
    <w:rsid w:val="002659F1"/>
    <w:rsid w:val="0026611D"/>
    <w:rsid w:val="00266157"/>
    <w:rsid w:val="002661FD"/>
    <w:rsid w:val="00266846"/>
    <w:rsid w:val="00266937"/>
    <w:rsid w:val="002669AD"/>
    <w:rsid w:val="002672E1"/>
    <w:rsid w:val="00267CB4"/>
    <w:rsid w:val="0027074A"/>
    <w:rsid w:val="00270A3D"/>
    <w:rsid w:val="00270CD0"/>
    <w:rsid w:val="00271280"/>
    <w:rsid w:val="00271566"/>
    <w:rsid w:val="002728C2"/>
    <w:rsid w:val="00272C4C"/>
    <w:rsid w:val="00272C4E"/>
    <w:rsid w:val="00273148"/>
    <w:rsid w:val="00273558"/>
    <w:rsid w:val="00273A1A"/>
    <w:rsid w:val="00273C69"/>
    <w:rsid w:val="00274439"/>
    <w:rsid w:val="002744A4"/>
    <w:rsid w:val="00274717"/>
    <w:rsid w:val="0027511B"/>
    <w:rsid w:val="00275310"/>
    <w:rsid w:val="00275836"/>
    <w:rsid w:val="00275AF2"/>
    <w:rsid w:val="002761C7"/>
    <w:rsid w:val="002771A5"/>
    <w:rsid w:val="002771D0"/>
    <w:rsid w:val="00277C17"/>
    <w:rsid w:val="00280462"/>
    <w:rsid w:val="00280508"/>
    <w:rsid w:val="00280AC6"/>
    <w:rsid w:val="00280EAA"/>
    <w:rsid w:val="00281049"/>
    <w:rsid w:val="00281806"/>
    <w:rsid w:val="0028188F"/>
    <w:rsid w:val="00281C6F"/>
    <w:rsid w:val="002824C3"/>
    <w:rsid w:val="00282F1A"/>
    <w:rsid w:val="0028379A"/>
    <w:rsid w:val="00284F2E"/>
    <w:rsid w:val="00287427"/>
    <w:rsid w:val="002877C3"/>
    <w:rsid w:val="00290490"/>
    <w:rsid w:val="00291443"/>
    <w:rsid w:val="00291BED"/>
    <w:rsid w:val="002927DB"/>
    <w:rsid w:val="00293BFB"/>
    <w:rsid w:val="0029449C"/>
    <w:rsid w:val="002950ED"/>
    <w:rsid w:val="002958CD"/>
    <w:rsid w:val="002959F3"/>
    <w:rsid w:val="00295B81"/>
    <w:rsid w:val="00295E40"/>
    <w:rsid w:val="00296095"/>
    <w:rsid w:val="00296154"/>
    <w:rsid w:val="00296166"/>
    <w:rsid w:val="002971F4"/>
    <w:rsid w:val="00297661"/>
    <w:rsid w:val="00297C5B"/>
    <w:rsid w:val="00297DAD"/>
    <w:rsid w:val="002A06BE"/>
    <w:rsid w:val="002A0971"/>
    <w:rsid w:val="002A0999"/>
    <w:rsid w:val="002A1F9A"/>
    <w:rsid w:val="002A2352"/>
    <w:rsid w:val="002A2731"/>
    <w:rsid w:val="002A2B19"/>
    <w:rsid w:val="002A33ED"/>
    <w:rsid w:val="002A37E0"/>
    <w:rsid w:val="002A3EB0"/>
    <w:rsid w:val="002A4B17"/>
    <w:rsid w:val="002A520E"/>
    <w:rsid w:val="002A5E13"/>
    <w:rsid w:val="002A6092"/>
    <w:rsid w:val="002A7056"/>
    <w:rsid w:val="002A7D09"/>
    <w:rsid w:val="002B033A"/>
    <w:rsid w:val="002B0509"/>
    <w:rsid w:val="002B071B"/>
    <w:rsid w:val="002B0AAF"/>
    <w:rsid w:val="002B0D81"/>
    <w:rsid w:val="002B2DF8"/>
    <w:rsid w:val="002B3484"/>
    <w:rsid w:val="002B4649"/>
    <w:rsid w:val="002B4EFE"/>
    <w:rsid w:val="002B4F63"/>
    <w:rsid w:val="002B51BC"/>
    <w:rsid w:val="002B56AD"/>
    <w:rsid w:val="002B5745"/>
    <w:rsid w:val="002B773C"/>
    <w:rsid w:val="002B7787"/>
    <w:rsid w:val="002B7C8A"/>
    <w:rsid w:val="002C08D8"/>
    <w:rsid w:val="002C0ECB"/>
    <w:rsid w:val="002C1317"/>
    <w:rsid w:val="002C132B"/>
    <w:rsid w:val="002C1901"/>
    <w:rsid w:val="002C1915"/>
    <w:rsid w:val="002C21C9"/>
    <w:rsid w:val="002C2E37"/>
    <w:rsid w:val="002C30AC"/>
    <w:rsid w:val="002C30E8"/>
    <w:rsid w:val="002C3C27"/>
    <w:rsid w:val="002C4DC2"/>
    <w:rsid w:val="002C598A"/>
    <w:rsid w:val="002C5B99"/>
    <w:rsid w:val="002C5BC9"/>
    <w:rsid w:val="002C6986"/>
    <w:rsid w:val="002C6CC0"/>
    <w:rsid w:val="002C6D86"/>
    <w:rsid w:val="002C78D0"/>
    <w:rsid w:val="002C7EEC"/>
    <w:rsid w:val="002D0549"/>
    <w:rsid w:val="002D14FB"/>
    <w:rsid w:val="002D2007"/>
    <w:rsid w:val="002D2550"/>
    <w:rsid w:val="002D372D"/>
    <w:rsid w:val="002D388B"/>
    <w:rsid w:val="002D4128"/>
    <w:rsid w:val="002D468E"/>
    <w:rsid w:val="002D50BD"/>
    <w:rsid w:val="002D5300"/>
    <w:rsid w:val="002D5D25"/>
    <w:rsid w:val="002D68E2"/>
    <w:rsid w:val="002D75D2"/>
    <w:rsid w:val="002D7652"/>
    <w:rsid w:val="002D7B9E"/>
    <w:rsid w:val="002D7F21"/>
    <w:rsid w:val="002E00CF"/>
    <w:rsid w:val="002E0437"/>
    <w:rsid w:val="002E0BE1"/>
    <w:rsid w:val="002E0C9A"/>
    <w:rsid w:val="002E0E18"/>
    <w:rsid w:val="002E14CC"/>
    <w:rsid w:val="002E1524"/>
    <w:rsid w:val="002E1964"/>
    <w:rsid w:val="002E2041"/>
    <w:rsid w:val="002E2A8D"/>
    <w:rsid w:val="002E2BB5"/>
    <w:rsid w:val="002E3914"/>
    <w:rsid w:val="002E392D"/>
    <w:rsid w:val="002E3A47"/>
    <w:rsid w:val="002E3A71"/>
    <w:rsid w:val="002E3C5C"/>
    <w:rsid w:val="002E4FB4"/>
    <w:rsid w:val="002E56B8"/>
    <w:rsid w:val="002E5B03"/>
    <w:rsid w:val="002E5F10"/>
    <w:rsid w:val="002E63D5"/>
    <w:rsid w:val="002E6506"/>
    <w:rsid w:val="002E6D66"/>
    <w:rsid w:val="002E6E2F"/>
    <w:rsid w:val="002E6E72"/>
    <w:rsid w:val="002E7665"/>
    <w:rsid w:val="002F1077"/>
    <w:rsid w:val="002F1593"/>
    <w:rsid w:val="002F180A"/>
    <w:rsid w:val="002F2BBC"/>
    <w:rsid w:val="002F2C49"/>
    <w:rsid w:val="002F35AB"/>
    <w:rsid w:val="002F3C2B"/>
    <w:rsid w:val="002F3EB5"/>
    <w:rsid w:val="002F3F83"/>
    <w:rsid w:val="002F52CD"/>
    <w:rsid w:val="002F5690"/>
    <w:rsid w:val="002F60F2"/>
    <w:rsid w:val="00301764"/>
    <w:rsid w:val="00301AD2"/>
    <w:rsid w:val="00301D09"/>
    <w:rsid w:val="0030383E"/>
    <w:rsid w:val="00303905"/>
    <w:rsid w:val="00304080"/>
    <w:rsid w:val="003041B4"/>
    <w:rsid w:val="00304A1D"/>
    <w:rsid w:val="00305930"/>
    <w:rsid w:val="00305CA1"/>
    <w:rsid w:val="003060CC"/>
    <w:rsid w:val="00306575"/>
    <w:rsid w:val="00306A89"/>
    <w:rsid w:val="00306C0E"/>
    <w:rsid w:val="00306DF4"/>
    <w:rsid w:val="003105F9"/>
    <w:rsid w:val="00310CA1"/>
    <w:rsid w:val="00310DCC"/>
    <w:rsid w:val="00311CFE"/>
    <w:rsid w:val="003122CC"/>
    <w:rsid w:val="00312B37"/>
    <w:rsid w:val="00313198"/>
    <w:rsid w:val="00313229"/>
    <w:rsid w:val="00313B29"/>
    <w:rsid w:val="00313D36"/>
    <w:rsid w:val="00314E27"/>
    <w:rsid w:val="00315C2B"/>
    <w:rsid w:val="00316CB1"/>
    <w:rsid w:val="00316DBC"/>
    <w:rsid w:val="00317988"/>
    <w:rsid w:val="00317AE2"/>
    <w:rsid w:val="003203B3"/>
    <w:rsid w:val="003209BD"/>
    <w:rsid w:val="00320BC1"/>
    <w:rsid w:val="00320F64"/>
    <w:rsid w:val="00321110"/>
    <w:rsid w:val="00321280"/>
    <w:rsid w:val="00322FE8"/>
    <w:rsid w:val="00323192"/>
    <w:rsid w:val="0032338D"/>
    <w:rsid w:val="00323B9A"/>
    <w:rsid w:val="00323D6D"/>
    <w:rsid w:val="00324879"/>
    <w:rsid w:val="00324A30"/>
    <w:rsid w:val="00324A99"/>
    <w:rsid w:val="00324B6A"/>
    <w:rsid w:val="00325077"/>
    <w:rsid w:val="00325B75"/>
    <w:rsid w:val="0032627D"/>
    <w:rsid w:val="00326FFA"/>
    <w:rsid w:val="003272BE"/>
    <w:rsid w:val="00327AB4"/>
    <w:rsid w:val="00327EBD"/>
    <w:rsid w:val="003307AF"/>
    <w:rsid w:val="0033081E"/>
    <w:rsid w:val="00331C40"/>
    <w:rsid w:val="0033315D"/>
    <w:rsid w:val="00333768"/>
    <w:rsid w:val="003343D2"/>
    <w:rsid w:val="00334FDB"/>
    <w:rsid w:val="0033502C"/>
    <w:rsid w:val="00335542"/>
    <w:rsid w:val="0033591C"/>
    <w:rsid w:val="0033625E"/>
    <w:rsid w:val="0033650B"/>
    <w:rsid w:val="0033752C"/>
    <w:rsid w:val="00340096"/>
    <w:rsid w:val="00340571"/>
    <w:rsid w:val="00340798"/>
    <w:rsid w:val="00340C68"/>
    <w:rsid w:val="003413D0"/>
    <w:rsid w:val="003416D9"/>
    <w:rsid w:val="003425BF"/>
    <w:rsid w:val="003428EC"/>
    <w:rsid w:val="003438C5"/>
    <w:rsid w:val="003452DA"/>
    <w:rsid w:val="003453E2"/>
    <w:rsid w:val="00345508"/>
    <w:rsid w:val="00345EF7"/>
    <w:rsid w:val="0034646F"/>
    <w:rsid w:val="00346CE2"/>
    <w:rsid w:val="00346E16"/>
    <w:rsid w:val="00347034"/>
    <w:rsid w:val="00347B60"/>
    <w:rsid w:val="00347DD5"/>
    <w:rsid w:val="00350099"/>
    <w:rsid w:val="0035095A"/>
    <w:rsid w:val="003509E7"/>
    <w:rsid w:val="0035131B"/>
    <w:rsid w:val="00351802"/>
    <w:rsid w:val="00351BB3"/>
    <w:rsid w:val="00352297"/>
    <w:rsid w:val="003522D7"/>
    <w:rsid w:val="00352DF1"/>
    <w:rsid w:val="0035305B"/>
    <w:rsid w:val="00353906"/>
    <w:rsid w:val="00353A40"/>
    <w:rsid w:val="00354A41"/>
    <w:rsid w:val="003557EC"/>
    <w:rsid w:val="0035614E"/>
    <w:rsid w:val="00356741"/>
    <w:rsid w:val="00356B1C"/>
    <w:rsid w:val="00357B22"/>
    <w:rsid w:val="00360058"/>
    <w:rsid w:val="003600FF"/>
    <w:rsid w:val="003604F5"/>
    <w:rsid w:val="00360852"/>
    <w:rsid w:val="00360C32"/>
    <w:rsid w:val="003622A2"/>
    <w:rsid w:val="00362AF8"/>
    <w:rsid w:val="00362B95"/>
    <w:rsid w:val="00362F17"/>
    <w:rsid w:val="00362FA3"/>
    <w:rsid w:val="00363539"/>
    <w:rsid w:val="00363D15"/>
    <w:rsid w:val="003644B3"/>
    <w:rsid w:val="003652AC"/>
    <w:rsid w:val="00365942"/>
    <w:rsid w:val="00365F21"/>
    <w:rsid w:val="00366923"/>
    <w:rsid w:val="003669A8"/>
    <w:rsid w:val="00367741"/>
    <w:rsid w:val="00367CB8"/>
    <w:rsid w:val="003708C1"/>
    <w:rsid w:val="00372017"/>
    <w:rsid w:val="00372261"/>
    <w:rsid w:val="00372A90"/>
    <w:rsid w:val="00372D90"/>
    <w:rsid w:val="00373735"/>
    <w:rsid w:val="003737CE"/>
    <w:rsid w:val="00373D22"/>
    <w:rsid w:val="00373F6A"/>
    <w:rsid w:val="003742B8"/>
    <w:rsid w:val="003749A1"/>
    <w:rsid w:val="00374C2C"/>
    <w:rsid w:val="00374E1D"/>
    <w:rsid w:val="00375406"/>
    <w:rsid w:val="00376854"/>
    <w:rsid w:val="00376C29"/>
    <w:rsid w:val="00377934"/>
    <w:rsid w:val="0038070E"/>
    <w:rsid w:val="0038133B"/>
    <w:rsid w:val="00382D30"/>
    <w:rsid w:val="00382FC6"/>
    <w:rsid w:val="0038313C"/>
    <w:rsid w:val="00383530"/>
    <w:rsid w:val="0038356D"/>
    <w:rsid w:val="00383A9D"/>
    <w:rsid w:val="00383F9C"/>
    <w:rsid w:val="0038408E"/>
    <w:rsid w:val="003852FD"/>
    <w:rsid w:val="003856AC"/>
    <w:rsid w:val="00385788"/>
    <w:rsid w:val="00385ABF"/>
    <w:rsid w:val="00385FBD"/>
    <w:rsid w:val="00386DB1"/>
    <w:rsid w:val="0038708C"/>
    <w:rsid w:val="00387DB4"/>
    <w:rsid w:val="0039115D"/>
    <w:rsid w:val="00391C5A"/>
    <w:rsid w:val="00391E20"/>
    <w:rsid w:val="00391F37"/>
    <w:rsid w:val="0039208C"/>
    <w:rsid w:val="00392538"/>
    <w:rsid w:val="003926FD"/>
    <w:rsid w:val="003937BD"/>
    <w:rsid w:val="003948A8"/>
    <w:rsid w:val="00395C0C"/>
    <w:rsid w:val="00395FBF"/>
    <w:rsid w:val="00396190"/>
    <w:rsid w:val="003961FE"/>
    <w:rsid w:val="0039775B"/>
    <w:rsid w:val="00397760"/>
    <w:rsid w:val="003A03B2"/>
    <w:rsid w:val="003A146D"/>
    <w:rsid w:val="003A2337"/>
    <w:rsid w:val="003A2930"/>
    <w:rsid w:val="003A30A8"/>
    <w:rsid w:val="003A3477"/>
    <w:rsid w:val="003A3A9A"/>
    <w:rsid w:val="003A3B68"/>
    <w:rsid w:val="003A3F57"/>
    <w:rsid w:val="003A4780"/>
    <w:rsid w:val="003A4BCC"/>
    <w:rsid w:val="003A4E08"/>
    <w:rsid w:val="003A4F8C"/>
    <w:rsid w:val="003A5535"/>
    <w:rsid w:val="003A5DA5"/>
    <w:rsid w:val="003A6B6A"/>
    <w:rsid w:val="003A7311"/>
    <w:rsid w:val="003A74F6"/>
    <w:rsid w:val="003A75FE"/>
    <w:rsid w:val="003A7CEF"/>
    <w:rsid w:val="003B00C4"/>
    <w:rsid w:val="003B0993"/>
    <w:rsid w:val="003B0D34"/>
    <w:rsid w:val="003B0E2C"/>
    <w:rsid w:val="003B13DF"/>
    <w:rsid w:val="003B1F94"/>
    <w:rsid w:val="003B42D8"/>
    <w:rsid w:val="003B4440"/>
    <w:rsid w:val="003B474F"/>
    <w:rsid w:val="003B47C2"/>
    <w:rsid w:val="003B542F"/>
    <w:rsid w:val="003B5E33"/>
    <w:rsid w:val="003B5ED1"/>
    <w:rsid w:val="003B5F6D"/>
    <w:rsid w:val="003B6919"/>
    <w:rsid w:val="003B7091"/>
    <w:rsid w:val="003B74A1"/>
    <w:rsid w:val="003B7963"/>
    <w:rsid w:val="003B7BBC"/>
    <w:rsid w:val="003B7DF0"/>
    <w:rsid w:val="003C0817"/>
    <w:rsid w:val="003C0D07"/>
    <w:rsid w:val="003C1092"/>
    <w:rsid w:val="003C10B8"/>
    <w:rsid w:val="003C16E1"/>
    <w:rsid w:val="003C180A"/>
    <w:rsid w:val="003C24B5"/>
    <w:rsid w:val="003C3BEC"/>
    <w:rsid w:val="003C3DF5"/>
    <w:rsid w:val="003C6BB4"/>
    <w:rsid w:val="003C6E2C"/>
    <w:rsid w:val="003C6EC4"/>
    <w:rsid w:val="003C704F"/>
    <w:rsid w:val="003C73C1"/>
    <w:rsid w:val="003C7C9D"/>
    <w:rsid w:val="003D0B0E"/>
    <w:rsid w:val="003D1384"/>
    <w:rsid w:val="003D187C"/>
    <w:rsid w:val="003D242A"/>
    <w:rsid w:val="003D279A"/>
    <w:rsid w:val="003D3975"/>
    <w:rsid w:val="003D4466"/>
    <w:rsid w:val="003D48E5"/>
    <w:rsid w:val="003D4ADB"/>
    <w:rsid w:val="003D6549"/>
    <w:rsid w:val="003D6611"/>
    <w:rsid w:val="003D7F21"/>
    <w:rsid w:val="003E0796"/>
    <w:rsid w:val="003E0B70"/>
    <w:rsid w:val="003E0E47"/>
    <w:rsid w:val="003E0F5C"/>
    <w:rsid w:val="003E14AE"/>
    <w:rsid w:val="003E14CB"/>
    <w:rsid w:val="003E14DD"/>
    <w:rsid w:val="003E1915"/>
    <w:rsid w:val="003E1F54"/>
    <w:rsid w:val="003E2850"/>
    <w:rsid w:val="003E2B75"/>
    <w:rsid w:val="003E3395"/>
    <w:rsid w:val="003E3571"/>
    <w:rsid w:val="003E511B"/>
    <w:rsid w:val="003E5ED3"/>
    <w:rsid w:val="003E69B9"/>
    <w:rsid w:val="003E72F0"/>
    <w:rsid w:val="003E765B"/>
    <w:rsid w:val="003E79DD"/>
    <w:rsid w:val="003F19C6"/>
    <w:rsid w:val="003F241A"/>
    <w:rsid w:val="003F2C1B"/>
    <w:rsid w:val="003F4817"/>
    <w:rsid w:val="003F4CA4"/>
    <w:rsid w:val="003F4DD9"/>
    <w:rsid w:val="003F5AC6"/>
    <w:rsid w:val="003F6D59"/>
    <w:rsid w:val="003F7911"/>
    <w:rsid w:val="003F7DA3"/>
    <w:rsid w:val="00400195"/>
    <w:rsid w:val="00400D24"/>
    <w:rsid w:val="00401866"/>
    <w:rsid w:val="00401944"/>
    <w:rsid w:val="00401B88"/>
    <w:rsid w:val="00402666"/>
    <w:rsid w:val="00402F0A"/>
    <w:rsid w:val="00403839"/>
    <w:rsid w:val="00404853"/>
    <w:rsid w:val="00405292"/>
    <w:rsid w:val="00405D42"/>
    <w:rsid w:val="00406CA1"/>
    <w:rsid w:val="004075EF"/>
    <w:rsid w:val="004101E0"/>
    <w:rsid w:val="00410F6C"/>
    <w:rsid w:val="00411013"/>
    <w:rsid w:val="004112F7"/>
    <w:rsid w:val="0041139C"/>
    <w:rsid w:val="004124E5"/>
    <w:rsid w:val="0041275C"/>
    <w:rsid w:val="00412FFD"/>
    <w:rsid w:val="0041315B"/>
    <w:rsid w:val="00414A4A"/>
    <w:rsid w:val="00414B35"/>
    <w:rsid w:val="00416D08"/>
    <w:rsid w:val="00421FB5"/>
    <w:rsid w:val="00422AD4"/>
    <w:rsid w:val="00422C6B"/>
    <w:rsid w:val="00423041"/>
    <w:rsid w:val="0042312B"/>
    <w:rsid w:val="004235DE"/>
    <w:rsid w:val="004242E5"/>
    <w:rsid w:val="004245E3"/>
    <w:rsid w:val="00425222"/>
    <w:rsid w:val="00425DD1"/>
    <w:rsid w:val="00425E2B"/>
    <w:rsid w:val="004269BA"/>
    <w:rsid w:val="00426D03"/>
    <w:rsid w:val="00430334"/>
    <w:rsid w:val="00430832"/>
    <w:rsid w:val="00430E85"/>
    <w:rsid w:val="00431411"/>
    <w:rsid w:val="00431BE4"/>
    <w:rsid w:val="00431BFC"/>
    <w:rsid w:val="00431D09"/>
    <w:rsid w:val="0043309B"/>
    <w:rsid w:val="004338FF"/>
    <w:rsid w:val="004342AC"/>
    <w:rsid w:val="0043432D"/>
    <w:rsid w:val="004408D5"/>
    <w:rsid w:val="00440C82"/>
    <w:rsid w:val="0044172A"/>
    <w:rsid w:val="00441E2B"/>
    <w:rsid w:val="00442781"/>
    <w:rsid w:val="004435F3"/>
    <w:rsid w:val="004440ED"/>
    <w:rsid w:val="004442C5"/>
    <w:rsid w:val="00444500"/>
    <w:rsid w:val="00444F48"/>
    <w:rsid w:val="0044625A"/>
    <w:rsid w:val="0044672E"/>
    <w:rsid w:val="004471EA"/>
    <w:rsid w:val="00447260"/>
    <w:rsid w:val="0044773A"/>
    <w:rsid w:val="00447E2E"/>
    <w:rsid w:val="00447F0E"/>
    <w:rsid w:val="004501C4"/>
    <w:rsid w:val="004511E4"/>
    <w:rsid w:val="00451F60"/>
    <w:rsid w:val="00452165"/>
    <w:rsid w:val="004526E3"/>
    <w:rsid w:val="0045286F"/>
    <w:rsid w:val="004534F8"/>
    <w:rsid w:val="00454118"/>
    <w:rsid w:val="004547F7"/>
    <w:rsid w:val="00454ED8"/>
    <w:rsid w:val="00455F5D"/>
    <w:rsid w:val="0045673E"/>
    <w:rsid w:val="00456861"/>
    <w:rsid w:val="00457A7E"/>
    <w:rsid w:val="0046081C"/>
    <w:rsid w:val="00460908"/>
    <w:rsid w:val="00461579"/>
    <w:rsid w:val="004619D2"/>
    <w:rsid w:val="00462194"/>
    <w:rsid w:val="00462284"/>
    <w:rsid w:val="004623C6"/>
    <w:rsid w:val="004626EC"/>
    <w:rsid w:val="00464406"/>
    <w:rsid w:val="004647D0"/>
    <w:rsid w:val="00465736"/>
    <w:rsid w:val="0046580E"/>
    <w:rsid w:val="00466849"/>
    <w:rsid w:val="0046694C"/>
    <w:rsid w:val="00467854"/>
    <w:rsid w:val="00467C53"/>
    <w:rsid w:val="004713F1"/>
    <w:rsid w:val="0047178F"/>
    <w:rsid w:val="00471828"/>
    <w:rsid w:val="0047186C"/>
    <w:rsid w:val="00471977"/>
    <w:rsid w:val="00471A6B"/>
    <w:rsid w:val="0047225F"/>
    <w:rsid w:val="00473B1A"/>
    <w:rsid w:val="00473E17"/>
    <w:rsid w:val="00474442"/>
    <w:rsid w:val="00475102"/>
    <w:rsid w:val="00475813"/>
    <w:rsid w:val="00475894"/>
    <w:rsid w:val="00475F13"/>
    <w:rsid w:val="0047632F"/>
    <w:rsid w:val="0047691D"/>
    <w:rsid w:val="00477073"/>
    <w:rsid w:val="004773D3"/>
    <w:rsid w:val="004774B6"/>
    <w:rsid w:val="00480809"/>
    <w:rsid w:val="00480D9E"/>
    <w:rsid w:val="0048155D"/>
    <w:rsid w:val="00481CC2"/>
    <w:rsid w:val="0048252F"/>
    <w:rsid w:val="00482B2F"/>
    <w:rsid w:val="004836A6"/>
    <w:rsid w:val="00483940"/>
    <w:rsid w:val="004839F5"/>
    <w:rsid w:val="004855A6"/>
    <w:rsid w:val="00485B68"/>
    <w:rsid w:val="00486161"/>
    <w:rsid w:val="00486217"/>
    <w:rsid w:val="00486427"/>
    <w:rsid w:val="0048711C"/>
    <w:rsid w:val="00487523"/>
    <w:rsid w:val="00487C47"/>
    <w:rsid w:val="00490179"/>
    <w:rsid w:val="004911AB"/>
    <w:rsid w:val="004914D2"/>
    <w:rsid w:val="00491B76"/>
    <w:rsid w:val="00491FB6"/>
    <w:rsid w:val="0049267E"/>
    <w:rsid w:val="004927C0"/>
    <w:rsid w:val="00492DC8"/>
    <w:rsid w:val="00493482"/>
    <w:rsid w:val="00494AFE"/>
    <w:rsid w:val="004957B3"/>
    <w:rsid w:val="004959E6"/>
    <w:rsid w:val="00496FE0"/>
    <w:rsid w:val="004979E9"/>
    <w:rsid w:val="004A07AF"/>
    <w:rsid w:val="004A0F19"/>
    <w:rsid w:val="004A0FA9"/>
    <w:rsid w:val="004A101E"/>
    <w:rsid w:val="004A138B"/>
    <w:rsid w:val="004A182A"/>
    <w:rsid w:val="004A1CC1"/>
    <w:rsid w:val="004A2812"/>
    <w:rsid w:val="004A4E8D"/>
    <w:rsid w:val="004A5A81"/>
    <w:rsid w:val="004A6886"/>
    <w:rsid w:val="004A6E0A"/>
    <w:rsid w:val="004A6F27"/>
    <w:rsid w:val="004A704D"/>
    <w:rsid w:val="004B092E"/>
    <w:rsid w:val="004B0F32"/>
    <w:rsid w:val="004B15AD"/>
    <w:rsid w:val="004B16E1"/>
    <w:rsid w:val="004B1DD0"/>
    <w:rsid w:val="004B2504"/>
    <w:rsid w:val="004B25BD"/>
    <w:rsid w:val="004B3033"/>
    <w:rsid w:val="004B4501"/>
    <w:rsid w:val="004B6A51"/>
    <w:rsid w:val="004B7964"/>
    <w:rsid w:val="004B7E29"/>
    <w:rsid w:val="004C0E68"/>
    <w:rsid w:val="004C25FC"/>
    <w:rsid w:val="004C261F"/>
    <w:rsid w:val="004C31A8"/>
    <w:rsid w:val="004C31CA"/>
    <w:rsid w:val="004C3675"/>
    <w:rsid w:val="004C4013"/>
    <w:rsid w:val="004C4789"/>
    <w:rsid w:val="004C4B31"/>
    <w:rsid w:val="004C542A"/>
    <w:rsid w:val="004C5D08"/>
    <w:rsid w:val="004C5F9C"/>
    <w:rsid w:val="004C705B"/>
    <w:rsid w:val="004C7AAC"/>
    <w:rsid w:val="004D0A13"/>
    <w:rsid w:val="004D0C0C"/>
    <w:rsid w:val="004D0F14"/>
    <w:rsid w:val="004D11DC"/>
    <w:rsid w:val="004D1ED8"/>
    <w:rsid w:val="004D22A5"/>
    <w:rsid w:val="004D2507"/>
    <w:rsid w:val="004D3074"/>
    <w:rsid w:val="004D3224"/>
    <w:rsid w:val="004D3A08"/>
    <w:rsid w:val="004D4B26"/>
    <w:rsid w:val="004D4F5D"/>
    <w:rsid w:val="004D5AD7"/>
    <w:rsid w:val="004D6E2D"/>
    <w:rsid w:val="004D6FA8"/>
    <w:rsid w:val="004D74AE"/>
    <w:rsid w:val="004D798B"/>
    <w:rsid w:val="004D7AC6"/>
    <w:rsid w:val="004E00AA"/>
    <w:rsid w:val="004E0B8B"/>
    <w:rsid w:val="004E3F1C"/>
    <w:rsid w:val="004E42E1"/>
    <w:rsid w:val="004E455A"/>
    <w:rsid w:val="004E4659"/>
    <w:rsid w:val="004E5AE2"/>
    <w:rsid w:val="004E5B9E"/>
    <w:rsid w:val="004E6812"/>
    <w:rsid w:val="004E77D3"/>
    <w:rsid w:val="004E7BAA"/>
    <w:rsid w:val="004F060B"/>
    <w:rsid w:val="004F0F42"/>
    <w:rsid w:val="004F10D4"/>
    <w:rsid w:val="004F1419"/>
    <w:rsid w:val="004F2369"/>
    <w:rsid w:val="004F2E65"/>
    <w:rsid w:val="004F349D"/>
    <w:rsid w:val="004F363B"/>
    <w:rsid w:val="004F3810"/>
    <w:rsid w:val="004F3B1D"/>
    <w:rsid w:val="004F476E"/>
    <w:rsid w:val="004F4C26"/>
    <w:rsid w:val="004F4F74"/>
    <w:rsid w:val="004F5093"/>
    <w:rsid w:val="004F54D1"/>
    <w:rsid w:val="004F58A8"/>
    <w:rsid w:val="004F77FF"/>
    <w:rsid w:val="004F7A2A"/>
    <w:rsid w:val="00500709"/>
    <w:rsid w:val="00501DB1"/>
    <w:rsid w:val="00502ED0"/>
    <w:rsid w:val="005030CC"/>
    <w:rsid w:val="005030CD"/>
    <w:rsid w:val="00505175"/>
    <w:rsid w:val="00506CD7"/>
    <w:rsid w:val="005071B1"/>
    <w:rsid w:val="00507A51"/>
    <w:rsid w:val="005103F1"/>
    <w:rsid w:val="005108A7"/>
    <w:rsid w:val="0051091D"/>
    <w:rsid w:val="005109B7"/>
    <w:rsid w:val="00512502"/>
    <w:rsid w:val="00512FF1"/>
    <w:rsid w:val="005138E3"/>
    <w:rsid w:val="00513C8F"/>
    <w:rsid w:val="0051507F"/>
    <w:rsid w:val="005159C9"/>
    <w:rsid w:val="0051604E"/>
    <w:rsid w:val="00517F68"/>
    <w:rsid w:val="00517F7E"/>
    <w:rsid w:val="00521957"/>
    <w:rsid w:val="0052263F"/>
    <w:rsid w:val="00522BD6"/>
    <w:rsid w:val="00522D30"/>
    <w:rsid w:val="005231AF"/>
    <w:rsid w:val="00523C1B"/>
    <w:rsid w:val="00523DC6"/>
    <w:rsid w:val="0052466A"/>
    <w:rsid w:val="005254C2"/>
    <w:rsid w:val="00525A5D"/>
    <w:rsid w:val="00526479"/>
    <w:rsid w:val="005279FA"/>
    <w:rsid w:val="00527FB5"/>
    <w:rsid w:val="00530315"/>
    <w:rsid w:val="005311CC"/>
    <w:rsid w:val="00531439"/>
    <w:rsid w:val="00531E5B"/>
    <w:rsid w:val="005322BE"/>
    <w:rsid w:val="00532929"/>
    <w:rsid w:val="00532B12"/>
    <w:rsid w:val="00532D38"/>
    <w:rsid w:val="00533058"/>
    <w:rsid w:val="00533084"/>
    <w:rsid w:val="005330FD"/>
    <w:rsid w:val="00533BBF"/>
    <w:rsid w:val="00533C36"/>
    <w:rsid w:val="005343D3"/>
    <w:rsid w:val="00536167"/>
    <w:rsid w:val="00536E6E"/>
    <w:rsid w:val="00536F24"/>
    <w:rsid w:val="0053756F"/>
    <w:rsid w:val="00537AE3"/>
    <w:rsid w:val="00537D73"/>
    <w:rsid w:val="0054027A"/>
    <w:rsid w:val="005402CD"/>
    <w:rsid w:val="005405AE"/>
    <w:rsid w:val="005411A8"/>
    <w:rsid w:val="005413BF"/>
    <w:rsid w:val="00541F25"/>
    <w:rsid w:val="00542588"/>
    <w:rsid w:val="00542C04"/>
    <w:rsid w:val="005430CF"/>
    <w:rsid w:val="00543358"/>
    <w:rsid w:val="00543B43"/>
    <w:rsid w:val="00543D06"/>
    <w:rsid w:val="00544115"/>
    <w:rsid w:val="005446B5"/>
    <w:rsid w:val="005449FA"/>
    <w:rsid w:val="0054596B"/>
    <w:rsid w:val="00545986"/>
    <w:rsid w:val="00546E9A"/>
    <w:rsid w:val="00546EC1"/>
    <w:rsid w:val="005511DB"/>
    <w:rsid w:val="0055157F"/>
    <w:rsid w:val="0055295D"/>
    <w:rsid w:val="00552E76"/>
    <w:rsid w:val="005533B5"/>
    <w:rsid w:val="0055426E"/>
    <w:rsid w:val="005547CE"/>
    <w:rsid w:val="00555702"/>
    <w:rsid w:val="00555F97"/>
    <w:rsid w:val="00556030"/>
    <w:rsid w:val="0055625F"/>
    <w:rsid w:val="005569BD"/>
    <w:rsid w:val="00556D2C"/>
    <w:rsid w:val="00557B6E"/>
    <w:rsid w:val="00557DAE"/>
    <w:rsid w:val="005610CC"/>
    <w:rsid w:val="0056147D"/>
    <w:rsid w:val="00562970"/>
    <w:rsid w:val="00562F34"/>
    <w:rsid w:val="00563213"/>
    <w:rsid w:val="00563CBB"/>
    <w:rsid w:val="00565129"/>
    <w:rsid w:val="005651A9"/>
    <w:rsid w:val="00565AEF"/>
    <w:rsid w:val="00565B19"/>
    <w:rsid w:val="0056680A"/>
    <w:rsid w:val="005669E3"/>
    <w:rsid w:val="00566F6A"/>
    <w:rsid w:val="00567CC2"/>
    <w:rsid w:val="00567E50"/>
    <w:rsid w:val="00570361"/>
    <w:rsid w:val="005713D3"/>
    <w:rsid w:val="0057143D"/>
    <w:rsid w:val="005717DF"/>
    <w:rsid w:val="00572133"/>
    <w:rsid w:val="00572A81"/>
    <w:rsid w:val="00572E95"/>
    <w:rsid w:val="00574070"/>
    <w:rsid w:val="005740B8"/>
    <w:rsid w:val="0057493B"/>
    <w:rsid w:val="0057494A"/>
    <w:rsid w:val="00574C8F"/>
    <w:rsid w:val="00575ACD"/>
    <w:rsid w:val="00575DB7"/>
    <w:rsid w:val="00577031"/>
    <w:rsid w:val="00577F65"/>
    <w:rsid w:val="00580094"/>
    <w:rsid w:val="0058066C"/>
    <w:rsid w:val="00580B56"/>
    <w:rsid w:val="00582168"/>
    <w:rsid w:val="00582EF0"/>
    <w:rsid w:val="0058485B"/>
    <w:rsid w:val="00584E9E"/>
    <w:rsid w:val="005853F8"/>
    <w:rsid w:val="0058554B"/>
    <w:rsid w:val="005857C3"/>
    <w:rsid w:val="005868EA"/>
    <w:rsid w:val="00587054"/>
    <w:rsid w:val="00590445"/>
    <w:rsid w:val="0059237E"/>
    <w:rsid w:val="005924E3"/>
    <w:rsid w:val="00592584"/>
    <w:rsid w:val="00592758"/>
    <w:rsid w:val="005927CB"/>
    <w:rsid w:val="00592A36"/>
    <w:rsid w:val="00593CB9"/>
    <w:rsid w:val="00593F7C"/>
    <w:rsid w:val="00593FFD"/>
    <w:rsid w:val="00594030"/>
    <w:rsid w:val="005949FC"/>
    <w:rsid w:val="00595353"/>
    <w:rsid w:val="005964AC"/>
    <w:rsid w:val="00596864"/>
    <w:rsid w:val="00597EF7"/>
    <w:rsid w:val="005A0B81"/>
    <w:rsid w:val="005A112D"/>
    <w:rsid w:val="005A148A"/>
    <w:rsid w:val="005A1F22"/>
    <w:rsid w:val="005A2862"/>
    <w:rsid w:val="005A289C"/>
    <w:rsid w:val="005A3184"/>
    <w:rsid w:val="005A5636"/>
    <w:rsid w:val="005A5DB8"/>
    <w:rsid w:val="005A6D0B"/>
    <w:rsid w:val="005A7C23"/>
    <w:rsid w:val="005B0224"/>
    <w:rsid w:val="005B2318"/>
    <w:rsid w:val="005B4023"/>
    <w:rsid w:val="005B428A"/>
    <w:rsid w:val="005B4965"/>
    <w:rsid w:val="005B4F1B"/>
    <w:rsid w:val="005B5A7A"/>
    <w:rsid w:val="005B60AC"/>
    <w:rsid w:val="005B6AA3"/>
    <w:rsid w:val="005B755C"/>
    <w:rsid w:val="005B76AC"/>
    <w:rsid w:val="005B794C"/>
    <w:rsid w:val="005C02F0"/>
    <w:rsid w:val="005C0610"/>
    <w:rsid w:val="005C1000"/>
    <w:rsid w:val="005C12C0"/>
    <w:rsid w:val="005C1C64"/>
    <w:rsid w:val="005C3694"/>
    <w:rsid w:val="005C423F"/>
    <w:rsid w:val="005C4E15"/>
    <w:rsid w:val="005C5719"/>
    <w:rsid w:val="005C5811"/>
    <w:rsid w:val="005C5ACD"/>
    <w:rsid w:val="005C5BF0"/>
    <w:rsid w:val="005C5EAD"/>
    <w:rsid w:val="005C6471"/>
    <w:rsid w:val="005C6E7E"/>
    <w:rsid w:val="005C70B0"/>
    <w:rsid w:val="005C7F3C"/>
    <w:rsid w:val="005D0FDD"/>
    <w:rsid w:val="005D1097"/>
    <w:rsid w:val="005D12BB"/>
    <w:rsid w:val="005D1816"/>
    <w:rsid w:val="005D2318"/>
    <w:rsid w:val="005D3249"/>
    <w:rsid w:val="005D3524"/>
    <w:rsid w:val="005D41A1"/>
    <w:rsid w:val="005D467D"/>
    <w:rsid w:val="005D4AEC"/>
    <w:rsid w:val="005D52EC"/>
    <w:rsid w:val="005D58F2"/>
    <w:rsid w:val="005D5EAF"/>
    <w:rsid w:val="005D5FC7"/>
    <w:rsid w:val="005D649E"/>
    <w:rsid w:val="005D72BE"/>
    <w:rsid w:val="005E00FF"/>
    <w:rsid w:val="005E05CC"/>
    <w:rsid w:val="005E0973"/>
    <w:rsid w:val="005E18D8"/>
    <w:rsid w:val="005E1AF8"/>
    <w:rsid w:val="005E1F57"/>
    <w:rsid w:val="005E2072"/>
    <w:rsid w:val="005E25D0"/>
    <w:rsid w:val="005E2C8B"/>
    <w:rsid w:val="005E6922"/>
    <w:rsid w:val="005E6B3A"/>
    <w:rsid w:val="005E6F3D"/>
    <w:rsid w:val="005E7211"/>
    <w:rsid w:val="005E77FD"/>
    <w:rsid w:val="005E7B7E"/>
    <w:rsid w:val="005F027E"/>
    <w:rsid w:val="005F0583"/>
    <w:rsid w:val="005F0885"/>
    <w:rsid w:val="005F15D9"/>
    <w:rsid w:val="005F194E"/>
    <w:rsid w:val="005F1C9F"/>
    <w:rsid w:val="005F1E8D"/>
    <w:rsid w:val="005F35AD"/>
    <w:rsid w:val="005F38AC"/>
    <w:rsid w:val="005F3D0A"/>
    <w:rsid w:val="005F40E6"/>
    <w:rsid w:val="005F42CE"/>
    <w:rsid w:val="005F4E90"/>
    <w:rsid w:val="005F5843"/>
    <w:rsid w:val="005F67C8"/>
    <w:rsid w:val="005F73F0"/>
    <w:rsid w:val="005F786A"/>
    <w:rsid w:val="005F7979"/>
    <w:rsid w:val="005F7A92"/>
    <w:rsid w:val="005F7C7B"/>
    <w:rsid w:val="005F7FEF"/>
    <w:rsid w:val="00600206"/>
    <w:rsid w:val="00600465"/>
    <w:rsid w:val="00600ADC"/>
    <w:rsid w:val="00600DAD"/>
    <w:rsid w:val="00600F05"/>
    <w:rsid w:val="00600FDB"/>
    <w:rsid w:val="00601467"/>
    <w:rsid w:val="00601DC4"/>
    <w:rsid w:val="006028F0"/>
    <w:rsid w:val="006029D6"/>
    <w:rsid w:val="00603248"/>
    <w:rsid w:val="00603501"/>
    <w:rsid w:val="00603867"/>
    <w:rsid w:val="00603AA8"/>
    <w:rsid w:val="00603D03"/>
    <w:rsid w:val="006047EB"/>
    <w:rsid w:val="006066C4"/>
    <w:rsid w:val="0061006D"/>
    <w:rsid w:val="006109D8"/>
    <w:rsid w:val="00610E94"/>
    <w:rsid w:val="0061113F"/>
    <w:rsid w:val="00612B05"/>
    <w:rsid w:val="00612DCA"/>
    <w:rsid w:val="006134E2"/>
    <w:rsid w:val="0061434F"/>
    <w:rsid w:val="006152FB"/>
    <w:rsid w:val="00615982"/>
    <w:rsid w:val="0061745E"/>
    <w:rsid w:val="0062108D"/>
    <w:rsid w:val="00621787"/>
    <w:rsid w:val="00622B81"/>
    <w:rsid w:val="00623641"/>
    <w:rsid w:val="006236BD"/>
    <w:rsid w:val="00623DEC"/>
    <w:rsid w:val="006257E5"/>
    <w:rsid w:val="00625DD6"/>
    <w:rsid w:val="00627B7B"/>
    <w:rsid w:val="0063031C"/>
    <w:rsid w:val="00631632"/>
    <w:rsid w:val="00632B2F"/>
    <w:rsid w:val="00633910"/>
    <w:rsid w:val="006340F2"/>
    <w:rsid w:val="0063470B"/>
    <w:rsid w:val="00634BBC"/>
    <w:rsid w:val="00634D19"/>
    <w:rsid w:val="00635255"/>
    <w:rsid w:val="00635439"/>
    <w:rsid w:val="00635AE4"/>
    <w:rsid w:val="0063673B"/>
    <w:rsid w:val="0063680D"/>
    <w:rsid w:val="00637BDF"/>
    <w:rsid w:val="00637BE7"/>
    <w:rsid w:val="0064002D"/>
    <w:rsid w:val="006403EC"/>
    <w:rsid w:val="0064091D"/>
    <w:rsid w:val="0064097B"/>
    <w:rsid w:val="006415C6"/>
    <w:rsid w:val="00642A9A"/>
    <w:rsid w:val="00643281"/>
    <w:rsid w:val="0064394D"/>
    <w:rsid w:val="00643DA5"/>
    <w:rsid w:val="00643DBD"/>
    <w:rsid w:val="006460C9"/>
    <w:rsid w:val="00646D8C"/>
    <w:rsid w:val="0064724A"/>
    <w:rsid w:val="00647264"/>
    <w:rsid w:val="006475C7"/>
    <w:rsid w:val="00647655"/>
    <w:rsid w:val="006476C1"/>
    <w:rsid w:val="00651AF7"/>
    <w:rsid w:val="00652484"/>
    <w:rsid w:val="00652568"/>
    <w:rsid w:val="00653D14"/>
    <w:rsid w:val="00653F2D"/>
    <w:rsid w:val="006544ED"/>
    <w:rsid w:val="00654C4A"/>
    <w:rsid w:val="00655722"/>
    <w:rsid w:val="00655781"/>
    <w:rsid w:val="00655BCA"/>
    <w:rsid w:val="00656624"/>
    <w:rsid w:val="006606E0"/>
    <w:rsid w:val="00661612"/>
    <w:rsid w:val="00661872"/>
    <w:rsid w:val="00661C01"/>
    <w:rsid w:val="0066238B"/>
    <w:rsid w:val="00662421"/>
    <w:rsid w:val="006628AF"/>
    <w:rsid w:val="00663960"/>
    <w:rsid w:val="00663D2F"/>
    <w:rsid w:val="00664363"/>
    <w:rsid w:val="00664366"/>
    <w:rsid w:val="0066516F"/>
    <w:rsid w:val="0066571C"/>
    <w:rsid w:val="00666952"/>
    <w:rsid w:val="006670A4"/>
    <w:rsid w:val="006672BD"/>
    <w:rsid w:val="0066734F"/>
    <w:rsid w:val="00667B9E"/>
    <w:rsid w:val="00670E3C"/>
    <w:rsid w:val="006725E7"/>
    <w:rsid w:val="00672F29"/>
    <w:rsid w:val="0067316A"/>
    <w:rsid w:val="00673546"/>
    <w:rsid w:val="006742E7"/>
    <w:rsid w:val="0067541C"/>
    <w:rsid w:val="00675C73"/>
    <w:rsid w:val="006763BC"/>
    <w:rsid w:val="00676458"/>
    <w:rsid w:val="006769B3"/>
    <w:rsid w:val="00676DA3"/>
    <w:rsid w:val="00677034"/>
    <w:rsid w:val="00677F6C"/>
    <w:rsid w:val="006808BA"/>
    <w:rsid w:val="00680E12"/>
    <w:rsid w:val="0068139A"/>
    <w:rsid w:val="00681767"/>
    <w:rsid w:val="006818C2"/>
    <w:rsid w:val="00682E0E"/>
    <w:rsid w:val="00683206"/>
    <w:rsid w:val="00684106"/>
    <w:rsid w:val="006846D3"/>
    <w:rsid w:val="00685242"/>
    <w:rsid w:val="0068593D"/>
    <w:rsid w:val="00685D76"/>
    <w:rsid w:val="00685F03"/>
    <w:rsid w:val="006873F8"/>
    <w:rsid w:val="006900BB"/>
    <w:rsid w:val="00690A9C"/>
    <w:rsid w:val="00691CD7"/>
    <w:rsid w:val="00692A4F"/>
    <w:rsid w:val="00692E73"/>
    <w:rsid w:val="006937E4"/>
    <w:rsid w:val="0069399A"/>
    <w:rsid w:val="00693BA4"/>
    <w:rsid w:val="00693BAE"/>
    <w:rsid w:val="00693CF7"/>
    <w:rsid w:val="00693E00"/>
    <w:rsid w:val="00694646"/>
    <w:rsid w:val="00696068"/>
    <w:rsid w:val="006960F9"/>
    <w:rsid w:val="0069642C"/>
    <w:rsid w:val="00696889"/>
    <w:rsid w:val="006A0DD4"/>
    <w:rsid w:val="006A1BED"/>
    <w:rsid w:val="006A21A8"/>
    <w:rsid w:val="006A2319"/>
    <w:rsid w:val="006A2A08"/>
    <w:rsid w:val="006A2E2C"/>
    <w:rsid w:val="006A2F9B"/>
    <w:rsid w:val="006A3003"/>
    <w:rsid w:val="006A3275"/>
    <w:rsid w:val="006A36ED"/>
    <w:rsid w:val="006A3BCD"/>
    <w:rsid w:val="006A4D55"/>
    <w:rsid w:val="006A5256"/>
    <w:rsid w:val="006A5C95"/>
    <w:rsid w:val="006A5EB0"/>
    <w:rsid w:val="006A78B3"/>
    <w:rsid w:val="006A7991"/>
    <w:rsid w:val="006B01E7"/>
    <w:rsid w:val="006B0421"/>
    <w:rsid w:val="006B0D1F"/>
    <w:rsid w:val="006B1B62"/>
    <w:rsid w:val="006B3553"/>
    <w:rsid w:val="006B3B77"/>
    <w:rsid w:val="006B45D3"/>
    <w:rsid w:val="006B5740"/>
    <w:rsid w:val="006B57A2"/>
    <w:rsid w:val="006B61EE"/>
    <w:rsid w:val="006B63A2"/>
    <w:rsid w:val="006B6522"/>
    <w:rsid w:val="006B6B2D"/>
    <w:rsid w:val="006B6C94"/>
    <w:rsid w:val="006C0321"/>
    <w:rsid w:val="006C06BF"/>
    <w:rsid w:val="006C0A6C"/>
    <w:rsid w:val="006C0B31"/>
    <w:rsid w:val="006C0D0A"/>
    <w:rsid w:val="006C2385"/>
    <w:rsid w:val="006C282B"/>
    <w:rsid w:val="006C28BD"/>
    <w:rsid w:val="006C3A92"/>
    <w:rsid w:val="006C48FF"/>
    <w:rsid w:val="006C4972"/>
    <w:rsid w:val="006C63ED"/>
    <w:rsid w:val="006C67B8"/>
    <w:rsid w:val="006C7A38"/>
    <w:rsid w:val="006D0395"/>
    <w:rsid w:val="006D111F"/>
    <w:rsid w:val="006D1FC1"/>
    <w:rsid w:val="006D2345"/>
    <w:rsid w:val="006D295D"/>
    <w:rsid w:val="006D3281"/>
    <w:rsid w:val="006D33EB"/>
    <w:rsid w:val="006D40B4"/>
    <w:rsid w:val="006D4389"/>
    <w:rsid w:val="006D4A95"/>
    <w:rsid w:val="006D4CC2"/>
    <w:rsid w:val="006D51EC"/>
    <w:rsid w:val="006D5703"/>
    <w:rsid w:val="006D579B"/>
    <w:rsid w:val="006D5CD7"/>
    <w:rsid w:val="006D6BD1"/>
    <w:rsid w:val="006D7584"/>
    <w:rsid w:val="006D7847"/>
    <w:rsid w:val="006E1136"/>
    <w:rsid w:val="006E209B"/>
    <w:rsid w:val="006E2243"/>
    <w:rsid w:val="006E3BF2"/>
    <w:rsid w:val="006E3C6C"/>
    <w:rsid w:val="006E5328"/>
    <w:rsid w:val="006E53CA"/>
    <w:rsid w:val="006E602B"/>
    <w:rsid w:val="006E6BD8"/>
    <w:rsid w:val="006E753B"/>
    <w:rsid w:val="006F0994"/>
    <w:rsid w:val="006F10E8"/>
    <w:rsid w:val="006F14E0"/>
    <w:rsid w:val="006F1AA7"/>
    <w:rsid w:val="006F22C9"/>
    <w:rsid w:val="006F2CB6"/>
    <w:rsid w:val="006F30A4"/>
    <w:rsid w:val="006F3648"/>
    <w:rsid w:val="006F43A3"/>
    <w:rsid w:val="006F44C6"/>
    <w:rsid w:val="006F48FD"/>
    <w:rsid w:val="006F4EA5"/>
    <w:rsid w:val="006F4FF8"/>
    <w:rsid w:val="006F5199"/>
    <w:rsid w:val="006F5375"/>
    <w:rsid w:val="006F5AAD"/>
    <w:rsid w:val="006F5BB4"/>
    <w:rsid w:val="006F705B"/>
    <w:rsid w:val="006F7519"/>
    <w:rsid w:val="006F7520"/>
    <w:rsid w:val="006F7B68"/>
    <w:rsid w:val="00700B31"/>
    <w:rsid w:val="007011D3"/>
    <w:rsid w:val="00701B47"/>
    <w:rsid w:val="00702CB5"/>
    <w:rsid w:val="00703260"/>
    <w:rsid w:val="00703DE3"/>
    <w:rsid w:val="00703E5C"/>
    <w:rsid w:val="00703EA1"/>
    <w:rsid w:val="00705559"/>
    <w:rsid w:val="00705DE3"/>
    <w:rsid w:val="00706431"/>
    <w:rsid w:val="00707552"/>
    <w:rsid w:val="00707ACC"/>
    <w:rsid w:val="00710663"/>
    <w:rsid w:val="00710DAA"/>
    <w:rsid w:val="007117F1"/>
    <w:rsid w:val="007119BB"/>
    <w:rsid w:val="007123DF"/>
    <w:rsid w:val="00712BA6"/>
    <w:rsid w:val="00712DDD"/>
    <w:rsid w:val="007131A2"/>
    <w:rsid w:val="0071323E"/>
    <w:rsid w:val="00713D74"/>
    <w:rsid w:val="00714C13"/>
    <w:rsid w:val="007155FB"/>
    <w:rsid w:val="007160B0"/>
    <w:rsid w:val="007174CA"/>
    <w:rsid w:val="00717636"/>
    <w:rsid w:val="007177A7"/>
    <w:rsid w:val="0072082E"/>
    <w:rsid w:val="00721B32"/>
    <w:rsid w:val="00721F75"/>
    <w:rsid w:val="00722159"/>
    <w:rsid w:val="0072235F"/>
    <w:rsid w:val="00722BBF"/>
    <w:rsid w:val="00722F6E"/>
    <w:rsid w:val="0072398E"/>
    <w:rsid w:val="00723F5B"/>
    <w:rsid w:val="00724ACD"/>
    <w:rsid w:val="0072616C"/>
    <w:rsid w:val="00726327"/>
    <w:rsid w:val="0072679E"/>
    <w:rsid w:val="00727318"/>
    <w:rsid w:val="0073118B"/>
    <w:rsid w:val="00731B9E"/>
    <w:rsid w:val="00731FAE"/>
    <w:rsid w:val="00732243"/>
    <w:rsid w:val="007323E3"/>
    <w:rsid w:val="0073290D"/>
    <w:rsid w:val="00732DDB"/>
    <w:rsid w:val="00733110"/>
    <w:rsid w:val="007334C0"/>
    <w:rsid w:val="007337EE"/>
    <w:rsid w:val="00733E0C"/>
    <w:rsid w:val="00733EF4"/>
    <w:rsid w:val="0073513A"/>
    <w:rsid w:val="00735C92"/>
    <w:rsid w:val="00735F73"/>
    <w:rsid w:val="0073630F"/>
    <w:rsid w:val="0073654B"/>
    <w:rsid w:val="00736AE1"/>
    <w:rsid w:val="007371B3"/>
    <w:rsid w:val="0073747B"/>
    <w:rsid w:val="007374F9"/>
    <w:rsid w:val="0074028E"/>
    <w:rsid w:val="0074080B"/>
    <w:rsid w:val="00741BB4"/>
    <w:rsid w:val="0074210A"/>
    <w:rsid w:val="0074279E"/>
    <w:rsid w:val="0074387B"/>
    <w:rsid w:val="00743B45"/>
    <w:rsid w:val="007444BC"/>
    <w:rsid w:val="0074536F"/>
    <w:rsid w:val="00745653"/>
    <w:rsid w:val="007463EC"/>
    <w:rsid w:val="007465C7"/>
    <w:rsid w:val="00746890"/>
    <w:rsid w:val="0074692C"/>
    <w:rsid w:val="00746A43"/>
    <w:rsid w:val="0074708D"/>
    <w:rsid w:val="00747C3F"/>
    <w:rsid w:val="00747E99"/>
    <w:rsid w:val="0075065B"/>
    <w:rsid w:val="007507BD"/>
    <w:rsid w:val="00750DAA"/>
    <w:rsid w:val="00750FC0"/>
    <w:rsid w:val="00751C64"/>
    <w:rsid w:val="00751DAE"/>
    <w:rsid w:val="007529DE"/>
    <w:rsid w:val="007533D3"/>
    <w:rsid w:val="007536A2"/>
    <w:rsid w:val="00754AB9"/>
    <w:rsid w:val="00756152"/>
    <w:rsid w:val="00756584"/>
    <w:rsid w:val="0075724C"/>
    <w:rsid w:val="00757599"/>
    <w:rsid w:val="007577A0"/>
    <w:rsid w:val="00757CBE"/>
    <w:rsid w:val="007603DB"/>
    <w:rsid w:val="0076062D"/>
    <w:rsid w:val="00760651"/>
    <w:rsid w:val="00760BC5"/>
    <w:rsid w:val="00760FA8"/>
    <w:rsid w:val="007619FF"/>
    <w:rsid w:val="00761B4E"/>
    <w:rsid w:val="00761BFB"/>
    <w:rsid w:val="00762367"/>
    <w:rsid w:val="00762B07"/>
    <w:rsid w:val="0076397A"/>
    <w:rsid w:val="00763FB2"/>
    <w:rsid w:val="00764B45"/>
    <w:rsid w:val="007652EE"/>
    <w:rsid w:val="0076542F"/>
    <w:rsid w:val="00765468"/>
    <w:rsid w:val="00766FFB"/>
    <w:rsid w:val="00767C3A"/>
    <w:rsid w:val="007705E2"/>
    <w:rsid w:val="00770EC9"/>
    <w:rsid w:val="007713FD"/>
    <w:rsid w:val="00771AC2"/>
    <w:rsid w:val="00772413"/>
    <w:rsid w:val="00773ABF"/>
    <w:rsid w:val="007746C1"/>
    <w:rsid w:val="007748CE"/>
    <w:rsid w:val="00774AC4"/>
    <w:rsid w:val="007757DA"/>
    <w:rsid w:val="0077582C"/>
    <w:rsid w:val="00775977"/>
    <w:rsid w:val="00775A1C"/>
    <w:rsid w:val="00776347"/>
    <w:rsid w:val="00776517"/>
    <w:rsid w:val="007769A6"/>
    <w:rsid w:val="00776FA8"/>
    <w:rsid w:val="0077708E"/>
    <w:rsid w:val="0077727F"/>
    <w:rsid w:val="0078006A"/>
    <w:rsid w:val="00780445"/>
    <w:rsid w:val="00780B25"/>
    <w:rsid w:val="00780CD7"/>
    <w:rsid w:val="00782490"/>
    <w:rsid w:val="00782681"/>
    <w:rsid w:val="00783157"/>
    <w:rsid w:val="00783365"/>
    <w:rsid w:val="00783C30"/>
    <w:rsid w:val="00783E7A"/>
    <w:rsid w:val="007840CD"/>
    <w:rsid w:val="00784BCF"/>
    <w:rsid w:val="00784DFE"/>
    <w:rsid w:val="007853F7"/>
    <w:rsid w:val="007860EF"/>
    <w:rsid w:val="0078645E"/>
    <w:rsid w:val="007866FA"/>
    <w:rsid w:val="00787C0B"/>
    <w:rsid w:val="0079012A"/>
    <w:rsid w:val="0079018E"/>
    <w:rsid w:val="007902F9"/>
    <w:rsid w:val="007908B6"/>
    <w:rsid w:val="00790F61"/>
    <w:rsid w:val="00791153"/>
    <w:rsid w:val="0079129B"/>
    <w:rsid w:val="007912EB"/>
    <w:rsid w:val="007920CD"/>
    <w:rsid w:val="0079244D"/>
    <w:rsid w:val="00793214"/>
    <w:rsid w:val="00793789"/>
    <w:rsid w:val="007939DB"/>
    <w:rsid w:val="00794354"/>
    <w:rsid w:val="007943B1"/>
    <w:rsid w:val="00795237"/>
    <w:rsid w:val="00795F54"/>
    <w:rsid w:val="00796639"/>
    <w:rsid w:val="0079668F"/>
    <w:rsid w:val="00796C94"/>
    <w:rsid w:val="00797036"/>
    <w:rsid w:val="00797341"/>
    <w:rsid w:val="00797D74"/>
    <w:rsid w:val="007A02EC"/>
    <w:rsid w:val="007A03C1"/>
    <w:rsid w:val="007A0A34"/>
    <w:rsid w:val="007A0E18"/>
    <w:rsid w:val="007A0EDE"/>
    <w:rsid w:val="007A1771"/>
    <w:rsid w:val="007A259F"/>
    <w:rsid w:val="007A3530"/>
    <w:rsid w:val="007A3B63"/>
    <w:rsid w:val="007A3B7E"/>
    <w:rsid w:val="007A3F61"/>
    <w:rsid w:val="007A40C9"/>
    <w:rsid w:val="007A42BA"/>
    <w:rsid w:val="007A4A2D"/>
    <w:rsid w:val="007A4CE3"/>
    <w:rsid w:val="007A5668"/>
    <w:rsid w:val="007A5F7A"/>
    <w:rsid w:val="007A7572"/>
    <w:rsid w:val="007B04E9"/>
    <w:rsid w:val="007B0EC1"/>
    <w:rsid w:val="007B0FEF"/>
    <w:rsid w:val="007B100A"/>
    <w:rsid w:val="007B1665"/>
    <w:rsid w:val="007B1C05"/>
    <w:rsid w:val="007B21A5"/>
    <w:rsid w:val="007B2AD6"/>
    <w:rsid w:val="007B3938"/>
    <w:rsid w:val="007B3D61"/>
    <w:rsid w:val="007B53AB"/>
    <w:rsid w:val="007B544F"/>
    <w:rsid w:val="007B5524"/>
    <w:rsid w:val="007B58C5"/>
    <w:rsid w:val="007B60D1"/>
    <w:rsid w:val="007B652C"/>
    <w:rsid w:val="007B6AB0"/>
    <w:rsid w:val="007C0211"/>
    <w:rsid w:val="007C12D1"/>
    <w:rsid w:val="007C17EC"/>
    <w:rsid w:val="007C1BBA"/>
    <w:rsid w:val="007C2144"/>
    <w:rsid w:val="007C3157"/>
    <w:rsid w:val="007C34B9"/>
    <w:rsid w:val="007C4113"/>
    <w:rsid w:val="007C4456"/>
    <w:rsid w:val="007C49C4"/>
    <w:rsid w:val="007C4F15"/>
    <w:rsid w:val="007C582A"/>
    <w:rsid w:val="007C5AC4"/>
    <w:rsid w:val="007C5E90"/>
    <w:rsid w:val="007C61D0"/>
    <w:rsid w:val="007C6AEC"/>
    <w:rsid w:val="007C780E"/>
    <w:rsid w:val="007C7F46"/>
    <w:rsid w:val="007D03EC"/>
    <w:rsid w:val="007D1269"/>
    <w:rsid w:val="007D1AB7"/>
    <w:rsid w:val="007D25C9"/>
    <w:rsid w:val="007D2908"/>
    <w:rsid w:val="007D2ACB"/>
    <w:rsid w:val="007D2BDF"/>
    <w:rsid w:val="007D2BEB"/>
    <w:rsid w:val="007D31ED"/>
    <w:rsid w:val="007D336D"/>
    <w:rsid w:val="007D3EA3"/>
    <w:rsid w:val="007D4ED8"/>
    <w:rsid w:val="007D5638"/>
    <w:rsid w:val="007D6DA1"/>
    <w:rsid w:val="007D799D"/>
    <w:rsid w:val="007D7BE5"/>
    <w:rsid w:val="007E0DA0"/>
    <w:rsid w:val="007E1348"/>
    <w:rsid w:val="007E1546"/>
    <w:rsid w:val="007E2404"/>
    <w:rsid w:val="007E364A"/>
    <w:rsid w:val="007E3FE8"/>
    <w:rsid w:val="007E54A6"/>
    <w:rsid w:val="007E6D6D"/>
    <w:rsid w:val="007F022F"/>
    <w:rsid w:val="007F053E"/>
    <w:rsid w:val="007F074C"/>
    <w:rsid w:val="007F0861"/>
    <w:rsid w:val="007F0D4A"/>
    <w:rsid w:val="007F0DF1"/>
    <w:rsid w:val="007F0F8F"/>
    <w:rsid w:val="007F1F26"/>
    <w:rsid w:val="007F253D"/>
    <w:rsid w:val="007F263E"/>
    <w:rsid w:val="007F2A45"/>
    <w:rsid w:val="007F2DC9"/>
    <w:rsid w:val="007F31DE"/>
    <w:rsid w:val="007F33CC"/>
    <w:rsid w:val="007F3415"/>
    <w:rsid w:val="007F4033"/>
    <w:rsid w:val="007F4BC3"/>
    <w:rsid w:val="007F5C57"/>
    <w:rsid w:val="007F7045"/>
    <w:rsid w:val="007F72E8"/>
    <w:rsid w:val="007F74C5"/>
    <w:rsid w:val="007F7881"/>
    <w:rsid w:val="007F7A1D"/>
    <w:rsid w:val="007F7DBD"/>
    <w:rsid w:val="007F7F6F"/>
    <w:rsid w:val="00800C33"/>
    <w:rsid w:val="0080108E"/>
    <w:rsid w:val="00802F0D"/>
    <w:rsid w:val="00803F77"/>
    <w:rsid w:val="0080429B"/>
    <w:rsid w:val="00804A0A"/>
    <w:rsid w:val="00806852"/>
    <w:rsid w:val="008075BE"/>
    <w:rsid w:val="0081017C"/>
    <w:rsid w:val="008104B5"/>
    <w:rsid w:val="00811321"/>
    <w:rsid w:val="0081136A"/>
    <w:rsid w:val="00811B37"/>
    <w:rsid w:val="00811B66"/>
    <w:rsid w:val="00811E37"/>
    <w:rsid w:val="008128CE"/>
    <w:rsid w:val="00812B59"/>
    <w:rsid w:val="00814128"/>
    <w:rsid w:val="00814363"/>
    <w:rsid w:val="00814D30"/>
    <w:rsid w:val="00814D4B"/>
    <w:rsid w:val="0081627D"/>
    <w:rsid w:val="0081652C"/>
    <w:rsid w:val="00816A5D"/>
    <w:rsid w:val="00817317"/>
    <w:rsid w:val="00817F17"/>
    <w:rsid w:val="00820362"/>
    <w:rsid w:val="00820AE5"/>
    <w:rsid w:val="00820C85"/>
    <w:rsid w:val="0082210A"/>
    <w:rsid w:val="008225F7"/>
    <w:rsid w:val="008233B9"/>
    <w:rsid w:val="00823959"/>
    <w:rsid w:val="00824049"/>
    <w:rsid w:val="008248CB"/>
    <w:rsid w:val="00825060"/>
    <w:rsid w:val="0082540D"/>
    <w:rsid w:val="008254C2"/>
    <w:rsid w:val="00825B95"/>
    <w:rsid w:val="00825EC0"/>
    <w:rsid w:val="008267B0"/>
    <w:rsid w:val="00826996"/>
    <w:rsid w:val="00826D03"/>
    <w:rsid w:val="00827233"/>
    <w:rsid w:val="00827A34"/>
    <w:rsid w:val="008303C6"/>
    <w:rsid w:val="00830650"/>
    <w:rsid w:val="00831D8E"/>
    <w:rsid w:val="00832285"/>
    <w:rsid w:val="0083256D"/>
    <w:rsid w:val="00833062"/>
    <w:rsid w:val="0083376F"/>
    <w:rsid w:val="00833FE6"/>
    <w:rsid w:val="00834811"/>
    <w:rsid w:val="008355E5"/>
    <w:rsid w:val="00835812"/>
    <w:rsid w:val="00835ADD"/>
    <w:rsid w:val="00835C2C"/>
    <w:rsid w:val="0083758A"/>
    <w:rsid w:val="00837EDC"/>
    <w:rsid w:val="00840DAA"/>
    <w:rsid w:val="0084197B"/>
    <w:rsid w:val="00842C99"/>
    <w:rsid w:val="0084329B"/>
    <w:rsid w:val="008433A1"/>
    <w:rsid w:val="008433B0"/>
    <w:rsid w:val="00843502"/>
    <w:rsid w:val="008435CE"/>
    <w:rsid w:val="00843BC8"/>
    <w:rsid w:val="00844ED3"/>
    <w:rsid w:val="00845462"/>
    <w:rsid w:val="00845644"/>
    <w:rsid w:val="00845663"/>
    <w:rsid w:val="008465FC"/>
    <w:rsid w:val="00846A66"/>
    <w:rsid w:val="00847164"/>
    <w:rsid w:val="0084740A"/>
    <w:rsid w:val="0084740B"/>
    <w:rsid w:val="0084750D"/>
    <w:rsid w:val="008478CD"/>
    <w:rsid w:val="00847F3C"/>
    <w:rsid w:val="00852138"/>
    <w:rsid w:val="008524E4"/>
    <w:rsid w:val="00852FE1"/>
    <w:rsid w:val="00853B8A"/>
    <w:rsid w:val="008540E3"/>
    <w:rsid w:val="0085429F"/>
    <w:rsid w:val="0085461D"/>
    <w:rsid w:val="00854635"/>
    <w:rsid w:val="00854779"/>
    <w:rsid w:val="0085545A"/>
    <w:rsid w:val="00855CE3"/>
    <w:rsid w:val="0085698A"/>
    <w:rsid w:val="00856D98"/>
    <w:rsid w:val="00857878"/>
    <w:rsid w:val="00857E1B"/>
    <w:rsid w:val="008600EF"/>
    <w:rsid w:val="00860526"/>
    <w:rsid w:val="00861052"/>
    <w:rsid w:val="0086213A"/>
    <w:rsid w:val="00862424"/>
    <w:rsid w:val="008634C2"/>
    <w:rsid w:val="0086427C"/>
    <w:rsid w:val="008645EB"/>
    <w:rsid w:val="00864715"/>
    <w:rsid w:val="00864EEA"/>
    <w:rsid w:val="008655DE"/>
    <w:rsid w:val="008656F6"/>
    <w:rsid w:val="00865E4F"/>
    <w:rsid w:val="00866663"/>
    <w:rsid w:val="008667A7"/>
    <w:rsid w:val="008667B1"/>
    <w:rsid w:val="008676AC"/>
    <w:rsid w:val="00870F9E"/>
    <w:rsid w:val="00871049"/>
    <w:rsid w:val="0087144C"/>
    <w:rsid w:val="00871FEA"/>
    <w:rsid w:val="00872F43"/>
    <w:rsid w:val="0087359F"/>
    <w:rsid w:val="0087373D"/>
    <w:rsid w:val="00873BE7"/>
    <w:rsid w:val="00873BEF"/>
    <w:rsid w:val="00874519"/>
    <w:rsid w:val="00874CDD"/>
    <w:rsid w:val="008754B4"/>
    <w:rsid w:val="0087615C"/>
    <w:rsid w:val="00876D27"/>
    <w:rsid w:val="0087706C"/>
    <w:rsid w:val="008771A7"/>
    <w:rsid w:val="0087748B"/>
    <w:rsid w:val="00877B2B"/>
    <w:rsid w:val="00877F18"/>
    <w:rsid w:val="00880943"/>
    <w:rsid w:val="008810D3"/>
    <w:rsid w:val="008812D9"/>
    <w:rsid w:val="008813CB"/>
    <w:rsid w:val="0088237E"/>
    <w:rsid w:val="008828A9"/>
    <w:rsid w:val="00882ACB"/>
    <w:rsid w:val="00883892"/>
    <w:rsid w:val="008849B1"/>
    <w:rsid w:val="00884EEA"/>
    <w:rsid w:val="00884F59"/>
    <w:rsid w:val="00885705"/>
    <w:rsid w:val="00885F81"/>
    <w:rsid w:val="008867A1"/>
    <w:rsid w:val="00886A15"/>
    <w:rsid w:val="00886DE5"/>
    <w:rsid w:val="00886F00"/>
    <w:rsid w:val="00887502"/>
    <w:rsid w:val="0089051C"/>
    <w:rsid w:val="00890701"/>
    <w:rsid w:val="0089073E"/>
    <w:rsid w:val="00890903"/>
    <w:rsid w:val="00891BFD"/>
    <w:rsid w:val="00892301"/>
    <w:rsid w:val="00892F03"/>
    <w:rsid w:val="00893DBF"/>
    <w:rsid w:val="008941A9"/>
    <w:rsid w:val="008953E5"/>
    <w:rsid w:val="008962CE"/>
    <w:rsid w:val="00896B4B"/>
    <w:rsid w:val="00896DDE"/>
    <w:rsid w:val="008A06B6"/>
    <w:rsid w:val="008A094C"/>
    <w:rsid w:val="008A209D"/>
    <w:rsid w:val="008A2730"/>
    <w:rsid w:val="008A3D78"/>
    <w:rsid w:val="008A3DE6"/>
    <w:rsid w:val="008A3F4A"/>
    <w:rsid w:val="008A4286"/>
    <w:rsid w:val="008A491A"/>
    <w:rsid w:val="008A577C"/>
    <w:rsid w:val="008A6964"/>
    <w:rsid w:val="008A6BDB"/>
    <w:rsid w:val="008A7174"/>
    <w:rsid w:val="008B08C3"/>
    <w:rsid w:val="008B0F87"/>
    <w:rsid w:val="008B13AB"/>
    <w:rsid w:val="008B219D"/>
    <w:rsid w:val="008B3B6E"/>
    <w:rsid w:val="008B3E8F"/>
    <w:rsid w:val="008B4774"/>
    <w:rsid w:val="008B55F4"/>
    <w:rsid w:val="008B5A94"/>
    <w:rsid w:val="008B64E6"/>
    <w:rsid w:val="008B6CD7"/>
    <w:rsid w:val="008B744C"/>
    <w:rsid w:val="008B7923"/>
    <w:rsid w:val="008C0056"/>
    <w:rsid w:val="008C0CBF"/>
    <w:rsid w:val="008C21E1"/>
    <w:rsid w:val="008C2240"/>
    <w:rsid w:val="008C3319"/>
    <w:rsid w:val="008C3EF6"/>
    <w:rsid w:val="008C40BF"/>
    <w:rsid w:val="008C4BB7"/>
    <w:rsid w:val="008C5CE7"/>
    <w:rsid w:val="008C60D5"/>
    <w:rsid w:val="008C6369"/>
    <w:rsid w:val="008C6CBB"/>
    <w:rsid w:val="008C7BC2"/>
    <w:rsid w:val="008D09A1"/>
    <w:rsid w:val="008D116E"/>
    <w:rsid w:val="008D14A2"/>
    <w:rsid w:val="008D1DAA"/>
    <w:rsid w:val="008D2547"/>
    <w:rsid w:val="008D2AA7"/>
    <w:rsid w:val="008D36D6"/>
    <w:rsid w:val="008D3C64"/>
    <w:rsid w:val="008D522E"/>
    <w:rsid w:val="008D53B0"/>
    <w:rsid w:val="008D604B"/>
    <w:rsid w:val="008D6C30"/>
    <w:rsid w:val="008D76F6"/>
    <w:rsid w:val="008E069E"/>
    <w:rsid w:val="008E1DA7"/>
    <w:rsid w:val="008E2BD6"/>
    <w:rsid w:val="008E3B93"/>
    <w:rsid w:val="008E510C"/>
    <w:rsid w:val="008E5140"/>
    <w:rsid w:val="008E654F"/>
    <w:rsid w:val="008E767A"/>
    <w:rsid w:val="008E77F9"/>
    <w:rsid w:val="008E7A65"/>
    <w:rsid w:val="008E7DA9"/>
    <w:rsid w:val="008F1D8C"/>
    <w:rsid w:val="008F2270"/>
    <w:rsid w:val="008F2F17"/>
    <w:rsid w:val="008F2F5C"/>
    <w:rsid w:val="008F3E47"/>
    <w:rsid w:val="008F487A"/>
    <w:rsid w:val="008F4E8C"/>
    <w:rsid w:val="008F51A8"/>
    <w:rsid w:val="008F5797"/>
    <w:rsid w:val="008F5AF7"/>
    <w:rsid w:val="008F5DB1"/>
    <w:rsid w:val="008F5DFF"/>
    <w:rsid w:val="008F67C4"/>
    <w:rsid w:val="008F7097"/>
    <w:rsid w:val="008F74E3"/>
    <w:rsid w:val="00900826"/>
    <w:rsid w:val="00901085"/>
    <w:rsid w:val="00901E4B"/>
    <w:rsid w:val="00902D7F"/>
    <w:rsid w:val="00902E82"/>
    <w:rsid w:val="00902FDA"/>
    <w:rsid w:val="00903D3A"/>
    <w:rsid w:val="00904190"/>
    <w:rsid w:val="00904B97"/>
    <w:rsid w:val="00905055"/>
    <w:rsid w:val="00905A94"/>
    <w:rsid w:val="00905B79"/>
    <w:rsid w:val="00905BD5"/>
    <w:rsid w:val="00905D71"/>
    <w:rsid w:val="009062AE"/>
    <w:rsid w:val="009063C7"/>
    <w:rsid w:val="00906A5D"/>
    <w:rsid w:val="00906D94"/>
    <w:rsid w:val="0090790E"/>
    <w:rsid w:val="0091076F"/>
    <w:rsid w:val="00911C98"/>
    <w:rsid w:val="0091272A"/>
    <w:rsid w:val="00912BD8"/>
    <w:rsid w:val="00912C51"/>
    <w:rsid w:val="0091381D"/>
    <w:rsid w:val="009138AD"/>
    <w:rsid w:val="00915359"/>
    <w:rsid w:val="00915575"/>
    <w:rsid w:val="00915827"/>
    <w:rsid w:val="00916412"/>
    <w:rsid w:val="0091702F"/>
    <w:rsid w:val="009204D1"/>
    <w:rsid w:val="0092089D"/>
    <w:rsid w:val="0092148B"/>
    <w:rsid w:val="009216EB"/>
    <w:rsid w:val="00921E34"/>
    <w:rsid w:val="00921FB6"/>
    <w:rsid w:val="00923290"/>
    <w:rsid w:val="0092335E"/>
    <w:rsid w:val="0092361B"/>
    <w:rsid w:val="00923B0D"/>
    <w:rsid w:val="009245AD"/>
    <w:rsid w:val="0092478E"/>
    <w:rsid w:val="0092732A"/>
    <w:rsid w:val="00927D0A"/>
    <w:rsid w:val="00927DBD"/>
    <w:rsid w:val="009303B9"/>
    <w:rsid w:val="00930C6E"/>
    <w:rsid w:val="00931E50"/>
    <w:rsid w:val="00933DB6"/>
    <w:rsid w:val="00934141"/>
    <w:rsid w:val="0093432E"/>
    <w:rsid w:val="009343F1"/>
    <w:rsid w:val="00934BEF"/>
    <w:rsid w:val="00934D91"/>
    <w:rsid w:val="00935AF4"/>
    <w:rsid w:val="00936FF1"/>
    <w:rsid w:val="009377BC"/>
    <w:rsid w:val="00937A11"/>
    <w:rsid w:val="009408BA"/>
    <w:rsid w:val="00940D20"/>
    <w:rsid w:val="009411A7"/>
    <w:rsid w:val="0094155F"/>
    <w:rsid w:val="009417F7"/>
    <w:rsid w:val="00941854"/>
    <w:rsid w:val="009426F3"/>
    <w:rsid w:val="00943D98"/>
    <w:rsid w:val="00944069"/>
    <w:rsid w:val="0094490E"/>
    <w:rsid w:val="00944A76"/>
    <w:rsid w:val="00946A2D"/>
    <w:rsid w:val="009473BE"/>
    <w:rsid w:val="00947E1A"/>
    <w:rsid w:val="00950734"/>
    <w:rsid w:val="00950A51"/>
    <w:rsid w:val="00951180"/>
    <w:rsid w:val="009532F6"/>
    <w:rsid w:val="00953CCC"/>
    <w:rsid w:val="00954398"/>
    <w:rsid w:val="009545B8"/>
    <w:rsid w:val="00954B0B"/>
    <w:rsid w:val="00954C15"/>
    <w:rsid w:val="00954E78"/>
    <w:rsid w:val="009556A5"/>
    <w:rsid w:val="00956937"/>
    <w:rsid w:val="009578B8"/>
    <w:rsid w:val="00960196"/>
    <w:rsid w:val="009601AF"/>
    <w:rsid w:val="00960625"/>
    <w:rsid w:val="0096075F"/>
    <w:rsid w:val="00961458"/>
    <w:rsid w:val="0096169E"/>
    <w:rsid w:val="00961F3C"/>
    <w:rsid w:val="009620DF"/>
    <w:rsid w:val="00962134"/>
    <w:rsid w:val="00962323"/>
    <w:rsid w:val="0096331D"/>
    <w:rsid w:val="00963AE2"/>
    <w:rsid w:val="00963C9F"/>
    <w:rsid w:val="00963F49"/>
    <w:rsid w:val="009642FA"/>
    <w:rsid w:val="0096454A"/>
    <w:rsid w:val="00964930"/>
    <w:rsid w:val="00964CF5"/>
    <w:rsid w:val="0096517C"/>
    <w:rsid w:val="00965524"/>
    <w:rsid w:val="00965E9E"/>
    <w:rsid w:val="00966619"/>
    <w:rsid w:val="00966E4D"/>
    <w:rsid w:val="00967C95"/>
    <w:rsid w:val="00967F97"/>
    <w:rsid w:val="00970592"/>
    <w:rsid w:val="009712FE"/>
    <w:rsid w:val="00971CB8"/>
    <w:rsid w:val="0097209B"/>
    <w:rsid w:val="00973117"/>
    <w:rsid w:val="00973B8D"/>
    <w:rsid w:val="00973DEB"/>
    <w:rsid w:val="009742AC"/>
    <w:rsid w:val="0097449D"/>
    <w:rsid w:val="0097452D"/>
    <w:rsid w:val="00974B27"/>
    <w:rsid w:val="00974BB1"/>
    <w:rsid w:val="00975484"/>
    <w:rsid w:val="0097583E"/>
    <w:rsid w:val="00975843"/>
    <w:rsid w:val="00975C9C"/>
    <w:rsid w:val="00976CE1"/>
    <w:rsid w:val="0097729E"/>
    <w:rsid w:val="00977AC7"/>
    <w:rsid w:val="00980506"/>
    <w:rsid w:val="009809C9"/>
    <w:rsid w:val="009809DD"/>
    <w:rsid w:val="00982C33"/>
    <w:rsid w:val="00982D56"/>
    <w:rsid w:val="00983809"/>
    <w:rsid w:val="0098564E"/>
    <w:rsid w:val="009858C3"/>
    <w:rsid w:val="00985B7F"/>
    <w:rsid w:val="0098677C"/>
    <w:rsid w:val="0098778C"/>
    <w:rsid w:val="0099010E"/>
    <w:rsid w:val="009908F0"/>
    <w:rsid w:val="00991526"/>
    <w:rsid w:val="00991DED"/>
    <w:rsid w:val="00992A8C"/>
    <w:rsid w:val="00992AD2"/>
    <w:rsid w:val="00992CD9"/>
    <w:rsid w:val="0099369E"/>
    <w:rsid w:val="00993AD8"/>
    <w:rsid w:val="009943C7"/>
    <w:rsid w:val="00994D0C"/>
    <w:rsid w:val="00996286"/>
    <w:rsid w:val="00996A53"/>
    <w:rsid w:val="00996AE5"/>
    <w:rsid w:val="0099789F"/>
    <w:rsid w:val="00997AAA"/>
    <w:rsid w:val="00997F6C"/>
    <w:rsid w:val="009A007D"/>
    <w:rsid w:val="009A022E"/>
    <w:rsid w:val="009A03A7"/>
    <w:rsid w:val="009A0E76"/>
    <w:rsid w:val="009A1991"/>
    <w:rsid w:val="009A214A"/>
    <w:rsid w:val="009A254A"/>
    <w:rsid w:val="009A37FA"/>
    <w:rsid w:val="009A3B6F"/>
    <w:rsid w:val="009A4069"/>
    <w:rsid w:val="009A40B2"/>
    <w:rsid w:val="009A5221"/>
    <w:rsid w:val="009A580C"/>
    <w:rsid w:val="009A5B57"/>
    <w:rsid w:val="009A5BC4"/>
    <w:rsid w:val="009A6597"/>
    <w:rsid w:val="009A6623"/>
    <w:rsid w:val="009A6A1A"/>
    <w:rsid w:val="009A6F13"/>
    <w:rsid w:val="009A7C6D"/>
    <w:rsid w:val="009B0BC5"/>
    <w:rsid w:val="009B201B"/>
    <w:rsid w:val="009B26E5"/>
    <w:rsid w:val="009B2A73"/>
    <w:rsid w:val="009B3034"/>
    <w:rsid w:val="009B34AC"/>
    <w:rsid w:val="009B3899"/>
    <w:rsid w:val="009B3E57"/>
    <w:rsid w:val="009B3E8A"/>
    <w:rsid w:val="009B3F0D"/>
    <w:rsid w:val="009B4483"/>
    <w:rsid w:val="009B451D"/>
    <w:rsid w:val="009B45B9"/>
    <w:rsid w:val="009B4A79"/>
    <w:rsid w:val="009B52C6"/>
    <w:rsid w:val="009B61CE"/>
    <w:rsid w:val="009B6496"/>
    <w:rsid w:val="009B6ED7"/>
    <w:rsid w:val="009B720A"/>
    <w:rsid w:val="009B7234"/>
    <w:rsid w:val="009B74D6"/>
    <w:rsid w:val="009B7ABE"/>
    <w:rsid w:val="009B7B56"/>
    <w:rsid w:val="009C18B8"/>
    <w:rsid w:val="009C2516"/>
    <w:rsid w:val="009C31FA"/>
    <w:rsid w:val="009C3CB0"/>
    <w:rsid w:val="009C41B8"/>
    <w:rsid w:val="009C4407"/>
    <w:rsid w:val="009C4CA6"/>
    <w:rsid w:val="009C56D1"/>
    <w:rsid w:val="009C5806"/>
    <w:rsid w:val="009C5CCC"/>
    <w:rsid w:val="009C5CFC"/>
    <w:rsid w:val="009D07AC"/>
    <w:rsid w:val="009D1316"/>
    <w:rsid w:val="009D1332"/>
    <w:rsid w:val="009D18C2"/>
    <w:rsid w:val="009D1D05"/>
    <w:rsid w:val="009D258E"/>
    <w:rsid w:val="009D25AA"/>
    <w:rsid w:val="009D2CD0"/>
    <w:rsid w:val="009D2F81"/>
    <w:rsid w:val="009D39B0"/>
    <w:rsid w:val="009D455B"/>
    <w:rsid w:val="009D4767"/>
    <w:rsid w:val="009D4AA2"/>
    <w:rsid w:val="009D4C19"/>
    <w:rsid w:val="009D5108"/>
    <w:rsid w:val="009D5A36"/>
    <w:rsid w:val="009D6224"/>
    <w:rsid w:val="009D6C50"/>
    <w:rsid w:val="009E02F7"/>
    <w:rsid w:val="009E088B"/>
    <w:rsid w:val="009E0D3D"/>
    <w:rsid w:val="009E16FD"/>
    <w:rsid w:val="009E311E"/>
    <w:rsid w:val="009E3224"/>
    <w:rsid w:val="009E34D5"/>
    <w:rsid w:val="009E4054"/>
    <w:rsid w:val="009E4309"/>
    <w:rsid w:val="009E4FFB"/>
    <w:rsid w:val="009E5D6A"/>
    <w:rsid w:val="009E6736"/>
    <w:rsid w:val="009E6B2C"/>
    <w:rsid w:val="009F030F"/>
    <w:rsid w:val="009F0DD2"/>
    <w:rsid w:val="009F1297"/>
    <w:rsid w:val="009F15CE"/>
    <w:rsid w:val="009F3433"/>
    <w:rsid w:val="009F4D35"/>
    <w:rsid w:val="009F4F7B"/>
    <w:rsid w:val="009F50B6"/>
    <w:rsid w:val="009F5543"/>
    <w:rsid w:val="009F6311"/>
    <w:rsid w:val="009F66B7"/>
    <w:rsid w:val="009F6B5F"/>
    <w:rsid w:val="009F7248"/>
    <w:rsid w:val="009F7A5A"/>
    <w:rsid w:val="00A0044A"/>
    <w:rsid w:val="00A01221"/>
    <w:rsid w:val="00A02A84"/>
    <w:rsid w:val="00A02E9C"/>
    <w:rsid w:val="00A02FB7"/>
    <w:rsid w:val="00A0357C"/>
    <w:rsid w:val="00A03BFE"/>
    <w:rsid w:val="00A03C15"/>
    <w:rsid w:val="00A03C39"/>
    <w:rsid w:val="00A03F76"/>
    <w:rsid w:val="00A04BBE"/>
    <w:rsid w:val="00A053D3"/>
    <w:rsid w:val="00A05CB5"/>
    <w:rsid w:val="00A05F43"/>
    <w:rsid w:val="00A06236"/>
    <w:rsid w:val="00A06609"/>
    <w:rsid w:val="00A06852"/>
    <w:rsid w:val="00A06854"/>
    <w:rsid w:val="00A06E70"/>
    <w:rsid w:val="00A070B7"/>
    <w:rsid w:val="00A07A1A"/>
    <w:rsid w:val="00A07DF8"/>
    <w:rsid w:val="00A109DF"/>
    <w:rsid w:val="00A10D0A"/>
    <w:rsid w:val="00A11056"/>
    <w:rsid w:val="00A110AD"/>
    <w:rsid w:val="00A11385"/>
    <w:rsid w:val="00A11628"/>
    <w:rsid w:val="00A11682"/>
    <w:rsid w:val="00A117CD"/>
    <w:rsid w:val="00A129D6"/>
    <w:rsid w:val="00A12A39"/>
    <w:rsid w:val="00A12B2A"/>
    <w:rsid w:val="00A12D95"/>
    <w:rsid w:val="00A13434"/>
    <w:rsid w:val="00A13691"/>
    <w:rsid w:val="00A13C83"/>
    <w:rsid w:val="00A13E6D"/>
    <w:rsid w:val="00A14752"/>
    <w:rsid w:val="00A16665"/>
    <w:rsid w:val="00A2026A"/>
    <w:rsid w:val="00A21F6E"/>
    <w:rsid w:val="00A22B45"/>
    <w:rsid w:val="00A22D94"/>
    <w:rsid w:val="00A24489"/>
    <w:rsid w:val="00A24747"/>
    <w:rsid w:val="00A24B28"/>
    <w:rsid w:val="00A24C5B"/>
    <w:rsid w:val="00A25285"/>
    <w:rsid w:val="00A25EF1"/>
    <w:rsid w:val="00A26901"/>
    <w:rsid w:val="00A27429"/>
    <w:rsid w:val="00A3043E"/>
    <w:rsid w:val="00A30A3C"/>
    <w:rsid w:val="00A30C87"/>
    <w:rsid w:val="00A32E4F"/>
    <w:rsid w:val="00A335C4"/>
    <w:rsid w:val="00A33EAC"/>
    <w:rsid w:val="00A33ED2"/>
    <w:rsid w:val="00A349D2"/>
    <w:rsid w:val="00A3582A"/>
    <w:rsid w:val="00A35D95"/>
    <w:rsid w:val="00A36734"/>
    <w:rsid w:val="00A369AC"/>
    <w:rsid w:val="00A36F0E"/>
    <w:rsid w:val="00A37140"/>
    <w:rsid w:val="00A37165"/>
    <w:rsid w:val="00A37468"/>
    <w:rsid w:val="00A37C87"/>
    <w:rsid w:val="00A40171"/>
    <w:rsid w:val="00A414B1"/>
    <w:rsid w:val="00A41793"/>
    <w:rsid w:val="00A42891"/>
    <w:rsid w:val="00A42C84"/>
    <w:rsid w:val="00A43021"/>
    <w:rsid w:val="00A430F3"/>
    <w:rsid w:val="00A441A8"/>
    <w:rsid w:val="00A4461A"/>
    <w:rsid w:val="00A44AD7"/>
    <w:rsid w:val="00A44EDB"/>
    <w:rsid w:val="00A459DE"/>
    <w:rsid w:val="00A472D1"/>
    <w:rsid w:val="00A47601"/>
    <w:rsid w:val="00A47D7F"/>
    <w:rsid w:val="00A5034D"/>
    <w:rsid w:val="00A50D02"/>
    <w:rsid w:val="00A5118B"/>
    <w:rsid w:val="00A51323"/>
    <w:rsid w:val="00A51355"/>
    <w:rsid w:val="00A51EDE"/>
    <w:rsid w:val="00A52527"/>
    <w:rsid w:val="00A53040"/>
    <w:rsid w:val="00A530EC"/>
    <w:rsid w:val="00A532CD"/>
    <w:rsid w:val="00A5373C"/>
    <w:rsid w:val="00A53C42"/>
    <w:rsid w:val="00A54152"/>
    <w:rsid w:val="00A5508E"/>
    <w:rsid w:val="00A56207"/>
    <w:rsid w:val="00A563DD"/>
    <w:rsid w:val="00A56794"/>
    <w:rsid w:val="00A56953"/>
    <w:rsid w:val="00A5727F"/>
    <w:rsid w:val="00A576DB"/>
    <w:rsid w:val="00A57A2F"/>
    <w:rsid w:val="00A60C9E"/>
    <w:rsid w:val="00A610F7"/>
    <w:rsid w:val="00A620AE"/>
    <w:rsid w:val="00A62216"/>
    <w:rsid w:val="00A62EED"/>
    <w:rsid w:val="00A63C33"/>
    <w:rsid w:val="00A648ED"/>
    <w:rsid w:val="00A6567C"/>
    <w:rsid w:val="00A65913"/>
    <w:rsid w:val="00A65E47"/>
    <w:rsid w:val="00A66702"/>
    <w:rsid w:val="00A67622"/>
    <w:rsid w:val="00A67688"/>
    <w:rsid w:val="00A67C00"/>
    <w:rsid w:val="00A70A4D"/>
    <w:rsid w:val="00A71DA4"/>
    <w:rsid w:val="00A71E82"/>
    <w:rsid w:val="00A71F0C"/>
    <w:rsid w:val="00A7229C"/>
    <w:rsid w:val="00A73755"/>
    <w:rsid w:val="00A73D50"/>
    <w:rsid w:val="00A73EE3"/>
    <w:rsid w:val="00A745A9"/>
    <w:rsid w:val="00A74E0F"/>
    <w:rsid w:val="00A75926"/>
    <w:rsid w:val="00A75ACF"/>
    <w:rsid w:val="00A76744"/>
    <w:rsid w:val="00A7728F"/>
    <w:rsid w:val="00A77F53"/>
    <w:rsid w:val="00A80016"/>
    <w:rsid w:val="00A8025D"/>
    <w:rsid w:val="00A80E09"/>
    <w:rsid w:val="00A80F5D"/>
    <w:rsid w:val="00A81C64"/>
    <w:rsid w:val="00A81C8C"/>
    <w:rsid w:val="00A81D7A"/>
    <w:rsid w:val="00A82967"/>
    <w:rsid w:val="00A82A59"/>
    <w:rsid w:val="00A82C0E"/>
    <w:rsid w:val="00A8359B"/>
    <w:rsid w:val="00A837B6"/>
    <w:rsid w:val="00A83A75"/>
    <w:rsid w:val="00A83D4F"/>
    <w:rsid w:val="00A8495C"/>
    <w:rsid w:val="00A84985"/>
    <w:rsid w:val="00A84FDA"/>
    <w:rsid w:val="00A851E3"/>
    <w:rsid w:val="00A85D2C"/>
    <w:rsid w:val="00A865AC"/>
    <w:rsid w:val="00A86857"/>
    <w:rsid w:val="00A86AAD"/>
    <w:rsid w:val="00A874E1"/>
    <w:rsid w:val="00A8794B"/>
    <w:rsid w:val="00A87EE6"/>
    <w:rsid w:val="00A9012A"/>
    <w:rsid w:val="00A90300"/>
    <w:rsid w:val="00A909C0"/>
    <w:rsid w:val="00A90C33"/>
    <w:rsid w:val="00A912B4"/>
    <w:rsid w:val="00A91A18"/>
    <w:rsid w:val="00A92058"/>
    <w:rsid w:val="00A92852"/>
    <w:rsid w:val="00A92C73"/>
    <w:rsid w:val="00A93164"/>
    <w:rsid w:val="00A93A74"/>
    <w:rsid w:val="00A93DF6"/>
    <w:rsid w:val="00A9415E"/>
    <w:rsid w:val="00A94355"/>
    <w:rsid w:val="00A955A2"/>
    <w:rsid w:val="00A96C54"/>
    <w:rsid w:val="00A97390"/>
    <w:rsid w:val="00A97BFD"/>
    <w:rsid w:val="00A97F13"/>
    <w:rsid w:val="00AA070B"/>
    <w:rsid w:val="00AA2A29"/>
    <w:rsid w:val="00AA2FAB"/>
    <w:rsid w:val="00AA402A"/>
    <w:rsid w:val="00AA4298"/>
    <w:rsid w:val="00AA4D3D"/>
    <w:rsid w:val="00AA5771"/>
    <w:rsid w:val="00AA5A7D"/>
    <w:rsid w:val="00AA5EF4"/>
    <w:rsid w:val="00AA71AF"/>
    <w:rsid w:val="00AA7386"/>
    <w:rsid w:val="00AA73B2"/>
    <w:rsid w:val="00AB03C3"/>
    <w:rsid w:val="00AB049B"/>
    <w:rsid w:val="00AB05B6"/>
    <w:rsid w:val="00AB0EF9"/>
    <w:rsid w:val="00AB19A0"/>
    <w:rsid w:val="00AB2774"/>
    <w:rsid w:val="00AB296E"/>
    <w:rsid w:val="00AB2AD3"/>
    <w:rsid w:val="00AB2FCB"/>
    <w:rsid w:val="00AB3156"/>
    <w:rsid w:val="00AB3716"/>
    <w:rsid w:val="00AB384A"/>
    <w:rsid w:val="00AB3FAE"/>
    <w:rsid w:val="00AB4187"/>
    <w:rsid w:val="00AB4480"/>
    <w:rsid w:val="00AB4985"/>
    <w:rsid w:val="00AB6B75"/>
    <w:rsid w:val="00AC0370"/>
    <w:rsid w:val="00AC0669"/>
    <w:rsid w:val="00AC08D2"/>
    <w:rsid w:val="00AC10A0"/>
    <w:rsid w:val="00AC15E3"/>
    <w:rsid w:val="00AC1BEE"/>
    <w:rsid w:val="00AC2B76"/>
    <w:rsid w:val="00AC30E6"/>
    <w:rsid w:val="00AC316C"/>
    <w:rsid w:val="00AC3DAC"/>
    <w:rsid w:val="00AC3E56"/>
    <w:rsid w:val="00AC4519"/>
    <w:rsid w:val="00AC4BDA"/>
    <w:rsid w:val="00AC4E44"/>
    <w:rsid w:val="00AC502F"/>
    <w:rsid w:val="00AC56EF"/>
    <w:rsid w:val="00AC5C9E"/>
    <w:rsid w:val="00AC605D"/>
    <w:rsid w:val="00AC70B5"/>
    <w:rsid w:val="00AC71BF"/>
    <w:rsid w:val="00AC721E"/>
    <w:rsid w:val="00AC75FE"/>
    <w:rsid w:val="00AC7B7D"/>
    <w:rsid w:val="00AC7C21"/>
    <w:rsid w:val="00AD0521"/>
    <w:rsid w:val="00AD0B37"/>
    <w:rsid w:val="00AD0C81"/>
    <w:rsid w:val="00AD0DBE"/>
    <w:rsid w:val="00AD20D0"/>
    <w:rsid w:val="00AD267C"/>
    <w:rsid w:val="00AD2BF9"/>
    <w:rsid w:val="00AD4D9E"/>
    <w:rsid w:val="00AD4F1B"/>
    <w:rsid w:val="00AD4F35"/>
    <w:rsid w:val="00AD6044"/>
    <w:rsid w:val="00AD626D"/>
    <w:rsid w:val="00AD67B6"/>
    <w:rsid w:val="00AD73B2"/>
    <w:rsid w:val="00AE00E6"/>
    <w:rsid w:val="00AE066C"/>
    <w:rsid w:val="00AE1459"/>
    <w:rsid w:val="00AE1EED"/>
    <w:rsid w:val="00AE334C"/>
    <w:rsid w:val="00AE44E0"/>
    <w:rsid w:val="00AE4AC2"/>
    <w:rsid w:val="00AE6290"/>
    <w:rsid w:val="00AE68CA"/>
    <w:rsid w:val="00AE7A13"/>
    <w:rsid w:val="00AF0A2F"/>
    <w:rsid w:val="00AF12EC"/>
    <w:rsid w:val="00AF2783"/>
    <w:rsid w:val="00AF35F2"/>
    <w:rsid w:val="00AF403F"/>
    <w:rsid w:val="00AF471C"/>
    <w:rsid w:val="00AF57B3"/>
    <w:rsid w:val="00AF618D"/>
    <w:rsid w:val="00AF63B5"/>
    <w:rsid w:val="00AF6CE7"/>
    <w:rsid w:val="00AF6D36"/>
    <w:rsid w:val="00AF726A"/>
    <w:rsid w:val="00AF73BD"/>
    <w:rsid w:val="00AF7586"/>
    <w:rsid w:val="00AF7AA9"/>
    <w:rsid w:val="00AF7F1C"/>
    <w:rsid w:val="00B011E6"/>
    <w:rsid w:val="00B01511"/>
    <w:rsid w:val="00B04E3B"/>
    <w:rsid w:val="00B05728"/>
    <w:rsid w:val="00B05E97"/>
    <w:rsid w:val="00B065C8"/>
    <w:rsid w:val="00B1032F"/>
    <w:rsid w:val="00B1074E"/>
    <w:rsid w:val="00B10FC9"/>
    <w:rsid w:val="00B110EA"/>
    <w:rsid w:val="00B11937"/>
    <w:rsid w:val="00B11D1E"/>
    <w:rsid w:val="00B12498"/>
    <w:rsid w:val="00B1270C"/>
    <w:rsid w:val="00B12BE0"/>
    <w:rsid w:val="00B13003"/>
    <w:rsid w:val="00B13B3A"/>
    <w:rsid w:val="00B14835"/>
    <w:rsid w:val="00B14836"/>
    <w:rsid w:val="00B1495B"/>
    <w:rsid w:val="00B15B19"/>
    <w:rsid w:val="00B15FC4"/>
    <w:rsid w:val="00B1604C"/>
    <w:rsid w:val="00B16AC7"/>
    <w:rsid w:val="00B17A25"/>
    <w:rsid w:val="00B17D9B"/>
    <w:rsid w:val="00B20D6F"/>
    <w:rsid w:val="00B20FC1"/>
    <w:rsid w:val="00B2106A"/>
    <w:rsid w:val="00B21E09"/>
    <w:rsid w:val="00B228C6"/>
    <w:rsid w:val="00B23D6D"/>
    <w:rsid w:val="00B24DED"/>
    <w:rsid w:val="00B2501A"/>
    <w:rsid w:val="00B25C1A"/>
    <w:rsid w:val="00B25CB9"/>
    <w:rsid w:val="00B26BA3"/>
    <w:rsid w:val="00B26C3D"/>
    <w:rsid w:val="00B26D07"/>
    <w:rsid w:val="00B275AC"/>
    <w:rsid w:val="00B27734"/>
    <w:rsid w:val="00B27BDE"/>
    <w:rsid w:val="00B27C01"/>
    <w:rsid w:val="00B30E82"/>
    <w:rsid w:val="00B32201"/>
    <w:rsid w:val="00B33176"/>
    <w:rsid w:val="00B33769"/>
    <w:rsid w:val="00B33AF5"/>
    <w:rsid w:val="00B33B36"/>
    <w:rsid w:val="00B34049"/>
    <w:rsid w:val="00B34386"/>
    <w:rsid w:val="00B3464A"/>
    <w:rsid w:val="00B354CB"/>
    <w:rsid w:val="00B366DB"/>
    <w:rsid w:val="00B37233"/>
    <w:rsid w:val="00B3747A"/>
    <w:rsid w:val="00B375C4"/>
    <w:rsid w:val="00B37667"/>
    <w:rsid w:val="00B37B30"/>
    <w:rsid w:val="00B37E32"/>
    <w:rsid w:val="00B401D4"/>
    <w:rsid w:val="00B41094"/>
    <w:rsid w:val="00B41207"/>
    <w:rsid w:val="00B41EE8"/>
    <w:rsid w:val="00B4227C"/>
    <w:rsid w:val="00B42A7B"/>
    <w:rsid w:val="00B42B72"/>
    <w:rsid w:val="00B43451"/>
    <w:rsid w:val="00B437B6"/>
    <w:rsid w:val="00B44640"/>
    <w:rsid w:val="00B448CE"/>
    <w:rsid w:val="00B44B46"/>
    <w:rsid w:val="00B44BFF"/>
    <w:rsid w:val="00B453D8"/>
    <w:rsid w:val="00B46665"/>
    <w:rsid w:val="00B467C3"/>
    <w:rsid w:val="00B467EA"/>
    <w:rsid w:val="00B47291"/>
    <w:rsid w:val="00B47CAD"/>
    <w:rsid w:val="00B47D93"/>
    <w:rsid w:val="00B506BD"/>
    <w:rsid w:val="00B50D1A"/>
    <w:rsid w:val="00B51004"/>
    <w:rsid w:val="00B5117D"/>
    <w:rsid w:val="00B51912"/>
    <w:rsid w:val="00B52089"/>
    <w:rsid w:val="00B52412"/>
    <w:rsid w:val="00B526A2"/>
    <w:rsid w:val="00B527CD"/>
    <w:rsid w:val="00B532DB"/>
    <w:rsid w:val="00B545CC"/>
    <w:rsid w:val="00B54794"/>
    <w:rsid w:val="00B54C10"/>
    <w:rsid w:val="00B55D9C"/>
    <w:rsid w:val="00B562CC"/>
    <w:rsid w:val="00B5758E"/>
    <w:rsid w:val="00B57FF6"/>
    <w:rsid w:val="00B600EF"/>
    <w:rsid w:val="00B601CF"/>
    <w:rsid w:val="00B604CA"/>
    <w:rsid w:val="00B6050C"/>
    <w:rsid w:val="00B60F12"/>
    <w:rsid w:val="00B622D8"/>
    <w:rsid w:val="00B625BB"/>
    <w:rsid w:val="00B625F8"/>
    <w:rsid w:val="00B62B20"/>
    <w:rsid w:val="00B63727"/>
    <w:rsid w:val="00B63AC7"/>
    <w:rsid w:val="00B63EA0"/>
    <w:rsid w:val="00B664C6"/>
    <w:rsid w:val="00B67124"/>
    <w:rsid w:val="00B674FA"/>
    <w:rsid w:val="00B700D9"/>
    <w:rsid w:val="00B70D38"/>
    <w:rsid w:val="00B7137E"/>
    <w:rsid w:val="00B724E7"/>
    <w:rsid w:val="00B72A6C"/>
    <w:rsid w:val="00B72B74"/>
    <w:rsid w:val="00B72DDE"/>
    <w:rsid w:val="00B73BD1"/>
    <w:rsid w:val="00B754C4"/>
    <w:rsid w:val="00B75CFA"/>
    <w:rsid w:val="00B7632F"/>
    <w:rsid w:val="00B76590"/>
    <w:rsid w:val="00B770EF"/>
    <w:rsid w:val="00B77169"/>
    <w:rsid w:val="00B77579"/>
    <w:rsid w:val="00B77778"/>
    <w:rsid w:val="00B77CA7"/>
    <w:rsid w:val="00B77D81"/>
    <w:rsid w:val="00B77F6D"/>
    <w:rsid w:val="00B80CB0"/>
    <w:rsid w:val="00B80E4E"/>
    <w:rsid w:val="00B81097"/>
    <w:rsid w:val="00B818EE"/>
    <w:rsid w:val="00B81E00"/>
    <w:rsid w:val="00B81FE5"/>
    <w:rsid w:val="00B822C3"/>
    <w:rsid w:val="00B82976"/>
    <w:rsid w:val="00B8444F"/>
    <w:rsid w:val="00B84F35"/>
    <w:rsid w:val="00B850A8"/>
    <w:rsid w:val="00B855B4"/>
    <w:rsid w:val="00B869AA"/>
    <w:rsid w:val="00B869D2"/>
    <w:rsid w:val="00B87CAE"/>
    <w:rsid w:val="00B916A1"/>
    <w:rsid w:val="00B916A6"/>
    <w:rsid w:val="00B91931"/>
    <w:rsid w:val="00B9292E"/>
    <w:rsid w:val="00B929C9"/>
    <w:rsid w:val="00B92A74"/>
    <w:rsid w:val="00B92AE8"/>
    <w:rsid w:val="00B92DF7"/>
    <w:rsid w:val="00B94111"/>
    <w:rsid w:val="00B94F0A"/>
    <w:rsid w:val="00B95DC6"/>
    <w:rsid w:val="00B95FED"/>
    <w:rsid w:val="00B97238"/>
    <w:rsid w:val="00B97703"/>
    <w:rsid w:val="00B97A8E"/>
    <w:rsid w:val="00BA047F"/>
    <w:rsid w:val="00BA0A60"/>
    <w:rsid w:val="00BA18F6"/>
    <w:rsid w:val="00BA1DA2"/>
    <w:rsid w:val="00BA1E06"/>
    <w:rsid w:val="00BA1F55"/>
    <w:rsid w:val="00BA36E4"/>
    <w:rsid w:val="00BA3B18"/>
    <w:rsid w:val="00BA4854"/>
    <w:rsid w:val="00BA51D8"/>
    <w:rsid w:val="00BA55C5"/>
    <w:rsid w:val="00BA684B"/>
    <w:rsid w:val="00BA6F4B"/>
    <w:rsid w:val="00BA70FB"/>
    <w:rsid w:val="00BA7236"/>
    <w:rsid w:val="00BA76C3"/>
    <w:rsid w:val="00BA7845"/>
    <w:rsid w:val="00BB145C"/>
    <w:rsid w:val="00BB2119"/>
    <w:rsid w:val="00BB2A08"/>
    <w:rsid w:val="00BB2ACB"/>
    <w:rsid w:val="00BB3B76"/>
    <w:rsid w:val="00BB49EF"/>
    <w:rsid w:val="00BB4AD0"/>
    <w:rsid w:val="00BB4D2A"/>
    <w:rsid w:val="00BB534B"/>
    <w:rsid w:val="00BB5499"/>
    <w:rsid w:val="00BB558F"/>
    <w:rsid w:val="00BB5AF2"/>
    <w:rsid w:val="00BB5FBB"/>
    <w:rsid w:val="00BB61B9"/>
    <w:rsid w:val="00BB64D2"/>
    <w:rsid w:val="00BB71B2"/>
    <w:rsid w:val="00BB7758"/>
    <w:rsid w:val="00BC0970"/>
    <w:rsid w:val="00BC0AB2"/>
    <w:rsid w:val="00BC100C"/>
    <w:rsid w:val="00BC119D"/>
    <w:rsid w:val="00BC126F"/>
    <w:rsid w:val="00BC154D"/>
    <w:rsid w:val="00BC1FE8"/>
    <w:rsid w:val="00BC2665"/>
    <w:rsid w:val="00BC2C4B"/>
    <w:rsid w:val="00BC3359"/>
    <w:rsid w:val="00BC3B22"/>
    <w:rsid w:val="00BC3DA1"/>
    <w:rsid w:val="00BC43CB"/>
    <w:rsid w:val="00BC45B8"/>
    <w:rsid w:val="00BC4ACB"/>
    <w:rsid w:val="00BC683E"/>
    <w:rsid w:val="00BC6937"/>
    <w:rsid w:val="00BC69E4"/>
    <w:rsid w:val="00BC6EF3"/>
    <w:rsid w:val="00BC7438"/>
    <w:rsid w:val="00BC7FBF"/>
    <w:rsid w:val="00BD0166"/>
    <w:rsid w:val="00BD1038"/>
    <w:rsid w:val="00BD13D0"/>
    <w:rsid w:val="00BD2326"/>
    <w:rsid w:val="00BD2997"/>
    <w:rsid w:val="00BD36D6"/>
    <w:rsid w:val="00BD4610"/>
    <w:rsid w:val="00BD4DFC"/>
    <w:rsid w:val="00BD540E"/>
    <w:rsid w:val="00BD5583"/>
    <w:rsid w:val="00BD5EC4"/>
    <w:rsid w:val="00BD61DC"/>
    <w:rsid w:val="00BD75EB"/>
    <w:rsid w:val="00BD7DC5"/>
    <w:rsid w:val="00BE0FFD"/>
    <w:rsid w:val="00BE13B4"/>
    <w:rsid w:val="00BE2547"/>
    <w:rsid w:val="00BE2AB7"/>
    <w:rsid w:val="00BE2EBD"/>
    <w:rsid w:val="00BE3062"/>
    <w:rsid w:val="00BE3317"/>
    <w:rsid w:val="00BE333B"/>
    <w:rsid w:val="00BE3460"/>
    <w:rsid w:val="00BE4587"/>
    <w:rsid w:val="00BE5400"/>
    <w:rsid w:val="00BE68F3"/>
    <w:rsid w:val="00BE7159"/>
    <w:rsid w:val="00BF0506"/>
    <w:rsid w:val="00BF0874"/>
    <w:rsid w:val="00BF0BE4"/>
    <w:rsid w:val="00BF3283"/>
    <w:rsid w:val="00BF32FC"/>
    <w:rsid w:val="00BF3528"/>
    <w:rsid w:val="00BF480C"/>
    <w:rsid w:val="00BF57C1"/>
    <w:rsid w:val="00BF5AC0"/>
    <w:rsid w:val="00BF5B22"/>
    <w:rsid w:val="00BF7434"/>
    <w:rsid w:val="00C00272"/>
    <w:rsid w:val="00C008D2"/>
    <w:rsid w:val="00C016E7"/>
    <w:rsid w:val="00C023F9"/>
    <w:rsid w:val="00C02BE8"/>
    <w:rsid w:val="00C03303"/>
    <w:rsid w:val="00C03738"/>
    <w:rsid w:val="00C03955"/>
    <w:rsid w:val="00C051C3"/>
    <w:rsid w:val="00C051FC"/>
    <w:rsid w:val="00C05370"/>
    <w:rsid w:val="00C05803"/>
    <w:rsid w:val="00C05A95"/>
    <w:rsid w:val="00C05E4B"/>
    <w:rsid w:val="00C05F9C"/>
    <w:rsid w:val="00C0680B"/>
    <w:rsid w:val="00C07622"/>
    <w:rsid w:val="00C10236"/>
    <w:rsid w:val="00C11048"/>
    <w:rsid w:val="00C111DB"/>
    <w:rsid w:val="00C113F7"/>
    <w:rsid w:val="00C11A5C"/>
    <w:rsid w:val="00C11C09"/>
    <w:rsid w:val="00C1347A"/>
    <w:rsid w:val="00C14503"/>
    <w:rsid w:val="00C150BF"/>
    <w:rsid w:val="00C1751D"/>
    <w:rsid w:val="00C1762B"/>
    <w:rsid w:val="00C17C74"/>
    <w:rsid w:val="00C20143"/>
    <w:rsid w:val="00C207DD"/>
    <w:rsid w:val="00C21203"/>
    <w:rsid w:val="00C213E0"/>
    <w:rsid w:val="00C22E4D"/>
    <w:rsid w:val="00C22F9F"/>
    <w:rsid w:val="00C234DE"/>
    <w:rsid w:val="00C236D9"/>
    <w:rsid w:val="00C2429B"/>
    <w:rsid w:val="00C24311"/>
    <w:rsid w:val="00C2492F"/>
    <w:rsid w:val="00C263E6"/>
    <w:rsid w:val="00C26AD8"/>
    <w:rsid w:val="00C26AEC"/>
    <w:rsid w:val="00C270E8"/>
    <w:rsid w:val="00C27158"/>
    <w:rsid w:val="00C272ED"/>
    <w:rsid w:val="00C27B58"/>
    <w:rsid w:val="00C27FFB"/>
    <w:rsid w:val="00C3033E"/>
    <w:rsid w:val="00C30628"/>
    <w:rsid w:val="00C307D4"/>
    <w:rsid w:val="00C309AF"/>
    <w:rsid w:val="00C31AA7"/>
    <w:rsid w:val="00C31F8F"/>
    <w:rsid w:val="00C337DD"/>
    <w:rsid w:val="00C338EA"/>
    <w:rsid w:val="00C33D59"/>
    <w:rsid w:val="00C3411B"/>
    <w:rsid w:val="00C3467E"/>
    <w:rsid w:val="00C35246"/>
    <w:rsid w:val="00C35FC6"/>
    <w:rsid w:val="00C361BA"/>
    <w:rsid w:val="00C36258"/>
    <w:rsid w:val="00C3626E"/>
    <w:rsid w:val="00C3720B"/>
    <w:rsid w:val="00C40A4F"/>
    <w:rsid w:val="00C40C22"/>
    <w:rsid w:val="00C40E20"/>
    <w:rsid w:val="00C41F95"/>
    <w:rsid w:val="00C425E8"/>
    <w:rsid w:val="00C42C9E"/>
    <w:rsid w:val="00C4313F"/>
    <w:rsid w:val="00C44485"/>
    <w:rsid w:val="00C446C3"/>
    <w:rsid w:val="00C44DBB"/>
    <w:rsid w:val="00C44ED1"/>
    <w:rsid w:val="00C451CB"/>
    <w:rsid w:val="00C45D3D"/>
    <w:rsid w:val="00C461EC"/>
    <w:rsid w:val="00C4666A"/>
    <w:rsid w:val="00C468F6"/>
    <w:rsid w:val="00C46D7F"/>
    <w:rsid w:val="00C47077"/>
    <w:rsid w:val="00C50053"/>
    <w:rsid w:val="00C501F1"/>
    <w:rsid w:val="00C50C54"/>
    <w:rsid w:val="00C525B2"/>
    <w:rsid w:val="00C52ADB"/>
    <w:rsid w:val="00C52EA4"/>
    <w:rsid w:val="00C5467D"/>
    <w:rsid w:val="00C54748"/>
    <w:rsid w:val="00C5630A"/>
    <w:rsid w:val="00C564C3"/>
    <w:rsid w:val="00C56E2C"/>
    <w:rsid w:val="00C56E39"/>
    <w:rsid w:val="00C571F7"/>
    <w:rsid w:val="00C57942"/>
    <w:rsid w:val="00C57DDA"/>
    <w:rsid w:val="00C6091B"/>
    <w:rsid w:val="00C61FE5"/>
    <w:rsid w:val="00C626CB"/>
    <w:rsid w:val="00C630AA"/>
    <w:rsid w:val="00C63F6A"/>
    <w:rsid w:val="00C6409C"/>
    <w:rsid w:val="00C6444B"/>
    <w:rsid w:val="00C6445D"/>
    <w:rsid w:val="00C6447C"/>
    <w:rsid w:val="00C646E3"/>
    <w:rsid w:val="00C6475E"/>
    <w:rsid w:val="00C64EA2"/>
    <w:rsid w:val="00C655D6"/>
    <w:rsid w:val="00C6612A"/>
    <w:rsid w:val="00C6648E"/>
    <w:rsid w:val="00C66798"/>
    <w:rsid w:val="00C70211"/>
    <w:rsid w:val="00C70913"/>
    <w:rsid w:val="00C70C9E"/>
    <w:rsid w:val="00C70D64"/>
    <w:rsid w:val="00C7148E"/>
    <w:rsid w:val="00C71703"/>
    <w:rsid w:val="00C71D83"/>
    <w:rsid w:val="00C7312E"/>
    <w:rsid w:val="00C73F36"/>
    <w:rsid w:val="00C74AB3"/>
    <w:rsid w:val="00C74DED"/>
    <w:rsid w:val="00C75216"/>
    <w:rsid w:val="00C752E8"/>
    <w:rsid w:val="00C768A9"/>
    <w:rsid w:val="00C77B5B"/>
    <w:rsid w:val="00C80A55"/>
    <w:rsid w:val="00C8111D"/>
    <w:rsid w:val="00C8159D"/>
    <w:rsid w:val="00C815DC"/>
    <w:rsid w:val="00C81ECB"/>
    <w:rsid w:val="00C82029"/>
    <w:rsid w:val="00C820EE"/>
    <w:rsid w:val="00C828E9"/>
    <w:rsid w:val="00C82B4D"/>
    <w:rsid w:val="00C82DB8"/>
    <w:rsid w:val="00C83737"/>
    <w:rsid w:val="00C838F9"/>
    <w:rsid w:val="00C84B60"/>
    <w:rsid w:val="00C84F43"/>
    <w:rsid w:val="00C85749"/>
    <w:rsid w:val="00C859BF"/>
    <w:rsid w:val="00C85F5F"/>
    <w:rsid w:val="00C8628E"/>
    <w:rsid w:val="00C87B73"/>
    <w:rsid w:val="00C87D38"/>
    <w:rsid w:val="00C908D1"/>
    <w:rsid w:val="00C91B4B"/>
    <w:rsid w:val="00C91F4E"/>
    <w:rsid w:val="00C93B5D"/>
    <w:rsid w:val="00C93BE8"/>
    <w:rsid w:val="00C94715"/>
    <w:rsid w:val="00C94A26"/>
    <w:rsid w:val="00C94CBE"/>
    <w:rsid w:val="00C94E09"/>
    <w:rsid w:val="00C950C4"/>
    <w:rsid w:val="00C9512C"/>
    <w:rsid w:val="00C96E7A"/>
    <w:rsid w:val="00C97F4C"/>
    <w:rsid w:val="00CA1BF2"/>
    <w:rsid w:val="00CA227C"/>
    <w:rsid w:val="00CA2C81"/>
    <w:rsid w:val="00CA3076"/>
    <w:rsid w:val="00CA3E15"/>
    <w:rsid w:val="00CA451F"/>
    <w:rsid w:val="00CA47BA"/>
    <w:rsid w:val="00CA5792"/>
    <w:rsid w:val="00CA61C7"/>
    <w:rsid w:val="00CA6C2E"/>
    <w:rsid w:val="00CB0C50"/>
    <w:rsid w:val="00CB103B"/>
    <w:rsid w:val="00CB1F06"/>
    <w:rsid w:val="00CB1FAA"/>
    <w:rsid w:val="00CB1FFF"/>
    <w:rsid w:val="00CB2C26"/>
    <w:rsid w:val="00CB30A6"/>
    <w:rsid w:val="00CB3D82"/>
    <w:rsid w:val="00CB44FF"/>
    <w:rsid w:val="00CB716E"/>
    <w:rsid w:val="00CB7D71"/>
    <w:rsid w:val="00CC1AEF"/>
    <w:rsid w:val="00CC280E"/>
    <w:rsid w:val="00CC2DF4"/>
    <w:rsid w:val="00CC3836"/>
    <w:rsid w:val="00CC4AB3"/>
    <w:rsid w:val="00CC4C51"/>
    <w:rsid w:val="00CC4EF9"/>
    <w:rsid w:val="00CC52A9"/>
    <w:rsid w:val="00CC58B1"/>
    <w:rsid w:val="00CC6AE0"/>
    <w:rsid w:val="00CC717D"/>
    <w:rsid w:val="00CC73B2"/>
    <w:rsid w:val="00CD01E6"/>
    <w:rsid w:val="00CD0493"/>
    <w:rsid w:val="00CD1396"/>
    <w:rsid w:val="00CD1F19"/>
    <w:rsid w:val="00CD20DC"/>
    <w:rsid w:val="00CD24D7"/>
    <w:rsid w:val="00CD2A6B"/>
    <w:rsid w:val="00CD301D"/>
    <w:rsid w:val="00CD496E"/>
    <w:rsid w:val="00CD4B11"/>
    <w:rsid w:val="00CD503C"/>
    <w:rsid w:val="00CD5422"/>
    <w:rsid w:val="00CD5FF8"/>
    <w:rsid w:val="00CD6217"/>
    <w:rsid w:val="00CD6F63"/>
    <w:rsid w:val="00CD73EF"/>
    <w:rsid w:val="00CD7842"/>
    <w:rsid w:val="00CE03A4"/>
    <w:rsid w:val="00CE07CB"/>
    <w:rsid w:val="00CE109B"/>
    <w:rsid w:val="00CE1816"/>
    <w:rsid w:val="00CE24B0"/>
    <w:rsid w:val="00CE2E96"/>
    <w:rsid w:val="00CE340F"/>
    <w:rsid w:val="00CE4A2F"/>
    <w:rsid w:val="00CE4D10"/>
    <w:rsid w:val="00CE5B94"/>
    <w:rsid w:val="00CE5CB3"/>
    <w:rsid w:val="00CE63ED"/>
    <w:rsid w:val="00CE6EEC"/>
    <w:rsid w:val="00CE70E8"/>
    <w:rsid w:val="00CE71A4"/>
    <w:rsid w:val="00CE7364"/>
    <w:rsid w:val="00CF0105"/>
    <w:rsid w:val="00CF044E"/>
    <w:rsid w:val="00CF0463"/>
    <w:rsid w:val="00CF0FEF"/>
    <w:rsid w:val="00CF1282"/>
    <w:rsid w:val="00CF1BDB"/>
    <w:rsid w:val="00CF2174"/>
    <w:rsid w:val="00CF277F"/>
    <w:rsid w:val="00CF27C5"/>
    <w:rsid w:val="00CF2BF7"/>
    <w:rsid w:val="00CF3A58"/>
    <w:rsid w:val="00CF3A60"/>
    <w:rsid w:val="00CF4155"/>
    <w:rsid w:val="00CF4CE9"/>
    <w:rsid w:val="00CF4FDF"/>
    <w:rsid w:val="00CF503F"/>
    <w:rsid w:val="00CF5564"/>
    <w:rsid w:val="00CF5591"/>
    <w:rsid w:val="00CF559C"/>
    <w:rsid w:val="00CF63DA"/>
    <w:rsid w:val="00CF6C19"/>
    <w:rsid w:val="00CF6F7B"/>
    <w:rsid w:val="00CF6FFE"/>
    <w:rsid w:val="00CF773C"/>
    <w:rsid w:val="00CF78B0"/>
    <w:rsid w:val="00D012BE"/>
    <w:rsid w:val="00D0305D"/>
    <w:rsid w:val="00D0317D"/>
    <w:rsid w:val="00D031B4"/>
    <w:rsid w:val="00D0325C"/>
    <w:rsid w:val="00D033C2"/>
    <w:rsid w:val="00D035E1"/>
    <w:rsid w:val="00D03812"/>
    <w:rsid w:val="00D045C6"/>
    <w:rsid w:val="00D046E8"/>
    <w:rsid w:val="00D047BD"/>
    <w:rsid w:val="00D04817"/>
    <w:rsid w:val="00D048F7"/>
    <w:rsid w:val="00D04AC0"/>
    <w:rsid w:val="00D05054"/>
    <w:rsid w:val="00D06C95"/>
    <w:rsid w:val="00D0739C"/>
    <w:rsid w:val="00D07872"/>
    <w:rsid w:val="00D07EC6"/>
    <w:rsid w:val="00D10911"/>
    <w:rsid w:val="00D118A2"/>
    <w:rsid w:val="00D11E92"/>
    <w:rsid w:val="00D12043"/>
    <w:rsid w:val="00D1207A"/>
    <w:rsid w:val="00D125F6"/>
    <w:rsid w:val="00D12938"/>
    <w:rsid w:val="00D12DD8"/>
    <w:rsid w:val="00D131BE"/>
    <w:rsid w:val="00D13EE1"/>
    <w:rsid w:val="00D14AFD"/>
    <w:rsid w:val="00D150BE"/>
    <w:rsid w:val="00D15601"/>
    <w:rsid w:val="00D16131"/>
    <w:rsid w:val="00D1685F"/>
    <w:rsid w:val="00D16877"/>
    <w:rsid w:val="00D16D0F"/>
    <w:rsid w:val="00D17B45"/>
    <w:rsid w:val="00D2017E"/>
    <w:rsid w:val="00D2065B"/>
    <w:rsid w:val="00D21161"/>
    <w:rsid w:val="00D21650"/>
    <w:rsid w:val="00D21796"/>
    <w:rsid w:val="00D21B57"/>
    <w:rsid w:val="00D21F38"/>
    <w:rsid w:val="00D238E3"/>
    <w:rsid w:val="00D241DE"/>
    <w:rsid w:val="00D24EFF"/>
    <w:rsid w:val="00D2507A"/>
    <w:rsid w:val="00D25152"/>
    <w:rsid w:val="00D252F5"/>
    <w:rsid w:val="00D257C0"/>
    <w:rsid w:val="00D25C09"/>
    <w:rsid w:val="00D2635D"/>
    <w:rsid w:val="00D2663D"/>
    <w:rsid w:val="00D26A23"/>
    <w:rsid w:val="00D26A5A"/>
    <w:rsid w:val="00D27633"/>
    <w:rsid w:val="00D27D77"/>
    <w:rsid w:val="00D3058D"/>
    <w:rsid w:val="00D30AE8"/>
    <w:rsid w:val="00D31218"/>
    <w:rsid w:val="00D318C4"/>
    <w:rsid w:val="00D31FDA"/>
    <w:rsid w:val="00D32A70"/>
    <w:rsid w:val="00D33358"/>
    <w:rsid w:val="00D3419D"/>
    <w:rsid w:val="00D34529"/>
    <w:rsid w:val="00D34DC7"/>
    <w:rsid w:val="00D34F4E"/>
    <w:rsid w:val="00D35A26"/>
    <w:rsid w:val="00D35A27"/>
    <w:rsid w:val="00D35C26"/>
    <w:rsid w:val="00D35DEF"/>
    <w:rsid w:val="00D36FF3"/>
    <w:rsid w:val="00D37EA6"/>
    <w:rsid w:val="00D400B7"/>
    <w:rsid w:val="00D4055A"/>
    <w:rsid w:val="00D407E5"/>
    <w:rsid w:val="00D4124B"/>
    <w:rsid w:val="00D4127A"/>
    <w:rsid w:val="00D42A68"/>
    <w:rsid w:val="00D42BA2"/>
    <w:rsid w:val="00D42D3D"/>
    <w:rsid w:val="00D4302A"/>
    <w:rsid w:val="00D43647"/>
    <w:rsid w:val="00D436E8"/>
    <w:rsid w:val="00D43C86"/>
    <w:rsid w:val="00D447AE"/>
    <w:rsid w:val="00D45527"/>
    <w:rsid w:val="00D46139"/>
    <w:rsid w:val="00D47441"/>
    <w:rsid w:val="00D47A5B"/>
    <w:rsid w:val="00D47CAB"/>
    <w:rsid w:val="00D500BB"/>
    <w:rsid w:val="00D53BFC"/>
    <w:rsid w:val="00D5474B"/>
    <w:rsid w:val="00D54ECC"/>
    <w:rsid w:val="00D556BB"/>
    <w:rsid w:val="00D55AF6"/>
    <w:rsid w:val="00D55EDC"/>
    <w:rsid w:val="00D56072"/>
    <w:rsid w:val="00D566DB"/>
    <w:rsid w:val="00D56882"/>
    <w:rsid w:val="00D56B38"/>
    <w:rsid w:val="00D56FFF"/>
    <w:rsid w:val="00D571A8"/>
    <w:rsid w:val="00D57971"/>
    <w:rsid w:val="00D57A13"/>
    <w:rsid w:val="00D6001E"/>
    <w:rsid w:val="00D600BC"/>
    <w:rsid w:val="00D60B0E"/>
    <w:rsid w:val="00D61390"/>
    <w:rsid w:val="00D61757"/>
    <w:rsid w:val="00D61FDB"/>
    <w:rsid w:val="00D62FF6"/>
    <w:rsid w:val="00D63100"/>
    <w:rsid w:val="00D631C5"/>
    <w:rsid w:val="00D648E3"/>
    <w:rsid w:val="00D64CCF"/>
    <w:rsid w:val="00D651BB"/>
    <w:rsid w:val="00D658D0"/>
    <w:rsid w:val="00D65AC9"/>
    <w:rsid w:val="00D65BC3"/>
    <w:rsid w:val="00D6707F"/>
    <w:rsid w:val="00D6729D"/>
    <w:rsid w:val="00D6780D"/>
    <w:rsid w:val="00D67CF4"/>
    <w:rsid w:val="00D7088B"/>
    <w:rsid w:val="00D7096E"/>
    <w:rsid w:val="00D70F8A"/>
    <w:rsid w:val="00D71019"/>
    <w:rsid w:val="00D714CA"/>
    <w:rsid w:val="00D71EFE"/>
    <w:rsid w:val="00D71FE0"/>
    <w:rsid w:val="00D7252F"/>
    <w:rsid w:val="00D73EA4"/>
    <w:rsid w:val="00D740F4"/>
    <w:rsid w:val="00D748D3"/>
    <w:rsid w:val="00D754AE"/>
    <w:rsid w:val="00D757B9"/>
    <w:rsid w:val="00D75E04"/>
    <w:rsid w:val="00D75E21"/>
    <w:rsid w:val="00D7616F"/>
    <w:rsid w:val="00D76CCA"/>
    <w:rsid w:val="00D770C5"/>
    <w:rsid w:val="00D774FE"/>
    <w:rsid w:val="00D80178"/>
    <w:rsid w:val="00D80388"/>
    <w:rsid w:val="00D813D5"/>
    <w:rsid w:val="00D822D7"/>
    <w:rsid w:val="00D82891"/>
    <w:rsid w:val="00D8323E"/>
    <w:rsid w:val="00D834EA"/>
    <w:rsid w:val="00D8381A"/>
    <w:rsid w:val="00D83CCF"/>
    <w:rsid w:val="00D83E78"/>
    <w:rsid w:val="00D847BF"/>
    <w:rsid w:val="00D848AF"/>
    <w:rsid w:val="00D8583A"/>
    <w:rsid w:val="00D86C83"/>
    <w:rsid w:val="00D8711B"/>
    <w:rsid w:val="00D87930"/>
    <w:rsid w:val="00D87CEC"/>
    <w:rsid w:val="00D87E35"/>
    <w:rsid w:val="00D904E4"/>
    <w:rsid w:val="00D917B3"/>
    <w:rsid w:val="00D91901"/>
    <w:rsid w:val="00D92118"/>
    <w:rsid w:val="00D92184"/>
    <w:rsid w:val="00D93212"/>
    <w:rsid w:val="00D935B1"/>
    <w:rsid w:val="00D93CDE"/>
    <w:rsid w:val="00D95E54"/>
    <w:rsid w:val="00D95EF1"/>
    <w:rsid w:val="00D96A1E"/>
    <w:rsid w:val="00D97156"/>
    <w:rsid w:val="00DA1FA6"/>
    <w:rsid w:val="00DA219F"/>
    <w:rsid w:val="00DA2D39"/>
    <w:rsid w:val="00DA355B"/>
    <w:rsid w:val="00DA389A"/>
    <w:rsid w:val="00DA3B70"/>
    <w:rsid w:val="00DA3BCF"/>
    <w:rsid w:val="00DA4A0C"/>
    <w:rsid w:val="00DA4A11"/>
    <w:rsid w:val="00DA54F6"/>
    <w:rsid w:val="00DA5FBD"/>
    <w:rsid w:val="00DA6EB6"/>
    <w:rsid w:val="00DA6FAA"/>
    <w:rsid w:val="00DA792C"/>
    <w:rsid w:val="00DB02D4"/>
    <w:rsid w:val="00DB03B1"/>
    <w:rsid w:val="00DB0916"/>
    <w:rsid w:val="00DB1004"/>
    <w:rsid w:val="00DB1840"/>
    <w:rsid w:val="00DB1A4C"/>
    <w:rsid w:val="00DB1DB7"/>
    <w:rsid w:val="00DB1F1A"/>
    <w:rsid w:val="00DB2053"/>
    <w:rsid w:val="00DB2A51"/>
    <w:rsid w:val="00DB2E29"/>
    <w:rsid w:val="00DB30DF"/>
    <w:rsid w:val="00DB5062"/>
    <w:rsid w:val="00DB6FBB"/>
    <w:rsid w:val="00DB7196"/>
    <w:rsid w:val="00DB71CE"/>
    <w:rsid w:val="00DB756D"/>
    <w:rsid w:val="00DB7703"/>
    <w:rsid w:val="00DC00C5"/>
    <w:rsid w:val="00DC0771"/>
    <w:rsid w:val="00DC0CFD"/>
    <w:rsid w:val="00DC109C"/>
    <w:rsid w:val="00DC1307"/>
    <w:rsid w:val="00DC19D0"/>
    <w:rsid w:val="00DC24D4"/>
    <w:rsid w:val="00DC2C3E"/>
    <w:rsid w:val="00DC2E33"/>
    <w:rsid w:val="00DC3158"/>
    <w:rsid w:val="00DC3794"/>
    <w:rsid w:val="00DC49D7"/>
    <w:rsid w:val="00DC680A"/>
    <w:rsid w:val="00DC69D9"/>
    <w:rsid w:val="00DC6A05"/>
    <w:rsid w:val="00DC6BC0"/>
    <w:rsid w:val="00DC719D"/>
    <w:rsid w:val="00DC75F5"/>
    <w:rsid w:val="00DC7941"/>
    <w:rsid w:val="00DC7A58"/>
    <w:rsid w:val="00DC7D3F"/>
    <w:rsid w:val="00DD0B7C"/>
    <w:rsid w:val="00DD0C4F"/>
    <w:rsid w:val="00DD16ED"/>
    <w:rsid w:val="00DD2049"/>
    <w:rsid w:val="00DD21BD"/>
    <w:rsid w:val="00DD253F"/>
    <w:rsid w:val="00DD26C5"/>
    <w:rsid w:val="00DD2947"/>
    <w:rsid w:val="00DD29B8"/>
    <w:rsid w:val="00DD31E2"/>
    <w:rsid w:val="00DD32CF"/>
    <w:rsid w:val="00DD34AB"/>
    <w:rsid w:val="00DD39BA"/>
    <w:rsid w:val="00DD4785"/>
    <w:rsid w:val="00DD49D8"/>
    <w:rsid w:val="00DD4A34"/>
    <w:rsid w:val="00DD4E39"/>
    <w:rsid w:val="00DD4E87"/>
    <w:rsid w:val="00DD51B1"/>
    <w:rsid w:val="00DD5885"/>
    <w:rsid w:val="00DD5F7A"/>
    <w:rsid w:val="00DD6633"/>
    <w:rsid w:val="00DD6CD3"/>
    <w:rsid w:val="00DD6EF9"/>
    <w:rsid w:val="00DD7267"/>
    <w:rsid w:val="00DD7A8F"/>
    <w:rsid w:val="00DE00B4"/>
    <w:rsid w:val="00DE0FFC"/>
    <w:rsid w:val="00DE16CC"/>
    <w:rsid w:val="00DE251A"/>
    <w:rsid w:val="00DE40E0"/>
    <w:rsid w:val="00DE4605"/>
    <w:rsid w:val="00DE4C8D"/>
    <w:rsid w:val="00DE648E"/>
    <w:rsid w:val="00DE748B"/>
    <w:rsid w:val="00DF0747"/>
    <w:rsid w:val="00DF08B4"/>
    <w:rsid w:val="00DF139A"/>
    <w:rsid w:val="00DF1737"/>
    <w:rsid w:val="00DF1765"/>
    <w:rsid w:val="00DF1AED"/>
    <w:rsid w:val="00DF1B4A"/>
    <w:rsid w:val="00DF298B"/>
    <w:rsid w:val="00DF4A90"/>
    <w:rsid w:val="00DF50DF"/>
    <w:rsid w:val="00DF5210"/>
    <w:rsid w:val="00DF5FE3"/>
    <w:rsid w:val="00DF68DD"/>
    <w:rsid w:val="00DF73E6"/>
    <w:rsid w:val="00E01463"/>
    <w:rsid w:val="00E02274"/>
    <w:rsid w:val="00E02413"/>
    <w:rsid w:val="00E03128"/>
    <w:rsid w:val="00E04C2F"/>
    <w:rsid w:val="00E06319"/>
    <w:rsid w:val="00E0635D"/>
    <w:rsid w:val="00E0681D"/>
    <w:rsid w:val="00E06BE7"/>
    <w:rsid w:val="00E06C2C"/>
    <w:rsid w:val="00E07540"/>
    <w:rsid w:val="00E106D2"/>
    <w:rsid w:val="00E108A9"/>
    <w:rsid w:val="00E121FD"/>
    <w:rsid w:val="00E1264D"/>
    <w:rsid w:val="00E13185"/>
    <w:rsid w:val="00E132E2"/>
    <w:rsid w:val="00E13678"/>
    <w:rsid w:val="00E13D51"/>
    <w:rsid w:val="00E148F7"/>
    <w:rsid w:val="00E14BD6"/>
    <w:rsid w:val="00E15AF7"/>
    <w:rsid w:val="00E15C92"/>
    <w:rsid w:val="00E15D25"/>
    <w:rsid w:val="00E15DB1"/>
    <w:rsid w:val="00E16675"/>
    <w:rsid w:val="00E169E4"/>
    <w:rsid w:val="00E21A5F"/>
    <w:rsid w:val="00E24096"/>
    <w:rsid w:val="00E24272"/>
    <w:rsid w:val="00E24369"/>
    <w:rsid w:val="00E24650"/>
    <w:rsid w:val="00E247E5"/>
    <w:rsid w:val="00E24FA0"/>
    <w:rsid w:val="00E255B8"/>
    <w:rsid w:val="00E25A19"/>
    <w:rsid w:val="00E2668F"/>
    <w:rsid w:val="00E26FBA"/>
    <w:rsid w:val="00E27F30"/>
    <w:rsid w:val="00E30615"/>
    <w:rsid w:val="00E30623"/>
    <w:rsid w:val="00E306D8"/>
    <w:rsid w:val="00E32424"/>
    <w:rsid w:val="00E32512"/>
    <w:rsid w:val="00E32779"/>
    <w:rsid w:val="00E33224"/>
    <w:rsid w:val="00E3373F"/>
    <w:rsid w:val="00E33858"/>
    <w:rsid w:val="00E33D14"/>
    <w:rsid w:val="00E341C7"/>
    <w:rsid w:val="00E3451D"/>
    <w:rsid w:val="00E35914"/>
    <w:rsid w:val="00E36EF5"/>
    <w:rsid w:val="00E37CBA"/>
    <w:rsid w:val="00E408BB"/>
    <w:rsid w:val="00E40E8D"/>
    <w:rsid w:val="00E40EA0"/>
    <w:rsid w:val="00E41419"/>
    <w:rsid w:val="00E419B6"/>
    <w:rsid w:val="00E41C7F"/>
    <w:rsid w:val="00E41EFF"/>
    <w:rsid w:val="00E41F7C"/>
    <w:rsid w:val="00E42033"/>
    <w:rsid w:val="00E42B13"/>
    <w:rsid w:val="00E42CCE"/>
    <w:rsid w:val="00E431C5"/>
    <w:rsid w:val="00E43BA4"/>
    <w:rsid w:val="00E4409A"/>
    <w:rsid w:val="00E4497F"/>
    <w:rsid w:val="00E459C9"/>
    <w:rsid w:val="00E47264"/>
    <w:rsid w:val="00E47BC4"/>
    <w:rsid w:val="00E47E48"/>
    <w:rsid w:val="00E507EE"/>
    <w:rsid w:val="00E52541"/>
    <w:rsid w:val="00E52C5C"/>
    <w:rsid w:val="00E52F38"/>
    <w:rsid w:val="00E5368C"/>
    <w:rsid w:val="00E539B0"/>
    <w:rsid w:val="00E54897"/>
    <w:rsid w:val="00E54C48"/>
    <w:rsid w:val="00E552B4"/>
    <w:rsid w:val="00E56098"/>
    <w:rsid w:val="00E56D6D"/>
    <w:rsid w:val="00E57047"/>
    <w:rsid w:val="00E570C0"/>
    <w:rsid w:val="00E571A7"/>
    <w:rsid w:val="00E571FB"/>
    <w:rsid w:val="00E57ACE"/>
    <w:rsid w:val="00E57C21"/>
    <w:rsid w:val="00E57C3E"/>
    <w:rsid w:val="00E602A7"/>
    <w:rsid w:val="00E60983"/>
    <w:rsid w:val="00E60AC2"/>
    <w:rsid w:val="00E60E72"/>
    <w:rsid w:val="00E611F1"/>
    <w:rsid w:val="00E61856"/>
    <w:rsid w:val="00E61ADA"/>
    <w:rsid w:val="00E61D3A"/>
    <w:rsid w:val="00E628C3"/>
    <w:rsid w:val="00E62B98"/>
    <w:rsid w:val="00E62CFE"/>
    <w:rsid w:val="00E62E65"/>
    <w:rsid w:val="00E6443D"/>
    <w:rsid w:val="00E64634"/>
    <w:rsid w:val="00E64C8A"/>
    <w:rsid w:val="00E65178"/>
    <w:rsid w:val="00E65B40"/>
    <w:rsid w:val="00E67690"/>
    <w:rsid w:val="00E67A44"/>
    <w:rsid w:val="00E67A95"/>
    <w:rsid w:val="00E67B30"/>
    <w:rsid w:val="00E70DF7"/>
    <w:rsid w:val="00E717FD"/>
    <w:rsid w:val="00E71836"/>
    <w:rsid w:val="00E720DF"/>
    <w:rsid w:val="00E723FF"/>
    <w:rsid w:val="00E7251E"/>
    <w:rsid w:val="00E7418D"/>
    <w:rsid w:val="00E74753"/>
    <w:rsid w:val="00E75A91"/>
    <w:rsid w:val="00E761C2"/>
    <w:rsid w:val="00E80051"/>
    <w:rsid w:val="00E80154"/>
    <w:rsid w:val="00E80728"/>
    <w:rsid w:val="00E80980"/>
    <w:rsid w:val="00E81671"/>
    <w:rsid w:val="00E8194B"/>
    <w:rsid w:val="00E81DE9"/>
    <w:rsid w:val="00E81FDD"/>
    <w:rsid w:val="00E8257C"/>
    <w:rsid w:val="00E82EEB"/>
    <w:rsid w:val="00E8392F"/>
    <w:rsid w:val="00E84044"/>
    <w:rsid w:val="00E84057"/>
    <w:rsid w:val="00E85606"/>
    <w:rsid w:val="00E8679B"/>
    <w:rsid w:val="00E86B05"/>
    <w:rsid w:val="00E86BFD"/>
    <w:rsid w:val="00E8706D"/>
    <w:rsid w:val="00E873EF"/>
    <w:rsid w:val="00E90AF2"/>
    <w:rsid w:val="00E921CF"/>
    <w:rsid w:val="00E9275C"/>
    <w:rsid w:val="00E92B22"/>
    <w:rsid w:val="00E930E3"/>
    <w:rsid w:val="00E9410C"/>
    <w:rsid w:val="00E94583"/>
    <w:rsid w:val="00E946FA"/>
    <w:rsid w:val="00E94AD8"/>
    <w:rsid w:val="00E94F6D"/>
    <w:rsid w:val="00E950AB"/>
    <w:rsid w:val="00E95518"/>
    <w:rsid w:val="00E955B3"/>
    <w:rsid w:val="00E95B00"/>
    <w:rsid w:val="00E95EE0"/>
    <w:rsid w:val="00E960A9"/>
    <w:rsid w:val="00E965C7"/>
    <w:rsid w:val="00E96A39"/>
    <w:rsid w:val="00E96ED7"/>
    <w:rsid w:val="00E970D0"/>
    <w:rsid w:val="00E97381"/>
    <w:rsid w:val="00E97CEB"/>
    <w:rsid w:val="00E97DDC"/>
    <w:rsid w:val="00E97F1F"/>
    <w:rsid w:val="00EA0273"/>
    <w:rsid w:val="00EA0483"/>
    <w:rsid w:val="00EA04CB"/>
    <w:rsid w:val="00EA05EA"/>
    <w:rsid w:val="00EA09D0"/>
    <w:rsid w:val="00EA1BAF"/>
    <w:rsid w:val="00EA2DCC"/>
    <w:rsid w:val="00EA361C"/>
    <w:rsid w:val="00EA45B0"/>
    <w:rsid w:val="00EA4B03"/>
    <w:rsid w:val="00EA59E8"/>
    <w:rsid w:val="00EA5F8D"/>
    <w:rsid w:val="00EA6887"/>
    <w:rsid w:val="00EB0969"/>
    <w:rsid w:val="00EB10AA"/>
    <w:rsid w:val="00EB1FD8"/>
    <w:rsid w:val="00EB2024"/>
    <w:rsid w:val="00EB21B7"/>
    <w:rsid w:val="00EB3BFF"/>
    <w:rsid w:val="00EB3C28"/>
    <w:rsid w:val="00EB4E41"/>
    <w:rsid w:val="00EB532F"/>
    <w:rsid w:val="00EB5539"/>
    <w:rsid w:val="00EB6857"/>
    <w:rsid w:val="00EB6B00"/>
    <w:rsid w:val="00EB6B22"/>
    <w:rsid w:val="00EC07DC"/>
    <w:rsid w:val="00EC0E42"/>
    <w:rsid w:val="00EC0F93"/>
    <w:rsid w:val="00EC1D06"/>
    <w:rsid w:val="00EC2238"/>
    <w:rsid w:val="00EC319D"/>
    <w:rsid w:val="00EC3F37"/>
    <w:rsid w:val="00EC402F"/>
    <w:rsid w:val="00EC4F1D"/>
    <w:rsid w:val="00EC5DDA"/>
    <w:rsid w:val="00EC62AF"/>
    <w:rsid w:val="00EC6583"/>
    <w:rsid w:val="00EC690A"/>
    <w:rsid w:val="00EC6CDC"/>
    <w:rsid w:val="00EC767C"/>
    <w:rsid w:val="00ED016A"/>
    <w:rsid w:val="00ED1308"/>
    <w:rsid w:val="00ED17A1"/>
    <w:rsid w:val="00ED1AEA"/>
    <w:rsid w:val="00ED1D58"/>
    <w:rsid w:val="00ED2051"/>
    <w:rsid w:val="00ED2EDF"/>
    <w:rsid w:val="00ED34D4"/>
    <w:rsid w:val="00ED3D3F"/>
    <w:rsid w:val="00ED51D7"/>
    <w:rsid w:val="00ED538C"/>
    <w:rsid w:val="00ED5757"/>
    <w:rsid w:val="00ED6193"/>
    <w:rsid w:val="00ED6504"/>
    <w:rsid w:val="00EE0093"/>
    <w:rsid w:val="00EE0640"/>
    <w:rsid w:val="00EE064A"/>
    <w:rsid w:val="00EE068D"/>
    <w:rsid w:val="00EE0B5A"/>
    <w:rsid w:val="00EE0B97"/>
    <w:rsid w:val="00EE10FC"/>
    <w:rsid w:val="00EE19B4"/>
    <w:rsid w:val="00EE33C9"/>
    <w:rsid w:val="00EE346D"/>
    <w:rsid w:val="00EE4523"/>
    <w:rsid w:val="00EE46EB"/>
    <w:rsid w:val="00EE4931"/>
    <w:rsid w:val="00EE49FB"/>
    <w:rsid w:val="00EE5D26"/>
    <w:rsid w:val="00EE5DF4"/>
    <w:rsid w:val="00EE642A"/>
    <w:rsid w:val="00EE7031"/>
    <w:rsid w:val="00EE74F8"/>
    <w:rsid w:val="00EF02A3"/>
    <w:rsid w:val="00EF2C07"/>
    <w:rsid w:val="00EF4F12"/>
    <w:rsid w:val="00EF5D96"/>
    <w:rsid w:val="00EF688E"/>
    <w:rsid w:val="00EF6913"/>
    <w:rsid w:val="00EF6D5A"/>
    <w:rsid w:val="00EF73E7"/>
    <w:rsid w:val="00EF764D"/>
    <w:rsid w:val="00F007E1"/>
    <w:rsid w:val="00F0099F"/>
    <w:rsid w:val="00F00CA6"/>
    <w:rsid w:val="00F01D0D"/>
    <w:rsid w:val="00F01D6B"/>
    <w:rsid w:val="00F02DA1"/>
    <w:rsid w:val="00F033E2"/>
    <w:rsid w:val="00F034A6"/>
    <w:rsid w:val="00F03A29"/>
    <w:rsid w:val="00F05B77"/>
    <w:rsid w:val="00F06BC4"/>
    <w:rsid w:val="00F06BF6"/>
    <w:rsid w:val="00F06D2C"/>
    <w:rsid w:val="00F06F24"/>
    <w:rsid w:val="00F102EF"/>
    <w:rsid w:val="00F10376"/>
    <w:rsid w:val="00F10A19"/>
    <w:rsid w:val="00F10C75"/>
    <w:rsid w:val="00F1139F"/>
    <w:rsid w:val="00F11DE4"/>
    <w:rsid w:val="00F1257E"/>
    <w:rsid w:val="00F13110"/>
    <w:rsid w:val="00F13746"/>
    <w:rsid w:val="00F14159"/>
    <w:rsid w:val="00F154E4"/>
    <w:rsid w:val="00F16E85"/>
    <w:rsid w:val="00F1770B"/>
    <w:rsid w:val="00F17968"/>
    <w:rsid w:val="00F17EC0"/>
    <w:rsid w:val="00F17F3C"/>
    <w:rsid w:val="00F207AD"/>
    <w:rsid w:val="00F21577"/>
    <w:rsid w:val="00F21948"/>
    <w:rsid w:val="00F21AD9"/>
    <w:rsid w:val="00F21F0D"/>
    <w:rsid w:val="00F22216"/>
    <w:rsid w:val="00F222EC"/>
    <w:rsid w:val="00F2252C"/>
    <w:rsid w:val="00F22867"/>
    <w:rsid w:val="00F2332D"/>
    <w:rsid w:val="00F2384D"/>
    <w:rsid w:val="00F23ACE"/>
    <w:rsid w:val="00F23FCD"/>
    <w:rsid w:val="00F25418"/>
    <w:rsid w:val="00F2586E"/>
    <w:rsid w:val="00F26EC6"/>
    <w:rsid w:val="00F27B08"/>
    <w:rsid w:val="00F301E4"/>
    <w:rsid w:val="00F3081D"/>
    <w:rsid w:val="00F30C97"/>
    <w:rsid w:val="00F31C3B"/>
    <w:rsid w:val="00F3228C"/>
    <w:rsid w:val="00F32C27"/>
    <w:rsid w:val="00F32D7A"/>
    <w:rsid w:val="00F33E39"/>
    <w:rsid w:val="00F35B5A"/>
    <w:rsid w:val="00F35BE4"/>
    <w:rsid w:val="00F36E03"/>
    <w:rsid w:val="00F37740"/>
    <w:rsid w:val="00F37B49"/>
    <w:rsid w:val="00F40DA7"/>
    <w:rsid w:val="00F4131F"/>
    <w:rsid w:val="00F41F47"/>
    <w:rsid w:val="00F42E9A"/>
    <w:rsid w:val="00F434B5"/>
    <w:rsid w:val="00F43668"/>
    <w:rsid w:val="00F4374D"/>
    <w:rsid w:val="00F43ADD"/>
    <w:rsid w:val="00F44265"/>
    <w:rsid w:val="00F44B39"/>
    <w:rsid w:val="00F45344"/>
    <w:rsid w:val="00F4556D"/>
    <w:rsid w:val="00F45AA3"/>
    <w:rsid w:val="00F47674"/>
    <w:rsid w:val="00F47A4A"/>
    <w:rsid w:val="00F47B33"/>
    <w:rsid w:val="00F47E4A"/>
    <w:rsid w:val="00F50721"/>
    <w:rsid w:val="00F50F52"/>
    <w:rsid w:val="00F5129B"/>
    <w:rsid w:val="00F51A0D"/>
    <w:rsid w:val="00F51AA6"/>
    <w:rsid w:val="00F522C8"/>
    <w:rsid w:val="00F522F8"/>
    <w:rsid w:val="00F5232B"/>
    <w:rsid w:val="00F52794"/>
    <w:rsid w:val="00F529C6"/>
    <w:rsid w:val="00F54145"/>
    <w:rsid w:val="00F54698"/>
    <w:rsid w:val="00F562F3"/>
    <w:rsid w:val="00F56A07"/>
    <w:rsid w:val="00F5793F"/>
    <w:rsid w:val="00F57E88"/>
    <w:rsid w:val="00F61119"/>
    <w:rsid w:val="00F614E0"/>
    <w:rsid w:val="00F61AC1"/>
    <w:rsid w:val="00F61B23"/>
    <w:rsid w:val="00F6231E"/>
    <w:rsid w:val="00F6276B"/>
    <w:rsid w:val="00F627D7"/>
    <w:rsid w:val="00F63288"/>
    <w:rsid w:val="00F63323"/>
    <w:rsid w:val="00F63A24"/>
    <w:rsid w:val="00F6422D"/>
    <w:rsid w:val="00F648E0"/>
    <w:rsid w:val="00F6539B"/>
    <w:rsid w:val="00F6548B"/>
    <w:rsid w:val="00F6635A"/>
    <w:rsid w:val="00F66727"/>
    <w:rsid w:val="00F67CA1"/>
    <w:rsid w:val="00F70DCF"/>
    <w:rsid w:val="00F71184"/>
    <w:rsid w:val="00F717D1"/>
    <w:rsid w:val="00F72430"/>
    <w:rsid w:val="00F72D1B"/>
    <w:rsid w:val="00F739F5"/>
    <w:rsid w:val="00F73A0F"/>
    <w:rsid w:val="00F73C2C"/>
    <w:rsid w:val="00F7465A"/>
    <w:rsid w:val="00F76342"/>
    <w:rsid w:val="00F769C5"/>
    <w:rsid w:val="00F770A8"/>
    <w:rsid w:val="00F77AF0"/>
    <w:rsid w:val="00F77B58"/>
    <w:rsid w:val="00F77C64"/>
    <w:rsid w:val="00F8006A"/>
    <w:rsid w:val="00F81C2B"/>
    <w:rsid w:val="00F8257B"/>
    <w:rsid w:val="00F828A2"/>
    <w:rsid w:val="00F82DA7"/>
    <w:rsid w:val="00F83A61"/>
    <w:rsid w:val="00F8404F"/>
    <w:rsid w:val="00F844BD"/>
    <w:rsid w:val="00F85308"/>
    <w:rsid w:val="00F8558C"/>
    <w:rsid w:val="00F85BDE"/>
    <w:rsid w:val="00F86051"/>
    <w:rsid w:val="00F86784"/>
    <w:rsid w:val="00F86D68"/>
    <w:rsid w:val="00F87681"/>
    <w:rsid w:val="00F87828"/>
    <w:rsid w:val="00F87C25"/>
    <w:rsid w:val="00F907B6"/>
    <w:rsid w:val="00F91000"/>
    <w:rsid w:val="00F914FD"/>
    <w:rsid w:val="00F921D4"/>
    <w:rsid w:val="00F92202"/>
    <w:rsid w:val="00F92EBB"/>
    <w:rsid w:val="00F92FBA"/>
    <w:rsid w:val="00F93B33"/>
    <w:rsid w:val="00F93C77"/>
    <w:rsid w:val="00F9421E"/>
    <w:rsid w:val="00F946BB"/>
    <w:rsid w:val="00F967C4"/>
    <w:rsid w:val="00F96AC0"/>
    <w:rsid w:val="00F97459"/>
    <w:rsid w:val="00F97B7E"/>
    <w:rsid w:val="00F97EC1"/>
    <w:rsid w:val="00F9A5C9"/>
    <w:rsid w:val="00FA021B"/>
    <w:rsid w:val="00FA0FB4"/>
    <w:rsid w:val="00FA179D"/>
    <w:rsid w:val="00FA1FB3"/>
    <w:rsid w:val="00FA239C"/>
    <w:rsid w:val="00FA3FA2"/>
    <w:rsid w:val="00FA43BD"/>
    <w:rsid w:val="00FA59B8"/>
    <w:rsid w:val="00FA67B5"/>
    <w:rsid w:val="00FA684E"/>
    <w:rsid w:val="00FB01E8"/>
    <w:rsid w:val="00FB04FC"/>
    <w:rsid w:val="00FB0CD8"/>
    <w:rsid w:val="00FB16CF"/>
    <w:rsid w:val="00FB201E"/>
    <w:rsid w:val="00FB2989"/>
    <w:rsid w:val="00FB2EE9"/>
    <w:rsid w:val="00FB31DC"/>
    <w:rsid w:val="00FB355F"/>
    <w:rsid w:val="00FB3D25"/>
    <w:rsid w:val="00FB3DC7"/>
    <w:rsid w:val="00FB3E4F"/>
    <w:rsid w:val="00FB4B79"/>
    <w:rsid w:val="00FB5133"/>
    <w:rsid w:val="00FB5651"/>
    <w:rsid w:val="00FB594C"/>
    <w:rsid w:val="00FB5B04"/>
    <w:rsid w:val="00FB6D3D"/>
    <w:rsid w:val="00FB7707"/>
    <w:rsid w:val="00FB7B50"/>
    <w:rsid w:val="00FC02F6"/>
    <w:rsid w:val="00FC0D73"/>
    <w:rsid w:val="00FC0D7E"/>
    <w:rsid w:val="00FC0E65"/>
    <w:rsid w:val="00FC0FD1"/>
    <w:rsid w:val="00FC13C2"/>
    <w:rsid w:val="00FC16F7"/>
    <w:rsid w:val="00FC2417"/>
    <w:rsid w:val="00FC25C0"/>
    <w:rsid w:val="00FC2645"/>
    <w:rsid w:val="00FC2D4B"/>
    <w:rsid w:val="00FC341F"/>
    <w:rsid w:val="00FC410F"/>
    <w:rsid w:val="00FC4269"/>
    <w:rsid w:val="00FC49D7"/>
    <w:rsid w:val="00FC4DCC"/>
    <w:rsid w:val="00FC577F"/>
    <w:rsid w:val="00FC672A"/>
    <w:rsid w:val="00FC7195"/>
    <w:rsid w:val="00FC768C"/>
    <w:rsid w:val="00FD11D9"/>
    <w:rsid w:val="00FD13BA"/>
    <w:rsid w:val="00FD1B60"/>
    <w:rsid w:val="00FD1FBC"/>
    <w:rsid w:val="00FD2D8F"/>
    <w:rsid w:val="00FD5E42"/>
    <w:rsid w:val="00FD6479"/>
    <w:rsid w:val="00FD6A47"/>
    <w:rsid w:val="00FD6FEA"/>
    <w:rsid w:val="00FD6FEE"/>
    <w:rsid w:val="00FD7025"/>
    <w:rsid w:val="00FD7092"/>
    <w:rsid w:val="00FD7F4C"/>
    <w:rsid w:val="00FE0F89"/>
    <w:rsid w:val="00FE1090"/>
    <w:rsid w:val="00FE3092"/>
    <w:rsid w:val="00FE3766"/>
    <w:rsid w:val="00FE3E97"/>
    <w:rsid w:val="00FE602A"/>
    <w:rsid w:val="00FF0409"/>
    <w:rsid w:val="00FF12FC"/>
    <w:rsid w:val="00FF15D3"/>
    <w:rsid w:val="00FF1F4F"/>
    <w:rsid w:val="00FF1F8F"/>
    <w:rsid w:val="00FF1FCC"/>
    <w:rsid w:val="00FF27F9"/>
    <w:rsid w:val="00FF39C1"/>
    <w:rsid w:val="00FF3CA8"/>
    <w:rsid w:val="00FF4515"/>
    <w:rsid w:val="00FF4712"/>
    <w:rsid w:val="00FF53A9"/>
    <w:rsid w:val="00FF5420"/>
    <w:rsid w:val="00FF73AD"/>
    <w:rsid w:val="03B1FA30"/>
    <w:rsid w:val="03EE1326"/>
    <w:rsid w:val="054D5A80"/>
    <w:rsid w:val="05533F26"/>
    <w:rsid w:val="065CC45A"/>
    <w:rsid w:val="0669E1C2"/>
    <w:rsid w:val="084AA3BE"/>
    <w:rsid w:val="089569A5"/>
    <w:rsid w:val="0942BB85"/>
    <w:rsid w:val="09C0FF20"/>
    <w:rsid w:val="0A5A5523"/>
    <w:rsid w:val="0A5E1F74"/>
    <w:rsid w:val="0AC82676"/>
    <w:rsid w:val="0AEF0106"/>
    <w:rsid w:val="0B7D3D0E"/>
    <w:rsid w:val="0C2A313B"/>
    <w:rsid w:val="0DD735E8"/>
    <w:rsid w:val="0E213E4D"/>
    <w:rsid w:val="0EE00B24"/>
    <w:rsid w:val="0F234643"/>
    <w:rsid w:val="1089C6F5"/>
    <w:rsid w:val="12973D0E"/>
    <w:rsid w:val="12E00F86"/>
    <w:rsid w:val="14248E42"/>
    <w:rsid w:val="14B7C9CD"/>
    <w:rsid w:val="15100217"/>
    <w:rsid w:val="154F8F4F"/>
    <w:rsid w:val="16C4604E"/>
    <w:rsid w:val="1727C1CB"/>
    <w:rsid w:val="1737163F"/>
    <w:rsid w:val="19156DD4"/>
    <w:rsid w:val="19E03392"/>
    <w:rsid w:val="1B6FB179"/>
    <w:rsid w:val="1C8C4EA1"/>
    <w:rsid w:val="1D76D259"/>
    <w:rsid w:val="1F39C41C"/>
    <w:rsid w:val="20AA7768"/>
    <w:rsid w:val="215EEAE3"/>
    <w:rsid w:val="2207CD32"/>
    <w:rsid w:val="22D50F7B"/>
    <w:rsid w:val="22FA0DA5"/>
    <w:rsid w:val="240BBBAD"/>
    <w:rsid w:val="2482F2FF"/>
    <w:rsid w:val="25A78C0E"/>
    <w:rsid w:val="263BE543"/>
    <w:rsid w:val="27435C6F"/>
    <w:rsid w:val="27AEAB16"/>
    <w:rsid w:val="2833E098"/>
    <w:rsid w:val="28418BD5"/>
    <w:rsid w:val="2882B71F"/>
    <w:rsid w:val="28876BB9"/>
    <w:rsid w:val="2BA67750"/>
    <w:rsid w:val="2BD10CF9"/>
    <w:rsid w:val="2C5433CF"/>
    <w:rsid w:val="2C890CA5"/>
    <w:rsid w:val="2D08BF85"/>
    <w:rsid w:val="2D68B9A1"/>
    <w:rsid w:val="2DA70A35"/>
    <w:rsid w:val="2E2B36F5"/>
    <w:rsid w:val="309514A7"/>
    <w:rsid w:val="30AA697A"/>
    <w:rsid w:val="32673E09"/>
    <w:rsid w:val="32D836AB"/>
    <w:rsid w:val="333A8291"/>
    <w:rsid w:val="33BC6301"/>
    <w:rsid w:val="33C2C465"/>
    <w:rsid w:val="34F90B63"/>
    <w:rsid w:val="350DAEBA"/>
    <w:rsid w:val="36411C89"/>
    <w:rsid w:val="37A2BDD9"/>
    <w:rsid w:val="39CFEB30"/>
    <w:rsid w:val="39FED27E"/>
    <w:rsid w:val="3AC28C18"/>
    <w:rsid w:val="3B42180E"/>
    <w:rsid w:val="3C0680D2"/>
    <w:rsid w:val="422761E3"/>
    <w:rsid w:val="43BDC29C"/>
    <w:rsid w:val="4775243C"/>
    <w:rsid w:val="481C2AF3"/>
    <w:rsid w:val="4929FEA6"/>
    <w:rsid w:val="4C73D14E"/>
    <w:rsid w:val="4C9347D0"/>
    <w:rsid w:val="4CDAD56A"/>
    <w:rsid w:val="4D6C77BF"/>
    <w:rsid w:val="4F7C591B"/>
    <w:rsid w:val="4F8F55F5"/>
    <w:rsid w:val="4FDDFF38"/>
    <w:rsid w:val="4FEEF5BD"/>
    <w:rsid w:val="506154A6"/>
    <w:rsid w:val="50AA0779"/>
    <w:rsid w:val="51064791"/>
    <w:rsid w:val="5115A2F6"/>
    <w:rsid w:val="516245E8"/>
    <w:rsid w:val="517D66A5"/>
    <w:rsid w:val="518AD469"/>
    <w:rsid w:val="52082080"/>
    <w:rsid w:val="5428FDDF"/>
    <w:rsid w:val="551A85C4"/>
    <w:rsid w:val="553FA4EA"/>
    <w:rsid w:val="55F9F4E1"/>
    <w:rsid w:val="5605D2E3"/>
    <w:rsid w:val="561D80B3"/>
    <w:rsid w:val="569748A5"/>
    <w:rsid w:val="56B177B9"/>
    <w:rsid w:val="57426EBC"/>
    <w:rsid w:val="576AB269"/>
    <w:rsid w:val="577B0CBA"/>
    <w:rsid w:val="5A20923E"/>
    <w:rsid w:val="5B5528D3"/>
    <w:rsid w:val="5BE5C753"/>
    <w:rsid w:val="5DD06217"/>
    <w:rsid w:val="5E5C26C3"/>
    <w:rsid w:val="5FC09A68"/>
    <w:rsid w:val="6006234D"/>
    <w:rsid w:val="60966A09"/>
    <w:rsid w:val="614EC87D"/>
    <w:rsid w:val="619CFEB7"/>
    <w:rsid w:val="6334D6A6"/>
    <w:rsid w:val="6354261B"/>
    <w:rsid w:val="63FB6DAB"/>
    <w:rsid w:val="64240039"/>
    <w:rsid w:val="6465196E"/>
    <w:rsid w:val="65B0465F"/>
    <w:rsid w:val="68911020"/>
    <w:rsid w:val="690F4220"/>
    <w:rsid w:val="699B0548"/>
    <w:rsid w:val="69DDD1ED"/>
    <w:rsid w:val="6B7499EE"/>
    <w:rsid w:val="6BB4D618"/>
    <w:rsid w:val="6C1847A1"/>
    <w:rsid w:val="6CD74AAB"/>
    <w:rsid w:val="6E9EBE7F"/>
    <w:rsid w:val="6F1E715F"/>
    <w:rsid w:val="6FC0362F"/>
    <w:rsid w:val="6FD7F7AC"/>
    <w:rsid w:val="70784AC1"/>
    <w:rsid w:val="70BF2A81"/>
    <w:rsid w:val="70F3C9EC"/>
    <w:rsid w:val="7113FB81"/>
    <w:rsid w:val="71A2F21D"/>
    <w:rsid w:val="728493CD"/>
    <w:rsid w:val="74219DB6"/>
    <w:rsid w:val="742B6AAE"/>
    <w:rsid w:val="74AEA774"/>
    <w:rsid w:val="74DA10DD"/>
    <w:rsid w:val="75E79E7A"/>
    <w:rsid w:val="7685F9F0"/>
    <w:rsid w:val="783B565A"/>
    <w:rsid w:val="785BA1F4"/>
    <w:rsid w:val="7955BFBC"/>
    <w:rsid w:val="7A6CD778"/>
    <w:rsid w:val="7ADA391A"/>
    <w:rsid w:val="7AEE343D"/>
    <w:rsid w:val="7AFB2902"/>
    <w:rsid w:val="7CA5FA1A"/>
    <w:rsid w:val="7D5366A2"/>
    <w:rsid w:val="7DA29B1F"/>
    <w:rsid w:val="7EDC5BB8"/>
    <w:rsid w:val="7F6A9EB9"/>
    <w:rsid w:val="7F9457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EDBA06CD-608B-4054-8A30-4D953C88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22"/>
    <w:pPr>
      <w:spacing w:after="100" w:line="264" w:lineRule="auto"/>
    </w:pPr>
    <w:rPr>
      <w:rFonts w:ascii="Arial" w:hAnsi="Arial"/>
    </w:rPr>
  </w:style>
  <w:style w:type="paragraph" w:styleId="Heading1">
    <w:name w:val="heading 1"/>
    <w:basedOn w:val="Normal"/>
    <w:next w:val="Normal"/>
    <w:link w:val="Heading1Char"/>
    <w:uiPriority w:val="9"/>
    <w:qFormat/>
    <w:rsid w:val="00D12938"/>
    <w:pPr>
      <w:keepNext/>
      <w:keepLines/>
      <w:spacing w:before="24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qFormat/>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D12938"/>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Tableheader">
    <w:name w:val="Table header"/>
    <w:basedOn w:val="Normal"/>
    <w:qFormat/>
    <w:rsid w:val="005C4E15"/>
    <w:pPr>
      <w:spacing w:before="120" w:after="120" w:line="240" w:lineRule="auto"/>
    </w:pPr>
    <w:rPr>
      <w:b/>
      <w:color w:val="FFFFFF" w:themeColor="background1"/>
      <w:lang w:val="en-US"/>
    </w:rPr>
  </w:style>
  <w:style w:type="paragraph" w:customStyle="1" w:styleId="Tablebodycopy">
    <w:name w:val="Table body copy"/>
    <w:basedOn w:val="Normal"/>
    <w:qFormat/>
    <w:rsid w:val="005C4E15"/>
    <w:pPr>
      <w:spacing w:before="120" w:after="120" w:line="240" w:lineRule="auto"/>
    </w:pPr>
    <w:rPr>
      <w:color w:val="000000" w:themeColor="text1"/>
      <w:lang w:val="en-US"/>
    </w:rPr>
  </w:style>
  <w:style w:type="paragraph" w:styleId="Revision">
    <w:name w:val="Revision"/>
    <w:hidden/>
    <w:uiPriority w:val="99"/>
    <w:semiHidden/>
    <w:rsid w:val="00207347"/>
    <w:pPr>
      <w:spacing w:after="0" w:line="240" w:lineRule="auto"/>
    </w:pPr>
    <w:rPr>
      <w:rFonts w:ascii="Arial" w:hAnsi="Arial"/>
    </w:rPr>
  </w:style>
  <w:style w:type="paragraph" w:customStyle="1" w:styleId="Calloutheader">
    <w:name w:val="Callout header"/>
    <w:next w:val="Normal"/>
    <w:qFormat/>
    <w:rsid w:val="00D61390"/>
    <w:pPr>
      <w:spacing w:before="120" w:after="240"/>
    </w:pPr>
    <w:rPr>
      <w:rFonts w:ascii="Arial" w:hAnsi="Arial"/>
      <w:b/>
      <w:sz w:val="24"/>
      <w:szCs w:val="24"/>
      <w:lang w:val="en-US"/>
    </w:rPr>
  </w:style>
  <w:style w:type="paragraph" w:customStyle="1" w:styleId="CaseStudyText">
    <w:name w:val="Case Study Text"/>
    <w:basedOn w:val="Normal"/>
    <w:uiPriority w:val="99"/>
    <w:qFormat/>
    <w:rsid w:val="00D61390"/>
    <w:pPr>
      <w:spacing w:before="120" w:after="240" w:line="240" w:lineRule="auto"/>
    </w:pPr>
    <w:rPr>
      <w:lang w:val="en-US"/>
    </w:rPr>
  </w:style>
  <w:style w:type="table" w:customStyle="1" w:styleId="Boxstyle">
    <w:name w:val="Box style"/>
    <w:basedOn w:val="TableNormal"/>
    <w:uiPriority w:val="99"/>
    <w:rsid w:val="00D61390"/>
    <w:pPr>
      <w:spacing w:after="0" w:line="240" w:lineRule="auto"/>
    </w:pPr>
    <w:tblPr>
      <w:tblBorders>
        <w:left w:val="double" w:sz="4" w:space="0" w:color="009D9A" w:themeColor="accent2"/>
      </w:tblBorders>
    </w:tblPr>
    <w:tcPr>
      <w:shd w:val="clear" w:color="auto" w:fill="F2F2F2" w:themeFill="background1" w:themeFillShade="F2"/>
    </w:tcPr>
  </w:style>
  <w:style w:type="paragraph" w:styleId="FootnoteText">
    <w:name w:val="footnote text"/>
    <w:basedOn w:val="Normal"/>
    <w:link w:val="FootnoteTextChar"/>
    <w:uiPriority w:val="99"/>
    <w:unhideWhenUsed/>
    <w:rsid w:val="00B77169"/>
    <w:pPr>
      <w:spacing w:after="0" w:line="240" w:lineRule="auto"/>
    </w:pPr>
    <w:rPr>
      <w:color w:val="000000" w:themeColor="text1"/>
      <w:sz w:val="20"/>
      <w:szCs w:val="20"/>
    </w:rPr>
  </w:style>
  <w:style w:type="character" w:customStyle="1" w:styleId="FootnoteTextChar">
    <w:name w:val="Footnote Text Char"/>
    <w:basedOn w:val="DefaultParagraphFont"/>
    <w:link w:val="FootnoteText"/>
    <w:uiPriority w:val="99"/>
    <w:rsid w:val="00B77169"/>
    <w:rPr>
      <w:rFonts w:ascii="Arial" w:hAnsi="Arial"/>
      <w:color w:val="000000" w:themeColor="text1"/>
      <w:sz w:val="20"/>
      <w:szCs w:val="20"/>
    </w:rPr>
  </w:style>
  <w:style w:type="character" w:styleId="FootnoteReference">
    <w:name w:val="footnote reference"/>
    <w:basedOn w:val="DefaultParagraphFont"/>
    <w:uiPriority w:val="99"/>
    <w:semiHidden/>
    <w:unhideWhenUsed/>
    <w:rsid w:val="00B77169"/>
    <w:rPr>
      <w:vertAlign w:val="superscript"/>
    </w:rPr>
  </w:style>
  <w:style w:type="character" w:styleId="Mention">
    <w:name w:val="Mention"/>
    <w:basedOn w:val="DefaultParagraphFont"/>
    <w:uiPriority w:val="99"/>
    <w:unhideWhenUsed/>
    <w:rsid w:val="00E37CBA"/>
    <w:rPr>
      <w:color w:val="2B579A"/>
      <w:shd w:val="clear" w:color="auto" w:fill="E1DFDD"/>
    </w:rPr>
  </w:style>
  <w:style w:type="character" w:styleId="FollowedHyperlink">
    <w:name w:val="FollowedHyperlink"/>
    <w:basedOn w:val="DefaultParagraphFont"/>
    <w:uiPriority w:val="99"/>
    <w:semiHidden/>
    <w:unhideWhenUsed/>
    <w:rsid w:val="00EB6857"/>
    <w:rPr>
      <w:color w:val="4B088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09969">
      <w:bodyDiv w:val="1"/>
      <w:marLeft w:val="0"/>
      <w:marRight w:val="0"/>
      <w:marTop w:val="0"/>
      <w:marBottom w:val="0"/>
      <w:divBdr>
        <w:top w:val="none" w:sz="0" w:space="0" w:color="auto"/>
        <w:left w:val="none" w:sz="0" w:space="0" w:color="auto"/>
        <w:bottom w:val="none" w:sz="0" w:space="0" w:color="auto"/>
        <w:right w:val="none" w:sz="0" w:space="0" w:color="auto"/>
      </w:divBdr>
    </w:div>
    <w:div w:id="32121346">
      <w:bodyDiv w:val="1"/>
      <w:marLeft w:val="0"/>
      <w:marRight w:val="0"/>
      <w:marTop w:val="0"/>
      <w:marBottom w:val="0"/>
      <w:divBdr>
        <w:top w:val="none" w:sz="0" w:space="0" w:color="auto"/>
        <w:left w:val="none" w:sz="0" w:space="0" w:color="auto"/>
        <w:bottom w:val="none" w:sz="0" w:space="0" w:color="auto"/>
        <w:right w:val="none" w:sz="0" w:space="0" w:color="auto"/>
      </w:divBdr>
    </w:div>
    <w:div w:id="36009302">
      <w:bodyDiv w:val="1"/>
      <w:marLeft w:val="0"/>
      <w:marRight w:val="0"/>
      <w:marTop w:val="0"/>
      <w:marBottom w:val="0"/>
      <w:divBdr>
        <w:top w:val="none" w:sz="0" w:space="0" w:color="auto"/>
        <w:left w:val="none" w:sz="0" w:space="0" w:color="auto"/>
        <w:bottom w:val="none" w:sz="0" w:space="0" w:color="auto"/>
        <w:right w:val="none" w:sz="0" w:space="0" w:color="auto"/>
      </w:divBdr>
    </w:div>
    <w:div w:id="83036793">
      <w:bodyDiv w:val="1"/>
      <w:marLeft w:val="0"/>
      <w:marRight w:val="0"/>
      <w:marTop w:val="0"/>
      <w:marBottom w:val="0"/>
      <w:divBdr>
        <w:top w:val="none" w:sz="0" w:space="0" w:color="auto"/>
        <w:left w:val="none" w:sz="0" w:space="0" w:color="auto"/>
        <w:bottom w:val="none" w:sz="0" w:space="0" w:color="auto"/>
        <w:right w:val="none" w:sz="0" w:space="0" w:color="auto"/>
      </w:divBdr>
    </w:div>
    <w:div w:id="83966312">
      <w:bodyDiv w:val="1"/>
      <w:marLeft w:val="0"/>
      <w:marRight w:val="0"/>
      <w:marTop w:val="0"/>
      <w:marBottom w:val="0"/>
      <w:divBdr>
        <w:top w:val="none" w:sz="0" w:space="0" w:color="auto"/>
        <w:left w:val="none" w:sz="0" w:space="0" w:color="auto"/>
        <w:bottom w:val="none" w:sz="0" w:space="0" w:color="auto"/>
        <w:right w:val="none" w:sz="0" w:space="0" w:color="auto"/>
      </w:divBdr>
    </w:div>
    <w:div w:id="90974994">
      <w:bodyDiv w:val="1"/>
      <w:marLeft w:val="0"/>
      <w:marRight w:val="0"/>
      <w:marTop w:val="0"/>
      <w:marBottom w:val="0"/>
      <w:divBdr>
        <w:top w:val="none" w:sz="0" w:space="0" w:color="auto"/>
        <w:left w:val="none" w:sz="0" w:space="0" w:color="auto"/>
        <w:bottom w:val="none" w:sz="0" w:space="0" w:color="auto"/>
        <w:right w:val="none" w:sz="0" w:space="0" w:color="auto"/>
      </w:divBdr>
    </w:div>
    <w:div w:id="110322395">
      <w:bodyDiv w:val="1"/>
      <w:marLeft w:val="0"/>
      <w:marRight w:val="0"/>
      <w:marTop w:val="0"/>
      <w:marBottom w:val="0"/>
      <w:divBdr>
        <w:top w:val="none" w:sz="0" w:space="0" w:color="auto"/>
        <w:left w:val="none" w:sz="0" w:space="0" w:color="auto"/>
        <w:bottom w:val="none" w:sz="0" w:space="0" w:color="auto"/>
        <w:right w:val="none" w:sz="0" w:space="0" w:color="auto"/>
      </w:divBdr>
    </w:div>
    <w:div w:id="121046202">
      <w:bodyDiv w:val="1"/>
      <w:marLeft w:val="0"/>
      <w:marRight w:val="0"/>
      <w:marTop w:val="0"/>
      <w:marBottom w:val="0"/>
      <w:divBdr>
        <w:top w:val="none" w:sz="0" w:space="0" w:color="auto"/>
        <w:left w:val="none" w:sz="0" w:space="0" w:color="auto"/>
        <w:bottom w:val="none" w:sz="0" w:space="0" w:color="auto"/>
        <w:right w:val="none" w:sz="0" w:space="0" w:color="auto"/>
      </w:divBdr>
    </w:div>
    <w:div w:id="128279848">
      <w:bodyDiv w:val="1"/>
      <w:marLeft w:val="0"/>
      <w:marRight w:val="0"/>
      <w:marTop w:val="0"/>
      <w:marBottom w:val="0"/>
      <w:divBdr>
        <w:top w:val="none" w:sz="0" w:space="0" w:color="auto"/>
        <w:left w:val="none" w:sz="0" w:space="0" w:color="auto"/>
        <w:bottom w:val="none" w:sz="0" w:space="0" w:color="auto"/>
        <w:right w:val="none" w:sz="0" w:space="0" w:color="auto"/>
      </w:divBdr>
    </w:div>
    <w:div w:id="138497420">
      <w:bodyDiv w:val="1"/>
      <w:marLeft w:val="0"/>
      <w:marRight w:val="0"/>
      <w:marTop w:val="0"/>
      <w:marBottom w:val="0"/>
      <w:divBdr>
        <w:top w:val="none" w:sz="0" w:space="0" w:color="auto"/>
        <w:left w:val="none" w:sz="0" w:space="0" w:color="auto"/>
        <w:bottom w:val="none" w:sz="0" w:space="0" w:color="auto"/>
        <w:right w:val="none" w:sz="0" w:space="0" w:color="auto"/>
      </w:divBdr>
    </w:div>
    <w:div w:id="167255825">
      <w:bodyDiv w:val="1"/>
      <w:marLeft w:val="0"/>
      <w:marRight w:val="0"/>
      <w:marTop w:val="0"/>
      <w:marBottom w:val="0"/>
      <w:divBdr>
        <w:top w:val="none" w:sz="0" w:space="0" w:color="auto"/>
        <w:left w:val="none" w:sz="0" w:space="0" w:color="auto"/>
        <w:bottom w:val="none" w:sz="0" w:space="0" w:color="auto"/>
        <w:right w:val="none" w:sz="0" w:space="0" w:color="auto"/>
      </w:divBdr>
    </w:div>
    <w:div w:id="187767469">
      <w:bodyDiv w:val="1"/>
      <w:marLeft w:val="0"/>
      <w:marRight w:val="0"/>
      <w:marTop w:val="0"/>
      <w:marBottom w:val="0"/>
      <w:divBdr>
        <w:top w:val="none" w:sz="0" w:space="0" w:color="auto"/>
        <w:left w:val="none" w:sz="0" w:space="0" w:color="auto"/>
        <w:bottom w:val="none" w:sz="0" w:space="0" w:color="auto"/>
        <w:right w:val="none" w:sz="0" w:space="0" w:color="auto"/>
      </w:divBdr>
    </w:div>
    <w:div w:id="210462506">
      <w:bodyDiv w:val="1"/>
      <w:marLeft w:val="0"/>
      <w:marRight w:val="0"/>
      <w:marTop w:val="0"/>
      <w:marBottom w:val="0"/>
      <w:divBdr>
        <w:top w:val="none" w:sz="0" w:space="0" w:color="auto"/>
        <w:left w:val="none" w:sz="0" w:space="0" w:color="auto"/>
        <w:bottom w:val="none" w:sz="0" w:space="0" w:color="auto"/>
        <w:right w:val="none" w:sz="0" w:space="0" w:color="auto"/>
      </w:divBdr>
    </w:div>
    <w:div w:id="228617082">
      <w:bodyDiv w:val="1"/>
      <w:marLeft w:val="0"/>
      <w:marRight w:val="0"/>
      <w:marTop w:val="0"/>
      <w:marBottom w:val="0"/>
      <w:divBdr>
        <w:top w:val="none" w:sz="0" w:space="0" w:color="auto"/>
        <w:left w:val="none" w:sz="0" w:space="0" w:color="auto"/>
        <w:bottom w:val="none" w:sz="0" w:space="0" w:color="auto"/>
        <w:right w:val="none" w:sz="0" w:space="0" w:color="auto"/>
      </w:divBdr>
    </w:div>
    <w:div w:id="236285196">
      <w:bodyDiv w:val="1"/>
      <w:marLeft w:val="0"/>
      <w:marRight w:val="0"/>
      <w:marTop w:val="0"/>
      <w:marBottom w:val="0"/>
      <w:divBdr>
        <w:top w:val="none" w:sz="0" w:space="0" w:color="auto"/>
        <w:left w:val="none" w:sz="0" w:space="0" w:color="auto"/>
        <w:bottom w:val="none" w:sz="0" w:space="0" w:color="auto"/>
        <w:right w:val="none" w:sz="0" w:space="0" w:color="auto"/>
      </w:divBdr>
    </w:div>
    <w:div w:id="237180582">
      <w:bodyDiv w:val="1"/>
      <w:marLeft w:val="0"/>
      <w:marRight w:val="0"/>
      <w:marTop w:val="0"/>
      <w:marBottom w:val="0"/>
      <w:divBdr>
        <w:top w:val="none" w:sz="0" w:space="0" w:color="auto"/>
        <w:left w:val="none" w:sz="0" w:space="0" w:color="auto"/>
        <w:bottom w:val="none" w:sz="0" w:space="0" w:color="auto"/>
        <w:right w:val="none" w:sz="0" w:space="0" w:color="auto"/>
      </w:divBdr>
    </w:div>
    <w:div w:id="257687853">
      <w:bodyDiv w:val="1"/>
      <w:marLeft w:val="0"/>
      <w:marRight w:val="0"/>
      <w:marTop w:val="0"/>
      <w:marBottom w:val="0"/>
      <w:divBdr>
        <w:top w:val="none" w:sz="0" w:space="0" w:color="auto"/>
        <w:left w:val="none" w:sz="0" w:space="0" w:color="auto"/>
        <w:bottom w:val="none" w:sz="0" w:space="0" w:color="auto"/>
        <w:right w:val="none" w:sz="0" w:space="0" w:color="auto"/>
      </w:divBdr>
    </w:div>
    <w:div w:id="266544948">
      <w:bodyDiv w:val="1"/>
      <w:marLeft w:val="0"/>
      <w:marRight w:val="0"/>
      <w:marTop w:val="0"/>
      <w:marBottom w:val="0"/>
      <w:divBdr>
        <w:top w:val="none" w:sz="0" w:space="0" w:color="auto"/>
        <w:left w:val="none" w:sz="0" w:space="0" w:color="auto"/>
        <w:bottom w:val="none" w:sz="0" w:space="0" w:color="auto"/>
        <w:right w:val="none" w:sz="0" w:space="0" w:color="auto"/>
      </w:divBdr>
    </w:div>
    <w:div w:id="270209624">
      <w:bodyDiv w:val="1"/>
      <w:marLeft w:val="0"/>
      <w:marRight w:val="0"/>
      <w:marTop w:val="0"/>
      <w:marBottom w:val="0"/>
      <w:divBdr>
        <w:top w:val="none" w:sz="0" w:space="0" w:color="auto"/>
        <w:left w:val="none" w:sz="0" w:space="0" w:color="auto"/>
        <w:bottom w:val="none" w:sz="0" w:space="0" w:color="auto"/>
        <w:right w:val="none" w:sz="0" w:space="0" w:color="auto"/>
      </w:divBdr>
    </w:div>
    <w:div w:id="299579162">
      <w:bodyDiv w:val="1"/>
      <w:marLeft w:val="0"/>
      <w:marRight w:val="0"/>
      <w:marTop w:val="0"/>
      <w:marBottom w:val="0"/>
      <w:divBdr>
        <w:top w:val="none" w:sz="0" w:space="0" w:color="auto"/>
        <w:left w:val="none" w:sz="0" w:space="0" w:color="auto"/>
        <w:bottom w:val="none" w:sz="0" w:space="0" w:color="auto"/>
        <w:right w:val="none" w:sz="0" w:space="0" w:color="auto"/>
      </w:divBdr>
    </w:div>
    <w:div w:id="309671424">
      <w:bodyDiv w:val="1"/>
      <w:marLeft w:val="0"/>
      <w:marRight w:val="0"/>
      <w:marTop w:val="0"/>
      <w:marBottom w:val="0"/>
      <w:divBdr>
        <w:top w:val="none" w:sz="0" w:space="0" w:color="auto"/>
        <w:left w:val="none" w:sz="0" w:space="0" w:color="auto"/>
        <w:bottom w:val="none" w:sz="0" w:space="0" w:color="auto"/>
        <w:right w:val="none" w:sz="0" w:space="0" w:color="auto"/>
      </w:divBdr>
    </w:div>
    <w:div w:id="318581572">
      <w:bodyDiv w:val="1"/>
      <w:marLeft w:val="0"/>
      <w:marRight w:val="0"/>
      <w:marTop w:val="0"/>
      <w:marBottom w:val="0"/>
      <w:divBdr>
        <w:top w:val="none" w:sz="0" w:space="0" w:color="auto"/>
        <w:left w:val="none" w:sz="0" w:space="0" w:color="auto"/>
        <w:bottom w:val="none" w:sz="0" w:space="0" w:color="auto"/>
        <w:right w:val="none" w:sz="0" w:space="0" w:color="auto"/>
      </w:divBdr>
    </w:div>
    <w:div w:id="319895695">
      <w:bodyDiv w:val="1"/>
      <w:marLeft w:val="0"/>
      <w:marRight w:val="0"/>
      <w:marTop w:val="0"/>
      <w:marBottom w:val="0"/>
      <w:divBdr>
        <w:top w:val="none" w:sz="0" w:space="0" w:color="auto"/>
        <w:left w:val="none" w:sz="0" w:space="0" w:color="auto"/>
        <w:bottom w:val="none" w:sz="0" w:space="0" w:color="auto"/>
        <w:right w:val="none" w:sz="0" w:space="0" w:color="auto"/>
      </w:divBdr>
      <w:divsChild>
        <w:div w:id="1618441918">
          <w:marLeft w:val="274"/>
          <w:marRight w:val="0"/>
          <w:marTop w:val="120"/>
          <w:marBottom w:val="120"/>
          <w:divBdr>
            <w:top w:val="none" w:sz="0" w:space="0" w:color="auto"/>
            <w:left w:val="none" w:sz="0" w:space="0" w:color="auto"/>
            <w:bottom w:val="none" w:sz="0" w:space="0" w:color="auto"/>
            <w:right w:val="none" w:sz="0" w:space="0" w:color="auto"/>
          </w:divBdr>
        </w:div>
      </w:divsChild>
    </w:div>
    <w:div w:id="323121524">
      <w:bodyDiv w:val="1"/>
      <w:marLeft w:val="0"/>
      <w:marRight w:val="0"/>
      <w:marTop w:val="0"/>
      <w:marBottom w:val="0"/>
      <w:divBdr>
        <w:top w:val="none" w:sz="0" w:space="0" w:color="auto"/>
        <w:left w:val="none" w:sz="0" w:space="0" w:color="auto"/>
        <w:bottom w:val="none" w:sz="0" w:space="0" w:color="auto"/>
        <w:right w:val="none" w:sz="0" w:space="0" w:color="auto"/>
      </w:divBdr>
    </w:div>
    <w:div w:id="339622711">
      <w:bodyDiv w:val="1"/>
      <w:marLeft w:val="0"/>
      <w:marRight w:val="0"/>
      <w:marTop w:val="0"/>
      <w:marBottom w:val="0"/>
      <w:divBdr>
        <w:top w:val="none" w:sz="0" w:space="0" w:color="auto"/>
        <w:left w:val="none" w:sz="0" w:space="0" w:color="auto"/>
        <w:bottom w:val="none" w:sz="0" w:space="0" w:color="auto"/>
        <w:right w:val="none" w:sz="0" w:space="0" w:color="auto"/>
      </w:divBdr>
    </w:div>
    <w:div w:id="342054163">
      <w:bodyDiv w:val="1"/>
      <w:marLeft w:val="0"/>
      <w:marRight w:val="0"/>
      <w:marTop w:val="0"/>
      <w:marBottom w:val="0"/>
      <w:divBdr>
        <w:top w:val="none" w:sz="0" w:space="0" w:color="auto"/>
        <w:left w:val="none" w:sz="0" w:space="0" w:color="auto"/>
        <w:bottom w:val="none" w:sz="0" w:space="0" w:color="auto"/>
        <w:right w:val="none" w:sz="0" w:space="0" w:color="auto"/>
      </w:divBdr>
    </w:div>
    <w:div w:id="381293762">
      <w:bodyDiv w:val="1"/>
      <w:marLeft w:val="0"/>
      <w:marRight w:val="0"/>
      <w:marTop w:val="0"/>
      <w:marBottom w:val="0"/>
      <w:divBdr>
        <w:top w:val="none" w:sz="0" w:space="0" w:color="auto"/>
        <w:left w:val="none" w:sz="0" w:space="0" w:color="auto"/>
        <w:bottom w:val="none" w:sz="0" w:space="0" w:color="auto"/>
        <w:right w:val="none" w:sz="0" w:space="0" w:color="auto"/>
      </w:divBdr>
    </w:div>
    <w:div w:id="416833278">
      <w:bodyDiv w:val="1"/>
      <w:marLeft w:val="0"/>
      <w:marRight w:val="0"/>
      <w:marTop w:val="0"/>
      <w:marBottom w:val="0"/>
      <w:divBdr>
        <w:top w:val="none" w:sz="0" w:space="0" w:color="auto"/>
        <w:left w:val="none" w:sz="0" w:space="0" w:color="auto"/>
        <w:bottom w:val="none" w:sz="0" w:space="0" w:color="auto"/>
        <w:right w:val="none" w:sz="0" w:space="0" w:color="auto"/>
      </w:divBdr>
    </w:div>
    <w:div w:id="431172481">
      <w:bodyDiv w:val="1"/>
      <w:marLeft w:val="0"/>
      <w:marRight w:val="0"/>
      <w:marTop w:val="0"/>
      <w:marBottom w:val="0"/>
      <w:divBdr>
        <w:top w:val="none" w:sz="0" w:space="0" w:color="auto"/>
        <w:left w:val="none" w:sz="0" w:space="0" w:color="auto"/>
        <w:bottom w:val="none" w:sz="0" w:space="0" w:color="auto"/>
        <w:right w:val="none" w:sz="0" w:space="0" w:color="auto"/>
      </w:divBdr>
    </w:div>
    <w:div w:id="437680887">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54297079">
      <w:bodyDiv w:val="1"/>
      <w:marLeft w:val="0"/>
      <w:marRight w:val="0"/>
      <w:marTop w:val="0"/>
      <w:marBottom w:val="0"/>
      <w:divBdr>
        <w:top w:val="none" w:sz="0" w:space="0" w:color="auto"/>
        <w:left w:val="none" w:sz="0" w:space="0" w:color="auto"/>
        <w:bottom w:val="none" w:sz="0" w:space="0" w:color="auto"/>
        <w:right w:val="none" w:sz="0" w:space="0" w:color="auto"/>
      </w:divBdr>
    </w:div>
    <w:div w:id="456921605">
      <w:bodyDiv w:val="1"/>
      <w:marLeft w:val="0"/>
      <w:marRight w:val="0"/>
      <w:marTop w:val="0"/>
      <w:marBottom w:val="0"/>
      <w:divBdr>
        <w:top w:val="none" w:sz="0" w:space="0" w:color="auto"/>
        <w:left w:val="none" w:sz="0" w:space="0" w:color="auto"/>
        <w:bottom w:val="none" w:sz="0" w:space="0" w:color="auto"/>
        <w:right w:val="none" w:sz="0" w:space="0" w:color="auto"/>
      </w:divBdr>
    </w:div>
    <w:div w:id="457341756">
      <w:bodyDiv w:val="1"/>
      <w:marLeft w:val="0"/>
      <w:marRight w:val="0"/>
      <w:marTop w:val="0"/>
      <w:marBottom w:val="0"/>
      <w:divBdr>
        <w:top w:val="none" w:sz="0" w:space="0" w:color="auto"/>
        <w:left w:val="none" w:sz="0" w:space="0" w:color="auto"/>
        <w:bottom w:val="none" w:sz="0" w:space="0" w:color="auto"/>
        <w:right w:val="none" w:sz="0" w:space="0" w:color="auto"/>
      </w:divBdr>
    </w:div>
    <w:div w:id="460463716">
      <w:bodyDiv w:val="1"/>
      <w:marLeft w:val="0"/>
      <w:marRight w:val="0"/>
      <w:marTop w:val="0"/>
      <w:marBottom w:val="0"/>
      <w:divBdr>
        <w:top w:val="none" w:sz="0" w:space="0" w:color="auto"/>
        <w:left w:val="none" w:sz="0" w:space="0" w:color="auto"/>
        <w:bottom w:val="none" w:sz="0" w:space="0" w:color="auto"/>
        <w:right w:val="none" w:sz="0" w:space="0" w:color="auto"/>
      </w:divBdr>
    </w:div>
    <w:div w:id="463960672">
      <w:bodyDiv w:val="1"/>
      <w:marLeft w:val="0"/>
      <w:marRight w:val="0"/>
      <w:marTop w:val="0"/>
      <w:marBottom w:val="0"/>
      <w:divBdr>
        <w:top w:val="none" w:sz="0" w:space="0" w:color="auto"/>
        <w:left w:val="none" w:sz="0" w:space="0" w:color="auto"/>
        <w:bottom w:val="none" w:sz="0" w:space="0" w:color="auto"/>
        <w:right w:val="none" w:sz="0" w:space="0" w:color="auto"/>
      </w:divBdr>
    </w:div>
    <w:div w:id="480123442">
      <w:bodyDiv w:val="1"/>
      <w:marLeft w:val="0"/>
      <w:marRight w:val="0"/>
      <w:marTop w:val="0"/>
      <w:marBottom w:val="0"/>
      <w:divBdr>
        <w:top w:val="none" w:sz="0" w:space="0" w:color="auto"/>
        <w:left w:val="none" w:sz="0" w:space="0" w:color="auto"/>
        <w:bottom w:val="none" w:sz="0" w:space="0" w:color="auto"/>
        <w:right w:val="none" w:sz="0" w:space="0" w:color="auto"/>
      </w:divBdr>
    </w:div>
    <w:div w:id="481165987">
      <w:bodyDiv w:val="1"/>
      <w:marLeft w:val="0"/>
      <w:marRight w:val="0"/>
      <w:marTop w:val="0"/>
      <w:marBottom w:val="0"/>
      <w:divBdr>
        <w:top w:val="none" w:sz="0" w:space="0" w:color="auto"/>
        <w:left w:val="none" w:sz="0" w:space="0" w:color="auto"/>
        <w:bottom w:val="none" w:sz="0" w:space="0" w:color="auto"/>
        <w:right w:val="none" w:sz="0" w:space="0" w:color="auto"/>
      </w:divBdr>
    </w:div>
    <w:div w:id="516237082">
      <w:bodyDiv w:val="1"/>
      <w:marLeft w:val="0"/>
      <w:marRight w:val="0"/>
      <w:marTop w:val="0"/>
      <w:marBottom w:val="0"/>
      <w:divBdr>
        <w:top w:val="none" w:sz="0" w:space="0" w:color="auto"/>
        <w:left w:val="none" w:sz="0" w:space="0" w:color="auto"/>
        <w:bottom w:val="none" w:sz="0" w:space="0" w:color="auto"/>
        <w:right w:val="none" w:sz="0" w:space="0" w:color="auto"/>
      </w:divBdr>
    </w:div>
    <w:div w:id="527840113">
      <w:bodyDiv w:val="1"/>
      <w:marLeft w:val="0"/>
      <w:marRight w:val="0"/>
      <w:marTop w:val="0"/>
      <w:marBottom w:val="0"/>
      <w:divBdr>
        <w:top w:val="none" w:sz="0" w:space="0" w:color="auto"/>
        <w:left w:val="none" w:sz="0" w:space="0" w:color="auto"/>
        <w:bottom w:val="none" w:sz="0" w:space="0" w:color="auto"/>
        <w:right w:val="none" w:sz="0" w:space="0" w:color="auto"/>
      </w:divBdr>
    </w:div>
    <w:div w:id="541093339">
      <w:bodyDiv w:val="1"/>
      <w:marLeft w:val="0"/>
      <w:marRight w:val="0"/>
      <w:marTop w:val="0"/>
      <w:marBottom w:val="0"/>
      <w:divBdr>
        <w:top w:val="none" w:sz="0" w:space="0" w:color="auto"/>
        <w:left w:val="none" w:sz="0" w:space="0" w:color="auto"/>
        <w:bottom w:val="none" w:sz="0" w:space="0" w:color="auto"/>
        <w:right w:val="none" w:sz="0" w:space="0" w:color="auto"/>
      </w:divBdr>
    </w:div>
    <w:div w:id="563565307">
      <w:bodyDiv w:val="1"/>
      <w:marLeft w:val="0"/>
      <w:marRight w:val="0"/>
      <w:marTop w:val="0"/>
      <w:marBottom w:val="0"/>
      <w:divBdr>
        <w:top w:val="none" w:sz="0" w:space="0" w:color="auto"/>
        <w:left w:val="none" w:sz="0" w:space="0" w:color="auto"/>
        <w:bottom w:val="none" w:sz="0" w:space="0" w:color="auto"/>
        <w:right w:val="none" w:sz="0" w:space="0" w:color="auto"/>
      </w:divBdr>
    </w:div>
    <w:div w:id="580220404">
      <w:bodyDiv w:val="1"/>
      <w:marLeft w:val="0"/>
      <w:marRight w:val="0"/>
      <w:marTop w:val="0"/>
      <w:marBottom w:val="0"/>
      <w:divBdr>
        <w:top w:val="none" w:sz="0" w:space="0" w:color="auto"/>
        <w:left w:val="none" w:sz="0" w:space="0" w:color="auto"/>
        <w:bottom w:val="none" w:sz="0" w:space="0" w:color="auto"/>
        <w:right w:val="none" w:sz="0" w:space="0" w:color="auto"/>
      </w:divBdr>
    </w:div>
    <w:div w:id="620109923">
      <w:bodyDiv w:val="1"/>
      <w:marLeft w:val="0"/>
      <w:marRight w:val="0"/>
      <w:marTop w:val="0"/>
      <w:marBottom w:val="0"/>
      <w:divBdr>
        <w:top w:val="none" w:sz="0" w:space="0" w:color="auto"/>
        <w:left w:val="none" w:sz="0" w:space="0" w:color="auto"/>
        <w:bottom w:val="none" w:sz="0" w:space="0" w:color="auto"/>
        <w:right w:val="none" w:sz="0" w:space="0" w:color="auto"/>
      </w:divBdr>
    </w:div>
    <w:div w:id="623999388">
      <w:bodyDiv w:val="1"/>
      <w:marLeft w:val="0"/>
      <w:marRight w:val="0"/>
      <w:marTop w:val="0"/>
      <w:marBottom w:val="0"/>
      <w:divBdr>
        <w:top w:val="none" w:sz="0" w:space="0" w:color="auto"/>
        <w:left w:val="none" w:sz="0" w:space="0" w:color="auto"/>
        <w:bottom w:val="none" w:sz="0" w:space="0" w:color="auto"/>
        <w:right w:val="none" w:sz="0" w:space="0" w:color="auto"/>
      </w:divBdr>
    </w:div>
    <w:div w:id="624655656">
      <w:bodyDiv w:val="1"/>
      <w:marLeft w:val="0"/>
      <w:marRight w:val="0"/>
      <w:marTop w:val="0"/>
      <w:marBottom w:val="0"/>
      <w:divBdr>
        <w:top w:val="none" w:sz="0" w:space="0" w:color="auto"/>
        <w:left w:val="none" w:sz="0" w:space="0" w:color="auto"/>
        <w:bottom w:val="none" w:sz="0" w:space="0" w:color="auto"/>
        <w:right w:val="none" w:sz="0" w:space="0" w:color="auto"/>
      </w:divBdr>
    </w:div>
    <w:div w:id="626786613">
      <w:bodyDiv w:val="1"/>
      <w:marLeft w:val="0"/>
      <w:marRight w:val="0"/>
      <w:marTop w:val="0"/>
      <w:marBottom w:val="0"/>
      <w:divBdr>
        <w:top w:val="none" w:sz="0" w:space="0" w:color="auto"/>
        <w:left w:val="none" w:sz="0" w:space="0" w:color="auto"/>
        <w:bottom w:val="none" w:sz="0" w:space="0" w:color="auto"/>
        <w:right w:val="none" w:sz="0" w:space="0" w:color="auto"/>
      </w:divBdr>
    </w:div>
    <w:div w:id="626817965">
      <w:bodyDiv w:val="1"/>
      <w:marLeft w:val="0"/>
      <w:marRight w:val="0"/>
      <w:marTop w:val="0"/>
      <w:marBottom w:val="0"/>
      <w:divBdr>
        <w:top w:val="none" w:sz="0" w:space="0" w:color="auto"/>
        <w:left w:val="none" w:sz="0" w:space="0" w:color="auto"/>
        <w:bottom w:val="none" w:sz="0" w:space="0" w:color="auto"/>
        <w:right w:val="none" w:sz="0" w:space="0" w:color="auto"/>
      </w:divBdr>
    </w:div>
    <w:div w:id="636300613">
      <w:bodyDiv w:val="1"/>
      <w:marLeft w:val="0"/>
      <w:marRight w:val="0"/>
      <w:marTop w:val="0"/>
      <w:marBottom w:val="0"/>
      <w:divBdr>
        <w:top w:val="none" w:sz="0" w:space="0" w:color="auto"/>
        <w:left w:val="none" w:sz="0" w:space="0" w:color="auto"/>
        <w:bottom w:val="none" w:sz="0" w:space="0" w:color="auto"/>
        <w:right w:val="none" w:sz="0" w:space="0" w:color="auto"/>
      </w:divBdr>
    </w:div>
    <w:div w:id="651106092">
      <w:bodyDiv w:val="1"/>
      <w:marLeft w:val="0"/>
      <w:marRight w:val="0"/>
      <w:marTop w:val="0"/>
      <w:marBottom w:val="0"/>
      <w:divBdr>
        <w:top w:val="none" w:sz="0" w:space="0" w:color="auto"/>
        <w:left w:val="none" w:sz="0" w:space="0" w:color="auto"/>
        <w:bottom w:val="none" w:sz="0" w:space="0" w:color="auto"/>
        <w:right w:val="none" w:sz="0" w:space="0" w:color="auto"/>
      </w:divBdr>
    </w:div>
    <w:div w:id="653878037">
      <w:bodyDiv w:val="1"/>
      <w:marLeft w:val="0"/>
      <w:marRight w:val="0"/>
      <w:marTop w:val="0"/>
      <w:marBottom w:val="0"/>
      <w:divBdr>
        <w:top w:val="none" w:sz="0" w:space="0" w:color="auto"/>
        <w:left w:val="none" w:sz="0" w:space="0" w:color="auto"/>
        <w:bottom w:val="none" w:sz="0" w:space="0" w:color="auto"/>
        <w:right w:val="none" w:sz="0" w:space="0" w:color="auto"/>
      </w:divBdr>
    </w:div>
    <w:div w:id="664088520">
      <w:bodyDiv w:val="1"/>
      <w:marLeft w:val="0"/>
      <w:marRight w:val="0"/>
      <w:marTop w:val="0"/>
      <w:marBottom w:val="0"/>
      <w:divBdr>
        <w:top w:val="none" w:sz="0" w:space="0" w:color="auto"/>
        <w:left w:val="none" w:sz="0" w:space="0" w:color="auto"/>
        <w:bottom w:val="none" w:sz="0" w:space="0" w:color="auto"/>
        <w:right w:val="none" w:sz="0" w:space="0" w:color="auto"/>
      </w:divBdr>
    </w:div>
    <w:div w:id="665783389">
      <w:bodyDiv w:val="1"/>
      <w:marLeft w:val="0"/>
      <w:marRight w:val="0"/>
      <w:marTop w:val="0"/>
      <w:marBottom w:val="0"/>
      <w:divBdr>
        <w:top w:val="none" w:sz="0" w:space="0" w:color="auto"/>
        <w:left w:val="none" w:sz="0" w:space="0" w:color="auto"/>
        <w:bottom w:val="none" w:sz="0" w:space="0" w:color="auto"/>
        <w:right w:val="none" w:sz="0" w:space="0" w:color="auto"/>
      </w:divBdr>
    </w:div>
    <w:div w:id="679936791">
      <w:bodyDiv w:val="1"/>
      <w:marLeft w:val="0"/>
      <w:marRight w:val="0"/>
      <w:marTop w:val="0"/>
      <w:marBottom w:val="0"/>
      <w:divBdr>
        <w:top w:val="none" w:sz="0" w:space="0" w:color="auto"/>
        <w:left w:val="none" w:sz="0" w:space="0" w:color="auto"/>
        <w:bottom w:val="none" w:sz="0" w:space="0" w:color="auto"/>
        <w:right w:val="none" w:sz="0" w:space="0" w:color="auto"/>
      </w:divBdr>
    </w:div>
    <w:div w:id="687145786">
      <w:bodyDiv w:val="1"/>
      <w:marLeft w:val="0"/>
      <w:marRight w:val="0"/>
      <w:marTop w:val="0"/>
      <w:marBottom w:val="0"/>
      <w:divBdr>
        <w:top w:val="none" w:sz="0" w:space="0" w:color="auto"/>
        <w:left w:val="none" w:sz="0" w:space="0" w:color="auto"/>
        <w:bottom w:val="none" w:sz="0" w:space="0" w:color="auto"/>
        <w:right w:val="none" w:sz="0" w:space="0" w:color="auto"/>
      </w:divBdr>
    </w:div>
    <w:div w:id="689725772">
      <w:bodyDiv w:val="1"/>
      <w:marLeft w:val="0"/>
      <w:marRight w:val="0"/>
      <w:marTop w:val="0"/>
      <w:marBottom w:val="0"/>
      <w:divBdr>
        <w:top w:val="none" w:sz="0" w:space="0" w:color="auto"/>
        <w:left w:val="none" w:sz="0" w:space="0" w:color="auto"/>
        <w:bottom w:val="none" w:sz="0" w:space="0" w:color="auto"/>
        <w:right w:val="none" w:sz="0" w:space="0" w:color="auto"/>
      </w:divBdr>
    </w:div>
    <w:div w:id="725835751">
      <w:bodyDiv w:val="1"/>
      <w:marLeft w:val="0"/>
      <w:marRight w:val="0"/>
      <w:marTop w:val="0"/>
      <w:marBottom w:val="0"/>
      <w:divBdr>
        <w:top w:val="none" w:sz="0" w:space="0" w:color="auto"/>
        <w:left w:val="none" w:sz="0" w:space="0" w:color="auto"/>
        <w:bottom w:val="none" w:sz="0" w:space="0" w:color="auto"/>
        <w:right w:val="none" w:sz="0" w:space="0" w:color="auto"/>
      </w:divBdr>
    </w:div>
    <w:div w:id="781149923">
      <w:bodyDiv w:val="1"/>
      <w:marLeft w:val="0"/>
      <w:marRight w:val="0"/>
      <w:marTop w:val="0"/>
      <w:marBottom w:val="0"/>
      <w:divBdr>
        <w:top w:val="none" w:sz="0" w:space="0" w:color="auto"/>
        <w:left w:val="none" w:sz="0" w:space="0" w:color="auto"/>
        <w:bottom w:val="none" w:sz="0" w:space="0" w:color="auto"/>
        <w:right w:val="none" w:sz="0" w:space="0" w:color="auto"/>
      </w:divBdr>
    </w:div>
    <w:div w:id="796677280">
      <w:bodyDiv w:val="1"/>
      <w:marLeft w:val="0"/>
      <w:marRight w:val="0"/>
      <w:marTop w:val="0"/>
      <w:marBottom w:val="0"/>
      <w:divBdr>
        <w:top w:val="none" w:sz="0" w:space="0" w:color="auto"/>
        <w:left w:val="none" w:sz="0" w:space="0" w:color="auto"/>
        <w:bottom w:val="none" w:sz="0" w:space="0" w:color="auto"/>
        <w:right w:val="none" w:sz="0" w:space="0" w:color="auto"/>
      </w:divBdr>
    </w:div>
    <w:div w:id="823281191">
      <w:bodyDiv w:val="1"/>
      <w:marLeft w:val="0"/>
      <w:marRight w:val="0"/>
      <w:marTop w:val="0"/>
      <w:marBottom w:val="0"/>
      <w:divBdr>
        <w:top w:val="none" w:sz="0" w:space="0" w:color="auto"/>
        <w:left w:val="none" w:sz="0" w:space="0" w:color="auto"/>
        <w:bottom w:val="none" w:sz="0" w:space="0" w:color="auto"/>
        <w:right w:val="none" w:sz="0" w:space="0" w:color="auto"/>
      </w:divBdr>
    </w:div>
    <w:div w:id="823621687">
      <w:bodyDiv w:val="1"/>
      <w:marLeft w:val="0"/>
      <w:marRight w:val="0"/>
      <w:marTop w:val="0"/>
      <w:marBottom w:val="0"/>
      <w:divBdr>
        <w:top w:val="none" w:sz="0" w:space="0" w:color="auto"/>
        <w:left w:val="none" w:sz="0" w:space="0" w:color="auto"/>
        <w:bottom w:val="none" w:sz="0" w:space="0" w:color="auto"/>
        <w:right w:val="none" w:sz="0" w:space="0" w:color="auto"/>
      </w:divBdr>
    </w:div>
    <w:div w:id="834608305">
      <w:bodyDiv w:val="1"/>
      <w:marLeft w:val="0"/>
      <w:marRight w:val="0"/>
      <w:marTop w:val="0"/>
      <w:marBottom w:val="0"/>
      <w:divBdr>
        <w:top w:val="none" w:sz="0" w:space="0" w:color="auto"/>
        <w:left w:val="none" w:sz="0" w:space="0" w:color="auto"/>
        <w:bottom w:val="none" w:sz="0" w:space="0" w:color="auto"/>
        <w:right w:val="none" w:sz="0" w:space="0" w:color="auto"/>
      </w:divBdr>
    </w:div>
    <w:div w:id="836920436">
      <w:bodyDiv w:val="1"/>
      <w:marLeft w:val="0"/>
      <w:marRight w:val="0"/>
      <w:marTop w:val="0"/>
      <w:marBottom w:val="0"/>
      <w:divBdr>
        <w:top w:val="none" w:sz="0" w:space="0" w:color="auto"/>
        <w:left w:val="none" w:sz="0" w:space="0" w:color="auto"/>
        <w:bottom w:val="none" w:sz="0" w:space="0" w:color="auto"/>
        <w:right w:val="none" w:sz="0" w:space="0" w:color="auto"/>
      </w:divBdr>
    </w:div>
    <w:div w:id="839202663">
      <w:bodyDiv w:val="1"/>
      <w:marLeft w:val="0"/>
      <w:marRight w:val="0"/>
      <w:marTop w:val="0"/>
      <w:marBottom w:val="0"/>
      <w:divBdr>
        <w:top w:val="none" w:sz="0" w:space="0" w:color="auto"/>
        <w:left w:val="none" w:sz="0" w:space="0" w:color="auto"/>
        <w:bottom w:val="none" w:sz="0" w:space="0" w:color="auto"/>
        <w:right w:val="none" w:sz="0" w:space="0" w:color="auto"/>
      </w:divBdr>
    </w:div>
    <w:div w:id="845555532">
      <w:bodyDiv w:val="1"/>
      <w:marLeft w:val="0"/>
      <w:marRight w:val="0"/>
      <w:marTop w:val="0"/>
      <w:marBottom w:val="0"/>
      <w:divBdr>
        <w:top w:val="none" w:sz="0" w:space="0" w:color="auto"/>
        <w:left w:val="none" w:sz="0" w:space="0" w:color="auto"/>
        <w:bottom w:val="none" w:sz="0" w:space="0" w:color="auto"/>
        <w:right w:val="none" w:sz="0" w:space="0" w:color="auto"/>
      </w:divBdr>
    </w:div>
    <w:div w:id="862936467">
      <w:bodyDiv w:val="1"/>
      <w:marLeft w:val="0"/>
      <w:marRight w:val="0"/>
      <w:marTop w:val="0"/>
      <w:marBottom w:val="0"/>
      <w:divBdr>
        <w:top w:val="none" w:sz="0" w:space="0" w:color="auto"/>
        <w:left w:val="none" w:sz="0" w:space="0" w:color="auto"/>
        <w:bottom w:val="none" w:sz="0" w:space="0" w:color="auto"/>
        <w:right w:val="none" w:sz="0" w:space="0" w:color="auto"/>
      </w:divBdr>
    </w:div>
    <w:div w:id="924991284">
      <w:bodyDiv w:val="1"/>
      <w:marLeft w:val="0"/>
      <w:marRight w:val="0"/>
      <w:marTop w:val="0"/>
      <w:marBottom w:val="0"/>
      <w:divBdr>
        <w:top w:val="none" w:sz="0" w:space="0" w:color="auto"/>
        <w:left w:val="none" w:sz="0" w:space="0" w:color="auto"/>
        <w:bottom w:val="none" w:sz="0" w:space="0" w:color="auto"/>
        <w:right w:val="none" w:sz="0" w:space="0" w:color="auto"/>
      </w:divBdr>
    </w:div>
    <w:div w:id="936406088">
      <w:bodyDiv w:val="1"/>
      <w:marLeft w:val="0"/>
      <w:marRight w:val="0"/>
      <w:marTop w:val="0"/>
      <w:marBottom w:val="0"/>
      <w:divBdr>
        <w:top w:val="none" w:sz="0" w:space="0" w:color="auto"/>
        <w:left w:val="none" w:sz="0" w:space="0" w:color="auto"/>
        <w:bottom w:val="none" w:sz="0" w:space="0" w:color="auto"/>
        <w:right w:val="none" w:sz="0" w:space="0" w:color="auto"/>
      </w:divBdr>
    </w:div>
    <w:div w:id="996764292">
      <w:bodyDiv w:val="1"/>
      <w:marLeft w:val="0"/>
      <w:marRight w:val="0"/>
      <w:marTop w:val="0"/>
      <w:marBottom w:val="0"/>
      <w:divBdr>
        <w:top w:val="none" w:sz="0" w:space="0" w:color="auto"/>
        <w:left w:val="none" w:sz="0" w:space="0" w:color="auto"/>
        <w:bottom w:val="none" w:sz="0" w:space="0" w:color="auto"/>
        <w:right w:val="none" w:sz="0" w:space="0" w:color="auto"/>
      </w:divBdr>
    </w:div>
    <w:div w:id="997028253">
      <w:bodyDiv w:val="1"/>
      <w:marLeft w:val="0"/>
      <w:marRight w:val="0"/>
      <w:marTop w:val="0"/>
      <w:marBottom w:val="0"/>
      <w:divBdr>
        <w:top w:val="none" w:sz="0" w:space="0" w:color="auto"/>
        <w:left w:val="none" w:sz="0" w:space="0" w:color="auto"/>
        <w:bottom w:val="none" w:sz="0" w:space="0" w:color="auto"/>
        <w:right w:val="none" w:sz="0" w:space="0" w:color="auto"/>
      </w:divBdr>
    </w:div>
    <w:div w:id="1002510019">
      <w:bodyDiv w:val="1"/>
      <w:marLeft w:val="0"/>
      <w:marRight w:val="0"/>
      <w:marTop w:val="0"/>
      <w:marBottom w:val="0"/>
      <w:divBdr>
        <w:top w:val="none" w:sz="0" w:space="0" w:color="auto"/>
        <w:left w:val="none" w:sz="0" w:space="0" w:color="auto"/>
        <w:bottom w:val="none" w:sz="0" w:space="0" w:color="auto"/>
        <w:right w:val="none" w:sz="0" w:space="0" w:color="auto"/>
      </w:divBdr>
    </w:div>
    <w:div w:id="1007446902">
      <w:bodyDiv w:val="1"/>
      <w:marLeft w:val="0"/>
      <w:marRight w:val="0"/>
      <w:marTop w:val="0"/>
      <w:marBottom w:val="0"/>
      <w:divBdr>
        <w:top w:val="none" w:sz="0" w:space="0" w:color="auto"/>
        <w:left w:val="none" w:sz="0" w:space="0" w:color="auto"/>
        <w:bottom w:val="none" w:sz="0" w:space="0" w:color="auto"/>
        <w:right w:val="none" w:sz="0" w:space="0" w:color="auto"/>
      </w:divBdr>
    </w:div>
    <w:div w:id="1013266136">
      <w:bodyDiv w:val="1"/>
      <w:marLeft w:val="0"/>
      <w:marRight w:val="0"/>
      <w:marTop w:val="0"/>
      <w:marBottom w:val="0"/>
      <w:divBdr>
        <w:top w:val="none" w:sz="0" w:space="0" w:color="auto"/>
        <w:left w:val="none" w:sz="0" w:space="0" w:color="auto"/>
        <w:bottom w:val="none" w:sz="0" w:space="0" w:color="auto"/>
        <w:right w:val="none" w:sz="0" w:space="0" w:color="auto"/>
      </w:divBdr>
    </w:div>
    <w:div w:id="1014922793">
      <w:bodyDiv w:val="1"/>
      <w:marLeft w:val="0"/>
      <w:marRight w:val="0"/>
      <w:marTop w:val="0"/>
      <w:marBottom w:val="0"/>
      <w:divBdr>
        <w:top w:val="none" w:sz="0" w:space="0" w:color="auto"/>
        <w:left w:val="none" w:sz="0" w:space="0" w:color="auto"/>
        <w:bottom w:val="none" w:sz="0" w:space="0" w:color="auto"/>
        <w:right w:val="none" w:sz="0" w:space="0" w:color="auto"/>
      </w:divBdr>
    </w:div>
    <w:div w:id="1077098473">
      <w:bodyDiv w:val="1"/>
      <w:marLeft w:val="0"/>
      <w:marRight w:val="0"/>
      <w:marTop w:val="0"/>
      <w:marBottom w:val="0"/>
      <w:divBdr>
        <w:top w:val="none" w:sz="0" w:space="0" w:color="auto"/>
        <w:left w:val="none" w:sz="0" w:space="0" w:color="auto"/>
        <w:bottom w:val="none" w:sz="0" w:space="0" w:color="auto"/>
        <w:right w:val="none" w:sz="0" w:space="0" w:color="auto"/>
      </w:divBdr>
    </w:div>
    <w:div w:id="1100874900">
      <w:bodyDiv w:val="1"/>
      <w:marLeft w:val="0"/>
      <w:marRight w:val="0"/>
      <w:marTop w:val="0"/>
      <w:marBottom w:val="0"/>
      <w:divBdr>
        <w:top w:val="none" w:sz="0" w:space="0" w:color="auto"/>
        <w:left w:val="none" w:sz="0" w:space="0" w:color="auto"/>
        <w:bottom w:val="none" w:sz="0" w:space="0" w:color="auto"/>
        <w:right w:val="none" w:sz="0" w:space="0" w:color="auto"/>
      </w:divBdr>
    </w:div>
    <w:div w:id="1112894289">
      <w:bodyDiv w:val="1"/>
      <w:marLeft w:val="0"/>
      <w:marRight w:val="0"/>
      <w:marTop w:val="0"/>
      <w:marBottom w:val="0"/>
      <w:divBdr>
        <w:top w:val="none" w:sz="0" w:space="0" w:color="auto"/>
        <w:left w:val="none" w:sz="0" w:space="0" w:color="auto"/>
        <w:bottom w:val="none" w:sz="0" w:space="0" w:color="auto"/>
        <w:right w:val="none" w:sz="0" w:space="0" w:color="auto"/>
      </w:divBdr>
    </w:div>
    <w:div w:id="1122262312">
      <w:bodyDiv w:val="1"/>
      <w:marLeft w:val="0"/>
      <w:marRight w:val="0"/>
      <w:marTop w:val="0"/>
      <w:marBottom w:val="0"/>
      <w:divBdr>
        <w:top w:val="none" w:sz="0" w:space="0" w:color="auto"/>
        <w:left w:val="none" w:sz="0" w:space="0" w:color="auto"/>
        <w:bottom w:val="none" w:sz="0" w:space="0" w:color="auto"/>
        <w:right w:val="none" w:sz="0" w:space="0" w:color="auto"/>
      </w:divBdr>
    </w:div>
    <w:div w:id="1141844658">
      <w:bodyDiv w:val="1"/>
      <w:marLeft w:val="0"/>
      <w:marRight w:val="0"/>
      <w:marTop w:val="0"/>
      <w:marBottom w:val="0"/>
      <w:divBdr>
        <w:top w:val="none" w:sz="0" w:space="0" w:color="auto"/>
        <w:left w:val="none" w:sz="0" w:space="0" w:color="auto"/>
        <w:bottom w:val="none" w:sz="0" w:space="0" w:color="auto"/>
        <w:right w:val="none" w:sz="0" w:space="0" w:color="auto"/>
      </w:divBdr>
    </w:div>
    <w:div w:id="1148277948">
      <w:bodyDiv w:val="1"/>
      <w:marLeft w:val="0"/>
      <w:marRight w:val="0"/>
      <w:marTop w:val="0"/>
      <w:marBottom w:val="0"/>
      <w:divBdr>
        <w:top w:val="none" w:sz="0" w:space="0" w:color="auto"/>
        <w:left w:val="none" w:sz="0" w:space="0" w:color="auto"/>
        <w:bottom w:val="none" w:sz="0" w:space="0" w:color="auto"/>
        <w:right w:val="none" w:sz="0" w:space="0" w:color="auto"/>
      </w:divBdr>
    </w:div>
    <w:div w:id="1155950416">
      <w:bodyDiv w:val="1"/>
      <w:marLeft w:val="0"/>
      <w:marRight w:val="0"/>
      <w:marTop w:val="0"/>
      <w:marBottom w:val="0"/>
      <w:divBdr>
        <w:top w:val="none" w:sz="0" w:space="0" w:color="auto"/>
        <w:left w:val="none" w:sz="0" w:space="0" w:color="auto"/>
        <w:bottom w:val="none" w:sz="0" w:space="0" w:color="auto"/>
        <w:right w:val="none" w:sz="0" w:space="0" w:color="auto"/>
      </w:divBdr>
    </w:div>
    <w:div w:id="1157183389">
      <w:bodyDiv w:val="1"/>
      <w:marLeft w:val="0"/>
      <w:marRight w:val="0"/>
      <w:marTop w:val="0"/>
      <w:marBottom w:val="0"/>
      <w:divBdr>
        <w:top w:val="none" w:sz="0" w:space="0" w:color="auto"/>
        <w:left w:val="none" w:sz="0" w:space="0" w:color="auto"/>
        <w:bottom w:val="none" w:sz="0" w:space="0" w:color="auto"/>
        <w:right w:val="none" w:sz="0" w:space="0" w:color="auto"/>
      </w:divBdr>
    </w:div>
    <w:div w:id="1180051245">
      <w:bodyDiv w:val="1"/>
      <w:marLeft w:val="0"/>
      <w:marRight w:val="0"/>
      <w:marTop w:val="0"/>
      <w:marBottom w:val="0"/>
      <w:divBdr>
        <w:top w:val="none" w:sz="0" w:space="0" w:color="auto"/>
        <w:left w:val="none" w:sz="0" w:space="0" w:color="auto"/>
        <w:bottom w:val="none" w:sz="0" w:space="0" w:color="auto"/>
        <w:right w:val="none" w:sz="0" w:space="0" w:color="auto"/>
      </w:divBdr>
    </w:div>
    <w:div w:id="1197540792">
      <w:bodyDiv w:val="1"/>
      <w:marLeft w:val="0"/>
      <w:marRight w:val="0"/>
      <w:marTop w:val="0"/>
      <w:marBottom w:val="0"/>
      <w:divBdr>
        <w:top w:val="none" w:sz="0" w:space="0" w:color="auto"/>
        <w:left w:val="none" w:sz="0" w:space="0" w:color="auto"/>
        <w:bottom w:val="none" w:sz="0" w:space="0" w:color="auto"/>
        <w:right w:val="none" w:sz="0" w:space="0" w:color="auto"/>
      </w:divBdr>
    </w:div>
    <w:div w:id="1230113922">
      <w:bodyDiv w:val="1"/>
      <w:marLeft w:val="0"/>
      <w:marRight w:val="0"/>
      <w:marTop w:val="0"/>
      <w:marBottom w:val="0"/>
      <w:divBdr>
        <w:top w:val="none" w:sz="0" w:space="0" w:color="auto"/>
        <w:left w:val="none" w:sz="0" w:space="0" w:color="auto"/>
        <w:bottom w:val="none" w:sz="0" w:space="0" w:color="auto"/>
        <w:right w:val="none" w:sz="0" w:space="0" w:color="auto"/>
      </w:divBdr>
    </w:div>
    <w:div w:id="1257404934">
      <w:bodyDiv w:val="1"/>
      <w:marLeft w:val="0"/>
      <w:marRight w:val="0"/>
      <w:marTop w:val="0"/>
      <w:marBottom w:val="0"/>
      <w:divBdr>
        <w:top w:val="none" w:sz="0" w:space="0" w:color="auto"/>
        <w:left w:val="none" w:sz="0" w:space="0" w:color="auto"/>
        <w:bottom w:val="none" w:sz="0" w:space="0" w:color="auto"/>
        <w:right w:val="none" w:sz="0" w:space="0" w:color="auto"/>
      </w:divBdr>
    </w:div>
    <w:div w:id="1265069667">
      <w:bodyDiv w:val="1"/>
      <w:marLeft w:val="0"/>
      <w:marRight w:val="0"/>
      <w:marTop w:val="0"/>
      <w:marBottom w:val="0"/>
      <w:divBdr>
        <w:top w:val="none" w:sz="0" w:space="0" w:color="auto"/>
        <w:left w:val="none" w:sz="0" w:space="0" w:color="auto"/>
        <w:bottom w:val="none" w:sz="0" w:space="0" w:color="auto"/>
        <w:right w:val="none" w:sz="0" w:space="0" w:color="auto"/>
      </w:divBdr>
    </w:div>
    <w:div w:id="1269586224">
      <w:bodyDiv w:val="1"/>
      <w:marLeft w:val="0"/>
      <w:marRight w:val="0"/>
      <w:marTop w:val="0"/>
      <w:marBottom w:val="0"/>
      <w:divBdr>
        <w:top w:val="none" w:sz="0" w:space="0" w:color="auto"/>
        <w:left w:val="none" w:sz="0" w:space="0" w:color="auto"/>
        <w:bottom w:val="none" w:sz="0" w:space="0" w:color="auto"/>
        <w:right w:val="none" w:sz="0" w:space="0" w:color="auto"/>
      </w:divBdr>
    </w:div>
    <w:div w:id="1283149407">
      <w:bodyDiv w:val="1"/>
      <w:marLeft w:val="0"/>
      <w:marRight w:val="0"/>
      <w:marTop w:val="0"/>
      <w:marBottom w:val="0"/>
      <w:divBdr>
        <w:top w:val="none" w:sz="0" w:space="0" w:color="auto"/>
        <w:left w:val="none" w:sz="0" w:space="0" w:color="auto"/>
        <w:bottom w:val="none" w:sz="0" w:space="0" w:color="auto"/>
        <w:right w:val="none" w:sz="0" w:space="0" w:color="auto"/>
      </w:divBdr>
    </w:div>
    <w:div w:id="1286698141">
      <w:bodyDiv w:val="1"/>
      <w:marLeft w:val="0"/>
      <w:marRight w:val="0"/>
      <w:marTop w:val="0"/>
      <w:marBottom w:val="0"/>
      <w:divBdr>
        <w:top w:val="none" w:sz="0" w:space="0" w:color="auto"/>
        <w:left w:val="none" w:sz="0" w:space="0" w:color="auto"/>
        <w:bottom w:val="none" w:sz="0" w:space="0" w:color="auto"/>
        <w:right w:val="none" w:sz="0" w:space="0" w:color="auto"/>
      </w:divBdr>
    </w:div>
    <w:div w:id="1287085088">
      <w:bodyDiv w:val="1"/>
      <w:marLeft w:val="0"/>
      <w:marRight w:val="0"/>
      <w:marTop w:val="0"/>
      <w:marBottom w:val="0"/>
      <w:divBdr>
        <w:top w:val="none" w:sz="0" w:space="0" w:color="auto"/>
        <w:left w:val="none" w:sz="0" w:space="0" w:color="auto"/>
        <w:bottom w:val="none" w:sz="0" w:space="0" w:color="auto"/>
        <w:right w:val="none" w:sz="0" w:space="0" w:color="auto"/>
      </w:divBdr>
    </w:div>
    <w:div w:id="1367831723">
      <w:bodyDiv w:val="1"/>
      <w:marLeft w:val="0"/>
      <w:marRight w:val="0"/>
      <w:marTop w:val="0"/>
      <w:marBottom w:val="0"/>
      <w:divBdr>
        <w:top w:val="none" w:sz="0" w:space="0" w:color="auto"/>
        <w:left w:val="none" w:sz="0" w:space="0" w:color="auto"/>
        <w:bottom w:val="none" w:sz="0" w:space="0" w:color="auto"/>
        <w:right w:val="none" w:sz="0" w:space="0" w:color="auto"/>
      </w:divBdr>
    </w:div>
    <w:div w:id="1368214508">
      <w:bodyDiv w:val="1"/>
      <w:marLeft w:val="0"/>
      <w:marRight w:val="0"/>
      <w:marTop w:val="0"/>
      <w:marBottom w:val="0"/>
      <w:divBdr>
        <w:top w:val="none" w:sz="0" w:space="0" w:color="auto"/>
        <w:left w:val="none" w:sz="0" w:space="0" w:color="auto"/>
        <w:bottom w:val="none" w:sz="0" w:space="0" w:color="auto"/>
        <w:right w:val="none" w:sz="0" w:space="0" w:color="auto"/>
      </w:divBdr>
    </w:div>
    <w:div w:id="1372338580">
      <w:bodyDiv w:val="1"/>
      <w:marLeft w:val="0"/>
      <w:marRight w:val="0"/>
      <w:marTop w:val="0"/>
      <w:marBottom w:val="0"/>
      <w:divBdr>
        <w:top w:val="none" w:sz="0" w:space="0" w:color="auto"/>
        <w:left w:val="none" w:sz="0" w:space="0" w:color="auto"/>
        <w:bottom w:val="none" w:sz="0" w:space="0" w:color="auto"/>
        <w:right w:val="none" w:sz="0" w:space="0" w:color="auto"/>
      </w:divBdr>
    </w:div>
    <w:div w:id="1381245312">
      <w:bodyDiv w:val="1"/>
      <w:marLeft w:val="0"/>
      <w:marRight w:val="0"/>
      <w:marTop w:val="0"/>
      <w:marBottom w:val="0"/>
      <w:divBdr>
        <w:top w:val="none" w:sz="0" w:space="0" w:color="auto"/>
        <w:left w:val="none" w:sz="0" w:space="0" w:color="auto"/>
        <w:bottom w:val="none" w:sz="0" w:space="0" w:color="auto"/>
        <w:right w:val="none" w:sz="0" w:space="0" w:color="auto"/>
      </w:divBdr>
    </w:div>
    <w:div w:id="1387026503">
      <w:bodyDiv w:val="1"/>
      <w:marLeft w:val="0"/>
      <w:marRight w:val="0"/>
      <w:marTop w:val="0"/>
      <w:marBottom w:val="0"/>
      <w:divBdr>
        <w:top w:val="none" w:sz="0" w:space="0" w:color="auto"/>
        <w:left w:val="none" w:sz="0" w:space="0" w:color="auto"/>
        <w:bottom w:val="none" w:sz="0" w:space="0" w:color="auto"/>
        <w:right w:val="none" w:sz="0" w:space="0" w:color="auto"/>
      </w:divBdr>
    </w:div>
    <w:div w:id="1391491718">
      <w:bodyDiv w:val="1"/>
      <w:marLeft w:val="0"/>
      <w:marRight w:val="0"/>
      <w:marTop w:val="0"/>
      <w:marBottom w:val="0"/>
      <w:divBdr>
        <w:top w:val="none" w:sz="0" w:space="0" w:color="auto"/>
        <w:left w:val="none" w:sz="0" w:space="0" w:color="auto"/>
        <w:bottom w:val="none" w:sz="0" w:space="0" w:color="auto"/>
        <w:right w:val="none" w:sz="0" w:space="0" w:color="auto"/>
      </w:divBdr>
    </w:div>
    <w:div w:id="1401904258">
      <w:bodyDiv w:val="1"/>
      <w:marLeft w:val="0"/>
      <w:marRight w:val="0"/>
      <w:marTop w:val="0"/>
      <w:marBottom w:val="0"/>
      <w:divBdr>
        <w:top w:val="none" w:sz="0" w:space="0" w:color="auto"/>
        <w:left w:val="none" w:sz="0" w:space="0" w:color="auto"/>
        <w:bottom w:val="none" w:sz="0" w:space="0" w:color="auto"/>
        <w:right w:val="none" w:sz="0" w:space="0" w:color="auto"/>
      </w:divBdr>
    </w:div>
    <w:div w:id="1418599265">
      <w:bodyDiv w:val="1"/>
      <w:marLeft w:val="0"/>
      <w:marRight w:val="0"/>
      <w:marTop w:val="0"/>
      <w:marBottom w:val="0"/>
      <w:divBdr>
        <w:top w:val="none" w:sz="0" w:space="0" w:color="auto"/>
        <w:left w:val="none" w:sz="0" w:space="0" w:color="auto"/>
        <w:bottom w:val="none" w:sz="0" w:space="0" w:color="auto"/>
        <w:right w:val="none" w:sz="0" w:space="0" w:color="auto"/>
      </w:divBdr>
    </w:div>
    <w:div w:id="1441681184">
      <w:bodyDiv w:val="1"/>
      <w:marLeft w:val="0"/>
      <w:marRight w:val="0"/>
      <w:marTop w:val="0"/>
      <w:marBottom w:val="0"/>
      <w:divBdr>
        <w:top w:val="none" w:sz="0" w:space="0" w:color="auto"/>
        <w:left w:val="none" w:sz="0" w:space="0" w:color="auto"/>
        <w:bottom w:val="none" w:sz="0" w:space="0" w:color="auto"/>
        <w:right w:val="none" w:sz="0" w:space="0" w:color="auto"/>
      </w:divBdr>
    </w:div>
    <w:div w:id="1445879729">
      <w:bodyDiv w:val="1"/>
      <w:marLeft w:val="0"/>
      <w:marRight w:val="0"/>
      <w:marTop w:val="0"/>
      <w:marBottom w:val="0"/>
      <w:divBdr>
        <w:top w:val="none" w:sz="0" w:space="0" w:color="auto"/>
        <w:left w:val="none" w:sz="0" w:space="0" w:color="auto"/>
        <w:bottom w:val="none" w:sz="0" w:space="0" w:color="auto"/>
        <w:right w:val="none" w:sz="0" w:space="0" w:color="auto"/>
      </w:divBdr>
    </w:div>
    <w:div w:id="1484471571">
      <w:bodyDiv w:val="1"/>
      <w:marLeft w:val="0"/>
      <w:marRight w:val="0"/>
      <w:marTop w:val="0"/>
      <w:marBottom w:val="0"/>
      <w:divBdr>
        <w:top w:val="none" w:sz="0" w:space="0" w:color="auto"/>
        <w:left w:val="none" w:sz="0" w:space="0" w:color="auto"/>
        <w:bottom w:val="none" w:sz="0" w:space="0" w:color="auto"/>
        <w:right w:val="none" w:sz="0" w:space="0" w:color="auto"/>
      </w:divBdr>
    </w:div>
    <w:div w:id="1491483378">
      <w:bodyDiv w:val="1"/>
      <w:marLeft w:val="0"/>
      <w:marRight w:val="0"/>
      <w:marTop w:val="0"/>
      <w:marBottom w:val="0"/>
      <w:divBdr>
        <w:top w:val="none" w:sz="0" w:space="0" w:color="auto"/>
        <w:left w:val="none" w:sz="0" w:space="0" w:color="auto"/>
        <w:bottom w:val="none" w:sz="0" w:space="0" w:color="auto"/>
        <w:right w:val="none" w:sz="0" w:space="0" w:color="auto"/>
      </w:divBdr>
    </w:div>
    <w:div w:id="1498840320">
      <w:bodyDiv w:val="1"/>
      <w:marLeft w:val="0"/>
      <w:marRight w:val="0"/>
      <w:marTop w:val="0"/>
      <w:marBottom w:val="0"/>
      <w:divBdr>
        <w:top w:val="none" w:sz="0" w:space="0" w:color="auto"/>
        <w:left w:val="none" w:sz="0" w:space="0" w:color="auto"/>
        <w:bottom w:val="none" w:sz="0" w:space="0" w:color="auto"/>
        <w:right w:val="none" w:sz="0" w:space="0" w:color="auto"/>
      </w:divBdr>
    </w:div>
    <w:div w:id="1499230111">
      <w:bodyDiv w:val="1"/>
      <w:marLeft w:val="0"/>
      <w:marRight w:val="0"/>
      <w:marTop w:val="0"/>
      <w:marBottom w:val="0"/>
      <w:divBdr>
        <w:top w:val="none" w:sz="0" w:space="0" w:color="auto"/>
        <w:left w:val="none" w:sz="0" w:space="0" w:color="auto"/>
        <w:bottom w:val="none" w:sz="0" w:space="0" w:color="auto"/>
        <w:right w:val="none" w:sz="0" w:space="0" w:color="auto"/>
      </w:divBdr>
    </w:div>
    <w:div w:id="1552233386">
      <w:bodyDiv w:val="1"/>
      <w:marLeft w:val="0"/>
      <w:marRight w:val="0"/>
      <w:marTop w:val="0"/>
      <w:marBottom w:val="0"/>
      <w:divBdr>
        <w:top w:val="none" w:sz="0" w:space="0" w:color="auto"/>
        <w:left w:val="none" w:sz="0" w:space="0" w:color="auto"/>
        <w:bottom w:val="none" w:sz="0" w:space="0" w:color="auto"/>
        <w:right w:val="none" w:sz="0" w:space="0" w:color="auto"/>
      </w:divBdr>
    </w:div>
    <w:div w:id="1556963525">
      <w:bodyDiv w:val="1"/>
      <w:marLeft w:val="0"/>
      <w:marRight w:val="0"/>
      <w:marTop w:val="0"/>
      <w:marBottom w:val="0"/>
      <w:divBdr>
        <w:top w:val="none" w:sz="0" w:space="0" w:color="auto"/>
        <w:left w:val="none" w:sz="0" w:space="0" w:color="auto"/>
        <w:bottom w:val="none" w:sz="0" w:space="0" w:color="auto"/>
        <w:right w:val="none" w:sz="0" w:space="0" w:color="auto"/>
      </w:divBdr>
    </w:div>
    <w:div w:id="1558399718">
      <w:bodyDiv w:val="1"/>
      <w:marLeft w:val="0"/>
      <w:marRight w:val="0"/>
      <w:marTop w:val="0"/>
      <w:marBottom w:val="0"/>
      <w:divBdr>
        <w:top w:val="none" w:sz="0" w:space="0" w:color="auto"/>
        <w:left w:val="none" w:sz="0" w:space="0" w:color="auto"/>
        <w:bottom w:val="none" w:sz="0" w:space="0" w:color="auto"/>
        <w:right w:val="none" w:sz="0" w:space="0" w:color="auto"/>
      </w:divBdr>
    </w:div>
    <w:div w:id="1587113138">
      <w:bodyDiv w:val="1"/>
      <w:marLeft w:val="0"/>
      <w:marRight w:val="0"/>
      <w:marTop w:val="0"/>
      <w:marBottom w:val="0"/>
      <w:divBdr>
        <w:top w:val="none" w:sz="0" w:space="0" w:color="auto"/>
        <w:left w:val="none" w:sz="0" w:space="0" w:color="auto"/>
        <w:bottom w:val="none" w:sz="0" w:space="0" w:color="auto"/>
        <w:right w:val="none" w:sz="0" w:space="0" w:color="auto"/>
      </w:divBdr>
    </w:div>
    <w:div w:id="1596746741">
      <w:bodyDiv w:val="1"/>
      <w:marLeft w:val="0"/>
      <w:marRight w:val="0"/>
      <w:marTop w:val="0"/>
      <w:marBottom w:val="0"/>
      <w:divBdr>
        <w:top w:val="none" w:sz="0" w:space="0" w:color="auto"/>
        <w:left w:val="none" w:sz="0" w:space="0" w:color="auto"/>
        <w:bottom w:val="none" w:sz="0" w:space="0" w:color="auto"/>
        <w:right w:val="none" w:sz="0" w:space="0" w:color="auto"/>
      </w:divBdr>
    </w:div>
    <w:div w:id="1605309918">
      <w:bodyDiv w:val="1"/>
      <w:marLeft w:val="0"/>
      <w:marRight w:val="0"/>
      <w:marTop w:val="0"/>
      <w:marBottom w:val="0"/>
      <w:divBdr>
        <w:top w:val="none" w:sz="0" w:space="0" w:color="auto"/>
        <w:left w:val="none" w:sz="0" w:space="0" w:color="auto"/>
        <w:bottom w:val="none" w:sz="0" w:space="0" w:color="auto"/>
        <w:right w:val="none" w:sz="0" w:space="0" w:color="auto"/>
      </w:divBdr>
    </w:div>
    <w:div w:id="1619872949">
      <w:bodyDiv w:val="1"/>
      <w:marLeft w:val="0"/>
      <w:marRight w:val="0"/>
      <w:marTop w:val="0"/>
      <w:marBottom w:val="0"/>
      <w:divBdr>
        <w:top w:val="none" w:sz="0" w:space="0" w:color="auto"/>
        <w:left w:val="none" w:sz="0" w:space="0" w:color="auto"/>
        <w:bottom w:val="none" w:sz="0" w:space="0" w:color="auto"/>
        <w:right w:val="none" w:sz="0" w:space="0" w:color="auto"/>
      </w:divBdr>
    </w:div>
    <w:div w:id="1651708205">
      <w:bodyDiv w:val="1"/>
      <w:marLeft w:val="0"/>
      <w:marRight w:val="0"/>
      <w:marTop w:val="0"/>
      <w:marBottom w:val="0"/>
      <w:divBdr>
        <w:top w:val="none" w:sz="0" w:space="0" w:color="auto"/>
        <w:left w:val="none" w:sz="0" w:space="0" w:color="auto"/>
        <w:bottom w:val="none" w:sz="0" w:space="0" w:color="auto"/>
        <w:right w:val="none" w:sz="0" w:space="0" w:color="auto"/>
      </w:divBdr>
    </w:div>
    <w:div w:id="1653370896">
      <w:bodyDiv w:val="1"/>
      <w:marLeft w:val="0"/>
      <w:marRight w:val="0"/>
      <w:marTop w:val="0"/>
      <w:marBottom w:val="0"/>
      <w:divBdr>
        <w:top w:val="none" w:sz="0" w:space="0" w:color="auto"/>
        <w:left w:val="none" w:sz="0" w:space="0" w:color="auto"/>
        <w:bottom w:val="none" w:sz="0" w:space="0" w:color="auto"/>
        <w:right w:val="none" w:sz="0" w:space="0" w:color="auto"/>
      </w:divBdr>
    </w:div>
    <w:div w:id="1661150433">
      <w:bodyDiv w:val="1"/>
      <w:marLeft w:val="0"/>
      <w:marRight w:val="0"/>
      <w:marTop w:val="0"/>
      <w:marBottom w:val="0"/>
      <w:divBdr>
        <w:top w:val="none" w:sz="0" w:space="0" w:color="auto"/>
        <w:left w:val="none" w:sz="0" w:space="0" w:color="auto"/>
        <w:bottom w:val="none" w:sz="0" w:space="0" w:color="auto"/>
        <w:right w:val="none" w:sz="0" w:space="0" w:color="auto"/>
      </w:divBdr>
    </w:div>
    <w:div w:id="1665626089">
      <w:bodyDiv w:val="1"/>
      <w:marLeft w:val="0"/>
      <w:marRight w:val="0"/>
      <w:marTop w:val="0"/>
      <w:marBottom w:val="0"/>
      <w:divBdr>
        <w:top w:val="none" w:sz="0" w:space="0" w:color="auto"/>
        <w:left w:val="none" w:sz="0" w:space="0" w:color="auto"/>
        <w:bottom w:val="none" w:sz="0" w:space="0" w:color="auto"/>
        <w:right w:val="none" w:sz="0" w:space="0" w:color="auto"/>
      </w:divBdr>
    </w:div>
    <w:div w:id="1676031299">
      <w:bodyDiv w:val="1"/>
      <w:marLeft w:val="0"/>
      <w:marRight w:val="0"/>
      <w:marTop w:val="0"/>
      <w:marBottom w:val="0"/>
      <w:divBdr>
        <w:top w:val="none" w:sz="0" w:space="0" w:color="auto"/>
        <w:left w:val="none" w:sz="0" w:space="0" w:color="auto"/>
        <w:bottom w:val="none" w:sz="0" w:space="0" w:color="auto"/>
        <w:right w:val="none" w:sz="0" w:space="0" w:color="auto"/>
      </w:divBdr>
    </w:div>
    <w:div w:id="1687251196">
      <w:bodyDiv w:val="1"/>
      <w:marLeft w:val="0"/>
      <w:marRight w:val="0"/>
      <w:marTop w:val="0"/>
      <w:marBottom w:val="0"/>
      <w:divBdr>
        <w:top w:val="none" w:sz="0" w:space="0" w:color="auto"/>
        <w:left w:val="none" w:sz="0" w:space="0" w:color="auto"/>
        <w:bottom w:val="none" w:sz="0" w:space="0" w:color="auto"/>
        <w:right w:val="none" w:sz="0" w:space="0" w:color="auto"/>
      </w:divBdr>
    </w:div>
    <w:div w:id="1688753980">
      <w:bodyDiv w:val="1"/>
      <w:marLeft w:val="0"/>
      <w:marRight w:val="0"/>
      <w:marTop w:val="0"/>
      <w:marBottom w:val="0"/>
      <w:divBdr>
        <w:top w:val="none" w:sz="0" w:space="0" w:color="auto"/>
        <w:left w:val="none" w:sz="0" w:space="0" w:color="auto"/>
        <w:bottom w:val="none" w:sz="0" w:space="0" w:color="auto"/>
        <w:right w:val="none" w:sz="0" w:space="0" w:color="auto"/>
      </w:divBdr>
    </w:div>
    <w:div w:id="1710445966">
      <w:bodyDiv w:val="1"/>
      <w:marLeft w:val="0"/>
      <w:marRight w:val="0"/>
      <w:marTop w:val="0"/>
      <w:marBottom w:val="0"/>
      <w:divBdr>
        <w:top w:val="none" w:sz="0" w:space="0" w:color="auto"/>
        <w:left w:val="none" w:sz="0" w:space="0" w:color="auto"/>
        <w:bottom w:val="none" w:sz="0" w:space="0" w:color="auto"/>
        <w:right w:val="none" w:sz="0" w:space="0" w:color="auto"/>
      </w:divBdr>
    </w:div>
    <w:div w:id="1716732502">
      <w:bodyDiv w:val="1"/>
      <w:marLeft w:val="0"/>
      <w:marRight w:val="0"/>
      <w:marTop w:val="0"/>
      <w:marBottom w:val="0"/>
      <w:divBdr>
        <w:top w:val="none" w:sz="0" w:space="0" w:color="auto"/>
        <w:left w:val="none" w:sz="0" w:space="0" w:color="auto"/>
        <w:bottom w:val="none" w:sz="0" w:space="0" w:color="auto"/>
        <w:right w:val="none" w:sz="0" w:space="0" w:color="auto"/>
      </w:divBdr>
    </w:div>
    <w:div w:id="1719473227">
      <w:bodyDiv w:val="1"/>
      <w:marLeft w:val="0"/>
      <w:marRight w:val="0"/>
      <w:marTop w:val="0"/>
      <w:marBottom w:val="0"/>
      <w:divBdr>
        <w:top w:val="none" w:sz="0" w:space="0" w:color="auto"/>
        <w:left w:val="none" w:sz="0" w:space="0" w:color="auto"/>
        <w:bottom w:val="none" w:sz="0" w:space="0" w:color="auto"/>
        <w:right w:val="none" w:sz="0" w:space="0" w:color="auto"/>
      </w:divBdr>
    </w:div>
    <w:div w:id="1720088667">
      <w:bodyDiv w:val="1"/>
      <w:marLeft w:val="0"/>
      <w:marRight w:val="0"/>
      <w:marTop w:val="0"/>
      <w:marBottom w:val="0"/>
      <w:divBdr>
        <w:top w:val="none" w:sz="0" w:space="0" w:color="auto"/>
        <w:left w:val="none" w:sz="0" w:space="0" w:color="auto"/>
        <w:bottom w:val="none" w:sz="0" w:space="0" w:color="auto"/>
        <w:right w:val="none" w:sz="0" w:space="0" w:color="auto"/>
      </w:divBdr>
    </w:div>
    <w:div w:id="1743259504">
      <w:bodyDiv w:val="1"/>
      <w:marLeft w:val="0"/>
      <w:marRight w:val="0"/>
      <w:marTop w:val="0"/>
      <w:marBottom w:val="0"/>
      <w:divBdr>
        <w:top w:val="none" w:sz="0" w:space="0" w:color="auto"/>
        <w:left w:val="none" w:sz="0" w:space="0" w:color="auto"/>
        <w:bottom w:val="none" w:sz="0" w:space="0" w:color="auto"/>
        <w:right w:val="none" w:sz="0" w:space="0" w:color="auto"/>
      </w:divBdr>
    </w:div>
    <w:div w:id="1745762417">
      <w:bodyDiv w:val="1"/>
      <w:marLeft w:val="0"/>
      <w:marRight w:val="0"/>
      <w:marTop w:val="0"/>
      <w:marBottom w:val="0"/>
      <w:divBdr>
        <w:top w:val="none" w:sz="0" w:space="0" w:color="auto"/>
        <w:left w:val="none" w:sz="0" w:space="0" w:color="auto"/>
        <w:bottom w:val="none" w:sz="0" w:space="0" w:color="auto"/>
        <w:right w:val="none" w:sz="0" w:space="0" w:color="auto"/>
      </w:divBdr>
    </w:div>
    <w:div w:id="1755663997">
      <w:bodyDiv w:val="1"/>
      <w:marLeft w:val="0"/>
      <w:marRight w:val="0"/>
      <w:marTop w:val="0"/>
      <w:marBottom w:val="0"/>
      <w:divBdr>
        <w:top w:val="none" w:sz="0" w:space="0" w:color="auto"/>
        <w:left w:val="none" w:sz="0" w:space="0" w:color="auto"/>
        <w:bottom w:val="none" w:sz="0" w:space="0" w:color="auto"/>
        <w:right w:val="none" w:sz="0" w:space="0" w:color="auto"/>
      </w:divBdr>
    </w:div>
    <w:div w:id="1758403966">
      <w:bodyDiv w:val="1"/>
      <w:marLeft w:val="0"/>
      <w:marRight w:val="0"/>
      <w:marTop w:val="0"/>
      <w:marBottom w:val="0"/>
      <w:divBdr>
        <w:top w:val="none" w:sz="0" w:space="0" w:color="auto"/>
        <w:left w:val="none" w:sz="0" w:space="0" w:color="auto"/>
        <w:bottom w:val="none" w:sz="0" w:space="0" w:color="auto"/>
        <w:right w:val="none" w:sz="0" w:space="0" w:color="auto"/>
      </w:divBdr>
    </w:div>
    <w:div w:id="1762330980">
      <w:bodyDiv w:val="1"/>
      <w:marLeft w:val="0"/>
      <w:marRight w:val="0"/>
      <w:marTop w:val="0"/>
      <w:marBottom w:val="0"/>
      <w:divBdr>
        <w:top w:val="none" w:sz="0" w:space="0" w:color="auto"/>
        <w:left w:val="none" w:sz="0" w:space="0" w:color="auto"/>
        <w:bottom w:val="none" w:sz="0" w:space="0" w:color="auto"/>
        <w:right w:val="none" w:sz="0" w:space="0" w:color="auto"/>
      </w:divBdr>
    </w:div>
    <w:div w:id="1765177164">
      <w:bodyDiv w:val="1"/>
      <w:marLeft w:val="0"/>
      <w:marRight w:val="0"/>
      <w:marTop w:val="0"/>
      <w:marBottom w:val="0"/>
      <w:divBdr>
        <w:top w:val="none" w:sz="0" w:space="0" w:color="auto"/>
        <w:left w:val="none" w:sz="0" w:space="0" w:color="auto"/>
        <w:bottom w:val="none" w:sz="0" w:space="0" w:color="auto"/>
        <w:right w:val="none" w:sz="0" w:space="0" w:color="auto"/>
      </w:divBdr>
    </w:div>
    <w:div w:id="1771975257">
      <w:bodyDiv w:val="1"/>
      <w:marLeft w:val="0"/>
      <w:marRight w:val="0"/>
      <w:marTop w:val="0"/>
      <w:marBottom w:val="0"/>
      <w:divBdr>
        <w:top w:val="none" w:sz="0" w:space="0" w:color="auto"/>
        <w:left w:val="none" w:sz="0" w:space="0" w:color="auto"/>
        <w:bottom w:val="none" w:sz="0" w:space="0" w:color="auto"/>
        <w:right w:val="none" w:sz="0" w:space="0" w:color="auto"/>
      </w:divBdr>
    </w:div>
    <w:div w:id="1774518848">
      <w:bodyDiv w:val="1"/>
      <w:marLeft w:val="0"/>
      <w:marRight w:val="0"/>
      <w:marTop w:val="0"/>
      <w:marBottom w:val="0"/>
      <w:divBdr>
        <w:top w:val="none" w:sz="0" w:space="0" w:color="auto"/>
        <w:left w:val="none" w:sz="0" w:space="0" w:color="auto"/>
        <w:bottom w:val="none" w:sz="0" w:space="0" w:color="auto"/>
        <w:right w:val="none" w:sz="0" w:space="0" w:color="auto"/>
      </w:divBdr>
    </w:div>
    <w:div w:id="1792940684">
      <w:bodyDiv w:val="1"/>
      <w:marLeft w:val="0"/>
      <w:marRight w:val="0"/>
      <w:marTop w:val="0"/>
      <w:marBottom w:val="0"/>
      <w:divBdr>
        <w:top w:val="none" w:sz="0" w:space="0" w:color="auto"/>
        <w:left w:val="none" w:sz="0" w:space="0" w:color="auto"/>
        <w:bottom w:val="none" w:sz="0" w:space="0" w:color="auto"/>
        <w:right w:val="none" w:sz="0" w:space="0" w:color="auto"/>
      </w:divBdr>
    </w:div>
    <w:div w:id="1799763117">
      <w:bodyDiv w:val="1"/>
      <w:marLeft w:val="0"/>
      <w:marRight w:val="0"/>
      <w:marTop w:val="0"/>
      <w:marBottom w:val="0"/>
      <w:divBdr>
        <w:top w:val="none" w:sz="0" w:space="0" w:color="auto"/>
        <w:left w:val="none" w:sz="0" w:space="0" w:color="auto"/>
        <w:bottom w:val="none" w:sz="0" w:space="0" w:color="auto"/>
        <w:right w:val="none" w:sz="0" w:space="0" w:color="auto"/>
      </w:divBdr>
    </w:div>
    <w:div w:id="1803428304">
      <w:bodyDiv w:val="1"/>
      <w:marLeft w:val="0"/>
      <w:marRight w:val="0"/>
      <w:marTop w:val="0"/>
      <w:marBottom w:val="0"/>
      <w:divBdr>
        <w:top w:val="none" w:sz="0" w:space="0" w:color="auto"/>
        <w:left w:val="none" w:sz="0" w:space="0" w:color="auto"/>
        <w:bottom w:val="none" w:sz="0" w:space="0" w:color="auto"/>
        <w:right w:val="none" w:sz="0" w:space="0" w:color="auto"/>
      </w:divBdr>
    </w:div>
    <w:div w:id="1809321009">
      <w:bodyDiv w:val="1"/>
      <w:marLeft w:val="0"/>
      <w:marRight w:val="0"/>
      <w:marTop w:val="0"/>
      <w:marBottom w:val="0"/>
      <w:divBdr>
        <w:top w:val="none" w:sz="0" w:space="0" w:color="auto"/>
        <w:left w:val="none" w:sz="0" w:space="0" w:color="auto"/>
        <w:bottom w:val="none" w:sz="0" w:space="0" w:color="auto"/>
        <w:right w:val="none" w:sz="0" w:space="0" w:color="auto"/>
      </w:divBdr>
    </w:div>
    <w:div w:id="1824275415">
      <w:bodyDiv w:val="1"/>
      <w:marLeft w:val="0"/>
      <w:marRight w:val="0"/>
      <w:marTop w:val="0"/>
      <w:marBottom w:val="0"/>
      <w:divBdr>
        <w:top w:val="none" w:sz="0" w:space="0" w:color="auto"/>
        <w:left w:val="none" w:sz="0" w:space="0" w:color="auto"/>
        <w:bottom w:val="none" w:sz="0" w:space="0" w:color="auto"/>
        <w:right w:val="none" w:sz="0" w:space="0" w:color="auto"/>
      </w:divBdr>
    </w:div>
    <w:div w:id="1840348949">
      <w:bodyDiv w:val="1"/>
      <w:marLeft w:val="0"/>
      <w:marRight w:val="0"/>
      <w:marTop w:val="0"/>
      <w:marBottom w:val="0"/>
      <w:divBdr>
        <w:top w:val="none" w:sz="0" w:space="0" w:color="auto"/>
        <w:left w:val="none" w:sz="0" w:space="0" w:color="auto"/>
        <w:bottom w:val="none" w:sz="0" w:space="0" w:color="auto"/>
        <w:right w:val="none" w:sz="0" w:space="0" w:color="auto"/>
      </w:divBdr>
    </w:div>
    <w:div w:id="1852403964">
      <w:bodyDiv w:val="1"/>
      <w:marLeft w:val="0"/>
      <w:marRight w:val="0"/>
      <w:marTop w:val="0"/>
      <w:marBottom w:val="0"/>
      <w:divBdr>
        <w:top w:val="none" w:sz="0" w:space="0" w:color="auto"/>
        <w:left w:val="none" w:sz="0" w:space="0" w:color="auto"/>
        <w:bottom w:val="none" w:sz="0" w:space="0" w:color="auto"/>
        <w:right w:val="none" w:sz="0" w:space="0" w:color="auto"/>
      </w:divBdr>
    </w:div>
    <w:div w:id="1858500240">
      <w:bodyDiv w:val="1"/>
      <w:marLeft w:val="0"/>
      <w:marRight w:val="0"/>
      <w:marTop w:val="0"/>
      <w:marBottom w:val="0"/>
      <w:divBdr>
        <w:top w:val="none" w:sz="0" w:space="0" w:color="auto"/>
        <w:left w:val="none" w:sz="0" w:space="0" w:color="auto"/>
        <w:bottom w:val="none" w:sz="0" w:space="0" w:color="auto"/>
        <w:right w:val="none" w:sz="0" w:space="0" w:color="auto"/>
      </w:divBdr>
    </w:div>
    <w:div w:id="1914076595">
      <w:bodyDiv w:val="1"/>
      <w:marLeft w:val="0"/>
      <w:marRight w:val="0"/>
      <w:marTop w:val="0"/>
      <w:marBottom w:val="0"/>
      <w:divBdr>
        <w:top w:val="none" w:sz="0" w:space="0" w:color="auto"/>
        <w:left w:val="none" w:sz="0" w:space="0" w:color="auto"/>
        <w:bottom w:val="none" w:sz="0" w:space="0" w:color="auto"/>
        <w:right w:val="none" w:sz="0" w:space="0" w:color="auto"/>
      </w:divBdr>
    </w:div>
    <w:div w:id="1927110254">
      <w:bodyDiv w:val="1"/>
      <w:marLeft w:val="0"/>
      <w:marRight w:val="0"/>
      <w:marTop w:val="0"/>
      <w:marBottom w:val="0"/>
      <w:divBdr>
        <w:top w:val="none" w:sz="0" w:space="0" w:color="auto"/>
        <w:left w:val="none" w:sz="0" w:space="0" w:color="auto"/>
        <w:bottom w:val="none" w:sz="0" w:space="0" w:color="auto"/>
        <w:right w:val="none" w:sz="0" w:space="0" w:color="auto"/>
      </w:divBdr>
      <w:divsChild>
        <w:div w:id="20086579">
          <w:marLeft w:val="0"/>
          <w:marRight w:val="0"/>
          <w:marTop w:val="0"/>
          <w:marBottom w:val="0"/>
          <w:divBdr>
            <w:top w:val="none" w:sz="0" w:space="0" w:color="auto"/>
            <w:left w:val="none" w:sz="0" w:space="0" w:color="auto"/>
            <w:bottom w:val="none" w:sz="0" w:space="0" w:color="auto"/>
            <w:right w:val="none" w:sz="0" w:space="0" w:color="auto"/>
          </w:divBdr>
        </w:div>
        <w:div w:id="141506873">
          <w:marLeft w:val="0"/>
          <w:marRight w:val="0"/>
          <w:marTop w:val="0"/>
          <w:marBottom w:val="0"/>
          <w:divBdr>
            <w:top w:val="none" w:sz="0" w:space="0" w:color="auto"/>
            <w:left w:val="none" w:sz="0" w:space="0" w:color="auto"/>
            <w:bottom w:val="none" w:sz="0" w:space="0" w:color="auto"/>
            <w:right w:val="none" w:sz="0" w:space="0" w:color="auto"/>
          </w:divBdr>
        </w:div>
        <w:div w:id="421337746">
          <w:marLeft w:val="0"/>
          <w:marRight w:val="0"/>
          <w:marTop w:val="0"/>
          <w:marBottom w:val="0"/>
          <w:divBdr>
            <w:top w:val="none" w:sz="0" w:space="0" w:color="auto"/>
            <w:left w:val="none" w:sz="0" w:space="0" w:color="auto"/>
            <w:bottom w:val="none" w:sz="0" w:space="0" w:color="auto"/>
            <w:right w:val="none" w:sz="0" w:space="0" w:color="auto"/>
          </w:divBdr>
        </w:div>
        <w:div w:id="1445222866">
          <w:marLeft w:val="0"/>
          <w:marRight w:val="0"/>
          <w:marTop w:val="0"/>
          <w:marBottom w:val="0"/>
          <w:divBdr>
            <w:top w:val="none" w:sz="0" w:space="0" w:color="auto"/>
            <w:left w:val="none" w:sz="0" w:space="0" w:color="auto"/>
            <w:bottom w:val="none" w:sz="0" w:space="0" w:color="auto"/>
            <w:right w:val="none" w:sz="0" w:space="0" w:color="auto"/>
          </w:divBdr>
        </w:div>
        <w:div w:id="1528519146">
          <w:marLeft w:val="0"/>
          <w:marRight w:val="0"/>
          <w:marTop w:val="0"/>
          <w:marBottom w:val="0"/>
          <w:divBdr>
            <w:top w:val="none" w:sz="0" w:space="0" w:color="auto"/>
            <w:left w:val="none" w:sz="0" w:space="0" w:color="auto"/>
            <w:bottom w:val="none" w:sz="0" w:space="0" w:color="auto"/>
            <w:right w:val="none" w:sz="0" w:space="0" w:color="auto"/>
          </w:divBdr>
        </w:div>
        <w:div w:id="1699769747">
          <w:marLeft w:val="0"/>
          <w:marRight w:val="0"/>
          <w:marTop w:val="0"/>
          <w:marBottom w:val="0"/>
          <w:divBdr>
            <w:top w:val="none" w:sz="0" w:space="0" w:color="auto"/>
            <w:left w:val="none" w:sz="0" w:space="0" w:color="auto"/>
            <w:bottom w:val="none" w:sz="0" w:space="0" w:color="auto"/>
            <w:right w:val="none" w:sz="0" w:space="0" w:color="auto"/>
          </w:divBdr>
        </w:div>
        <w:div w:id="1906379210">
          <w:marLeft w:val="0"/>
          <w:marRight w:val="0"/>
          <w:marTop w:val="0"/>
          <w:marBottom w:val="0"/>
          <w:divBdr>
            <w:top w:val="none" w:sz="0" w:space="0" w:color="auto"/>
            <w:left w:val="none" w:sz="0" w:space="0" w:color="auto"/>
            <w:bottom w:val="none" w:sz="0" w:space="0" w:color="auto"/>
            <w:right w:val="none" w:sz="0" w:space="0" w:color="auto"/>
          </w:divBdr>
          <w:divsChild>
            <w:div w:id="1953631442">
              <w:marLeft w:val="-75"/>
              <w:marRight w:val="0"/>
              <w:marTop w:val="30"/>
              <w:marBottom w:val="30"/>
              <w:divBdr>
                <w:top w:val="none" w:sz="0" w:space="0" w:color="auto"/>
                <w:left w:val="none" w:sz="0" w:space="0" w:color="auto"/>
                <w:bottom w:val="none" w:sz="0" w:space="0" w:color="auto"/>
                <w:right w:val="none" w:sz="0" w:space="0" w:color="auto"/>
              </w:divBdr>
              <w:divsChild>
                <w:div w:id="45376091">
                  <w:marLeft w:val="0"/>
                  <w:marRight w:val="0"/>
                  <w:marTop w:val="0"/>
                  <w:marBottom w:val="0"/>
                  <w:divBdr>
                    <w:top w:val="none" w:sz="0" w:space="0" w:color="auto"/>
                    <w:left w:val="none" w:sz="0" w:space="0" w:color="auto"/>
                    <w:bottom w:val="none" w:sz="0" w:space="0" w:color="auto"/>
                    <w:right w:val="none" w:sz="0" w:space="0" w:color="auto"/>
                  </w:divBdr>
                  <w:divsChild>
                    <w:div w:id="1408960889">
                      <w:marLeft w:val="0"/>
                      <w:marRight w:val="0"/>
                      <w:marTop w:val="0"/>
                      <w:marBottom w:val="0"/>
                      <w:divBdr>
                        <w:top w:val="none" w:sz="0" w:space="0" w:color="auto"/>
                        <w:left w:val="none" w:sz="0" w:space="0" w:color="auto"/>
                        <w:bottom w:val="none" w:sz="0" w:space="0" w:color="auto"/>
                        <w:right w:val="none" w:sz="0" w:space="0" w:color="auto"/>
                      </w:divBdr>
                    </w:div>
                  </w:divsChild>
                </w:div>
                <w:div w:id="54666843">
                  <w:marLeft w:val="0"/>
                  <w:marRight w:val="0"/>
                  <w:marTop w:val="0"/>
                  <w:marBottom w:val="0"/>
                  <w:divBdr>
                    <w:top w:val="none" w:sz="0" w:space="0" w:color="auto"/>
                    <w:left w:val="none" w:sz="0" w:space="0" w:color="auto"/>
                    <w:bottom w:val="none" w:sz="0" w:space="0" w:color="auto"/>
                    <w:right w:val="none" w:sz="0" w:space="0" w:color="auto"/>
                  </w:divBdr>
                  <w:divsChild>
                    <w:div w:id="1258756808">
                      <w:marLeft w:val="0"/>
                      <w:marRight w:val="0"/>
                      <w:marTop w:val="0"/>
                      <w:marBottom w:val="0"/>
                      <w:divBdr>
                        <w:top w:val="none" w:sz="0" w:space="0" w:color="auto"/>
                        <w:left w:val="none" w:sz="0" w:space="0" w:color="auto"/>
                        <w:bottom w:val="none" w:sz="0" w:space="0" w:color="auto"/>
                        <w:right w:val="none" w:sz="0" w:space="0" w:color="auto"/>
                      </w:divBdr>
                    </w:div>
                  </w:divsChild>
                </w:div>
                <w:div w:id="102389151">
                  <w:marLeft w:val="0"/>
                  <w:marRight w:val="0"/>
                  <w:marTop w:val="0"/>
                  <w:marBottom w:val="0"/>
                  <w:divBdr>
                    <w:top w:val="none" w:sz="0" w:space="0" w:color="auto"/>
                    <w:left w:val="none" w:sz="0" w:space="0" w:color="auto"/>
                    <w:bottom w:val="none" w:sz="0" w:space="0" w:color="auto"/>
                    <w:right w:val="none" w:sz="0" w:space="0" w:color="auto"/>
                  </w:divBdr>
                  <w:divsChild>
                    <w:div w:id="666372684">
                      <w:marLeft w:val="0"/>
                      <w:marRight w:val="0"/>
                      <w:marTop w:val="0"/>
                      <w:marBottom w:val="0"/>
                      <w:divBdr>
                        <w:top w:val="none" w:sz="0" w:space="0" w:color="auto"/>
                        <w:left w:val="none" w:sz="0" w:space="0" w:color="auto"/>
                        <w:bottom w:val="none" w:sz="0" w:space="0" w:color="auto"/>
                        <w:right w:val="none" w:sz="0" w:space="0" w:color="auto"/>
                      </w:divBdr>
                    </w:div>
                  </w:divsChild>
                </w:div>
                <w:div w:id="120613925">
                  <w:marLeft w:val="0"/>
                  <w:marRight w:val="0"/>
                  <w:marTop w:val="0"/>
                  <w:marBottom w:val="0"/>
                  <w:divBdr>
                    <w:top w:val="none" w:sz="0" w:space="0" w:color="auto"/>
                    <w:left w:val="none" w:sz="0" w:space="0" w:color="auto"/>
                    <w:bottom w:val="none" w:sz="0" w:space="0" w:color="auto"/>
                    <w:right w:val="none" w:sz="0" w:space="0" w:color="auto"/>
                  </w:divBdr>
                  <w:divsChild>
                    <w:div w:id="429088181">
                      <w:marLeft w:val="0"/>
                      <w:marRight w:val="0"/>
                      <w:marTop w:val="0"/>
                      <w:marBottom w:val="0"/>
                      <w:divBdr>
                        <w:top w:val="none" w:sz="0" w:space="0" w:color="auto"/>
                        <w:left w:val="none" w:sz="0" w:space="0" w:color="auto"/>
                        <w:bottom w:val="none" w:sz="0" w:space="0" w:color="auto"/>
                        <w:right w:val="none" w:sz="0" w:space="0" w:color="auto"/>
                      </w:divBdr>
                    </w:div>
                  </w:divsChild>
                </w:div>
                <w:div w:id="211581156">
                  <w:marLeft w:val="0"/>
                  <w:marRight w:val="0"/>
                  <w:marTop w:val="0"/>
                  <w:marBottom w:val="0"/>
                  <w:divBdr>
                    <w:top w:val="none" w:sz="0" w:space="0" w:color="auto"/>
                    <w:left w:val="none" w:sz="0" w:space="0" w:color="auto"/>
                    <w:bottom w:val="none" w:sz="0" w:space="0" w:color="auto"/>
                    <w:right w:val="none" w:sz="0" w:space="0" w:color="auto"/>
                  </w:divBdr>
                  <w:divsChild>
                    <w:div w:id="1875385957">
                      <w:marLeft w:val="0"/>
                      <w:marRight w:val="0"/>
                      <w:marTop w:val="0"/>
                      <w:marBottom w:val="0"/>
                      <w:divBdr>
                        <w:top w:val="none" w:sz="0" w:space="0" w:color="auto"/>
                        <w:left w:val="none" w:sz="0" w:space="0" w:color="auto"/>
                        <w:bottom w:val="none" w:sz="0" w:space="0" w:color="auto"/>
                        <w:right w:val="none" w:sz="0" w:space="0" w:color="auto"/>
                      </w:divBdr>
                    </w:div>
                  </w:divsChild>
                </w:div>
                <w:div w:id="319231652">
                  <w:marLeft w:val="0"/>
                  <w:marRight w:val="0"/>
                  <w:marTop w:val="0"/>
                  <w:marBottom w:val="0"/>
                  <w:divBdr>
                    <w:top w:val="none" w:sz="0" w:space="0" w:color="auto"/>
                    <w:left w:val="none" w:sz="0" w:space="0" w:color="auto"/>
                    <w:bottom w:val="none" w:sz="0" w:space="0" w:color="auto"/>
                    <w:right w:val="none" w:sz="0" w:space="0" w:color="auto"/>
                  </w:divBdr>
                  <w:divsChild>
                    <w:div w:id="1271277211">
                      <w:marLeft w:val="0"/>
                      <w:marRight w:val="0"/>
                      <w:marTop w:val="0"/>
                      <w:marBottom w:val="0"/>
                      <w:divBdr>
                        <w:top w:val="none" w:sz="0" w:space="0" w:color="auto"/>
                        <w:left w:val="none" w:sz="0" w:space="0" w:color="auto"/>
                        <w:bottom w:val="none" w:sz="0" w:space="0" w:color="auto"/>
                        <w:right w:val="none" w:sz="0" w:space="0" w:color="auto"/>
                      </w:divBdr>
                    </w:div>
                  </w:divsChild>
                </w:div>
                <w:div w:id="501362406">
                  <w:marLeft w:val="0"/>
                  <w:marRight w:val="0"/>
                  <w:marTop w:val="0"/>
                  <w:marBottom w:val="0"/>
                  <w:divBdr>
                    <w:top w:val="none" w:sz="0" w:space="0" w:color="auto"/>
                    <w:left w:val="none" w:sz="0" w:space="0" w:color="auto"/>
                    <w:bottom w:val="none" w:sz="0" w:space="0" w:color="auto"/>
                    <w:right w:val="none" w:sz="0" w:space="0" w:color="auto"/>
                  </w:divBdr>
                  <w:divsChild>
                    <w:div w:id="1421174295">
                      <w:marLeft w:val="0"/>
                      <w:marRight w:val="0"/>
                      <w:marTop w:val="0"/>
                      <w:marBottom w:val="0"/>
                      <w:divBdr>
                        <w:top w:val="none" w:sz="0" w:space="0" w:color="auto"/>
                        <w:left w:val="none" w:sz="0" w:space="0" w:color="auto"/>
                        <w:bottom w:val="none" w:sz="0" w:space="0" w:color="auto"/>
                        <w:right w:val="none" w:sz="0" w:space="0" w:color="auto"/>
                      </w:divBdr>
                    </w:div>
                  </w:divsChild>
                </w:div>
                <w:div w:id="572469050">
                  <w:marLeft w:val="0"/>
                  <w:marRight w:val="0"/>
                  <w:marTop w:val="0"/>
                  <w:marBottom w:val="0"/>
                  <w:divBdr>
                    <w:top w:val="none" w:sz="0" w:space="0" w:color="auto"/>
                    <w:left w:val="none" w:sz="0" w:space="0" w:color="auto"/>
                    <w:bottom w:val="none" w:sz="0" w:space="0" w:color="auto"/>
                    <w:right w:val="none" w:sz="0" w:space="0" w:color="auto"/>
                  </w:divBdr>
                  <w:divsChild>
                    <w:div w:id="1954240369">
                      <w:marLeft w:val="0"/>
                      <w:marRight w:val="0"/>
                      <w:marTop w:val="0"/>
                      <w:marBottom w:val="0"/>
                      <w:divBdr>
                        <w:top w:val="none" w:sz="0" w:space="0" w:color="auto"/>
                        <w:left w:val="none" w:sz="0" w:space="0" w:color="auto"/>
                        <w:bottom w:val="none" w:sz="0" w:space="0" w:color="auto"/>
                        <w:right w:val="none" w:sz="0" w:space="0" w:color="auto"/>
                      </w:divBdr>
                    </w:div>
                  </w:divsChild>
                </w:div>
                <w:div w:id="655034967">
                  <w:marLeft w:val="0"/>
                  <w:marRight w:val="0"/>
                  <w:marTop w:val="0"/>
                  <w:marBottom w:val="0"/>
                  <w:divBdr>
                    <w:top w:val="none" w:sz="0" w:space="0" w:color="auto"/>
                    <w:left w:val="none" w:sz="0" w:space="0" w:color="auto"/>
                    <w:bottom w:val="none" w:sz="0" w:space="0" w:color="auto"/>
                    <w:right w:val="none" w:sz="0" w:space="0" w:color="auto"/>
                  </w:divBdr>
                  <w:divsChild>
                    <w:div w:id="561789537">
                      <w:marLeft w:val="0"/>
                      <w:marRight w:val="0"/>
                      <w:marTop w:val="0"/>
                      <w:marBottom w:val="0"/>
                      <w:divBdr>
                        <w:top w:val="none" w:sz="0" w:space="0" w:color="auto"/>
                        <w:left w:val="none" w:sz="0" w:space="0" w:color="auto"/>
                        <w:bottom w:val="none" w:sz="0" w:space="0" w:color="auto"/>
                        <w:right w:val="none" w:sz="0" w:space="0" w:color="auto"/>
                      </w:divBdr>
                    </w:div>
                  </w:divsChild>
                </w:div>
                <w:div w:id="837113976">
                  <w:marLeft w:val="0"/>
                  <w:marRight w:val="0"/>
                  <w:marTop w:val="0"/>
                  <w:marBottom w:val="0"/>
                  <w:divBdr>
                    <w:top w:val="none" w:sz="0" w:space="0" w:color="auto"/>
                    <w:left w:val="none" w:sz="0" w:space="0" w:color="auto"/>
                    <w:bottom w:val="none" w:sz="0" w:space="0" w:color="auto"/>
                    <w:right w:val="none" w:sz="0" w:space="0" w:color="auto"/>
                  </w:divBdr>
                  <w:divsChild>
                    <w:div w:id="11610533">
                      <w:marLeft w:val="0"/>
                      <w:marRight w:val="0"/>
                      <w:marTop w:val="0"/>
                      <w:marBottom w:val="0"/>
                      <w:divBdr>
                        <w:top w:val="none" w:sz="0" w:space="0" w:color="auto"/>
                        <w:left w:val="none" w:sz="0" w:space="0" w:color="auto"/>
                        <w:bottom w:val="none" w:sz="0" w:space="0" w:color="auto"/>
                        <w:right w:val="none" w:sz="0" w:space="0" w:color="auto"/>
                      </w:divBdr>
                    </w:div>
                  </w:divsChild>
                </w:div>
                <w:div w:id="848562944">
                  <w:marLeft w:val="0"/>
                  <w:marRight w:val="0"/>
                  <w:marTop w:val="0"/>
                  <w:marBottom w:val="0"/>
                  <w:divBdr>
                    <w:top w:val="none" w:sz="0" w:space="0" w:color="auto"/>
                    <w:left w:val="none" w:sz="0" w:space="0" w:color="auto"/>
                    <w:bottom w:val="none" w:sz="0" w:space="0" w:color="auto"/>
                    <w:right w:val="none" w:sz="0" w:space="0" w:color="auto"/>
                  </w:divBdr>
                  <w:divsChild>
                    <w:div w:id="117534489">
                      <w:marLeft w:val="0"/>
                      <w:marRight w:val="0"/>
                      <w:marTop w:val="0"/>
                      <w:marBottom w:val="0"/>
                      <w:divBdr>
                        <w:top w:val="none" w:sz="0" w:space="0" w:color="auto"/>
                        <w:left w:val="none" w:sz="0" w:space="0" w:color="auto"/>
                        <w:bottom w:val="none" w:sz="0" w:space="0" w:color="auto"/>
                        <w:right w:val="none" w:sz="0" w:space="0" w:color="auto"/>
                      </w:divBdr>
                    </w:div>
                  </w:divsChild>
                </w:div>
                <w:div w:id="859783073">
                  <w:marLeft w:val="0"/>
                  <w:marRight w:val="0"/>
                  <w:marTop w:val="0"/>
                  <w:marBottom w:val="0"/>
                  <w:divBdr>
                    <w:top w:val="none" w:sz="0" w:space="0" w:color="auto"/>
                    <w:left w:val="none" w:sz="0" w:space="0" w:color="auto"/>
                    <w:bottom w:val="none" w:sz="0" w:space="0" w:color="auto"/>
                    <w:right w:val="none" w:sz="0" w:space="0" w:color="auto"/>
                  </w:divBdr>
                  <w:divsChild>
                    <w:div w:id="1181820291">
                      <w:marLeft w:val="0"/>
                      <w:marRight w:val="0"/>
                      <w:marTop w:val="0"/>
                      <w:marBottom w:val="0"/>
                      <w:divBdr>
                        <w:top w:val="none" w:sz="0" w:space="0" w:color="auto"/>
                        <w:left w:val="none" w:sz="0" w:space="0" w:color="auto"/>
                        <w:bottom w:val="none" w:sz="0" w:space="0" w:color="auto"/>
                        <w:right w:val="none" w:sz="0" w:space="0" w:color="auto"/>
                      </w:divBdr>
                    </w:div>
                  </w:divsChild>
                </w:div>
                <w:div w:id="950403797">
                  <w:marLeft w:val="0"/>
                  <w:marRight w:val="0"/>
                  <w:marTop w:val="0"/>
                  <w:marBottom w:val="0"/>
                  <w:divBdr>
                    <w:top w:val="none" w:sz="0" w:space="0" w:color="auto"/>
                    <w:left w:val="none" w:sz="0" w:space="0" w:color="auto"/>
                    <w:bottom w:val="none" w:sz="0" w:space="0" w:color="auto"/>
                    <w:right w:val="none" w:sz="0" w:space="0" w:color="auto"/>
                  </w:divBdr>
                  <w:divsChild>
                    <w:div w:id="1584485784">
                      <w:marLeft w:val="0"/>
                      <w:marRight w:val="0"/>
                      <w:marTop w:val="0"/>
                      <w:marBottom w:val="0"/>
                      <w:divBdr>
                        <w:top w:val="none" w:sz="0" w:space="0" w:color="auto"/>
                        <w:left w:val="none" w:sz="0" w:space="0" w:color="auto"/>
                        <w:bottom w:val="none" w:sz="0" w:space="0" w:color="auto"/>
                        <w:right w:val="none" w:sz="0" w:space="0" w:color="auto"/>
                      </w:divBdr>
                    </w:div>
                  </w:divsChild>
                </w:div>
                <w:div w:id="1000498787">
                  <w:marLeft w:val="0"/>
                  <w:marRight w:val="0"/>
                  <w:marTop w:val="0"/>
                  <w:marBottom w:val="0"/>
                  <w:divBdr>
                    <w:top w:val="none" w:sz="0" w:space="0" w:color="auto"/>
                    <w:left w:val="none" w:sz="0" w:space="0" w:color="auto"/>
                    <w:bottom w:val="none" w:sz="0" w:space="0" w:color="auto"/>
                    <w:right w:val="none" w:sz="0" w:space="0" w:color="auto"/>
                  </w:divBdr>
                  <w:divsChild>
                    <w:div w:id="1825123212">
                      <w:marLeft w:val="0"/>
                      <w:marRight w:val="0"/>
                      <w:marTop w:val="0"/>
                      <w:marBottom w:val="0"/>
                      <w:divBdr>
                        <w:top w:val="none" w:sz="0" w:space="0" w:color="auto"/>
                        <w:left w:val="none" w:sz="0" w:space="0" w:color="auto"/>
                        <w:bottom w:val="none" w:sz="0" w:space="0" w:color="auto"/>
                        <w:right w:val="none" w:sz="0" w:space="0" w:color="auto"/>
                      </w:divBdr>
                    </w:div>
                  </w:divsChild>
                </w:div>
                <w:div w:id="1025523214">
                  <w:marLeft w:val="0"/>
                  <w:marRight w:val="0"/>
                  <w:marTop w:val="0"/>
                  <w:marBottom w:val="0"/>
                  <w:divBdr>
                    <w:top w:val="none" w:sz="0" w:space="0" w:color="auto"/>
                    <w:left w:val="none" w:sz="0" w:space="0" w:color="auto"/>
                    <w:bottom w:val="none" w:sz="0" w:space="0" w:color="auto"/>
                    <w:right w:val="none" w:sz="0" w:space="0" w:color="auto"/>
                  </w:divBdr>
                  <w:divsChild>
                    <w:div w:id="1606501422">
                      <w:marLeft w:val="0"/>
                      <w:marRight w:val="0"/>
                      <w:marTop w:val="0"/>
                      <w:marBottom w:val="0"/>
                      <w:divBdr>
                        <w:top w:val="none" w:sz="0" w:space="0" w:color="auto"/>
                        <w:left w:val="none" w:sz="0" w:space="0" w:color="auto"/>
                        <w:bottom w:val="none" w:sz="0" w:space="0" w:color="auto"/>
                        <w:right w:val="none" w:sz="0" w:space="0" w:color="auto"/>
                      </w:divBdr>
                    </w:div>
                  </w:divsChild>
                </w:div>
                <w:div w:id="1043020725">
                  <w:marLeft w:val="0"/>
                  <w:marRight w:val="0"/>
                  <w:marTop w:val="0"/>
                  <w:marBottom w:val="0"/>
                  <w:divBdr>
                    <w:top w:val="none" w:sz="0" w:space="0" w:color="auto"/>
                    <w:left w:val="none" w:sz="0" w:space="0" w:color="auto"/>
                    <w:bottom w:val="none" w:sz="0" w:space="0" w:color="auto"/>
                    <w:right w:val="none" w:sz="0" w:space="0" w:color="auto"/>
                  </w:divBdr>
                  <w:divsChild>
                    <w:div w:id="651760866">
                      <w:marLeft w:val="0"/>
                      <w:marRight w:val="0"/>
                      <w:marTop w:val="0"/>
                      <w:marBottom w:val="0"/>
                      <w:divBdr>
                        <w:top w:val="none" w:sz="0" w:space="0" w:color="auto"/>
                        <w:left w:val="none" w:sz="0" w:space="0" w:color="auto"/>
                        <w:bottom w:val="none" w:sz="0" w:space="0" w:color="auto"/>
                        <w:right w:val="none" w:sz="0" w:space="0" w:color="auto"/>
                      </w:divBdr>
                    </w:div>
                  </w:divsChild>
                </w:div>
                <w:div w:id="1070075917">
                  <w:marLeft w:val="0"/>
                  <w:marRight w:val="0"/>
                  <w:marTop w:val="0"/>
                  <w:marBottom w:val="0"/>
                  <w:divBdr>
                    <w:top w:val="none" w:sz="0" w:space="0" w:color="auto"/>
                    <w:left w:val="none" w:sz="0" w:space="0" w:color="auto"/>
                    <w:bottom w:val="none" w:sz="0" w:space="0" w:color="auto"/>
                    <w:right w:val="none" w:sz="0" w:space="0" w:color="auto"/>
                  </w:divBdr>
                  <w:divsChild>
                    <w:div w:id="1552381628">
                      <w:marLeft w:val="0"/>
                      <w:marRight w:val="0"/>
                      <w:marTop w:val="0"/>
                      <w:marBottom w:val="0"/>
                      <w:divBdr>
                        <w:top w:val="none" w:sz="0" w:space="0" w:color="auto"/>
                        <w:left w:val="none" w:sz="0" w:space="0" w:color="auto"/>
                        <w:bottom w:val="none" w:sz="0" w:space="0" w:color="auto"/>
                        <w:right w:val="none" w:sz="0" w:space="0" w:color="auto"/>
                      </w:divBdr>
                    </w:div>
                  </w:divsChild>
                </w:div>
                <w:div w:id="1456213397">
                  <w:marLeft w:val="0"/>
                  <w:marRight w:val="0"/>
                  <w:marTop w:val="0"/>
                  <w:marBottom w:val="0"/>
                  <w:divBdr>
                    <w:top w:val="none" w:sz="0" w:space="0" w:color="auto"/>
                    <w:left w:val="none" w:sz="0" w:space="0" w:color="auto"/>
                    <w:bottom w:val="none" w:sz="0" w:space="0" w:color="auto"/>
                    <w:right w:val="none" w:sz="0" w:space="0" w:color="auto"/>
                  </w:divBdr>
                  <w:divsChild>
                    <w:div w:id="1062875966">
                      <w:marLeft w:val="0"/>
                      <w:marRight w:val="0"/>
                      <w:marTop w:val="0"/>
                      <w:marBottom w:val="0"/>
                      <w:divBdr>
                        <w:top w:val="none" w:sz="0" w:space="0" w:color="auto"/>
                        <w:left w:val="none" w:sz="0" w:space="0" w:color="auto"/>
                        <w:bottom w:val="none" w:sz="0" w:space="0" w:color="auto"/>
                        <w:right w:val="none" w:sz="0" w:space="0" w:color="auto"/>
                      </w:divBdr>
                    </w:div>
                  </w:divsChild>
                </w:div>
                <w:div w:id="1509901844">
                  <w:marLeft w:val="0"/>
                  <w:marRight w:val="0"/>
                  <w:marTop w:val="0"/>
                  <w:marBottom w:val="0"/>
                  <w:divBdr>
                    <w:top w:val="none" w:sz="0" w:space="0" w:color="auto"/>
                    <w:left w:val="none" w:sz="0" w:space="0" w:color="auto"/>
                    <w:bottom w:val="none" w:sz="0" w:space="0" w:color="auto"/>
                    <w:right w:val="none" w:sz="0" w:space="0" w:color="auto"/>
                  </w:divBdr>
                  <w:divsChild>
                    <w:div w:id="706412940">
                      <w:marLeft w:val="0"/>
                      <w:marRight w:val="0"/>
                      <w:marTop w:val="0"/>
                      <w:marBottom w:val="0"/>
                      <w:divBdr>
                        <w:top w:val="none" w:sz="0" w:space="0" w:color="auto"/>
                        <w:left w:val="none" w:sz="0" w:space="0" w:color="auto"/>
                        <w:bottom w:val="none" w:sz="0" w:space="0" w:color="auto"/>
                        <w:right w:val="none" w:sz="0" w:space="0" w:color="auto"/>
                      </w:divBdr>
                    </w:div>
                  </w:divsChild>
                </w:div>
                <w:div w:id="1662737669">
                  <w:marLeft w:val="0"/>
                  <w:marRight w:val="0"/>
                  <w:marTop w:val="0"/>
                  <w:marBottom w:val="0"/>
                  <w:divBdr>
                    <w:top w:val="none" w:sz="0" w:space="0" w:color="auto"/>
                    <w:left w:val="none" w:sz="0" w:space="0" w:color="auto"/>
                    <w:bottom w:val="none" w:sz="0" w:space="0" w:color="auto"/>
                    <w:right w:val="none" w:sz="0" w:space="0" w:color="auto"/>
                  </w:divBdr>
                  <w:divsChild>
                    <w:div w:id="1597245256">
                      <w:marLeft w:val="0"/>
                      <w:marRight w:val="0"/>
                      <w:marTop w:val="0"/>
                      <w:marBottom w:val="0"/>
                      <w:divBdr>
                        <w:top w:val="none" w:sz="0" w:space="0" w:color="auto"/>
                        <w:left w:val="none" w:sz="0" w:space="0" w:color="auto"/>
                        <w:bottom w:val="none" w:sz="0" w:space="0" w:color="auto"/>
                        <w:right w:val="none" w:sz="0" w:space="0" w:color="auto"/>
                      </w:divBdr>
                    </w:div>
                  </w:divsChild>
                </w:div>
                <w:div w:id="1887908316">
                  <w:marLeft w:val="0"/>
                  <w:marRight w:val="0"/>
                  <w:marTop w:val="0"/>
                  <w:marBottom w:val="0"/>
                  <w:divBdr>
                    <w:top w:val="none" w:sz="0" w:space="0" w:color="auto"/>
                    <w:left w:val="none" w:sz="0" w:space="0" w:color="auto"/>
                    <w:bottom w:val="none" w:sz="0" w:space="0" w:color="auto"/>
                    <w:right w:val="none" w:sz="0" w:space="0" w:color="auto"/>
                  </w:divBdr>
                  <w:divsChild>
                    <w:div w:id="203059254">
                      <w:marLeft w:val="0"/>
                      <w:marRight w:val="0"/>
                      <w:marTop w:val="0"/>
                      <w:marBottom w:val="0"/>
                      <w:divBdr>
                        <w:top w:val="none" w:sz="0" w:space="0" w:color="auto"/>
                        <w:left w:val="none" w:sz="0" w:space="0" w:color="auto"/>
                        <w:bottom w:val="none" w:sz="0" w:space="0" w:color="auto"/>
                        <w:right w:val="none" w:sz="0" w:space="0" w:color="auto"/>
                      </w:divBdr>
                    </w:div>
                  </w:divsChild>
                </w:div>
                <w:div w:id="1950161873">
                  <w:marLeft w:val="0"/>
                  <w:marRight w:val="0"/>
                  <w:marTop w:val="0"/>
                  <w:marBottom w:val="0"/>
                  <w:divBdr>
                    <w:top w:val="none" w:sz="0" w:space="0" w:color="auto"/>
                    <w:left w:val="none" w:sz="0" w:space="0" w:color="auto"/>
                    <w:bottom w:val="none" w:sz="0" w:space="0" w:color="auto"/>
                    <w:right w:val="none" w:sz="0" w:space="0" w:color="auto"/>
                  </w:divBdr>
                  <w:divsChild>
                    <w:div w:id="463354183">
                      <w:marLeft w:val="0"/>
                      <w:marRight w:val="0"/>
                      <w:marTop w:val="0"/>
                      <w:marBottom w:val="0"/>
                      <w:divBdr>
                        <w:top w:val="none" w:sz="0" w:space="0" w:color="auto"/>
                        <w:left w:val="none" w:sz="0" w:space="0" w:color="auto"/>
                        <w:bottom w:val="none" w:sz="0" w:space="0" w:color="auto"/>
                        <w:right w:val="none" w:sz="0" w:space="0" w:color="auto"/>
                      </w:divBdr>
                    </w:div>
                  </w:divsChild>
                </w:div>
                <w:div w:id="1996451607">
                  <w:marLeft w:val="0"/>
                  <w:marRight w:val="0"/>
                  <w:marTop w:val="0"/>
                  <w:marBottom w:val="0"/>
                  <w:divBdr>
                    <w:top w:val="none" w:sz="0" w:space="0" w:color="auto"/>
                    <w:left w:val="none" w:sz="0" w:space="0" w:color="auto"/>
                    <w:bottom w:val="none" w:sz="0" w:space="0" w:color="auto"/>
                    <w:right w:val="none" w:sz="0" w:space="0" w:color="auto"/>
                  </w:divBdr>
                  <w:divsChild>
                    <w:div w:id="1010062452">
                      <w:marLeft w:val="0"/>
                      <w:marRight w:val="0"/>
                      <w:marTop w:val="0"/>
                      <w:marBottom w:val="0"/>
                      <w:divBdr>
                        <w:top w:val="none" w:sz="0" w:space="0" w:color="auto"/>
                        <w:left w:val="none" w:sz="0" w:space="0" w:color="auto"/>
                        <w:bottom w:val="none" w:sz="0" w:space="0" w:color="auto"/>
                        <w:right w:val="none" w:sz="0" w:space="0" w:color="auto"/>
                      </w:divBdr>
                    </w:div>
                  </w:divsChild>
                </w:div>
                <w:div w:id="2015523924">
                  <w:marLeft w:val="0"/>
                  <w:marRight w:val="0"/>
                  <w:marTop w:val="0"/>
                  <w:marBottom w:val="0"/>
                  <w:divBdr>
                    <w:top w:val="none" w:sz="0" w:space="0" w:color="auto"/>
                    <w:left w:val="none" w:sz="0" w:space="0" w:color="auto"/>
                    <w:bottom w:val="none" w:sz="0" w:space="0" w:color="auto"/>
                    <w:right w:val="none" w:sz="0" w:space="0" w:color="auto"/>
                  </w:divBdr>
                  <w:divsChild>
                    <w:div w:id="83703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42164">
      <w:bodyDiv w:val="1"/>
      <w:marLeft w:val="0"/>
      <w:marRight w:val="0"/>
      <w:marTop w:val="0"/>
      <w:marBottom w:val="0"/>
      <w:divBdr>
        <w:top w:val="none" w:sz="0" w:space="0" w:color="auto"/>
        <w:left w:val="none" w:sz="0" w:space="0" w:color="auto"/>
        <w:bottom w:val="none" w:sz="0" w:space="0" w:color="auto"/>
        <w:right w:val="none" w:sz="0" w:space="0" w:color="auto"/>
      </w:divBdr>
    </w:div>
    <w:div w:id="1939949125">
      <w:bodyDiv w:val="1"/>
      <w:marLeft w:val="0"/>
      <w:marRight w:val="0"/>
      <w:marTop w:val="0"/>
      <w:marBottom w:val="0"/>
      <w:divBdr>
        <w:top w:val="none" w:sz="0" w:space="0" w:color="auto"/>
        <w:left w:val="none" w:sz="0" w:space="0" w:color="auto"/>
        <w:bottom w:val="none" w:sz="0" w:space="0" w:color="auto"/>
        <w:right w:val="none" w:sz="0" w:space="0" w:color="auto"/>
      </w:divBdr>
    </w:div>
    <w:div w:id="1940521694">
      <w:bodyDiv w:val="1"/>
      <w:marLeft w:val="0"/>
      <w:marRight w:val="0"/>
      <w:marTop w:val="0"/>
      <w:marBottom w:val="0"/>
      <w:divBdr>
        <w:top w:val="none" w:sz="0" w:space="0" w:color="auto"/>
        <w:left w:val="none" w:sz="0" w:space="0" w:color="auto"/>
        <w:bottom w:val="none" w:sz="0" w:space="0" w:color="auto"/>
        <w:right w:val="none" w:sz="0" w:space="0" w:color="auto"/>
      </w:divBdr>
    </w:div>
    <w:div w:id="1972898840">
      <w:bodyDiv w:val="1"/>
      <w:marLeft w:val="0"/>
      <w:marRight w:val="0"/>
      <w:marTop w:val="0"/>
      <w:marBottom w:val="0"/>
      <w:divBdr>
        <w:top w:val="none" w:sz="0" w:space="0" w:color="auto"/>
        <w:left w:val="none" w:sz="0" w:space="0" w:color="auto"/>
        <w:bottom w:val="none" w:sz="0" w:space="0" w:color="auto"/>
        <w:right w:val="none" w:sz="0" w:space="0" w:color="auto"/>
      </w:divBdr>
    </w:div>
    <w:div w:id="1989938687">
      <w:bodyDiv w:val="1"/>
      <w:marLeft w:val="0"/>
      <w:marRight w:val="0"/>
      <w:marTop w:val="0"/>
      <w:marBottom w:val="0"/>
      <w:divBdr>
        <w:top w:val="none" w:sz="0" w:space="0" w:color="auto"/>
        <w:left w:val="none" w:sz="0" w:space="0" w:color="auto"/>
        <w:bottom w:val="none" w:sz="0" w:space="0" w:color="auto"/>
        <w:right w:val="none" w:sz="0" w:space="0" w:color="auto"/>
      </w:divBdr>
    </w:div>
    <w:div w:id="2009094424">
      <w:bodyDiv w:val="1"/>
      <w:marLeft w:val="0"/>
      <w:marRight w:val="0"/>
      <w:marTop w:val="0"/>
      <w:marBottom w:val="0"/>
      <w:divBdr>
        <w:top w:val="none" w:sz="0" w:space="0" w:color="auto"/>
        <w:left w:val="none" w:sz="0" w:space="0" w:color="auto"/>
        <w:bottom w:val="none" w:sz="0" w:space="0" w:color="auto"/>
        <w:right w:val="none" w:sz="0" w:space="0" w:color="auto"/>
      </w:divBdr>
    </w:div>
    <w:div w:id="2013070011">
      <w:bodyDiv w:val="1"/>
      <w:marLeft w:val="0"/>
      <w:marRight w:val="0"/>
      <w:marTop w:val="0"/>
      <w:marBottom w:val="0"/>
      <w:divBdr>
        <w:top w:val="none" w:sz="0" w:space="0" w:color="auto"/>
        <w:left w:val="none" w:sz="0" w:space="0" w:color="auto"/>
        <w:bottom w:val="none" w:sz="0" w:space="0" w:color="auto"/>
        <w:right w:val="none" w:sz="0" w:space="0" w:color="auto"/>
      </w:divBdr>
    </w:div>
    <w:div w:id="2056733992">
      <w:bodyDiv w:val="1"/>
      <w:marLeft w:val="0"/>
      <w:marRight w:val="0"/>
      <w:marTop w:val="0"/>
      <w:marBottom w:val="0"/>
      <w:divBdr>
        <w:top w:val="none" w:sz="0" w:space="0" w:color="auto"/>
        <w:left w:val="none" w:sz="0" w:space="0" w:color="auto"/>
        <w:bottom w:val="none" w:sz="0" w:space="0" w:color="auto"/>
        <w:right w:val="none" w:sz="0" w:space="0" w:color="auto"/>
      </w:divBdr>
    </w:div>
    <w:div w:id="2067027885">
      <w:bodyDiv w:val="1"/>
      <w:marLeft w:val="0"/>
      <w:marRight w:val="0"/>
      <w:marTop w:val="0"/>
      <w:marBottom w:val="0"/>
      <w:divBdr>
        <w:top w:val="none" w:sz="0" w:space="0" w:color="auto"/>
        <w:left w:val="none" w:sz="0" w:space="0" w:color="auto"/>
        <w:bottom w:val="none" w:sz="0" w:space="0" w:color="auto"/>
        <w:right w:val="none" w:sz="0" w:space="0" w:color="auto"/>
      </w:divBdr>
    </w:div>
    <w:div w:id="2067675904">
      <w:bodyDiv w:val="1"/>
      <w:marLeft w:val="0"/>
      <w:marRight w:val="0"/>
      <w:marTop w:val="0"/>
      <w:marBottom w:val="0"/>
      <w:divBdr>
        <w:top w:val="none" w:sz="0" w:space="0" w:color="auto"/>
        <w:left w:val="none" w:sz="0" w:space="0" w:color="auto"/>
        <w:bottom w:val="none" w:sz="0" w:space="0" w:color="auto"/>
        <w:right w:val="none" w:sz="0" w:space="0" w:color="auto"/>
      </w:divBdr>
    </w:div>
    <w:div w:id="2075395677">
      <w:bodyDiv w:val="1"/>
      <w:marLeft w:val="0"/>
      <w:marRight w:val="0"/>
      <w:marTop w:val="0"/>
      <w:marBottom w:val="0"/>
      <w:divBdr>
        <w:top w:val="none" w:sz="0" w:space="0" w:color="auto"/>
        <w:left w:val="none" w:sz="0" w:space="0" w:color="auto"/>
        <w:bottom w:val="none" w:sz="0" w:space="0" w:color="auto"/>
        <w:right w:val="none" w:sz="0" w:space="0" w:color="auto"/>
      </w:divBdr>
    </w:div>
    <w:div w:id="2109807659">
      <w:bodyDiv w:val="1"/>
      <w:marLeft w:val="0"/>
      <w:marRight w:val="0"/>
      <w:marTop w:val="0"/>
      <w:marBottom w:val="0"/>
      <w:divBdr>
        <w:top w:val="none" w:sz="0" w:space="0" w:color="auto"/>
        <w:left w:val="none" w:sz="0" w:space="0" w:color="auto"/>
        <w:bottom w:val="none" w:sz="0" w:space="0" w:color="auto"/>
        <w:right w:val="none" w:sz="0" w:space="0" w:color="auto"/>
      </w:divBdr>
    </w:div>
    <w:div w:id="2111509142">
      <w:bodyDiv w:val="1"/>
      <w:marLeft w:val="0"/>
      <w:marRight w:val="0"/>
      <w:marTop w:val="0"/>
      <w:marBottom w:val="0"/>
      <w:divBdr>
        <w:top w:val="none" w:sz="0" w:space="0" w:color="auto"/>
        <w:left w:val="none" w:sz="0" w:space="0" w:color="auto"/>
        <w:bottom w:val="none" w:sz="0" w:space="0" w:color="auto"/>
        <w:right w:val="none" w:sz="0" w:space="0" w:color="auto"/>
      </w:divBdr>
    </w:div>
    <w:div w:id="2114083764">
      <w:bodyDiv w:val="1"/>
      <w:marLeft w:val="0"/>
      <w:marRight w:val="0"/>
      <w:marTop w:val="0"/>
      <w:marBottom w:val="0"/>
      <w:divBdr>
        <w:top w:val="none" w:sz="0" w:space="0" w:color="auto"/>
        <w:left w:val="none" w:sz="0" w:space="0" w:color="auto"/>
        <w:bottom w:val="none" w:sz="0" w:space="0" w:color="auto"/>
        <w:right w:val="none" w:sz="0" w:space="0" w:color="auto"/>
      </w:divBdr>
    </w:div>
    <w:div w:id="2119790401">
      <w:bodyDiv w:val="1"/>
      <w:marLeft w:val="0"/>
      <w:marRight w:val="0"/>
      <w:marTop w:val="0"/>
      <w:marBottom w:val="0"/>
      <w:divBdr>
        <w:top w:val="none" w:sz="0" w:space="0" w:color="auto"/>
        <w:left w:val="none" w:sz="0" w:space="0" w:color="auto"/>
        <w:bottom w:val="none" w:sz="0" w:space="0" w:color="auto"/>
        <w:right w:val="none" w:sz="0" w:space="0" w:color="auto"/>
      </w:divBdr>
    </w:div>
    <w:div w:id="213775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yperlink" Target="https://www.abs.gov.au/ausstats/abs@.nsf/mf/1270.0.55.001"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hyperlink" Target="https://www.abs.gov.au/statistics/classifications/anzsco-australian-and-new-zealand-standard-classification-occupations/latest-release" TargetMode="Externa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7.xm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4.png"/><Relationship Id="rId27" Type="http://schemas.openxmlformats.org/officeDocument/2006/relationships/hyperlink" Target="mailto:OccupationShortageList@jobsandskills.gov.au"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B3201\Downloads\SERA_SSQ%20data%20extract.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3-24\06.%20Projects\Filling%20Skilled%20Occupations%20-%20Quarterly\2024Q2_2024%20Jun%20qtr\Skills%20Shortage%20Quarterly%20-%20June%202024.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TB3201\Downloads\SERA_SSQ%20data%20extrac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B3201\Downloads\SERA_SSQ%20data%20extrac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MP.application.enet\50038325\LMAA%20Branch\Workforce%20Analysis\01.%20Skill%20Shortage%20Research\2023-24\06.%20Projects\Filling%20Skilled%20Occupations%20-%20Quarterly\2024Q2_2024%20Jun%20qtr\Skills%20Shortage%20Quarterly%20-%20June%202024.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3-24\06.%20Projects\Filling%20Skilled%20Occupations%20-%20Quarterly\2024Q2_2024%20Jun%20qtr\Skills%20Shortage%20Quarterly%20-%20June%202024.xlsx" TargetMode="External"/><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3-24\06.%20Projects\Filling%20Skilled%20Occupations%20-%20Quarterly\2024Q2_2024%20Jun%20qtr\Skills%20Shortage%20Quarterly%20-%20June%202024.xlsx" TargetMode="External"/><Relationship Id="rId2" Type="http://schemas.microsoft.com/office/2011/relationships/chartColorStyle" Target="colors3.xml"/><Relationship Id="rId1" Type="http://schemas.microsoft.com/office/2011/relationships/chartStyle" Target="style3.xml"/></Relationships>
</file>

<file path=word/charts/_rels/chart8.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3-24\06.%20Projects\Filling%20Skilled%20Occupations%20-%20Quarterly\2024Q2_2024%20Jun%20qtr\Skills%20Shortage%20Quarterly%20-%20June%202024.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1585316378388992E-2"/>
          <c:y val="0.10893051781474178"/>
          <c:w val="0.978754378694353"/>
          <c:h val="0.75144740353395567"/>
        </c:manualLayout>
      </c:layout>
      <c:barChart>
        <c:barDir val="col"/>
        <c:grouping val="clustered"/>
        <c:varyColors val="0"/>
        <c:ser>
          <c:idx val="1"/>
          <c:order val="1"/>
          <c:tx>
            <c:strRef>
              <c:f>'National chart'!$C$1</c:f>
              <c:strCache>
                <c:ptCount val="1"/>
                <c:pt idx="0">
                  <c:v>Applicants per vacancy</c:v>
                </c:pt>
              </c:strCache>
            </c:strRef>
          </c:tx>
          <c:spPr>
            <a:solidFill>
              <a:srgbClr val="6929C4"/>
            </a:solidFill>
            <a:ln>
              <a:noFill/>
            </a:ln>
            <a:effectLst/>
          </c:spPr>
          <c:invertIfNegative val="0"/>
          <c:dLbls>
            <c:spPr>
              <a:noFill/>
              <a:ln>
                <a:noFill/>
              </a:ln>
              <a:effectLst/>
            </c:spPr>
            <c:txPr>
              <a:bodyPr rot="0" spcFirstLastPara="1" vertOverflow="ellipsis" vert="horz" wrap="square" lIns="0" tIns="0" rIns="0" bIns="0" anchor="ctr" anchorCtr="1">
                <a:spAutoFit/>
              </a:bodyPr>
              <a:lstStyle/>
              <a:p>
                <a:pPr>
                  <a:defRPr sz="6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numRef>
              <c:f>'National chart'!$A$2:$A$10</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'National chart'!$C$2:$C$10</c:f>
              <c:numCache>
                <c:formatCode>0.0</c:formatCode>
                <c:ptCount val="9"/>
                <c:pt idx="0">
                  <c:v>13.431091666078611</c:v>
                </c:pt>
                <c:pt idx="1">
                  <c:v>13.062589194699287</c:v>
                </c:pt>
                <c:pt idx="2">
                  <c:v>13.56085537735194</c:v>
                </c:pt>
                <c:pt idx="3">
                  <c:v>14.66310461192351</c:v>
                </c:pt>
                <c:pt idx="4">
                  <c:v>15.982801645646456</c:v>
                </c:pt>
                <c:pt idx="5">
                  <c:v>17.007598466364588</c:v>
                </c:pt>
                <c:pt idx="6">
                  <c:v>18.281003937007874</c:v>
                </c:pt>
                <c:pt idx="7">
                  <c:v>21.073929961089494</c:v>
                </c:pt>
                <c:pt idx="8">
                  <c:v>24.061412735658223</c:v>
                </c:pt>
              </c:numCache>
            </c:numRef>
          </c:val>
          <c:extLst>
            <c:ext xmlns:c16="http://schemas.microsoft.com/office/drawing/2014/chart" uri="{C3380CC4-5D6E-409C-BE32-E72D297353CC}">
              <c16:uniqueId val="{00000000-CD84-4805-B9BF-EAC6E94D9C13}"/>
            </c:ext>
          </c:extLst>
        </c:ser>
        <c:ser>
          <c:idx val="2"/>
          <c:order val="2"/>
          <c:tx>
            <c:strRef>
              <c:f>'National chart'!$D$1</c:f>
              <c:strCache>
                <c:ptCount val="1"/>
                <c:pt idx="0">
                  <c:v>Qualified applicants per vacancy</c:v>
                </c:pt>
              </c:strCache>
            </c:strRef>
          </c:tx>
          <c:spPr>
            <a:solidFill>
              <a:srgbClr val="009D9A"/>
            </a:solidFill>
            <a:ln>
              <a:noFill/>
            </a:ln>
            <a:effectLst/>
          </c:spPr>
          <c:invertIfNegative val="0"/>
          <c:dLbls>
            <c:spPr>
              <a:noFill/>
              <a:ln>
                <a:noFill/>
              </a:ln>
              <a:effectLst/>
            </c:spPr>
            <c:txPr>
              <a:bodyPr rot="0" spcFirstLastPara="1" vertOverflow="ellipsis" vert="horz" wrap="square" lIns="0" tIns="0" rIns="0" bIns="0" anchor="ctr" anchorCtr="1">
                <a:spAutoFit/>
              </a:bodyPr>
              <a:lstStyle/>
              <a:p>
                <a:pPr>
                  <a:defRPr sz="6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numRef>
              <c:f>'National chart'!$A$2:$A$10</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'National chart'!$D$2:$D$10</c:f>
              <c:numCache>
                <c:formatCode>0.0</c:formatCode>
                <c:ptCount val="9"/>
                <c:pt idx="0">
                  <c:v>4.9174512809283994</c:v>
                </c:pt>
                <c:pt idx="1">
                  <c:v>4.7249683143219263</c:v>
                </c:pt>
                <c:pt idx="2">
                  <c:v>4.8365848391044564</c:v>
                </c:pt>
                <c:pt idx="3">
                  <c:v>5.1064189189189193</c:v>
                </c:pt>
                <c:pt idx="4">
                  <c:v>5.5927353172054524</c:v>
                </c:pt>
                <c:pt idx="5">
                  <c:v>5.8268340056775738</c:v>
                </c:pt>
                <c:pt idx="6">
                  <c:v>6.1332317073170728</c:v>
                </c:pt>
                <c:pt idx="7">
                  <c:v>6.910053324968632</c:v>
                </c:pt>
                <c:pt idx="8">
                  <c:v>7.5329399330632381</c:v>
                </c:pt>
              </c:numCache>
            </c:numRef>
          </c:val>
          <c:extLst>
            <c:ext xmlns:c16="http://schemas.microsoft.com/office/drawing/2014/chart" uri="{C3380CC4-5D6E-409C-BE32-E72D297353CC}">
              <c16:uniqueId val="{00000001-CD84-4805-B9BF-EAC6E94D9C13}"/>
            </c:ext>
          </c:extLst>
        </c:ser>
        <c:ser>
          <c:idx val="3"/>
          <c:order val="3"/>
          <c:tx>
            <c:strRef>
              <c:f>'National chart'!$E$1</c:f>
              <c:strCache>
                <c:ptCount val="1"/>
                <c:pt idx="0">
                  <c:v>Suitable applicants per vacancy</c:v>
                </c:pt>
              </c:strCache>
            </c:strRef>
          </c:tx>
          <c:spPr>
            <a:solidFill>
              <a:srgbClr val="012749"/>
            </a:solidFill>
            <a:ln>
              <a:noFill/>
            </a:ln>
            <a:effectLst/>
          </c:spPr>
          <c:invertIfNegative val="0"/>
          <c:dLbls>
            <c:spPr>
              <a:noFill/>
              <a:ln>
                <a:noFill/>
              </a:ln>
              <a:effectLst/>
            </c:spPr>
            <c:txPr>
              <a:bodyPr rot="0" spcFirstLastPara="1" vertOverflow="ellipsis" vert="horz" wrap="square" lIns="0" tIns="0" rIns="0" bIns="0" anchor="ctr" anchorCtr="1">
                <a:spAutoFit/>
              </a:bodyPr>
              <a:lstStyle/>
              <a:p>
                <a:pPr>
                  <a:defRPr sz="6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'National chart'!$A$2:$A$10</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'National chart'!$E$2:$E$10</c:f>
              <c:numCache>
                <c:formatCode>0.0</c:formatCode>
                <c:ptCount val="9"/>
                <c:pt idx="0">
                  <c:v>2.2705525368710746</c:v>
                </c:pt>
                <c:pt idx="1">
                  <c:v>2.1541963982330956</c:v>
                </c:pt>
                <c:pt idx="2">
                  <c:v>2.247656738179546</c:v>
                </c:pt>
                <c:pt idx="3">
                  <c:v>2.4371484814398201</c:v>
                </c:pt>
                <c:pt idx="4">
                  <c:v>2.5912861671275378</c:v>
                </c:pt>
                <c:pt idx="5">
                  <c:v>2.6365284071104913</c:v>
                </c:pt>
                <c:pt idx="6">
                  <c:v>2.6612064116985379</c:v>
                </c:pt>
                <c:pt idx="7">
                  <c:v>2.8367920449632513</c:v>
                </c:pt>
                <c:pt idx="8">
                  <c:v>2.960595517436686</c:v>
                </c:pt>
              </c:numCache>
            </c:numRef>
          </c:val>
          <c:extLst>
            <c:ext xmlns:c16="http://schemas.microsoft.com/office/drawing/2014/chart" uri="{C3380CC4-5D6E-409C-BE32-E72D297353CC}">
              <c16:uniqueId val="{00000002-CD84-4805-B9BF-EAC6E94D9C13}"/>
            </c:ext>
          </c:extLst>
        </c:ser>
        <c:dLbls>
          <c:showLegendKey val="0"/>
          <c:showVal val="0"/>
          <c:showCatName val="0"/>
          <c:showSerName val="0"/>
          <c:showPercent val="0"/>
          <c:showBubbleSize val="0"/>
        </c:dLbls>
        <c:gapWidth val="70"/>
        <c:axId val="574728255"/>
        <c:axId val="574724895"/>
      </c:barChart>
      <c:lineChart>
        <c:grouping val="standard"/>
        <c:varyColors val="0"/>
        <c:ser>
          <c:idx val="0"/>
          <c:order val="0"/>
          <c:tx>
            <c:strRef>
              <c:f>'National chart'!$B$1</c:f>
              <c:strCache>
                <c:ptCount val="1"/>
                <c:pt idx="0">
                  <c:v>Fill rate</c:v>
                </c:pt>
              </c:strCache>
            </c:strRef>
          </c:tx>
          <c:spPr>
            <a:ln w="28575" cap="rnd">
              <a:noFill/>
              <a:round/>
            </a:ln>
            <a:effectLst/>
          </c:spPr>
          <c:marker>
            <c:symbol val="dash"/>
            <c:size val="17"/>
            <c:spPr>
              <a:solidFill>
                <a:srgbClr val="EE538B"/>
              </a:solidFill>
              <a:ln w="9525">
                <a:solidFill>
                  <a:srgbClr val="EE538B"/>
                </a:solidFill>
              </a:ln>
              <a:effectLst/>
            </c:spPr>
          </c:marker>
          <c:dLbls>
            <c:spPr>
              <a:noFill/>
              <a:ln>
                <a:noFill/>
              </a:ln>
              <a:effectLst/>
            </c:spPr>
            <c:txPr>
              <a:bodyPr rot="0" spcFirstLastPara="1" vertOverflow="ellipsis" vert="horz" wrap="square" lIns="0" tIns="0" rIns="0" bIns="0"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numRef>
              <c:f>'National chart'!$A$2:$A$10</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'National chart'!$B$2:$B$10</c:f>
              <c:numCache>
                <c:formatCode>0.0%</c:formatCode>
                <c:ptCount val="9"/>
                <c:pt idx="0">
                  <c:v>0.5951591277962035</c:v>
                </c:pt>
                <c:pt idx="1">
                  <c:v>0.58049609242269795</c:v>
                </c:pt>
                <c:pt idx="2">
                  <c:v>0.58494758036520167</c:v>
                </c:pt>
                <c:pt idx="3">
                  <c:v>0.60165916760404947</c:v>
                </c:pt>
                <c:pt idx="4">
                  <c:v>0.61367775005058345</c:v>
                </c:pt>
                <c:pt idx="5">
                  <c:v>0.62063436737539213</c:v>
                </c:pt>
                <c:pt idx="6">
                  <c:v>0.63456130483689543</c:v>
                </c:pt>
                <c:pt idx="7">
                  <c:v>0.6446894365182303</c:v>
                </c:pt>
                <c:pt idx="8">
                  <c:v>0.66170402136095152</c:v>
                </c:pt>
              </c:numCache>
            </c:numRef>
          </c:val>
          <c:smooth val="0"/>
          <c:extLst>
            <c:ext xmlns:c16="http://schemas.microsoft.com/office/drawing/2014/chart" uri="{C3380CC4-5D6E-409C-BE32-E72D297353CC}">
              <c16:uniqueId val="{00000007-CD84-4805-B9BF-EAC6E94D9C13}"/>
            </c:ext>
          </c:extLst>
        </c:ser>
        <c:dLbls>
          <c:showLegendKey val="0"/>
          <c:showVal val="0"/>
          <c:showCatName val="0"/>
          <c:showSerName val="0"/>
          <c:showPercent val="0"/>
          <c:showBubbleSize val="0"/>
        </c:dLbls>
        <c:marker val="1"/>
        <c:smooth val="0"/>
        <c:axId val="685136015"/>
        <c:axId val="685136975"/>
      </c:lineChart>
      <c:catAx>
        <c:axId val="574728255"/>
        <c:scaling>
          <c:orientation val="minMax"/>
        </c:scaling>
        <c:delete val="0"/>
        <c:axPos val="b"/>
        <c:numFmt formatCode="mmm\ yy" sourceLinked="0"/>
        <c:majorTickMark val="out"/>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74724895"/>
        <c:crosses val="autoZero"/>
        <c:auto val="0"/>
        <c:lblAlgn val="ctr"/>
        <c:lblOffset val="100"/>
        <c:tickLblSkip val="1"/>
        <c:noMultiLvlLbl val="0"/>
      </c:catAx>
      <c:valAx>
        <c:axId val="574724895"/>
        <c:scaling>
          <c:orientation val="minMax"/>
          <c:max val="32"/>
          <c:min val="0"/>
        </c:scaling>
        <c:delete val="0"/>
        <c:axPos val="l"/>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bg1"/>
                </a:solidFill>
                <a:latin typeface="+mn-lt"/>
                <a:ea typeface="+mn-ea"/>
                <a:cs typeface="+mn-cs"/>
              </a:defRPr>
            </a:pPr>
            <a:endParaRPr lang="en-US"/>
          </a:p>
        </c:txPr>
        <c:crossAx val="574728255"/>
        <c:crosses val="autoZero"/>
        <c:crossBetween val="between"/>
      </c:valAx>
      <c:valAx>
        <c:axId val="685136975"/>
        <c:scaling>
          <c:orientation val="minMax"/>
          <c:min val="0.5"/>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bg1"/>
                </a:solidFill>
                <a:latin typeface="+mn-lt"/>
                <a:ea typeface="+mn-ea"/>
                <a:cs typeface="+mn-cs"/>
              </a:defRPr>
            </a:pPr>
            <a:endParaRPr lang="en-US"/>
          </a:p>
        </c:txPr>
        <c:crossAx val="685136015"/>
        <c:crosses val="max"/>
        <c:crossBetween val="between"/>
      </c:valAx>
      <c:dateAx>
        <c:axId val="685136015"/>
        <c:scaling>
          <c:orientation val="minMax"/>
        </c:scaling>
        <c:delete val="1"/>
        <c:axPos val="b"/>
        <c:numFmt formatCode="mmm\-yy" sourceLinked="1"/>
        <c:majorTickMark val="out"/>
        <c:minorTickMark val="none"/>
        <c:tickLblPos val="nextTo"/>
        <c:crossAx val="685136975"/>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918214563123138E-2"/>
          <c:y val="6.947007815114957E-2"/>
          <c:w val="0.80112192377789038"/>
          <c:h val="0.77773551389284024"/>
        </c:manualLayout>
      </c:layout>
      <c:lineChart>
        <c:grouping val="standard"/>
        <c:varyColors val="0"/>
        <c:ser>
          <c:idx val="1"/>
          <c:order val="1"/>
          <c:tx>
            <c:strRef>
              <c:f>'Figure 2'!$C$2</c:f>
              <c:strCache>
                <c:ptCount val="1"/>
                <c:pt idx="0">
                  <c:v>Recruitment difficulty rate</c:v>
                </c:pt>
              </c:strCache>
            </c:strRef>
          </c:tx>
          <c:spPr>
            <a:ln w="28575" cap="rnd">
              <a:solidFill>
                <a:srgbClr val="012749"/>
              </a:solidFill>
              <a:round/>
            </a:ln>
            <a:effectLst/>
          </c:spPr>
          <c:marker>
            <c:symbol val="none"/>
          </c:marker>
          <c:cat>
            <c:numRef>
              <c:f>'Figure 2'!$A$3:$A$27</c:f>
              <c:numCache>
                <c:formatCode>mmm\-yy</c:formatCode>
                <c:ptCount val="25"/>
                <c:pt idx="0">
                  <c:v>44713</c:v>
                </c:pt>
                <c:pt idx="1">
                  <c:v>44743</c:v>
                </c:pt>
                <c:pt idx="2">
                  <c:v>44774</c:v>
                </c:pt>
                <c:pt idx="3">
                  <c:v>44805</c:v>
                </c:pt>
                <c:pt idx="4">
                  <c:v>44835</c:v>
                </c:pt>
                <c:pt idx="5">
                  <c:v>44866</c:v>
                </c:pt>
                <c:pt idx="6">
                  <c:v>44896</c:v>
                </c:pt>
                <c:pt idx="7">
                  <c:v>44927</c:v>
                </c:pt>
                <c:pt idx="8">
                  <c:v>44958</c:v>
                </c:pt>
                <c:pt idx="9">
                  <c:v>44986</c:v>
                </c:pt>
                <c:pt idx="10">
                  <c:v>45017</c:v>
                </c:pt>
                <c:pt idx="11">
                  <c:v>45047</c:v>
                </c:pt>
                <c:pt idx="12">
                  <c:v>45078</c:v>
                </c:pt>
                <c:pt idx="13">
                  <c:v>45108</c:v>
                </c:pt>
                <c:pt idx="14">
                  <c:v>45139</c:v>
                </c:pt>
                <c:pt idx="15">
                  <c:v>45170</c:v>
                </c:pt>
                <c:pt idx="16">
                  <c:v>45200</c:v>
                </c:pt>
                <c:pt idx="17">
                  <c:v>45231</c:v>
                </c:pt>
                <c:pt idx="18">
                  <c:v>45261</c:v>
                </c:pt>
                <c:pt idx="19">
                  <c:v>45292</c:v>
                </c:pt>
                <c:pt idx="20">
                  <c:v>45323</c:v>
                </c:pt>
                <c:pt idx="21">
                  <c:v>45352</c:v>
                </c:pt>
                <c:pt idx="22">
                  <c:v>45383</c:v>
                </c:pt>
                <c:pt idx="23">
                  <c:v>45413</c:v>
                </c:pt>
                <c:pt idx="24">
                  <c:v>45444</c:v>
                </c:pt>
              </c:numCache>
            </c:numRef>
          </c:cat>
          <c:val>
            <c:numRef>
              <c:f>'Figure 2'!$C$3:$C$27</c:f>
              <c:numCache>
                <c:formatCode>0%</c:formatCode>
                <c:ptCount val="25"/>
                <c:pt idx="0">
                  <c:v>0.67</c:v>
                </c:pt>
                <c:pt idx="1">
                  <c:v>0.75</c:v>
                </c:pt>
                <c:pt idx="2">
                  <c:v>0.74</c:v>
                </c:pt>
                <c:pt idx="3">
                  <c:v>0.67</c:v>
                </c:pt>
                <c:pt idx="4">
                  <c:v>0.7</c:v>
                </c:pt>
                <c:pt idx="5">
                  <c:v>0.69</c:v>
                </c:pt>
                <c:pt idx="6">
                  <c:v>0.65</c:v>
                </c:pt>
                <c:pt idx="7">
                  <c:v>0.56000000000000005</c:v>
                </c:pt>
                <c:pt idx="8">
                  <c:v>0.61</c:v>
                </c:pt>
                <c:pt idx="9">
                  <c:v>0.64</c:v>
                </c:pt>
                <c:pt idx="10">
                  <c:v>0.62</c:v>
                </c:pt>
                <c:pt idx="11">
                  <c:v>0.67</c:v>
                </c:pt>
                <c:pt idx="12">
                  <c:v>0.63</c:v>
                </c:pt>
                <c:pt idx="13">
                  <c:v>0.59</c:v>
                </c:pt>
                <c:pt idx="14">
                  <c:v>0.61</c:v>
                </c:pt>
                <c:pt idx="15">
                  <c:v>0.59</c:v>
                </c:pt>
                <c:pt idx="16">
                  <c:v>0.56000000000000005</c:v>
                </c:pt>
                <c:pt idx="17">
                  <c:v>0.56000000000000005</c:v>
                </c:pt>
                <c:pt idx="18">
                  <c:v>0.51</c:v>
                </c:pt>
                <c:pt idx="19">
                  <c:v>0.55000000000000004</c:v>
                </c:pt>
                <c:pt idx="20">
                  <c:v>0.54</c:v>
                </c:pt>
                <c:pt idx="21">
                  <c:v>0.5</c:v>
                </c:pt>
                <c:pt idx="22">
                  <c:v>0.53</c:v>
                </c:pt>
                <c:pt idx="23">
                  <c:v>0.56000000000000005</c:v>
                </c:pt>
                <c:pt idx="24">
                  <c:v>0.55000000000000004</c:v>
                </c:pt>
              </c:numCache>
            </c:numRef>
          </c:val>
          <c:smooth val="0"/>
          <c:extLst>
            <c:ext xmlns:c16="http://schemas.microsoft.com/office/drawing/2014/chart" uri="{C3380CC4-5D6E-409C-BE32-E72D297353CC}">
              <c16:uniqueId val="{00000000-B3A9-4D7C-9052-3C01CB5A356C}"/>
            </c:ext>
          </c:extLst>
        </c:ser>
        <c:ser>
          <c:idx val="2"/>
          <c:order val="2"/>
          <c:tx>
            <c:strRef>
              <c:f>'Figure 2'!$D$2</c:f>
              <c:strCache>
                <c:ptCount val="1"/>
                <c:pt idx="0">
                  <c:v>Fill rate </c:v>
                </c:pt>
              </c:strCache>
            </c:strRef>
          </c:tx>
          <c:spPr>
            <a:ln w="28575" cap="rnd">
              <a:solidFill>
                <a:srgbClr val="6929C4"/>
              </a:solidFill>
              <a:round/>
            </a:ln>
            <a:effectLst/>
          </c:spPr>
          <c:marker>
            <c:symbol val="none"/>
          </c:marker>
          <c:cat>
            <c:numRef>
              <c:f>'Figure 2'!$A$3:$A$27</c:f>
              <c:numCache>
                <c:formatCode>mmm\-yy</c:formatCode>
                <c:ptCount val="25"/>
                <c:pt idx="0">
                  <c:v>44713</c:v>
                </c:pt>
                <c:pt idx="1">
                  <c:v>44743</c:v>
                </c:pt>
                <c:pt idx="2">
                  <c:v>44774</c:v>
                </c:pt>
                <c:pt idx="3">
                  <c:v>44805</c:v>
                </c:pt>
                <c:pt idx="4">
                  <c:v>44835</c:v>
                </c:pt>
                <c:pt idx="5">
                  <c:v>44866</c:v>
                </c:pt>
                <c:pt idx="6">
                  <c:v>44896</c:v>
                </c:pt>
                <c:pt idx="7">
                  <c:v>44927</c:v>
                </c:pt>
                <c:pt idx="8">
                  <c:v>44958</c:v>
                </c:pt>
                <c:pt idx="9">
                  <c:v>44986</c:v>
                </c:pt>
                <c:pt idx="10">
                  <c:v>45017</c:v>
                </c:pt>
                <c:pt idx="11">
                  <c:v>45047</c:v>
                </c:pt>
                <c:pt idx="12">
                  <c:v>45078</c:v>
                </c:pt>
                <c:pt idx="13">
                  <c:v>45108</c:v>
                </c:pt>
                <c:pt idx="14">
                  <c:v>45139</c:v>
                </c:pt>
                <c:pt idx="15">
                  <c:v>45170</c:v>
                </c:pt>
                <c:pt idx="16">
                  <c:v>45200</c:v>
                </c:pt>
                <c:pt idx="17">
                  <c:v>45231</c:v>
                </c:pt>
                <c:pt idx="18">
                  <c:v>45261</c:v>
                </c:pt>
                <c:pt idx="19">
                  <c:v>45292</c:v>
                </c:pt>
                <c:pt idx="20">
                  <c:v>45323</c:v>
                </c:pt>
                <c:pt idx="21">
                  <c:v>45352</c:v>
                </c:pt>
                <c:pt idx="22">
                  <c:v>45383</c:v>
                </c:pt>
                <c:pt idx="23">
                  <c:v>45413</c:v>
                </c:pt>
                <c:pt idx="24">
                  <c:v>45444</c:v>
                </c:pt>
              </c:numCache>
            </c:numRef>
          </c:cat>
          <c:val>
            <c:numRef>
              <c:f>'Figure 2'!$D$3:$D$27</c:f>
              <c:numCache>
                <c:formatCode>General</c:formatCode>
                <c:ptCount val="25"/>
                <c:pt idx="0" formatCode="0.0%">
                  <c:v>0.5951591277962035</c:v>
                </c:pt>
                <c:pt idx="3" formatCode="0.0%">
                  <c:v>0.58049609242269795</c:v>
                </c:pt>
                <c:pt idx="6" formatCode="0.0%">
                  <c:v>0.58494758036520167</c:v>
                </c:pt>
                <c:pt idx="9" formatCode="0.0%">
                  <c:v>0.60165916760404947</c:v>
                </c:pt>
                <c:pt idx="12" formatCode="0.0%">
                  <c:v>0.61367775005058345</c:v>
                </c:pt>
                <c:pt idx="15" formatCode="0.0%">
                  <c:v>0.62063436737539213</c:v>
                </c:pt>
                <c:pt idx="18" formatCode="0.0%">
                  <c:v>0.63456130483689543</c:v>
                </c:pt>
                <c:pt idx="21" formatCode="0.0%">
                  <c:v>0.6446894365182303</c:v>
                </c:pt>
                <c:pt idx="24" formatCode="0.0%">
                  <c:v>0.66170402136095152</c:v>
                </c:pt>
              </c:numCache>
            </c:numRef>
          </c:val>
          <c:smooth val="0"/>
          <c:extLst>
            <c:ext xmlns:c16="http://schemas.microsoft.com/office/drawing/2014/chart" uri="{C3380CC4-5D6E-409C-BE32-E72D297353CC}">
              <c16:uniqueId val="{00000001-B3A9-4D7C-9052-3C01CB5A356C}"/>
            </c:ext>
          </c:extLst>
        </c:ser>
        <c:dLbls>
          <c:showLegendKey val="0"/>
          <c:showVal val="0"/>
          <c:showCatName val="0"/>
          <c:showSerName val="0"/>
          <c:showPercent val="0"/>
          <c:showBubbleSize val="0"/>
        </c:dLbls>
        <c:marker val="1"/>
        <c:smooth val="0"/>
        <c:axId val="932218352"/>
        <c:axId val="932219184"/>
      </c:lineChart>
      <c:lineChart>
        <c:grouping val="standard"/>
        <c:varyColors val="0"/>
        <c:ser>
          <c:idx val="0"/>
          <c:order val="0"/>
          <c:tx>
            <c:strRef>
              <c:f>'Figure 2'!$B$2</c:f>
              <c:strCache>
                <c:ptCount val="1"/>
                <c:pt idx="0">
                  <c:v>Internet vacancies </c:v>
                </c:pt>
              </c:strCache>
            </c:strRef>
          </c:tx>
          <c:spPr>
            <a:ln w="28575" cap="rnd">
              <a:solidFill>
                <a:srgbClr val="009D9A"/>
              </a:solidFill>
              <a:round/>
            </a:ln>
            <a:effectLst/>
          </c:spPr>
          <c:marker>
            <c:symbol val="none"/>
          </c:marker>
          <c:cat>
            <c:numRef>
              <c:f>'Figure 2'!$A$3:$A$27</c:f>
              <c:numCache>
                <c:formatCode>mmm\-yy</c:formatCode>
                <c:ptCount val="25"/>
                <c:pt idx="0">
                  <c:v>44713</c:v>
                </c:pt>
                <c:pt idx="1">
                  <c:v>44743</c:v>
                </c:pt>
                <c:pt idx="2">
                  <c:v>44774</c:v>
                </c:pt>
                <c:pt idx="3">
                  <c:v>44805</c:v>
                </c:pt>
                <c:pt idx="4">
                  <c:v>44835</c:v>
                </c:pt>
                <c:pt idx="5">
                  <c:v>44866</c:v>
                </c:pt>
                <c:pt idx="6">
                  <c:v>44896</c:v>
                </c:pt>
                <c:pt idx="7">
                  <c:v>44927</c:v>
                </c:pt>
                <c:pt idx="8">
                  <c:v>44958</c:v>
                </c:pt>
                <c:pt idx="9">
                  <c:v>44986</c:v>
                </c:pt>
                <c:pt idx="10">
                  <c:v>45017</c:v>
                </c:pt>
                <c:pt idx="11">
                  <c:v>45047</c:v>
                </c:pt>
                <c:pt idx="12">
                  <c:v>45078</c:v>
                </c:pt>
                <c:pt idx="13">
                  <c:v>45108</c:v>
                </c:pt>
                <c:pt idx="14">
                  <c:v>45139</c:v>
                </c:pt>
                <c:pt idx="15">
                  <c:v>45170</c:v>
                </c:pt>
                <c:pt idx="16">
                  <c:v>45200</c:v>
                </c:pt>
                <c:pt idx="17">
                  <c:v>45231</c:v>
                </c:pt>
                <c:pt idx="18">
                  <c:v>45261</c:v>
                </c:pt>
                <c:pt idx="19">
                  <c:v>45292</c:v>
                </c:pt>
                <c:pt idx="20">
                  <c:v>45323</c:v>
                </c:pt>
                <c:pt idx="21">
                  <c:v>45352</c:v>
                </c:pt>
                <c:pt idx="22">
                  <c:v>45383</c:v>
                </c:pt>
                <c:pt idx="23">
                  <c:v>45413</c:v>
                </c:pt>
                <c:pt idx="24">
                  <c:v>45444</c:v>
                </c:pt>
              </c:numCache>
            </c:numRef>
          </c:cat>
          <c:val>
            <c:numRef>
              <c:f>'Figure 2'!$B$3:$B$27</c:f>
              <c:numCache>
                <c:formatCode>#,##0</c:formatCode>
                <c:ptCount val="25"/>
                <c:pt idx="0">
                  <c:v>304121.79499999998</c:v>
                </c:pt>
                <c:pt idx="1">
                  <c:v>292351.27500000002</c:v>
                </c:pt>
                <c:pt idx="2">
                  <c:v>295479.09000000003</c:v>
                </c:pt>
                <c:pt idx="3">
                  <c:v>282505.33100000001</c:v>
                </c:pt>
                <c:pt idx="4">
                  <c:v>285558.31099999999</c:v>
                </c:pt>
                <c:pt idx="5">
                  <c:v>276352.79300000001</c:v>
                </c:pt>
                <c:pt idx="6">
                  <c:v>275883.016</c:v>
                </c:pt>
                <c:pt idx="7">
                  <c:v>281508.02100000001</c:v>
                </c:pt>
                <c:pt idx="8">
                  <c:v>283766.44</c:v>
                </c:pt>
                <c:pt idx="9">
                  <c:v>282779.3</c:v>
                </c:pt>
                <c:pt idx="10">
                  <c:v>292010.201</c:v>
                </c:pt>
                <c:pt idx="11">
                  <c:v>283181.20899999997</c:v>
                </c:pt>
                <c:pt idx="12">
                  <c:v>277293.30900000001</c:v>
                </c:pt>
                <c:pt idx="13">
                  <c:v>280269.28000000003</c:v>
                </c:pt>
                <c:pt idx="14">
                  <c:v>276365.10200000001</c:v>
                </c:pt>
                <c:pt idx="15">
                  <c:v>269333.37300000002</c:v>
                </c:pt>
                <c:pt idx="16">
                  <c:v>258707.99799999999</c:v>
                </c:pt>
                <c:pt idx="17">
                  <c:v>257993.31299999999</c:v>
                </c:pt>
                <c:pt idx="18">
                  <c:v>259205.495</c:v>
                </c:pt>
                <c:pt idx="19">
                  <c:v>253918.41500000001</c:v>
                </c:pt>
                <c:pt idx="20">
                  <c:v>247528.42199999999</c:v>
                </c:pt>
                <c:pt idx="21">
                  <c:v>247080.185</c:v>
                </c:pt>
                <c:pt idx="22">
                  <c:v>239185.76500000001</c:v>
                </c:pt>
                <c:pt idx="23">
                  <c:v>239610.51300000001</c:v>
                </c:pt>
                <c:pt idx="24">
                  <c:v>227523.041</c:v>
                </c:pt>
              </c:numCache>
            </c:numRef>
          </c:val>
          <c:smooth val="0"/>
          <c:extLst>
            <c:ext xmlns:c16="http://schemas.microsoft.com/office/drawing/2014/chart" uri="{C3380CC4-5D6E-409C-BE32-E72D297353CC}">
              <c16:uniqueId val="{00000002-B3A9-4D7C-9052-3C01CB5A356C}"/>
            </c:ext>
          </c:extLst>
        </c:ser>
        <c:dLbls>
          <c:showLegendKey val="0"/>
          <c:showVal val="0"/>
          <c:showCatName val="0"/>
          <c:showSerName val="0"/>
          <c:showPercent val="0"/>
          <c:showBubbleSize val="0"/>
        </c:dLbls>
        <c:marker val="1"/>
        <c:smooth val="0"/>
        <c:axId val="855454288"/>
        <c:axId val="855463856"/>
      </c:lineChart>
      <c:dateAx>
        <c:axId val="932218352"/>
        <c:scaling>
          <c:orientation val="minMax"/>
        </c:scaling>
        <c:delete val="0"/>
        <c:axPos val="b"/>
        <c:numFmt formatCode="mmm\-yy"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219184"/>
        <c:crosses val="autoZero"/>
        <c:auto val="1"/>
        <c:lblOffset val="100"/>
        <c:baseTimeUnit val="months"/>
        <c:majorUnit val="3"/>
        <c:majorTimeUnit val="months"/>
      </c:dateAx>
      <c:valAx>
        <c:axId val="932219184"/>
        <c:scaling>
          <c:orientation val="minMax"/>
          <c:max val="0.9"/>
          <c:min val="0.30000000000000004"/>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218352"/>
        <c:crosses val="autoZero"/>
        <c:crossBetween val="between"/>
      </c:valAx>
      <c:valAx>
        <c:axId val="855463856"/>
        <c:scaling>
          <c:orientation val="minMax"/>
          <c:max val="350000"/>
          <c:min val="200000"/>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5454288"/>
        <c:crosses val="max"/>
        <c:crossBetween val="between"/>
        <c:majorUnit val="10000"/>
        <c:dispUnits>
          <c:builtInUnit val="thousands"/>
          <c:dispUnitsLbl>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dispUnitsLbl>
        </c:dispUnits>
      </c:valAx>
      <c:dateAx>
        <c:axId val="855454288"/>
        <c:scaling>
          <c:orientation val="minMax"/>
        </c:scaling>
        <c:delete val="1"/>
        <c:axPos val="b"/>
        <c:numFmt formatCode="mmm\-yy" sourceLinked="1"/>
        <c:majorTickMark val="out"/>
        <c:minorTickMark val="none"/>
        <c:tickLblPos val="nextTo"/>
        <c:crossAx val="855463856"/>
        <c:crosses val="autoZero"/>
        <c:auto val="1"/>
        <c:lblOffset val="100"/>
        <c:baseTimeUnit val="months"/>
        <c:majorUnit val="1"/>
        <c:minorUnit val="1"/>
      </c:dateAx>
      <c:spPr>
        <a:noFill/>
        <a:ln>
          <a:noFill/>
        </a:ln>
        <a:effectLst/>
      </c:spPr>
    </c:plotArea>
    <c:legend>
      <c:legendPos val="b"/>
      <c:layout>
        <c:manualLayout>
          <c:xMode val="edge"/>
          <c:yMode val="edge"/>
          <c:x val="6.7969291629101314E-2"/>
          <c:y val="0.88444240706739163"/>
          <c:w val="0.78705842071994014"/>
          <c:h val="9.037133892021188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880057582829845E-3"/>
          <c:y val="0.10893051781474178"/>
          <c:w val="0.98265168931445901"/>
          <c:h val="0.75144740353395567"/>
        </c:manualLayout>
      </c:layout>
      <c:barChart>
        <c:barDir val="col"/>
        <c:grouping val="clustered"/>
        <c:varyColors val="0"/>
        <c:ser>
          <c:idx val="1"/>
          <c:order val="1"/>
          <c:tx>
            <c:strRef>
              <c:f>'Metro_Regional chart'!$D$1</c:f>
              <c:strCache>
                <c:ptCount val="1"/>
                <c:pt idx="0">
                  <c:v>Applicants per vacancy</c:v>
                </c:pt>
              </c:strCache>
            </c:strRef>
          </c:tx>
          <c:spPr>
            <a:solidFill>
              <a:srgbClr val="6929C4"/>
            </a:solidFill>
            <a:ln>
              <a:noFill/>
            </a:ln>
            <a:effectLst/>
          </c:spPr>
          <c:invertIfNegative val="0"/>
          <c:dLbls>
            <c:spPr>
              <a:noFill/>
              <a:ln>
                <a:noFill/>
              </a:ln>
              <a:effectLst/>
            </c:spPr>
            <c:txPr>
              <a:bodyPr rot="0" spcFirstLastPara="1" vertOverflow="ellipsis" vert="horz" wrap="square" lIns="0" tIns="0" rIns="0" bIns="0" anchor="ctr" anchorCtr="1">
                <a:spAutoFit/>
              </a:bodyPr>
              <a:lstStyle/>
              <a:p>
                <a:pPr>
                  <a:defRPr sz="6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'Metro_Regional chart'!$B$2:$B$10</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'Metro_Regional chart'!$D$2:$D$10</c:f>
              <c:numCache>
                <c:formatCode>0.0</c:formatCode>
                <c:ptCount val="9"/>
                <c:pt idx="0">
                  <c:v>14.554726850058117</c:v>
                </c:pt>
                <c:pt idx="1">
                  <c:v>14.1315232397607</c:v>
                </c:pt>
                <c:pt idx="2">
                  <c:v>14.939393939393939</c:v>
                </c:pt>
                <c:pt idx="3">
                  <c:v>16.41449105309475</c:v>
                </c:pt>
                <c:pt idx="4">
                  <c:v>18.205113473139903</c:v>
                </c:pt>
                <c:pt idx="5">
                  <c:v>19.939979654120041</c:v>
                </c:pt>
                <c:pt idx="6">
                  <c:v>21.401254885825963</c:v>
                </c:pt>
                <c:pt idx="7">
                  <c:v>24.391077212412497</c:v>
                </c:pt>
                <c:pt idx="8">
                  <c:v>28.048690913398886</c:v>
                </c:pt>
              </c:numCache>
            </c:numRef>
          </c:val>
          <c:extLst>
            <c:ext xmlns:c16="http://schemas.microsoft.com/office/drawing/2014/chart" uri="{C3380CC4-5D6E-409C-BE32-E72D297353CC}">
              <c16:uniqueId val="{00000000-18A1-428F-BD37-7DBE344741E6}"/>
            </c:ext>
          </c:extLst>
        </c:ser>
        <c:ser>
          <c:idx val="2"/>
          <c:order val="2"/>
          <c:tx>
            <c:strRef>
              <c:f>'Metro_Regional chart'!$E$1</c:f>
              <c:strCache>
                <c:ptCount val="1"/>
                <c:pt idx="0">
                  <c:v>Qualified applicants per vacancy</c:v>
                </c:pt>
              </c:strCache>
            </c:strRef>
          </c:tx>
          <c:spPr>
            <a:solidFill>
              <a:srgbClr val="009D9A"/>
            </a:solidFill>
            <a:ln>
              <a:noFill/>
            </a:ln>
            <a:effectLst/>
          </c:spPr>
          <c:invertIfNegative val="0"/>
          <c:dLbls>
            <c:spPr>
              <a:noFill/>
              <a:ln>
                <a:noFill/>
              </a:ln>
              <a:effectLst/>
            </c:spPr>
            <c:txPr>
              <a:bodyPr rot="0" spcFirstLastPara="1" vertOverflow="ellipsis" vert="horz" wrap="square" lIns="0" tIns="0" rIns="0" bIns="0" anchor="ctr" anchorCtr="1">
                <a:spAutoFit/>
              </a:bodyPr>
              <a:lstStyle/>
              <a:p>
                <a:pPr>
                  <a:defRPr sz="6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'Metro_Regional chart'!$B$2:$B$10</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'Metro_Regional chart'!$E$2:$E$10</c:f>
              <c:numCache>
                <c:formatCode>0.0</c:formatCode>
                <c:ptCount val="9"/>
                <c:pt idx="0">
                  <c:v>5.3796036829463567</c:v>
                </c:pt>
                <c:pt idx="1">
                  <c:v>5.1387432058739391</c:v>
                </c:pt>
                <c:pt idx="2">
                  <c:v>5.3512103916551856</c:v>
                </c:pt>
                <c:pt idx="3">
                  <c:v>5.7816080196399344</c:v>
                </c:pt>
                <c:pt idx="4">
                  <c:v>6.4471114727420664</c:v>
                </c:pt>
                <c:pt idx="5">
                  <c:v>6.9514329468387661</c:v>
                </c:pt>
                <c:pt idx="6">
                  <c:v>7.3203971119133575</c:v>
                </c:pt>
                <c:pt idx="7">
                  <c:v>8.0614146060954575</c:v>
                </c:pt>
                <c:pt idx="8">
                  <c:v>8.8634286460373417</c:v>
                </c:pt>
              </c:numCache>
            </c:numRef>
          </c:val>
          <c:extLst>
            <c:ext xmlns:c16="http://schemas.microsoft.com/office/drawing/2014/chart" uri="{C3380CC4-5D6E-409C-BE32-E72D297353CC}">
              <c16:uniqueId val="{00000001-18A1-428F-BD37-7DBE344741E6}"/>
            </c:ext>
          </c:extLst>
        </c:ser>
        <c:ser>
          <c:idx val="3"/>
          <c:order val="3"/>
          <c:tx>
            <c:strRef>
              <c:f>'Metro_Regional chart'!$F$1</c:f>
              <c:strCache>
                <c:ptCount val="1"/>
                <c:pt idx="0">
                  <c:v>Suitable applicants per vacancy</c:v>
                </c:pt>
              </c:strCache>
            </c:strRef>
          </c:tx>
          <c:spPr>
            <a:solidFill>
              <a:srgbClr val="012749"/>
            </a:solidFill>
            <a:ln>
              <a:noFill/>
            </a:ln>
            <a:effectLst/>
          </c:spPr>
          <c:invertIfNegative val="0"/>
          <c:dLbls>
            <c:spPr>
              <a:noFill/>
              <a:ln>
                <a:noFill/>
              </a:ln>
              <a:effectLst/>
            </c:spPr>
            <c:txPr>
              <a:bodyPr rot="0" spcFirstLastPara="1" vertOverflow="ellipsis" vert="horz" wrap="square" lIns="0" tIns="0" rIns="0" bIns="0" anchor="ctr" anchorCtr="1">
                <a:spAutoFit/>
              </a:bodyPr>
              <a:lstStyle/>
              <a:p>
                <a:pPr>
                  <a:defRPr sz="6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numRef>
              <c:f>'Metro_Regional chart'!$B$2:$B$10</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'Metro_Regional chart'!$F$2:$F$10</c:f>
              <c:numCache>
                <c:formatCode>0.0</c:formatCode>
                <c:ptCount val="9"/>
                <c:pt idx="0">
                  <c:v>2.3964548624564124</c:v>
                </c:pt>
                <c:pt idx="1">
                  <c:v>2.27731247123792</c:v>
                </c:pt>
                <c:pt idx="2">
                  <c:v>2.3931818181818181</c:v>
                </c:pt>
                <c:pt idx="3">
                  <c:v>2.6330302141390436</c:v>
                </c:pt>
                <c:pt idx="4">
                  <c:v>2.8257205783778607</c:v>
                </c:pt>
                <c:pt idx="5">
                  <c:v>2.9530010172939978</c:v>
                </c:pt>
                <c:pt idx="6">
                  <c:v>3.0083316190084344</c:v>
                </c:pt>
                <c:pt idx="7">
                  <c:v>3.1772019642670566</c:v>
                </c:pt>
                <c:pt idx="8">
                  <c:v>3.3368084350195475</c:v>
                </c:pt>
              </c:numCache>
            </c:numRef>
          </c:val>
          <c:extLst>
            <c:ext xmlns:c16="http://schemas.microsoft.com/office/drawing/2014/chart" uri="{C3380CC4-5D6E-409C-BE32-E72D297353CC}">
              <c16:uniqueId val="{00000002-18A1-428F-BD37-7DBE344741E6}"/>
            </c:ext>
          </c:extLst>
        </c:ser>
        <c:dLbls>
          <c:showLegendKey val="0"/>
          <c:showVal val="0"/>
          <c:showCatName val="0"/>
          <c:showSerName val="0"/>
          <c:showPercent val="0"/>
          <c:showBubbleSize val="0"/>
        </c:dLbls>
        <c:gapWidth val="70"/>
        <c:axId val="574728255"/>
        <c:axId val="574724895"/>
      </c:barChart>
      <c:lineChart>
        <c:grouping val="standard"/>
        <c:varyColors val="0"/>
        <c:ser>
          <c:idx val="0"/>
          <c:order val="0"/>
          <c:tx>
            <c:strRef>
              <c:f>'Metro_Regional chart'!$C$1</c:f>
              <c:strCache>
                <c:ptCount val="1"/>
                <c:pt idx="0">
                  <c:v>Fill rate</c:v>
                </c:pt>
              </c:strCache>
            </c:strRef>
          </c:tx>
          <c:spPr>
            <a:ln w="28575" cap="rnd">
              <a:noFill/>
              <a:round/>
            </a:ln>
            <a:effectLst/>
          </c:spPr>
          <c:marker>
            <c:symbol val="dash"/>
            <c:size val="17"/>
            <c:spPr>
              <a:solidFill>
                <a:srgbClr val="EE538B"/>
              </a:solidFill>
              <a:ln w="9525">
                <a:solidFill>
                  <a:srgbClr val="EE538B"/>
                </a:solidFill>
              </a:ln>
              <a:effectLst/>
            </c:spPr>
          </c:marker>
          <c:dLbls>
            <c:spPr>
              <a:noFill/>
              <a:ln>
                <a:noFill/>
              </a:ln>
              <a:effectLst/>
            </c:spPr>
            <c:txPr>
              <a:bodyPr rot="0" spcFirstLastPara="1" vertOverflow="ellipsis" vert="horz" wrap="square" lIns="0" tIns="0" rIns="0" bIns="0"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numRef>
              <c:f>'Metro_Regional chart'!$B$2:$B$10</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'Metro_Regional chart'!$C$2:$C$10</c:f>
              <c:numCache>
                <c:formatCode>0.0%</c:formatCode>
                <c:ptCount val="9"/>
                <c:pt idx="0">
                  <c:v>0.59628051142967842</c:v>
                </c:pt>
                <c:pt idx="1">
                  <c:v>0.58048780487804874</c:v>
                </c:pt>
                <c:pt idx="2">
                  <c:v>0.58958333333333335</c:v>
                </c:pt>
                <c:pt idx="3">
                  <c:v>0.60643394934976047</c:v>
                </c:pt>
                <c:pt idx="4">
                  <c:v>0.62663985444795556</c:v>
                </c:pt>
                <c:pt idx="5">
                  <c:v>0.64252288911495425</c:v>
                </c:pt>
                <c:pt idx="6">
                  <c:v>0.65603785229376677</c:v>
                </c:pt>
                <c:pt idx="7">
                  <c:v>0.66273116706718216</c:v>
                </c:pt>
                <c:pt idx="8">
                  <c:v>0.68036962445207916</c:v>
                </c:pt>
              </c:numCache>
            </c:numRef>
          </c:val>
          <c:smooth val="0"/>
          <c:extLst>
            <c:ext xmlns:c16="http://schemas.microsoft.com/office/drawing/2014/chart" uri="{C3380CC4-5D6E-409C-BE32-E72D297353CC}">
              <c16:uniqueId val="{00000007-18A1-428F-BD37-7DBE344741E6}"/>
            </c:ext>
          </c:extLst>
        </c:ser>
        <c:dLbls>
          <c:showLegendKey val="0"/>
          <c:showVal val="0"/>
          <c:showCatName val="0"/>
          <c:showSerName val="0"/>
          <c:showPercent val="0"/>
          <c:showBubbleSize val="0"/>
        </c:dLbls>
        <c:marker val="1"/>
        <c:smooth val="0"/>
        <c:axId val="685181119"/>
        <c:axId val="685184959"/>
        <c:extLst>
          <c:ext xmlns:c15="http://schemas.microsoft.com/office/drawing/2012/chart" uri="{02D57815-91ED-43cb-92C2-25804820EDAC}">
            <c15:filteredLineSeries>
              <c15:ser>
                <c:idx val="4"/>
                <c:order val="4"/>
                <c:tx>
                  <c:strRef>
                    <c:extLst>
                      <c:ext uri="{02D57815-91ED-43cb-92C2-25804820EDAC}">
                        <c15:formulaRef>
                          <c15:sqref>'Metro_Regional chart'!$G$1</c15:sqref>
                        </c15:formulaRef>
                      </c:ext>
                    </c:extLst>
                    <c:strCache>
                      <c:ptCount val="1"/>
                      <c:pt idx="0">
                        <c:v>Suitability gap</c:v>
                      </c:pt>
                    </c:strCache>
                  </c:strRef>
                </c:tx>
                <c:spPr>
                  <a:ln w="25400" cap="rnd">
                    <a:noFill/>
                    <a:round/>
                  </a:ln>
                  <a:effectLst/>
                </c:spPr>
                <c:marker>
                  <c:symbol val="circle"/>
                  <c:size val="5"/>
                  <c:spPr>
                    <a:solidFill>
                      <a:schemeClr val="accent5"/>
                    </a:solidFill>
                    <a:ln w="9525">
                      <a:solidFill>
                        <a:schemeClr val="accent5"/>
                      </a:solidFill>
                    </a:ln>
                    <a:effectLst/>
                  </c:spPr>
                </c:marker>
                <c:cat>
                  <c:numRef>
                    <c:extLst>
                      <c:ext uri="{02D57815-91ED-43cb-92C2-25804820EDAC}">
                        <c15:formulaRef>
                          <c15:sqref>'Metro_Regional chart'!$B$2:$B$10</c15:sqref>
                        </c15:formulaRef>
                      </c:ext>
                    </c:extLst>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extLst>
                      <c:ext uri="{02D57815-91ED-43cb-92C2-25804820EDAC}">
                        <c15:formulaRef>
                          <c15:sqref>'Metro_Regional chart'!$G$2:$G$10</c15:sqref>
                        </c15:formulaRef>
                      </c:ext>
                    </c:extLst>
                    <c:numCache>
                      <c:formatCode>0.0%</c:formatCode>
                      <c:ptCount val="9"/>
                      <c:pt idx="0">
                        <c:v>0.55452947769120842</c:v>
                      </c:pt>
                      <c:pt idx="1">
                        <c:v>0.55683473954588858</c:v>
                      </c:pt>
                      <c:pt idx="2">
                        <c:v>0.55277747593071525</c:v>
                      </c:pt>
                      <c:pt idx="3">
                        <c:v>0.54458513873740222</c:v>
                      </c:pt>
                      <c:pt idx="4">
                        <c:v>0.56170750415518511</c:v>
                      </c:pt>
                      <c:pt idx="5">
                        <c:v>0.57519535326354476</c:v>
                      </c:pt>
                      <c:pt idx="6">
                        <c:v>0.58904802935996237</c:v>
                      </c:pt>
                      <c:pt idx="7">
                        <c:v>0.60587538049901479</c:v>
                      </c:pt>
                      <c:pt idx="8">
                        <c:v>0.62353073869316178</c:v>
                      </c:pt>
                    </c:numCache>
                  </c:numRef>
                </c:val>
                <c:smooth val="0"/>
                <c:extLst>
                  <c:ext xmlns:c16="http://schemas.microsoft.com/office/drawing/2014/chart" uri="{C3380CC4-5D6E-409C-BE32-E72D297353CC}">
                    <c16:uniqueId val="{00000008-18A1-428F-BD37-7DBE344741E6}"/>
                  </c:ext>
                </c:extLst>
              </c15:ser>
            </c15:filteredLineSeries>
          </c:ext>
        </c:extLst>
      </c:lineChart>
      <c:catAx>
        <c:axId val="574728255"/>
        <c:scaling>
          <c:orientation val="minMax"/>
        </c:scaling>
        <c:delete val="0"/>
        <c:axPos val="b"/>
        <c:numFmt formatCode="mmm\ yy" sourceLinked="0"/>
        <c:majorTickMark val="out"/>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74724895"/>
        <c:crosses val="autoZero"/>
        <c:auto val="0"/>
        <c:lblAlgn val="ctr"/>
        <c:lblOffset val="100"/>
        <c:tickLblSkip val="1"/>
        <c:noMultiLvlLbl val="0"/>
      </c:catAx>
      <c:valAx>
        <c:axId val="574724895"/>
        <c:scaling>
          <c:orientation val="minMax"/>
          <c:max val="32"/>
          <c:min val="0"/>
        </c:scaling>
        <c:delete val="0"/>
        <c:axPos val="l"/>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bg1"/>
                </a:solidFill>
                <a:latin typeface="+mn-lt"/>
                <a:ea typeface="+mn-ea"/>
                <a:cs typeface="+mn-cs"/>
              </a:defRPr>
            </a:pPr>
            <a:endParaRPr lang="en-US"/>
          </a:p>
        </c:txPr>
        <c:crossAx val="574728255"/>
        <c:crosses val="autoZero"/>
        <c:crossBetween val="between"/>
      </c:valAx>
      <c:valAx>
        <c:axId val="685184959"/>
        <c:scaling>
          <c:orientation val="minMax"/>
          <c:min val="0.5"/>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bg1"/>
                </a:solidFill>
                <a:latin typeface="+mn-lt"/>
                <a:ea typeface="+mn-ea"/>
                <a:cs typeface="+mn-cs"/>
              </a:defRPr>
            </a:pPr>
            <a:endParaRPr lang="en-US"/>
          </a:p>
        </c:txPr>
        <c:crossAx val="685181119"/>
        <c:crosses val="max"/>
        <c:crossBetween val="between"/>
      </c:valAx>
      <c:dateAx>
        <c:axId val="685181119"/>
        <c:scaling>
          <c:orientation val="minMax"/>
        </c:scaling>
        <c:delete val="1"/>
        <c:axPos val="b"/>
        <c:numFmt formatCode="mmm\-yy" sourceLinked="1"/>
        <c:majorTickMark val="out"/>
        <c:minorTickMark val="none"/>
        <c:tickLblPos val="nextTo"/>
        <c:crossAx val="685184959"/>
        <c:crosses val="autoZero"/>
        <c:auto val="1"/>
        <c:lblOffset val="100"/>
        <c:baseTimeUnit val="months"/>
        <c:majorUnit val="1"/>
        <c:minorUnit val="1"/>
      </c:date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880057582829845E-3"/>
          <c:y val="1.4089888043205528E-2"/>
          <c:w val="0.98265168931445901"/>
          <c:h val="0.75144740353395567"/>
        </c:manualLayout>
      </c:layout>
      <c:barChart>
        <c:barDir val="col"/>
        <c:grouping val="clustered"/>
        <c:varyColors val="0"/>
        <c:ser>
          <c:idx val="1"/>
          <c:order val="1"/>
          <c:tx>
            <c:strRef>
              <c:f>'Metro_Regional chart'!$D$16</c:f>
              <c:strCache>
                <c:ptCount val="1"/>
                <c:pt idx="0">
                  <c:v>Applicants per vacancy</c:v>
                </c:pt>
              </c:strCache>
            </c:strRef>
          </c:tx>
          <c:spPr>
            <a:solidFill>
              <a:srgbClr val="6929C4"/>
            </a:solidFill>
            <a:ln>
              <a:noFill/>
            </a:ln>
            <a:effectLst/>
          </c:spPr>
          <c:invertIfNegative val="0"/>
          <c:dLbls>
            <c:spPr>
              <a:noFill/>
              <a:ln>
                <a:noFill/>
              </a:ln>
              <a:effectLst/>
            </c:spPr>
            <c:txPr>
              <a:bodyPr rot="0" spcFirstLastPara="1" vertOverflow="ellipsis" vert="horz" wrap="square" lIns="0" tIns="0" rIns="0" bIns="0" anchor="ctr" anchorCtr="1">
                <a:spAutoFit/>
              </a:bodyPr>
              <a:lstStyle/>
              <a:p>
                <a:pPr>
                  <a:defRPr lang="en-US" sz="6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'Metro_Regional chart'!$B$17:$B$25</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'Metro_Regional chart'!$D$17:$D$25</c:f>
              <c:numCache>
                <c:formatCode>0.0</c:formatCode>
                <c:ptCount val="9"/>
                <c:pt idx="0">
                  <c:v>10.146316851664984</c:v>
                </c:pt>
                <c:pt idx="1">
                  <c:v>9.5810110974106042</c:v>
                </c:pt>
                <c:pt idx="2">
                  <c:v>9.283675937122128</c:v>
                </c:pt>
                <c:pt idx="3">
                  <c:v>9.7967613236329498</c:v>
                </c:pt>
                <c:pt idx="4">
                  <c:v>10.277932661376797</c:v>
                </c:pt>
                <c:pt idx="5">
                  <c:v>10.392431972789115</c:v>
                </c:pt>
                <c:pt idx="6">
                  <c:v>11.114521591871295</c:v>
                </c:pt>
                <c:pt idx="7">
                  <c:v>12.837902007338657</c:v>
                </c:pt>
                <c:pt idx="8">
                  <c:v>14.577410863843024</c:v>
                </c:pt>
              </c:numCache>
            </c:numRef>
          </c:val>
          <c:extLst>
            <c:ext xmlns:c16="http://schemas.microsoft.com/office/drawing/2014/chart" uri="{C3380CC4-5D6E-409C-BE32-E72D297353CC}">
              <c16:uniqueId val="{00000000-8ECF-4FEA-A369-3C1AB08BCCBC}"/>
            </c:ext>
          </c:extLst>
        </c:ser>
        <c:ser>
          <c:idx val="2"/>
          <c:order val="2"/>
          <c:tx>
            <c:strRef>
              <c:f>'Metro_Regional chart'!$E$16</c:f>
              <c:strCache>
                <c:ptCount val="1"/>
                <c:pt idx="0">
                  <c:v>Qualified applicants per vacancy</c:v>
                </c:pt>
              </c:strCache>
            </c:strRef>
          </c:tx>
          <c:spPr>
            <a:solidFill>
              <a:srgbClr val="009D9A"/>
            </a:solidFill>
            <a:ln>
              <a:noFill/>
            </a:ln>
            <a:effectLst/>
          </c:spPr>
          <c:invertIfNegative val="0"/>
          <c:dLbls>
            <c:spPr>
              <a:noFill/>
              <a:ln>
                <a:noFill/>
              </a:ln>
              <a:effectLst/>
            </c:spPr>
            <c:txPr>
              <a:bodyPr rot="0" spcFirstLastPara="1" vertOverflow="ellipsis" vert="horz" wrap="square" lIns="0" tIns="0" rIns="0" bIns="0" anchor="ctr" anchorCtr="1">
                <a:spAutoFit/>
              </a:bodyPr>
              <a:lstStyle/>
              <a:p>
                <a:pPr>
                  <a:defRPr lang="en-US" sz="6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'Metro_Regional chart'!$B$17:$B$25</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'Metro_Regional chart'!$E$17:$E$25</c:f>
              <c:numCache>
                <c:formatCode>0.0</c:formatCode>
                <c:ptCount val="9"/>
                <c:pt idx="0">
                  <c:v>3.6118661787767903</c:v>
                </c:pt>
                <c:pt idx="1">
                  <c:v>3.4188775510204081</c:v>
                </c:pt>
                <c:pt idx="2">
                  <c:v>3.2573639540688966</c:v>
                </c:pt>
                <c:pt idx="3">
                  <c:v>3.2599657617999509</c:v>
                </c:pt>
                <c:pt idx="4">
                  <c:v>3.4389201349831273</c:v>
                </c:pt>
                <c:pt idx="5">
                  <c:v>3.3121321865097331</c:v>
                </c:pt>
                <c:pt idx="6">
                  <c:v>3.5634598012646794</c:v>
                </c:pt>
                <c:pt idx="7">
                  <c:v>4.2178629125317331</c:v>
                </c:pt>
                <c:pt idx="8">
                  <c:v>4.5686123911930361</c:v>
                </c:pt>
              </c:numCache>
            </c:numRef>
          </c:val>
          <c:extLst>
            <c:ext xmlns:c16="http://schemas.microsoft.com/office/drawing/2014/chart" uri="{C3380CC4-5D6E-409C-BE32-E72D297353CC}">
              <c16:uniqueId val="{00000001-8ECF-4FEA-A369-3C1AB08BCCBC}"/>
            </c:ext>
          </c:extLst>
        </c:ser>
        <c:ser>
          <c:idx val="3"/>
          <c:order val="3"/>
          <c:tx>
            <c:strRef>
              <c:f>'Metro_Regional chart'!$F$16</c:f>
              <c:strCache>
                <c:ptCount val="1"/>
                <c:pt idx="0">
                  <c:v>Suitable applicants per vacancy</c:v>
                </c:pt>
              </c:strCache>
            </c:strRef>
          </c:tx>
          <c:spPr>
            <a:solidFill>
              <a:srgbClr val="012749"/>
            </a:solidFill>
            <a:ln>
              <a:noFill/>
            </a:ln>
            <a:effectLst/>
          </c:spPr>
          <c:invertIfNegative val="0"/>
          <c:dLbls>
            <c:spPr>
              <a:noFill/>
              <a:ln>
                <a:noFill/>
              </a:ln>
              <a:effectLst/>
            </c:spPr>
            <c:txPr>
              <a:bodyPr rot="0" spcFirstLastPara="1" vertOverflow="ellipsis" vert="horz" wrap="square" lIns="0" tIns="0" rIns="0" bIns="0" anchor="ctr" anchorCtr="1">
                <a:spAutoFit/>
              </a:bodyPr>
              <a:lstStyle/>
              <a:p>
                <a:pPr>
                  <a:defRPr lang="en-US" sz="6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numRef>
              <c:f>'Metro_Regional chart'!$B$17:$B$25</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'Metro_Regional chart'!$F$17:$F$25</c:f>
              <c:numCache>
                <c:formatCode>0.0</c:formatCode>
                <c:ptCount val="9"/>
                <c:pt idx="0">
                  <c:v>1.8874873864783048</c:v>
                </c:pt>
                <c:pt idx="1">
                  <c:v>1.7287299630086312</c:v>
                </c:pt>
                <c:pt idx="2">
                  <c:v>1.7629987908101572</c:v>
                </c:pt>
                <c:pt idx="3">
                  <c:v>1.8669326449190331</c:v>
                </c:pt>
                <c:pt idx="4">
                  <c:v>1.9631138751876474</c:v>
                </c:pt>
                <c:pt idx="5">
                  <c:v>1.9194302721088434</c:v>
                </c:pt>
                <c:pt idx="6">
                  <c:v>1.8579593564775614</c:v>
                </c:pt>
                <c:pt idx="7">
                  <c:v>1.983811785020505</c:v>
                </c:pt>
                <c:pt idx="8">
                  <c:v>2.0603015075376883</c:v>
                </c:pt>
              </c:numCache>
            </c:numRef>
          </c:val>
          <c:extLst>
            <c:ext xmlns:c16="http://schemas.microsoft.com/office/drawing/2014/chart" uri="{C3380CC4-5D6E-409C-BE32-E72D297353CC}">
              <c16:uniqueId val="{00000002-8ECF-4FEA-A369-3C1AB08BCCBC}"/>
            </c:ext>
          </c:extLst>
        </c:ser>
        <c:dLbls>
          <c:showLegendKey val="0"/>
          <c:showVal val="0"/>
          <c:showCatName val="0"/>
          <c:showSerName val="0"/>
          <c:showPercent val="0"/>
          <c:showBubbleSize val="0"/>
        </c:dLbls>
        <c:gapWidth val="70"/>
        <c:axId val="574728255"/>
        <c:axId val="574724895"/>
      </c:barChart>
      <c:lineChart>
        <c:grouping val="standard"/>
        <c:varyColors val="0"/>
        <c:ser>
          <c:idx val="0"/>
          <c:order val="0"/>
          <c:tx>
            <c:strRef>
              <c:f>'Metro_Regional chart'!$C$16</c:f>
              <c:strCache>
                <c:ptCount val="1"/>
                <c:pt idx="0">
                  <c:v>Fill rate</c:v>
                </c:pt>
              </c:strCache>
            </c:strRef>
          </c:tx>
          <c:spPr>
            <a:ln w="28575" cap="rnd">
              <a:noFill/>
              <a:round/>
            </a:ln>
            <a:effectLst/>
          </c:spPr>
          <c:marker>
            <c:symbol val="dash"/>
            <c:size val="17"/>
            <c:spPr>
              <a:solidFill>
                <a:srgbClr val="EE538B"/>
              </a:solidFill>
              <a:ln w="9525">
                <a:solidFill>
                  <a:srgbClr val="EE538B"/>
                </a:solidFill>
              </a:ln>
              <a:effectLst/>
            </c:spPr>
          </c:marker>
          <c:dLbls>
            <c:spPr>
              <a:noFill/>
              <a:ln>
                <a:noFill/>
              </a:ln>
              <a:effectLst/>
            </c:spPr>
            <c:txPr>
              <a:bodyPr rot="0" spcFirstLastPara="1" vertOverflow="ellipsis" vert="horz" wrap="square" lIns="0" tIns="0" rIns="0" bIns="0" anchor="ctr" anchorCtr="1"/>
              <a:lstStyle/>
              <a:p>
                <a:pPr>
                  <a:defRPr lang="en-US" sz="800" b="0"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numRef>
              <c:f>'Metro_Regional chart'!$B$17:$B$25</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'Metro_Regional chart'!$C$17:$C$25</c:f>
              <c:numCache>
                <c:formatCode>0.0%</c:formatCode>
                <c:ptCount val="9"/>
                <c:pt idx="0">
                  <c:v>0.58526740665993948</c:v>
                </c:pt>
                <c:pt idx="1">
                  <c:v>0.56177558569667074</c:v>
                </c:pt>
                <c:pt idx="2">
                  <c:v>0.56178960096735187</c:v>
                </c:pt>
                <c:pt idx="3">
                  <c:v>0.58084956582961744</c:v>
                </c:pt>
                <c:pt idx="4">
                  <c:v>0.57924083208235044</c:v>
                </c:pt>
                <c:pt idx="5">
                  <c:v>0.58120748299319724</c:v>
                </c:pt>
                <c:pt idx="6">
                  <c:v>0.58890770533446235</c:v>
                </c:pt>
                <c:pt idx="7">
                  <c:v>0.59766889704295278</c:v>
                </c:pt>
                <c:pt idx="8">
                  <c:v>0.61258674324000961</c:v>
                </c:pt>
              </c:numCache>
            </c:numRef>
          </c:val>
          <c:smooth val="0"/>
          <c:extLst>
            <c:ext xmlns:c16="http://schemas.microsoft.com/office/drawing/2014/chart" uri="{C3380CC4-5D6E-409C-BE32-E72D297353CC}">
              <c16:uniqueId val="{00000003-8ECF-4FEA-A369-3C1AB08BCCBC}"/>
            </c:ext>
          </c:extLst>
        </c:ser>
        <c:dLbls>
          <c:showLegendKey val="0"/>
          <c:showVal val="0"/>
          <c:showCatName val="0"/>
          <c:showSerName val="0"/>
          <c:showPercent val="0"/>
          <c:showBubbleSize val="0"/>
        </c:dLbls>
        <c:marker val="1"/>
        <c:smooth val="0"/>
        <c:axId val="685136015"/>
        <c:axId val="685136975"/>
        <c:extLst>
          <c:ext xmlns:c15="http://schemas.microsoft.com/office/drawing/2012/chart" uri="{02D57815-91ED-43cb-92C2-25804820EDAC}">
            <c15:filteredLineSeries>
              <c15:ser>
                <c:idx val="4"/>
                <c:order val="4"/>
                <c:tx>
                  <c:strRef>
                    <c:extLst>
                      <c:ext uri="{02D57815-91ED-43cb-92C2-25804820EDAC}">
                        <c15:formulaRef>
                          <c15:sqref>'Metro_Regional chart'!$G$16</c15:sqref>
                        </c15:formulaRef>
                      </c:ext>
                    </c:extLst>
                    <c:strCache>
                      <c:ptCount val="1"/>
                      <c:pt idx="0">
                        <c:v>Suitability gap</c:v>
                      </c:pt>
                    </c:strCache>
                  </c:strRef>
                </c:tx>
                <c:spPr>
                  <a:ln w="25400" cap="rnd">
                    <a:noFill/>
                    <a:round/>
                  </a:ln>
                  <a:effectLst/>
                </c:spPr>
                <c:marker>
                  <c:symbol val="circle"/>
                  <c:size val="5"/>
                  <c:spPr>
                    <a:solidFill>
                      <a:schemeClr val="accent5"/>
                    </a:solidFill>
                    <a:ln w="9525">
                      <a:solidFill>
                        <a:schemeClr val="accent5"/>
                      </a:solidFill>
                    </a:ln>
                    <a:effectLst/>
                  </c:spPr>
                </c:marker>
                <c:cat>
                  <c:numRef>
                    <c:extLst>
                      <c:ext uri="{02D57815-91ED-43cb-92C2-25804820EDAC}">
                        <c15:formulaRef>
                          <c15:sqref>'Metro_Regional chart'!$B$17:$B$25</c15:sqref>
                        </c15:formulaRef>
                      </c:ext>
                    </c:extLst>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extLst>
                      <c:ext uri="{02D57815-91ED-43cb-92C2-25804820EDAC}">
                        <c15:formulaRef>
                          <c15:sqref>'Metro_Regional chart'!$G$17:$G$25</c15:sqref>
                        </c15:formulaRef>
                      </c:ext>
                    </c:extLst>
                    <c:numCache>
                      <c:formatCode>0.0%</c:formatCode>
                      <c:ptCount val="9"/>
                      <c:pt idx="0">
                        <c:v>0.47742045439858205</c:v>
                      </c:pt>
                      <c:pt idx="1">
                        <c:v>0.49435745000792164</c:v>
                      </c:pt>
                      <c:pt idx="2">
                        <c:v>0.45876518078124839</c:v>
                      </c:pt>
                      <c:pt idx="3">
                        <c:v>0.42731525993443908</c:v>
                      </c:pt>
                      <c:pt idx="4">
                        <c:v>0.42914816333840822</c:v>
                      </c:pt>
                      <c:pt idx="5">
                        <c:v>0.42048500360986329</c:v>
                      </c:pt>
                      <c:pt idx="6">
                        <c:v>0.47860802139028824</c:v>
                      </c:pt>
                      <c:pt idx="7">
                        <c:v>0.52966423372215754</c:v>
                      </c:pt>
                      <c:pt idx="8">
                        <c:v>0.54903123068410142</c:v>
                      </c:pt>
                    </c:numCache>
                  </c:numRef>
                </c:val>
                <c:smooth val="0"/>
                <c:extLst>
                  <c:ext xmlns:c16="http://schemas.microsoft.com/office/drawing/2014/chart" uri="{C3380CC4-5D6E-409C-BE32-E72D297353CC}">
                    <c16:uniqueId val="{00000004-8ECF-4FEA-A369-3C1AB08BCCBC}"/>
                  </c:ext>
                </c:extLst>
              </c15:ser>
            </c15:filteredLineSeries>
          </c:ext>
        </c:extLst>
      </c:lineChart>
      <c:catAx>
        <c:axId val="574728255"/>
        <c:scaling>
          <c:orientation val="minMax"/>
        </c:scaling>
        <c:delete val="0"/>
        <c:axPos val="b"/>
        <c:numFmt formatCode="mmm\ yy" sourceLinked="0"/>
        <c:majorTickMark val="out"/>
        <c:minorTickMark val="none"/>
        <c:tickLblPos val="nextTo"/>
        <c:spPr>
          <a:noFill/>
          <a:ln w="9525" cap="flat" cmpd="sng" algn="ctr">
            <a:noFill/>
            <a:round/>
          </a:ln>
          <a:effectLst/>
        </c:spPr>
        <c:txPr>
          <a:bodyPr rot="-60000000" spcFirstLastPara="1"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crossAx val="574724895"/>
        <c:crossesAt val="0"/>
        <c:auto val="0"/>
        <c:lblAlgn val="ctr"/>
        <c:lblOffset val="100"/>
        <c:tickLblSkip val="1"/>
        <c:noMultiLvlLbl val="0"/>
      </c:catAx>
      <c:valAx>
        <c:axId val="574724895"/>
        <c:scaling>
          <c:orientation val="minMax"/>
          <c:max val="32"/>
          <c:min val="0"/>
        </c:scaling>
        <c:delete val="0"/>
        <c:axPos val="l"/>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lang="en-US" sz="100" b="0" i="0" u="none" strike="noStrike" kern="1200" baseline="0">
                <a:solidFill>
                  <a:schemeClr val="bg1"/>
                </a:solidFill>
                <a:latin typeface="+mn-lt"/>
                <a:ea typeface="+mn-ea"/>
                <a:cs typeface="+mn-cs"/>
              </a:defRPr>
            </a:pPr>
            <a:endParaRPr lang="en-US"/>
          </a:p>
        </c:txPr>
        <c:crossAx val="574728255"/>
        <c:crosses val="autoZero"/>
        <c:crossBetween val="between"/>
      </c:valAx>
      <c:valAx>
        <c:axId val="685136975"/>
        <c:scaling>
          <c:orientation val="minMax"/>
          <c:max val="0.70000000000000007"/>
          <c:min val="0.5"/>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lang="en-US" sz="100" b="0" i="0" u="none" strike="noStrike" kern="1200" baseline="0">
                <a:solidFill>
                  <a:schemeClr val="bg1"/>
                </a:solidFill>
                <a:latin typeface="+mn-lt"/>
                <a:ea typeface="+mn-ea"/>
                <a:cs typeface="+mn-cs"/>
              </a:defRPr>
            </a:pPr>
            <a:endParaRPr lang="en-US"/>
          </a:p>
        </c:txPr>
        <c:crossAx val="685136015"/>
        <c:crosses val="max"/>
        <c:crossBetween val="between"/>
      </c:valAx>
      <c:dateAx>
        <c:axId val="685136015"/>
        <c:scaling>
          <c:orientation val="minMax"/>
        </c:scaling>
        <c:delete val="1"/>
        <c:axPos val="b"/>
        <c:numFmt formatCode="mmm\-yy" sourceLinked="1"/>
        <c:majorTickMark val="out"/>
        <c:minorTickMark val="none"/>
        <c:tickLblPos val="nextTo"/>
        <c:crossAx val="685136975"/>
        <c:crosses val="autoZero"/>
        <c:auto val="1"/>
        <c:lblOffset val="100"/>
        <c:baseTimeUnit val="months"/>
      </c:dateAx>
      <c:spPr>
        <a:noFill/>
        <a:ln>
          <a:noFill/>
        </a:ln>
        <a:effectLst/>
      </c:spPr>
    </c:plotArea>
    <c:legend>
      <c:legendPos val="b"/>
      <c:layout>
        <c:manualLayout>
          <c:xMode val="edge"/>
          <c:yMode val="edge"/>
          <c:x val="5.0000043623355944E-2"/>
          <c:y val="0.86780883705925238"/>
          <c:w val="0.89999991275328806"/>
          <c:h val="5.6318628798107367E-2"/>
        </c:manualLayout>
      </c:layout>
      <c:overlay val="0"/>
      <c:spPr>
        <a:noFill/>
        <a:ln>
          <a:noFill/>
        </a:ln>
        <a:effectLst/>
      </c:spPr>
      <c:txPr>
        <a:bodyPr rot="0" spcFirstLastPara="1"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lgn="ctr">
        <a:defRPr lang="en-US" sz="800" b="0" i="0" u="none" strike="noStrike" kern="1200" baseline="0">
          <a:solidFill>
            <a:schemeClr val="tx1"/>
          </a:solidFill>
          <a:latin typeface="+mn-lt"/>
          <a:ea typeface="+mn-ea"/>
          <a:cs typeface="+mn-cs"/>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r>
              <a:rPr lang="en-AU" sz="900"/>
              <a:t>Skill Level</a:t>
            </a:r>
            <a:r>
              <a:rPr lang="en-AU" sz="900" baseline="0"/>
              <a:t> 1</a:t>
            </a:r>
            <a:endParaRPr lang="en-AU" sz="900"/>
          </a:p>
        </c:rich>
      </c:tx>
      <c:overlay val="0"/>
      <c:spPr>
        <a:noFill/>
        <a:ln>
          <a:noFill/>
        </a:ln>
        <a:effectLst/>
      </c:spPr>
    </c:title>
    <c:autoTitleDeleted val="0"/>
    <c:plotArea>
      <c:layout/>
      <c:barChart>
        <c:barDir val="col"/>
        <c:grouping val="clustered"/>
        <c:varyColors val="0"/>
        <c:ser>
          <c:idx val="1"/>
          <c:order val="1"/>
          <c:tx>
            <c:strRef>
              <c:f>'Figure 5'!$C$2</c:f>
              <c:strCache>
                <c:ptCount val="1"/>
                <c:pt idx="0">
                  <c:v>Applicants per vacancy</c:v>
                </c:pt>
              </c:strCache>
            </c:strRef>
          </c:tx>
          <c:spPr>
            <a:solidFill>
              <a:srgbClr val="6929C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5'!$A$3:$A$11</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'Figure 5'!$C$3:$C$11</c:f>
              <c:numCache>
                <c:formatCode>0.0</c:formatCode>
                <c:ptCount val="9"/>
                <c:pt idx="0">
                  <c:v>15.148687488024526</c:v>
                </c:pt>
                <c:pt idx="1">
                  <c:v>14.987483894717467</c:v>
                </c:pt>
                <c:pt idx="2">
                  <c:v>15.488070636858914</c:v>
                </c:pt>
                <c:pt idx="3">
                  <c:v>16.718251735134121</c:v>
                </c:pt>
                <c:pt idx="4">
                  <c:v>18.530522230063514</c:v>
                </c:pt>
                <c:pt idx="5">
                  <c:v>19.428338171262698</c:v>
                </c:pt>
                <c:pt idx="6">
                  <c:v>20.754176610978519</c:v>
                </c:pt>
                <c:pt idx="7">
                  <c:v>23.144454799627212</c:v>
                </c:pt>
                <c:pt idx="8">
                  <c:v>26.688470296004969</c:v>
                </c:pt>
              </c:numCache>
            </c:numRef>
          </c:val>
          <c:extLst>
            <c:ext xmlns:c16="http://schemas.microsoft.com/office/drawing/2014/chart" uri="{C3380CC4-5D6E-409C-BE32-E72D297353CC}">
              <c16:uniqueId val="{00000000-EFC9-4B8E-9E7C-02CE43E3D77C}"/>
            </c:ext>
          </c:extLst>
        </c:ser>
        <c:ser>
          <c:idx val="2"/>
          <c:order val="2"/>
          <c:tx>
            <c:strRef>
              <c:f>'Figure 5'!$D$2</c:f>
              <c:strCache>
                <c:ptCount val="1"/>
                <c:pt idx="0">
                  <c:v>Qualified applicants per vacancy</c:v>
                </c:pt>
              </c:strCache>
            </c:strRef>
          </c:tx>
          <c:spPr>
            <a:solidFill>
              <a:srgbClr val="009D9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5'!$A$3:$A$11</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'Figure 5'!$D$3:$D$11</c:f>
              <c:numCache>
                <c:formatCode>0.0</c:formatCode>
                <c:ptCount val="9"/>
                <c:pt idx="0">
                  <c:v>6.7967882632831085</c:v>
                </c:pt>
                <c:pt idx="1">
                  <c:v>6.5637021519710528</c:v>
                </c:pt>
                <c:pt idx="2">
                  <c:v>6.545948041876696</c:v>
                </c:pt>
                <c:pt idx="3">
                  <c:v>6.7569457936662136</c:v>
                </c:pt>
                <c:pt idx="4">
                  <c:v>7.6439060205580027</c:v>
                </c:pt>
                <c:pt idx="5">
                  <c:v>7.8388814913448739</c:v>
                </c:pt>
                <c:pt idx="6">
                  <c:v>8.2558139534883725</c:v>
                </c:pt>
                <c:pt idx="7">
                  <c:v>9.0835473039699774</c:v>
                </c:pt>
                <c:pt idx="8">
                  <c:v>9.8974753018660806</c:v>
                </c:pt>
              </c:numCache>
            </c:numRef>
          </c:val>
          <c:extLst>
            <c:ext xmlns:c16="http://schemas.microsoft.com/office/drawing/2014/chart" uri="{C3380CC4-5D6E-409C-BE32-E72D297353CC}">
              <c16:uniqueId val="{00000001-EFC9-4B8E-9E7C-02CE43E3D77C}"/>
            </c:ext>
          </c:extLst>
        </c:ser>
        <c:ser>
          <c:idx val="3"/>
          <c:order val="3"/>
          <c:tx>
            <c:strRef>
              <c:f>'Figure 5'!$E$2</c:f>
              <c:strCache>
                <c:ptCount val="1"/>
                <c:pt idx="0">
                  <c:v>Suitable applicants per vacancy</c:v>
                </c:pt>
              </c:strCache>
            </c:strRef>
          </c:tx>
          <c:spPr>
            <a:solidFill>
              <a:srgbClr val="012749"/>
            </a:solidFill>
            <a:ln>
              <a:noFill/>
            </a:ln>
            <a:effectLst/>
          </c:spPr>
          <c:invertIfNegative val="0"/>
          <c:dLbls>
            <c:spPr>
              <a:noFill/>
              <a:ln>
                <a:noFill/>
              </a:ln>
              <a:effectLst/>
            </c:spPr>
            <c:txPr>
              <a:bodyPr rot="0" spcFirstLastPara="1" vertOverflow="ellipsis" vert="horz" wrap="square" lIns="0" tIns="0" rIns="0" bIns="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'Figure 5'!$A$3:$A$11</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'Figure 5'!$E$3:$E$11</c:f>
              <c:numCache>
                <c:formatCode>0.0</c:formatCode>
                <c:ptCount val="9"/>
                <c:pt idx="0">
                  <c:v>2.4920482851120904</c:v>
                </c:pt>
                <c:pt idx="1">
                  <c:v>2.4167126817596172</c:v>
                </c:pt>
                <c:pt idx="2">
                  <c:v>2.4433590080781515</c:v>
                </c:pt>
                <c:pt idx="3">
                  <c:v>2.6666666666666665</c:v>
                </c:pt>
                <c:pt idx="4">
                  <c:v>2.8246294989414253</c:v>
                </c:pt>
                <c:pt idx="5">
                  <c:v>2.7971698113207548</c:v>
                </c:pt>
                <c:pt idx="6">
                  <c:v>2.8099871488892969</c:v>
                </c:pt>
                <c:pt idx="7">
                  <c:v>2.8533084808946878</c:v>
                </c:pt>
                <c:pt idx="8">
                  <c:v>2.9612916580418132</c:v>
                </c:pt>
              </c:numCache>
            </c:numRef>
          </c:val>
          <c:extLst>
            <c:ext xmlns:c16="http://schemas.microsoft.com/office/drawing/2014/chart" uri="{C3380CC4-5D6E-409C-BE32-E72D297353CC}">
              <c16:uniqueId val="{00000002-EFC9-4B8E-9E7C-02CE43E3D77C}"/>
            </c:ext>
          </c:extLst>
        </c:ser>
        <c:dLbls>
          <c:showLegendKey val="0"/>
          <c:showVal val="0"/>
          <c:showCatName val="0"/>
          <c:showSerName val="0"/>
          <c:showPercent val="0"/>
          <c:showBubbleSize val="0"/>
        </c:dLbls>
        <c:gapWidth val="70"/>
        <c:axId val="574728255"/>
        <c:axId val="574724895"/>
      </c:barChart>
      <c:lineChart>
        <c:grouping val="standard"/>
        <c:varyColors val="0"/>
        <c:ser>
          <c:idx val="0"/>
          <c:order val="0"/>
          <c:tx>
            <c:strRef>
              <c:f>'Figure 5'!$B$2</c:f>
              <c:strCache>
                <c:ptCount val="1"/>
                <c:pt idx="0">
                  <c:v>Fill rate</c:v>
                </c:pt>
              </c:strCache>
            </c:strRef>
          </c:tx>
          <c:spPr>
            <a:ln w="28575" cap="rnd">
              <a:noFill/>
              <a:round/>
            </a:ln>
            <a:effectLst/>
          </c:spPr>
          <c:marker>
            <c:symbol val="dash"/>
            <c:size val="17"/>
            <c:spPr>
              <a:solidFill>
                <a:srgbClr val="EE538B"/>
              </a:solidFill>
              <a:ln w="9525">
                <a:solidFill>
                  <a:srgbClr val="EE538B"/>
                </a:solidFill>
              </a:ln>
              <a:effectLst/>
            </c:spPr>
          </c:marker>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5'!$A$3:$A$11</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'Figure 5'!$B$3:$B$11</c:f>
              <c:numCache>
                <c:formatCode>0.0%</c:formatCode>
                <c:ptCount val="9"/>
                <c:pt idx="0">
                  <c:v>0.62100019160758768</c:v>
                </c:pt>
                <c:pt idx="1">
                  <c:v>0.60574268360022088</c:v>
                </c:pt>
                <c:pt idx="2">
                  <c:v>0.60886718016156305</c:v>
                </c:pt>
                <c:pt idx="3">
                  <c:v>0.6280247608328644</c:v>
                </c:pt>
                <c:pt idx="4">
                  <c:v>0.63814396612561752</c:v>
                </c:pt>
                <c:pt idx="5">
                  <c:v>0.64296081277213357</c:v>
                </c:pt>
                <c:pt idx="6">
                  <c:v>0.65063337617036898</c:v>
                </c:pt>
                <c:pt idx="7">
                  <c:v>0.6594594594594595</c:v>
                </c:pt>
                <c:pt idx="8">
                  <c:v>0.67335955288760097</c:v>
                </c:pt>
              </c:numCache>
            </c:numRef>
          </c:val>
          <c:smooth val="0"/>
          <c:extLst>
            <c:ext xmlns:c16="http://schemas.microsoft.com/office/drawing/2014/chart" uri="{C3380CC4-5D6E-409C-BE32-E72D297353CC}">
              <c16:uniqueId val="{00000007-EFC9-4B8E-9E7C-02CE43E3D77C}"/>
            </c:ext>
          </c:extLst>
        </c:ser>
        <c:dLbls>
          <c:showLegendKey val="0"/>
          <c:showVal val="0"/>
          <c:showCatName val="0"/>
          <c:showSerName val="0"/>
          <c:showPercent val="0"/>
          <c:showBubbleSize val="0"/>
        </c:dLbls>
        <c:marker val="1"/>
        <c:smooth val="0"/>
        <c:axId val="685136015"/>
        <c:axId val="685136975"/>
      </c:lineChart>
      <c:catAx>
        <c:axId val="574728255"/>
        <c:scaling>
          <c:orientation val="minMax"/>
        </c:scaling>
        <c:delete val="0"/>
        <c:axPos val="b"/>
        <c:numFmt formatCode="mmm\-yy" sourceLinked="1"/>
        <c:majorTickMark val="none"/>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74724895"/>
        <c:crosses val="autoZero"/>
        <c:auto val="0"/>
        <c:lblAlgn val="ctr"/>
        <c:lblOffset val="100"/>
        <c:tickLblSkip val="1"/>
        <c:noMultiLvlLbl val="0"/>
      </c:catAx>
      <c:valAx>
        <c:axId val="574724895"/>
        <c:scaling>
          <c:orientation val="minMax"/>
          <c:max val="32"/>
          <c:min val="0"/>
        </c:scaling>
        <c:delete val="0"/>
        <c:axPos val="l"/>
        <c:numFmt formatCode="0" sourceLinked="0"/>
        <c:majorTickMark val="out"/>
        <c:minorTickMark val="none"/>
        <c:tickLblPos val="none"/>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74728255"/>
        <c:crosses val="autoZero"/>
        <c:crossBetween val="between"/>
      </c:valAx>
      <c:valAx>
        <c:axId val="685136975"/>
        <c:scaling>
          <c:orientation val="minMax"/>
          <c:max val="0.7400000000000001"/>
          <c:min val="0.30000000000000004"/>
        </c:scaling>
        <c:delete val="0"/>
        <c:axPos val="r"/>
        <c:numFmt formatCode="0%" sourceLinked="0"/>
        <c:majorTickMark val="out"/>
        <c:minorTickMark val="none"/>
        <c:tickLblPos val="none"/>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85136015"/>
        <c:crosses val="max"/>
        <c:crossBetween val="between"/>
      </c:valAx>
      <c:dateAx>
        <c:axId val="685136015"/>
        <c:scaling>
          <c:orientation val="minMax"/>
        </c:scaling>
        <c:delete val="1"/>
        <c:axPos val="b"/>
        <c:numFmt formatCode="mmm\-yy" sourceLinked="1"/>
        <c:majorTickMark val="out"/>
        <c:minorTickMark val="none"/>
        <c:tickLblPos val="nextTo"/>
        <c:crossAx val="685136975"/>
        <c:crosses val="autoZero"/>
        <c:auto val="1"/>
        <c:lblOffset val="100"/>
        <c:baseTimeUnit val="months"/>
      </c:date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AU" sz="900"/>
              <a:t>Skil</a:t>
            </a:r>
            <a:r>
              <a:rPr lang="en-AU" sz="900" baseline="0"/>
              <a:t>l Level 2</a:t>
            </a:r>
            <a:endParaRPr lang="en-AU" sz="900"/>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'Figure 5'!$C$16</c:f>
              <c:strCache>
                <c:ptCount val="1"/>
                <c:pt idx="0">
                  <c:v>Applicants per vacancy</c:v>
                </c:pt>
              </c:strCache>
            </c:strRef>
          </c:tx>
          <c:spPr>
            <a:solidFill>
              <a:srgbClr val="6929C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5'!$A$17:$A$25</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'Figure 5'!$C$17:$C$25</c:f>
              <c:numCache>
                <c:formatCode>0.0</c:formatCode>
                <c:ptCount val="9"/>
                <c:pt idx="0">
                  <c:v>16.761570247933886</c:v>
                </c:pt>
                <c:pt idx="1">
                  <c:v>16.914308811641067</c:v>
                </c:pt>
                <c:pt idx="2">
                  <c:v>16.99878197320341</c:v>
                </c:pt>
                <c:pt idx="3">
                  <c:v>17.873508353221958</c:v>
                </c:pt>
                <c:pt idx="4">
                  <c:v>19.657006748709804</c:v>
                </c:pt>
                <c:pt idx="5">
                  <c:v>20.16809116809117</c:v>
                </c:pt>
                <c:pt idx="6">
                  <c:v>22.064822460776217</c:v>
                </c:pt>
                <c:pt idx="7">
                  <c:v>24.782942430703624</c:v>
                </c:pt>
                <c:pt idx="8">
                  <c:v>27.135109419600379</c:v>
                </c:pt>
              </c:numCache>
            </c:numRef>
          </c:val>
          <c:extLst>
            <c:ext xmlns:c16="http://schemas.microsoft.com/office/drawing/2014/chart" uri="{C3380CC4-5D6E-409C-BE32-E72D297353CC}">
              <c16:uniqueId val="{00000000-A140-4927-9931-EAE82544E9A6}"/>
            </c:ext>
          </c:extLst>
        </c:ser>
        <c:ser>
          <c:idx val="2"/>
          <c:order val="2"/>
          <c:tx>
            <c:strRef>
              <c:f>'Figure 5'!$D$16</c:f>
              <c:strCache>
                <c:ptCount val="1"/>
                <c:pt idx="0">
                  <c:v>Qualified applicants per vacancy</c:v>
                </c:pt>
              </c:strCache>
            </c:strRef>
          </c:tx>
          <c:spPr>
            <a:solidFill>
              <a:srgbClr val="009D9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5'!$A$17:$A$25</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'Figure 5'!$D$17:$D$25</c:f>
              <c:numCache>
                <c:formatCode>0.0</c:formatCode>
                <c:ptCount val="9"/>
                <c:pt idx="0">
                  <c:v>5.7548138639281126</c:v>
                </c:pt>
                <c:pt idx="1">
                  <c:v>5.5354430379746837</c:v>
                </c:pt>
                <c:pt idx="2">
                  <c:v>5.5567360815979603</c:v>
                </c:pt>
                <c:pt idx="3">
                  <c:v>5.5996614473127382</c:v>
                </c:pt>
                <c:pt idx="4">
                  <c:v>5.9355961705831159</c:v>
                </c:pt>
                <c:pt idx="5">
                  <c:v>6.046342571558383</c:v>
                </c:pt>
                <c:pt idx="6">
                  <c:v>6.437178888369921</c:v>
                </c:pt>
                <c:pt idx="7">
                  <c:v>7.2081120231772093</c:v>
                </c:pt>
                <c:pt idx="8">
                  <c:v>7.5520386266094421</c:v>
                </c:pt>
              </c:numCache>
            </c:numRef>
          </c:val>
          <c:extLst>
            <c:ext xmlns:c16="http://schemas.microsoft.com/office/drawing/2014/chart" uri="{C3380CC4-5D6E-409C-BE32-E72D297353CC}">
              <c16:uniqueId val="{00000001-A140-4927-9931-EAE82544E9A6}"/>
            </c:ext>
          </c:extLst>
        </c:ser>
        <c:ser>
          <c:idx val="3"/>
          <c:order val="3"/>
          <c:tx>
            <c:strRef>
              <c:f>'Figure 5'!$E$16</c:f>
              <c:strCache>
                <c:ptCount val="1"/>
                <c:pt idx="0">
                  <c:v>Suitable applicants per vacancy</c:v>
                </c:pt>
              </c:strCache>
            </c:strRef>
          </c:tx>
          <c:spPr>
            <a:solidFill>
              <a:srgbClr val="01274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5'!$A$17:$A$25</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'Figure 5'!$E$17:$E$25</c:f>
              <c:numCache>
                <c:formatCode>0.0</c:formatCode>
                <c:ptCount val="9"/>
                <c:pt idx="0">
                  <c:v>2.8809917355371901</c:v>
                </c:pt>
                <c:pt idx="1">
                  <c:v>2.6851253031527889</c:v>
                </c:pt>
                <c:pt idx="2">
                  <c:v>2.7645148193260254</c:v>
                </c:pt>
                <c:pt idx="3">
                  <c:v>2.8166268894192523</c:v>
                </c:pt>
                <c:pt idx="4">
                  <c:v>3.0464470027788804</c:v>
                </c:pt>
                <c:pt idx="5">
                  <c:v>3.0659340659340661</c:v>
                </c:pt>
                <c:pt idx="6">
                  <c:v>3.1445086705202314</c:v>
                </c:pt>
                <c:pt idx="7">
                  <c:v>3.2695095948827291</c:v>
                </c:pt>
                <c:pt idx="8">
                  <c:v>3.3439581351094194</c:v>
                </c:pt>
              </c:numCache>
            </c:numRef>
          </c:val>
          <c:extLst>
            <c:ext xmlns:c16="http://schemas.microsoft.com/office/drawing/2014/chart" uri="{C3380CC4-5D6E-409C-BE32-E72D297353CC}">
              <c16:uniqueId val="{00000002-A140-4927-9931-EAE82544E9A6}"/>
            </c:ext>
          </c:extLst>
        </c:ser>
        <c:dLbls>
          <c:showLegendKey val="0"/>
          <c:showVal val="0"/>
          <c:showCatName val="0"/>
          <c:showSerName val="0"/>
          <c:showPercent val="0"/>
          <c:showBubbleSize val="0"/>
        </c:dLbls>
        <c:gapWidth val="70"/>
        <c:axId val="574728255"/>
        <c:axId val="574724895"/>
      </c:barChart>
      <c:lineChart>
        <c:grouping val="standard"/>
        <c:varyColors val="0"/>
        <c:ser>
          <c:idx val="0"/>
          <c:order val="0"/>
          <c:tx>
            <c:strRef>
              <c:f>'Figure 5'!$B$16</c:f>
              <c:strCache>
                <c:ptCount val="1"/>
                <c:pt idx="0">
                  <c:v>Fill rate</c:v>
                </c:pt>
              </c:strCache>
            </c:strRef>
          </c:tx>
          <c:spPr>
            <a:ln w="28575" cap="rnd">
              <a:noFill/>
              <a:round/>
            </a:ln>
            <a:effectLst/>
          </c:spPr>
          <c:marker>
            <c:symbol val="dash"/>
            <c:size val="17"/>
            <c:spPr>
              <a:solidFill>
                <a:srgbClr val="EE538B"/>
              </a:solidFill>
              <a:ln w="9525">
                <a:solidFill>
                  <a:srgbClr val="EE538B"/>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5'!$A$17:$A$25</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'Figure 5'!$B$17:$B$25</c:f>
              <c:numCache>
                <c:formatCode>0.0%</c:formatCode>
                <c:ptCount val="9"/>
                <c:pt idx="0">
                  <c:v>0.68099173553719006</c:v>
                </c:pt>
                <c:pt idx="1">
                  <c:v>0.65966046887631369</c:v>
                </c:pt>
                <c:pt idx="2">
                  <c:v>0.67072675598863174</c:v>
                </c:pt>
                <c:pt idx="3">
                  <c:v>0.67700875099443114</c:v>
                </c:pt>
                <c:pt idx="4">
                  <c:v>0.69829297340214369</c:v>
                </c:pt>
                <c:pt idx="5">
                  <c:v>0.70899470899470896</c:v>
                </c:pt>
                <c:pt idx="6">
                  <c:v>0.72460776218001655</c:v>
                </c:pt>
                <c:pt idx="7">
                  <c:v>0.73347547974413652</c:v>
                </c:pt>
                <c:pt idx="8">
                  <c:v>0.73549000951474786</c:v>
                </c:pt>
              </c:numCache>
            </c:numRef>
          </c:val>
          <c:smooth val="0"/>
          <c:extLst>
            <c:ext xmlns:c16="http://schemas.microsoft.com/office/drawing/2014/chart" uri="{C3380CC4-5D6E-409C-BE32-E72D297353CC}">
              <c16:uniqueId val="{00000007-A140-4927-9931-EAE82544E9A6}"/>
            </c:ext>
          </c:extLst>
        </c:ser>
        <c:dLbls>
          <c:showLegendKey val="0"/>
          <c:showVal val="0"/>
          <c:showCatName val="0"/>
          <c:showSerName val="0"/>
          <c:showPercent val="0"/>
          <c:showBubbleSize val="0"/>
        </c:dLbls>
        <c:marker val="1"/>
        <c:smooth val="0"/>
        <c:axId val="685136015"/>
        <c:axId val="685136975"/>
      </c:lineChart>
      <c:catAx>
        <c:axId val="574728255"/>
        <c:scaling>
          <c:orientation val="minMax"/>
        </c:scaling>
        <c:delete val="0"/>
        <c:axPos val="b"/>
        <c:numFmt formatCode="mmm\-yy" sourceLinked="1"/>
        <c:majorTickMark val="none"/>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74724895"/>
        <c:crosses val="autoZero"/>
        <c:auto val="0"/>
        <c:lblAlgn val="ctr"/>
        <c:lblOffset val="100"/>
        <c:tickLblSkip val="1"/>
        <c:noMultiLvlLbl val="0"/>
      </c:catAx>
      <c:valAx>
        <c:axId val="574724895"/>
        <c:scaling>
          <c:orientation val="minMax"/>
          <c:max val="30"/>
          <c:min val="0"/>
        </c:scaling>
        <c:delete val="0"/>
        <c:axPos val="l"/>
        <c:numFmt formatCode="0" sourceLinked="0"/>
        <c:majorTickMark val="out"/>
        <c:minorTickMark val="none"/>
        <c:tickLblPos val="none"/>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74728255"/>
        <c:crosses val="autoZero"/>
        <c:crossBetween val="between"/>
      </c:valAx>
      <c:valAx>
        <c:axId val="685136975"/>
        <c:scaling>
          <c:orientation val="minMax"/>
          <c:max val="0.76000000000000012"/>
          <c:min val="0.30000000000000004"/>
        </c:scaling>
        <c:delete val="0"/>
        <c:axPos val="r"/>
        <c:numFmt formatCode="0%" sourceLinked="0"/>
        <c:majorTickMark val="out"/>
        <c:minorTickMark val="none"/>
        <c:tickLblPos val="none"/>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85136015"/>
        <c:crosses val="max"/>
        <c:crossBetween val="between"/>
      </c:valAx>
      <c:dateAx>
        <c:axId val="685136015"/>
        <c:scaling>
          <c:orientation val="minMax"/>
        </c:scaling>
        <c:delete val="1"/>
        <c:axPos val="b"/>
        <c:numFmt formatCode="mmm\-yy" sourceLinked="1"/>
        <c:majorTickMark val="out"/>
        <c:minorTickMark val="none"/>
        <c:tickLblPos val="nextTo"/>
        <c:crossAx val="685136975"/>
        <c:crossesAt val="0.5"/>
        <c:auto val="1"/>
        <c:lblOffset val="100"/>
        <c:baseTimeUnit val="months"/>
      </c:date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AU" sz="900"/>
              <a:t>Skil</a:t>
            </a:r>
            <a:r>
              <a:rPr lang="en-AU" sz="900" baseline="0"/>
              <a:t>l Level 3</a:t>
            </a:r>
            <a:endParaRPr lang="en-AU" sz="900"/>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'Figure 5'!$C$29</c:f>
              <c:strCache>
                <c:ptCount val="1"/>
                <c:pt idx="0">
                  <c:v>Applicants per vacancy</c:v>
                </c:pt>
              </c:strCache>
            </c:strRef>
          </c:tx>
          <c:spPr>
            <a:solidFill>
              <a:srgbClr val="6929C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5'!$A$30:$A$38</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'Figure 5'!$C$30:$C$38</c:f>
              <c:numCache>
                <c:formatCode>0.0</c:formatCode>
                <c:ptCount val="9"/>
                <c:pt idx="0">
                  <c:v>8.6107851355127139</c:v>
                </c:pt>
                <c:pt idx="1">
                  <c:v>7.8915004099480734</c:v>
                </c:pt>
                <c:pt idx="2">
                  <c:v>8.2240640182909406</c:v>
                </c:pt>
                <c:pt idx="3">
                  <c:v>8.6147361848267252</c:v>
                </c:pt>
                <c:pt idx="4">
                  <c:v>9.1816071946620248</c:v>
                </c:pt>
                <c:pt idx="5">
                  <c:v>9.9662818955042525</c:v>
                </c:pt>
                <c:pt idx="6">
                  <c:v>10.670112496199453</c:v>
                </c:pt>
                <c:pt idx="7">
                  <c:v>12.656500308071472</c:v>
                </c:pt>
                <c:pt idx="8">
                  <c:v>13.98020158387329</c:v>
                </c:pt>
              </c:numCache>
            </c:numRef>
          </c:val>
          <c:extLst>
            <c:ext xmlns:c16="http://schemas.microsoft.com/office/drawing/2014/chart" uri="{C3380CC4-5D6E-409C-BE32-E72D297353CC}">
              <c16:uniqueId val="{00000000-9B90-4705-AB19-2797D0214730}"/>
            </c:ext>
          </c:extLst>
        </c:ser>
        <c:ser>
          <c:idx val="2"/>
          <c:order val="2"/>
          <c:tx>
            <c:strRef>
              <c:f>'Figure 5'!$D$29</c:f>
              <c:strCache>
                <c:ptCount val="1"/>
                <c:pt idx="0">
                  <c:v>Qualified applicants per vacancy</c:v>
                </c:pt>
              </c:strCache>
            </c:strRef>
          </c:tx>
          <c:spPr>
            <a:solidFill>
              <a:srgbClr val="009D9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5'!$A$30:$A$38</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'Figure 5'!$D$30:$D$38</c:f>
              <c:numCache>
                <c:formatCode>0.0</c:formatCode>
                <c:ptCount val="9"/>
                <c:pt idx="0">
                  <c:v>2.6341602509267181</c:v>
                </c:pt>
                <c:pt idx="1">
                  <c:v>2.3580005585032113</c:v>
                </c:pt>
                <c:pt idx="2">
                  <c:v>2.4460726846424383</c:v>
                </c:pt>
                <c:pt idx="3">
                  <c:v>2.4935773924213231</c:v>
                </c:pt>
                <c:pt idx="4">
                  <c:v>2.6173546248870143</c:v>
                </c:pt>
                <c:pt idx="5">
                  <c:v>2.631946649730073</c:v>
                </c:pt>
                <c:pt idx="6">
                  <c:v>2.7697749196141479</c:v>
                </c:pt>
                <c:pt idx="7">
                  <c:v>3.1330935251798562</c:v>
                </c:pt>
                <c:pt idx="8">
                  <c:v>3.2214559386973178</c:v>
                </c:pt>
              </c:numCache>
            </c:numRef>
          </c:val>
          <c:extLst>
            <c:ext xmlns:c16="http://schemas.microsoft.com/office/drawing/2014/chart" uri="{C3380CC4-5D6E-409C-BE32-E72D297353CC}">
              <c16:uniqueId val="{00000001-9B90-4705-AB19-2797D0214730}"/>
            </c:ext>
          </c:extLst>
        </c:ser>
        <c:ser>
          <c:idx val="3"/>
          <c:order val="3"/>
          <c:tx>
            <c:strRef>
              <c:f>'Figure 5'!$E$29</c:f>
              <c:strCache>
                <c:ptCount val="1"/>
                <c:pt idx="0">
                  <c:v>Suitable applicants per vacancy</c:v>
                </c:pt>
              </c:strCache>
            </c:strRef>
          </c:tx>
          <c:spPr>
            <a:solidFill>
              <a:srgbClr val="01274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5'!$A$30:$A$38</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'Figure 5'!$E$30:$E$38</c:f>
              <c:numCache>
                <c:formatCode>0.0</c:formatCode>
                <c:ptCount val="9"/>
                <c:pt idx="0">
                  <c:v>1.3584800223526126</c:v>
                </c:pt>
                <c:pt idx="1">
                  <c:v>1.2265646351462147</c:v>
                </c:pt>
                <c:pt idx="2">
                  <c:v>1.3329522720777365</c:v>
                </c:pt>
                <c:pt idx="3">
                  <c:v>1.3808929128941618</c:v>
                </c:pt>
                <c:pt idx="4">
                  <c:v>1.4456048738033072</c:v>
                </c:pt>
                <c:pt idx="5">
                  <c:v>1.5258201701093561</c:v>
                </c:pt>
                <c:pt idx="6">
                  <c:v>1.5335968379446641</c:v>
                </c:pt>
                <c:pt idx="7">
                  <c:v>1.737215033887862</c:v>
                </c:pt>
                <c:pt idx="8">
                  <c:v>1.8218142548596112</c:v>
                </c:pt>
              </c:numCache>
            </c:numRef>
          </c:val>
          <c:extLst>
            <c:ext xmlns:c16="http://schemas.microsoft.com/office/drawing/2014/chart" uri="{C3380CC4-5D6E-409C-BE32-E72D297353CC}">
              <c16:uniqueId val="{00000002-9B90-4705-AB19-2797D0214730}"/>
            </c:ext>
          </c:extLst>
        </c:ser>
        <c:dLbls>
          <c:showLegendKey val="0"/>
          <c:showVal val="0"/>
          <c:showCatName val="0"/>
          <c:showSerName val="0"/>
          <c:showPercent val="0"/>
          <c:showBubbleSize val="0"/>
        </c:dLbls>
        <c:gapWidth val="70"/>
        <c:axId val="574728255"/>
        <c:axId val="574724895"/>
      </c:barChart>
      <c:lineChart>
        <c:grouping val="standard"/>
        <c:varyColors val="0"/>
        <c:ser>
          <c:idx val="0"/>
          <c:order val="0"/>
          <c:tx>
            <c:strRef>
              <c:f>'Figure 5'!$B$29</c:f>
              <c:strCache>
                <c:ptCount val="1"/>
                <c:pt idx="0">
                  <c:v>Fill rate</c:v>
                </c:pt>
              </c:strCache>
            </c:strRef>
          </c:tx>
          <c:spPr>
            <a:ln w="28575" cap="rnd">
              <a:noFill/>
              <a:round/>
            </a:ln>
            <a:effectLst/>
          </c:spPr>
          <c:marker>
            <c:symbol val="dash"/>
            <c:size val="17"/>
            <c:spPr>
              <a:solidFill>
                <a:srgbClr val="EE538B"/>
              </a:solidFill>
              <a:ln w="9525">
                <a:solidFill>
                  <a:srgbClr val="EE538B"/>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5'!$A$30:$A$38</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'Figure 5'!$B$30:$B$38</c:f>
              <c:numCache>
                <c:formatCode>0.0%</c:formatCode>
                <c:ptCount val="9"/>
                <c:pt idx="0">
                  <c:v>0.4559932942162615</c:v>
                </c:pt>
                <c:pt idx="1">
                  <c:v>0.42907898332877836</c:v>
                </c:pt>
                <c:pt idx="2">
                  <c:v>0.43612460703058015</c:v>
                </c:pt>
                <c:pt idx="3">
                  <c:v>0.44864189822041833</c:v>
                </c:pt>
                <c:pt idx="4">
                  <c:v>0.46098056280823907</c:v>
                </c:pt>
                <c:pt idx="5">
                  <c:v>0.47144592952612396</c:v>
                </c:pt>
                <c:pt idx="6">
                  <c:v>0.4828215262997872</c:v>
                </c:pt>
                <c:pt idx="7">
                  <c:v>0.49753542821934688</c:v>
                </c:pt>
                <c:pt idx="8">
                  <c:v>0.51907847372210225</c:v>
                </c:pt>
              </c:numCache>
            </c:numRef>
          </c:val>
          <c:smooth val="0"/>
          <c:extLst>
            <c:ext xmlns:c16="http://schemas.microsoft.com/office/drawing/2014/chart" uri="{C3380CC4-5D6E-409C-BE32-E72D297353CC}">
              <c16:uniqueId val="{00000007-9B90-4705-AB19-2797D0214730}"/>
            </c:ext>
          </c:extLst>
        </c:ser>
        <c:dLbls>
          <c:showLegendKey val="0"/>
          <c:showVal val="0"/>
          <c:showCatName val="0"/>
          <c:showSerName val="0"/>
          <c:showPercent val="0"/>
          <c:showBubbleSize val="0"/>
        </c:dLbls>
        <c:marker val="1"/>
        <c:smooth val="0"/>
        <c:axId val="685136015"/>
        <c:axId val="685136975"/>
      </c:lineChart>
      <c:catAx>
        <c:axId val="574728255"/>
        <c:scaling>
          <c:orientation val="minMax"/>
        </c:scaling>
        <c:delete val="0"/>
        <c:axPos val="b"/>
        <c:numFmt formatCode="mmm\-yy" sourceLinked="1"/>
        <c:majorTickMark val="none"/>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724895"/>
        <c:crosses val="autoZero"/>
        <c:auto val="0"/>
        <c:lblAlgn val="ctr"/>
        <c:lblOffset val="100"/>
        <c:tickLblSkip val="1"/>
        <c:noMultiLvlLbl val="0"/>
      </c:catAx>
      <c:valAx>
        <c:axId val="574724895"/>
        <c:scaling>
          <c:orientation val="minMax"/>
          <c:max val="17"/>
          <c:min val="0"/>
        </c:scaling>
        <c:delete val="0"/>
        <c:axPos val="l"/>
        <c:numFmt formatCode="0" sourceLinked="0"/>
        <c:majorTickMark val="out"/>
        <c:minorTickMark val="none"/>
        <c:tickLblPos val="none"/>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74728255"/>
        <c:crosses val="autoZero"/>
        <c:crossBetween val="between"/>
      </c:valAx>
      <c:valAx>
        <c:axId val="685136975"/>
        <c:scaling>
          <c:orientation val="minMax"/>
          <c:max val="0.53"/>
          <c:min val="0.30000000000000004"/>
        </c:scaling>
        <c:delete val="0"/>
        <c:axPos val="r"/>
        <c:numFmt formatCode="0%" sourceLinked="0"/>
        <c:majorTickMark val="out"/>
        <c:minorTickMark val="none"/>
        <c:tickLblPos val="none"/>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85136015"/>
        <c:crosses val="max"/>
        <c:crossBetween val="between"/>
      </c:valAx>
      <c:dateAx>
        <c:axId val="685136015"/>
        <c:scaling>
          <c:orientation val="minMax"/>
        </c:scaling>
        <c:delete val="1"/>
        <c:axPos val="b"/>
        <c:numFmt formatCode="mmm\-yy" sourceLinked="1"/>
        <c:majorTickMark val="out"/>
        <c:minorTickMark val="none"/>
        <c:tickLblPos val="nextTo"/>
        <c:crossAx val="685136975"/>
        <c:crossesAt val="0.30000000000000004"/>
        <c:auto val="1"/>
        <c:lblOffset val="100"/>
        <c:baseTimeUnit val="months"/>
      </c:date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AU" sz="900"/>
              <a:t>Skil</a:t>
            </a:r>
            <a:r>
              <a:rPr lang="en-AU" sz="900" baseline="0"/>
              <a:t>l Level 4</a:t>
            </a:r>
            <a:endParaRPr lang="en-AU" sz="900"/>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'Figure 5'!$C$42</c:f>
              <c:strCache>
                <c:ptCount val="1"/>
                <c:pt idx="0">
                  <c:v>Applicants per vacancy</c:v>
                </c:pt>
              </c:strCache>
            </c:strRef>
          </c:tx>
          <c:spPr>
            <a:solidFill>
              <a:srgbClr val="6929C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5'!$A$43:$A$51</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'Figure 5'!$C$43:$C$51</c:f>
              <c:numCache>
                <c:formatCode>0.0</c:formatCode>
                <c:ptCount val="9"/>
                <c:pt idx="0">
                  <c:v>13.508635286149678</c:v>
                </c:pt>
                <c:pt idx="1">
                  <c:v>12.724674499841219</c:v>
                </c:pt>
                <c:pt idx="2">
                  <c:v>13.544900577293136</c:v>
                </c:pt>
                <c:pt idx="3">
                  <c:v>14.772984886649875</c:v>
                </c:pt>
                <c:pt idx="4">
                  <c:v>15.90479173191356</c:v>
                </c:pt>
                <c:pt idx="5">
                  <c:v>17.680285343709468</c:v>
                </c:pt>
                <c:pt idx="6">
                  <c:v>19.063600782778867</c:v>
                </c:pt>
                <c:pt idx="7">
                  <c:v>23.647159479808352</c:v>
                </c:pt>
                <c:pt idx="8">
                  <c:v>27.405966767371602</c:v>
                </c:pt>
              </c:numCache>
            </c:numRef>
          </c:val>
          <c:extLst>
            <c:ext xmlns:c16="http://schemas.microsoft.com/office/drawing/2014/chart" uri="{C3380CC4-5D6E-409C-BE32-E72D297353CC}">
              <c16:uniqueId val="{00000000-62DC-46F0-900C-0FE123FDD3EC}"/>
            </c:ext>
          </c:extLst>
        </c:ser>
        <c:ser>
          <c:idx val="2"/>
          <c:order val="2"/>
          <c:tx>
            <c:strRef>
              <c:f>'Figure 5'!$D$42</c:f>
              <c:strCache>
                <c:ptCount val="1"/>
                <c:pt idx="0">
                  <c:v>Qualified applicants per vacancy</c:v>
                </c:pt>
              </c:strCache>
            </c:strRef>
          </c:tx>
          <c:spPr>
            <a:solidFill>
              <a:srgbClr val="009D9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5'!$A$43:$A$51</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'Figure 5'!$D$43:$D$51</c:f>
              <c:numCache>
                <c:formatCode>0.0</c:formatCode>
                <c:ptCount val="9"/>
                <c:pt idx="0">
                  <c:v>3.6985424813366512</c:v>
                </c:pt>
                <c:pt idx="1">
                  <c:v>3.6916666666666669</c:v>
                </c:pt>
                <c:pt idx="2">
                  <c:v>4.0431266846361185</c:v>
                </c:pt>
                <c:pt idx="3">
                  <c:v>4.5969251336898393</c:v>
                </c:pt>
                <c:pt idx="4">
                  <c:v>4.8846675712347354</c:v>
                </c:pt>
                <c:pt idx="5">
                  <c:v>5.4670744872256209</c:v>
                </c:pt>
                <c:pt idx="6">
                  <c:v>5.7113325950535252</c:v>
                </c:pt>
                <c:pt idx="7">
                  <c:v>6.8820312499999998</c:v>
                </c:pt>
                <c:pt idx="8">
                  <c:v>7.725161290322581</c:v>
                </c:pt>
              </c:numCache>
            </c:numRef>
          </c:val>
          <c:extLst>
            <c:ext xmlns:c16="http://schemas.microsoft.com/office/drawing/2014/chart" uri="{C3380CC4-5D6E-409C-BE32-E72D297353CC}">
              <c16:uniqueId val="{00000001-62DC-46F0-900C-0FE123FDD3EC}"/>
            </c:ext>
          </c:extLst>
        </c:ser>
        <c:ser>
          <c:idx val="3"/>
          <c:order val="3"/>
          <c:tx>
            <c:strRef>
              <c:f>'Figure 5'!$E$42</c:f>
              <c:strCache>
                <c:ptCount val="1"/>
                <c:pt idx="0">
                  <c:v>Suitable applicants per vacancy</c:v>
                </c:pt>
              </c:strCache>
            </c:strRef>
          </c:tx>
          <c:spPr>
            <a:solidFill>
              <a:srgbClr val="01274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5'!$A$43:$A$51</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'Figure 5'!$E$43:$E$51</c:f>
              <c:numCache>
                <c:formatCode>0.0</c:formatCode>
                <c:ptCount val="9"/>
                <c:pt idx="0">
                  <c:v>2.4842533017270574</c:v>
                </c:pt>
                <c:pt idx="1">
                  <c:v>2.3620196887900922</c:v>
                </c:pt>
                <c:pt idx="2">
                  <c:v>2.5317511225144322</c:v>
                </c:pt>
                <c:pt idx="3">
                  <c:v>2.8167506297229221</c:v>
                </c:pt>
                <c:pt idx="4">
                  <c:v>3.0548073911681803</c:v>
                </c:pt>
                <c:pt idx="5">
                  <c:v>3.1929312581063556</c:v>
                </c:pt>
                <c:pt idx="6">
                  <c:v>3.2247227658186564</c:v>
                </c:pt>
                <c:pt idx="7">
                  <c:v>3.6806981519507187</c:v>
                </c:pt>
                <c:pt idx="8">
                  <c:v>3.8496978851963748</c:v>
                </c:pt>
              </c:numCache>
            </c:numRef>
          </c:val>
          <c:extLst>
            <c:ext xmlns:c16="http://schemas.microsoft.com/office/drawing/2014/chart" uri="{C3380CC4-5D6E-409C-BE32-E72D297353CC}">
              <c16:uniqueId val="{00000002-62DC-46F0-900C-0FE123FDD3EC}"/>
            </c:ext>
          </c:extLst>
        </c:ser>
        <c:dLbls>
          <c:showLegendKey val="0"/>
          <c:showVal val="0"/>
          <c:showCatName val="0"/>
          <c:showSerName val="0"/>
          <c:showPercent val="0"/>
          <c:showBubbleSize val="0"/>
        </c:dLbls>
        <c:gapWidth val="70"/>
        <c:axId val="574728255"/>
        <c:axId val="574724895"/>
      </c:barChart>
      <c:lineChart>
        <c:grouping val="standard"/>
        <c:varyColors val="0"/>
        <c:ser>
          <c:idx val="0"/>
          <c:order val="0"/>
          <c:tx>
            <c:strRef>
              <c:f>'Figure 5'!$B$42</c:f>
              <c:strCache>
                <c:ptCount val="1"/>
                <c:pt idx="0">
                  <c:v>Fill rate</c:v>
                </c:pt>
              </c:strCache>
            </c:strRef>
          </c:tx>
          <c:spPr>
            <a:ln w="28575" cap="rnd">
              <a:noFill/>
              <a:round/>
            </a:ln>
            <a:effectLst/>
          </c:spPr>
          <c:marker>
            <c:symbol val="dash"/>
            <c:size val="17"/>
            <c:spPr>
              <a:solidFill>
                <a:srgbClr val="EE538B"/>
              </a:solidFill>
              <a:ln w="9525">
                <a:solidFill>
                  <a:srgbClr val="EE538B"/>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5'!$A$43:$A$51</c:f>
              <c:numCache>
                <c:formatCode>mmm\-yy</c:formatCode>
                <c:ptCount val="9"/>
                <c:pt idx="0">
                  <c:v>44713</c:v>
                </c:pt>
                <c:pt idx="1">
                  <c:v>44805</c:v>
                </c:pt>
                <c:pt idx="2">
                  <c:v>44896</c:v>
                </c:pt>
                <c:pt idx="3">
                  <c:v>44986</c:v>
                </c:pt>
                <c:pt idx="4">
                  <c:v>45078</c:v>
                </c:pt>
                <c:pt idx="5">
                  <c:v>45170</c:v>
                </c:pt>
                <c:pt idx="6">
                  <c:v>45261</c:v>
                </c:pt>
                <c:pt idx="7">
                  <c:v>45352</c:v>
                </c:pt>
                <c:pt idx="8">
                  <c:v>45444</c:v>
                </c:pt>
              </c:numCache>
            </c:numRef>
          </c:cat>
          <c:val>
            <c:numRef>
              <c:f>'Figure 5'!$B$43:$B$51</c:f>
              <c:numCache>
                <c:formatCode>0.0%</c:formatCode>
                <c:ptCount val="9"/>
                <c:pt idx="0">
                  <c:v>0.64781578056214018</c:v>
                </c:pt>
                <c:pt idx="1">
                  <c:v>0.65068275643061291</c:v>
                </c:pt>
                <c:pt idx="2">
                  <c:v>0.64336112892880049</c:v>
                </c:pt>
                <c:pt idx="3">
                  <c:v>0.6520780856423174</c:v>
                </c:pt>
                <c:pt idx="4">
                  <c:v>0.66833698715941126</c:v>
                </c:pt>
                <c:pt idx="5">
                  <c:v>0.66958495460440981</c:v>
                </c:pt>
                <c:pt idx="6">
                  <c:v>0.69765166340508811</c:v>
                </c:pt>
                <c:pt idx="7">
                  <c:v>0.70978781656399725</c:v>
                </c:pt>
                <c:pt idx="8">
                  <c:v>0.73149546827794565</c:v>
                </c:pt>
              </c:numCache>
            </c:numRef>
          </c:val>
          <c:smooth val="0"/>
          <c:extLst>
            <c:ext xmlns:c16="http://schemas.microsoft.com/office/drawing/2014/chart" uri="{C3380CC4-5D6E-409C-BE32-E72D297353CC}">
              <c16:uniqueId val="{00000007-62DC-46F0-900C-0FE123FDD3EC}"/>
            </c:ext>
          </c:extLst>
        </c:ser>
        <c:dLbls>
          <c:showLegendKey val="0"/>
          <c:showVal val="0"/>
          <c:showCatName val="0"/>
          <c:showSerName val="0"/>
          <c:showPercent val="0"/>
          <c:showBubbleSize val="0"/>
        </c:dLbls>
        <c:marker val="1"/>
        <c:smooth val="0"/>
        <c:axId val="685136015"/>
        <c:axId val="685136975"/>
      </c:lineChart>
      <c:catAx>
        <c:axId val="574728255"/>
        <c:scaling>
          <c:orientation val="minMax"/>
        </c:scaling>
        <c:delete val="0"/>
        <c:axPos val="b"/>
        <c:numFmt formatCode="mmm\-yy" sourceLinked="1"/>
        <c:majorTickMark val="none"/>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724895"/>
        <c:crosses val="autoZero"/>
        <c:auto val="0"/>
        <c:lblAlgn val="ctr"/>
        <c:lblOffset val="100"/>
        <c:tickLblSkip val="1"/>
        <c:noMultiLvlLbl val="0"/>
      </c:catAx>
      <c:valAx>
        <c:axId val="574724895"/>
        <c:scaling>
          <c:orientation val="minMax"/>
          <c:max val="30"/>
          <c:min val="0"/>
        </c:scaling>
        <c:delete val="0"/>
        <c:axPos val="l"/>
        <c:numFmt formatCode="0" sourceLinked="0"/>
        <c:majorTickMark val="out"/>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728255"/>
        <c:crosses val="autoZero"/>
        <c:crossBetween val="between"/>
      </c:valAx>
      <c:valAx>
        <c:axId val="685136975"/>
        <c:scaling>
          <c:orientation val="minMax"/>
          <c:max val="0.76000000000000012"/>
          <c:min val="0.30000000000000004"/>
        </c:scaling>
        <c:delete val="0"/>
        <c:axPos val="r"/>
        <c:numFmt formatCode="0%" sourceLinked="0"/>
        <c:majorTickMark val="out"/>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5136015"/>
        <c:crosses val="max"/>
        <c:crossBetween val="between"/>
      </c:valAx>
      <c:dateAx>
        <c:axId val="685136015"/>
        <c:scaling>
          <c:orientation val="minMax"/>
        </c:scaling>
        <c:delete val="1"/>
        <c:axPos val="b"/>
        <c:numFmt formatCode="mmm\-yy" sourceLinked="1"/>
        <c:majorTickMark val="out"/>
        <c:minorTickMark val="none"/>
        <c:tickLblPos val="nextTo"/>
        <c:crossAx val="685136975"/>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2131D8B0-FDC4-46FB-A11E-A0AC6FCA2169}">
    <t:Anchor>
      <t:Comment id="187364613"/>
    </t:Anchor>
    <t:History>
      <t:Event id="{64243290-AE66-4784-AB56-FD32CEB4CEE4}" time="2024-05-14T07:56:47.962Z">
        <t:Attribution userId="S::Annie.Wei@jobsandskills.gov.au::e11f8c70-8838-48f0-8429-9b164ce5325c" userProvider="AD" userName="WEI,Annie"/>
        <t:Anchor>
          <t:Comment id="108761497"/>
        </t:Anchor>
        <t:Create/>
      </t:Event>
      <t:Event id="{1BA22DE3-54E2-4170-AA1C-B055D9911929}" time="2024-05-14T07:56:47.962Z">
        <t:Attribution userId="S::Annie.Wei@jobsandskills.gov.au::e11f8c70-8838-48f0-8429-9b164ce5325c" userProvider="AD" userName="WEI,Annie"/>
        <t:Anchor>
          <t:Comment id="108761497"/>
        </t:Anchor>
        <t:Assign userId="S::Mathew.Lozinski@jobsandskills.gov.au::08d03171-dfaa-4341-a39c-3e92332b9439" userProvider="AD" userName="LOZINSKI,Mathew"/>
      </t:Event>
      <t:Event id="{A93FC4EB-E9C3-4658-AA5C-F9AB0796E0E2}" time="2024-05-14T07:56:47.962Z">
        <t:Attribution userId="S::Annie.Wei@jobsandskills.gov.au::e11f8c70-8838-48f0-8429-9b164ce5325c" userProvider="AD" userName="WEI,Annie"/>
        <t:Anchor>
          <t:Comment id="108761497"/>
        </t:Anchor>
        <t:SetTitle title="@LOZINSKI,Mathew , Can you pls address this?"/>
      </t:Event>
      <t:Event id="{B59532A0-6A3C-488B-AECC-9172ED2A4CDA}" time="2024-05-14T14:57:13.939Z">
        <t:Attribution userId="S::Rayeed.Rahman@jobsandskills.gov.au::c16303c0-0f48-4632-bc9c-7bbaa3e41bbf" userProvider="AD" userName="RAHMAN,Rayeed"/>
        <t:Progress percentComplete="100"/>
      </t:Event>
      <t:Event id="{D3DD1700-31BC-4549-A9F6-3C8BD6181BB9}" time="2024-05-14T14:57:24.463Z">
        <t:Attribution userId="S::Rayeed.Rahman@jobsandskills.gov.au::c16303c0-0f48-4632-bc9c-7bbaa3e41bbf" userProvider="AD" userName="RAHMAN,Rayeed"/>
        <t:Progress percentComplete="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7B4F57AD954C1F85BEEC00DDF3DE3E"/>
        <w:category>
          <w:name w:val="General"/>
          <w:gallery w:val="placeholder"/>
        </w:category>
        <w:types>
          <w:type w:val="bbPlcHdr"/>
        </w:types>
        <w:behaviors>
          <w:behavior w:val="content"/>
        </w:behaviors>
        <w:guid w:val="{4CF028C1-341E-4138-A54D-F3D3D81C01D9}"/>
      </w:docPartPr>
      <w:docPartBody>
        <w:p w:rsidR="00FF27D8" w:rsidRDefault="005A0B81">
          <w:pPr>
            <w:pStyle w:val="C17B4F57AD954C1F85BEEC00DDF3DE3E"/>
          </w:pPr>
          <w:r w:rsidRPr="000A0CC2">
            <w:rPr>
              <w:rStyle w:val="PlaceholderText"/>
            </w:rPr>
            <w:t>[Title]</w:t>
          </w:r>
        </w:p>
      </w:docPartBody>
    </w:docPart>
    <w:docPart>
      <w:docPartPr>
        <w:name w:val="D0815E1BFC17437BB34E762E250C75DE"/>
        <w:category>
          <w:name w:val="General"/>
          <w:gallery w:val="placeholder"/>
        </w:category>
        <w:types>
          <w:type w:val="bbPlcHdr"/>
        </w:types>
        <w:behaviors>
          <w:behavior w:val="content"/>
        </w:behaviors>
        <w:guid w:val="{0DCF066D-DBB2-4552-B000-543297D3426C}"/>
      </w:docPartPr>
      <w:docPartBody>
        <w:p w:rsidR="00353A40" w:rsidRDefault="00353A40" w:rsidP="00353A40">
          <w:pPr>
            <w:pStyle w:val="D0815E1BFC17437BB34E762E250C75DE"/>
          </w:pPr>
          <w:r w:rsidRPr="0032216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003208"/>
    <w:rsid w:val="000540BC"/>
    <w:rsid w:val="00064881"/>
    <w:rsid w:val="00065AC5"/>
    <w:rsid w:val="00094D69"/>
    <w:rsid w:val="000A6047"/>
    <w:rsid w:val="000D438E"/>
    <w:rsid w:val="000D5D56"/>
    <w:rsid w:val="0010721E"/>
    <w:rsid w:val="001128F7"/>
    <w:rsid w:val="00196038"/>
    <w:rsid w:val="001A4F24"/>
    <w:rsid w:val="001A58AE"/>
    <w:rsid w:val="001D6697"/>
    <w:rsid w:val="001D6876"/>
    <w:rsid w:val="001E6E54"/>
    <w:rsid w:val="001F37E1"/>
    <w:rsid w:val="002365EC"/>
    <w:rsid w:val="00260E07"/>
    <w:rsid w:val="00291BED"/>
    <w:rsid w:val="002A6E8C"/>
    <w:rsid w:val="002D505A"/>
    <w:rsid w:val="002F388F"/>
    <w:rsid w:val="003310E3"/>
    <w:rsid w:val="00353A40"/>
    <w:rsid w:val="00356B1C"/>
    <w:rsid w:val="00392874"/>
    <w:rsid w:val="003B542F"/>
    <w:rsid w:val="003B7745"/>
    <w:rsid w:val="003D4109"/>
    <w:rsid w:val="003D7CD4"/>
    <w:rsid w:val="003E765B"/>
    <w:rsid w:val="004464DA"/>
    <w:rsid w:val="004510B9"/>
    <w:rsid w:val="0046580E"/>
    <w:rsid w:val="00471C34"/>
    <w:rsid w:val="00475DED"/>
    <w:rsid w:val="004C25FC"/>
    <w:rsid w:val="004D69BF"/>
    <w:rsid w:val="00570F84"/>
    <w:rsid w:val="005A0B81"/>
    <w:rsid w:val="005A1F22"/>
    <w:rsid w:val="005F0CEF"/>
    <w:rsid w:val="0060720C"/>
    <w:rsid w:val="0062108D"/>
    <w:rsid w:val="00632713"/>
    <w:rsid w:val="0066452D"/>
    <w:rsid w:val="006725E7"/>
    <w:rsid w:val="006828EB"/>
    <w:rsid w:val="00691D84"/>
    <w:rsid w:val="0069331D"/>
    <w:rsid w:val="006B5950"/>
    <w:rsid w:val="006D4CC2"/>
    <w:rsid w:val="006D6FD0"/>
    <w:rsid w:val="007278A9"/>
    <w:rsid w:val="007308F9"/>
    <w:rsid w:val="007560A9"/>
    <w:rsid w:val="00771499"/>
    <w:rsid w:val="00783C30"/>
    <w:rsid w:val="007912AA"/>
    <w:rsid w:val="007949F2"/>
    <w:rsid w:val="007A02EC"/>
    <w:rsid w:val="007A40C9"/>
    <w:rsid w:val="007D31ED"/>
    <w:rsid w:val="00814363"/>
    <w:rsid w:val="008824AD"/>
    <w:rsid w:val="008E2C8C"/>
    <w:rsid w:val="00930265"/>
    <w:rsid w:val="00947111"/>
    <w:rsid w:val="00963954"/>
    <w:rsid w:val="009A1524"/>
    <w:rsid w:val="009B4A79"/>
    <w:rsid w:val="009C49BE"/>
    <w:rsid w:val="00A222A0"/>
    <w:rsid w:val="00A3651E"/>
    <w:rsid w:val="00A60C9E"/>
    <w:rsid w:val="00A9160A"/>
    <w:rsid w:val="00AA6ADE"/>
    <w:rsid w:val="00AD2A20"/>
    <w:rsid w:val="00AD6044"/>
    <w:rsid w:val="00B15FC4"/>
    <w:rsid w:val="00B36579"/>
    <w:rsid w:val="00B44F8E"/>
    <w:rsid w:val="00B90BAF"/>
    <w:rsid w:val="00BA36E4"/>
    <w:rsid w:val="00BD2642"/>
    <w:rsid w:val="00BE0196"/>
    <w:rsid w:val="00C31F8F"/>
    <w:rsid w:val="00C337DD"/>
    <w:rsid w:val="00C70D64"/>
    <w:rsid w:val="00C75768"/>
    <w:rsid w:val="00C82DB8"/>
    <w:rsid w:val="00CA21F0"/>
    <w:rsid w:val="00D50A56"/>
    <w:rsid w:val="00D71FE0"/>
    <w:rsid w:val="00DA69DB"/>
    <w:rsid w:val="00DA73BE"/>
    <w:rsid w:val="00DD29B8"/>
    <w:rsid w:val="00DE1D21"/>
    <w:rsid w:val="00E32424"/>
    <w:rsid w:val="00E62B98"/>
    <w:rsid w:val="00E7251E"/>
    <w:rsid w:val="00E85EE3"/>
    <w:rsid w:val="00E962D2"/>
    <w:rsid w:val="00EA637B"/>
    <w:rsid w:val="00EB0969"/>
    <w:rsid w:val="00ED1308"/>
    <w:rsid w:val="00ED4FD2"/>
    <w:rsid w:val="00EF02A3"/>
    <w:rsid w:val="00EF6149"/>
    <w:rsid w:val="00F039CC"/>
    <w:rsid w:val="00F22F7E"/>
    <w:rsid w:val="00F644F1"/>
    <w:rsid w:val="00FA3305"/>
    <w:rsid w:val="00FD67C0"/>
    <w:rsid w:val="00FE45D6"/>
    <w:rsid w:val="00FF27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3A40"/>
    <w:rPr>
      <w:color w:val="808080"/>
    </w:rPr>
  </w:style>
  <w:style w:type="paragraph" w:customStyle="1" w:styleId="C17B4F57AD954C1F85BEEC00DDF3DE3E">
    <w:name w:val="C17B4F57AD954C1F85BEEC00DDF3DE3E"/>
  </w:style>
  <w:style w:type="paragraph" w:customStyle="1" w:styleId="D0815E1BFC17437BB34E762E250C75DE">
    <w:name w:val="D0815E1BFC17437BB34E762E250C75DE"/>
    <w:rsid w:val="00353A4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4EC4C31997F4DAF6EF5F96F729AC4" ma:contentTypeVersion="18" ma:contentTypeDescription="Create a new document." ma:contentTypeScope="" ma:versionID="d87aa61bb3e06b0abe5c0e83eedd95e3">
  <xsd:schema xmlns:xsd="http://www.w3.org/2001/XMLSchema" xmlns:xs="http://www.w3.org/2001/XMLSchema" xmlns:p="http://schemas.microsoft.com/office/2006/metadata/properties" xmlns:ns2="88bdf61f-9621-4102-acf0-32ab8de1ada4" xmlns:ns3="2346c79d-bae1-4214-a8f2-95f62bc64ea6" targetNamespace="http://schemas.microsoft.com/office/2006/metadata/properties" ma:root="true" ma:fieldsID="cdea568376e63c1f053932d9cf4ddd5d" ns2:_="" ns3:_="">
    <xsd:import namespace="88bdf61f-9621-4102-acf0-32ab8de1ada4"/>
    <xsd:import namespace="2346c79d-bae1-4214-a8f2-95f62bc64e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df61f-9621-4102-acf0-32ab8de1a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46c79d-bae1-4214-a8f2-95f62bc64ea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e12ceef-ae3b-4855-a9a7-3d2a1cbc952b}" ma:internalName="TaxCatchAll" ma:showField="CatchAllData" ma:web="2346c79d-bae1-4214-a8f2-95f62bc64ea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46c79d-bae1-4214-a8f2-95f62bc64ea6" xsi:nil="true"/>
    <lcf76f155ced4ddcb4097134ff3c332f xmlns="88bdf61f-9621-4102-acf0-32ab8de1ada4">
      <Terms xmlns="http://schemas.microsoft.com/office/infopath/2007/PartnerControls"/>
    </lcf76f155ced4ddcb4097134ff3c332f>
    <SharedWithUsers xmlns="2346c79d-bae1-4214-a8f2-95f62bc64ea6">
      <UserInfo>
        <DisplayName>MANDALIYA,Ritesh</DisplayName>
        <AccountId>149</AccountId>
        <AccountType/>
      </UserInfo>
      <UserInfo>
        <DisplayName>BINGHAM,Clifton</DisplayName>
        <AccountId>95</AccountId>
        <AccountType/>
      </UserInfo>
      <UserInfo>
        <DisplayName>VENTURA,Linda</DisplayName>
        <AccountId>91</AccountId>
        <AccountType/>
      </UserInfo>
      <UserInfo>
        <DisplayName>BIRSS,Kristy</DisplayName>
        <AccountId>152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85741-2346-4CA9-9240-C7020BD28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df61f-9621-4102-acf0-32ab8de1ada4"/>
    <ds:schemaRef ds:uri="2346c79d-bae1-4214-a8f2-95f62bc64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67044-9AD2-45C6-9990-EA8601577B6B}">
  <ds:schemaRefs>
    <ds:schemaRef ds:uri="http://schemas.microsoft.com/sharepoint/v3/contenttype/forms"/>
  </ds:schemaRefs>
</ds:datastoreItem>
</file>

<file path=customXml/itemProps3.xml><?xml version="1.0" encoding="utf-8"?>
<ds:datastoreItem xmlns:ds="http://schemas.openxmlformats.org/officeDocument/2006/customXml" ds:itemID="{44083749-92F8-4312-917A-7ED321D5BB6C}">
  <ds:schemaRefs>
    <ds:schemaRef ds:uri="http://schemas.microsoft.com/office/2006/metadata/properties"/>
    <ds:schemaRef ds:uri="http://schemas.microsoft.com/office/infopath/2007/PartnerControls"/>
    <ds:schemaRef ds:uri="2346c79d-bae1-4214-a8f2-95f62bc64ea6"/>
    <ds:schemaRef ds:uri="88bdf61f-9621-4102-acf0-32ab8de1ada4"/>
  </ds:schemaRefs>
</ds:datastoreItem>
</file>

<file path=customXml/itemProps4.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3810</Words>
  <Characters>21721</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Occupation Shortage Report</vt:lpstr>
    </vt:vector>
  </TitlesOfParts>
  <Company>JSA</Company>
  <LinksUpToDate>false</LinksUpToDate>
  <CharactersWithSpaces>25481</CharactersWithSpaces>
  <SharedDoc>false</SharedDoc>
  <HLinks>
    <vt:vector size="96" baseType="variant">
      <vt:variant>
        <vt:i4>4849703</vt:i4>
      </vt:variant>
      <vt:variant>
        <vt:i4>165</vt:i4>
      </vt:variant>
      <vt:variant>
        <vt:i4>0</vt:i4>
      </vt:variant>
      <vt:variant>
        <vt:i4>5</vt:i4>
      </vt:variant>
      <vt:variant>
        <vt:lpwstr>mailto:SkillsPriorityList@jobsandskills.gov.au</vt:lpwstr>
      </vt:variant>
      <vt:variant>
        <vt:lpwstr/>
      </vt:variant>
      <vt:variant>
        <vt:i4>8126492</vt:i4>
      </vt:variant>
      <vt:variant>
        <vt:i4>162</vt:i4>
      </vt:variant>
      <vt:variant>
        <vt:i4>0</vt:i4>
      </vt:variant>
      <vt:variant>
        <vt:i4>5</vt:i4>
      </vt:variant>
      <vt:variant>
        <vt:lpwstr>https://www.abs.gov.au/ausstats/abs@.nsf/mf/1270.0.55.001</vt:lpwstr>
      </vt:variant>
      <vt:variant>
        <vt:lpwstr/>
      </vt:variant>
      <vt:variant>
        <vt:i4>4063289</vt:i4>
      </vt:variant>
      <vt:variant>
        <vt:i4>159</vt:i4>
      </vt:variant>
      <vt:variant>
        <vt:i4>0</vt:i4>
      </vt:variant>
      <vt:variant>
        <vt:i4>5</vt:i4>
      </vt:variant>
      <vt:variant>
        <vt:lpwstr>https://www.abs.gov.au/statistics/classifications/anzsco-australian-and-new-zealand-standard-classification-occupations/latest-release</vt:lpwstr>
      </vt:variant>
      <vt:variant>
        <vt:lpwstr/>
      </vt:variant>
      <vt:variant>
        <vt:i4>6946934</vt:i4>
      </vt:variant>
      <vt:variant>
        <vt:i4>75</vt:i4>
      </vt:variant>
      <vt:variant>
        <vt:i4>0</vt:i4>
      </vt:variant>
      <vt:variant>
        <vt:i4>5</vt:i4>
      </vt:variant>
      <vt:variant>
        <vt:lpwstr/>
      </vt:variant>
      <vt:variant>
        <vt:lpwstr>_Explanatory_Notes</vt:lpwstr>
      </vt:variant>
      <vt:variant>
        <vt:i4>1507386</vt:i4>
      </vt:variant>
      <vt:variant>
        <vt:i4>68</vt:i4>
      </vt:variant>
      <vt:variant>
        <vt:i4>0</vt:i4>
      </vt:variant>
      <vt:variant>
        <vt:i4>5</vt:i4>
      </vt:variant>
      <vt:variant>
        <vt:lpwstr/>
      </vt:variant>
      <vt:variant>
        <vt:lpwstr>_Toc173492119</vt:lpwstr>
      </vt:variant>
      <vt:variant>
        <vt:i4>1507386</vt:i4>
      </vt:variant>
      <vt:variant>
        <vt:i4>62</vt:i4>
      </vt:variant>
      <vt:variant>
        <vt:i4>0</vt:i4>
      </vt:variant>
      <vt:variant>
        <vt:i4>5</vt:i4>
      </vt:variant>
      <vt:variant>
        <vt:lpwstr/>
      </vt:variant>
      <vt:variant>
        <vt:lpwstr>_Toc173492118</vt:lpwstr>
      </vt:variant>
      <vt:variant>
        <vt:i4>1507386</vt:i4>
      </vt:variant>
      <vt:variant>
        <vt:i4>56</vt:i4>
      </vt:variant>
      <vt:variant>
        <vt:i4>0</vt:i4>
      </vt:variant>
      <vt:variant>
        <vt:i4>5</vt:i4>
      </vt:variant>
      <vt:variant>
        <vt:lpwstr/>
      </vt:variant>
      <vt:variant>
        <vt:lpwstr>_Toc173492117</vt:lpwstr>
      </vt:variant>
      <vt:variant>
        <vt:i4>1507386</vt:i4>
      </vt:variant>
      <vt:variant>
        <vt:i4>50</vt:i4>
      </vt:variant>
      <vt:variant>
        <vt:i4>0</vt:i4>
      </vt:variant>
      <vt:variant>
        <vt:i4>5</vt:i4>
      </vt:variant>
      <vt:variant>
        <vt:lpwstr/>
      </vt:variant>
      <vt:variant>
        <vt:lpwstr>_Toc173492116</vt:lpwstr>
      </vt:variant>
      <vt:variant>
        <vt:i4>1507386</vt:i4>
      </vt:variant>
      <vt:variant>
        <vt:i4>44</vt:i4>
      </vt:variant>
      <vt:variant>
        <vt:i4>0</vt:i4>
      </vt:variant>
      <vt:variant>
        <vt:i4>5</vt:i4>
      </vt:variant>
      <vt:variant>
        <vt:lpwstr/>
      </vt:variant>
      <vt:variant>
        <vt:lpwstr>_Toc173492115</vt:lpwstr>
      </vt:variant>
      <vt:variant>
        <vt:i4>1507386</vt:i4>
      </vt:variant>
      <vt:variant>
        <vt:i4>38</vt:i4>
      </vt:variant>
      <vt:variant>
        <vt:i4>0</vt:i4>
      </vt:variant>
      <vt:variant>
        <vt:i4>5</vt:i4>
      </vt:variant>
      <vt:variant>
        <vt:lpwstr/>
      </vt:variant>
      <vt:variant>
        <vt:lpwstr>_Toc173492114</vt:lpwstr>
      </vt:variant>
      <vt:variant>
        <vt:i4>1507386</vt:i4>
      </vt:variant>
      <vt:variant>
        <vt:i4>32</vt:i4>
      </vt:variant>
      <vt:variant>
        <vt:i4>0</vt:i4>
      </vt:variant>
      <vt:variant>
        <vt:i4>5</vt:i4>
      </vt:variant>
      <vt:variant>
        <vt:lpwstr/>
      </vt:variant>
      <vt:variant>
        <vt:lpwstr>_Toc173492113</vt:lpwstr>
      </vt:variant>
      <vt:variant>
        <vt:i4>1507386</vt:i4>
      </vt:variant>
      <vt:variant>
        <vt:i4>26</vt:i4>
      </vt:variant>
      <vt:variant>
        <vt:i4>0</vt:i4>
      </vt:variant>
      <vt:variant>
        <vt:i4>5</vt:i4>
      </vt:variant>
      <vt:variant>
        <vt:lpwstr/>
      </vt:variant>
      <vt:variant>
        <vt:lpwstr>_Toc173492112</vt:lpwstr>
      </vt:variant>
      <vt:variant>
        <vt:i4>1507386</vt:i4>
      </vt:variant>
      <vt:variant>
        <vt:i4>20</vt:i4>
      </vt:variant>
      <vt:variant>
        <vt:i4>0</vt:i4>
      </vt:variant>
      <vt:variant>
        <vt:i4>5</vt:i4>
      </vt:variant>
      <vt:variant>
        <vt:lpwstr/>
      </vt:variant>
      <vt:variant>
        <vt:lpwstr>_Toc173492111</vt:lpwstr>
      </vt:variant>
      <vt:variant>
        <vt:i4>1507386</vt:i4>
      </vt:variant>
      <vt:variant>
        <vt:i4>14</vt:i4>
      </vt:variant>
      <vt:variant>
        <vt:i4>0</vt:i4>
      </vt:variant>
      <vt:variant>
        <vt:i4>5</vt:i4>
      </vt:variant>
      <vt:variant>
        <vt:lpwstr/>
      </vt:variant>
      <vt:variant>
        <vt:lpwstr>_Toc173492110</vt:lpwstr>
      </vt:variant>
      <vt:variant>
        <vt:i4>1441850</vt:i4>
      </vt:variant>
      <vt:variant>
        <vt:i4>8</vt:i4>
      </vt:variant>
      <vt:variant>
        <vt:i4>0</vt:i4>
      </vt:variant>
      <vt:variant>
        <vt:i4>5</vt:i4>
      </vt:variant>
      <vt:variant>
        <vt:lpwstr/>
      </vt:variant>
      <vt:variant>
        <vt:lpwstr>_Toc173492109</vt:lpwstr>
      </vt:variant>
      <vt:variant>
        <vt:i4>1441850</vt:i4>
      </vt:variant>
      <vt:variant>
        <vt:i4>2</vt:i4>
      </vt:variant>
      <vt:variant>
        <vt:i4>0</vt:i4>
      </vt:variant>
      <vt:variant>
        <vt:i4>5</vt:i4>
      </vt:variant>
      <vt:variant>
        <vt:lpwstr/>
      </vt:variant>
      <vt:variant>
        <vt:lpwstr>_Toc173492108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 Shortage Report</dc:title>
  <dc:subject>Report</dc:subject>
  <dc:creator>JSA</dc:creator>
  <cp:keywords>JSA report template</cp:keywords>
  <dc:description>Use this template to create a JSA report</dc:description>
  <cp:lastModifiedBy>BATRA,Tashvin</cp:lastModifiedBy>
  <cp:revision>6</cp:revision>
  <cp:lastPrinted>2024-08-12T04:19:00Z</cp:lastPrinted>
  <dcterms:created xsi:type="dcterms:W3CDTF">2024-08-07T04:50:00Z</dcterms:created>
  <dcterms:modified xsi:type="dcterms:W3CDTF">2024-08-12T04:20:00Z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0x010100F794EC4C31997F4DAF6EF5F96F729AC4</vt:lpwstr>
  </property>
  <property fmtid="{D5CDD505-2E9C-101B-9397-08002B2CF9AE}" pid="10" name="MediaServiceImageTags">
    <vt:lpwstr/>
  </property>
</Properties>
</file>