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3274E" w14:textId="0DD58E2B" w:rsidR="00EE49FB" w:rsidRPr="00B93C08" w:rsidRDefault="00DC35F5" w:rsidP="00320647">
      <w:pPr>
        <w:sectPr w:rsidR="00EE49FB" w:rsidRPr="00B93C08" w:rsidSect="00385EA9">
          <w:headerReference w:type="default" r:id="rId11"/>
          <w:footerReference w:type="default" r:id="rId12"/>
          <w:headerReference w:type="first" r:id="rId13"/>
          <w:footerReference w:type="first" r:id="rId14"/>
          <w:type w:val="continuous"/>
          <w:pgSz w:w="11906" w:h="16838"/>
          <w:pgMar w:top="1134" w:right="1440" w:bottom="1134" w:left="1440" w:header="0" w:footer="539" w:gutter="0"/>
          <w:pgNumType w:start="1"/>
          <w:cols w:space="708"/>
          <w:titlePg/>
          <w:docGrid w:linePitch="360"/>
        </w:sectPr>
      </w:pPr>
      <w:bookmarkStart w:id="0" w:name="_Toc118443202"/>
      <w:bookmarkStart w:id="1" w:name="_Toc119418020"/>
      <w:r w:rsidRPr="00B93C08">
        <w:rPr>
          <w:noProof/>
        </w:rPr>
        <w:drawing>
          <wp:anchor distT="0" distB="0" distL="114300" distR="114300" simplePos="0" relativeHeight="251651584" behindDoc="1" locked="0" layoutInCell="1" allowOverlap="1" wp14:anchorId="23C42A40" wp14:editId="150C82BA">
            <wp:simplePos x="0" y="0"/>
            <wp:positionH relativeFrom="page">
              <wp:align>left</wp:align>
            </wp:positionH>
            <wp:positionV relativeFrom="page">
              <wp:posOffset>15240</wp:posOffset>
            </wp:positionV>
            <wp:extent cx="7568565" cy="10701655"/>
            <wp:effectExtent l="0" t="0" r="0" b="4445"/>
            <wp:wrapNone/>
            <wp:docPr id="1604838949" name="Picture 16048389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38949" name="Picture 1604838949">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569016" cy="10702119"/>
                    </a:xfrm>
                    <a:prstGeom prst="rect">
                      <a:avLst/>
                    </a:prstGeom>
                  </pic:spPr>
                </pic:pic>
              </a:graphicData>
            </a:graphic>
            <wp14:sizeRelH relativeFrom="margin">
              <wp14:pctWidth>0</wp14:pctWidth>
            </wp14:sizeRelH>
            <wp14:sizeRelV relativeFrom="margin">
              <wp14:pctHeight>0</wp14:pctHeight>
            </wp14:sizeRelV>
          </wp:anchor>
        </w:drawing>
      </w:r>
      <w:r w:rsidR="00541426" w:rsidRPr="00B93C08">
        <w:rPr>
          <w:noProof/>
        </w:rPr>
        <mc:AlternateContent>
          <mc:Choice Requires="wps">
            <w:drawing>
              <wp:anchor distT="45720" distB="45720" distL="114300" distR="114300" simplePos="0" relativeHeight="251672064" behindDoc="0" locked="0" layoutInCell="1" allowOverlap="1" wp14:anchorId="122B4FE3" wp14:editId="1BFFE33A">
                <wp:simplePos x="0" y="0"/>
                <wp:positionH relativeFrom="margin">
                  <wp:posOffset>-245745</wp:posOffset>
                </wp:positionH>
                <wp:positionV relativeFrom="paragraph">
                  <wp:posOffset>1941195</wp:posOffset>
                </wp:positionV>
                <wp:extent cx="4749165" cy="1404620"/>
                <wp:effectExtent l="0" t="0" r="0" b="5080"/>
                <wp:wrapSquare wrapText="bothSides"/>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1404620"/>
                        </a:xfrm>
                        <a:prstGeom prst="rect">
                          <a:avLst/>
                        </a:prstGeom>
                        <a:noFill/>
                        <a:ln w="9525">
                          <a:noFill/>
                          <a:miter lim="800000"/>
                          <a:headEnd/>
                          <a:tailEnd/>
                        </a:ln>
                      </wps:spPr>
                      <wps:txbx>
                        <w:txbxContent>
                          <w:p w14:paraId="5EA85C09" w14:textId="0697CF28" w:rsidR="00541426" w:rsidRPr="00B93C08" w:rsidRDefault="00541426">
                            <w:pPr>
                              <w:rPr>
                                <w:b/>
                                <w:color w:val="FFFFFF" w:themeColor="background1"/>
                                <w:sz w:val="96"/>
                                <w:szCs w:val="96"/>
                              </w:rPr>
                            </w:pPr>
                            <w:r w:rsidRPr="00B93C08">
                              <w:rPr>
                                <w:b/>
                                <w:color w:val="FFFFFF" w:themeColor="background1"/>
                                <w:sz w:val="96"/>
                                <w:szCs w:val="96"/>
                              </w:rPr>
                              <w:t xml:space="preserve">Labour Market </w:t>
                            </w:r>
                            <w:r w:rsidR="00A41443" w:rsidRPr="00B93C08">
                              <w:rPr>
                                <w:b/>
                                <w:color w:val="FFFFFF" w:themeColor="background1"/>
                                <w:sz w:val="96"/>
                                <w:szCs w:val="96"/>
                              </w:rPr>
                              <w:t>Update</w:t>
                            </w:r>
                          </w:p>
                          <w:p w14:paraId="002E79BB" w14:textId="77777777" w:rsidR="00DC35F5" w:rsidRPr="00B93C08" w:rsidRDefault="00DC35F5">
                            <w:pPr>
                              <w:rPr>
                                <w:b/>
                                <w:color w:val="FFFFFF" w:themeColor="background1"/>
                                <w:sz w:val="96"/>
                                <w:szCs w:val="96"/>
                              </w:rPr>
                            </w:pPr>
                          </w:p>
                          <w:p w14:paraId="1E26EA95" w14:textId="58BC9BAC" w:rsidR="00DC35F5" w:rsidRPr="00B93C08" w:rsidRDefault="00915F80">
                            <w:pPr>
                              <w:rPr>
                                <w:bCs/>
                                <w:color w:val="FFFFFF" w:themeColor="background1"/>
                                <w:sz w:val="52"/>
                                <w:szCs w:val="52"/>
                              </w:rPr>
                            </w:pPr>
                            <w:r w:rsidRPr="00B93C08">
                              <w:rPr>
                                <w:bCs/>
                                <w:color w:val="FFFFFF" w:themeColor="background1"/>
                                <w:sz w:val="52"/>
                                <w:szCs w:val="52"/>
                              </w:rPr>
                              <w:t>March</w:t>
                            </w:r>
                            <w:r w:rsidR="00DC35F5" w:rsidRPr="00B93C08">
                              <w:rPr>
                                <w:bCs/>
                                <w:color w:val="FFFFFF" w:themeColor="background1"/>
                                <w:sz w:val="52"/>
                                <w:szCs w:val="52"/>
                              </w:rPr>
                              <w:t xml:space="preserv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2B4FE3" id="_x0000_t202" coordsize="21600,21600" o:spt="202" path="m,l,21600r21600,l21600,xe">
                <v:stroke joinstyle="miter"/>
                <v:path gradientshapeok="t" o:connecttype="rect"/>
              </v:shapetype>
              <v:shape id="Text Box 217" o:spid="_x0000_s1026" type="#_x0000_t202" alt="&quot;&quot;" style="position:absolute;margin-left:-19.35pt;margin-top:152.85pt;width:373.95pt;height:110.6pt;z-index:251672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" filled="f" stroked="f">
                <v:textbox style="mso-fit-shape-to-text:t">
                  <w:txbxContent>
                    <w:p w14:paraId="5EA85C09" w14:textId="0697CF28" w:rsidR="00541426" w:rsidRPr="00B93C08" w:rsidRDefault="00541426">
                      <w:pPr>
                        <w:rPr>
                          <w:b/>
                          <w:color w:val="FFFFFF" w:themeColor="background1"/>
                          <w:sz w:val="96"/>
                          <w:szCs w:val="96"/>
                        </w:rPr>
                      </w:pPr>
                      <w:r w:rsidRPr="00B93C08">
                        <w:rPr>
                          <w:b/>
                          <w:color w:val="FFFFFF" w:themeColor="background1"/>
                          <w:sz w:val="96"/>
                          <w:szCs w:val="96"/>
                        </w:rPr>
                        <w:t xml:space="preserve">Labour Market </w:t>
                      </w:r>
                      <w:r w:rsidR="00A41443" w:rsidRPr="00B93C08">
                        <w:rPr>
                          <w:b/>
                          <w:color w:val="FFFFFF" w:themeColor="background1"/>
                          <w:sz w:val="96"/>
                          <w:szCs w:val="96"/>
                        </w:rPr>
                        <w:t>Update</w:t>
                      </w:r>
                    </w:p>
                    <w:p w14:paraId="002E79BB" w14:textId="77777777" w:rsidR="00DC35F5" w:rsidRPr="00B93C08" w:rsidRDefault="00DC35F5">
                      <w:pPr>
                        <w:rPr>
                          <w:b/>
                          <w:color w:val="FFFFFF" w:themeColor="background1"/>
                          <w:sz w:val="96"/>
                          <w:szCs w:val="96"/>
                        </w:rPr>
                      </w:pPr>
                    </w:p>
                    <w:p w14:paraId="1E26EA95" w14:textId="58BC9BAC" w:rsidR="00DC35F5" w:rsidRPr="00B93C08" w:rsidRDefault="00915F80">
                      <w:pPr>
                        <w:rPr>
                          <w:bCs/>
                          <w:color w:val="FFFFFF" w:themeColor="background1"/>
                          <w:sz w:val="52"/>
                          <w:szCs w:val="52"/>
                        </w:rPr>
                      </w:pPr>
                      <w:r w:rsidRPr="00B93C08">
                        <w:rPr>
                          <w:bCs/>
                          <w:color w:val="FFFFFF" w:themeColor="background1"/>
                          <w:sz w:val="52"/>
                          <w:szCs w:val="52"/>
                        </w:rPr>
                        <w:t>March</w:t>
                      </w:r>
                      <w:r w:rsidR="00DC35F5" w:rsidRPr="00B93C08">
                        <w:rPr>
                          <w:bCs/>
                          <w:color w:val="FFFFFF" w:themeColor="background1"/>
                          <w:sz w:val="52"/>
                          <w:szCs w:val="52"/>
                        </w:rPr>
                        <w:t xml:space="preserve"> 2024</w:t>
                      </w:r>
                    </w:p>
                  </w:txbxContent>
                </v:textbox>
                <w10:wrap type="square" anchorx="margin"/>
              </v:shape>
            </w:pict>
          </mc:Fallback>
        </mc:AlternateContent>
      </w:r>
      <w:r w:rsidR="00997F6C" w:rsidRPr="00B93C08">
        <w:rPr>
          <w:noProof/>
        </w:rPr>
        <w:drawing>
          <wp:inline distT="0" distB="0" distL="0" distR="0" wp14:anchorId="202EBB92" wp14:editId="2CB65A49">
            <wp:extent cx="3294580" cy="715784"/>
            <wp:effectExtent l="0" t="0" r="1270" b="8255"/>
            <wp:docPr id="717505474" name="Picture 717505474" descr="Australian Government Jobs and Skill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05474" name="Picture 1" descr="Australian Government Jobs and Skills Australia"/>
                    <pic:cNvPicPr/>
                  </pic:nvPicPr>
                  <pic:blipFill>
                    <a:blip r:embed="rId16">
                      <a:clrChange>
                        <a:clrFrom>
                          <a:srgbClr val="39066B"/>
                        </a:clrFrom>
                        <a:clrTo>
                          <a:srgbClr val="39066B">
                            <a:alpha val="0"/>
                          </a:srgbClr>
                        </a:clrTo>
                      </a:clrChange>
                    </a:blip>
                    <a:stretch>
                      <a:fillRect/>
                    </a:stretch>
                  </pic:blipFill>
                  <pic:spPr>
                    <a:xfrm>
                      <a:off x="0" y="0"/>
                      <a:ext cx="3524334" cy="765701"/>
                    </a:xfrm>
                    <a:prstGeom prst="rect">
                      <a:avLst/>
                    </a:prstGeom>
                  </pic:spPr>
                </pic:pic>
              </a:graphicData>
            </a:graphic>
          </wp:inline>
        </w:drawing>
      </w:r>
    </w:p>
    <w:p w14:paraId="2C9651D4" w14:textId="38657BE5" w:rsidR="00B11937" w:rsidRPr="00B93C08" w:rsidRDefault="00B11937" w:rsidP="00320647">
      <w:pPr>
        <w:pStyle w:val="TOCHeading"/>
        <w:rPr>
          <w:lang w:val="en-AU"/>
        </w:rPr>
      </w:pPr>
      <w:r w:rsidRPr="00B93C08">
        <w:rPr>
          <w:lang w:val="en-AU"/>
        </w:rPr>
        <w:lastRenderedPageBreak/>
        <w:t>Contents</w:t>
      </w:r>
    </w:p>
    <w:p w14:paraId="1651B1AE" w14:textId="7429A7D5" w:rsidR="003216FF" w:rsidRDefault="00B11937">
      <w:pPr>
        <w:pStyle w:val="TOC1"/>
        <w:tabs>
          <w:tab w:val="right" w:leader="dot" w:pos="9016"/>
        </w:tabs>
        <w:rPr>
          <w:rFonts w:asciiTheme="minorHAnsi" w:eastAsiaTheme="minorEastAsia" w:hAnsiTheme="minorHAnsi"/>
          <w:b w:val="0"/>
          <w:noProof/>
          <w:color w:val="auto"/>
          <w:kern w:val="2"/>
          <w:lang w:eastAsia="en-AU"/>
          <w14:ligatures w14:val="standardContextual"/>
        </w:rPr>
      </w:pPr>
      <w:r w:rsidRPr="00B93C08">
        <w:fldChar w:fldCharType="begin"/>
      </w:r>
      <w:r w:rsidRPr="00B93C08">
        <w:instrText xml:space="preserve"> TOC \o "1-3" \h \z \u </w:instrText>
      </w:r>
      <w:r w:rsidRPr="00B93C08">
        <w:fldChar w:fldCharType="separate"/>
      </w:r>
      <w:hyperlink w:anchor="_Toc166140495" w:history="1">
        <w:r w:rsidR="003216FF" w:rsidRPr="008F10ED">
          <w:rPr>
            <w:rStyle w:val="Hyperlink"/>
            <w:noProof/>
          </w:rPr>
          <w:t>Executive summary</w:t>
        </w:r>
        <w:r w:rsidR="003216FF">
          <w:rPr>
            <w:noProof/>
            <w:webHidden/>
          </w:rPr>
          <w:tab/>
        </w:r>
        <w:r w:rsidR="003216FF">
          <w:rPr>
            <w:noProof/>
            <w:webHidden/>
          </w:rPr>
          <w:fldChar w:fldCharType="begin"/>
        </w:r>
        <w:r w:rsidR="003216FF">
          <w:rPr>
            <w:noProof/>
            <w:webHidden/>
          </w:rPr>
          <w:instrText xml:space="preserve"> PAGEREF _Toc166140495 \h </w:instrText>
        </w:r>
        <w:r w:rsidR="003216FF">
          <w:rPr>
            <w:noProof/>
            <w:webHidden/>
          </w:rPr>
        </w:r>
        <w:r w:rsidR="003216FF">
          <w:rPr>
            <w:noProof/>
            <w:webHidden/>
          </w:rPr>
          <w:fldChar w:fldCharType="separate"/>
        </w:r>
        <w:r w:rsidR="000E58F3">
          <w:rPr>
            <w:noProof/>
            <w:webHidden/>
          </w:rPr>
          <w:t>1</w:t>
        </w:r>
        <w:r w:rsidR="003216FF">
          <w:rPr>
            <w:noProof/>
            <w:webHidden/>
          </w:rPr>
          <w:fldChar w:fldCharType="end"/>
        </w:r>
      </w:hyperlink>
    </w:p>
    <w:p w14:paraId="571A2957" w14:textId="47E30BAB" w:rsidR="003216FF" w:rsidRDefault="000E58F3">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66140496" w:history="1">
        <w:r w:rsidR="003216FF" w:rsidRPr="008F10ED">
          <w:rPr>
            <w:rStyle w:val="Hyperlink"/>
            <w:noProof/>
          </w:rPr>
          <w:t>Overview of the Australian labour market</w:t>
        </w:r>
        <w:r w:rsidR="003216FF">
          <w:rPr>
            <w:noProof/>
            <w:webHidden/>
          </w:rPr>
          <w:tab/>
        </w:r>
        <w:r w:rsidR="003216FF">
          <w:rPr>
            <w:noProof/>
            <w:webHidden/>
          </w:rPr>
          <w:fldChar w:fldCharType="begin"/>
        </w:r>
        <w:r w:rsidR="003216FF">
          <w:rPr>
            <w:noProof/>
            <w:webHidden/>
          </w:rPr>
          <w:instrText xml:space="preserve"> PAGEREF _Toc166140496 \h </w:instrText>
        </w:r>
        <w:r w:rsidR="003216FF">
          <w:rPr>
            <w:noProof/>
            <w:webHidden/>
          </w:rPr>
        </w:r>
        <w:r w:rsidR="003216FF">
          <w:rPr>
            <w:noProof/>
            <w:webHidden/>
          </w:rPr>
          <w:fldChar w:fldCharType="separate"/>
        </w:r>
        <w:r>
          <w:rPr>
            <w:noProof/>
            <w:webHidden/>
          </w:rPr>
          <w:t>3</w:t>
        </w:r>
        <w:r w:rsidR="003216FF">
          <w:rPr>
            <w:noProof/>
            <w:webHidden/>
          </w:rPr>
          <w:fldChar w:fldCharType="end"/>
        </w:r>
      </w:hyperlink>
    </w:p>
    <w:p w14:paraId="21B0D33D" w14:textId="72CF2F2F" w:rsidR="003216FF" w:rsidRDefault="000E58F3">
      <w:pPr>
        <w:pStyle w:val="TOC2"/>
        <w:tabs>
          <w:tab w:val="right" w:leader="dot" w:pos="9016"/>
        </w:tabs>
        <w:rPr>
          <w:rFonts w:asciiTheme="minorHAnsi" w:eastAsiaTheme="minorEastAsia" w:hAnsiTheme="minorHAnsi"/>
          <w:noProof/>
          <w:kern w:val="2"/>
          <w:lang w:eastAsia="en-AU"/>
          <w14:ligatures w14:val="standardContextual"/>
        </w:rPr>
      </w:pPr>
      <w:hyperlink w:anchor="_Toc166140497" w:history="1">
        <w:r w:rsidR="003216FF" w:rsidRPr="008F10ED">
          <w:rPr>
            <w:rStyle w:val="Hyperlink"/>
            <w:noProof/>
          </w:rPr>
          <w:t>The national scene</w:t>
        </w:r>
        <w:r w:rsidR="003216FF">
          <w:rPr>
            <w:noProof/>
            <w:webHidden/>
          </w:rPr>
          <w:tab/>
        </w:r>
        <w:r w:rsidR="003216FF">
          <w:rPr>
            <w:noProof/>
            <w:webHidden/>
          </w:rPr>
          <w:fldChar w:fldCharType="begin"/>
        </w:r>
        <w:r w:rsidR="003216FF">
          <w:rPr>
            <w:noProof/>
            <w:webHidden/>
          </w:rPr>
          <w:instrText xml:space="preserve"> PAGEREF _Toc166140497 \h </w:instrText>
        </w:r>
        <w:r w:rsidR="003216FF">
          <w:rPr>
            <w:noProof/>
            <w:webHidden/>
          </w:rPr>
        </w:r>
        <w:r w:rsidR="003216FF">
          <w:rPr>
            <w:noProof/>
            <w:webHidden/>
          </w:rPr>
          <w:fldChar w:fldCharType="separate"/>
        </w:r>
        <w:r>
          <w:rPr>
            <w:noProof/>
            <w:webHidden/>
          </w:rPr>
          <w:t>3</w:t>
        </w:r>
        <w:r w:rsidR="003216FF">
          <w:rPr>
            <w:noProof/>
            <w:webHidden/>
          </w:rPr>
          <w:fldChar w:fldCharType="end"/>
        </w:r>
      </w:hyperlink>
    </w:p>
    <w:p w14:paraId="17A47C77" w14:textId="14FBEB94" w:rsidR="003216FF" w:rsidRDefault="000E58F3">
      <w:pPr>
        <w:pStyle w:val="TOC2"/>
        <w:tabs>
          <w:tab w:val="right" w:leader="dot" w:pos="9016"/>
        </w:tabs>
        <w:rPr>
          <w:rFonts w:asciiTheme="minorHAnsi" w:eastAsiaTheme="minorEastAsia" w:hAnsiTheme="minorHAnsi"/>
          <w:noProof/>
          <w:kern w:val="2"/>
          <w:lang w:eastAsia="en-AU"/>
          <w14:ligatures w14:val="standardContextual"/>
        </w:rPr>
      </w:pPr>
      <w:hyperlink w:anchor="_Toc166140498" w:history="1">
        <w:r w:rsidR="003216FF" w:rsidRPr="008F10ED">
          <w:rPr>
            <w:rStyle w:val="Hyperlink"/>
            <w:noProof/>
          </w:rPr>
          <w:t>Demand for labour</w:t>
        </w:r>
        <w:r w:rsidR="003216FF">
          <w:rPr>
            <w:noProof/>
            <w:webHidden/>
          </w:rPr>
          <w:tab/>
        </w:r>
        <w:r w:rsidR="003216FF">
          <w:rPr>
            <w:noProof/>
            <w:webHidden/>
          </w:rPr>
          <w:fldChar w:fldCharType="begin"/>
        </w:r>
        <w:r w:rsidR="003216FF">
          <w:rPr>
            <w:noProof/>
            <w:webHidden/>
          </w:rPr>
          <w:instrText xml:space="preserve"> PAGEREF _Toc166140498 \h </w:instrText>
        </w:r>
        <w:r w:rsidR="003216FF">
          <w:rPr>
            <w:noProof/>
            <w:webHidden/>
          </w:rPr>
        </w:r>
        <w:r w:rsidR="003216FF">
          <w:rPr>
            <w:noProof/>
            <w:webHidden/>
          </w:rPr>
          <w:fldChar w:fldCharType="separate"/>
        </w:r>
        <w:r>
          <w:rPr>
            <w:noProof/>
            <w:webHidden/>
          </w:rPr>
          <w:t>6</w:t>
        </w:r>
        <w:r w:rsidR="003216FF">
          <w:rPr>
            <w:noProof/>
            <w:webHidden/>
          </w:rPr>
          <w:fldChar w:fldCharType="end"/>
        </w:r>
      </w:hyperlink>
    </w:p>
    <w:p w14:paraId="1C47A8A4" w14:textId="7243DBBB" w:rsidR="003216FF" w:rsidRDefault="000E58F3">
      <w:pPr>
        <w:pStyle w:val="TOC2"/>
        <w:tabs>
          <w:tab w:val="right" w:leader="dot" w:pos="9016"/>
        </w:tabs>
        <w:rPr>
          <w:rFonts w:asciiTheme="minorHAnsi" w:eastAsiaTheme="minorEastAsia" w:hAnsiTheme="minorHAnsi"/>
          <w:noProof/>
          <w:kern w:val="2"/>
          <w:lang w:eastAsia="en-AU"/>
          <w14:ligatures w14:val="standardContextual"/>
        </w:rPr>
      </w:pPr>
      <w:hyperlink w:anchor="_Toc166140499" w:history="1">
        <w:r w:rsidR="003216FF" w:rsidRPr="008F10ED">
          <w:rPr>
            <w:rStyle w:val="Hyperlink"/>
            <w:noProof/>
          </w:rPr>
          <w:t>Vacancy rates</w:t>
        </w:r>
        <w:r w:rsidR="003216FF">
          <w:rPr>
            <w:noProof/>
            <w:webHidden/>
          </w:rPr>
          <w:tab/>
        </w:r>
        <w:r w:rsidR="003216FF">
          <w:rPr>
            <w:noProof/>
            <w:webHidden/>
          </w:rPr>
          <w:fldChar w:fldCharType="begin"/>
        </w:r>
        <w:r w:rsidR="003216FF">
          <w:rPr>
            <w:noProof/>
            <w:webHidden/>
          </w:rPr>
          <w:instrText xml:space="preserve"> PAGEREF _Toc166140499 \h </w:instrText>
        </w:r>
        <w:r w:rsidR="003216FF">
          <w:rPr>
            <w:noProof/>
            <w:webHidden/>
          </w:rPr>
        </w:r>
        <w:r w:rsidR="003216FF">
          <w:rPr>
            <w:noProof/>
            <w:webHidden/>
          </w:rPr>
          <w:fldChar w:fldCharType="separate"/>
        </w:r>
        <w:r>
          <w:rPr>
            <w:noProof/>
            <w:webHidden/>
          </w:rPr>
          <w:t>7</w:t>
        </w:r>
        <w:r w:rsidR="003216FF">
          <w:rPr>
            <w:noProof/>
            <w:webHidden/>
          </w:rPr>
          <w:fldChar w:fldCharType="end"/>
        </w:r>
      </w:hyperlink>
    </w:p>
    <w:p w14:paraId="041D5307" w14:textId="44F88FB5" w:rsidR="003216FF" w:rsidRDefault="000E58F3">
      <w:pPr>
        <w:pStyle w:val="TOC2"/>
        <w:tabs>
          <w:tab w:val="right" w:leader="dot" w:pos="9016"/>
        </w:tabs>
        <w:rPr>
          <w:rFonts w:asciiTheme="minorHAnsi" w:eastAsiaTheme="minorEastAsia" w:hAnsiTheme="minorHAnsi"/>
          <w:noProof/>
          <w:kern w:val="2"/>
          <w:lang w:eastAsia="en-AU"/>
          <w14:ligatures w14:val="standardContextual"/>
        </w:rPr>
      </w:pPr>
      <w:hyperlink w:anchor="_Toc166140500" w:history="1">
        <w:r w:rsidR="003216FF" w:rsidRPr="008F10ED">
          <w:rPr>
            <w:rStyle w:val="Hyperlink"/>
            <w:noProof/>
          </w:rPr>
          <w:t>Ease of filling jobs nationally</w:t>
        </w:r>
        <w:r w:rsidR="003216FF">
          <w:rPr>
            <w:noProof/>
            <w:webHidden/>
          </w:rPr>
          <w:tab/>
        </w:r>
        <w:r w:rsidR="003216FF">
          <w:rPr>
            <w:noProof/>
            <w:webHidden/>
          </w:rPr>
          <w:fldChar w:fldCharType="begin"/>
        </w:r>
        <w:r w:rsidR="003216FF">
          <w:rPr>
            <w:noProof/>
            <w:webHidden/>
          </w:rPr>
          <w:instrText xml:space="preserve"> PAGEREF _Toc166140500 \h </w:instrText>
        </w:r>
        <w:r w:rsidR="003216FF">
          <w:rPr>
            <w:noProof/>
            <w:webHidden/>
          </w:rPr>
        </w:r>
        <w:r w:rsidR="003216FF">
          <w:rPr>
            <w:noProof/>
            <w:webHidden/>
          </w:rPr>
          <w:fldChar w:fldCharType="separate"/>
        </w:r>
        <w:r>
          <w:rPr>
            <w:noProof/>
            <w:webHidden/>
          </w:rPr>
          <w:t>8</w:t>
        </w:r>
        <w:r w:rsidR="003216FF">
          <w:rPr>
            <w:noProof/>
            <w:webHidden/>
          </w:rPr>
          <w:fldChar w:fldCharType="end"/>
        </w:r>
      </w:hyperlink>
    </w:p>
    <w:p w14:paraId="7406F6E7" w14:textId="3F018FEC" w:rsidR="003216FF" w:rsidRDefault="000E58F3">
      <w:pPr>
        <w:pStyle w:val="TOC2"/>
        <w:tabs>
          <w:tab w:val="right" w:leader="dot" w:pos="9016"/>
        </w:tabs>
        <w:rPr>
          <w:rFonts w:asciiTheme="minorHAnsi" w:eastAsiaTheme="minorEastAsia" w:hAnsiTheme="minorHAnsi"/>
          <w:noProof/>
          <w:kern w:val="2"/>
          <w:lang w:eastAsia="en-AU"/>
          <w14:ligatures w14:val="standardContextual"/>
        </w:rPr>
      </w:pPr>
      <w:hyperlink w:anchor="_Toc166140501" w:history="1">
        <w:r w:rsidR="003216FF" w:rsidRPr="008F10ED">
          <w:rPr>
            <w:rStyle w:val="Hyperlink"/>
            <w:noProof/>
          </w:rPr>
          <w:t>Views from employers</w:t>
        </w:r>
        <w:r w:rsidR="003216FF">
          <w:rPr>
            <w:noProof/>
            <w:webHidden/>
          </w:rPr>
          <w:tab/>
        </w:r>
        <w:r w:rsidR="003216FF">
          <w:rPr>
            <w:noProof/>
            <w:webHidden/>
          </w:rPr>
          <w:fldChar w:fldCharType="begin"/>
        </w:r>
        <w:r w:rsidR="003216FF">
          <w:rPr>
            <w:noProof/>
            <w:webHidden/>
          </w:rPr>
          <w:instrText xml:space="preserve"> PAGEREF _Toc166140501 \h </w:instrText>
        </w:r>
        <w:r w:rsidR="003216FF">
          <w:rPr>
            <w:noProof/>
            <w:webHidden/>
          </w:rPr>
        </w:r>
        <w:r w:rsidR="003216FF">
          <w:rPr>
            <w:noProof/>
            <w:webHidden/>
          </w:rPr>
          <w:fldChar w:fldCharType="separate"/>
        </w:r>
        <w:r>
          <w:rPr>
            <w:noProof/>
            <w:webHidden/>
          </w:rPr>
          <w:t>10</w:t>
        </w:r>
        <w:r w:rsidR="003216FF">
          <w:rPr>
            <w:noProof/>
            <w:webHidden/>
          </w:rPr>
          <w:fldChar w:fldCharType="end"/>
        </w:r>
      </w:hyperlink>
    </w:p>
    <w:p w14:paraId="4A3AE112" w14:textId="70642030" w:rsidR="003216FF" w:rsidRDefault="000E58F3">
      <w:pPr>
        <w:pStyle w:val="TOC2"/>
        <w:tabs>
          <w:tab w:val="right" w:leader="dot" w:pos="9016"/>
        </w:tabs>
        <w:rPr>
          <w:rFonts w:asciiTheme="minorHAnsi" w:eastAsiaTheme="minorEastAsia" w:hAnsiTheme="minorHAnsi"/>
          <w:noProof/>
          <w:kern w:val="2"/>
          <w:lang w:eastAsia="en-AU"/>
          <w14:ligatures w14:val="standardContextual"/>
        </w:rPr>
      </w:pPr>
      <w:hyperlink w:anchor="_Toc166140502" w:history="1">
        <w:r w:rsidR="003216FF" w:rsidRPr="008F10ED">
          <w:rPr>
            <w:rStyle w:val="Hyperlink"/>
            <w:noProof/>
          </w:rPr>
          <w:t>In focus: Is gender inequality impacting fill rates?</w:t>
        </w:r>
        <w:r w:rsidR="003216FF">
          <w:rPr>
            <w:noProof/>
            <w:webHidden/>
          </w:rPr>
          <w:tab/>
        </w:r>
        <w:r w:rsidR="003216FF">
          <w:rPr>
            <w:noProof/>
            <w:webHidden/>
          </w:rPr>
          <w:fldChar w:fldCharType="begin"/>
        </w:r>
        <w:r w:rsidR="003216FF">
          <w:rPr>
            <w:noProof/>
            <w:webHidden/>
          </w:rPr>
          <w:instrText xml:space="preserve"> PAGEREF _Toc166140502 \h </w:instrText>
        </w:r>
        <w:r w:rsidR="003216FF">
          <w:rPr>
            <w:noProof/>
            <w:webHidden/>
          </w:rPr>
        </w:r>
        <w:r w:rsidR="003216FF">
          <w:rPr>
            <w:noProof/>
            <w:webHidden/>
          </w:rPr>
          <w:fldChar w:fldCharType="separate"/>
        </w:r>
        <w:r>
          <w:rPr>
            <w:noProof/>
            <w:webHidden/>
          </w:rPr>
          <w:t>11</w:t>
        </w:r>
        <w:r w:rsidR="003216FF">
          <w:rPr>
            <w:noProof/>
            <w:webHidden/>
          </w:rPr>
          <w:fldChar w:fldCharType="end"/>
        </w:r>
      </w:hyperlink>
    </w:p>
    <w:p w14:paraId="4FD951C5" w14:textId="79F2FE6D" w:rsidR="003216FF" w:rsidRDefault="000E58F3">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66140503" w:history="1">
        <w:r w:rsidR="003216FF" w:rsidRPr="008F10ED">
          <w:rPr>
            <w:rStyle w:val="Hyperlink"/>
            <w:noProof/>
          </w:rPr>
          <w:t>How are the states and territories faring?</w:t>
        </w:r>
        <w:r w:rsidR="003216FF">
          <w:rPr>
            <w:noProof/>
            <w:webHidden/>
          </w:rPr>
          <w:tab/>
        </w:r>
        <w:r w:rsidR="003216FF">
          <w:rPr>
            <w:noProof/>
            <w:webHidden/>
          </w:rPr>
          <w:fldChar w:fldCharType="begin"/>
        </w:r>
        <w:r w:rsidR="003216FF">
          <w:rPr>
            <w:noProof/>
            <w:webHidden/>
          </w:rPr>
          <w:instrText xml:space="preserve"> PAGEREF _Toc166140503 \h </w:instrText>
        </w:r>
        <w:r w:rsidR="003216FF">
          <w:rPr>
            <w:noProof/>
            <w:webHidden/>
          </w:rPr>
        </w:r>
        <w:r w:rsidR="003216FF">
          <w:rPr>
            <w:noProof/>
            <w:webHidden/>
          </w:rPr>
          <w:fldChar w:fldCharType="separate"/>
        </w:r>
        <w:r>
          <w:rPr>
            <w:noProof/>
            <w:webHidden/>
          </w:rPr>
          <w:t>14</w:t>
        </w:r>
        <w:r w:rsidR="003216FF">
          <w:rPr>
            <w:noProof/>
            <w:webHidden/>
          </w:rPr>
          <w:fldChar w:fldCharType="end"/>
        </w:r>
      </w:hyperlink>
    </w:p>
    <w:p w14:paraId="5F22D16D" w14:textId="72F824E0" w:rsidR="003216FF" w:rsidRDefault="000E58F3">
      <w:pPr>
        <w:pStyle w:val="TOC2"/>
        <w:tabs>
          <w:tab w:val="right" w:leader="dot" w:pos="9016"/>
        </w:tabs>
        <w:rPr>
          <w:rFonts w:asciiTheme="minorHAnsi" w:eastAsiaTheme="minorEastAsia" w:hAnsiTheme="minorHAnsi"/>
          <w:noProof/>
          <w:kern w:val="2"/>
          <w:lang w:eastAsia="en-AU"/>
          <w14:ligatures w14:val="standardContextual"/>
        </w:rPr>
      </w:pPr>
      <w:hyperlink w:anchor="_Toc166140504" w:history="1">
        <w:r w:rsidR="003216FF" w:rsidRPr="008F10ED">
          <w:rPr>
            <w:rStyle w:val="Hyperlink"/>
            <w:noProof/>
          </w:rPr>
          <w:t>State and territory labour market outcomes</w:t>
        </w:r>
        <w:r w:rsidR="003216FF">
          <w:rPr>
            <w:noProof/>
            <w:webHidden/>
          </w:rPr>
          <w:tab/>
        </w:r>
        <w:r w:rsidR="003216FF">
          <w:rPr>
            <w:noProof/>
            <w:webHidden/>
          </w:rPr>
          <w:fldChar w:fldCharType="begin"/>
        </w:r>
        <w:r w:rsidR="003216FF">
          <w:rPr>
            <w:noProof/>
            <w:webHidden/>
          </w:rPr>
          <w:instrText xml:space="preserve"> PAGEREF _Toc166140504 \h </w:instrText>
        </w:r>
        <w:r w:rsidR="003216FF">
          <w:rPr>
            <w:noProof/>
            <w:webHidden/>
          </w:rPr>
        </w:r>
        <w:r w:rsidR="003216FF">
          <w:rPr>
            <w:noProof/>
            <w:webHidden/>
          </w:rPr>
          <w:fldChar w:fldCharType="separate"/>
        </w:r>
        <w:r>
          <w:rPr>
            <w:noProof/>
            <w:webHidden/>
          </w:rPr>
          <w:t>14</w:t>
        </w:r>
        <w:r w:rsidR="003216FF">
          <w:rPr>
            <w:noProof/>
            <w:webHidden/>
          </w:rPr>
          <w:fldChar w:fldCharType="end"/>
        </w:r>
      </w:hyperlink>
    </w:p>
    <w:p w14:paraId="55C91ACA" w14:textId="356C8E00" w:rsidR="003216FF" w:rsidRDefault="000E58F3">
      <w:pPr>
        <w:pStyle w:val="TOC2"/>
        <w:tabs>
          <w:tab w:val="right" w:leader="dot" w:pos="9016"/>
        </w:tabs>
        <w:rPr>
          <w:rFonts w:asciiTheme="minorHAnsi" w:eastAsiaTheme="minorEastAsia" w:hAnsiTheme="minorHAnsi"/>
          <w:noProof/>
          <w:kern w:val="2"/>
          <w:lang w:eastAsia="en-AU"/>
          <w14:ligatures w14:val="standardContextual"/>
        </w:rPr>
      </w:pPr>
      <w:hyperlink w:anchor="_Toc166140505" w:history="1">
        <w:r w:rsidR="003216FF" w:rsidRPr="008F10ED">
          <w:rPr>
            <w:rStyle w:val="Hyperlink"/>
            <w:noProof/>
          </w:rPr>
          <w:t>The regions</w:t>
        </w:r>
        <w:r w:rsidR="003216FF">
          <w:rPr>
            <w:noProof/>
            <w:webHidden/>
          </w:rPr>
          <w:tab/>
        </w:r>
        <w:r w:rsidR="003216FF">
          <w:rPr>
            <w:noProof/>
            <w:webHidden/>
          </w:rPr>
          <w:fldChar w:fldCharType="begin"/>
        </w:r>
        <w:r w:rsidR="003216FF">
          <w:rPr>
            <w:noProof/>
            <w:webHidden/>
          </w:rPr>
          <w:instrText xml:space="preserve"> PAGEREF _Toc166140505 \h </w:instrText>
        </w:r>
        <w:r w:rsidR="003216FF">
          <w:rPr>
            <w:noProof/>
            <w:webHidden/>
          </w:rPr>
        </w:r>
        <w:r w:rsidR="003216FF">
          <w:rPr>
            <w:noProof/>
            <w:webHidden/>
          </w:rPr>
          <w:fldChar w:fldCharType="separate"/>
        </w:r>
        <w:r>
          <w:rPr>
            <w:noProof/>
            <w:webHidden/>
          </w:rPr>
          <w:t>16</w:t>
        </w:r>
        <w:r w:rsidR="003216FF">
          <w:rPr>
            <w:noProof/>
            <w:webHidden/>
          </w:rPr>
          <w:fldChar w:fldCharType="end"/>
        </w:r>
      </w:hyperlink>
    </w:p>
    <w:p w14:paraId="1F158935" w14:textId="5E2E1326" w:rsidR="003216FF" w:rsidRDefault="000E58F3">
      <w:pPr>
        <w:pStyle w:val="TOC3"/>
        <w:rPr>
          <w:rFonts w:asciiTheme="minorHAnsi" w:eastAsiaTheme="minorEastAsia" w:hAnsiTheme="minorHAnsi"/>
          <w:noProof/>
          <w:kern w:val="2"/>
          <w:lang w:eastAsia="en-AU"/>
          <w14:ligatures w14:val="standardContextual"/>
        </w:rPr>
      </w:pPr>
      <w:hyperlink w:anchor="_Toc166140506" w:history="1">
        <w:r w:rsidR="003216FF" w:rsidRPr="008F10ED">
          <w:rPr>
            <w:rStyle w:val="Hyperlink"/>
            <w:noProof/>
          </w:rPr>
          <w:t>Recruitment difficulty in the regions</w:t>
        </w:r>
        <w:r w:rsidR="003216FF">
          <w:rPr>
            <w:noProof/>
            <w:webHidden/>
          </w:rPr>
          <w:tab/>
        </w:r>
        <w:r w:rsidR="003216FF">
          <w:rPr>
            <w:noProof/>
            <w:webHidden/>
          </w:rPr>
          <w:fldChar w:fldCharType="begin"/>
        </w:r>
        <w:r w:rsidR="003216FF">
          <w:rPr>
            <w:noProof/>
            <w:webHidden/>
          </w:rPr>
          <w:instrText xml:space="preserve"> PAGEREF _Toc166140506 \h </w:instrText>
        </w:r>
        <w:r w:rsidR="003216FF">
          <w:rPr>
            <w:noProof/>
            <w:webHidden/>
          </w:rPr>
        </w:r>
        <w:r w:rsidR="003216FF">
          <w:rPr>
            <w:noProof/>
            <w:webHidden/>
          </w:rPr>
          <w:fldChar w:fldCharType="separate"/>
        </w:r>
        <w:r>
          <w:rPr>
            <w:noProof/>
            <w:webHidden/>
          </w:rPr>
          <w:t>17</w:t>
        </w:r>
        <w:r w:rsidR="003216FF">
          <w:rPr>
            <w:noProof/>
            <w:webHidden/>
          </w:rPr>
          <w:fldChar w:fldCharType="end"/>
        </w:r>
      </w:hyperlink>
    </w:p>
    <w:p w14:paraId="183D7738" w14:textId="58022FB8" w:rsidR="003216FF" w:rsidRDefault="000E58F3">
      <w:pPr>
        <w:pStyle w:val="TOC2"/>
        <w:tabs>
          <w:tab w:val="right" w:leader="dot" w:pos="9016"/>
        </w:tabs>
        <w:rPr>
          <w:rFonts w:asciiTheme="minorHAnsi" w:eastAsiaTheme="minorEastAsia" w:hAnsiTheme="minorHAnsi"/>
          <w:noProof/>
          <w:kern w:val="2"/>
          <w:lang w:eastAsia="en-AU"/>
          <w14:ligatures w14:val="standardContextual"/>
        </w:rPr>
      </w:pPr>
      <w:hyperlink w:anchor="_Toc166140507" w:history="1">
        <w:r w:rsidR="003216FF" w:rsidRPr="008F10ED">
          <w:rPr>
            <w:rStyle w:val="Hyperlink"/>
            <w:rFonts w:eastAsia="Times New Roman"/>
            <w:noProof/>
          </w:rPr>
          <w:t>In focus: Assessing the long-term performance of regional labour markets</w:t>
        </w:r>
        <w:r w:rsidR="003216FF">
          <w:rPr>
            <w:noProof/>
            <w:webHidden/>
          </w:rPr>
          <w:tab/>
        </w:r>
        <w:r w:rsidR="003216FF">
          <w:rPr>
            <w:noProof/>
            <w:webHidden/>
          </w:rPr>
          <w:fldChar w:fldCharType="begin"/>
        </w:r>
        <w:r w:rsidR="003216FF">
          <w:rPr>
            <w:noProof/>
            <w:webHidden/>
          </w:rPr>
          <w:instrText xml:space="preserve"> PAGEREF _Toc166140507 \h </w:instrText>
        </w:r>
        <w:r w:rsidR="003216FF">
          <w:rPr>
            <w:noProof/>
            <w:webHidden/>
          </w:rPr>
        </w:r>
        <w:r w:rsidR="003216FF">
          <w:rPr>
            <w:noProof/>
            <w:webHidden/>
          </w:rPr>
          <w:fldChar w:fldCharType="separate"/>
        </w:r>
        <w:r>
          <w:rPr>
            <w:noProof/>
            <w:webHidden/>
          </w:rPr>
          <w:t>20</w:t>
        </w:r>
        <w:r w:rsidR="003216FF">
          <w:rPr>
            <w:noProof/>
            <w:webHidden/>
          </w:rPr>
          <w:fldChar w:fldCharType="end"/>
        </w:r>
      </w:hyperlink>
    </w:p>
    <w:p w14:paraId="09136555" w14:textId="433C2C3C" w:rsidR="003216FF" w:rsidRDefault="000E58F3">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66140508" w:history="1">
        <w:r w:rsidR="003216FF" w:rsidRPr="008F10ED">
          <w:rPr>
            <w:rStyle w:val="Hyperlink"/>
            <w:noProof/>
          </w:rPr>
          <w:t>Labour market conditions across industries and occupations</w:t>
        </w:r>
        <w:r w:rsidR="003216FF">
          <w:rPr>
            <w:noProof/>
            <w:webHidden/>
          </w:rPr>
          <w:tab/>
        </w:r>
        <w:r w:rsidR="003216FF">
          <w:rPr>
            <w:noProof/>
            <w:webHidden/>
          </w:rPr>
          <w:fldChar w:fldCharType="begin"/>
        </w:r>
        <w:r w:rsidR="003216FF">
          <w:rPr>
            <w:noProof/>
            <w:webHidden/>
          </w:rPr>
          <w:instrText xml:space="preserve"> PAGEREF _Toc166140508 \h </w:instrText>
        </w:r>
        <w:r w:rsidR="003216FF">
          <w:rPr>
            <w:noProof/>
            <w:webHidden/>
          </w:rPr>
        </w:r>
        <w:r w:rsidR="003216FF">
          <w:rPr>
            <w:noProof/>
            <w:webHidden/>
          </w:rPr>
          <w:fldChar w:fldCharType="separate"/>
        </w:r>
        <w:r>
          <w:rPr>
            <w:noProof/>
            <w:webHidden/>
          </w:rPr>
          <w:t>22</w:t>
        </w:r>
        <w:r w:rsidR="003216FF">
          <w:rPr>
            <w:noProof/>
            <w:webHidden/>
          </w:rPr>
          <w:fldChar w:fldCharType="end"/>
        </w:r>
      </w:hyperlink>
    </w:p>
    <w:p w14:paraId="48231404" w14:textId="3934D759" w:rsidR="003216FF" w:rsidRDefault="000E58F3">
      <w:pPr>
        <w:pStyle w:val="TOC2"/>
        <w:tabs>
          <w:tab w:val="right" w:leader="dot" w:pos="9016"/>
        </w:tabs>
        <w:rPr>
          <w:rFonts w:asciiTheme="minorHAnsi" w:eastAsiaTheme="minorEastAsia" w:hAnsiTheme="minorHAnsi"/>
          <w:noProof/>
          <w:kern w:val="2"/>
          <w:lang w:eastAsia="en-AU"/>
          <w14:ligatures w14:val="standardContextual"/>
        </w:rPr>
      </w:pPr>
      <w:hyperlink w:anchor="_Toc166140509" w:history="1">
        <w:r w:rsidR="003216FF" w:rsidRPr="008F10ED">
          <w:rPr>
            <w:rStyle w:val="Hyperlink"/>
            <w:noProof/>
          </w:rPr>
          <w:t>Employment by industry</w:t>
        </w:r>
        <w:r w:rsidR="003216FF">
          <w:rPr>
            <w:noProof/>
            <w:webHidden/>
          </w:rPr>
          <w:tab/>
        </w:r>
        <w:r w:rsidR="003216FF">
          <w:rPr>
            <w:noProof/>
            <w:webHidden/>
          </w:rPr>
          <w:fldChar w:fldCharType="begin"/>
        </w:r>
        <w:r w:rsidR="003216FF">
          <w:rPr>
            <w:noProof/>
            <w:webHidden/>
          </w:rPr>
          <w:instrText xml:space="preserve"> PAGEREF _Toc166140509 \h </w:instrText>
        </w:r>
        <w:r w:rsidR="003216FF">
          <w:rPr>
            <w:noProof/>
            <w:webHidden/>
          </w:rPr>
        </w:r>
        <w:r w:rsidR="003216FF">
          <w:rPr>
            <w:noProof/>
            <w:webHidden/>
          </w:rPr>
          <w:fldChar w:fldCharType="separate"/>
        </w:r>
        <w:r>
          <w:rPr>
            <w:noProof/>
            <w:webHidden/>
          </w:rPr>
          <w:t>22</w:t>
        </w:r>
        <w:r w:rsidR="003216FF">
          <w:rPr>
            <w:noProof/>
            <w:webHidden/>
          </w:rPr>
          <w:fldChar w:fldCharType="end"/>
        </w:r>
      </w:hyperlink>
    </w:p>
    <w:p w14:paraId="04C3C8C1" w14:textId="2A034A48" w:rsidR="003216FF" w:rsidRDefault="000E58F3">
      <w:pPr>
        <w:pStyle w:val="TOC3"/>
        <w:rPr>
          <w:rFonts w:asciiTheme="minorHAnsi" w:eastAsiaTheme="minorEastAsia" w:hAnsiTheme="minorHAnsi"/>
          <w:noProof/>
          <w:kern w:val="2"/>
          <w:lang w:eastAsia="en-AU"/>
          <w14:ligatures w14:val="standardContextual"/>
        </w:rPr>
      </w:pPr>
      <w:hyperlink w:anchor="_Toc166140510" w:history="1">
        <w:r w:rsidR="003216FF" w:rsidRPr="008F10ED">
          <w:rPr>
            <w:rStyle w:val="Hyperlink"/>
            <w:noProof/>
          </w:rPr>
          <w:t>Recruitment difficulty among industries</w:t>
        </w:r>
        <w:r w:rsidR="003216FF">
          <w:rPr>
            <w:noProof/>
            <w:webHidden/>
          </w:rPr>
          <w:tab/>
        </w:r>
        <w:r w:rsidR="003216FF">
          <w:rPr>
            <w:noProof/>
            <w:webHidden/>
          </w:rPr>
          <w:fldChar w:fldCharType="begin"/>
        </w:r>
        <w:r w:rsidR="003216FF">
          <w:rPr>
            <w:noProof/>
            <w:webHidden/>
          </w:rPr>
          <w:instrText xml:space="preserve"> PAGEREF _Toc166140510 \h </w:instrText>
        </w:r>
        <w:r w:rsidR="003216FF">
          <w:rPr>
            <w:noProof/>
            <w:webHidden/>
          </w:rPr>
        </w:r>
        <w:r w:rsidR="003216FF">
          <w:rPr>
            <w:noProof/>
            <w:webHidden/>
          </w:rPr>
          <w:fldChar w:fldCharType="separate"/>
        </w:r>
        <w:r>
          <w:rPr>
            <w:noProof/>
            <w:webHidden/>
          </w:rPr>
          <w:t>23</w:t>
        </w:r>
        <w:r w:rsidR="003216FF">
          <w:rPr>
            <w:noProof/>
            <w:webHidden/>
          </w:rPr>
          <w:fldChar w:fldCharType="end"/>
        </w:r>
      </w:hyperlink>
    </w:p>
    <w:p w14:paraId="65F94BC8" w14:textId="14B99EBE" w:rsidR="003216FF" w:rsidRDefault="000E58F3">
      <w:pPr>
        <w:pStyle w:val="TOC2"/>
        <w:tabs>
          <w:tab w:val="right" w:leader="dot" w:pos="9016"/>
        </w:tabs>
        <w:rPr>
          <w:rFonts w:asciiTheme="minorHAnsi" w:eastAsiaTheme="minorEastAsia" w:hAnsiTheme="minorHAnsi"/>
          <w:noProof/>
          <w:kern w:val="2"/>
          <w:lang w:eastAsia="en-AU"/>
          <w14:ligatures w14:val="standardContextual"/>
        </w:rPr>
      </w:pPr>
      <w:hyperlink w:anchor="_Toc166140511" w:history="1">
        <w:r w:rsidR="003216FF" w:rsidRPr="008F10ED">
          <w:rPr>
            <w:rStyle w:val="Hyperlink"/>
            <w:noProof/>
          </w:rPr>
          <w:t>Skill levels</w:t>
        </w:r>
        <w:r w:rsidR="003216FF">
          <w:rPr>
            <w:noProof/>
            <w:webHidden/>
          </w:rPr>
          <w:tab/>
        </w:r>
        <w:r w:rsidR="003216FF">
          <w:rPr>
            <w:noProof/>
            <w:webHidden/>
          </w:rPr>
          <w:fldChar w:fldCharType="begin"/>
        </w:r>
        <w:r w:rsidR="003216FF">
          <w:rPr>
            <w:noProof/>
            <w:webHidden/>
          </w:rPr>
          <w:instrText xml:space="preserve"> PAGEREF _Toc166140511 \h </w:instrText>
        </w:r>
        <w:r w:rsidR="003216FF">
          <w:rPr>
            <w:noProof/>
            <w:webHidden/>
          </w:rPr>
        </w:r>
        <w:r w:rsidR="003216FF">
          <w:rPr>
            <w:noProof/>
            <w:webHidden/>
          </w:rPr>
          <w:fldChar w:fldCharType="separate"/>
        </w:r>
        <w:r>
          <w:rPr>
            <w:noProof/>
            <w:webHidden/>
          </w:rPr>
          <w:t>24</w:t>
        </w:r>
        <w:r w:rsidR="003216FF">
          <w:rPr>
            <w:noProof/>
            <w:webHidden/>
          </w:rPr>
          <w:fldChar w:fldCharType="end"/>
        </w:r>
      </w:hyperlink>
    </w:p>
    <w:p w14:paraId="27DD3649" w14:textId="49DFE910" w:rsidR="003216FF" w:rsidRDefault="000E58F3">
      <w:pPr>
        <w:pStyle w:val="TOC2"/>
        <w:tabs>
          <w:tab w:val="right" w:leader="dot" w:pos="9016"/>
        </w:tabs>
        <w:rPr>
          <w:rFonts w:asciiTheme="minorHAnsi" w:eastAsiaTheme="minorEastAsia" w:hAnsiTheme="minorHAnsi"/>
          <w:noProof/>
          <w:kern w:val="2"/>
          <w:lang w:eastAsia="en-AU"/>
          <w14:ligatures w14:val="standardContextual"/>
        </w:rPr>
      </w:pPr>
      <w:hyperlink w:anchor="_Toc166140512" w:history="1">
        <w:r w:rsidR="003216FF" w:rsidRPr="008F10ED">
          <w:rPr>
            <w:rStyle w:val="Hyperlink"/>
            <w:noProof/>
          </w:rPr>
          <w:t>Occupational breakdown</w:t>
        </w:r>
        <w:r w:rsidR="003216FF">
          <w:rPr>
            <w:noProof/>
            <w:webHidden/>
          </w:rPr>
          <w:tab/>
        </w:r>
        <w:r w:rsidR="003216FF">
          <w:rPr>
            <w:noProof/>
            <w:webHidden/>
          </w:rPr>
          <w:fldChar w:fldCharType="begin"/>
        </w:r>
        <w:r w:rsidR="003216FF">
          <w:rPr>
            <w:noProof/>
            <w:webHidden/>
          </w:rPr>
          <w:instrText xml:space="preserve"> PAGEREF _Toc166140512 \h </w:instrText>
        </w:r>
        <w:r w:rsidR="003216FF">
          <w:rPr>
            <w:noProof/>
            <w:webHidden/>
          </w:rPr>
        </w:r>
        <w:r w:rsidR="003216FF">
          <w:rPr>
            <w:noProof/>
            <w:webHidden/>
          </w:rPr>
          <w:fldChar w:fldCharType="separate"/>
        </w:r>
        <w:r>
          <w:rPr>
            <w:noProof/>
            <w:webHidden/>
          </w:rPr>
          <w:t>26</w:t>
        </w:r>
        <w:r w:rsidR="003216FF">
          <w:rPr>
            <w:noProof/>
            <w:webHidden/>
          </w:rPr>
          <w:fldChar w:fldCharType="end"/>
        </w:r>
      </w:hyperlink>
    </w:p>
    <w:p w14:paraId="6C78674F" w14:textId="5CAB4C02" w:rsidR="003216FF" w:rsidRDefault="000E58F3">
      <w:pPr>
        <w:pStyle w:val="TOC3"/>
        <w:rPr>
          <w:rFonts w:asciiTheme="minorHAnsi" w:eastAsiaTheme="minorEastAsia" w:hAnsiTheme="minorHAnsi"/>
          <w:noProof/>
          <w:kern w:val="2"/>
          <w:lang w:eastAsia="en-AU"/>
          <w14:ligatures w14:val="standardContextual"/>
        </w:rPr>
      </w:pPr>
      <w:hyperlink w:anchor="_Toc166140513" w:history="1">
        <w:r w:rsidR="003216FF" w:rsidRPr="008F10ED">
          <w:rPr>
            <w:rStyle w:val="Hyperlink"/>
            <w:noProof/>
          </w:rPr>
          <w:t>Internet vacancies by occupation</w:t>
        </w:r>
        <w:r w:rsidR="003216FF">
          <w:rPr>
            <w:noProof/>
            <w:webHidden/>
          </w:rPr>
          <w:tab/>
        </w:r>
        <w:r w:rsidR="003216FF">
          <w:rPr>
            <w:noProof/>
            <w:webHidden/>
          </w:rPr>
          <w:fldChar w:fldCharType="begin"/>
        </w:r>
        <w:r w:rsidR="003216FF">
          <w:rPr>
            <w:noProof/>
            <w:webHidden/>
          </w:rPr>
          <w:instrText xml:space="preserve"> PAGEREF _Toc166140513 \h </w:instrText>
        </w:r>
        <w:r w:rsidR="003216FF">
          <w:rPr>
            <w:noProof/>
            <w:webHidden/>
          </w:rPr>
        </w:r>
        <w:r w:rsidR="003216FF">
          <w:rPr>
            <w:noProof/>
            <w:webHidden/>
          </w:rPr>
          <w:fldChar w:fldCharType="separate"/>
        </w:r>
        <w:r>
          <w:rPr>
            <w:noProof/>
            <w:webHidden/>
          </w:rPr>
          <w:t>26</w:t>
        </w:r>
        <w:r w:rsidR="003216FF">
          <w:rPr>
            <w:noProof/>
            <w:webHidden/>
          </w:rPr>
          <w:fldChar w:fldCharType="end"/>
        </w:r>
      </w:hyperlink>
    </w:p>
    <w:p w14:paraId="622024E7" w14:textId="50EB7D8E" w:rsidR="003216FF" w:rsidRDefault="000E58F3">
      <w:pPr>
        <w:pStyle w:val="TOC3"/>
        <w:rPr>
          <w:rFonts w:asciiTheme="minorHAnsi" w:eastAsiaTheme="minorEastAsia" w:hAnsiTheme="minorHAnsi"/>
          <w:noProof/>
          <w:kern w:val="2"/>
          <w:lang w:eastAsia="en-AU"/>
          <w14:ligatures w14:val="standardContextual"/>
        </w:rPr>
      </w:pPr>
      <w:hyperlink w:anchor="_Toc166140514" w:history="1">
        <w:r w:rsidR="003216FF" w:rsidRPr="008F10ED">
          <w:rPr>
            <w:rStyle w:val="Hyperlink"/>
            <w:noProof/>
          </w:rPr>
          <w:t>Recruitment difficulty by occupation</w:t>
        </w:r>
        <w:r w:rsidR="003216FF">
          <w:rPr>
            <w:noProof/>
            <w:webHidden/>
          </w:rPr>
          <w:tab/>
        </w:r>
        <w:r w:rsidR="003216FF">
          <w:rPr>
            <w:noProof/>
            <w:webHidden/>
          </w:rPr>
          <w:fldChar w:fldCharType="begin"/>
        </w:r>
        <w:r w:rsidR="003216FF">
          <w:rPr>
            <w:noProof/>
            <w:webHidden/>
          </w:rPr>
          <w:instrText xml:space="preserve"> PAGEREF _Toc166140514 \h </w:instrText>
        </w:r>
        <w:r w:rsidR="003216FF">
          <w:rPr>
            <w:noProof/>
            <w:webHidden/>
          </w:rPr>
        </w:r>
        <w:r w:rsidR="003216FF">
          <w:rPr>
            <w:noProof/>
            <w:webHidden/>
          </w:rPr>
          <w:fldChar w:fldCharType="separate"/>
        </w:r>
        <w:r>
          <w:rPr>
            <w:noProof/>
            <w:webHidden/>
          </w:rPr>
          <w:t>27</w:t>
        </w:r>
        <w:r w:rsidR="003216FF">
          <w:rPr>
            <w:noProof/>
            <w:webHidden/>
          </w:rPr>
          <w:fldChar w:fldCharType="end"/>
        </w:r>
      </w:hyperlink>
    </w:p>
    <w:p w14:paraId="06349EA5" w14:textId="2CC59E39" w:rsidR="003216FF" w:rsidRDefault="000E58F3">
      <w:pPr>
        <w:pStyle w:val="TOC2"/>
        <w:tabs>
          <w:tab w:val="right" w:leader="dot" w:pos="9016"/>
        </w:tabs>
        <w:rPr>
          <w:rFonts w:asciiTheme="minorHAnsi" w:eastAsiaTheme="minorEastAsia" w:hAnsiTheme="minorHAnsi"/>
          <w:noProof/>
          <w:kern w:val="2"/>
          <w:lang w:eastAsia="en-AU"/>
          <w14:ligatures w14:val="standardContextual"/>
        </w:rPr>
      </w:pPr>
      <w:hyperlink w:anchor="_Toc166140515" w:history="1">
        <w:r w:rsidR="003216FF" w:rsidRPr="008F10ED">
          <w:rPr>
            <w:rStyle w:val="Hyperlink"/>
            <w:noProof/>
          </w:rPr>
          <w:t>In focus: BLACK, WHITE and RED ALL OVER - The tipping point for Journalists and Other Writers</w:t>
        </w:r>
        <w:r w:rsidR="003216FF">
          <w:rPr>
            <w:noProof/>
            <w:webHidden/>
          </w:rPr>
          <w:tab/>
        </w:r>
        <w:r w:rsidR="003216FF">
          <w:rPr>
            <w:noProof/>
            <w:webHidden/>
          </w:rPr>
          <w:fldChar w:fldCharType="begin"/>
        </w:r>
        <w:r w:rsidR="003216FF">
          <w:rPr>
            <w:noProof/>
            <w:webHidden/>
          </w:rPr>
          <w:instrText xml:space="preserve"> PAGEREF _Toc166140515 \h </w:instrText>
        </w:r>
        <w:r w:rsidR="003216FF">
          <w:rPr>
            <w:noProof/>
            <w:webHidden/>
          </w:rPr>
        </w:r>
        <w:r w:rsidR="003216FF">
          <w:rPr>
            <w:noProof/>
            <w:webHidden/>
          </w:rPr>
          <w:fldChar w:fldCharType="separate"/>
        </w:r>
        <w:r>
          <w:rPr>
            <w:noProof/>
            <w:webHidden/>
          </w:rPr>
          <w:t>29</w:t>
        </w:r>
        <w:r w:rsidR="003216FF">
          <w:rPr>
            <w:noProof/>
            <w:webHidden/>
          </w:rPr>
          <w:fldChar w:fldCharType="end"/>
        </w:r>
      </w:hyperlink>
    </w:p>
    <w:p w14:paraId="2BB6C28F" w14:textId="0A0D56E2" w:rsidR="003216FF" w:rsidRDefault="000E58F3">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66140516" w:history="1">
        <w:r w:rsidR="003216FF" w:rsidRPr="008F10ED">
          <w:rPr>
            <w:rStyle w:val="Hyperlink"/>
            <w:noProof/>
          </w:rPr>
          <w:t>Jobs and Skills Australia resources</w:t>
        </w:r>
        <w:r w:rsidR="003216FF">
          <w:rPr>
            <w:noProof/>
            <w:webHidden/>
          </w:rPr>
          <w:tab/>
        </w:r>
        <w:r w:rsidR="003216FF">
          <w:rPr>
            <w:noProof/>
            <w:webHidden/>
          </w:rPr>
          <w:fldChar w:fldCharType="begin"/>
        </w:r>
        <w:r w:rsidR="003216FF">
          <w:rPr>
            <w:noProof/>
            <w:webHidden/>
          </w:rPr>
          <w:instrText xml:space="preserve"> PAGEREF _Toc166140516 \h </w:instrText>
        </w:r>
        <w:r w:rsidR="003216FF">
          <w:rPr>
            <w:noProof/>
            <w:webHidden/>
          </w:rPr>
        </w:r>
        <w:r w:rsidR="003216FF">
          <w:rPr>
            <w:noProof/>
            <w:webHidden/>
          </w:rPr>
          <w:fldChar w:fldCharType="separate"/>
        </w:r>
        <w:r>
          <w:rPr>
            <w:noProof/>
            <w:webHidden/>
          </w:rPr>
          <w:t>31</w:t>
        </w:r>
        <w:r w:rsidR="003216FF">
          <w:rPr>
            <w:noProof/>
            <w:webHidden/>
          </w:rPr>
          <w:fldChar w:fldCharType="end"/>
        </w:r>
      </w:hyperlink>
    </w:p>
    <w:p w14:paraId="5D323E67" w14:textId="1D52BEA5" w:rsidR="007D1020" w:rsidRPr="00B93C08" w:rsidRDefault="00B11937" w:rsidP="00320647">
      <w:pPr>
        <w:spacing w:after="160" w:line="259" w:lineRule="auto"/>
      </w:pPr>
      <w:r w:rsidRPr="00B93C08">
        <w:fldChar w:fldCharType="end"/>
      </w:r>
    </w:p>
    <w:p w14:paraId="30D00198" w14:textId="77777777" w:rsidR="007D1020" w:rsidRPr="00B93C08" w:rsidRDefault="007D1020" w:rsidP="00320647">
      <w:pPr>
        <w:spacing w:after="160" w:line="259" w:lineRule="auto"/>
      </w:pPr>
    </w:p>
    <w:p w14:paraId="575B21EE" w14:textId="77777777" w:rsidR="007D1020" w:rsidRPr="00B93C08" w:rsidRDefault="007D1020" w:rsidP="00320647">
      <w:pPr>
        <w:spacing w:after="160" w:line="259" w:lineRule="auto"/>
      </w:pPr>
    </w:p>
    <w:p w14:paraId="125F88DC" w14:textId="77777777" w:rsidR="006A35A8" w:rsidRPr="00B93C08" w:rsidRDefault="006A35A8" w:rsidP="00320647">
      <w:pPr>
        <w:spacing w:after="160" w:line="259" w:lineRule="auto"/>
      </w:pPr>
    </w:p>
    <w:p w14:paraId="3241F667" w14:textId="77777777" w:rsidR="006A35A8" w:rsidRPr="00B93C08" w:rsidRDefault="006A35A8" w:rsidP="00320647">
      <w:pPr>
        <w:spacing w:after="160" w:line="259" w:lineRule="auto"/>
      </w:pPr>
    </w:p>
    <w:p w14:paraId="59A12063" w14:textId="77777777" w:rsidR="006A35A8" w:rsidRDefault="006A35A8" w:rsidP="00320647">
      <w:pPr>
        <w:spacing w:after="160" w:line="259" w:lineRule="auto"/>
      </w:pPr>
    </w:p>
    <w:p w14:paraId="0776621E" w14:textId="77777777" w:rsidR="008266DA" w:rsidRDefault="008266DA" w:rsidP="00320647">
      <w:pPr>
        <w:spacing w:after="160" w:line="259" w:lineRule="auto"/>
      </w:pPr>
    </w:p>
    <w:p w14:paraId="58E3B231" w14:textId="77777777" w:rsidR="008266DA" w:rsidRPr="00B93C08" w:rsidRDefault="008266DA" w:rsidP="00320647">
      <w:pPr>
        <w:spacing w:after="160" w:line="259" w:lineRule="auto"/>
      </w:pPr>
    </w:p>
    <w:p w14:paraId="6D24FC55" w14:textId="370D3101" w:rsidR="006A35A8" w:rsidRPr="00B93C08" w:rsidRDefault="006A35A8" w:rsidP="006A35A8">
      <w:pPr>
        <w:spacing w:after="160" w:line="259" w:lineRule="auto"/>
        <w:rPr>
          <w:i/>
          <w:sz w:val="18"/>
          <w:szCs w:val="18"/>
        </w:rPr>
        <w:sectPr w:rsidR="006A35A8" w:rsidRPr="00B93C08" w:rsidSect="00385EA9">
          <w:headerReference w:type="default" r:id="rId17"/>
          <w:headerReference w:type="first" r:id="rId18"/>
          <w:footerReference w:type="first" r:id="rId19"/>
          <w:pgSz w:w="11906" w:h="16838"/>
          <w:pgMar w:top="1276" w:right="1440" w:bottom="1134" w:left="1440" w:header="0" w:footer="539" w:gutter="0"/>
          <w:pgNumType w:start="0"/>
          <w:cols w:space="708"/>
          <w:titlePg/>
          <w:docGrid w:linePitch="360"/>
        </w:sectPr>
      </w:pPr>
      <w:r w:rsidRPr="00B93C08">
        <w:rPr>
          <w:i/>
          <w:iCs/>
          <w:sz w:val="18"/>
          <w:szCs w:val="18"/>
        </w:rPr>
        <w:t xml:space="preserve">The data in this document largely reflect the latest </w:t>
      </w:r>
      <w:r w:rsidR="00915F80" w:rsidRPr="00B93C08">
        <w:rPr>
          <w:i/>
          <w:iCs/>
          <w:sz w:val="18"/>
          <w:szCs w:val="18"/>
        </w:rPr>
        <w:t>March</w:t>
      </w:r>
      <w:r w:rsidRPr="00B93C08">
        <w:rPr>
          <w:i/>
          <w:iCs/>
          <w:sz w:val="18"/>
          <w:szCs w:val="18"/>
        </w:rPr>
        <w:t xml:space="preserve"> month and quarter and were current as of 31</w:t>
      </w:r>
      <w:r w:rsidR="00B23CE0" w:rsidRPr="00B93C08">
        <w:rPr>
          <w:i/>
          <w:iCs/>
          <w:sz w:val="18"/>
          <w:szCs w:val="18"/>
        </w:rPr>
        <w:t> </w:t>
      </w:r>
      <w:r w:rsidR="00915F80" w:rsidRPr="00B93C08">
        <w:rPr>
          <w:i/>
          <w:iCs/>
          <w:sz w:val="18"/>
          <w:szCs w:val="18"/>
        </w:rPr>
        <w:t>March</w:t>
      </w:r>
      <w:r w:rsidRPr="00B93C08">
        <w:rPr>
          <w:i/>
          <w:iCs/>
          <w:sz w:val="18"/>
          <w:szCs w:val="18"/>
        </w:rPr>
        <w:t xml:space="preserve"> 2024.</w:t>
      </w:r>
    </w:p>
    <w:p w14:paraId="342C5890" w14:textId="0B557434" w:rsidR="008564DD" w:rsidRPr="00B93C08" w:rsidRDefault="008564DD" w:rsidP="00320647">
      <w:pPr>
        <w:pStyle w:val="Heading1"/>
      </w:pPr>
      <w:bookmarkStart w:id="2" w:name="_Toc151365176"/>
      <w:bookmarkStart w:id="3" w:name="_Toc166140495"/>
      <w:bookmarkStart w:id="4" w:name="_Hlk165359703"/>
      <w:r w:rsidRPr="00B93C08">
        <w:lastRenderedPageBreak/>
        <w:t xml:space="preserve">Executive </w:t>
      </w:r>
      <w:r w:rsidR="000023F8" w:rsidRPr="00B93C08">
        <w:t>s</w:t>
      </w:r>
      <w:r w:rsidRPr="00B93C08">
        <w:t>ummary</w:t>
      </w:r>
      <w:bookmarkEnd w:id="2"/>
      <w:bookmarkEnd w:id="3"/>
    </w:p>
    <w:bookmarkEnd w:id="4"/>
    <w:p w14:paraId="2B968146" w14:textId="77777777" w:rsidR="002B6E60" w:rsidRDefault="00057C7D" w:rsidP="002B6E60">
      <w:r w:rsidRPr="0092016D">
        <w:t xml:space="preserve">Against the backdrop of robust population growth, the Australian labour market displayed remarkable resilience over the March quarter 2024 with the pace of employment growth increasing more than initially anticipated earlier in the year. Despite the improvement over the </w:t>
      </w:r>
      <w:r w:rsidRPr="0092016D">
        <w:rPr>
          <w:i/>
          <w:iCs/>
        </w:rPr>
        <w:t>quarter</w:t>
      </w:r>
      <w:r w:rsidRPr="0092016D">
        <w:t xml:space="preserve">, labour market activity has clearly eased over the last </w:t>
      </w:r>
      <w:r w:rsidRPr="0092016D">
        <w:rPr>
          <w:i/>
          <w:iCs/>
        </w:rPr>
        <w:t>year</w:t>
      </w:r>
      <w:r w:rsidRPr="0092016D">
        <w:t xml:space="preserve">. </w:t>
      </w:r>
      <w:proofErr w:type="gramStart"/>
      <w:r w:rsidRPr="0092016D">
        <w:t>A number of</w:t>
      </w:r>
      <w:proofErr w:type="gramEnd"/>
      <w:r w:rsidRPr="0092016D">
        <w:t xml:space="preserve"> partial indicators suggest that the labour market will soften further in the coming months, with the unemployment rate expected to drift higher in the period ahead</w:t>
      </w:r>
      <w:r w:rsidRPr="00312614">
        <w:t xml:space="preserve">. </w:t>
      </w:r>
      <w:r w:rsidR="002B6E60" w:rsidRPr="00312614">
        <w:t xml:space="preserve">In this regard, forecasts from Treasury’s </w:t>
      </w:r>
      <w:r w:rsidR="002B6E60" w:rsidRPr="00312614">
        <w:rPr>
          <w:i/>
          <w:iCs/>
        </w:rPr>
        <w:t>2024</w:t>
      </w:r>
      <w:r w:rsidR="002B6E60" w:rsidRPr="00312614">
        <w:rPr>
          <w:i/>
          <w:iCs/>
        </w:rPr>
        <w:noBreakHyphen/>
        <w:t>25 Budget</w:t>
      </w:r>
      <w:r w:rsidR="002B6E60" w:rsidRPr="00312614">
        <w:rPr>
          <w:i/>
        </w:rPr>
        <w:t xml:space="preserve"> </w:t>
      </w:r>
      <w:r w:rsidR="002B6E60" w:rsidRPr="00312614">
        <w:t>are for the unemployment rate to edge up to 4% in the June quarter 2024, before increasing further to 4½% in the June quarter 2025.</w:t>
      </w:r>
    </w:p>
    <w:p w14:paraId="76AA6BE4" w14:textId="47EA31B9" w:rsidR="0042089A" w:rsidRPr="0092016D" w:rsidRDefault="0042089A" w:rsidP="0042089A">
      <w:proofErr w:type="gramStart"/>
      <w:r w:rsidRPr="0092016D">
        <w:t>A number of</w:t>
      </w:r>
      <w:proofErr w:type="gramEnd"/>
      <w:r w:rsidRPr="0092016D">
        <w:t xml:space="preserve"> partial indicators of labour market activity are also consistent with a somewhat softer outlook. For instance, Jobs and Skills Australia’s </w:t>
      </w:r>
      <w:r w:rsidRPr="0092016D">
        <w:rPr>
          <w:i/>
        </w:rPr>
        <w:t>Recruitment Experiences and Outlook Survey</w:t>
      </w:r>
      <w:r w:rsidRPr="0092016D">
        <w:t xml:space="preserve"> results show a </w:t>
      </w:r>
      <w:proofErr w:type="gramStart"/>
      <w:r w:rsidRPr="0092016D">
        <w:t>6 percentage</w:t>
      </w:r>
      <w:proofErr w:type="gramEnd"/>
      <w:r w:rsidRPr="0092016D">
        <w:t xml:space="preserve"> point fall in the recruitment rate over the year, suggesting that labour demand will ease over the period ahead. Similarly, Jobs and Skills Australia’s </w:t>
      </w:r>
      <w:r w:rsidRPr="0092016D">
        <w:rPr>
          <w:i/>
        </w:rPr>
        <w:t>Internet Vacancy Index</w:t>
      </w:r>
      <w:r w:rsidRPr="0092016D">
        <w:t xml:space="preserve"> data show that job advertisements decreased by 35,300 (or 12.4%) over the year to March 2024 – although they remain significantly elevated compared with pre-COVID levels.</w:t>
      </w:r>
    </w:p>
    <w:p w14:paraId="02FA1174" w14:textId="77777777" w:rsidR="0042089A" w:rsidRPr="0092016D" w:rsidRDefault="0042089A" w:rsidP="0042089A">
      <w:pPr>
        <w:rPr>
          <w:rFonts w:cs="Arial"/>
        </w:rPr>
      </w:pPr>
      <w:r w:rsidRPr="0092016D">
        <w:rPr>
          <w:rFonts w:cs="Arial"/>
        </w:rPr>
        <w:t xml:space="preserve">Despite the recent fall in both the number of internet vacancies and recruitment difficulty, data from Jobs and Skills Australia’s </w:t>
      </w:r>
      <w:r w:rsidRPr="0092016D">
        <w:rPr>
          <w:i/>
        </w:rPr>
        <w:t>Survey of Employers who have Recently Advertised</w:t>
      </w:r>
      <w:r w:rsidRPr="0092016D">
        <w:t xml:space="preserve"> show that employers are still experiencing challenges finding suitably skilled workers to fill vacant positions. Indeed, there has only been a slight increase in the average number of suitable applicants per vacancy over the year, from 2.4 in the March quarter 2023, to 2.8 in the March quarter 2024, </w:t>
      </w:r>
      <w:r w:rsidRPr="0092016D">
        <w:rPr>
          <w:rFonts w:cs="Arial"/>
        </w:rPr>
        <w:t>suggesting that there is still shortage pressure evident in the labour market</w:t>
      </w:r>
      <w:r w:rsidRPr="0092016D">
        <w:t>.</w:t>
      </w:r>
    </w:p>
    <w:p w14:paraId="4E7C39ED" w14:textId="77777777" w:rsidR="0042089A" w:rsidRPr="0092016D" w:rsidRDefault="0042089A" w:rsidP="0042089A">
      <w:pPr>
        <w:rPr>
          <w:rStyle w:val="CommentReference"/>
        </w:rPr>
      </w:pPr>
      <w:r w:rsidRPr="0092016D">
        <w:rPr>
          <w:rFonts w:cs="Arial"/>
        </w:rPr>
        <w:t>There also continues to be some variation in recruitment activity at the regional level. For instance, the recruitment rate fell by 9 percentage points in capital cities over the year, to 46% in March 2024, while it only fell by 3 percentage points in rest of state areas, to 53% (although it remains low compared with the rates recorded throughout 2022). Internet vacancies in capital cities have also decreased at a faster rate than their rest of state counterparts, falling by 20.6% in the former since the peak recorded in October 2022. This compares with a decline of 13.2% in rest of state areas over the same period.</w:t>
      </w:r>
      <w:r w:rsidRPr="0092016D">
        <w:rPr>
          <w:rStyle w:val="CommentReference"/>
        </w:rPr>
        <w:t xml:space="preserve"> </w:t>
      </w:r>
    </w:p>
    <w:p w14:paraId="0EC70814" w14:textId="77777777" w:rsidR="0042089A" w:rsidRPr="0092016D" w:rsidRDefault="0042089A" w:rsidP="0042089A">
      <w:r w:rsidRPr="0092016D">
        <w:rPr>
          <w:rFonts w:cs="Arial"/>
        </w:rPr>
        <w:t xml:space="preserve">Recruitment difficulty rates also tend to be higher in regions that are further away from large population hubs, with employers facing greater challenges finding qualified staff to fill their </w:t>
      </w:r>
      <w:r w:rsidRPr="0092016D">
        <w:rPr>
          <w:rFonts w:cs="Arial"/>
        </w:rPr>
        <w:lastRenderedPageBreak/>
        <w:t xml:space="preserve">vacancies, due, at least in part, to the relatively tighter labour market conditions in these areas. </w:t>
      </w:r>
      <w:r w:rsidRPr="0092016D">
        <w:t>This is likely to be further exacerbated in some regions, due to their industry composition. For example, some regions have a focus on mining or agriculture and, accordingly, have a need for people with more specialised skills.</w:t>
      </w:r>
    </w:p>
    <w:p w14:paraId="048D9C9E" w14:textId="77777777" w:rsidR="0042089A" w:rsidRPr="0092016D" w:rsidRDefault="0042089A" w:rsidP="0042089A">
      <w:pPr>
        <w:rPr>
          <w:rFonts w:cs="Arial"/>
        </w:rPr>
      </w:pPr>
      <w:r w:rsidRPr="0092016D">
        <w:rPr>
          <w:rFonts w:cs="Arial"/>
        </w:rPr>
        <w:t>With respect to industry developments at the national level, the Health Care and Social Assistance industry made the largest contribution to employment growth over the year, more than double of the next largest contributing industry (Education and Training). Notable employment growth in Construction; Professional, Scientific and Technical Services; Manufacturing; and Public Administration and Safety was also recorded over the year.</w:t>
      </w:r>
    </w:p>
    <w:p w14:paraId="47BE1976" w14:textId="6E46D73A" w:rsidR="0042089A" w:rsidRPr="00B93C08" w:rsidRDefault="0042089A" w:rsidP="0042089A">
      <w:pPr>
        <w:rPr>
          <w:rFonts w:cs="Arial"/>
        </w:rPr>
      </w:pPr>
      <w:r w:rsidRPr="0092016D">
        <w:rPr>
          <w:rFonts w:cs="Arial"/>
        </w:rPr>
        <w:t xml:space="preserve">The shift towards employment in higher skilled occupations in recent years is a continuation of a long-term trend. While recruitment difficulty has fallen across both higher and lower-skilled occupations over the year, employers continued to encounter greater difficulty recruiting for higher skilled occupations (62% </w:t>
      </w:r>
      <w:proofErr w:type="gramStart"/>
      <w:r w:rsidRPr="0092016D">
        <w:rPr>
          <w:rFonts w:cs="Arial"/>
        </w:rPr>
        <w:t>experienced difficulty</w:t>
      </w:r>
      <w:proofErr w:type="gramEnd"/>
      <w:r w:rsidRPr="0092016D">
        <w:rPr>
          <w:rFonts w:cs="Arial"/>
        </w:rPr>
        <w:t xml:space="preserve"> recruiting for Skill Level 1 to 3 occupations in March 2024), than those with vacancies for lower-skilled occupations (39% for Skill Level 4 and 5 occupations). Moreover, internet vacancies have declined across most major occupation groups in the March quarter 2024, with </w:t>
      </w:r>
      <w:r w:rsidRPr="0092016D">
        <w:t>Professionals and Technicians and Trades Workers recording the largest decreases over the period (down by 7.0% and 6.7% respectively), compared with smaller declines for Clerical and Administrative Workers and Labourers (down by 0.4% and 1.3% respectively). Despite these declines, the ratio of internet vacancies to employment were lowest among lower skilled occupation groups.</w:t>
      </w:r>
    </w:p>
    <w:p w14:paraId="34C8945C" w14:textId="77777777" w:rsidR="00E945B6" w:rsidRPr="00B93C08" w:rsidRDefault="00E945B6" w:rsidP="00320647">
      <w:pPr>
        <w:sectPr w:rsidR="00E945B6" w:rsidRPr="00B93C08" w:rsidSect="00385EA9">
          <w:headerReference w:type="default" r:id="rId20"/>
          <w:headerReference w:type="first" r:id="rId21"/>
          <w:footerReference w:type="first" r:id="rId22"/>
          <w:pgSz w:w="11906" w:h="16838"/>
          <w:pgMar w:top="1276" w:right="1440" w:bottom="1134" w:left="1440" w:header="0" w:footer="539" w:gutter="0"/>
          <w:cols w:space="708"/>
          <w:titlePg/>
          <w:docGrid w:linePitch="360"/>
        </w:sectPr>
      </w:pPr>
    </w:p>
    <w:p w14:paraId="7068ADBE" w14:textId="31864B1B" w:rsidR="008564DD" w:rsidRPr="00B93C08" w:rsidRDefault="00F85A97" w:rsidP="00320647">
      <w:pPr>
        <w:pStyle w:val="Heading1"/>
      </w:pPr>
      <w:bookmarkStart w:id="5" w:name="_Toc166140496"/>
      <w:r w:rsidRPr="00B93C08">
        <w:lastRenderedPageBreak/>
        <w:t xml:space="preserve">Overview of the </w:t>
      </w:r>
      <w:r w:rsidR="00FE6B35" w:rsidRPr="00B93C08">
        <w:t xml:space="preserve">Australian </w:t>
      </w:r>
      <w:r w:rsidRPr="00B93C08">
        <w:t>labour market</w:t>
      </w:r>
      <w:bookmarkEnd w:id="5"/>
    </w:p>
    <w:p w14:paraId="7384947F" w14:textId="77777777" w:rsidR="002B6E60" w:rsidRDefault="00CF635A" w:rsidP="002B6E60">
      <w:bookmarkStart w:id="6" w:name="_Hlk165535193"/>
      <w:bookmarkStart w:id="7" w:name="_Toc151365178"/>
      <w:bookmarkStart w:id="8" w:name="_Toc152324295"/>
      <w:r w:rsidRPr="0092016D">
        <w:t>Against the backdrop of robust population growth, the Australian labour market displayed remarkable resilience over the March quarter 2024 with the pace of employment growth increasing a little more strongly than initially anticipated earlier in the year.</w:t>
      </w:r>
      <w:bookmarkEnd w:id="6"/>
      <w:r w:rsidRPr="0092016D">
        <w:t xml:space="preserve"> </w:t>
      </w:r>
      <w:proofErr w:type="gramStart"/>
      <w:r w:rsidRPr="0092016D">
        <w:t>The vast majority of</w:t>
      </w:r>
      <w:proofErr w:type="gramEnd"/>
      <w:r w:rsidRPr="0092016D">
        <w:t xml:space="preserve"> the rise in employment over the March quarter occurred in February, reflecting, in large part, the greater than usual number of people who were waiting to start (or return to) a job in December 2023 and January 2024. </w:t>
      </w:r>
      <w:bookmarkStart w:id="9" w:name="_Hlk165535229"/>
      <w:r w:rsidRPr="0092016D">
        <w:t xml:space="preserve">Despite the improvement over the </w:t>
      </w:r>
      <w:r w:rsidRPr="0092016D">
        <w:rPr>
          <w:i/>
          <w:iCs/>
        </w:rPr>
        <w:t>quarter</w:t>
      </w:r>
      <w:r w:rsidRPr="0092016D">
        <w:t xml:space="preserve">, labour market activity has clearly eased over the last </w:t>
      </w:r>
      <w:r w:rsidRPr="0092016D">
        <w:rPr>
          <w:i/>
          <w:iCs/>
        </w:rPr>
        <w:t>year</w:t>
      </w:r>
      <w:r w:rsidRPr="0092016D">
        <w:t>.</w:t>
      </w:r>
      <w:bookmarkEnd w:id="9"/>
      <w:r w:rsidRPr="0092016D">
        <w:t xml:space="preserve"> In particular, the pace of full-time employment growth (and aggregate hours worked) has weakened considerably over the period, compared with much stronger growth in part-time jobs, reflecting the changing composition of employment</w:t>
      </w:r>
      <w:bookmarkStart w:id="10" w:name="_Hlk165535291"/>
      <w:r w:rsidRPr="0092016D">
        <w:t xml:space="preserve">. </w:t>
      </w:r>
      <w:proofErr w:type="gramStart"/>
      <w:r w:rsidRPr="0092016D">
        <w:t>A number of</w:t>
      </w:r>
      <w:proofErr w:type="gramEnd"/>
      <w:r w:rsidRPr="0092016D">
        <w:t xml:space="preserve"> partial indicators suggest that the labour market will soften further, albeit gradually, in the coming months, with the unemployment rate expected to drift higher in the period ahead</w:t>
      </w:r>
      <w:r w:rsidRPr="00312614">
        <w:t xml:space="preserve">. </w:t>
      </w:r>
      <w:bookmarkEnd w:id="10"/>
      <w:r w:rsidR="002B6E60" w:rsidRPr="00312614">
        <w:t xml:space="preserve">In this regard, forecasts from Treasury’s </w:t>
      </w:r>
      <w:r w:rsidR="002B6E60" w:rsidRPr="00312614">
        <w:rPr>
          <w:i/>
          <w:iCs/>
        </w:rPr>
        <w:t>2024</w:t>
      </w:r>
      <w:r w:rsidR="002B6E60" w:rsidRPr="00312614">
        <w:rPr>
          <w:i/>
          <w:iCs/>
        </w:rPr>
        <w:noBreakHyphen/>
        <w:t>25 Budget</w:t>
      </w:r>
      <w:r w:rsidR="002B6E60" w:rsidRPr="00312614">
        <w:rPr>
          <w:i/>
        </w:rPr>
        <w:t xml:space="preserve"> </w:t>
      </w:r>
      <w:r w:rsidR="002B6E60" w:rsidRPr="00312614">
        <w:t>are for the unemployment rate to edge up to 4% in the June quarter 2024, before increasing further to 4½% in the June quarter 2025.</w:t>
      </w:r>
    </w:p>
    <w:p w14:paraId="70210AAD" w14:textId="53C0CBAC" w:rsidR="003E5919" w:rsidRPr="00B93C08" w:rsidRDefault="003E5919" w:rsidP="00072997">
      <w:r w:rsidRPr="0092016D">
        <w:t xml:space="preserve">Table 1: Key labour market indicators, </w:t>
      </w:r>
      <w:r w:rsidR="00CF635A" w:rsidRPr="0092016D">
        <w:t>March</w:t>
      </w:r>
      <w:r w:rsidRPr="0092016D">
        <w:t xml:space="preserve"> 202</w:t>
      </w:r>
      <w:r w:rsidR="00CF635A" w:rsidRPr="0092016D">
        <w:t>4</w:t>
      </w:r>
      <w:r w:rsidRPr="0092016D">
        <w:t xml:space="preserve"> and change since </w:t>
      </w:r>
      <w:r w:rsidR="00CF635A" w:rsidRPr="0092016D">
        <w:t>Dece</w:t>
      </w:r>
      <w:r w:rsidRPr="0092016D">
        <w:t>mber 2023</w:t>
      </w:r>
    </w:p>
    <w:tbl>
      <w:tblPr>
        <w:tblStyle w:val="JSATable1"/>
        <w:tblW w:w="9498" w:type="dxa"/>
        <w:tblLayout w:type="fixed"/>
        <w:tblLook w:val="0020" w:firstRow="1" w:lastRow="0" w:firstColumn="0" w:lastColumn="0" w:noHBand="0" w:noVBand="0"/>
      </w:tblPr>
      <w:tblGrid>
        <w:gridCol w:w="1276"/>
        <w:gridCol w:w="60"/>
        <w:gridCol w:w="1216"/>
        <w:gridCol w:w="1276"/>
        <w:gridCol w:w="992"/>
        <w:gridCol w:w="1843"/>
        <w:gridCol w:w="1559"/>
        <w:gridCol w:w="1276"/>
      </w:tblGrid>
      <w:tr w:rsidR="0035714A" w:rsidRPr="00B93C08" w14:paraId="160A033D" w14:textId="77777777" w:rsidTr="00B16462">
        <w:trPr>
          <w:cnfStyle w:val="100000000000" w:firstRow="1" w:lastRow="0" w:firstColumn="0" w:lastColumn="0" w:oddVBand="0" w:evenVBand="0" w:oddHBand="0" w:evenHBand="0" w:firstRowFirstColumn="0" w:firstRowLastColumn="0" w:lastRowFirstColumn="0" w:lastRowLastColumn="0"/>
          <w:trHeight w:val="670"/>
        </w:trPr>
        <w:tc>
          <w:tcPr>
            <w:tcW w:w="1276" w:type="dxa"/>
            <w:shd w:val="clear" w:color="auto" w:fill="012749"/>
            <w:vAlign w:val="center"/>
          </w:tcPr>
          <w:p w14:paraId="3EA381A3" w14:textId="77777777" w:rsidR="0035714A" w:rsidRPr="00B93C08" w:rsidRDefault="0035714A">
            <w:pPr>
              <w:spacing w:after="0"/>
              <w:jc w:val="center"/>
              <w:rPr>
                <w:rFonts w:asciiTheme="majorHAnsi" w:hAnsiTheme="majorHAnsi" w:cstheme="majorHAnsi"/>
                <w:sz w:val="19"/>
                <w:szCs w:val="19"/>
              </w:rPr>
            </w:pPr>
            <w:r w:rsidRPr="00B93C08">
              <w:rPr>
                <w:rFonts w:asciiTheme="majorHAnsi" w:hAnsiTheme="majorHAnsi" w:cstheme="majorHAnsi"/>
                <w:sz w:val="19"/>
                <w:szCs w:val="19"/>
              </w:rPr>
              <w:t>Employment</w:t>
            </w:r>
          </w:p>
        </w:tc>
        <w:tc>
          <w:tcPr>
            <w:tcW w:w="1276" w:type="dxa"/>
            <w:gridSpan w:val="2"/>
            <w:shd w:val="clear" w:color="auto" w:fill="012749"/>
            <w:vAlign w:val="center"/>
          </w:tcPr>
          <w:p w14:paraId="21B12E8C" w14:textId="77777777" w:rsidR="0035714A" w:rsidRPr="00B93C08" w:rsidRDefault="0035714A">
            <w:pPr>
              <w:spacing w:after="0"/>
              <w:jc w:val="center"/>
              <w:rPr>
                <w:rFonts w:asciiTheme="majorHAnsi" w:hAnsiTheme="majorHAnsi" w:cstheme="majorHAnsi"/>
                <w:sz w:val="19"/>
                <w:szCs w:val="19"/>
              </w:rPr>
            </w:pPr>
            <w:r w:rsidRPr="00B93C08">
              <w:rPr>
                <w:rFonts w:asciiTheme="majorHAnsi" w:hAnsiTheme="majorHAnsi" w:cstheme="majorHAnsi"/>
                <w:sz w:val="19"/>
                <w:szCs w:val="19"/>
              </w:rPr>
              <w:t>Full-time employment</w:t>
            </w:r>
          </w:p>
        </w:tc>
        <w:tc>
          <w:tcPr>
            <w:tcW w:w="1276" w:type="dxa"/>
            <w:shd w:val="clear" w:color="auto" w:fill="012749"/>
            <w:vAlign w:val="center"/>
          </w:tcPr>
          <w:p w14:paraId="25536CA7" w14:textId="77777777" w:rsidR="0035714A" w:rsidRPr="00B93C08" w:rsidRDefault="0035714A">
            <w:pPr>
              <w:spacing w:after="0"/>
              <w:jc w:val="center"/>
              <w:rPr>
                <w:rFonts w:asciiTheme="majorHAnsi" w:hAnsiTheme="majorHAnsi" w:cstheme="majorHAnsi"/>
                <w:sz w:val="19"/>
                <w:szCs w:val="19"/>
              </w:rPr>
            </w:pPr>
            <w:r w:rsidRPr="00B93C08">
              <w:rPr>
                <w:rFonts w:asciiTheme="majorHAnsi" w:hAnsiTheme="majorHAnsi" w:cstheme="majorHAnsi"/>
                <w:sz w:val="19"/>
                <w:szCs w:val="19"/>
              </w:rPr>
              <w:t>Part-time employment</w:t>
            </w:r>
          </w:p>
        </w:tc>
        <w:tc>
          <w:tcPr>
            <w:tcW w:w="992" w:type="dxa"/>
            <w:shd w:val="clear" w:color="auto" w:fill="012749"/>
            <w:vAlign w:val="center"/>
          </w:tcPr>
          <w:p w14:paraId="0C7C1A90" w14:textId="77777777" w:rsidR="0035714A" w:rsidRPr="00B93C08" w:rsidRDefault="0035714A">
            <w:pPr>
              <w:spacing w:after="0"/>
              <w:jc w:val="center"/>
              <w:rPr>
                <w:rFonts w:asciiTheme="majorHAnsi" w:hAnsiTheme="majorHAnsi" w:cstheme="majorHAnsi"/>
                <w:sz w:val="19"/>
                <w:szCs w:val="19"/>
              </w:rPr>
            </w:pPr>
            <w:r w:rsidRPr="00B93C08">
              <w:rPr>
                <w:rFonts w:asciiTheme="majorHAnsi" w:hAnsiTheme="majorHAnsi" w:cstheme="majorHAnsi"/>
                <w:sz w:val="19"/>
                <w:szCs w:val="19"/>
              </w:rPr>
              <w:t>Hours worked</w:t>
            </w:r>
          </w:p>
        </w:tc>
        <w:tc>
          <w:tcPr>
            <w:tcW w:w="1843" w:type="dxa"/>
            <w:shd w:val="clear" w:color="auto" w:fill="012749"/>
            <w:vAlign w:val="center"/>
          </w:tcPr>
          <w:p w14:paraId="1013BC44" w14:textId="77777777" w:rsidR="0035714A" w:rsidRPr="00B93C08" w:rsidRDefault="0035714A">
            <w:pPr>
              <w:spacing w:after="0"/>
              <w:jc w:val="center"/>
              <w:rPr>
                <w:rFonts w:asciiTheme="majorHAnsi" w:hAnsiTheme="majorHAnsi" w:cstheme="majorHAnsi"/>
                <w:sz w:val="19"/>
                <w:szCs w:val="19"/>
              </w:rPr>
            </w:pPr>
            <w:r w:rsidRPr="00B93C08">
              <w:rPr>
                <w:rFonts w:asciiTheme="majorHAnsi" w:hAnsiTheme="majorHAnsi" w:cstheme="majorHAnsi"/>
                <w:sz w:val="19"/>
                <w:szCs w:val="19"/>
              </w:rPr>
              <w:t>Underemployment rate</w:t>
            </w:r>
          </w:p>
        </w:tc>
        <w:tc>
          <w:tcPr>
            <w:tcW w:w="1559" w:type="dxa"/>
            <w:shd w:val="clear" w:color="auto" w:fill="012749"/>
            <w:vAlign w:val="center"/>
          </w:tcPr>
          <w:p w14:paraId="602A27C9" w14:textId="77777777" w:rsidR="0035714A" w:rsidRPr="00B93C08" w:rsidRDefault="0035714A">
            <w:pPr>
              <w:spacing w:after="0"/>
              <w:jc w:val="center"/>
              <w:rPr>
                <w:rFonts w:asciiTheme="majorHAnsi" w:hAnsiTheme="majorHAnsi" w:cstheme="majorHAnsi"/>
                <w:sz w:val="19"/>
                <w:szCs w:val="19"/>
              </w:rPr>
            </w:pPr>
            <w:r w:rsidRPr="00B93C08">
              <w:rPr>
                <w:rFonts w:asciiTheme="majorHAnsi" w:hAnsiTheme="majorHAnsi" w:cstheme="majorHAnsi"/>
                <w:sz w:val="19"/>
                <w:szCs w:val="19"/>
              </w:rPr>
              <w:t>Unemployment rate</w:t>
            </w:r>
          </w:p>
        </w:tc>
        <w:tc>
          <w:tcPr>
            <w:tcW w:w="1276" w:type="dxa"/>
            <w:shd w:val="clear" w:color="auto" w:fill="012749"/>
            <w:vAlign w:val="center"/>
          </w:tcPr>
          <w:p w14:paraId="4C4534DE" w14:textId="77777777" w:rsidR="0035714A" w:rsidRPr="00B93C08" w:rsidRDefault="0035714A">
            <w:pPr>
              <w:spacing w:after="0"/>
              <w:jc w:val="center"/>
              <w:rPr>
                <w:rFonts w:asciiTheme="majorHAnsi" w:hAnsiTheme="majorHAnsi" w:cstheme="majorHAnsi"/>
                <w:sz w:val="19"/>
                <w:szCs w:val="19"/>
              </w:rPr>
            </w:pPr>
            <w:r w:rsidRPr="00B93C08">
              <w:rPr>
                <w:rFonts w:asciiTheme="majorHAnsi" w:hAnsiTheme="majorHAnsi" w:cstheme="majorHAnsi"/>
                <w:sz w:val="19"/>
                <w:szCs w:val="19"/>
              </w:rPr>
              <w:t>Participation rate</w:t>
            </w:r>
          </w:p>
        </w:tc>
      </w:tr>
      <w:tr w:rsidR="00CF635A" w:rsidRPr="00B93C08" w14:paraId="3085C704" w14:textId="77777777" w:rsidTr="00101902">
        <w:trPr>
          <w:trHeight w:val="674"/>
        </w:trPr>
        <w:tc>
          <w:tcPr>
            <w:tcW w:w="1336" w:type="dxa"/>
            <w:gridSpan w:val="2"/>
            <w:tcBorders>
              <w:bottom w:val="nil"/>
            </w:tcBorders>
            <w:vAlign w:val="center"/>
          </w:tcPr>
          <w:p w14:paraId="192B05CB" w14:textId="1525CF5D" w:rsidR="00CF635A" w:rsidRPr="0092016D" w:rsidRDefault="00CF635A" w:rsidP="00CF635A">
            <w:pPr>
              <w:spacing w:after="0" w:line="276" w:lineRule="auto"/>
              <w:jc w:val="center"/>
              <w:rPr>
                <w:rFonts w:cs="Arial"/>
                <w:sz w:val="19"/>
                <w:szCs w:val="19"/>
              </w:rPr>
            </w:pPr>
            <w:r w:rsidRPr="0092016D">
              <w:rPr>
                <w:rFonts w:cs="Arial"/>
                <w:color w:val="000000"/>
                <w:sz w:val="19"/>
                <w:szCs w:val="19"/>
              </w:rPr>
              <w:t>14,259,900</w:t>
            </w:r>
          </w:p>
        </w:tc>
        <w:tc>
          <w:tcPr>
            <w:tcW w:w="1216" w:type="dxa"/>
            <w:tcBorders>
              <w:bottom w:val="nil"/>
            </w:tcBorders>
            <w:vAlign w:val="center"/>
          </w:tcPr>
          <w:p w14:paraId="2289ECED" w14:textId="5D0B5EED" w:rsidR="00CF635A" w:rsidRPr="0092016D" w:rsidRDefault="00CF635A" w:rsidP="00CF635A">
            <w:pPr>
              <w:spacing w:after="0" w:line="276" w:lineRule="auto"/>
              <w:jc w:val="center"/>
              <w:rPr>
                <w:rFonts w:cs="Arial"/>
                <w:sz w:val="19"/>
                <w:szCs w:val="19"/>
              </w:rPr>
            </w:pPr>
            <w:r w:rsidRPr="0092016D">
              <w:rPr>
                <w:rFonts w:cs="Arial"/>
                <w:color w:val="000000"/>
                <w:sz w:val="19"/>
                <w:szCs w:val="19"/>
              </w:rPr>
              <w:t>9,853,800</w:t>
            </w:r>
          </w:p>
        </w:tc>
        <w:tc>
          <w:tcPr>
            <w:tcW w:w="1276" w:type="dxa"/>
            <w:tcBorders>
              <w:bottom w:val="nil"/>
            </w:tcBorders>
            <w:vAlign w:val="center"/>
          </w:tcPr>
          <w:p w14:paraId="20531212" w14:textId="3E4ADB34" w:rsidR="00CF635A" w:rsidRPr="0092016D" w:rsidRDefault="00CF635A" w:rsidP="00CF635A">
            <w:pPr>
              <w:spacing w:after="0" w:line="276" w:lineRule="auto"/>
              <w:jc w:val="center"/>
              <w:rPr>
                <w:rFonts w:cs="Arial"/>
                <w:sz w:val="19"/>
                <w:szCs w:val="19"/>
              </w:rPr>
            </w:pPr>
            <w:r w:rsidRPr="0092016D">
              <w:rPr>
                <w:rFonts w:cs="Arial"/>
                <w:color w:val="000000"/>
                <w:sz w:val="19"/>
                <w:szCs w:val="19"/>
              </w:rPr>
              <w:t>4,406,100</w:t>
            </w:r>
          </w:p>
        </w:tc>
        <w:tc>
          <w:tcPr>
            <w:tcW w:w="992" w:type="dxa"/>
            <w:tcBorders>
              <w:bottom w:val="nil"/>
            </w:tcBorders>
            <w:vAlign w:val="center"/>
          </w:tcPr>
          <w:p w14:paraId="2DE90B71" w14:textId="14279697" w:rsidR="00CF635A" w:rsidRPr="0092016D" w:rsidRDefault="00CF635A" w:rsidP="00CF635A">
            <w:pPr>
              <w:spacing w:after="0" w:line="276" w:lineRule="auto"/>
              <w:jc w:val="center"/>
              <w:rPr>
                <w:rFonts w:cs="Arial"/>
                <w:sz w:val="19"/>
                <w:szCs w:val="19"/>
              </w:rPr>
            </w:pPr>
            <w:r w:rsidRPr="0092016D">
              <w:rPr>
                <w:rFonts w:cs="Arial"/>
                <w:color w:val="000000"/>
                <w:sz w:val="19"/>
                <w:szCs w:val="19"/>
              </w:rPr>
              <w:t>1,956.1 million hours</w:t>
            </w:r>
          </w:p>
        </w:tc>
        <w:tc>
          <w:tcPr>
            <w:tcW w:w="1843" w:type="dxa"/>
            <w:tcBorders>
              <w:bottom w:val="nil"/>
            </w:tcBorders>
            <w:vAlign w:val="center"/>
          </w:tcPr>
          <w:p w14:paraId="6068ABCA" w14:textId="2E1CC2D3" w:rsidR="00CF635A" w:rsidRPr="0092016D" w:rsidRDefault="00CF635A" w:rsidP="00CF635A">
            <w:pPr>
              <w:spacing w:after="0" w:line="276" w:lineRule="auto"/>
              <w:jc w:val="center"/>
              <w:rPr>
                <w:rFonts w:cs="Arial"/>
                <w:sz w:val="19"/>
                <w:szCs w:val="19"/>
              </w:rPr>
            </w:pPr>
            <w:r w:rsidRPr="0092016D">
              <w:rPr>
                <w:rFonts w:cs="Arial"/>
                <w:color w:val="000000"/>
                <w:sz w:val="19"/>
                <w:szCs w:val="19"/>
              </w:rPr>
              <w:t>6.5%</w:t>
            </w:r>
          </w:p>
        </w:tc>
        <w:tc>
          <w:tcPr>
            <w:tcW w:w="1559" w:type="dxa"/>
            <w:tcBorders>
              <w:bottom w:val="nil"/>
            </w:tcBorders>
            <w:vAlign w:val="center"/>
          </w:tcPr>
          <w:p w14:paraId="2A935800" w14:textId="418F6153" w:rsidR="00CF635A" w:rsidRPr="0092016D" w:rsidRDefault="00CF635A" w:rsidP="00CF635A">
            <w:pPr>
              <w:spacing w:after="0" w:line="276" w:lineRule="auto"/>
              <w:jc w:val="center"/>
              <w:rPr>
                <w:rFonts w:cs="Arial"/>
                <w:sz w:val="19"/>
                <w:szCs w:val="19"/>
              </w:rPr>
            </w:pPr>
            <w:r w:rsidRPr="0092016D">
              <w:rPr>
                <w:rFonts w:cs="Arial"/>
                <w:color w:val="000000"/>
                <w:sz w:val="19"/>
                <w:szCs w:val="19"/>
              </w:rPr>
              <w:t>3.8%</w:t>
            </w:r>
          </w:p>
        </w:tc>
        <w:tc>
          <w:tcPr>
            <w:tcW w:w="1276" w:type="dxa"/>
            <w:tcBorders>
              <w:bottom w:val="nil"/>
            </w:tcBorders>
            <w:vAlign w:val="center"/>
          </w:tcPr>
          <w:p w14:paraId="71A3B5E3" w14:textId="689F01FA" w:rsidR="00CF635A" w:rsidRPr="0092016D" w:rsidRDefault="00CF635A" w:rsidP="00CF635A">
            <w:pPr>
              <w:spacing w:after="0" w:line="276" w:lineRule="auto"/>
              <w:jc w:val="center"/>
              <w:rPr>
                <w:rFonts w:cs="Arial"/>
                <w:sz w:val="19"/>
                <w:szCs w:val="19"/>
              </w:rPr>
            </w:pPr>
            <w:r w:rsidRPr="0092016D">
              <w:rPr>
                <w:rFonts w:cs="Arial"/>
                <w:color w:val="000000"/>
                <w:sz w:val="19"/>
                <w:szCs w:val="19"/>
              </w:rPr>
              <w:t>66.6%</w:t>
            </w:r>
          </w:p>
        </w:tc>
      </w:tr>
      <w:tr w:rsidR="00CF635A" w:rsidRPr="00B93C08" w14:paraId="3FFF3254" w14:textId="77777777" w:rsidTr="00101902">
        <w:trPr>
          <w:cnfStyle w:val="000000010000" w:firstRow="0" w:lastRow="0" w:firstColumn="0" w:lastColumn="0" w:oddVBand="0" w:evenVBand="0" w:oddHBand="0" w:evenHBand="1" w:firstRowFirstColumn="0" w:firstRowLastColumn="0" w:lastRowFirstColumn="0" w:lastRowLastColumn="0"/>
          <w:trHeight w:val="698"/>
        </w:trPr>
        <w:tc>
          <w:tcPr>
            <w:tcW w:w="1336" w:type="dxa"/>
            <w:gridSpan w:val="2"/>
            <w:tcBorders>
              <w:bottom w:val="single" w:sz="4" w:space="0" w:color="auto"/>
            </w:tcBorders>
            <w:vAlign w:val="center"/>
          </w:tcPr>
          <w:p w14:paraId="1730C08B" w14:textId="3E1B2476" w:rsidR="00CF635A" w:rsidRPr="0092016D" w:rsidRDefault="00CF635A" w:rsidP="00CF635A">
            <w:pPr>
              <w:spacing w:before="40" w:after="40" w:line="240" w:lineRule="auto"/>
              <w:jc w:val="center"/>
              <w:rPr>
                <w:rFonts w:cs="Arial"/>
                <w:sz w:val="19"/>
                <w:szCs w:val="19"/>
              </w:rPr>
            </w:pPr>
            <w:r w:rsidRPr="0092016D">
              <w:rPr>
                <w:rFonts w:ascii="Wingdings" w:hAnsi="Wingdings" w:cs="Calibri"/>
                <w:color w:val="000000"/>
                <w:sz w:val="19"/>
                <w:szCs w:val="19"/>
              </w:rPr>
              <w:t>á</w:t>
            </w:r>
            <w:r w:rsidRPr="0092016D">
              <w:rPr>
                <w:rFonts w:cs="Arial"/>
                <w:color w:val="000000"/>
                <w:sz w:val="19"/>
                <w:szCs w:val="19"/>
              </w:rPr>
              <w:t>0.9%</w:t>
            </w:r>
          </w:p>
        </w:tc>
        <w:tc>
          <w:tcPr>
            <w:tcW w:w="1216" w:type="dxa"/>
            <w:tcBorders>
              <w:bottom w:val="single" w:sz="4" w:space="0" w:color="auto"/>
            </w:tcBorders>
            <w:vAlign w:val="center"/>
          </w:tcPr>
          <w:p w14:paraId="4457510A" w14:textId="24B4B00D" w:rsidR="00CF635A" w:rsidRPr="0092016D" w:rsidRDefault="00CF635A" w:rsidP="00CF635A">
            <w:pPr>
              <w:spacing w:before="40" w:after="40" w:line="240" w:lineRule="auto"/>
              <w:jc w:val="center"/>
              <w:rPr>
                <w:rFonts w:cs="Arial"/>
                <w:sz w:val="19"/>
                <w:szCs w:val="19"/>
              </w:rPr>
            </w:pPr>
            <w:r w:rsidRPr="0092016D">
              <w:rPr>
                <w:rFonts w:ascii="Wingdings" w:hAnsi="Wingdings" w:cs="Calibri"/>
                <w:color w:val="000000"/>
                <w:sz w:val="19"/>
                <w:szCs w:val="19"/>
              </w:rPr>
              <w:t>á</w:t>
            </w:r>
            <w:r w:rsidRPr="0092016D">
              <w:rPr>
                <w:rFonts w:cs="Arial"/>
                <w:color w:val="000000"/>
                <w:sz w:val="19"/>
                <w:szCs w:val="19"/>
              </w:rPr>
              <w:t>1.3%</w:t>
            </w:r>
          </w:p>
        </w:tc>
        <w:tc>
          <w:tcPr>
            <w:tcW w:w="1276" w:type="dxa"/>
            <w:tcBorders>
              <w:bottom w:val="single" w:sz="4" w:space="0" w:color="auto"/>
            </w:tcBorders>
            <w:vAlign w:val="center"/>
          </w:tcPr>
          <w:p w14:paraId="64CCBD7B" w14:textId="267995F0" w:rsidR="00CF635A" w:rsidRPr="0092016D" w:rsidRDefault="00CF635A" w:rsidP="00CF635A">
            <w:pPr>
              <w:spacing w:before="40" w:after="40" w:line="240" w:lineRule="auto"/>
              <w:jc w:val="center"/>
              <w:rPr>
                <w:rFonts w:cs="Arial"/>
                <w:sz w:val="19"/>
                <w:szCs w:val="19"/>
              </w:rPr>
            </w:pPr>
            <w:r w:rsidRPr="0092016D">
              <w:rPr>
                <w:rFonts w:ascii="Wingdings" w:hAnsi="Wingdings" w:cs="Calibri"/>
                <w:color w:val="000000"/>
                <w:sz w:val="19"/>
                <w:szCs w:val="19"/>
              </w:rPr>
              <w:t>â</w:t>
            </w:r>
            <w:r w:rsidRPr="0092016D">
              <w:rPr>
                <w:rFonts w:cs="Arial"/>
                <w:color w:val="000000"/>
                <w:sz w:val="19"/>
                <w:szCs w:val="19"/>
              </w:rPr>
              <w:t>0.1%</w:t>
            </w:r>
          </w:p>
        </w:tc>
        <w:tc>
          <w:tcPr>
            <w:tcW w:w="992" w:type="dxa"/>
            <w:tcBorders>
              <w:bottom w:val="single" w:sz="4" w:space="0" w:color="auto"/>
            </w:tcBorders>
            <w:vAlign w:val="center"/>
          </w:tcPr>
          <w:p w14:paraId="1D8DF127" w14:textId="5D6C520B" w:rsidR="00CF635A" w:rsidRPr="0092016D" w:rsidRDefault="00CF635A" w:rsidP="00CF635A">
            <w:pPr>
              <w:spacing w:before="40" w:after="40" w:line="240" w:lineRule="auto"/>
              <w:jc w:val="center"/>
              <w:rPr>
                <w:rFonts w:cs="Arial"/>
                <w:sz w:val="19"/>
                <w:szCs w:val="19"/>
              </w:rPr>
            </w:pPr>
            <w:r w:rsidRPr="0092016D">
              <w:rPr>
                <w:rFonts w:ascii="Wingdings" w:hAnsi="Wingdings" w:cs="Calibri"/>
                <w:color w:val="000000"/>
                <w:sz w:val="19"/>
                <w:szCs w:val="19"/>
              </w:rPr>
              <w:t>á</w:t>
            </w:r>
            <w:r w:rsidRPr="0092016D">
              <w:rPr>
                <w:rFonts w:cs="Arial"/>
                <w:color w:val="000000"/>
                <w:sz w:val="19"/>
                <w:szCs w:val="19"/>
              </w:rPr>
              <w:t>1.9%</w:t>
            </w:r>
          </w:p>
        </w:tc>
        <w:tc>
          <w:tcPr>
            <w:tcW w:w="1843" w:type="dxa"/>
            <w:tcBorders>
              <w:bottom w:val="single" w:sz="4" w:space="0" w:color="auto"/>
            </w:tcBorders>
            <w:vAlign w:val="center"/>
          </w:tcPr>
          <w:p w14:paraId="696913FF" w14:textId="17C19E54" w:rsidR="00CF635A" w:rsidRPr="0092016D" w:rsidRDefault="00CF635A" w:rsidP="00CF635A">
            <w:pPr>
              <w:spacing w:before="40" w:after="40" w:line="240" w:lineRule="auto"/>
              <w:jc w:val="center"/>
              <w:rPr>
                <w:rFonts w:cs="Arial"/>
                <w:sz w:val="19"/>
                <w:szCs w:val="19"/>
              </w:rPr>
            </w:pPr>
            <w:r w:rsidRPr="0092016D">
              <w:rPr>
                <w:rFonts w:ascii="Wingdings" w:hAnsi="Wingdings" w:cs="Calibri"/>
                <w:color w:val="000000"/>
                <w:sz w:val="19"/>
                <w:szCs w:val="19"/>
              </w:rPr>
              <w:t>â</w:t>
            </w:r>
            <w:r w:rsidRPr="0092016D">
              <w:rPr>
                <w:rFonts w:cs="Arial"/>
                <w:color w:val="000000"/>
                <w:sz w:val="19"/>
                <w:szCs w:val="19"/>
              </w:rPr>
              <w:t>0.1% pts</w:t>
            </w:r>
          </w:p>
        </w:tc>
        <w:tc>
          <w:tcPr>
            <w:tcW w:w="1559" w:type="dxa"/>
            <w:tcBorders>
              <w:bottom w:val="single" w:sz="4" w:space="0" w:color="auto"/>
            </w:tcBorders>
            <w:vAlign w:val="center"/>
          </w:tcPr>
          <w:p w14:paraId="7F310BA1" w14:textId="32644C99" w:rsidR="00CF635A" w:rsidRPr="0092016D" w:rsidRDefault="00CF635A" w:rsidP="00CF635A">
            <w:pPr>
              <w:spacing w:before="40" w:after="40" w:line="240" w:lineRule="auto"/>
              <w:jc w:val="center"/>
              <w:rPr>
                <w:rFonts w:cs="Arial"/>
                <w:sz w:val="19"/>
                <w:szCs w:val="19"/>
              </w:rPr>
            </w:pPr>
            <w:r w:rsidRPr="0092016D">
              <w:rPr>
                <w:rFonts w:ascii="Wingdings" w:hAnsi="Wingdings" w:cs="Calibri"/>
                <w:color w:val="000000"/>
                <w:sz w:val="19"/>
                <w:szCs w:val="19"/>
              </w:rPr>
              <w:t>â</w:t>
            </w:r>
            <w:r w:rsidRPr="0092016D">
              <w:rPr>
                <w:rFonts w:cs="Arial"/>
                <w:color w:val="000000"/>
                <w:sz w:val="19"/>
                <w:szCs w:val="19"/>
              </w:rPr>
              <w:t>0.1% pts</w:t>
            </w:r>
          </w:p>
        </w:tc>
        <w:tc>
          <w:tcPr>
            <w:tcW w:w="1276" w:type="dxa"/>
            <w:tcBorders>
              <w:bottom w:val="single" w:sz="4" w:space="0" w:color="auto"/>
            </w:tcBorders>
            <w:vAlign w:val="center"/>
          </w:tcPr>
          <w:p w14:paraId="17981235" w14:textId="147F9A92" w:rsidR="00CF635A" w:rsidRPr="0092016D" w:rsidRDefault="00CF635A" w:rsidP="00CF635A">
            <w:pPr>
              <w:spacing w:before="40" w:after="40" w:line="240" w:lineRule="auto"/>
              <w:jc w:val="center"/>
              <w:rPr>
                <w:rFonts w:cs="Arial"/>
                <w:sz w:val="19"/>
                <w:szCs w:val="19"/>
              </w:rPr>
            </w:pPr>
            <w:r w:rsidRPr="0092016D">
              <w:rPr>
                <w:rFonts w:cs="Arial"/>
                <w:color w:val="000000"/>
                <w:sz w:val="19"/>
                <w:szCs w:val="19"/>
              </w:rPr>
              <w:t>Steady</w:t>
            </w:r>
          </w:p>
        </w:tc>
      </w:tr>
    </w:tbl>
    <w:p w14:paraId="3C3A8766" w14:textId="52FFFFE5" w:rsidR="0035714A" w:rsidRPr="00B93C08" w:rsidRDefault="0035714A" w:rsidP="00754981">
      <w:pPr>
        <w:pStyle w:val="Source"/>
        <w:spacing w:before="0"/>
        <w:ind w:right="-46"/>
      </w:pPr>
      <w:r w:rsidRPr="00B93C08">
        <w:t xml:space="preserve">Source: Australian Bureau of Statistics (ABS), Labour Force, Australia, </w:t>
      </w:r>
      <w:r w:rsidR="0092016D">
        <w:t>March</w:t>
      </w:r>
      <w:r w:rsidRPr="00B93C08">
        <w:t xml:space="preserve"> 202</w:t>
      </w:r>
      <w:r w:rsidR="0092016D">
        <w:t>4</w:t>
      </w:r>
      <w:r w:rsidRPr="00B93C08">
        <w:t>, seasonally adjusted data.</w:t>
      </w:r>
    </w:p>
    <w:p w14:paraId="2C692774" w14:textId="77777777" w:rsidR="008564DD" w:rsidRPr="00B93C08" w:rsidRDefault="008564DD" w:rsidP="00320647">
      <w:pPr>
        <w:pStyle w:val="Heading2"/>
      </w:pPr>
      <w:bookmarkStart w:id="11" w:name="_Toc166140497"/>
      <w:r w:rsidRPr="00B93C08">
        <w:t>The national scene</w:t>
      </w:r>
      <w:bookmarkEnd w:id="7"/>
      <w:bookmarkEnd w:id="8"/>
      <w:bookmarkEnd w:id="11"/>
    </w:p>
    <w:p w14:paraId="25DC2183" w14:textId="77777777" w:rsidR="00CF635A" w:rsidRPr="0092016D" w:rsidRDefault="00CF635A" w:rsidP="00CF635A">
      <w:bookmarkStart w:id="12" w:name="_Toc151365181"/>
      <w:bookmarkStart w:id="13" w:name="_Toc152324298"/>
      <w:r w:rsidRPr="0092016D">
        <w:t xml:space="preserve">ABS </w:t>
      </w:r>
      <w:r w:rsidRPr="0092016D">
        <w:rPr>
          <w:i/>
        </w:rPr>
        <w:t>Labour Force Survey</w:t>
      </w:r>
      <w:r w:rsidRPr="0092016D">
        <w:t xml:space="preserve"> data show that seasonally adjusted </w:t>
      </w:r>
      <w:r w:rsidRPr="0092016D">
        <w:rPr>
          <w:b/>
          <w:bCs/>
        </w:rPr>
        <w:t>employment</w:t>
      </w:r>
      <w:r w:rsidRPr="0092016D">
        <w:t xml:space="preserve"> increased by a robust 122,300 (or 0.9%) over the March quarter 2024, up from the growth of 0.4% recorded in the previous quarter. Consistent with the moderate lift in the pace of jobs growth over the quarter (due, in large part, to the substantial boost in the month of February), employment rose </w:t>
      </w:r>
      <w:r w:rsidRPr="0092016D">
        <w:lastRenderedPageBreak/>
        <w:t xml:space="preserve">by 336,900 (or 2.4%) over the </w:t>
      </w:r>
      <w:r w:rsidRPr="0092016D">
        <w:rPr>
          <w:i/>
          <w:iCs/>
        </w:rPr>
        <w:t>year to</w:t>
      </w:r>
      <w:r w:rsidRPr="0092016D">
        <w:t xml:space="preserve"> March 2024 and is currently above the decade average annual growth rate of 2.1%.</w:t>
      </w:r>
    </w:p>
    <w:p w14:paraId="08FE7596" w14:textId="77777777" w:rsidR="00CF635A" w:rsidRPr="0092016D" w:rsidRDefault="00CF635A" w:rsidP="00CF635A">
      <w:pPr>
        <w:pStyle w:val="ListParagraph"/>
        <w:numPr>
          <w:ilvl w:val="0"/>
          <w:numId w:val="33"/>
        </w:numPr>
      </w:pPr>
      <w:r w:rsidRPr="0092016D">
        <w:t xml:space="preserve">That said, the </w:t>
      </w:r>
      <w:r w:rsidRPr="0092016D">
        <w:rPr>
          <w:i/>
          <w:iCs/>
        </w:rPr>
        <w:t xml:space="preserve">trend </w:t>
      </w:r>
      <w:r w:rsidRPr="0092016D">
        <w:t xml:space="preserve">estimates (which abstract from the monthly volatility inherent in the seasonally adjusted data and provide a better indication of underlying labour market conditions) continue to point to a gradual easing in labour market activity. For instance, the pace of trend employment growth has slowed notably over the last year, from a recent peak of 43,700 jobs per month in March 2023, to its current pace of 28,500 in March 2024.  </w:t>
      </w:r>
    </w:p>
    <w:p w14:paraId="24F1AA8D" w14:textId="77777777" w:rsidR="00CF635A" w:rsidRPr="0092016D" w:rsidRDefault="00CF635A" w:rsidP="00CF635A">
      <w:pPr>
        <w:pStyle w:val="ListBullet"/>
        <w:numPr>
          <w:ilvl w:val="0"/>
          <w:numId w:val="0"/>
        </w:numPr>
      </w:pPr>
      <w:r w:rsidRPr="0092016D">
        <w:t>The increase in employment over the March quarter was due, entirely, to a strong rise in full</w:t>
      </w:r>
      <w:r w:rsidRPr="0092016D">
        <w:noBreakHyphen/>
        <w:t>time employment (up by 125,900 or 1.3%), while part-time employment fell slightly over the March quarter (by 3,700 or 0.1%).</w:t>
      </w:r>
    </w:p>
    <w:p w14:paraId="66289965" w14:textId="77777777" w:rsidR="00CF635A" w:rsidRPr="0092016D" w:rsidRDefault="00CF635A" w:rsidP="00CF635A">
      <w:r w:rsidRPr="0092016D">
        <w:t xml:space="preserve">That said, and despite the pick-up in full-time employment growth over the </w:t>
      </w:r>
      <w:r w:rsidRPr="0092016D">
        <w:rPr>
          <w:i/>
          <w:iCs/>
        </w:rPr>
        <w:t>quarter</w:t>
      </w:r>
      <w:r w:rsidRPr="0092016D">
        <w:t xml:space="preserve">, full-time jobs growth has been relatively weak over the last </w:t>
      </w:r>
      <w:r w:rsidRPr="0092016D">
        <w:rPr>
          <w:i/>
          <w:iCs/>
        </w:rPr>
        <w:t>year</w:t>
      </w:r>
      <w:r w:rsidRPr="0092016D">
        <w:t xml:space="preserve">, increasing by just 89,900 (or 0.9%). Part-time employment, by contrast, has surged over the period, by 247,100 (or 5.9%). </w:t>
      </w:r>
    </w:p>
    <w:p w14:paraId="3CBB240E" w14:textId="1E0B4D68" w:rsidR="003E5919" w:rsidRPr="0092016D" w:rsidRDefault="00CF635A" w:rsidP="003E5919">
      <w:r w:rsidRPr="0092016D">
        <w:t xml:space="preserve">The number of </w:t>
      </w:r>
      <w:r w:rsidRPr="0092016D">
        <w:rPr>
          <w:b/>
          <w:bCs/>
        </w:rPr>
        <w:t>hours worked</w:t>
      </w:r>
      <w:r w:rsidRPr="0092016D">
        <w:t xml:space="preserve"> by employed people also increased over the quarter, by 36.4 million hours (or 1.9%). While the aggregate hours worked series can be volatile, the </w:t>
      </w:r>
      <w:r w:rsidRPr="0092016D">
        <w:rPr>
          <w:i/>
          <w:iCs/>
        </w:rPr>
        <w:t xml:space="preserve">annual </w:t>
      </w:r>
      <w:r w:rsidRPr="0092016D">
        <w:t>rate of growth in hours worked has eased considerably, from its recent peak of 10.4% in January 2023 (significantly higher than the 3.8% increase in employment at that time), to its current rate, of just 1.7% (</w:t>
      </w:r>
      <w:r w:rsidRPr="0092016D">
        <w:rPr>
          <w:i/>
          <w:iCs/>
        </w:rPr>
        <w:t xml:space="preserve">below </w:t>
      </w:r>
      <w:r w:rsidRPr="0092016D">
        <w:t>the annual employment growth rate, of 2.4%).</w:t>
      </w:r>
    </w:p>
    <w:p w14:paraId="5BF684CE" w14:textId="486C0373" w:rsidR="003E5919" w:rsidRPr="00B93C08" w:rsidRDefault="0035714A" w:rsidP="00361842">
      <w:pPr>
        <w:pStyle w:val="ChartandTablelabel"/>
        <w:rPr>
          <w:rFonts w:asciiTheme="minorHAnsi" w:hAnsiTheme="minorHAnsi"/>
          <w:lang w:val="en-AU"/>
        </w:rPr>
      </w:pPr>
      <w:r w:rsidRPr="0092016D">
        <w:rPr>
          <w:rFonts w:asciiTheme="minorHAnsi" w:hAnsiTheme="minorHAnsi"/>
          <w:lang w:val="en-AU"/>
        </w:rPr>
        <w:t xml:space="preserve">Figure 1: Annual change in employment and aggregate hours worked, </w:t>
      </w:r>
      <w:r w:rsidR="00CF635A" w:rsidRPr="0092016D">
        <w:rPr>
          <w:rFonts w:asciiTheme="minorHAnsi" w:hAnsiTheme="minorHAnsi"/>
          <w:lang w:val="en-AU"/>
        </w:rPr>
        <w:t>March</w:t>
      </w:r>
      <w:r w:rsidRPr="0092016D">
        <w:rPr>
          <w:rFonts w:asciiTheme="minorHAnsi" w:hAnsiTheme="minorHAnsi"/>
          <w:lang w:val="en-AU"/>
        </w:rPr>
        <w:t xml:space="preserve"> 201</w:t>
      </w:r>
      <w:r w:rsidR="00CF635A" w:rsidRPr="0092016D">
        <w:rPr>
          <w:rFonts w:asciiTheme="minorHAnsi" w:hAnsiTheme="minorHAnsi"/>
          <w:lang w:val="en-AU"/>
        </w:rPr>
        <w:t>9</w:t>
      </w:r>
      <w:r w:rsidRPr="0092016D">
        <w:rPr>
          <w:rFonts w:asciiTheme="minorHAnsi" w:hAnsiTheme="minorHAnsi"/>
          <w:lang w:val="en-AU"/>
        </w:rPr>
        <w:t xml:space="preserve"> to </w:t>
      </w:r>
      <w:r w:rsidR="00CF635A" w:rsidRPr="0092016D">
        <w:rPr>
          <w:rFonts w:asciiTheme="minorHAnsi" w:hAnsiTheme="minorHAnsi"/>
          <w:lang w:val="en-AU"/>
        </w:rPr>
        <w:t>March </w:t>
      </w:r>
      <w:r w:rsidRPr="0092016D">
        <w:rPr>
          <w:rFonts w:asciiTheme="minorHAnsi" w:hAnsiTheme="minorHAnsi"/>
          <w:lang w:val="en-AU"/>
        </w:rPr>
        <w:t>202</w:t>
      </w:r>
      <w:r w:rsidR="00CF635A" w:rsidRPr="0092016D">
        <w:rPr>
          <w:rFonts w:asciiTheme="minorHAnsi" w:hAnsiTheme="minorHAnsi"/>
          <w:lang w:val="en-AU"/>
        </w:rPr>
        <w:t>4</w:t>
      </w:r>
    </w:p>
    <w:p w14:paraId="5DAD8956" w14:textId="4B293DCA" w:rsidR="004F3F87" w:rsidRPr="00B93C08" w:rsidRDefault="00CF635A" w:rsidP="0092016D">
      <w:pPr>
        <w:spacing w:after="0"/>
      </w:pPr>
      <w:r>
        <w:rPr>
          <w:noProof/>
        </w:rPr>
        <w:drawing>
          <wp:inline distT="0" distB="0" distL="0" distR="0" wp14:anchorId="08345ABC" wp14:editId="4BA14A85">
            <wp:extent cx="5400675" cy="2606400"/>
            <wp:effectExtent l="0" t="0" r="0" b="3810"/>
            <wp:docPr id="9952833" name="Chart 1" descr="Figure 1 is a column and line chart, with the columns representing annual change in employment, and the line representing annual change in aggregate hours worked, in percentage terms. The chart is a time series from March 2019 to March 2024. Both series show negative percentage changes from April 2020 to February 2021, with varying levels of positive changes thereafter. The chart shows an easing in the pace of growth in hours worked since around the middle of 2023, while annual employment growth has also moderated.">
              <a:extLst xmlns:a="http://schemas.openxmlformats.org/drawingml/2006/main">
                <a:ext uri="{FF2B5EF4-FFF2-40B4-BE49-F238E27FC236}">
                  <a16:creationId xmlns:a16="http://schemas.microsoft.com/office/drawing/2014/main" id="{33682809-35EE-62BF-BBDE-72EF3BB94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B51A6FC" w14:textId="0F3DB3D3" w:rsidR="0035714A" w:rsidRPr="00B93C08" w:rsidRDefault="0035714A" w:rsidP="003E5919">
      <w:pPr>
        <w:rPr>
          <w:sz w:val="18"/>
          <w:szCs w:val="18"/>
        </w:rPr>
      </w:pPr>
      <w:r w:rsidRPr="00B93C08">
        <w:rPr>
          <w:sz w:val="18"/>
          <w:szCs w:val="18"/>
        </w:rPr>
        <w:t xml:space="preserve">Source: ABS, Labour Force, Australia, </w:t>
      </w:r>
      <w:r w:rsidR="00CF635A">
        <w:rPr>
          <w:sz w:val="18"/>
          <w:szCs w:val="18"/>
        </w:rPr>
        <w:t>March</w:t>
      </w:r>
      <w:r w:rsidRPr="00B93C08">
        <w:rPr>
          <w:sz w:val="18"/>
          <w:szCs w:val="18"/>
        </w:rPr>
        <w:t xml:space="preserve"> 202</w:t>
      </w:r>
      <w:r w:rsidR="00CF635A">
        <w:rPr>
          <w:sz w:val="18"/>
          <w:szCs w:val="18"/>
        </w:rPr>
        <w:t>4</w:t>
      </w:r>
      <w:r w:rsidRPr="00B93C08">
        <w:rPr>
          <w:sz w:val="18"/>
          <w:szCs w:val="18"/>
        </w:rPr>
        <w:t>, seasonally adjusted data.</w:t>
      </w:r>
    </w:p>
    <w:p w14:paraId="4D6D8882" w14:textId="77777777" w:rsidR="00CF635A" w:rsidRPr="0092016D" w:rsidRDefault="00CF635A" w:rsidP="00CF635A">
      <w:r w:rsidRPr="0092016D">
        <w:lastRenderedPageBreak/>
        <w:t xml:space="preserve">Reflecting the increase in hours worked over the quarter, the </w:t>
      </w:r>
      <w:r w:rsidRPr="0092016D">
        <w:rPr>
          <w:rStyle w:val="Strong"/>
        </w:rPr>
        <w:t>underemployment rate</w:t>
      </w:r>
      <w:r w:rsidRPr="0092016D">
        <w:t xml:space="preserve"> decreased marginally over the period, to 6.5% in March 2024, although it remains 0.6 percentage points above its recent trough, of 5.9% recorded in February 2023 (Figure 2). This equates to an additional 114,300 people joining the underemployment pool since February 2023, reflecting the compositional shift in employment, away from full-time jobs towards part-time positions.</w:t>
      </w:r>
    </w:p>
    <w:p w14:paraId="219BF392" w14:textId="7B7C1F96" w:rsidR="003E5919" w:rsidRPr="0092016D" w:rsidRDefault="003E5919" w:rsidP="00B556AE">
      <w:pPr>
        <w:pStyle w:val="ChartandTablelabel"/>
        <w:rPr>
          <w:lang w:val="en-AU"/>
        </w:rPr>
      </w:pPr>
      <w:r w:rsidRPr="0092016D">
        <w:rPr>
          <w:lang w:val="en-AU"/>
        </w:rPr>
        <w:t xml:space="preserve">Figure 2: Unemployment rate and </w:t>
      </w:r>
      <w:r w:rsidR="00FE0328" w:rsidRPr="0092016D">
        <w:rPr>
          <w:lang w:val="en-AU"/>
        </w:rPr>
        <w:t>u</w:t>
      </w:r>
      <w:r w:rsidRPr="0092016D">
        <w:rPr>
          <w:lang w:val="en-AU"/>
        </w:rPr>
        <w:t xml:space="preserve">nderemployment rate, </w:t>
      </w:r>
      <w:r w:rsidR="00CF635A" w:rsidRPr="0092016D">
        <w:rPr>
          <w:lang w:val="en-AU"/>
        </w:rPr>
        <w:t>March</w:t>
      </w:r>
      <w:r w:rsidRPr="0092016D">
        <w:rPr>
          <w:lang w:val="en-AU"/>
        </w:rPr>
        <w:t xml:space="preserve"> 198</w:t>
      </w:r>
      <w:r w:rsidR="00CF635A" w:rsidRPr="0092016D">
        <w:rPr>
          <w:lang w:val="en-AU"/>
        </w:rPr>
        <w:t>4</w:t>
      </w:r>
      <w:r w:rsidRPr="0092016D">
        <w:rPr>
          <w:lang w:val="en-AU"/>
        </w:rPr>
        <w:t xml:space="preserve"> to </w:t>
      </w:r>
      <w:r w:rsidR="00CF635A" w:rsidRPr="0092016D">
        <w:rPr>
          <w:lang w:val="en-AU"/>
        </w:rPr>
        <w:t>March</w:t>
      </w:r>
      <w:r w:rsidRPr="0092016D">
        <w:rPr>
          <w:lang w:val="en-AU"/>
        </w:rPr>
        <w:t xml:space="preserve"> 202</w:t>
      </w:r>
      <w:r w:rsidR="00CF635A" w:rsidRPr="0092016D">
        <w:rPr>
          <w:lang w:val="en-AU"/>
        </w:rPr>
        <w:t>4</w:t>
      </w:r>
    </w:p>
    <w:p w14:paraId="00E4B1F0" w14:textId="10E7A22E" w:rsidR="00B556AE" w:rsidRPr="0092016D" w:rsidRDefault="00CF635A" w:rsidP="0092016D">
      <w:pPr>
        <w:spacing w:after="0"/>
      </w:pPr>
      <w:r w:rsidRPr="0092016D">
        <w:rPr>
          <w:noProof/>
        </w:rPr>
        <w:drawing>
          <wp:inline distT="0" distB="0" distL="0" distR="0" wp14:anchorId="21457902" wp14:editId="309428E3">
            <wp:extent cx="5343525" cy="2606675"/>
            <wp:effectExtent l="0" t="0" r="0" b="3175"/>
            <wp:docPr id="159831170" name="Chart 1" descr="Figure 2 is a 2-line time series chart showing the unemployment rate and underemployment rate from March 1984 to March 2024. The underemployment rate has consistently been above the unemployment rate for the past 2 decades, while prior to that, it was the opposite. These rates have moved in a similar direction in recent times.">
              <a:extLst xmlns:a="http://schemas.openxmlformats.org/drawingml/2006/main">
                <a:ext uri="{FF2B5EF4-FFF2-40B4-BE49-F238E27FC236}">
                  <a16:creationId xmlns:a16="http://schemas.microsoft.com/office/drawing/2014/main" id="{555BA5CF-7CA4-4FB2-8F84-8ACE0583CC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6DBF2E4" w14:textId="24734BDA" w:rsidR="0035714A" w:rsidRPr="00B93C08" w:rsidRDefault="0035714A" w:rsidP="00754981">
      <w:pPr>
        <w:pStyle w:val="Source"/>
        <w:spacing w:before="0"/>
      </w:pPr>
      <w:r w:rsidRPr="0092016D">
        <w:t xml:space="preserve">Source: ABS, Labour Force, Australia, </w:t>
      </w:r>
      <w:r w:rsidR="00CF635A" w:rsidRPr="0092016D">
        <w:t>March</w:t>
      </w:r>
      <w:r w:rsidRPr="0092016D">
        <w:t xml:space="preserve"> 202</w:t>
      </w:r>
      <w:r w:rsidR="00CF635A" w:rsidRPr="0092016D">
        <w:t>4</w:t>
      </w:r>
      <w:r w:rsidRPr="0092016D">
        <w:t>, seasonally adjusted data.</w:t>
      </w:r>
    </w:p>
    <w:p w14:paraId="7D734D6F" w14:textId="77777777" w:rsidR="00CF635A" w:rsidRPr="0092016D" w:rsidRDefault="00CF635A" w:rsidP="00CF635A">
      <w:bookmarkStart w:id="14" w:name="_Hlk150266369"/>
      <w:r w:rsidRPr="0092016D">
        <w:t xml:space="preserve">The </w:t>
      </w:r>
      <w:r w:rsidRPr="0092016D">
        <w:rPr>
          <w:rStyle w:val="Strong"/>
        </w:rPr>
        <w:t>unemployment rate</w:t>
      </w:r>
      <w:r w:rsidRPr="0092016D">
        <w:t xml:space="preserve"> decreased slightly over the quarter, from 3.9% in December 2023, to 3.8% in March 2024, while the </w:t>
      </w:r>
      <w:r w:rsidRPr="0092016D">
        <w:rPr>
          <w:b/>
          <w:bCs/>
        </w:rPr>
        <w:t>participation rate</w:t>
      </w:r>
      <w:r w:rsidRPr="0092016D">
        <w:t xml:space="preserve"> was unchanged over the period, at 66.6%.</w:t>
      </w:r>
    </w:p>
    <w:p w14:paraId="4B6E87E5" w14:textId="77777777" w:rsidR="00CF635A" w:rsidRPr="0092016D" w:rsidRDefault="00CF635A" w:rsidP="00CF635A">
      <w:r w:rsidRPr="0092016D">
        <w:t xml:space="preserve">Labour market conditions for both </w:t>
      </w:r>
      <w:r w:rsidRPr="0092016D">
        <w:rPr>
          <w:b/>
          <w:bCs/>
        </w:rPr>
        <w:t>women</w:t>
      </w:r>
      <w:r w:rsidRPr="0092016D">
        <w:t xml:space="preserve"> and </w:t>
      </w:r>
      <w:r w:rsidRPr="0092016D">
        <w:rPr>
          <w:b/>
          <w:bCs/>
        </w:rPr>
        <w:t>men</w:t>
      </w:r>
      <w:r w:rsidRPr="0092016D">
        <w:t xml:space="preserve"> have remained resilient over the March quarter 2024. For instance, employment for women increased by 56,300 (or 0.8%) over the period, due, entirely, to strong growth in full-time employment, up by 84,000 (or 2.2%), while part-time employment fell by 27,800 (or 0.9%).</w:t>
      </w:r>
    </w:p>
    <w:p w14:paraId="6A603DAC" w14:textId="77777777" w:rsidR="00CF635A" w:rsidRPr="0092016D" w:rsidRDefault="00CF635A" w:rsidP="00CF635A">
      <w:r w:rsidRPr="0092016D">
        <w:t xml:space="preserve">Employment for men also rose over the quarter, up by 66,000 (or 0.9%), with full-time employment accounting for </w:t>
      </w:r>
      <w:proofErr w:type="gramStart"/>
      <w:r w:rsidRPr="0092016D">
        <w:t>the majority of</w:t>
      </w:r>
      <w:proofErr w:type="gramEnd"/>
      <w:r w:rsidRPr="0092016D">
        <w:t xml:space="preserve"> the increase in employment (up by 41,900 or 0.7%), while part-time employment increased by 24,100 (or 1.7%).</w:t>
      </w:r>
    </w:p>
    <w:p w14:paraId="092AD564" w14:textId="77777777" w:rsidR="00CF635A" w:rsidRPr="0092016D" w:rsidRDefault="00CF635A" w:rsidP="00CF635A">
      <w:r w:rsidRPr="0092016D">
        <w:t>While the unemployment rate for women fell slightly over the quarter, by 0.1 percentage points, to 3.8% in March 2024, it remains above the 3.4% recorded in March 2023. The unemployment rate for men also fell over the quarter, from 4.0% in December 2023, to 3.9% in March 2024, but remains 0.2 percentage points above the rate recorded a year ago.</w:t>
      </w:r>
    </w:p>
    <w:p w14:paraId="4B491201" w14:textId="77777777" w:rsidR="00CF635A" w:rsidRPr="0092016D" w:rsidRDefault="00CF635A" w:rsidP="00CF635A">
      <w:pPr>
        <w:pStyle w:val="ListBullet"/>
        <w:numPr>
          <w:ilvl w:val="0"/>
          <w:numId w:val="0"/>
        </w:numPr>
      </w:pPr>
      <w:r w:rsidRPr="0092016D">
        <w:lastRenderedPageBreak/>
        <w:t>The fall in the female unemployment rate over the quarter occurred in conjunction with a 0.1 percentage point decrease in the participation rate for women, which fell to 62.6% in March 2024 and is now just below the 62.7% recorded a year ago. While the participation rate for men was steady over the quarter, at 70.6% in March 2024, it remains below the 70.8% recorded in March 2023.</w:t>
      </w:r>
    </w:p>
    <w:p w14:paraId="4D447E70" w14:textId="77777777" w:rsidR="00CF635A" w:rsidRPr="0092016D" w:rsidRDefault="00CF635A" w:rsidP="00CF635A">
      <w:pPr>
        <w:pStyle w:val="ListBullet"/>
        <w:numPr>
          <w:ilvl w:val="0"/>
          <w:numId w:val="0"/>
        </w:numPr>
      </w:pPr>
      <w:r w:rsidRPr="0092016D">
        <w:t xml:space="preserve">Reflecting the overall improvement in the labour market activity over the quarter, conditions for </w:t>
      </w:r>
      <w:r w:rsidRPr="0092016D">
        <w:rPr>
          <w:b/>
          <w:bCs/>
        </w:rPr>
        <w:t>young people</w:t>
      </w:r>
      <w:r w:rsidRPr="0092016D">
        <w:t xml:space="preserve"> also strengthened over the period, with the number of </w:t>
      </w:r>
      <w:proofErr w:type="gramStart"/>
      <w:r w:rsidRPr="0092016D">
        <w:t>15-24 year olds</w:t>
      </w:r>
      <w:proofErr w:type="gramEnd"/>
      <w:r w:rsidRPr="0092016D">
        <w:t xml:space="preserve"> in employment increasing by 28,300 (or 1.3%). While full-time employment for the youth cohort rose strongly over the quarter (up by 9,600 or 1.0%), it is important to note that this follows on from two sizeable declines (totalling 57,600) recorded in the September and December quarters, respectively, in 2023. Moreover, the number of young people in full-time work has declined by 28,500 (or 2.9%) over the </w:t>
      </w:r>
      <w:r w:rsidRPr="0092016D">
        <w:rPr>
          <w:i/>
          <w:iCs/>
        </w:rPr>
        <w:t>year</w:t>
      </w:r>
      <w:r w:rsidRPr="0092016D">
        <w:t xml:space="preserve"> to March 2024. </w:t>
      </w:r>
    </w:p>
    <w:p w14:paraId="57B372DE" w14:textId="77777777" w:rsidR="00CF635A" w:rsidRPr="0092016D" w:rsidRDefault="00CF635A" w:rsidP="00CF635A">
      <w:pPr>
        <w:pStyle w:val="ListBullet"/>
        <w:numPr>
          <w:ilvl w:val="0"/>
          <w:numId w:val="0"/>
        </w:numPr>
      </w:pPr>
      <w:r w:rsidRPr="0092016D">
        <w:t xml:space="preserve">The youth unemployment rate was unchanged over the quarter, at 9.6% in March 2024, although it has risen by 1.8 percentage points over the </w:t>
      </w:r>
      <w:r w:rsidRPr="0092016D">
        <w:rPr>
          <w:i/>
          <w:iCs/>
        </w:rPr>
        <w:t>year</w:t>
      </w:r>
      <w:r w:rsidRPr="0092016D">
        <w:t>. The participation rate for young people decreased by 0.3 percentage points over the quarter, to 70.3% in March 2024, and is below the 71.3% recorded in March 2023.</w:t>
      </w:r>
    </w:p>
    <w:p w14:paraId="1A4A82DF" w14:textId="77777777" w:rsidR="00CF635A" w:rsidRPr="0092016D" w:rsidRDefault="00CF635A" w:rsidP="00CF635A">
      <w:r w:rsidRPr="0092016D">
        <w:t xml:space="preserve">The number of people who were </w:t>
      </w:r>
      <w:r w:rsidRPr="0092016D">
        <w:rPr>
          <w:b/>
          <w:bCs/>
        </w:rPr>
        <w:t>long-term unemployed</w:t>
      </w:r>
      <w:r w:rsidRPr="0092016D">
        <w:t xml:space="preserve"> increased over the 3 months to March 2024, by 3,500 (or 3.2%), to stand at 110,200, and is 22,200 (or 25.3%) above the recent trough, of 88,000 recorded in April 2023 (Figure 3).</w:t>
      </w:r>
    </w:p>
    <w:p w14:paraId="378B5EC8" w14:textId="77777777" w:rsidR="00CF635A" w:rsidRPr="0092016D" w:rsidRDefault="00CF635A" w:rsidP="00CF635A">
      <w:pPr>
        <w:pStyle w:val="ListBullet"/>
      </w:pPr>
      <w:r w:rsidRPr="0092016D">
        <w:t xml:space="preserve">The level of long-term unemployment for women increased by 2,600 (or 5.5%) over the March quarter 2024, to stand at 49,300, while long-term unemployment for men also rose over the period, by 900 (or 1.4%), to 61,000. </w:t>
      </w:r>
    </w:p>
    <w:p w14:paraId="78BFFA37" w14:textId="77777777" w:rsidR="00CF635A" w:rsidRPr="008E67F1" w:rsidRDefault="00CF635A" w:rsidP="00CF635A">
      <w:r w:rsidRPr="0092016D">
        <w:t>Given that labour market activity is expected to ease over the coming months, there may be greater inflows of people from short-term unemployment, into the long-term unemployment pool, in the coming year. Similarly, softer labour market conditions will make it increasingly difficult to achieve sizeable exits from the pool, which is likely to result in an increase in the number of long-term and very long-term unemployed people in the period ahead.</w:t>
      </w:r>
    </w:p>
    <w:p w14:paraId="4BFD2147" w14:textId="46628576" w:rsidR="003E5919" w:rsidRPr="00B93C08" w:rsidRDefault="003E5919" w:rsidP="00ED26C5">
      <w:pPr>
        <w:pStyle w:val="ChartandTablelabel"/>
        <w:keepNext/>
        <w:keepLines/>
        <w:rPr>
          <w:rFonts w:asciiTheme="minorHAnsi" w:hAnsiTheme="minorHAnsi"/>
          <w:lang w:val="en-AU"/>
        </w:rPr>
      </w:pPr>
      <w:r w:rsidRPr="0092016D">
        <w:rPr>
          <w:rFonts w:asciiTheme="minorHAnsi" w:hAnsiTheme="minorHAnsi"/>
          <w:lang w:val="en-AU"/>
        </w:rPr>
        <w:lastRenderedPageBreak/>
        <w:t xml:space="preserve">Figure 3: Long-term unemployment and annual </w:t>
      </w:r>
      <w:r w:rsidR="00B23CE0" w:rsidRPr="0092016D">
        <w:rPr>
          <w:rFonts w:asciiTheme="minorHAnsi" w:hAnsiTheme="minorHAnsi"/>
          <w:lang w:val="en-AU"/>
        </w:rPr>
        <w:t xml:space="preserve">change in </w:t>
      </w:r>
      <w:r w:rsidRPr="0092016D">
        <w:rPr>
          <w:rFonts w:asciiTheme="minorHAnsi" w:hAnsiTheme="minorHAnsi"/>
          <w:lang w:val="en-AU"/>
        </w:rPr>
        <w:t xml:space="preserve">employment, </w:t>
      </w:r>
      <w:r w:rsidR="00CF635A" w:rsidRPr="0092016D">
        <w:rPr>
          <w:rFonts w:asciiTheme="minorHAnsi" w:hAnsiTheme="minorHAnsi"/>
          <w:lang w:val="en-AU"/>
        </w:rPr>
        <w:t>March</w:t>
      </w:r>
      <w:r w:rsidRPr="0092016D">
        <w:rPr>
          <w:rFonts w:asciiTheme="minorHAnsi" w:hAnsiTheme="minorHAnsi"/>
          <w:lang w:val="en-AU"/>
        </w:rPr>
        <w:t xml:space="preserve"> 200</w:t>
      </w:r>
      <w:r w:rsidR="00CF635A" w:rsidRPr="0092016D">
        <w:rPr>
          <w:rFonts w:asciiTheme="minorHAnsi" w:hAnsiTheme="minorHAnsi"/>
          <w:lang w:val="en-AU"/>
        </w:rPr>
        <w:t>4</w:t>
      </w:r>
      <w:r w:rsidRPr="0092016D">
        <w:rPr>
          <w:rFonts w:asciiTheme="minorHAnsi" w:hAnsiTheme="minorHAnsi"/>
          <w:lang w:val="en-AU"/>
        </w:rPr>
        <w:t xml:space="preserve"> to </w:t>
      </w:r>
      <w:r w:rsidR="00CF635A" w:rsidRPr="0092016D">
        <w:rPr>
          <w:rFonts w:asciiTheme="minorHAnsi" w:hAnsiTheme="minorHAnsi"/>
          <w:lang w:val="en-AU"/>
        </w:rPr>
        <w:t>March </w:t>
      </w:r>
      <w:r w:rsidRPr="0092016D">
        <w:rPr>
          <w:rFonts w:asciiTheme="minorHAnsi" w:hAnsiTheme="minorHAnsi"/>
          <w:lang w:val="en-AU"/>
        </w:rPr>
        <w:t>202</w:t>
      </w:r>
      <w:bookmarkEnd w:id="14"/>
      <w:r w:rsidR="00CF635A" w:rsidRPr="0092016D">
        <w:rPr>
          <w:rFonts w:asciiTheme="minorHAnsi" w:hAnsiTheme="minorHAnsi"/>
          <w:lang w:val="en-AU"/>
        </w:rPr>
        <w:t>4</w:t>
      </w:r>
    </w:p>
    <w:p w14:paraId="7286A2E3" w14:textId="5C763B33" w:rsidR="00ED26C5" w:rsidRPr="00B93C08" w:rsidRDefault="00CF635A" w:rsidP="0092016D">
      <w:pPr>
        <w:pStyle w:val="ListBullet"/>
        <w:keepNext/>
        <w:keepLines/>
        <w:numPr>
          <w:ilvl w:val="0"/>
          <w:numId w:val="0"/>
        </w:numPr>
        <w:spacing w:after="0"/>
        <w:ind w:left="284" w:hanging="284"/>
        <w:rPr>
          <w:lang w:val="en-AU"/>
        </w:rPr>
      </w:pPr>
      <w:r>
        <w:rPr>
          <w:noProof/>
        </w:rPr>
        <w:drawing>
          <wp:inline distT="0" distB="0" distL="0" distR="0" wp14:anchorId="3ECA069E" wp14:editId="7877F499">
            <wp:extent cx="5724525" cy="2545200"/>
            <wp:effectExtent l="0" t="0" r="0" b="7620"/>
            <wp:docPr id="772758667" name="Chart 1" descr="Figure 3 is a column and line chart, with the columns representing annual change in employment, in percentage terms, and the line representing the level of long-term unemployment. The chart is a time series covering the last 2 decades and shows a decline in long-term unemployment between April 2021 and April 2023, which occurred in conjunction with a period of strong employment growth. That said, the level of long-term unemployment has increased since the recent trough in April 2023, while the pace of employment growth has moderated.">
              <a:extLst xmlns:a="http://schemas.openxmlformats.org/drawingml/2006/main">
                <a:ext uri="{FF2B5EF4-FFF2-40B4-BE49-F238E27FC236}">
                  <a16:creationId xmlns:a16="http://schemas.microsoft.com/office/drawing/2014/main" id="{D4A932D5-25CA-4BD0-967B-7EE5A179F1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8F28293" w14:textId="496FC714" w:rsidR="006E62D4" w:rsidRPr="00B93C08" w:rsidRDefault="0035714A" w:rsidP="0092016D">
      <w:pPr>
        <w:pStyle w:val="Source"/>
        <w:keepLines/>
        <w:spacing w:before="0"/>
      </w:pPr>
      <w:bookmarkStart w:id="15" w:name="_Hlk165363484"/>
      <w:r w:rsidRPr="0092016D">
        <w:t xml:space="preserve">Source: ABS, Labour Force, Australia, Detailed, </w:t>
      </w:r>
      <w:r w:rsidR="00CF635A" w:rsidRPr="0092016D">
        <w:t>March</w:t>
      </w:r>
      <w:r w:rsidRPr="0092016D">
        <w:t xml:space="preserve"> 202</w:t>
      </w:r>
      <w:r w:rsidR="00CF635A" w:rsidRPr="0092016D">
        <w:t>4</w:t>
      </w:r>
      <w:r w:rsidRPr="0092016D">
        <w:t xml:space="preserve"> for long-term unemployment; ABS, Labour Force, Australia, </w:t>
      </w:r>
      <w:r w:rsidR="00CF635A" w:rsidRPr="0092016D">
        <w:t>March</w:t>
      </w:r>
      <w:r w:rsidRPr="0092016D">
        <w:t xml:space="preserve"> 202</w:t>
      </w:r>
      <w:r w:rsidR="00CF635A" w:rsidRPr="0092016D">
        <w:t>4</w:t>
      </w:r>
      <w:r w:rsidRPr="0092016D">
        <w:t xml:space="preserve"> for annual </w:t>
      </w:r>
      <w:r w:rsidR="00B23CE0" w:rsidRPr="0092016D">
        <w:t>change in employment</w:t>
      </w:r>
      <w:r w:rsidRPr="0092016D">
        <w:t>. All data are seasonally adjusted.</w:t>
      </w:r>
    </w:p>
    <w:p w14:paraId="09A37835" w14:textId="2D7FCA91" w:rsidR="005D7362" w:rsidRPr="00B93C08" w:rsidRDefault="005D7362" w:rsidP="005D7362">
      <w:pPr>
        <w:pStyle w:val="Heading2"/>
      </w:pPr>
      <w:bookmarkStart w:id="16" w:name="_Toc166140498"/>
      <w:bookmarkEnd w:id="15"/>
      <w:r w:rsidRPr="00B93C08">
        <w:t xml:space="preserve">Demand for </w:t>
      </w:r>
      <w:proofErr w:type="gramStart"/>
      <w:r w:rsidRPr="00B93C08">
        <w:t>labour</w:t>
      </w:r>
      <w:bookmarkEnd w:id="12"/>
      <w:bookmarkEnd w:id="13"/>
      <w:bookmarkEnd w:id="16"/>
      <w:proofErr w:type="gramEnd"/>
    </w:p>
    <w:p w14:paraId="3CC11060" w14:textId="0A0BCF25" w:rsidR="00AE25A8" w:rsidRPr="0092016D" w:rsidRDefault="00AE25A8" w:rsidP="00AE25A8">
      <w:bookmarkStart w:id="17" w:name="_Hlk157671481"/>
      <w:r w:rsidRPr="0092016D">
        <w:t xml:space="preserve">Results from Jobs and Skills Australia’s March 2024 </w:t>
      </w:r>
      <w:r w:rsidRPr="0092016D">
        <w:rPr>
          <w:i/>
          <w:iCs/>
        </w:rPr>
        <w:t>Recruitment Experiences and Outlook Survey (REOS)</w:t>
      </w:r>
      <w:r w:rsidRPr="0092016D">
        <w:t xml:space="preserve"> confirm that labour market conditions remain softer than a year ago. The REOS </w:t>
      </w:r>
      <w:r w:rsidRPr="0092016D">
        <w:rPr>
          <w:b/>
          <w:bCs/>
        </w:rPr>
        <w:t>recruitment rate</w:t>
      </w:r>
      <w:r w:rsidRPr="0092016D">
        <w:t xml:space="preserve"> is the proportion of employers who were recruiting at the time of the survey. The rate is a robust indicator of the demand for workers and an indicator of </w:t>
      </w:r>
      <w:r w:rsidR="0094774F" w:rsidRPr="0092016D">
        <w:t>employers’</w:t>
      </w:r>
      <w:r w:rsidRPr="0092016D">
        <w:t xml:space="preserve"> confidence in business conditions. The recruitment rate declined sharply between the March and September quarters in 2023 and has been relatively flat since. The rate is 6 percentage points lower than 12 months ago and is now 9 percentage points lower than the peak of 58% recorded in the June quarter of 2022 (Figure 4).</w:t>
      </w:r>
    </w:p>
    <w:bookmarkEnd w:id="17"/>
    <w:p w14:paraId="559E1375" w14:textId="120C77FF" w:rsidR="00AE25A8" w:rsidRPr="0092016D" w:rsidRDefault="00AE25A8" w:rsidP="00AE25A8">
      <w:pPr>
        <w:pStyle w:val="ChartandTablelabel"/>
        <w:rPr>
          <w:rFonts w:asciiTheme="minorHAnsi" w:hAnsiTheme="minorHAnsi"/>
          <w:lang w:val="en-AU"/>
        </w:rPr>
      </w:pPr>
      <w:r w:rsidRPr="0092016D">
        <w:rPr>
          <w:rFonts w:asciiTheme="minorHAnsi" w:hAnsiTheme="minorHAnsi"/>
          <w:lang w:val="en-AU"/>
        </w:rPr>
        <w:t xml:space="preserve">Figure 4: Recruitment rate (proportion of employers currently recruiting or who recruited in the past month), </w:t>
      </w:r>
      <w:r w:rsidR="00464C1F" w:rsidRPr="0092016D">
        <w:rPr>
          <w:rFonts w:asciiTheme="minorHAnsi" w:hAnsiTheme="minorHAnsi"/>
          <w:lang w:val="en-AU"/>
        </w:rPr>
        <w:t>March</w:t>
      </w:r>
      <w:r w:rsidRPr="0092016D">
        <w:rPr>
          <w:rFonts w:asciiTheme="minorHAnsi" w:hAnsiTheme="minorHAnsi"/>
          <w:lang w:val="en-AU"/>
        </w:rPr>
        <w:t xml:space="preserve"> quarter 202</w:t>
      </w:r>
      <w:r w:rsidR="008266DA" w:rsidRPr="0092016D">
        <w:rPr>
          <w:rFonts w:asciiTheme="minorHAnsi" w:hAnsiTheme="minorHAnsi"/>
          <w:lang w:val="en-AU"/>
        </w:rPr>
        <w:t>1</w:t>
      </w:r>
      <w:r w:rsidRPr="0092016D">
        <w:rPr>
          <w:rFonts w:asciiTheme="minorHAnsi" w:hAnsiTheme="minorHAnsi"/>
          <w:lang w:val="en-AU"/>
        </w:rPr>
        <w:t xml:space="preserve"> to March quarter </w:t>
      </w:r>
      <w:proofErr w:type="gramStart"/>
      <w:r w:rsidRPr="0092016D">
        <w:rPr>
          <w:rFonts w:asciiTheme="minorHAnsi" w:hAnsiTheme="minorHAnsi"/>
          <w:lang w:val="en-AU"/>
        </w:rPr>
        <w:t>2024</w:t>
      </w:r>
      <w:proofErr w:type="gramEnd"/>
    </w:p>
    <w:p w14:paraId="35A4D13D" w14:textId="2C5304F7" w:rsidR="008764A8" w:rsidRPr="00B93C08" w:rsidRDefault="00F80B2E" w:rsidP="00295B5F">
      <w:pPr>
        <w:pStyle w:val="ChartandTablelabel"/>
        <w:spacing w:after="0"/>
        <w:rPr>
          <w:lang w:val="en-AU"/>
        </w:rPr>
      </w:pPr>
      <w:r w:rsidRPr="00B93C08">
        <w:rPr>
          <w:noProof/>
          <w:lang w:val="en-AU"/>
        </w:rPr>
        <w:lastRenderedPageBreak/>
        <w:drawing>
          <wp:inline distT="0" distB="0" distL="0" distR="0" wp14:anchorId="07F23C38" wp14:editId="5E1813F1">
            <wp:extent cx="5608800" cy="2419200"/>
            <wp:effectExtent l="0" t="0" r="0" b="635"/>
            <wp:docPr id="781404688" name="Chart 1" descr="Figure 4 is a line chart showing the recruitment rate from the March quarter 2021 to the March quarter 2024. Notwithstanding the impact of the COVID-19 lockdowns, the recruitment rate generally increased, from 44% in December quarter 2020, to 58% in the June quarter 2022, before moderating to 49% in the March quarter 2024.">
              <a:extLst xmlns:a="http://schemas.openxmlformats.org/drawingml/2006/main">
                <a:ext uri="{FF2B5EF4-FFF2-40B4-BE49-F238E27FC236}">
                  <a16:creationId xmlns:a16="http://schemas.microsoft.com/office/drawing/2014/main" id="{253E5DD2-8B81-111E-E6E4-5EFA40F55F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7CEAE74" w14:textId="16DA6818" w:rsidR="005D7362" w:rsidRPr="0092016D" w:rsidRDefault="00F80B2E" w:rsidP="00295B5F">
      <w:pPr>
        <w:pStyle w:val="Source"/>
        <w:spacing w:before="0"/>
      </w:pPr>
      <w:r w:rsidRPr="0092016D">
        <w:rPr>
          <w:iCs/>
        </w:rPr>
        <w:t>Source: Jobs and Skills Australia</w:t>
      </w:r>
      <w:r w:rsidR="0042089A" w:rsidRPr="0092016D">
        <w:rPr>
          <w:iCs/>
        </w:rPr>
        <w:t xml:space="preserve"> (JSA)</w:t>
      </w:r>
      <w:r w:rsidRPr="0092016D">
        <w:t xml:space="preserve">, Recruitment Experiences and Outlook Survey, </w:t>
      </w:r>
      <w:r w:rsidRPr="0092016D">
        <w:rPr>
          <w:iCs/>
        </w:rPr>
        <w:t>March 2024</w:t>
      </w:r>
    </w:p>
    <w:p w14:paraId="20A0EEB2" w14:textId="7092063D" w:rsidR="00784DDA" w:rsidRPr="0092016D" w:rsidRDefault="002A29EB" w:rsidP="00295B5F">
      <w:pPr>
        <w:spacing w:before="240"/>
      </w:pPr>
      <w:bookmarkStart w:id="18" w:name="_Hlk157671683"/>
      <w:r w:rsidRPr="0092016D">
        <w:t>M</w:t>
      </w:r>
      <w:r w:rsidR="00784DDA" w:rsidRPr="0092016D">
        <w:t>onthly</w:t>
      </w:r>
      <w:r w:rsidR="00784DDA" w:rsidRPr="0092016D">
        <w:rPr>
          <w:b/>
          <w:bCs/>
        </w:rPr>
        <w:t xml:space="preserve"> job advertisements</w:t>
      </w:r>
      <w:r w:rsidR="00784DDA" w:rsidRPr="0092016D">
        <w:t xml:space="preserve"> have </w:t>
      </w:r>
      <w:r w:rsidRPr="0092016D">
        <w:t xml:space="preserve">also </w:t>
      </w:r>
      <w:r w:rsidR="00784DDA" w:rsidRPr="0092016D">
        <w:t>been gradually declining and are below their mid</w:t>
      </w:r>
      <w:r w:rsidR="004B105D" w:rsidRPr="0092016D">
        <w:noBreakHyphen/>
      </w:r>
      <w:r w:rsidR="00784DDA" w:rsidRPr="0092016D">
        <w:t xml:space="preserve">2022 peak. </w:t>
      </w:r>
      <w:r w:rsidR="00211170" w:rsidRPr="0092016D">
        <w:t xml:space="preserve">Indeed, </w:t>
      </w:r>
      <w:r w:rsidR="00784DDA" w:rsidRPr="0092016D">
        <w:t xml:space="preserve">Jobs and Skills Australia’s </w:t>
      </w:r>
      <w:r w:rsidR="00784DDA" w:rsidRPr="0092016D">
        <w:rPr>
          <w:i/>
          <w:iCs/>
        </w:rPr>
        <w:t>Internet Vacancy Index (IVI)</w:t>
      </w:r>
      <w:r w:rsidR="00784DDA" w:rsidRPr="0092016D">
        <w:t xml:space="preserve"> shows that there has been an overall decrease in recruitment activity over the quarter to </w:t>
      </w:r>
      <w:r w:rsidR="00AC387C" w:rsidRPr="0092016D">
        <w:t>March</w:t>
      </w:r>
      <w:r w:rsidR="00784DDA" w:rsidRPr="0092016D">
        <w:t xml:space="preserve"> 202</w:t>
      </w:r>
      <w:r w:rsidR="00AC387C" w:rsidRPr="0092016D">
        <w:t>4</w:t>
      </w:r>
      <w:r w:rsidR="00784DDA" w:rsidRPr="0092016D">
        <w:t xml:space="preserve">, with job advertisements </w:t>
      </w:r>
      <w:r w:rsidR="008D22D2" w:rsidRPr="0092016D">
        <w:t>declining</w:t>
      </w:r>
      <w:r w:rsidR="00211170" w:rsidRPr="0092016D">
        <w:t xml:space="preserve"> further</w:t>
      </w:r>
      <w:r w:rsidR="0030336C" w:rsidRPr="0092016D">
        <w:t>,</w:t>
      </w:r>
      <w:r w:rsidR="008D22D2" w:rsidRPr="0092016D">
        <w:t xml:space="preserve"> by </w:t>
      </w:r>
      <w:r w:rsidR="00AC387C" w:rsidRPr="0092016D">
        <w:t>4</w:t>
      </w:r>
      <w:r w:rsidR="00784DDA" w:rsidRPr="0092016D">
        <w:t>.</w:t>
      </w:r>
      <w:r w:rsidR="00AC387C" w:rsidRPr="0092016D">
        <w:t>1</w:t>
      </w:r>
      <w:r w:rsidR="00784DDA" w:rsidRPr="0092016D">
        <w:t xml:space="preserve">% (or </w:t>
      </w:r>
      <w:r w:rsidR="00AC387C" w:rsidRPr="0092016D">
        <w:t>10</w:t>
      </w:r>
      <w:r w:rsidR="00784DDA" w:rsidRPr="0092016D">
        <w:t>,</w:t>
      </w:r>
      <w:r w:rsidR="00AC387C" w:rsidRPr="0092016D">
        <w:t>6</w:t>
      </w:r>
      <w:r w:rsidR="00784DDA" w:rsidRPr="0092016D">
        <w:t xml:space="preserve">00 job advertisements) </w:t>
      </w:r>
      <w:r w:rsidR="008D22D2" w:rsidRPr="0092016D">
        <w:t>over the period</w:t>
      </w:r>
      <w:r w:rsidR="00784DDA" w:rsidRPr="0092016D">
        <w:t xml:space="preserve"> (Figure </w:t>
      </w:r>
      <w:r w:rsidR="00A41907" w:rsidRPr="0092016D">
        <w:t>5</w:t>
      </w:r>
      <w:r w:rsidR="00784DDA" w:rsidRPr="0092016D">
        <w:t xml:space="preserve">). </w:t>
      </w:r>
      <w:r w:rsidR="008D22D2" w:rsidRPr="0092016D">
        <w:t>I</w:t>
      </w:r>
      <w:r w:rsidR="00784DDA" w:rsidRPr="0092016D">
        <w:t xml:space="preserve">nternet job advertisements decreased by </w:t>
      </w:r>
      <w:r w:rsidR="00AC387C" w:rsidRPr="0092016D">
        <w:t>35</w:t>
      </w:r>
      <w:r w:rsidR="00784DDA" w:rsidRPr="0092016D">
        <w:t>,</w:t>
      </w:r>
      <w:r w:rsidR="00AC387C" w:rsidRPr="0092016D">
        <w:t>3</w:t>
      </w:r>
      <w:r w:rsidR="00784DDA" w:rsidRPr="0092016D">
        <w:t xml:space="preserve">00 (or </w:t>
      </w:r>
      <w:r w:rsidR="00AC387C" w:rsidRPr="0092016D">
        <w:t>12</w:t>
      </w:r>
      <w:r w:rsidR="00784DDA" w:rsidRPr="0092016D">
        <w:t>.</w:t>
      </w:r>
      <w:r w:rsidR="00AC387C" w:rsidRPr="0092016D">
        <w:t>4</w:t>
      </w:r>
      <w:r w:rsidR="00784DDA" w:rsidRPr="0092016D">
        <w:t>%)</w:t>
      </w:r>
      <w:r w:rsidR="008D22D2" w:rsidRPr="0092016D">
        <w:t xml:space="preserve"> over the year to </w:t>
      </w:r>
      <w:r w:rsidR="00AC387C" w:rsidRPr="0092016D">
        <w:t>March</w:t>
      </w:r>
      <w:r w:rsidR="008D22D2" w:rsidRPr="0092016D">
        <w:t xml:space="preserve"> 202</w:t>
      </w:r>
      <w:r w:rsidR="00AC387C" w:rsidRPr="0092016D">
        <w:t>4</w:t>
      </w:r>
      <w:r w:rsidR="008D22D2" w:rsidRPr="0092016D">
        <w:t xml:space="preserve">, although they remain </w:t>
      </w:r>
      <w:r w:rsidR="00784DDA" w:rsidRPr="0092016D">
        <w:t xml:space="preserve">significantly elevated compared </w:t>
      </w:r>
      <w:r w:rsidR="00211170" w:rsidRPr="0092016D">
        <w:t>with their</w:t>
      </w:r>
      <w:r w:rsidR="00784DDA" w:rsidRPr="0092016D">
        <w:t xml:space="preserve"> pre</w:t>
      </w:r>
      <w:r w:rsidR="005D5F8E" w:rsidRPr="0092016D">
        <w:noBreakHyphen/>
      </w:r>
      <w:r w:rsidR="00784DDA" w:rsidRPr="0092016D">
        <w:t>COVID levels.</w:t>
      </w:r>
    </w:p>
    <w:bookmarkEnd w:id="18"/>
    <w:p w14:paraId="51045100" w14:textId="16098481" w:rsidR="00784DDA" w:rsidRPr="00B93C08" w:rsidRDefault="00784DDA" w:rsidP="007B7BB1">
      <w:pPr>
        <w:pStyle w:val="ChartandTablelabel"/>
        <w:keepNext/>
        <w:keepLines/>
        <w:rPr>
          <w:rFonts w:asciiTheme="minorHAnsi" w:hAnsiTheme="minorHAnsi"/>
          <w:lang w:val="en-AU"/>
        </w:rPr>
      </w:pPr>
      <w:r w:rsidRPr="0092016D">
        <w:rPr>
          <w:rFonts w:asciiTheme="minorHAnsi" w:hAnsiTheme="minorHAnsi"/>
          <w:lang w:val="en-AU"/>
        </w:rPr>
        <w:t xml:space="preserve">Figure </w:t>
      </w:r>
      <w:r w:rsidR="00A41907" w:rsidRPr="0092016D">
        <w:rPr>
          <w:rFonts w:asciiTheme="minorHAnsi" w:hAnsiTheme="minorHAnsi"/>
          <w:lang w:val="en-AU"/>
        </w:rPr>
        <w:t>5</w:t>
      </w:r>
      <w:r w:rsidRPr="0092016D">
        <w:rPr>
          <w:rFonts w:asciiTheme="minorHAnsi" w:hAnsiTheme="minorHAnsi"/>
          <w:lang w:val="en-AU"/>
        </w:rPr>
        <w:t xml:space="preserve">: </w:t>
      </w:r>
      <w:r w:rsidR="00EE604D" w:rsidRPr="0092016D">
        <w:rPr>
          <w:rFonts w:asciiTheme="minorHAnsi" w:hAnsiTheme="minorHAnsi"/>
          <w:lang w:val="en-AU"/>
        </w:rPr>
        <w:t>IVI</w:t>
      </w:r>
      <w:r w:rsidRPr="0092016D">
        <w:rPr>
          <w:rFonts w:asciiTheme="minorHAnsi" w:hAnsiTheme="minorHAnsi"/>
          <w:lang w:val="en-AU"/>
        </w:rPr>
        <w:t xml:space="preserve"> job advertisements and unemployment rate, </w:t>
      </w:r>
      <w:r w:rsidR="007B6CA4" w:rsidRPr="0092016D">
        <w:rPr>
          <w:rFonts w:asciiTheme="minorHAnsi" w:hAnsiTheme="minorHAnsi"/>
          <w:lang w:val="en-AU"/>
        </w:rPr>
        <w:t>March</w:t>
      </w:r>
      <w:r w:rsidRPr="0092016D">
        <w:rPr>
          <w:rFonts w:asciiTheme="minorHAnsi" w:hAnsiTheme="minorHAnsi"/>
          <w:lang w:val="en-AU"/>
        </w:rPr>
        <w:t xml:space="preserve"> 2006 to </w:t>
      </w:r>
      <w:r w:rsidR="007B6CA4" w:rsidRPr="0092016D">
        <w:rPr>
          <w:rFonts w:asciiTheme="minorHAnsi" w:hAnsiTheme="minorHAnsi"/>
          <w:lang w:val="en-AU"/>
        </w:rPr>
        <w:t>March</w:t>
      </w:r>
      <w:r w:rsidRPr="0092016D">
        <w:rPr>
          <w:rFonts w:asciiTheme="minorHAnsi" w:hAnsiTheme="minorHAnsi"/>
          <w:lang w:val="en-AU"/>
        </w:rPr>
        <w:t xml:space="preserve"> 202</w:t>
      </w:r>
      <w:r w:rsidR="007B6CA4" w:rsidRPr="0092016D">
        <w:rPr>
          <w:rFonts w:asciiTheme="minorHAnsi" w:hAnsiTheme="minorHAnsi"/>
          <w:lang w:val="en-AU"/>
        </w:rPr>
        <w:t>4</w:t>
      </w:r>
    </w:p>
    <w:p w14:paraId="658B3F94" w14:textId="023D3758" w:rsidR="0043285E" w:rsidRPr="00B93C08" w:rsidRDefault="007B6CA4" w:rsidP="00295B5F">
      <w:pPr>
        <w:keepNext/>
        <w:keepLines/>
        <w:spacing w:after="0"/>
      </w:pPr>
      <w:r w:rsidRPr="00B93C08">
        <w:rPr>
          <w:noProof/>
        </w:rPr>
        <w:drawing>
          <wp:inline distT="0" distB="0" distL="0" distR="0" wp14:anchorId="0180EA70" wp14:editId="446EBE54">
            <wp:extent cx="5731200" cy="2466000"/>
            <wp:effectExtent l="0" t="0" r="3175" b="0"/>
            <wp:docPr id="811096322" name="Chart 1" descr="Figure 5 is a column and line chart, with the columns representing the Internet Vacancy Index monthly count of online job advertisements and the line representing the unemployment rate, from March 2006 to March 2024. This figure shows that the number of job advertisements are generally higher during periods when the unemployment rate is lower, and job advertisements are lower when the unemployment rate is elevated. Job advertisements reached a series low in April 2020, during the initial COVID-19 lockdowns,  before increasing rapidly and reaching a near series high in June 2022. Since then, job advertisements have decreased but remain significantly elevated compared with their pre-COVID levels.">
              <a:extLst xmlns:a="http://schemas.openxmlformats.org/drawingml/2006/main">
                <a:ext uri="{FF2B5EF4-FFF2-40B4-BE49-F238E27FC236}">
                  <a16:creationId xmlns:a16="http://schemas.microsoft.com/office/drawing/2014/main" id="{4AB291D2-2FC5-7C95-F4D1-BC194E23D4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E86DBFF" w14:textId="47F7E113" w:rsidR="008564DD" w:rsidRPr="00B93C08" w:rsidRDefault="00784DDA" w:rsidP="00295B5F">
      <w:pPr>
        <w:pStyle w:val="Source"/>
        <w:keepLines/>
        <w:spacing w:before="0"/>
      </w:pPr>
      <w:r w:rsidRPr="00295B5F">
        <w:t>Source: ABS, Labour Force</w:t>
      </w:r>
      <w:r w:rsidR="0042089A" w:rsidRPr="00295B5F">
        <w:t>,</w:t>
      </w:r>
      <w:r w:rsidRPr="00295B5F">
        <w:t xml:space="preserve"> Australia, </w:t>
      </w:r>
      <w:r w:rsidR="007B6CA4" w:rsidRPr="00295B5F">
        <w:t>March</w:t>
      </w:r>
      <w:r w:rsidRPr="00295B5F">
        <w:t xml:space="preserve"> 202</w:t>
      </w:r>
      <w:r w:rsidR="007B6CA4" w:rsidRPr="00295B5F">
        <w:t>4</w:t>
      </w:r>
      <w:r w:rsidRPr="00295B5F">
        <w:t xml:space="preserve">, seasonally adjusted data; </w:t>
      </w:r>
      <w:r w:rsidR="00E26FD9" w:rsidRPr="00295B5F">
        <w:t>JSA</w:t>
      </w:r>
      <w:r w:rsidRPr="00295B5F">
        <w:t xml:space="preserve">, Internet Vacancy Index, </w:t>
      </w:r>
      <w:r w:rsidR="00AE6DFC" w:rsidRPr="00295B5F">
        <w:t>March</w:t>
      </w:r>
      <w:r w:rsidRPr="00295B5F">
        <w:t xml:space="preserve"> 202</w:t>
      </w:r>
      <w:r w:rsidR="00AE6DFC" w:rsidRPr="00295B5F">
        <w:t>4</w:t>
      </w:r>
      <w:r w:rsidRPr="00295B5F">
        <w:t>, seasonally adjusted data.</w:t>
      </w:r>
    </w:p>
    <w:p w14:paraId="72369C31" w14:textId="13E81BD4" w:rsidR="00544539" w:rsidRPr="00295B5F" w:rsidRDefault="00784DDA" w:rsidP="00784DDA">
      <w:bookmarkStart w:id="19" w:name="_Toc151365182"/>
      <w:r w:rsidRPr="00295B5F">
        <w:t xml:space="preserve">Recent trends in </w:t>
      </w:r>
      <w:r w:rsidR="00BA7C74" w:rsidRPr="00295B5F">
        <w:t xml:space="preserve">the </w:t>
      </w:r>
      <w:r w:rsidRPr="00295B5F">
        <w:t xml:space="preserve">ABS </w:t>
      </w:r>
      <w:r w:rsidRPr="00295B5F">
        <w:rPr>
          <w:i/>
          <w:iCs/>
        </w:rPr>
        <w:t>Job Vacancies Survey</w:t>
      </w:r>
      <w:r w:rsidRPr="00295B5F">
        <w:t xml:space="preserve"> data reflect decline</w:t>
      </w:r>
      <w:r w:rsidR="00AE6DFC" w:rsidRPr="00295B5F">
        <w:t>s</w:t>
      </w:r>
      <w:r w:rsidRPr="00295B5F">
        <w:t xml:space="preserve"> in recruitment activity. </w:t>
      </w:r>
      <w:r w:rsidR="00544539" w:rsidRPr="00295B5F">
        <w:t>Latest available</w:t>
      </w:r>
      <w:r w:rsidRPr="00295B5F">
        <w:t xml:space="preserve"> ABS data </w:t>
      </w:r>
      <w:r w:rsidR="00544539" w:rsidRPr="00295B5F">
        <w:t xml:space="preserve">show job vacancies fell by </w:t>
      </w:r>
      <w:r w:rsidR="00AE6DFC" w:rsidRPr="00295B5F">
        <w:t>23</w:t>
      </w:r>
      <w:r w:rsidR="00544539" w:rsidRPr="00295B5F">
        <w:t>,</w:t>
      </w:r>
      <w:r w:rsidR="00AE6DFC" w:rsidRPr="00295B5F">
        <w:t>6</w:t>
      </w:r>
      <w:r w:rsidR="00544539" w:rsidRPr="00295B5F">
        <w:t xml:space="preserve">00 (or </w:t>
      </w:r>
      <w:r w:rsidR="00AE6DFC" w:rsidRPr="00295B5F">
        <w:t>6</w:t>
      </w:r>
      <w:r w:rsidR="00544539" w:rsidRPr="00295B5F">
        <w:t>.</w:t>
      </w:r>
      <w:r w:rsidR="00AE6DFC" w:rsidRPr="00295B5F">
        <w:t>1</w:t>
      </w:r>
      <w:r w:rsidR="00544539" w:rsidRPr="00295B5F">
        <w:t>%) over the quarter, to 3</w:t>
      </w:r>
      <w:r w:rsidR="00AE6DFC" w:rsidRPr="00295B5F">
        <w:t>63</w:t>
      </w:r>
      <w:r w:rsidR="00544539" w:rsidRPr="00295B5F">
        <w:t xml:space="preserve">,800 in </w:t>
      </w:r>
      <w:r w:rsidR="00AE6DFC" w:rsidRPr="00295B5F">
        <w:t>February</w:t>
      </w:r>
      <w:r w:rsidR="00544539" w:rsidRPr="00295B5F">
        <w:t xml:space="preserve"> 202</w:t>
      </w:r>
      <w:r w:rsidR="00AE6DFC" w:rsidRPr="00295B5F">
        <w:t>4</w:t>
      </w:r>
      <w:r w:rsidR="00544539" w:rsidRPr="00295B5F">
        <w:t xml:space="preserve">, and are </w:t>
      </w:r>
      <w:r w:rsidR="00AE6DFC" w:rsidRPr="00295B5F">
        <w:t>78</w:t>
      </w:r>
      <w:r w:rsidR="00544539" w:rsidRPr="00295B5F">
        <w:t>,</w:t>
      </w:r>
      <w:r w:rsidR="00AE6DFC" w:rsidRPr="00295B5F">
        <w:t>5</w:t>
      </w:r>
      <w:r w:rsidR="00544539" w:rsidRPr="00295B5F">
        <w:t>00 (or 1</w:t>
      </w:r>
      <w:r w:rsidR="00AE6DFC" w:rsidRPr="00295B5F">
        <w:t>7</w:t>
      </w:r>
      <w:r w:rsidR="00544539" w:rsidRPr="00295B5F">
        <w:t>.</w:t>
      </w:r>
      <w:r w:rsidR="00AE6DFC" w:rsidRPr="00295B5F">
        <w:t>7</w:t>
      </w:r>
      <w:r w:rsidR="00544539" w:rsidRPr="00295B5F">
        <w:t>%) below the level recorde</w:t>
      </w:r>
      <w:r w:rsidR="002647D4" w:rsidRPr="00295B5F">
        <w:t>d</w:t>
      </w:r>
      <w:r w:rsidR="00544539" w:rsidRPr="00295B5F">
        <w:t xml:space="preserve"> a year ago. </w:t>
      </w:r>
      <w:r w:rsidR="00544539" w:rsidRPr="00295B5F">
        <w:lastRenderedPageBreak/>
        <w:t>While ABS job vacancies are below their series peak in mid-2022, they remain high by historical standards</w:t>
      </w:r>
      <w:r w:rsidR="00877AC3" w:rsidRPr="00295B5F">
        <w:t>, 59.8% higher than February 2020</w:t>
      </w:r>
      <w:r w:rsidR="00544539" w:rsidRPr="00295B5F">
        <w:t>.</w:t>
      </w:r>
    </w:p>
    <w:p w14:paraId="6617F2D5" w14:textId="4C77E027" w:rsidR="005946B7" w:rsidRPr="00B93C08" w:rsidRDefault="005946B7" w:rsidP="00D70A20">
      <w:pPr>
        <w:pStyle w:val="Heading2"/>
      </w:pPr>
      <w:bookmarkStart w:id="20" w:name="_Hlk156825427"/>
      <w:bookmarkStart w:id="21" w:name="_Toc166140499"/>
      <w:bookmarkStart w:id="22" w:name="_Toc151365183"/>
      <w:bookmarkEnd w:id="19"/>
      <w:bookmarkEnd w:id="20"/>
      <w:r w:rsidRPr="00B93C08">
        <w:t>Vacancy rates</w:t>
      </w:r>
      <w:bookmarkEnd w:id="21"/>
    </w:p>
    <w:p w14:paraId="06AE6AC2" w14:textId="7419F221" w:rsidR="005946B7" w:rsidRPr="00B93C08" w:rsidRDefault="005946B7" w:rsidP="005946B7">
      <w:r w:rsidRPr="00295B5F">
        <w:t xml:space="preserve">The </w:t>
      </w:r>
      <w:r w:rsidRPr="00295B5F">
        <w:rPr>
          <w:b/>
          <w:bCs/>
        </w:rPr>
        <w:t>vacancy rate</w:t>
      </w:r>
      <w:r w:rsidRPr="00295B5F">
        <w:t xml:space="preserve"> (job vacancies as a share of employment) can be a useful indicator of underlying labour market dynamism. As illustrated in Figure </w:t>
      </w:r>
      <w:r w:rsidR="00A41907" w:rsidRPr="00295B5F">
        <w:t>6</w:t>
      </w:r>
      <w:r w:rsidRPr="00295B5F">
        <w:t xml:space="preserve">, the IVI vacancy rate can be a sensitive leading indicator of </w:t>
      </w:r>
      <w:r w:rsidR="00BF452E" w:rsidRPr="00295B5F">
        <w:t xml:space="preserve">future </w:t>
      </w:r>
      <w:r w:rsidR="000D6253" w:rsidRPr="00295B5F">
        <w:t xml:space="preserve">labour market </w:t>
      </w:r>
      <w:r w:rsidRPr="00295B5F">
        <w:t xml:space="preserve">conditions, with declines </w:t>
      </w:r>
      <w:r w:rsidR="00BF452E" w:rsidRPr="00295B5F">
        <w:t>preceding</w:t>
      </w:r>
      <w:r w:rsidRPr="00295B5F">
        <w:t xml:space="preserve"> the Global Financial Crisis, the end of the mining boom and the first COVID-19 shock</w:t>
      </w:r>
      <w:r w:rsidR="000D6253" w:rsidRPr="00295B5F">
        <w:t xml:space="preserve"> </w:t>
      </w:r>
      <w:r w:rsidRPr="00295B5F">
        <w:t xml:space="preserve">(including the </w:t>
      </w:r>
      <w:r w:rsidR="00BF452E" w:rsidRPr="00295B5F">
        <w:t>subsequent</w:t>
      </w:r>
      <w:r w:rsidRPr="00295B5F">
        <w:t xml:space="preserve"> Delta</w:t>
      </w:r>
      <w:r w:rsidR="007563E2" w:rsidRPr="00295B5F">
        <w:t xml:space="preserve"> </w:t>
      </w:r>
      <w:r w:rsidRPr="00295B5F">
        <w:t>wave)</w:t>
      </w:r>
      <w:r w:rsidR="00C757D9" w:rsidRPr="00295B5F">
        <w:t>,</w:t>
      </w:r>
      <w:r w:rsidRPr="00295B5F">
        <w:t xml:space="preserve"> </w:t>
      </w:r>
      <w:r w:rsidR="00936CDA" w:rsidRPr="00295B5F">
        <w:t>as well as heralding</w:t>
      </w:r>
      <w:r w:rsidRPr="00295B5F">
        <w:t xml:space="preserve"> changes in the unemployment rate. </w:t>
      </w:r>
      <w:r w:rsidR="000D6253" w:rsidRPr="00295B5F">
        <w:t xml:space="preserve">It is worth noting </w:t>
      </w:r>
      <w:r w:rsidRPr="00295B5F">
        <w:t xml:space="preserve">that the </w:t>
      </w:r>
      <w:r w:rsidR="009D4524" w:rsidRPr="00295B5F">
        <w:t>2</w:t>
      </w:r>
      <w:r w:rsidRPr="00295B5F">
        <w:t xml:space="preserve"> series have converged and are tracking closely, </w:t>
      </w:r>
      <w:r w:rsidR="000D6253" w:rsidRPr="00295B5F">
        <w:t xml:space="preserve">which is in line with </w:t>
      </w:r>
      <w:r w:rsidR="00936CDA" w:rsidRPr="00295B5F">
        <w:t>Treasury’s forecast</w:t>
      </w:r>
      <w:r w:rsidR="000D6253" w:rsidRPr="00295B5F">
        <w:t xml:space="preserve"> </w:t>
      </w:r>
      <w:r w:rsidR="0084033C" w:rsidRPr="00295B5F">
        <w:t>for</w:t>
      </w:r>
      <w:r w:rsidR="000D6253" w:rsidRPr="00295B5F">
        <w:t xml:space="preserve"> the unemployment rate </w:t>
      </w:r>
      <w:r w:rsidR="001F0FD8" w:rsidRPr="00295B5F">
        <w:t>in the period ahead</w:t>
      </w:r>
      <w:r w:rsidR="000D6253" w:rsidRPr="00295B5F">
        <w:t>.</w:t>
      </w:r>
      <w:r w:rsidRPr="00295B5F">
        <w:t xml:space="preserve"> </w:t>
      </w:r>
      <w:r w:rsidR="00C233F1" w:rsidRPr="00295B5F">
        <w:t>That said</w:t>
      </w:r>
      <w:r w:rsidRPr="00295B5F">
        <w:t>, the IVI vacancy rate remains high, at around 1.</w:t>
      </w:r>
      <w:r w:rsidR="007B6CA4" w:rsidRPr="00295B5F">
        <w:t>7</w:t>
      </w:r>
      <w:r w:rsidRPr="00295B5F">
        <w:t xml:space="preserve">% in </w:t>
      </w:r>
      <w:r w:rsidR="007B6CA4" w:rsidRPr="00295B5F">
        <w:t>March</w:t>
      </w:r>
      <w:r w:rsidRPr="00295B5F">
        <w:t xml:space="preserve"> 202</w:t>
      </w:r>
      <w:r w:rsidR="007B6CA4" w:rsidRPr="00295B5F">
        <w:t>4</w:t>
      </w:r>
      <w:r w:rsidRPr="00295B5F">
        <w:t xml:space="preserve">, </w:t>
      </w:r>
      <w:r w:rsidR="00C233F1" w:rsidRPr="00295B5F">
        <w:t xml:space="preserve">and is </w:t>
      </w:r>
      <w:r w:rsidRPr="00295B5F">
        <w:t>well above the low of 0.5% recorded in April 2020.</w:t>
      </w:r>
    </w:p>
    <w:p w14:paraId="44F4B724" w14:textId="7CFB2947" w:rsidR="005946B7" w:rsidRPr="00295B5F" w:rsidRDefault="005946B7" w:rsidP="00380EA3">
      <w:pPr>
        <w:pStyle w:val="ChartandTablelabel"/>
        <w:keepNext/>
        <w:keepLines/>
        <w:rPr>
          <w:rFonts w:asciiTheme="minorHAnsi" w:hAnsiTheme="minorHAnsi"/>
          <w:lang w:val="en-AU"/>
        </w:rPr>
      </w:pPr>
      <w:r w:rsidRPr="00295B5F">
        <w:rPr>
          <w:rFonts w:asciiTheme="minorHAnsi" w:hAnsiTheme="minorHAnsi"/>
          <w:lang w:val="en-AU"/>
        </w:rPr>
        <w:t xml:space="preserve">Figure </w:t>
      </w:r>
      <w:r w:rsidR="00A41907" w:rsidRPr="00295B5F">
        <w:rPr>
          <w:rFonts w:asciiTheme="minorHAnsi" w:hAnsiTheme="minorHAnsi"/>
          <w:lang w:val="en-AU"/>
        </w:rPr>
        <w:t>6</w:t>
      </w:r>
      <w:r w:rsidRPr="00295B5F">
        <w:rPr>
          <w:rFonts w:asciiTheme="minorHAnsi" w:hAnsiTheme="minorHAnsi"/>
          <w:lang w:val="en-AU"/>
        </w:rPr>
        <w:t xml:space="preserve">: </w:t>
      </w:r>
      <w:r w:rsidR="003B08D1" w:rsidRPr="00295B5F">
        <w:rPr>
          <w:rFonts w:asciiTheme="minorHAnsi" w:hAnsiTheme="minorHAnsi"/>
          <w:lang w:val="en-AU"/>
        </w:rPr>
        <w:t xml:space="preserve">IVI </w:t>
      </w:r>
      <w:r w:rsidRPr="00295B5F">
        <w:rPr>
          <w:rFonts w:asciiTheme="minorHAnsi" w:hAnsiTheme="minorHAnsi"/>
          <w:lang w:val="en-AU"/>
        </w:rPr>
        <w:t xml:space="preserve">vacancy rate and unemployment rate, </w:t>
      </w:r>
      <w:r w:rsidR="00B5389A" w:rsidRPr="00295B5F">
        <w:rPr>
          <w:rFonts w:asciiTheme="minorHAnsi" w:hAnsiTheme="minorHAnsi"/>
          <w:lang w:val="en-AU"/>
        </w:rPr>
        <w:t>March</w:t>
      </w:r>
      <w:r w:rsidRPr="00295B5F">
        <w:rPr>
          <w:rFonts w:asciiTheme="minorHAnsi" w:hAnsiTheme="minorHAnsi"/>
          <w:lang w:val="en-AU"/>
        </w:rPr>
        <w:t xml:space="preserve"> 2006 to </w:t>
      </w:r>
      <w:r w:rsidR="00B5389A" w:rsidRPr="00295B5F">
        <w:rPr>
          <w:rFonts w:asciiTheme="minorHAnsi" w:hAnsiTheme="minorHAnsi"/>
          <w:lang w:val="en-AU"/>
        </w:rPr>
        <w:t>March</w:t>
      </w:r>
      <w:r w:rsidRPr="00295B5F">
        <w:rPr>
          <w:rFonts w:asciiTheme="minorHAnsi" w:hAnsiTheme="minorHAnsi"/>
          <w:lang w:val="en-AU"/>
        </w:rPr>
        <w:t xml:space="preserve"> 2023</w:t>
      </w:r>
    </w:p>
    <w:p w14:paraId="222C0360" w14:textId="186CF31D" w:rsidR="00380EA3" w:rsidRPr="00295B5F" w:rsidRDefault="00B5389A" w:rsidP="00295B5F">
      <w:pPr>
        <w:keepNext/>
        <w:keepLines/>
        <w:spacing w:after="0"/>
      </w:pPr>
      <w:r w:rsidRPr="00295B5F">
        <w:rPr>
          <w:noProof/>
        </w:rPr>
        <w:drawing>
          <wp:inline distT="0" distB="0" distL="0" distR="0" wp14:anchorId="26B74F0B" wp14:editId="37768AF2">
            <wp:extent cx="5731200" cy="2944800"/>
            <wp:effectExtent l="0" t="0" r="3175" b="8255"/>
            <wp:docPr id="1625610875" name="Chart 1" descr="Figure 6 is a  line graph presenting the national unemployment rate and the Internet Vacancy Index vacancy rate from March 2006 to March 2024. Overall this figure shows large changes in the vacancy rate precede observable changes in the unemployment rate, typically by between one to three months. The vacancy rate initially increased to a series peak of 2.9% in January 2008 before the Global Financial Crisis (GFC) that resulted in a rapid decline to 1.5% in March 2009. The vacancy rate then increased to 1.9% in April 2011 before falling to 1.2% over the subsequent two years. The period until the COVID-19 shock showed stability in the vacancy rate before the rapid decline to the series low of 0.5% in April 2020. Since this low, the vacancy rate increased sharply to 2.2% by May 2022 before stabilising to a weak declining tend, reaching 1.7% in March 2024.  The unemployment rate line follows trends similar to that described for the vacancy rate though inversed. The sharp increases in unemployment evident during the GFC and the COVID-19 downturn bookend approximately a decade of unemployment around 5% to 6%. ">
              <a:extLst xmlns:a="http://schemas.openxmlformats.org/drawingml/2006/main">
                <a:ext uri="{FF2B5EF4-FFF2-40B4-BE49-F238E27FC236}">
                  <a16:creationId xmlns:a16="http://schemas.microsoft.com/office/drawing/2014/main" id="{3DC84BB0-F862-A733-4908-F67CA8134E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4A20147" w14:textId="5A50D094" w:rsidR="005946B7" w:rsidRPr="00B93C08" w:rsidRDefault="005946B7" w:rsidP="00295B5F">
      <w:pPr>
        <w:pStyle w:val="Source"/>
        <w:keepNext/>
        <w:keepLines/>
        <w:spacing w:before="0"/>
      </w:pPr>
      <w:r w:rsidRPr="00295B5F">
        <w:t>Source: ABS, Labour Force</w:t>
      </w:r>
      <w:r w:rsidR="0042089A" w:rsidRPr="00295B5F">
        <w:t>,</w:t>
      </w:r>
      <w:r w:rsidRPr="00295B5F">
        <w:t xml:space="preserve"> Australia, </w:t>
      </w:r>
      <w:r w:rsidR="00B5389A" w:rsidRPr="00295B5F">
        <w:t>March</w:t>
      </w:r>
      <w:r w:rsidRPr="00295B5F">
        <w:t xml:space="preserve"> 202</w:t>
      </w:r>
      <w:r w:rsidR="00B5389A" w:rsidRPr="00295B5F">
        <w:t>4</w:t>
      </w:r>
      <w:r w:rsidRPr="00295B5F">
        <w:t xml:space="preserve">, seasonally adjusted data; </w:t>
      </w:r>
      <w:r w:rsidR="00E26FD9" w:rsidRPr="00295B5F">
        <w:t>JSA</w:t>
      </w:r>
      <w:r w:rsidRPr="00295B5F">
        <w:t xml:space="preserve">, Internet Vacancy Index, </w:t>
      </w:r>
      <w:r w:rsidR="00877AC3" w:rsidRPr="00295B5F">
        <w:t>March</w:t>
      </w:r>
      <w:r w:rsidRPr="00295B5F">
        <w:t xml:space="preserve"> 202</w:t>
      </w:r>
      <w:r w:rsidR="00877AC3" w:rsidRPr="00295B5F">
        <w:t>4</w:t>
      </w:r>
      <w:r w:rsidRPr="00295B5F">
        <w:t>, seasonally adjusted data.</w:t>
      </w:r>
    </w:p>
    <w:p w14:paraId="54C94336" w14:textId="403B3244" w:rsidR="008C659D" w:rsidRPr="00B93C08" w:rsidRDefault="00DB0028" w:rsidP="00D70A20">
      <w:pPr>
        <w:pStyle w:val="Heading2"/>
      </w:pPr>
      <w:bookmarkStart w:id="23" w:name="_Toc166140500"/>
      <w:r w:rsidRPr="00B93C08">
        <w:t>Ease of filling jobs nationally</w:t>
      </w:r>
      <w:bookmarkEnd w:id="23"/>
    </w:p>
    <w:p w14:paraId="0A0CC1F3" w14:textId="5E08391D" w:rsidR="00E10CBD" w:rsidRPr="00295B5F" w:rsidRDefault="00394B95" w:rsidP="00E10CBD">
      <w:pPr>
        <w:rPr>
          <w:rFonts w:cs="Arial"/>
        </w:rPr>
      </w:pPr>
      <w:r w:rsidRPr="00295B5F">
        <w:rPr>
          <w:rFonts w:cs="Arial"/>
        </w:rPr>
        <w:t xml:space="preserve">Jobs and Skills Australia’s </w:t>
      </w:r>
      <w:r w:rsidRPr="00295B5F">
        <w:rPr>
          <w:rFonts w:cs="Arial"/>
          <w:i/>
          <w:iCs/>
        </w:rPr>
        <w:t>Survey of Employers who have Recently Advertised (SERA)</w:t>
      </w:r>
      <w:r w:rsidRPr="00295B5F">
        <w:rPr>
          <w:rFonts w:cs="Arial"/>
        </w:rPr>
        <w:t xml:space="preserve"> shows that the </w:t>
      </w:r>
      <w:r w:rsidRPr="00295B5F">
        <w:rPr>
          <w:rFonts w:cs="Arial"/>
          <w:b/>
          <w:bCs/>
        </w:rPr>
        <w:t>fill rates</w:t>
      </w:r>
      <w:r w:rsidRPr="00295B5F">
        <w:rPr>
          <w:rFonts w:cs="Arial"/>
        </w:rPr>
        <w:t xml:space="preserve"> of advertised vacancies are rising but remain low. The vacancy fill rate increased slightly, by 0.9 percentage points, to 64.3% over the March 2024 quarter. Moreover, based </w:t>
      </w:r>
      <w:r w:rsidRPr="00295B5F">
        <w:rPr>
          <w:rFonts w:cs="Arial"/>
        </w:rPr>
        <w:lastRenderedPageBreak/>
        <w:t>on a per vacancy basis, the average number of applicants, qualified applicants and suitable applicants all increased in the 2024 March quarter (Table 2).</w:t>
      </w:r>
      <w:r w:rsidR="00E10CBD" w:rsidRPr="00295B5F">
        <w:rPr>
          <w:rStyle w:val="FootnoteReference"/>
          <w:rFonts w:cs="Arial"/>
        </w:rPr>
        <w:footnoteReference w:id="2"/>
      </w:r>
    </w:p>
    <w:p w14:paraId="26792ADF" w14:textId="2BF05199" w:rsidR="00E10CBD" w:rsidRPr="00B93C08" w:rsidRDefault="00E10CBD" w:rsidP="00811F14">
      <w:pPr>
        <w:pStyle w:val="ChartandTablelabel"/>
        <w:rPr>
          <w:lang w:val="en-AU"/>
        </w:rPr>
      </w:pPr>
      <w:r w:rsidRPr="00295B5F">
        <w:rPr>
          <w:lang w:val="en-AU"/>
        </w:rPr>
        <w:t xml:space="preserve">Table </w:t>
      </w:r>
      <w:r w:rsidR="00811F14" w:rsidRPr="00295B5F">
        <w:rPr>
          <w:lang w:val="en-AU"/>
        </w:rPr>
        <w:t>2</w:t>
      </w:r>
      <w:r w:rsidRPr="00295B5F">
        <w:rPr>
          <w:lang w:val="en-AU"/>
        </w:rPr>
        <w:t xml:space="preserve">: National </w:t>
      </w:r>
      <w:r w:rsidR="00811F14" w:rsidRPr="00295B5F">
        <w:rPr>
          <w:lang w:val="en-AU"/>
        </w:rPr>
        <w:t>s</w:t>
      </w:r>
      <w:r w:rsidRPr="00295B5F">
        <w:rPr>
          <w:lang w:val="en-AU"/>
        </w:rPr>
        <w:t>napshot</w:t>
      </w:r>
      <w:r w:rsidR="00811F14" w:rsidRPr="00295B5F">
        <w:rPr>
          <w:lang w:val="en-AU"/>
        </w:rPr>
        <w:t xml:space="preserve"> of recruitment experiences</w:t>
      </w:r>
    </w:p>
    <w:tbl>
      <w:tblPr>
        <w:tblStyle w:val="JSATable1"/>
        <w:tblW w:w="9072" w:type="dxa"/>
        <w:tblLayout w:type="fixed"/>
        <w:tblLook w:val="0020" w:firstRow="1" w:lastRow="0" w:firstColumn="0" w:lastColumn="0" w:noHBand="0" w:noVBand="0"/>
      </w:tblPr>
      <w:tblGrid>
        <w:gridCol w:w="1814"/>
        <w:gridCol w:w="1814"/>
        <w:gridCol w:w="1815"/>
        <w:gridCol w:w="1814"/>
        <w:gridCol w:w="1815"/>
      </w:tblGrid>
      <w:tr w:rsidR="00E10CBD" w:rsidRPr="00B93C08" w14:paraId="0B885A9E" w14:textId="77777777" w:rsidTr="00D81E7B">
        <w:trPr>
          <w:cnfStyle w:val="100000000000" w:firstRow="1" w:lastRow="0" w:firstColumn="0" w:lastColumn="0" w:oddVBand="0" w:evenVBand="0" w:oddHBand="0" w:evenHBand="0" w:firstRowFirstColumn="0" w:firstRowLastColumn="0" w:lastRowFirstColumn="0" w:lastRowLastColumn="0"/>
          <w:trHeight w:val="867"/>
        </w:trPr>
        <w:tc>
          <w:tcPr>
            <w:tcW w:w="1814" w:type="dxa"/>
            <w:shd w:val="clear" w:color="auto" w:fill="012749"/>
          </w:tcPr>
          <w:p w14:paraId="116E6B35" w14:textId="77777777" w:rsidR="00E10CBD" w:rsidRPr="008266DA" w:rsidRDefault="00E10CBD">
            <w:pPr>
              <w:rPr>
                <w:rFonts w:cs="Arial"/>
                <w:sz w:val="19"/>
                <w:szCs w:val="19"/>
              </w:rPr>
            </w:pPr>
          </w:p>
        </w:tc>
        <w:tc>
          <w:tcPr>
            <w:tcW w:w="1814" w:type="dxa"/>
            <w:shd w:val="clear" w:color="auto" w:fill="012749"/>
            <w:vAlign w:val="center"/>
          </w:tcPr>
          <w:p w14:paraId="54137A96" w14:textId="77777777" w:rsidR="00E10CBD" w:rsidRPr="008266DA" w:rsidRDefault="00E10CBD" w:rsidP="00653D94">
            <w:pPr>
              <w:jc w:val="center"/>
              <w:rPr>
                <w:rFonts w:cs="Arial"/>
                <w:sz w:val="19"/>
                <w:szCs w:val="19"/>
              </w:rPr>
            </w:pPr>
            <w:r w:rsidRPr="008266DA">
              <w:rPr>
                <w:rFonts w:cs="Arial"/>
                <w:sz w:val="19"/>
                <w:szCs w:val="19"/>
              </w:rPr>
              <w:t>Fill rate (%)</w:t>
            </w:r>
          </w:p>
        </w:tc>
        <w:tc>
          <w:tcPr>
            <w:tcW w:w="1815" w:type="dxa"/>
            <w:shd w:val="clear" w:color="auto" w:fill="012749"/>
            <w:vAlign w:val="center"/>
          </w:tcPr>
          <w:p w14:paraId="0A52BE63" w14:textId="77777777" w:rsidR="00E10CBD" w:rsidRPr="008266DA" w:rsidRDefault="00E10CBD" w:rsidP="00653D94">
            <w:pPr>
              <w:jc w:val="center"/>
              <w:rPr>
                <w:rFonts w:cs="Arial"/>
                <w:sz w:val="19"/>
                <w:szCs w:val="19"/>
              </w:rPr>
            </w:pPr>
            <w:r w:rsidRPr="008266DA">
              <w:rPr>
                <w:rFonts w:cs="Arial"/>
                <w:sz w:val="19"/>
                <w:szCs w:val="19"/>
              </w:rPr>
              <w:t>Applicants per vacancy (no.)</w:t>
            </w:r>
          </w:p>
        </w:tc>
        <w:tc>
          <w:tcPr>
            <w:tcW w:w="1814" w:type="dxa"/>
            <w:shd w:val="clear" w:color="auto" w:fill="012749"/>
            <w:vAlign w:val="center"/>
          </w:tcPr>
          <w:p w14:paraId="235E930A" w14:textId="77777777" w:rsidR="00E10CBD" w:rsidRPr="008266DA" w:rsidRDefault="00E10CBD" w:rsidP="00653D94">
            <w:pPr>
              <w:jc w:val="center"/>
              <w:rPr>
                <w:rFonts w:cs="Arial"/>
                <w:sz w:val="19"/>
                <w:szCs w:val="19"/>
              </w:rPr>
            </w:pPr>
            <w:r w:rsidRPr="008266DA">
              <w:rPr>
                <w:rFonts w:cs="Arial"/>
                <w:sz w:val="19"/>
                <w:szCs w:val="19"/>
              </w:rPr>
              <w:t>Qualified applicants per vacancy (no.)</w:t>
            </w:r>
          </w:p>
        </w:tc>
        <w:tc>
          <w:tcPr>
            <w:tcW w:w="1815" w:type="dxa"/>
            <w:shd w:val="clear" w:color="auto" w:fill="012749"/>
            <w:vAlign w:val="center"/>
          </w:tcPr>
          <w:p w14:paraId="7E3BAD83" w14:textId="77777777" w:rsidR="00E10CBD" w:rsidRPr="008266DA" w:rsidRDefault="00E10CBD" w:rsidP="00653D94">
            <w:pPr>
              <w:jc w:val="center"/>
              <w:rPr>
                <w:rFonts w:cs="Arial"/>
                <w:sz w:val="19"/>
                <w:szCs w:val="19"/>
              </w:rPr>
            </w:pPr>
            <w:r w:rsidRPr="008266DA">
              <w:rPr>
                <w:rFonts w:cs="Arial"/>
                <w:sz w:val="19"/>
                <w:szCs w:val="19"/>
              </w:rPr>
              <w:t>Suitable applicants per vacancy (no.)</w:t>
            </w:r>
          </w:p>
        </w:tc>
      </w:tr>
      <w:tr w:rsidR="00287FFA" w:rsidRPr="00B93C08" w14:paraId="375CC067" w14:textId="77777777" w:rsidTr="00120AF5">
        <w:trPr>
          <w:trHeight w:val="893"/>
        </w:trPr>
        <w:tc>
          <w:tcPr>
            <w:tcW w:w="1814" w:type="dxa"/>
            <w:tcBorders>
              <w:bottom w:val="nil"/>
            </w:tcBorders>
            <w:vAlign w:val="center"/>
          </w:tcPr>
          <w:p w14:paraId="0909228A" w14:textId="5F14B4F4" w:rsidR="00287FFA" w:rsidRPr="00295B5F" w:rsidRDefault="00287FFA" w:rsidP="00287FFA">
            <w:pPr>
              <w:rPr>
                <w:rFonts w:cs="Arial"/>
                <w:b/>
                <w:sz w:val="19"/>
                <w:szCs w:val="19"/>
              </w:rPr>
            </w:pPr>
            <w:r w:rsidRPr="00295B5F">
              <w:rPr>
                <w:rFonts w:cs="Arial"/>
                <w:b/>
                <w:sz w:val="19"/>
                <w:szCs w:val="19"/>
              </w:rPr>
              <w:t>March 2024 quarter</w:t>
            </w:r>
          </w:p>
        </w:tc>
        <w:tc>
          <w:tcPr>
            <w:tcW w:w="1814" w:type="dxa"/>
            <w:tcBorders>
              <w:bottom w:val="nil"/>
            </w:tcBorders>
            <w:vAlign w:val="center"/>
          </w:tcPr>
          <w:p w14:paraId="3E7EB205" w14:textId="1166A5A9" w:rsidR="00287FFA" w:rsidRPr="00295B5F" w:rsidRDefault="00287FFA" w:rsidP="00287FFA">
            <w:pPr>
              <w:jc w:val="center"/>
              <w:rPr>
                <w:rFonts w:cs="Arial"/>
                <w:sz w:val="19"/>
                <w:szCs w:val="19"/>
              </w:rPr>
            </w:pPr>
            <w:r w:rsidRPr="00295B5F">
              <w:rPr>
                <w:rFonts w:cs="Arial"/>
                <w:b/>
                <w:sz w:val="19"/>
                <w:szCs w:val="19"/>
              </w:rPr>
              <w:t>64.3</w:t>
            </w:r>
          </w:p>
        </w:tc>
        <w:tc>
          <w:tcPr>
            <w:tcW w:w="1815" w:type="dxa"/>
            <w:tcBorders>
              <w:bottom w:val="nil"/>
            </w:tcBorders>
            <w:vAlign w:val="center"/>
          </w:tcPr>
          <w:p w14:paraId="1D8031E6" w14:textId="27FD86B0" w:rsidR="00287FFA" w:rsidRPr="00295B5F" w:rsidRDefault="00287FFA" w:rsidP="00287FFA">
            <w:pPr>
              <w:jc w:val="center"/>
              <w:rPr>
                <w:rFonts w:cs="Arial"/>
                <w:sz w:val="19"/>
                <w:szCs w:val="19"/>
              </w:rPr>
            </w:pPr>
            <w:r w:rsidRPr="00295B5F">
              <w:rPr>
                <w:rFonts w:cs="Arial"/>
                <w:b/>
                <w:sz w:val="19"/>
                <w:szCs w:val="19"/>
              </w:rPr>
              <w:t>20.6</w:t>
            </w:r>
          </w:p>
        </w:tc>
        <w:tc>
          <w:tcPr>
            <w:tcW w:w="1814" w:type="dxa"/>
            <w:tcBorders>
              <w:bottom w:val="nil"/>
            </w:tcBorders>
            <w:vAlign w:val="center"/>
          </w:tcPr>
          <w:p w14:paraId="5A07145A" w14:textId="53B1F36F" w:rsidR="00287FFA" w:rsidRPr="00295B5F" w:rsidRDefault="00287FFA" w:rsidP="00287FFA">
            <w:pPr>
              <w:jc w:val="center"/>
              <w:rPr>
                <w:rFonts w:cs="Arial"/>
                <w:sz w:val="19"/>
                <w:szCs w:val="19"/>
              </w:rPr>
            </w:pPr>
            <w:r w:rsidRPr="00295B5F">
              <w:rPr>
                <w:rFonts w:cs="Arial"/>
                <w:b/>
                <w:sz w:val="19"/>
                <w:szCs w:val="19"/>
              </w:rPr>
              <w:t>6.8</w:t>
            </w:r>
          </w:p>
        </w:tc>
        <w:tc>
          <w:tcPr>
            <w:tcW w:w="1815" w:type="dxa"/>
            <w:tcBorders>
              <w:bottom w:val="nil"/>
            </w:tcBorders>
            <w:vAlign w:val="center"/>
          </w:tcPr>
          <w:p w14:paraId="5CA4ABB1" w14:textId="3AEDE14F" w:rsidR="00287FFA" w:rsidRPr="00295B5F" w:rsidRDefault="00287FFA" w:rsidP="00287FFA">
            <w:pPr>
              <w:jc w:val="center"/>
              <w:rPr>
                <w:rFonts w:cs="Arial"/>
                <w:sz w:val="19"/>
                <w:szCs w:val="19"/>
              </w:rPr>
            </w:pPr>
            <w:r w:rsidRPr="00295B5F">
              <w:rPr>
                <w:rFonts w:cs="Arial"/>
                <w:b/>
                <w:sz w:val="19"/>
                <w:szCs w:val="19"/>
              </w:rPr>
              <w:t>2.8</w:t>
            </w:r>
          </w:p>
        </w:tc>
      </w:tr>
      <w:tr w:rsidR="00287FFA" w:rsidRPr="00B93C08" w14:paraId="45800A70" w14:textId="77777777" w:rsidTr="00120AF5">
        <w:trPr>
          <w:cnfStyle w:val="000000010000" w:firstRow="0" w:lastRow="0" w:firstColumn="0" w:lastColumn="0" w:oddVBand="0" w:evenVBand="0" w:oddHBand="0" w:evenHBand="1" w:firstRowFirstColumn="0" w:firstRowLastColumn="0" w:lastRowFirstColumn="0" w:lastRowLastColumn="0"/>
          <w:trHeight w:val="1004"/>
        </w:trPr>
        <w:tc>
          <w:tcPr>
            <w:tcW w:w="1814" w:type="dxa"/>
            <w:tcBorders>
              <w:bottom w:val="single" w:sz="4" w:space="0" w:color="auto"/>
            </w:tcBorders>
            <w:vAlign w:val="center"/>
          </w:tcPr>
          <w:p w14:paraId="7C4E06B5" w14:textId="5D5EB85C" w:rsidR="00287FFA" w:rsidRPr="00295B5F" w:rsidRDefault="00287FFA" w:rsidP="00287FFA">
            <w:pPr>
              <w:rPr>
                <w:rFonts w:cs="Arial"/>
                <w:sz w:val="19"/>
                <w:szCs w:val="19"/>
              </w:rPr>
            </w:pPr>
            <w:r w:rsidRPr="00295B5F">
              <w:rPr>
                <w:rFonts w:cs="Arial"/>
                <w:sz w:val="19"/>
                <w:szCs w:val="19"/>
              </w:rPr>
              <w:t>Change since December 2023 quarter</w:t>
            </w:r>
          </w:p>
        </w:tc>
        <w:tc>
          <w:tcPr>
            <w:tcW w:w="1814" w:type="dxa"/>
            <w:tcBorders>
              <w:bottom w:val="single" w:sz="4" w:space="0" w:color="auto"/>
            </w:tcBorders>
            <w:vAlign w:val="center"/>
          </w:tcPr>
          <w:p w14:paraId="58643F0B" w14:textId="6E51BDD1" w:rsidR="00287FFA" w:rsidRPr="00295B5F" w:rsidRDefault="00287FFA" w:rsidP="00287FFA">
            <w:pPr>
              <w:jc w:val="center"/>
              <w:rPr>
                <w:rFonts w:cs="Arial"/>
                <w:sz w:val="19"/>
                <w:szCs w:val="19"/>
              </w:rPr>
            </w:pPr>
            <w:r w:rsidRPr="00295B5F">
              <w:rPr>
                <w:rFonts w:cs="Arial"/>
                <w:sz w:val="19"/>
                <w:szCs w:val="19"/>
              </w:rPr>
              <w:t>↑ 0.9 pts</w:t>
            </w:r>
          </w:p>
        </w:tc>
        <w:tc>
          <w:tcPr>
            <w:tcW w:w="1815" w:type="dxa"/>
            <w:tcBorders>
              <w:bottom w:val="single" w:sz="4" w:space="0" w:color="auto"/>
            </w:tcBorders>
            <w:vAlign w:val="center"/>
          </w:tcPr>
          <w:p w14:paraId="18D37B6A" w14:textId="083BF0AB" w:rsidR="00287FFA" w:rsidRPr="00295B5F" w:rsidRDefault="00287FFA" w:rsidP="00287FFA">
            <w:pPr>
              <w:jc w:val="center"/>
              <w:rPr>
                <w:rFonts w:cs="Arial"/>
                <w:sz w:val="19"/>
                <w:szCs w:val="19"/>
              </w:rPr>
            </w:pPr>
            <w:r w:rsidRPr="00295B5F">
              <w:rPr>
                <w:rFonts w:cs="Arial"/>
                <w:sz w:val="19"/>
                <w:szCs w:val="19"/>
              </w:rPr>
              <w:t>↑ 2.3</w:t>
            </w:r>
          </w:p>
        </w:tc>
        <w:tc>
          <w:tcPr>
            <w:tcW w:w="1814" w:type="dxa"/>
            <w:tcBorders>
              <w:bottom w:val="single" w:sz="4" w:space="0" w:color="auto"/>
            </w:tcBorders>
            <w:vAlign w:val="center"/>
          </w:tcPr>
          <w:p w14:paraId="04325300" w14:textId="72395860" w:rsidR="00287FFA" w:rsidRPr="00295B5F" w:rsidRDefault="00287FFA" w:rsidP="00287FFA">
            <w:pPr>
              <w:jc w:val="center"/>
              <w:rPr>
                <w:rFonts w:cs="Arial"/>
                <w:sz w:val="19"/>
                <w:szCs w:val="19"/>
              </w:rPr>
            </w:pPr>
            <w:r w:rsidRPr="00295B5F">
              <w:rPr>
                <w:rFonts w:cs="Arial"/>
                <w:sz w:val="19"/>
                <w:szCs w:val="19"/>
              </w:rPr>
              <w:t>↑ 0.6</w:t>
            </w:r>
          </w:p>
        </w:tc>
        <w:tc>
          <w:tcPr>
            <w:tcW w:w="1815" w:type="dxa"/>
            <w:tcBorders>
              <w:bottom w:val="single" w:sz="4" w:space="0" w:color="auto"/>
            </w:tcBorders>
            <w:vAlign w:val="center"/>
          </w:tcPr>
          <w:p w14:paraId="19A6D10A" w14:textId="32B59460" w:rsidR="00287FFA" w:rsidRPr="00295B5F" w:rsidRDefault="00287FFA" w:rsidP="00287FFA">
            <w:pPr>
              <w:jc w:val="center"/>
              <w:rPr>
                <w:rFonts w:cs="Arial"/>
                <w:sz w:val="19"/>
                <w:szCs w:val="19"/>
              </w:rPr>
            </w:pPr>
            <w:r w:rsidRPr="00295B5F">
              <w:rPr>
                <w:rFonts w:cs="Arial"/>
                <w:sz w:val="19"/>
                <w:szCs w:val="19"/>
              </w:rPr>
              <w:t>↑ 0.2</w:t>
            </w:r>
          </w:p>
        </w:tc>
      </w:tr>
    </w:tbl>
    <w:p w14:paraId="5C1D566F" w14:textId="462E8DC2" w:rsidR="00E10CBD" w:rsidRPr="00B93C08" w:rsidRDefault="00E10CBD" w:rsidP="00295B5F">
      <w:pPr>
        <w:pStyle w:val="Source"/>
        <w:spacing w:before="0"/>
      </w:pPr>
      <w:r w:rsidRPr="00295B5F">
        <w:t xml:space="preserve">Source: </w:t>
      </w:r>
      <w:r w:rsidR="00E26FD9" w:rsidRPr="00295B5F">
        <w:t>JSA</w:t>
      </w:r>
      <w:r w:rsidRPr="00295B5F">
        <w:t>, Survey of Employers who have Recently Advertised</w:t>
      </w:r>
      <w:r w:rsidR="00D81D31" w:rsidRPr="00295B5F">
        <w:t>,</w:t>
      </w:r>
      <w:r w:rsidRPr="00295B5F">
        <w:t xml:space="preserve"> 202</w:t>
      </w:r>
      <w:r w:rsidR="00D84969" w:rsidRPr="00295B5F">
        <w:t>4</w:t>
      </w:r>
      <w:r w:rsidR="00D03139" w:rsidRPr="00295B5F">
        <w:t>, 12-month averages.</w:t>
      </w:r>
    </w:p>
    <w:p w14:paraId="63CCEAB2" w14:textId="646AB6FC" w:rsidR="00E10CBD" w:rsidRPr="00B93C08" w:rsidRDefault="005660CE" w:rsidP="00E10CBD">
      <w:pPr>
        <w:rPr>
          <w:rFonts w:cs="Arial"/>
        </w:rPr>
      </w:pPr>
      <w:bookmarkStart w:id="24" w:name="_Hlk150886469"/>
      <w:r w:rsidRPr="00295B5F">
        <w:rPr>
          <w:rFonts w:cs="Arial"/>
        </w:rPr>
        <w:t xml:space="preserve">The easing of labour market conditions at the national level, however, is yet to fully materialise to higher fill rates. This may suggest that difficulty in filling vacancies continues. </w:t>
      </w:r>
      <w:bookmarkEnd w:id="24"/>
      <w:r w:rsidRPr="00295B5F">
        <w:rPr>
          <w:rFonts w:cs="Arial"/>
        </w:rPr>
        <w:t>Despite recent falls in the number of internet vacancies and recruitment difficulty, employers are still experiencing challenges of finding suitable skilled workers to fill vacant positions</w:t>
      </w:r>
      <w:r w:rsidR="00557111" w:rsidRPr="00295B5F">
        <w:rPr>
          <w:rFonts w:cs="Arial"/>
        </w:rPr>
        <w:t xml:space="preserve"> (Figure </w:t>
      </w:r>
      <w:r w:rsidR="009F5004" w:rsidRPr="00295B5F">
        <w:rPr>
          <w:rFonts w:cs="Arial"/>
        </w:rPr>
        <w:t>7</w:t>
      </w:r>
      <w:r w:rsidR="00557111" w:rsidRPr="00295B5F">
        <w:rPr>
          <w:rFonts w:cs="Arial"/>
        </w:rPr>
        <w:t>)</w:t>
      </w:r>
      <w:r w:rsidR="00E10CBD" w:rsidRPr="00295B5F">
        <w:rPr>
          <w:rFonts w:cs="Arial"/>
        </w:rPr>
        <w:t>.</w:t>
      </w:r>
    </w:p>
    <w:p w14:paraId="4754A32D" w14:textId="0E1A3CDD" w:rsidR="00E10CBD" w:rsidRPr="00B93C08" w:rsidRDefault="00E10CBD" w:rsidP="00D84969">
      <w:pPr>
        <w:pStyle w:val="ChartandTablelabel"/>
        <w:keepNext/>
        <w:keepLines/>
        <w:spacing w:before="240"/>
        <w:rPr>
          <w:lang w:val="en-AU"/>
        </w:rPr>
      </w:pPr>
      <w:r w:rsidRPr="00B93C08">
        <w:rPr>
          <w:lang w:val="en-AU"/>
        </w:rPr>
        <w:lastRenderedPageBreak/>
        <w:t xml:space="preserve">Figure </w:t>
      </w:r>
      <w:r w:rsidR="000F70BC" w:rsidRPr="00B93C08">
        <w:rPr>
          <w:lang w:val="en-AU"/>
        </w:rPr>
        <w:t>7</w:t>
      </w:r>
      <w:r w:rsidRPr="00B93C08">
        <w:rPr>
          <w:lang w:val="en-AU"/>
        </w:rPr>
        <w:t>: Fill rate, recruitment difficulty rate and internet vacancies</w:t>
      </w:r>
      <w:r w:rsidR="001C5DC2" w:rsidRPr="00B93C08">
        <w:rPr>
          <w:lang w:val="en-AU"/>
        </w:rPr>
        <w:t>, December 2021 to December 2023</w:t>
      </w:r>
    </w:p>
    <w:p w14:paraId="1504E080" w14:textId="621F737E" w:rsidR="00E10CBD" w:rsidRPr="00B93C08" w:rsidRDefault="0032250A" w:rsidP="00295B5F">
      <w:pPr>
        <w:keepNext/>
        <w:keepLines/>
        <w:spacing w:after="0"/>
        <w:rPr>
          <w:rFonts w:cs="Arial"/>
        </w:rPr>
      </w:pPr>
      <w:r w:rsidRPr="00B93C08">
        <w:rPr>
          <w:noProof/>
        </w:rPr>
        <w:drawing>
          <wp:inline distT="0" distB="0" distL="0" distR="0" wp14:anchorId="6B9E92A5" wp14:editId="6B3C342B">
            <wp:extent cx="5731510" cy="3089233"/>
            <wp:effectExtent l="0" t="0" r="2540" b="0"/>
            <wp:docPr id="127596702" name="Chart 1" descr="Figure 7 is a time series line chart, with 3 lines representing recruitment difficulty, and the fill rate, both as percentages, and internet advertisements as measured by Internet Vacancy Index between March 2022 and March 2024. The fill rate has been broadly stable over this period, while recruitment difficulty and job advertisements have both declined since early to mid-2023.">
              <a:extLst xmlns:a="http://schemas.openxmlformats.org/drawingml/2006/main">
                <a:ext uri="{FF2B5EF4-FFF2-40B4-BE49-F238E27FC236}">
                  <a16:creationId xmlns:a16="http://schemas.microsoft.com/office/drawing/2014/main" id="{147242B2-0262-424C-A42D-44ED3314B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725383B" w14:textId="64498080" w:rsidR="00E10CBD" w:rsidRPr="00B93C08" w:rsidRDefault="00E10CBD" w:rsidP="00295B5F">
      <w:pPr>
        <w:pStyle w:val="Source"/>
        <w:keepNext/>
        <w:keepLines/>
        <w:spacing w:before="0"/>
      </w:pPr>
      <w:r w:rsidRPr="00295B5F">
        <w:t xml:space="preserve">Source: </w:t>
      </w:r>
      <w:r w:rsidR="00E26FD9" w:rsidRPr="00295B5F">
        <w:t>JSA</w:t>
      </w:r>
      <w:r w:rsidRPr="00295B5F">
        <w:t xml:space="preserve">, Survey of Employers who have Recently Advertised; </w:t>
      </w:r>
      <w:r w:rsidR="00E26FD9" w:rsidRPr="00295B5F">
        <w:t>JSA</w:t>
      </w:r>
      <w:r w:rsidRPr="00295B5F">
        <w:t xml:space="preserve">, Recruitment Experiences and Outlook Survey; </w:t>
      </w:r>
      <w:r w:rsidR="00E26FD9" w:rsidRPr="00295B5F">
        <w:t>JSA</w:t>
      </w:r>
      <w:r w:rsidRPr="00295B5F">
        <w:t>, Internet Vacancy Index.</w:t>
      </w:r>
      <w:r w:rsidRPr="00B93C08">
        <w:t xml:space="preserve"> </w:t>
      </w:r>
    </w:p>
    <w:p w14:paraId="12F66C3E" w14:textId="1F4076BA" w:rsidR="006E62D4" w:rsidRPr="00B93C08" w:rsidRDefault="0032250A" w:rsidP="007D1224">
      <w:pPr>
        <w:rPr>
          <w:rStyle w:val="IntenseEmphasis"/>
          <w:rFonts w:cs="Arial"/>
          <w:i w:val="0"/>
          <w:iCs w:val="0"/>
          <w:color w:val="auto"/>
        </w:rPr>
      </w:pPr>
      <w:r w:rsidRPr="00295B5F">
        <w:rPr>
          <w:rFonts w:cs="Arial"/>
        </w:rPr>
        <w:t xml:space="preserve">While the average number of applicants per vacancy has generally been increasing over the last year (from 14.7 in the March quarter 2023 to 20.6 in the March quarter 2024), there has only been a marginal increase in the average number of suitable applicants per vacancy over the same period (from 2.4 to 2.8), suggesting shortage pressure persist in the labour market </w:t>
      </w:r>
      <w:r w:rsidR="00E10CBD" w:rsidRPr="00295B5F">
        <w:rPr>
          <w:rFonts w:cs="Arial"/>
        </w:rPr>
        <w:t xml:space="preserve">(Figure </w:t>
      </w:r>
      <w:r w:rsidR="000F70BC" w:rsidRPr="00295B5F">
        <w:rPr>
          <w:rFonts w:cs="Arial"/>
        </w:rPr>
        <w:t>8</w:t>
      </w:r>
      <w:r w:rsidR="00E10CBD" w:rsidRPr="00295B5F">
        <w:rPr>
          <w:rFonts w:cs="Arial"/>
        </w:rPr>
        <w:t>).</w:t>
      </w:r>
    </w:p>
    <w:p w14:paraId="7F8F2660" w14:textId="5AB1D405" w:rsidR="00E10CBD" w:rsidRPr="00B93C08" w:rsidRDefault="00E10CBD" w:rsidP="00BA2087">
      <w:pPr>
        <w:pStyle w:val="ChartandTablelabel"/>
        <w:keepNext/>
        <w:keepLines/>
        <w:rPr>
          <w:lang w:val="en-AU"/>
        </w:rPr>
      </w:pPr>
      <w:r w:rsidRPr="00B93C08">
        <w:rPr>
          <w:rStyle w:val="IntenseEmphasis"/>
          <w:i w:val="0"/>
          <w:iCs w:val="0"/>
          <w:color w:val="000000" w:themeColor="text1"/>
          <w:lang w:val="en-AU"/>
        </w:rPr>
        <w:lastRenderedPageBreak/>
        <w:t xml:space="preserve">Figure </w:t>
      </w:r>
      <w:r w:rsidR="000F70BC" w:rsidRPr="00B93C08">
        <w:rPr>
          <w:rStyle w:val="IntenseEmphasis"/>
          <w:i w:val="0"/>
          <w:iCs w:val="0"/>
          <w:color w:val="000000" w:themeColor="text1"/>
          <w:lang w:val="en-AU"/>
        </w:rPr>
        <w:t>8</w:t>
      </w:r>
      <w:r w:rsidRPr="00B93C08">
        <w:rPr>
          <w:rStyle w:val="IntenseEmphasis"/>
          <w:i w:val="0"/>
          <w:iCs w:val="0"/>
          <w:color w:val="000000" w:themeColor="text1"/>
          <w:lang w:val="en-AU"/>
        </w:rPr>
        <w:t xml:space="preserve">: Quarterly fill rate, </w:t>
      </w:r>
      <w:proofErr w:type="gramStart"/>
      <w:r w:rsidRPr="00B93C08">
        <w:rPr>
          <w:rStyle w:val="IntenseEmphasis"/>
          <w:i w:val="0"/>
          <w:iCs w:val="0"/>
          <w:color w:val="000000" w:themeColor="text1"/>
          <w:lang w:val="en-AU"/>
        </w:rPr>
        <w:t>applicants</w:t>
      </w:r>
      <w:proofErr w:type="gramEnd"/>
      <w:r w:rsidRPr="00B93C08">
        <w:rPr>
          <w:rStyle w:val="IntenseEmphasis"/>
          <w:i w:val="0"/>
          <w:iCs w:val="0"/>
          <w:color w:val="000000" w:themeColor="text1"/>
          <w:lang w:val="en-AU"/>
        </w:rPr>
        <w:t xml:space="preserve"> and suitable applicants per vacancy </w:t>
      </w:r>
    </w:p>
    <w:p w14:paraId="31C01B20" w14:textId="5B1AB440" w:rsidR="00E10CBD" w:rsidRPr="00B93C08" w:rsidRDefault="0032250A" w:rsidP="00295B5F">
      <w:pPr>
        <w:keepNext/>
        <w:keepLines/>
        <w:spacing w:after="0"/>
        <w:rPr>
          <w:rFonts w:cs="Arial"/>
        </w:rPr>
      </w:pPr>
      <w:r w:rsidRPr="00B93C08">
        <w:rPr>
          <w:noProof/>
        </w:rPr>
        <w:drawing>
          <wp:inline distT="0" distB="0" distL="0" distR="0" wp14:anchorId="2A81EC2B" wp14:editId="7381683B">
            <wp:extent cx="5861713" cy="2580640"/>
            <wp:effectExtent l="0" t="0" r="5715" b="0"/>
            <wp:docPr id="1524188904" name="Chart 1" descr="Figure 8 is a column and point chart, with 2 columns showcasing the number of applicants per vacancy and suitable applicants per vacancy, and the proportion of vacancies filled as points, from quarter 1 2023 to quarter 1 2024. Applicant numbers and fill rates have been slowly increasing each quarter.">
              <a:extLst xmlns:a="http://schemas.openxmlformats.org/drawingml/2006/main">
                <a:ext uri="{FF2B5EF4-FFF2-40B4-BE49-F238E27FC236}">
                  <a16:creationId xmlns:a16="http://schemas.microsoft.com/office/drawing/2014/main" id="{7580C934-F661-4612-A694-E1CDE4E9CB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1DD63FB" w14:textId="674CD961" w:rsidR="004D767B" w:rsidRDefault="00E10CBD" w:rsidP="00295B5F">
      <w:pPr>
        <w:pStyle w:val="Source"/>
        <w:keepLines/>
        <w:spacing w:before="0"/>
      </w:pPr>
      <w:r w:rsidRPr="00295B5F">
        <w:t xml:space="preserve">Source: </w:t>
      </w:r>
      <w:r w:rsidR="00E26FD9" w:rsidRPr="00295B5F">
        <w:t>JSA</w:t>
      </w:r>
      <w:r w:rsidRPr="00295B5F">
        <w:t>, Survey of Employers who have Recently Advertised, 202</w:t>
      </w:r>
      <w:r w:rsidR="0032250A" w:rsidRPr="00295B5F">
        <w:t>4</w:t>
      </w:r>
    </w:p>
    <w:p w14:paraId="0A3C44D2" w14:textId="77777777" w:rsidR="004D767B" w:rsidRDefault="004D767B">
      <w:pPr>
        <w:spacing w:after="160" w:line="259" w:lineRule="auto"/>
        <w:rPr>
          <w:sz w:val="18"/>
          <w:szCs w:val="18"/>
        </w:rPr>
      </w:pPr>
      <w:r>
        <w:br w:type="page"/>
      </w:r>
    </w:p>
    <w:p w14:paraId="2D966F84" w14:textId="09A6940A" w:rsidR="005D7362" w:rsidRPr="00B93C08" w:rsidRDefault="005D7362" w:rsidP="00D70A20">
      <w:pPr>
        <w:pStyle w:val="Heading2"/>
      </w:pPr>
      <w:bookmarkStart w:id="25" w:name="_Toc151365184"/>
      <w:bookmarkStart w:id="26" w:name="_Toc152324301"/>
      <w:bookmarkStart w:id="27" w:name="_Toc166140501"/>
      <w:bookmarkStart w:id="28" w:name="_Hlk156824338"/>
      <w:bookmarkEnd w:id="22"/>
      <w:r w:rsidRPr="00B93C08">
        <w:lastRenderedPageBreak/>
        <w:t>Views from employers</w:t>
      </w:r>
      <w:bookmarkEnd w:id="25"/>
      <w:bookmarkEnd w:id="26"/>
      <w:bookmarkEnd w:id="27"/>
    </w:p>
    <w:bookmarkEnd w:id="28"/>
    <w:p w14:paraId="59E33176" w14:textId="77777777" w:rsidR="00221B31" w:rsidRPr="004D767B" w:rsidRDefault="00221B31" w:rsidP="00221B31">
      <w:r w:rsidRPr="004D767B">
        <w:t xml:space="preserve">While most of the information collected through Jobs and Skills Australia’s </w:t>
      </w:r>
      <w:r w:rsidRPr="004D767B">
        <w:rPr>
          <w:i/>
          <w:iCs/>
        </w:rPr>
        <w:t>Recruitment Experiences and Outlook Survey</w:t>
      </w:r>
      <w:r w:rsidRPr="004D767B">
        <w:t xml:space="preserve"> is quantitative in nature, useful qualitative information is also collected. See below for a selection of employer quotes from various industries recruiting for a variety of occupations. While these are not necessarily representative, by industry or by location, they do provide some insight into recent recruitment experiences and employer sentiment. </w:t>
      </w:r>
    </w:p>
    <w:p w14:paraId="7BED65D0" w14:textId="77777777" w:rsidR="00221B31" w:rsidRPr="004D767B" w:rsidRDefault="00221B31" w:rsidP="00221B31">
      <w:pPr>
        <w:rPr>
          <w:b/>
          <w:bCs/>
        </w:rPr>
      </w:pPr>
      <w:bookmarkStart w:id="29" w:name="_Hlk164346569"/>
      <w:r w:rsidRPr="004D767B">
        <w:rPr>
          <w:b/>
          <w:bCs/>
        </w:rPr>
        <w:t>Construction, Greater Adelaide, March 2024</w:t>
      </w:r>
    </w:p>
    <w:bookmarkEnd w:id="29"/>
    <w:p w14:paraId="5D67D69F" w14:textId="77777777" w:rsidR="00221B31" w:rsidRPr="004D767B" w:rsidRDefault="00221B31" w:rsidP="00221B31">
      <w:pPr>
        <w:pStyle w:val="Quote"/>
      </w:pPr>
      <w:r w:rsidRPr="004D767B">
        <w:t>“For a small business, the operating costs have gone through the roof. It’s too expensive to put anyone on…Any staffing we would have had, we subcontract because it’s easier.”</w:t>
      </w:r>
    </w:p>
    <w:p w14:paraId="73A1678D" w14:textId="77777777" w:rsidR="00221B31" w:rsidRPr="004D767B" w:rsidRDefault="00221B31" w:rsidP="00221B31">
      <w:pPr>
        <w:rPr>
          <w:b/>
          <w:bCs/>
        </w:rPr>
      </w:pPr>
      <w:r w:rsidRPr="004D767B">
        <w:rPr>
          <w:b/>
          <w:bCs/>
        </w:rPr>
        <w:t>Manufacturing, Greater Melbourne, January 2024</w:t>
      </w:r>
    </w:p>
    <w:p w14:paraId="120E8B9B" w14:textId="77777777" w:rsidR="00221B31" w:rsidRPr="004D767B" w:rsidRDefault="00221B31" w:rsidP="00221B31">
      <w:pPr>
        <w:pStyle w:val="Quote"/>
      </w:pPr>
      <w:r w:rsidRPr="004D767B">
        <w:t>“We put on one apprentice. We were hoping for a fully qualified cabinet maker, but we can’t find any, so we’re basically taking anyone we can get… We’ve got so much work that we can’t keep up.”</w:t>
      </w:r>
    </w:p>
    <w:p w14:paraId="530E64B1" w14:textId="77777777" w:rsidR="00221B31" w:rsidRPr="004D767B" w:rsidRDefault="00221B31" w:rsidP="00221B31">
      <w:pPr>
        <w:rPr>
          <w:b/>
          <w:bCs/>
        </w:rPr>
      </w:pPr>
      <w:r w:rsidRPr="004D767B">
        <w:rPr>
          <w:b/>
          <w:bCs/>
        </w:rPr>
        <w:t>Wholesale Trade, Australian Capital Territory, January 2024</w:t>
      </w:r>
    </w:p>
    <w:p w14:paraId="6A39BAA8" w14:textId="77777777" w:rsidR="00221B31" w:rsidRPr="004D767B" w:rsidRDefault="00221B31" w:rsidP="00221B31">
      <w:pPr>
        <w:pStyle w:val="Quote"/>
      </w:pPr>
      <w:r w:rsidRPr="004D767B">
        <w:t xml:space="preserve">“The reliability isn’t there you know, the commitment to work isn’t there. That’s why I’m here now. I’ve got two people but none of them are available. You hire people to make your job easier but in the </w:t>
      </w:r>
      <w:proofErr w:type="gramStart"/>
      <w:r w:rsidRPr="004D767B">
        <w:t>end</w:t>
      </w:r>
      <w:proofErr w:type="gramEnd"/>
      <w:r w:rsidRPr="004D767B">
        <w:t xml:space="preserve"> you have to fit around them.”</w:t>
      </w:r>
    </w:p>
    <w:p w14:paraId="43BAAF80" w14:textId="77777777" w:rsidR="00221B31" w:rsidRPr="004D767B" w:rsidRDefault="00221B31" w:rsidP="00221B31">
      <w:pPr>
        <w:pStyle w:val="Quote"/>
        <w:ind w:left="0"/>
        <w:jc w:val="left"/>
        <w:rPr>
          <w:b/>
          <w:bCs/>
          <w:i w:val="0"/>
          <w:iCs w:val="0"/>
          <w:color w:val="auto"/>
        </w:rPr>
      </w:pPr>
      <w:r w:rsidRPr="004D767B">
        <w:rPr>
          <w:b/>
          <w:bCs/>
          <w:i w:val="0"/>
          <w:iCs w:val="0"/>
          <w:color w:val="auto"/>
        </w:rPr>
        <w:t>Retail Trade, Rest of South Australia, February 2024</w:t>
      </w:r>
    </w:p>
    <w:p w14:paraId="6BEB8DA0" w14:textId="77777777" w:rsidR="00221B31" w:rsidRPr="004D767B" w:rsidRDefault="00221B31" w:rsidP="00221B31">
      <w:pPr>
        <w:ind w:left="851" w:right="946"/>
        <w:jc w:val="center"/>
        <w:rPr>
          <w:i/>
          <w:iCs/>
          <w:color w:val="404040" w:themeColor="text1" w:themeTint="BF"/>
        </w:rPr>
      </w:pPr>
      <w:r w:rsidRPr="004D767B">
        <w:rPr>
          <w:i/>
          <w:iCs/>
          <w:color w:val="404040" w:themeColor="text1" w:themeTint="BF"/>
        </w:rPr>
        <w:t>“We’re always looking for workers and I actually can’t place ads because our town doesn’t have accommodation for new people to come into the town so it’s sort of like a catch 22.”</w:t>
      </w:r>
    </w:p>
    <w:p w14:paraId="46A521F2" w14:textId="77777777" w:rsidR="00221B31" w:rsidRPr="004D767B" w:rsidRDefault="00221B31" w:rsidP="00221B31">
      <w:pPr>
        <w:pStyle w:val="Quote"/>
        <w:ind w:left="0"/>
        <w:jc w:val="left"/>
        <w:rPr>
          <w:b/>
          <w:bCs/>
          <w:i w:val="0"/>
          <w:iCs w:val="0"/>
          <w:color w:val="auto"/>
        </w:rPr>
      </w:pPr>
      <w:r w:rsidRPr="004D767B">
        <w:rPr>
          <w:b/>
          <w:bCs/>
          <w:i w:val="0"/>
          <w:iCs w:val="0"/>
          <w:color w:val="auto"/>
        </w:rPr>
        <w:t>Professional, Scientific and Technical Services, Rest of New South Wales, March 2024</w:t>
      </w:r>
    </w:p>
    <w:p w14:paraId="48140D44" w14:textId="77777777" w:rsidR="00221B31" w:rsidRPr="004D767B" w:rsidRDefault="00221B31" w:rsidP="00221B31">
      <w:pPr>
        <w:ind w:left="851" w:right="946"/>
        <w:jc w:val="center"/>
        <w:rPr>
          <w:i/>
          <w:iCs/>
          <w:color w:val="404040" w:themeColor="text1" w:themeTint="BF"/>
        </w:rPr>
      </w:pPr>
      <w:r w:rsidRPr="004D767B">
        <w:rPr>
          <w:i/>
          <w:iCs/>
          <w:color w:val="404040" w:themeColor="text1" w:themeTint="BF"/>
        </w:rPr>
        <w:t>“In this field there’s a massive shortage of estimators. We had some experienced people retire so it took us probably a year to get back to where we needed to be and then those two people left a year ago.”</w:t>
      </w:r>
    </w:p>
    <w:p w14:paraId="444DC710" w14:textId="77777777" w:rsidR="00221B31" w:rsidRPr="004D767B" w:rsidRDefault="00221B31" w:rsidP="00221B31">
      <w:pPr>
        <w:pStyle w:val="Quote"/>
        <w:ind w:left="0"/>
        <w:jc w:val="left"/>
        <w:rPr>
          <w:b/>
          <w:bCs/>
          <w:i w:val="0"/>
          <w:iCs w:val="0"/>
          <w:color w:val="auto"/>
        </w:rPr>
      </w:pPr>
      <w:r w:rsidRPr="004D767B">
        <w:rPr>
          <w:b/>
          <w:bCs/>
          <w:i w:val="0"/>
          <w:iCs w:val="0"/>
          <w:color w:val="auto"/>
        </w:rPr>
        <w:t>Education and Training, Rest of Victoria, March 2024</w:t>
      </w:r>
    </w:p>
    <w:p w14:paraId="76DA9716" w14:textId="77777777" w:rsidR="00221B31" w:rsidRPr="004D767B" w:rsidRDefault="00221B31" w:rsidP="00221B31">
      <w:pPr>
        <w:ind w:left="851" w:right="946"/>
        <w:jc w:val="center"/>
        <w:rPr>
          <w:i/>
          <w:iCs/>
          <w:color w:val="404040" w:themeColor="text1" w:themeTint="BF"/>
        </w:rPr>
      </w:pPr>
      <w:r w:rsidRPr="004D767B">
        <w:rPr>
          <w:i/>
          <w:iCs/>
          <w:color w:val="404040" w:themeColor="text1" w:themeTint="BF"/>
        </w:rPr>
        <w:lastRenderedPageBreak/>
        <w:t xml:space="preserve">“Most of them (8) were international teachers. I </w:t>
      </w:r>
      <w:proofErr w:type="gramStart"/>
      <w:r w:rsidRPr="004D767B">
        <w:rPr>
          <w:i/>
          <w:iCs/>
          <w:color w:val="404040" w:themeColor="text1" w:themeTint="BF"/>
        </w:rPr>
        <w:t>wasn't able to</w:t>
      </w:r>
      <w:proofErr w:type="gramEnd"/>
      <w:r w:rsidRPr="004D767B">
        <w:rPr>
          <w:i/>
          <w:iCs/>
          <w:color w:val="404040" w:themeColor="text1" w:themeTint="BF"/>
        </w:rPr>
        <w:t xml:space="preserve"> source Australian teachers. There's a shortage of teachers. There just aren't enough in the system and I think it's become a very </w:t>
      </w:r>
      <w:proofErr w:type="spellStart"/>
      <w:r w:rsidRPr="004D767B">
        <w:rPr>
          <w:i/>
          <w:iCs/>
          <w:color w:val="404040" w:themeColor="text1" w:themeTint="BF"/>
        </w:rPr>
        <w:t>very</w:t>
      </w:r>
      <w:proofErr w:type="spellEnd"/>
      <w:r w:rsidRPr="004D767B">
        <w:rPr>
          <w:i/>
          <w:iCs/>
          <w:color w:val="404040" w:themeColor="text1" w:themeTint="BF"/>
        </w:rPr>
        <w:t xml:space="preserve"> competitive market. You need to be able to offer incentives and bonuses for people to even consider a teaching position, particularly in regional and rural areas.”</w:t>
      </w:r>
    </w:p>
    <w:p w14:paraId="34DA2FA3" w14:textId="48F867AB" w:rsidR="008564DD" w:rsidRPr="00B93C08" w:rsidRDefault="00221B31" w:rsidP="00221B31">
      <w:pPr>
        <w:pStyle w:val="Source"/>
        <w:rPr>
          <w:rStyle w:val="StrongandEmphasis"/>
          <w:b w:val="0"/>
          <w:i w:val="0"/>
          <w:sz w:val="18"/>
          <w:lang w:eastAsia="en-AU"/>
        </w:rPr>
      </w:pPr>
      <w:r w:rsidRPr="004D767B">
        <w:rPr>
          <w:lang w:eastAsia="en-AU"/>
        </w:rPr>
        <w:t xml:space="preserve">Source: </w:t>
      </w:r>
      <w:r w:rsidR="00E26FD9" w:rsidRPr="004D767B">
        <w:rPr>
          <w:lang w:eastAsia="en-AU"/>
        </w:rPr>
        <w:t>JSA</w:t>
      </w:r>
      <w:r w:rsidRPr="004D767B">
        <w:rPr>
          <w:lang w:eastAsia="en-AU"/>
        </w:rPr>
        <w:t>, Recruitment Experiences and Outlook Survey, 2024.</w:t>
      </w:r>
      <w:r w:rsidR="008564DD" w:rsidRPr="00B93C08">
        <w:rPr>
          <w:rStyle w:val="StrongandEmphasis"/>
          <w:b w:val="0"/>
          <w:bCs/>
          <w:i w:val="0"/>
          <w:iCs/>
        </w:rPr>
        <w:br w:type="page"/>
      </w:r>
    </w:p>
    <w:bookmarkStart w:id="30" w:name="_Toc166140502"/>
    <w:bookmarkStart w:id="31" w:name="_Toc151365185"/>
    <w:p w14:paraId="560BEC80" w14:textId="79E6B50C" w:rsidR="0032250A" w:rsidRPr="00B93C08" w:rsidRDefault="00CD3EA3" w:rsidP="0032250A">
      <w:pPr>
        <w:pStyle w:val="Heading2"/>
        <w:rPr>
          <w:highlight w:val="yellow"/>
        </w:rPr>
      </w:pPr>
      <w:r w:rsidRPr="00B93C08">
        <w:rPr>
          <w:noProof/>
          <w:color w:val="2B579A"/>
          <w:shd w:val="clear" w:color="auto" w:fill="E6E6E6"/>
          <w14:ligatures w14:val="standard"/>
          <w14:numForm w14:val="lining"/>
          <w14:numSpacing w14:val="proportional"/>
        </w:rPr>
        <w:lastRenderedPageBreak/>
        <mc:AlternateContent>
          <mc:Choice Requires="wpg">
            <w:drawing>
              <wp:anchor distT="0" distB="0" distL="114300" distR="114300" simplePos="0" relativeHeight="251673088" behindDoc="1" locked="0" layoutInCell="1" allowOverlap="1" wp14:anchorId="22BC773C" wp14:editId="0C155B08">
                <wp:simplePos x="0" y="0"/>
                <wp:positionH relativeFrom="margin">
                  <wp:posOffset>-348018</wp:posOffset>
                </wp:positionH>
                <wp:positionV relativeFrom="page">
                  <wp:posOffset>614150</wp:posOffset>
                </wp:positionV>
                <wp:extent cx="6388100" cy="7656394"/>
                <wp:effectExtent l="0" t="0" r="0" b="1905"/>
                <wp:wrapNone/>
                <wp:docPr id="382879049" name="Group 3828790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88100" cy="7656394"/>
                          <a:chOff x="0" y="0"/>
                          <a:chExt cx="5577937" cy="3722400"/>
                        </a:xfrm>
                      </wpg:grpSpPr>
                      <wps:wsp>
                        <wps:cNvPr id="916394734" name="Rectangle 916394734">
                          <a:extLst>
                            <a:ext uri="{C183D7F6-B498-43B3-948B-1728B52AA6E4}">
                              <adec:decorative xmlns:adec="http://schemas.microsoft.com/office/drawing/2017/decorative" val="1"/>
                            </a:ext>
                          </a:extLst>
                        </wps:cNvPr>
                        <wps:cNvSpPr/>
                        <wps:spPr>
                          <a:xfrm>
                            <a:off x="0" y="0"/>
                            <a:ext cx="5577937" cy="3721100"/>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rgbClr r="0" g="0" b="0"/>
                          </a:effectRef>
                          <a:fontRef idx="minor">
                            <a:schemeClr val="lt1"/>
                          </a:fontRef>
                        </wps:style>
                        <wps:txbx>
                          <w:txbxContent>
                            <w:p w14:paraId="2130E6C3" w14:textId="77777777" w:rsidR="00CD3EA3" w:rsidRPr="00B93C08" w:rsidRDefault="00CD3EA3" w:rsidP="00CD3EA3">
                              <w:pPr>
                                <w:pStyle w:val="Bodycopy"/>
                                <w:spacing w:before="160" w:after="0" w:line="276" w:lineRule="auto"/>
                                <w:rPr>
                                  <w14:numForm w14:val="lining"/>
                                  <w14:numSpacing w14:val="proportional"/>
                                </w:rPr>
                              </w:pPr>
                            </w:p>
                          </w:txbxContent>
                        </wps:txbx>
                        <wps:bodyPr spcFirstLastPara="0" wrap="square" lIns="288000" tIns="108000" rIns="144000" bIns="108000" anchor="t">
                          <a:noAutofit/>
                        </wps:bodyPr>
                      </wps:wsp>
                      <wps:wsp>
                        <wps:cNvPr id="567622169" name="Rectangle 567622169"/>
                        <wps:cNvSpPr/>
                        <wps:spPr>
                          <a:xfrm>
                            <a:off x="0" y="0"/>
                            <a:ext cx="133350" cy="3722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2BC773C" id="Group 382879049" o:spid="_x0000_s1027" alt="&quot;&quot;" style="position:absolute;margin-left:-27.4pt;margin-top:48.35pt;width:503pt;height:602.85pt;z-index:-251643392;mso-position-horizontal-relative:margin;mso-position-vertical-relative:page" coordsize="55779,37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">
                <v:rect id="Rectangle 916394734" o:spid="_x0000_s1028" alt="&quot;&quot;" style="position:absolute;width:55779;height:37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" fillcolor="#f2f2f2 [3052]" stroked="f" strokeweight="1pt">
                  <v:textbox inset="8mm,3mm,4mm,3mm">
                    <w:txbxContent>
                      <w:p w14:paraId="2130E6C3" w14:textId="77777777" w:rsidR="00CD3EA3" w:rsidRPr="00B93C08" w:rsidRDefault="00CD3EA3" w:rsidP="00CD3EA3">
                        <w:pPr>
                          <w:pStyle w:val="Bodycopy"/>
                          <w:spacing w:before="160" w:after="0" w:line="276" w:lineRule="auto"/>
                          <w:rPr>
                            <w14:numForm w14:val="lining"/>
                            <w14:numSpacing w14:val="proportional"/>
                          </w:rPr>
                        </w:pPr>
                      </w:p>
                    </w:txbxContent>
                  </v:textbox>
                </v:rect>
                <v:rect id="Rectangle 567622169" o:spid="_x0000_s1029" style="position:absolute;width:1333;height:37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" fillcolor="#d2de5a [3214]" stroked="f" strokeweight="1pt"/>
                <w10:wrap anchorx="margin" anchory="page"/>
              </v:group>
            </w:pict>
          </mc:Fallback>
        </mc:AlternateContent>
      </w:r>
      <w:r w:rsidR="0032250A" w:rsidRPr="00B93C08">
        <w:t xml:space="preserve">In focus: </w:t>
      </w:r>
      <w:r w:rsidRPr="00B93C08">
        <w:t>I</w:t>
      </w:r>
      <w:r w:rsidR="0032250A" w:rsidRPr="00B93C08">
        <w:t>s gender inequality impacting fill rates?</w:t>
      </w:r>
      <w:bookmarkEnd w:id="30"/>
    </w:p>
    <w:p w14:paraId="2277508B" w14:textId="77777777" w:rsidR="00982238" w:rsidRPr="004D767B" w:rsidRDefault="00982238" w:rsidP="00982238">
      <w:r w:rsidRPr="004D767B">
        <w:t xml:space="preserve">This section expands on the gender analysis featured in the </w:t>
      </w:r>
      <w:hyperlink r:id="rId31" w:history="1">
        <w:r w:rsidRPr="004D767B">
          <w:rPr>
            <w:color w:val="013D74" w:themeColor="hyperlink"/>
            <w:u w:val="single"/>
          </w:rPr>
          <w:t>2023 SPL Key Findings Report</w:t>
        </w:r>
      </w:hyperlink>
      <w:r w:rsidRPr="004D767B">
        <w:t xml:space="preserve"> by examining whether gender inequality is contributing to employer difficulty in filling job vacancies.</w:t>
      </w:r>
      <w:r w:rsidRPr="004D767B">
        <w:rPr>
          <w:sz w:val="20"/>
          <w:szCs w:val="20"/>
          <w:vertAlign w:val="superscript"/>
        </w:rPr>
        <w:footnoteReference w:id="3"/>
      </w:r>
    </w:p>
    <w:p w14:paraId="5659BBDD" w14:textId="3F428073" w:rsidR="00982238" w:rsidRPr="004D767B" w:rsidRDefault="00982238" w:rsidP="00982238">
      <w:r w:rsidRPr="004D767B">
        <w:t>Occupations are categorised into female or male dominated occupations if the gender share of employment of either is more than 50%. The gender inequality metric takes the value of 0 when an occupation has a perfect gender balance, and 1 when an occupation is fully occupied by either female or male workers.</w:t>
      </w:r>
      <w:r w:rsidRPr="004D767B">
        <w:rPr>
          <w:sz w:val="20"/>
          <w:szCs w:val="20"/>
          <w:vertAlign w:val="superscript"/>
        </w:rPr>
        <w:footnoteReference w:id="4"/>
      </w:r>
    </w:p>
    <w:p w14:paraId="4B88DF2E" w14:textId="65058CD2" w:rsidR="00982238" w:rsidRPr="004D767B" w:rsidRDefault="00982238" w:rsidP="00982238">
      <w:bookmarkStart w:id="32" w:name="_Hlk150887223"/>
      <w:r w:rsidRPr="004D767B">
        <w:t>From 2016 to 2023, in female dominated occupations, the relationship between fill rates and gender inequality is weak and not statistically significant (see the left-hand side of</w:t>
      </w:r>
      <w:r w:rsidR="00101673" w:rsidRPr="004D767B">
        <w:t xml:space="preserve"> Figure 9</w:t>
      </w:r>
      <w:r w:rsidRPr="004D767B">
        <w:t xml:space="preserve">). </w:t>
      </w:r>
      <w:bookmarkStart w:id="33" w:name="_Hlk150887154"/>
      <w:r w:rsidRPr="004D767B">
        <w:t xml:space="preserve">Therefore, the chance of a female dominated occupation being in shortage due to gender inequality is low. </w:t>
      </w:r>
      <w:bookmarkEnd w:id="32"/>
      <w:r w:rsidRPr="004D767B">
        <w:t>In contrast, there is a much clearer statistically significant downward trend for male dominated occupations (right-hand side of</w:t>
      </w:r>
      <w:r w:rsidR="00101673" w:rsidRPr="004D767B">
        <w:t xml:space="preserve"> Figure 9</w:t>
      </w:r>
      <w:r w:rsidRPr="004D767B">
        <w:t>). It indicates that the higher the gender inequality with dominance of male workers in an occupation, the lower the fill rate.</w:t>
      </w:r>
    </w:p>
    <w:p w14:paraId="5CE6D601" w14:textId="4D8DA8CD" w:rsidR="00982238" w:rsidRPr="004D767B" w:rsidRDefault="00982238" w:rsidP="00982238">
      <w:pPr>
        <w:pStyle w:val="ChartandTablelabel"/>
        <w:keepNext/>
        <w:keepLines/>
        <w:rPr>
          <w:b w:val="0"/>
          <w:lang w:val="en-AU"/>
        </w:rPr>
      </w:pPr>
      <w:bookmarkStart w:id="34" w:name="_Ref165042198"/>
      <w:bookmarkEnd w:id="33"/>
      <w:r w:rsidRPr="004D767B">
        <w:rPr>
          <w:lang w:val="en-AU"/>
        </w:rPr>
        <w:lastRenderedPageBreak/>
        <w:t>Figur</w:t>
      </w:r>
      <w:bookmarkEnd w:id="34"/>
      <w:r w:rsidR="00101673" w:rsidRPr="004D767B">
        <w:rPr>
          <w:lang w:val="en-AU"/>
        </w:rPr>
        <w:t>e 9</w:t>
      </w:r>
      <w:r w:rsidRPr="004D767B">
        <w:rPr>
          <w:lang w:val="en-AU"/>
        </w:rPr>
        <w:t>: Gender inequality (%) and fill rate (%) in female and male dominated occupations, 2016–2023</w:t>
      </w:r>
    </w:p>
    <w:p w14:paraId="1EACCC97" w14:textId="086454D1" w:rsidR="00982238" w:rsidRPr="004D767B" w:rsidRDefault="00101673" w:rsidP="00982238">
      <w:r w:rsidRPr="004D767B">
        <w:rPr>
          <w:noProof/>
        </w:rPr>
        <w:drawing>
          <wp:inline distT="0" distB="0" distL="0" distR="0" wp14:anchorId="0C169CE3" wp14:editId="4BB71167">
            <wp:extent cx="5731510" cy="2355215"/>
            <wp:effectExtent l="0" t="0" r="2540" b="6985"/>
            <wp:docPr id="349763972" name="Picture 4" descr="Figure 9 is a scatter plot in which each dot represents an occupation, with its gender inequality measured on the horizontal axis and fill rates on the vertical axis. In 2016-2023, the dots scattered around with no clear pattern for female dominated occupations, showing there is no clear relationship between gender inequality and fill rates. However, for male dominated occupations, the dots gathered around a predicted line that trended downwards, indicating a negative relationship between gender inequality and fill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63972" name="Picture 4" descr="Figure 9 is a scatter plot in which each dot represents an occupation, with its gender inequality measured on the horizontal axis and fill rates on the vertical axis. In 2016-2023, the dots scattered around with no clear pattern for female dominated occupations, showing there is no clear relationship between gender inequality and fill rates. However, for male dominated occupations, the dots gathered around a predicted line that trended downwards, indicating a negative relationship between gender inequality and fill rates."/>
                    <pic:cNvPicPr/>
                  </pic:nvPicPr>
                  <pic:blipFill>
                    <a:blip r:embed="rId32">
                      <a:extLst>
                        <a:ext uri="{28A0092B-C50C-407E-A947-70E740481C1C}">
                          <a14:useLocalDpi xmlns:a14="http://schemas.microsoft.com/office/drawing/2010/main" val="0"/>
                        </a:ext>
                      </a:extLst>
                    </a:blip>
                    <a:stretch>
                      <a:fillRect/>
                    </a:stretch>
                  </pic:blipFill>
                  <pic:spPr>
                    <a:xfrm>
                      <a:off x="0" y="0"/>
                      <a:ext cx="5731510" cy="2355215"/>
                    </a:xfrm>
                    <a:prstGeom prst="rect">
                      <a:avLst/>
                    </a:prstGeom>
                  </pic:spPr>
                </pic:pic>
              </a:graphicData>
            </a:graphic>
          </wp:inline>
        </w:drawing>
      </w:r>
    </w:p>
    <w:p w14:paraId="663189BB" w14:textId="753621D8" w:rsidR="00982238" w:rsidRPr="004D767B" w:rsidRDefault="00982238" w:rsidP="00982238">
      <w:pPr>
        <w:spacing w:before="120" w:after="120"/>
        <w:rPr>
          <w:sz w:val="18"/>
          <w:szCs w:val="18"/>
        </w:rPr>
      </w:pPr>
      <w:r w:rsidRPr="004D767B">
        <w:rPr>
          <w:sz w:val="18"/>
          <w:szCs w:val="18"/>
        </w:rPr>
        <w:t xml:space="preserve">Source: </w:t>
      </w:r>
      <w:r w:rsidR="00C92D1A" w:rsidRPr="004D767B">
        <w:rPr>
          <w:sz w:val="18"/>
          <w:szCs w:val="18"/>
        </w:rPr>
        <w:t xml:space="preserve">ABS, Census of Population and Housing 2016 and 2021; </w:t>
      </w:r>
      <w:r w:rsidR="00E26FD9" w:rsidRPr="004D767B">
        <w:rPr>
          <w:sz w:val="18"/>
          <w:szCs w:val="18"/>
        </w:rPr>
        <w:t>JSA</w:t>
      </w:r>
      <w:r w:rsidRPr="004D767B">
        <w:rPr>
          <w:sz w:val="18"/>
          <w:szCs w:val="18"/>
        </w:rPr>
        <w:t xml:space="preserve">, Survey of Employers who have </w:t>
      </w:r>
      <w:r w:rsidR="004D767B">
        <w:rPr>
          <w:sz w:val="18"/>
          <w:szCs w:val="18"/>
        </w:rPr>
        <w:t>R</w:t>
      </w:r>
      <w:r w:rsidRPr="004D767B">
        <w:rPr>
          <w:sz w:val="18"/>
          <w:szCs w:val="18"/>
        </w:rPr>
        <w:t xml:space="preserve">ecently </w:t>
      </w:r>
      <w:r w:rsidR="004D767B">
        <w:rPr>
          <w:sz w:val="18"/>
          <w:szCs w:val="18"/>
        </w:rPr>
        <w:t>A</w:t>
      </w:r>
      <w:r w:rsidRPr="004D767B">
        <w:rPr>
          <w:sz w:val="18"/>
          <w:szCs w:val="18"/>
        </w:rPr>
        <w:t>dvertised (SERA).</w:t>
      </w:r>
    </w:p>
    <w:p w14:paraId="157DB2B6" w14:textId="39C87E35" w:rsidR="00982238" w:rsidRPr="004D767B" w:rsidRDefault="00982238" w:rsidP="00982238">
      <w:r w:rsidRPr="004D767B">
        <w:t>This is particularly true when looking at fill rates by sub-major occupation groups. In</w:t>
      </w:r>
      <w:r w:rsidR="00101673" w:rsidRPr="004D767B">
        <w:t xml:space="preserve"> Figure 10</w:t>
      </w:r>
      <w:r w:rsidRPr="004D767B">
        <w:t>, each box plot represents a range of fill rate values for each occupation group. The colour range (from light to dark purple) represents gender inequality: the darker the colour, the more gender skewed an occupation is.</w:t>
      </w:r>
    </w:p>
    <w:p w14:paraId="123DB98D" w14:textId="07AB2A7B" w:rsidR="00982238" w:rsidRPr="00B93C08" w:rsidRDefault="00982238" w:rsidP="00982238">
      <w:pPr>
        <w:rPr>
          <w:highlight w:val="yellow"/>
        </w:rPr>
      </w:pPr>
      <w:r w:rsidRPr="004D767B">
        <w:t>Male dominated sub-major occupation groups (right hand side of</w:t>
      </w:r>
      <w:r w:rsidR="00101673" w:rsidRPr="004D767B">
        <w:t xml:space="preserve"> Figure 10</w:t>
      </w:r>
      <w:r w:rsidRPr="004D767B">
        <w:t>) tend to have a lower fill rate, indicating that it is more likely to be in a skills shortage. For example, among male dominated occupations, those with above 90% male workers such as Automotive and</w:t>
      </w:r>
      <w:r w:rsidRPr="00B93C08">
        <w:rPr>
          <w:highlight w:val="yellow"/>
        </w:rPr>
        <w:t xml:space="preserve"> </w:t>
      </w:r>
      <w:r w:rsidRPr="004D767B">
        <w:t xml:space="preserve">Engineering Trades Workers, Construction Trades Workers, and Electrotechnology and Telecommunications Trade Workers, have the lowest fill rate ranges. This result indicates </w:t>
      </w:r>
      <w:r w:rsidR="00CD3EA3" w:rsidRPr="004D767B">
        <w:rPr>
          <w:noProof/>
          <w:color w:val="2B579A"/>
          <w:shd w:val="clear" w:color="auto" w:fill="E6E6E6"/>
          <w14:ligatures w14:val="standard"/>
          <w14:numForm w14:val="lining"/>
          <w14:numSpacing w14:val="proportional"/>
        </w:rPr>
        <mc:AlternateContent>
          <mc:Choice Requires="wpg">
            <w:drawing>
              <wp:anchor distT="0" distB="0" distL="114300" distR="114300" simplePos="0" relativeHeight="251675136" behindDoc="1" locked="0" layoutInCell="1" allowOverlap="1" wp14:anchorId="3573C595" wp14:editId="1659BB5B">
                <wp:simplePos x="0" y="0"/>
                <wp:positionH relativeFrom="margin">
                  <wp:posOffset>-341194</wp:posOffset>
                </wp:positionH>
                <wp:positionV relativeFrom="page">
                  <wp:posOffset>668740</wp:posOffset>
                </wp:positionV>
                <wp:extent cx="6388100" cy="9294126"/>
                <wp:effectExtent l="0" t="0" r="0" b="2540"/>
                <wp:wrapNone/>
                <wp:docPr id="1525347885" name="Group 15253478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88100" cy="9294126"/>
                          <a:chOff x="0" y="0"/>
                          <a:chExt cx="5577937" cy="3722400"/>
                        </a:xfrm>
                      </wpg:grpSpPr>
                      <wps:wsp>
                        <wps:cNvPr id="2132620456" name="Rectangle 2132620456">
                          <a:extLst>
                            <a:ext uri="{C183D7F6-B498-43B3-948B-1728B52AA6E4}">
                              <adec:decorative xmlns:adec="http://schemas.microsoft.com/office/drawing/2017/decorative" val="1"/>
                            </a:ext>
                          </a:extLst>
                        </wps:cNvPr>
                        <wps:cNvSpPr/>
                        <wps:spPr>
                          <a:xfrm>
                            <a:off x="0" y="0"/>
                            <a:ext cx="5577937" cy="3721100"/>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rgbClr r="0" g="0" b="0"/>
                          </a:effectRef>
                          <a:fontRef idx="minor">
                            <a:schemeClr val="lt1"/>
                          </a:fontRef>
                        </wps:style>
                        <wps:txbx>
                          <w:txbxContent>
                            <w:p w14:paraId="29556E01" w14:textId="77777777" w:rsidR="00CD3EA3" w:rsidRPr="00B93C08" w:rsidRDefault="00CD3EA3" w:rsidP="00CD3EA3">
                              <w:pPr>
                                <w:pStyle w:val="Bodycopy"/>
                                <w:spacing w:before="160" w:after="0" w:line="276" w:lineRule="auto"/>
                                <w:rPr>
                                  <w14:numForm w14:val="lining"/>
                                  <w14:numSpacing w14:val="proportional"/>
                                </w:rPr>
                              </w:pPr>
                            </w:p>
                          </w:txbxContent>
                        </wps:txbx>
                        <wps:bodyPr spcFirstLastPara="0" wrap="square" lIns="288000" tIns="108000" rIns="144000" bIns="108000" anchor="t">
                          <a:noAutofit/>
                        </wps:bodyPr>
                      </wps:wsp>
                      <wps:wsp>
                        <wps:cNvPr id="1710385219" name="Rectangle 1710385219"/>
                        <wps:cNvSpPr/>
                        <wps:spPr>
                          <a:xfrm>
                            <a:off x="0" y="0"/>
                            <a:ext cx="133350" cy="3722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573C595" id="Group 1525347885" o:spid="_x0000_s1030" alt="&quot;&quot;" style="position:absolute;margin-left:-26.85pt;margin-top:52.65pt;width:503pt;height:731.8pt;z-index:-251641344;mso-position-horizontal-relative:margin;mso-position-vertical-relative:page" coordsize="55779,37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">
                <v:rect id="Rectangle 2132620456" o:spid="_x0000_s1031" alt="&quot;&quot;" style="position:absolute;width:55779;height:37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" fillcolor="#f2f2f2 [3052]" stroked="f" strokeweight="1pt">
                  <v:textbox inset="8mm,3mm,4mm,3mm">
                    <w:txbxContent>
                      <w:p w14:paraId="29556E01" w14:textId="77777777" w:rsidR="00CD3EA3" w:rsidRPr="00B93C08" w:rsidRDefault="00CD3EA3" w:rsidP="00CD3EA3">
                        <w:pPr>
                          <w:pStyle w:val="Bodycopy"/>
                          <w:spacing w:before="160" w:after="0" w:line="276" w:lineRule="auto"/>
                          <w:rPr>
                            <w14:numForm w14:val="lining"/>
                            <w14:numSpacing w14:val="proportional"/>
                          </w:rPr>
                        </w:pPr>
                      </w:p>
                    </w:txbxContent>
                  </v:textbox>
                </v:rect>
                <v:rect id="Rectangle 1710385219" o:spid="_x0000_s1032" style="position:absolute;width:1333;height:37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" fillcolor="#d2de5a [3214]" stroked="f" strokeweight="1pt"/>
                <w10:wrap anchorx="margin" anchory="page"/>
              </v:group>
            </w:pict>
          </mc:Fallback>
        </mc:AlternateContent>
      </w:r>
      <w:r w:rsidRPr="004D767B">
        <w:t>that these occupations have a high chance of being in shortage. The 2023 SPL also showed that occupations in these sub-major groups tended to be in shortage.</w:t>
      </w:r>
    </w:p>
    <w:p w14:paraId="650409FF" w14:textId="41EE1775" w:rsidR="00982238" w:rsidRPr="004D767B" w:rsidRDefault="00982238" w:rsidP="00982238">
      <w:r w:rsidRPr="004D767B">
        <w:t>The link between gender inequality and fill rates, however, is weaker for female dominated sub-major occupations (left hand side of</w:t>
      </w:r>
      <w:r w:rsidR="00746042" w:rsidRPr="004D767B">
        <w:t xml:space="preserve"> Figure 10</w:t>
      </w:r>
      <w:r w:rsidRPr="004D767B">
        <w:t>). For instance, highly female dominated General Clerical Workers, Inquiry Clerks and Receptionists, and Numerical Clerks have high fill rates at more than 75%, while Carers and Aides, which are also dominated by females, have lower fill rates at around 50%.</w:t>
      </w:r>
    </w:p>
    <w:p w14:paraId="6700692E" w14:textId="45C79E3F" w:rsidR="00982238" w:rsidRPr="00800031" w:rsidRDefault="00982238" w:rsidP="00412E44">
      <w:pPr>
        <w:keepNext/>
        <w:spacing w:after="200" w:line="240" w:lineRule="auto"/>
        <w:rPr>
          <w:b/>
          <w:bCs/>
          <w:sz w:val="20"/>
          <w:szCs w:val="20"/>
        </w:rPr>
      </w:pPr>
      <w:bookmarkStart w:id="35" w:name="_Ref165042164"/>
      <w:r w:rsidRPr="004D767B">
        <w:rPr>
          <w:b/>
          <w:bCs/>
          <w:sz w:val="20"/>
          <w:szCs w:val="20"/>
        </w:rPr>
        <w:lastRenderedPageBreak/>
        <w:t>F</w:t>
      </w:r>
      <w:r w:rsidRPr="00800031">
        <w:rPr>
          <w:b/>
          <w:bCs/>
          <w:sz w:val="20"/>
          <w:szCs w:val="20"/>
        </w:rPr>
        <w:t>igur</w:t>
      </w:r>
      <w:bookmarkEnd w:id="35"/>
      <w:r w:rsidR="00746042" w:rsidRPr="00800031">
        <w:rPr>
          <w:b/>
          <w:bCs/>
          <w:sz w:val="20"/>
          <w:szCs w:val="20"/>
        </w:rPr>
        <w:t>e 10</w:t>
      </w:r>
      <w:r w:rsidRPr="00800031">
        <w:rPr>
          <w:b/>
          <w:bCs/>
          <w:sz w:val="20"/>
          <w:szCs w:val="20"/>
        </w:rPr>
        <w:t>: Fill rate (%) in female and male dominated occupations, by sub-major group, 2021 to 2023</w:t>
      </w:r>
    </w:p>
    <w:p w14:paraId="15CFF8FB" w14:textId="2BC838B7" w:rsidR="00982238" w:rsidRPr="00800031" w:rsidRDefault="00746042" w:rsidP="00982238">
      <w:pPr>
        <w:spacing w:before="120" w:after="120"/>
        <w:rPr>
          <w:sz w:val="18"/>
          <w:szCs w:val="18"/>
        </w:rPr>
      </w:pPr>
      <w:r w:rsidRPr="00800031">
        <w:rPr>
          <w:noProof/>
          <w:sz w:val="18"/>
          <w:szCs w:val="18"/>
        </w:rPr>
        <w:drawing>
          <wp:inline distT="0" distB="0" distL="0" distR="0" wp14:anchorId="3B349D0C" wp14:editId="0EBF1726">
            <wp:extent cx="5731510" cy="2593340"/>
            <wp:effectExtent l="0" t="0" r="2540" b="0"/>
            <wp:docPr id="1231150784" name="Picture 5" descr="Figure 10 is a stacked set of five-statistic summary box plots that shows male dominated sub-major occupation groups tend to have a lower fill rate. However, it is not the case in female dominated sub-major occupation groups. That is, an occupation with a higher proportion of female employment does not necessarily have a higher fill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50784" name="Picture 5" descr="Figure 10 is a stacked set of five-statistic summary box plots that shows male dominated sub-major occupation groups tend to have a lower fill rate. However, it is not the case in female dominated sub-major occupation groups. That is, an occupation with a higher proportion of female employment does not necessarily have a higher fill rate."/>
                    <pic:cNvPicPr/>
                  </pic:nvPicPr>
                  <pic:blipFill>
                    <a:blip r:embed="rId33">
                      <a:extLst>
                        <a:ext uri="{28A0092B-C50C-407E-A947-70E740481C1C}">
                          <a14:useLocalDpi xmlns:a14="http://schemas.microsoft.com/office/drawing/2010/main" val="0"/>
                        </a:ext>
                      </a:extLst>
                    </a:blip>
                    <a:stretch>
                      <a:fillRect/>
                    </a:stretch>
                  </pic:blipFill>
                  <pic:spPr>
                    <a:xfrm>
                      <a:off x="0" y="0"/>
                      <a:ext cx="5731510" cy="2593340"/>
                    </a:xfrm>
                    <a:prstGeom prst="rect">
                      <a:avLst/>
                    </a:prstGeom>
                  </pic:spPr>
                </pic:pic>
              </a:graphicData>
            </a:graphic>
          </wp:inline>
        </w:drawing>
      </w:r>
    </w:p>
    <w:p w14:paraId="668F84E8" w14:textId="723107A9" w:rsidR="00982238" w:rsidRPr="004D767B" w:rsidRDefault="00982238" w:rsidP="00746042">
      <w:pPr>
        <w:spacing w:after="120"/>
        <w:rPr>
          <w:sz w:val="20"/>
          <w:szCs w:val="20"/>
        </w:rPr>
      </w:pPr>
      <w:r w:rsidRPr="00800031">
        <w:rPr>
          <w:sz w:val="18"/>
          <w:szCs w:val="18"/>
        </w:rPr>
        <w:t xml:space="preserve">Source: </w:t>
      </w:r>
      <w:r w:rsidR="00E26FD9" w:rsidRPr="00800031">
        <w:rPr>
          <w:sz w:val="18"/>
          <w:szCs w:val="18"/>
        </w:rPr>
        <w:t>ABS, Census of Population and Housing, 2021; JSA</w:t>
      </w:r>
      <w:r w:rsidRPr="00800031">
        <w:rPr>
          <w:sz w:val="18"/>
          <w:szCs w:val="18"/>
        </w:rPr>
        <w:t xml:space="preserve">, Survey of Employers who have </w:t>
      </w:r>
      <w:r w:rsidR="004D767B" w:rsidRPr="00800031">
        <w:rPr>
          <w:sz w:val="18"/>
          <w:szCs w:val="18"/>
        </w:rPr>
        <w:t>R</w:t>
      </w:r>
      <w:r w:rsidRPr="00800031">
        <w:rPr>
          <w:sz w:val="18"/>
          <w:szCs w:val="18"/>
        </w:rPr>
        <w:t xml:space="preserve">ecently </w:t>
      </w:r>
      <w:r w:rsidR="004D767B" w:rsidRPr="00800031">
        <w:rPr>
          <w:sz w:val="18"/>
          <w:szCs w:val="18"/>
        </w:rPr>
        <w:t>A</w:t>
      </w:r>
      <w:r w:rsidRPr="00800031">
        <w:rPr>
          <w:sz w:val="18"/>
          <w:szCs w:val="18"/>
        </w:rPr>
        <w:t>dvertised (SERA).</w:t>
      </w:r>
      <w:r w:rsidRPr="004D767B">
        <w:rPr>
          <w:sz w:val="18"/>
          <w:szCs w:val="18"/>
        </w:rPr>
        <w:t xml:space="preserve"> </w:t>
      </w:r>
      <w:r w:rsidRPr="004D767B">
        <w:rPr>
          <w:sz w:val="18"/>
          <w:szCs w:val="18"/>
        </w:rPr>
        <w:br/>
        <w:t>Note: The width of the box indicates the fill rates between the 1</w:t>
      </w:r>
      <w:r w:rsidRPr="004D767B">
        <w:rPr>
          <w:sz w:val="18"/>
          <w:szCs w:val="18"/>
          <w:vertAlign w:val="superscript"/>
        </w:rPr>
        <w:t>st</w:t>
      </w:r>
      <w:r w:rsidRPr="004D767B">
        <w:rPr>
          <w:sz w:val="18"/>
          <w:szCs w:val="18"/>
        </w:rPr>
        <w:t xml:space="preserve"> and 3</w:t>
      </w:r>
      <w:r w:rsidRPr="004D767B">
        <w:rPr>
          <w:sz w:val="18"/>
          <w:szCs w:val="18"/>
          <w:vertAlign w:val="superscript"/>
        </w:rPr>
        <w:t>rd</w:t>
      </w:r>
      <w:r w:rsidRPr="004D767B">
        <w:rPr>
          <w:sz w:val="18"/>
          <w:szCs w:val="18"/>
        </w:rPr>
        <w:t xml:space="preserve"> quartiles for each sub-major group. The central line represents the median or middle value. The box’s colour gradient, from light to dark purple, represents the gender distribution within that sub-major occupation, with the darker shades indicating gender skewed towards female (left hand side) or male (right hand side). The lines to either side of the box represent the minimum and maximum values of fill rates for occupations within the group. </w:t>
      </w:r>
    </w:p>
    <w:p w14:paraId="2AEA9C50" w14:textId="77777777" w:rsidR="00982238" w:rsidRPr="004D767B" w:rsidRDefault="00982238" w:rsidP="00982238">
      <w:bookmarkStart w:id="36" w:name="_Hlk150887244"/>
      <w:r w:rsidRPr="004D767B">
        <w:t xml:space="preserve">Improving the inflow of women into male dominated occupations is a complex proposition, requiring changes to societal norms, workplace culture and conditions as well effectively encouraging more women to pursue trade–based VET qualifications. Given the weaker link between fill rates and gender inequality among female dominated occupations, the analysis suggests a set of solutions pertaining to general worker (either male or female) attraction and retention to alleviating skill shortage pressures. </w:t>
      </w:r>
    </w:p>
    <w:p w14:paraId="057B6F59" w14:textId="302B72AF" w:rsidR="00982238" w:rsidRPr="004D767B" w:rsidRDefault="00982238" w:rsidP="00B51941">
      <w:pPr>
        <w:pStyle w:val="Heading4"/>
      </w:pPr>
      <w:bookmarkStart w:id="37" w:name="_Toc151460482"/>
      <w:bookmarkStart w:id="38" w:name="_Hlk150887290"/>
      <w:bookmarkEnd w:id="36"/>
      <w:r w:rsidRPr="004D767B">
        <w:t xml:space="preserve">Fill rates between 2006 and </w:t>
      </w:r>
      <w:proofErr w:type="gramStart"/>
      <w:r w:rsidRPr="004D767B">
        <w:t>2023</w:t>
      </w:r>
      <w:bookmarkEnd w:id="37"/>
      <w:proofErr w:type="gramEnd"/>
    </w:p>
    <w:p w14:paraId="6B6B6B57" w14:textId="63F04470" w:rsidR="00982238" w:rsidRPr="004D767B" w:rsidRDefault="00982238" w:rsidP="00982238">
      <w:r w:rsidRPr="004D767B">
        <w:t>The relationship between gender inequality and fill rates in male dominated occupations has changed over time. During the 2006 and 2015</w:t>
      </w:r>
      <w:r w:rsidR="000533DF">
        <w:t xml:space="preserve"> period</w:t>
      </w:r>
      <w:r w:rsidRPr="004D767B">
        <w:t>, the relationship at high levels of inequality is positive and statistically significant (left hand side of</w:t>
      </w:r>
      <w:r w:rsidR="00746042" w:rsidRPr="004D767B">
        <w:t xml:space="preserve"> Figure 11</w:t>
      </w:r>
      <w:r w:rsidRPr="004D767B">
        <w:t xml:space="preserve">). This could be attributable to the impact of the mining boom and large skilled migration over that time. </w:t>
      </w:r>
    </w:p>
    <w:p w14:paraId="1301E9C9" w14:textId="21ABC300" w:rsidR="00982238" w:rsidRPr="004D767B" w:rsidRDefault="00982238" w:rsidP="00982238">
      <w:r w:rsidRPr="004D767B">
        <w:t xml:space="preserve">While the mining industry employs a wide variety of low and high skilled occupations, occupations are generally heavily skewed towards males. During the boom, high wage growth supported rapid growth in employment in the industry. In turn, fill rates rose. During this period, skilled </w:t>
      </w:r>
      <w:r w:rsidRPr="004D767B">
        <w:lastRenderedPageBreak/>
        <w:t xml:space="preserve">migration also increased and peaked around 2016, assisting employers to fill vacancies. It is possible that these developments masked the true relationship between gender inequality and fill rates among male dominated occupations, which reverted to their </w:t>
      </w:r>
      <w:r w:rsidR="00746042" w:rsidRPr="004D767B">
        <w:rPr>
          <w:b/>
          <w:bCs/>
          <w:noProof/>
          <w:color w:val="2B579A"/>
          <w:sz w:val="20"/>
          <w:szCs w:val="20"/>
          <w:shd w:val="clear" w:color="auto" w:fill="E6E6E6"/>
          <w14:ligatures w14:val="standard"/>
          <w14:numForm w14:val="lining"/>
          <w14:numSpacing w14:val="proportional"/>
        </w:rPr>
        <mc:AlternateContent>
          <mc:Choice Requires="wpg">
            <w:drawing>
              <wp:anchor distT="0" distB="0" distL="114300" distR="114300" simplePos="0" relativeHeight="251677184" behindDoc="1" locked="0" layoutInCell="1" allowOverlap="1" wp14:anchorId="423E4DF2" wp14:editId="08768385">
                <wp:simplePos x="0" y="0"/>
                <wp:positionH relativeFrom="margin">
                  <wp:posOffset>-341194</wp:posOffset>
                </wp:positionH>
                <wp:positionV relativeFrom="page">
                  <wp:posOffset>675564</wp:posOffset>
                </wp:positionV>
                <wp:extent cx="6388100" cy="4019266"/>
                <wp:effectExtent l="0" t="0" r="0" b="635"/>
                <wp:wrapNone/>
                <wp:docPr id="98533947" name="Group 985339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88100" cy="4019266"/>
                          <a:chOff x="0" y="0"/>
                          <a:chExt cx="5577937" cy="3722400"/>
                        </a:xfrm>
                      </wpg:grpSpPr>
                      <wps:wsp>
                        <wps:cNvPr id="625773208" name="Rectangle 625773208">
                          <a:extLst>
                            <a:ext uri="{C183D7F6-B498-43B3-948B-1728B52AA6E4}">
                              <adec:decorative xmlns:adec="http://schemas.microsoft.com/office/drawing/2017/decorative" val="1"/>
                            </a:ext>
                          </a:extLst>
                        </wps:cNvPr>
                        <wps:cNvSpPr/>
                        <wps:spPr>
                          <a:xfrm>
                            <a:off x="0" y="0"/>
                            <a:ext cx="5577937" cy="3721100"/>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rgbClr r="0" g="0" b="0"/>
                          </a:effectRef>
                          <a:fontRef idx="minor">
                            <a:schemeClr val="lt1"/>
                          </a:fontRef>
                        </wps:style>
                        <wps:txbx>
                          <w:txbxContent>
                            <w:p w14:paraId="2A1AA93B" w14:textId="77777777" w:rsidR="000B2A2B" w:rsidRPr="00B93C08" w:rsidRDefault="000B2A2B" w:rsidP="000B2A2B">
                              <w:pPr>
                                <w:pStyle w:val="Bodycopy"/>
                                <w:spacing w:before="160" w:after="0" w:line="276" w:lineRule="auto"/>
                                <w:rPr>
                                  <w14:numForm w14:val="lining"/>
                                  <w14:numSpacing w14:val="proportional"/>
                                </w:rPr>
                              </w:pPr>
                            </w:p>
                          </w:txbxContent>
                        </wps:txbx>
                        <wps:bodyPr spcFirstLastPara="0" wrap="square" lIns="288000" tIns="108000" rIns="144000" bIns="108000" anchor="t">
                          <a:noAutofit/>
                        </wps:bodyPr>
                      </wps:wsp>
                      <wps:wsp>
                        <wps:cNvPr id="1797298681" name="Rectangle 1797298681"/>
                        <wps:cNvSpPr/>
                        <wps:spPr>
                          <a:xfrm>
                            <a:off x="0" y="0"/>
                            <a:ext cx="133350" cy="3722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23E4DF2" id="Group 98533947" o:spid="_x0000_s1033" alt="&quot;&quot;" style="position:absolute;margin-left:-26.85pt;margin-top:53.2pt;width:503pt;height:316.5pt;z-index:-251639296;mso-position-horizontal-relative:margin;mso-position-vertical-relative:page" coordsize="55779,37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">
                <v:rect id="Rectangle 625773208" o:spid="_x0000_s1034" alt="&quot;&quot;" style="position:absolute;width:55779;height:37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" fillcolor="#f2f2f2 [3052]" stroked="f" strokeweight="1pt">
                  <v:textbox inset="8mm,3mm,4mm,3mm">
                    <w:txbxContent>
                      <w:p w14:paraId="2A1AA93B" w14:textId="77777777" w:rsidR="000B2A2B" w:rsidRPr="00B93C08" w:rsidRDefault="000B2A2B" w:rsidP="000B2A2B">
                        <w:pPr>
                          <w:pStyle w:val="Bodycopy"/>
                          <w:spacing w:before="160" w:after="0" w:line="276" w:lineRule="auto"/>
                          <w:rPr>
                            <w14:numForm w14:val="lining"/>
                            <w14:numSpacing w14:val="proportional"/>
                          </w:rPr>
                        </w:pPr>
                      </w:p>
                    </w:txbxContent>
                  </v:textbox>
                </v:rect>
                <v:rect id="Rectangle 1797298681" o:spid="_x0000_s1035" style="position:absolute;width:1333;height:37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" fillcolor="#d2de5a [3214]" stroked="f" strokeweight="1pt"/>
                <w10:wrap anchorx="margin" anchory="page"/>
              </v:group>
            </w:pict>
          </mc:Fallback>
        </mc:AlternateContent>
      </w:r>
      <w:r w:rsidRPr="004D767B">
        <w:t>true (negative) relationship once the mining boom ended and skilled migration started easing (right hand side of</w:t>
      </w:r>
      <w:r w:rsidR="00746042" w:rsidRPr="004D767B">
        <w:t xml:space="preserve"> Figure 11</w:t>
      </w:r>
      <w:r w:rsidRPr="004D767B">
        <w:t>).</w:t>
      </w:r>
    </w:p>
    <w:p w14:paraId="4B727D30" w14:textId="7D0AC81C" w:rsidR="00982238" w:rsidRPr="00800031" w:rsidRDefault="00982238" w:rsidP="00412E44">
      <w:pPr>
        <w:keepNext/>
        <w:spacing w:after="200" w:line="240" w:lineRule="auto"/>
        <w:rPr>
          <w:b/>
          <w:bCs/>
          <w:sz w:val="20"/>
          <w:szCs w:val="20"/>
        </w:rPr>
      </w:pPr>
      <w:bookmarkStart w:id="39" w:name="_Ref165042128"/>
      <w:bookmarkStart w:id="40" w:name="_Ref165042123"/>
      <w:bookmarkEnd w:id="38"/>
      <w:r w:rsidRPr="004D767B">
        <w:rPr>
          <w:b/>
          <w:bCs/>
          <w:sz w:val="20"/>
          <w:szCs w:val="20"/>
        </w:rPr>
        <w:t>F</w:t>
      </w:r>
      <w:r w:rsidRPr="00800031">
        <w:rPr>
          <w:b/>
          <w:bCs/>
          <w:sz w:val="20"/>
          <w:szCs w:val="20"/>
        </w:rPr>
        <w:t xml:space="preserve">igure </w:t>
      </w:r>
      <w:bookmarkEnd w:id="39"/>
      <w:r w:rsidR="00746042" w:rsidRPr="00800031">
        <w:rPr>
          <w:b/>
          <w:bCs/>
          <w:sz w:val="20"/>
          <w:szCs w:val="20"/>
        </w:rPr>
        <w:t>11</w:t>
      </w:r>
      <w:r w:rsidRPr="00800031">
        <w:rPr>
          <w:b/>
          <w:bCs/>
          <w:sz w:val="20"/>
          <w:szCs w:val="20"/>
        </w:rPr>
        <w:t>: Fill rate and gender inequality in male dominated occupations in 2006–2015 versus 2016–</w:t>
      </w:r>
      <w:proofErr w:type="gramStart"/>
      <w:r w:rsidRPr="00800031">
        <w:rPr>
          <w:b/>
          <w:bCs/>
          <w:sz w:val="20"/>
          <w:szCs w:val="20"/>
        </w:rPr>
        <w:t>2023</w:t>
      </w:r>
      <w:bookmarkEnd w:id="40"/>
      <w:proofErr w:type="gramEnd"/>
    </w:p>
    <w:p w14:paraId="02398AFC" w14:textId="3487261E" w:rsidR="00982238" w:rsidRPr="00800031" w:rsidRDefault="00746042" w:rsidP="00982238">
      <w:r w:rsidRPr="00800031">
        <w:rPr>
          <w:noProof/>
        </w:rPr>
        <w:drawing>
          <wp:inline distT="0" distB="0" distL="0" distR="0" wp14:anchorId="3FCE1EB8" wp14:editId="27A9E71F">
            <wp:extent cx="5731510" cy="2348865"/>
            <wp:effectExtent l="0" t="0" r="2540" b="0"/>
            <wp:docPr id="727939993" name="Picture 7" descr="Similar to Figure 9, Figure 11 is a scatter plot that shows the relationship between gender inequality, measured on the horizontal axis, and fill rates, on the vertical axis, for male dominated occupations only and in two different time periods. In 2006-2015, the dots gathered around a predicted line which trended upwards. This indicates a positive relationship between gender inequality and fill rates for male dominated occupations in the period. However, as shown before in Figure 9, after 2016, the dots gathered around a downward trending predicted line for male dominated occupations, indicating a negative relationship between fill rates and gender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39993" name="Picture 7" descr="Similar to Figure 9, Figure 11 is a scatter plot that shows the relationship between gender inequality, measured on the horizontal axis, and fill rates, on the vertical axis, for male dominated occupations only and in two different time periods. In 2006-2015, the dots gathered around a predicted line which trended upwards. This indicates a positive relationship between gender inequality and fill rates for male dominated occupations in the period. However, as shown before in Figure 9, after 2016, the dots gathered around a downward trending predicted line for male dominated occupations, indicating a negative relationship between fill rates and gender inequality."/>
                    <pic:cNvPicPr/>
                  </pic:nvPicPr>
                  <pic:blipFill>
                    <a:blip r:embed="rId34">
                      <a:extLst>
                        <a:ext uri="{28A0092B-C50C-407E-A947-70E740481C1C}">
                          <a14:useLocalDpi xmlns:a14="http://schemas.microsoft.com/office/drawing/2010/main" val="0"/>
                        </a:ext>
                      </a:extLst>
                    </a:blip>
                    <a:stretch>
                      <a:fillRect/>
                    </a:stretch>
                  </pic:blipFill>
                  <pic:spPr>
                    <a:xfrm>
                      <a:off x="0" y="0"/>
                      <a:ext cx="5731510" cy="2348865"/>
                    </a:xfrm>
                    <a:prstGeom prst="rect">
                      <a:avLst/>
                    </a:prstGeom>
                  </pic:spPr>
                </pic:pic>
              </a:graphicData>
            </a:graphic>
          </wp:inline>
        </w:drawing>
      </w:r>
    </w:p>
    <w:p w14:paraId="6F524691" w14:textId="10CD0637" w:rsidR="0032250A" w:rsidRPr="00B93C08" w:rsidRDefault="00982238" w:rsidP="00101673">
      <w:pPr>
        <w:spacing w:before="120" w:after="120"/>
      </w:pPr>
      <w:r w:rsidRPr="00800031">
        <w:rPr>
          <w:sz w:val="18"/>
          <w:szCs w:val="18"/>
        </w:rPr>
        <w:t xml:space="preserve">Source: </w:t>
      </w:r>
      <w:r w:rsidR="00E26FD9" w:rsidRPr="00800031">
        <w:rPr>
          <w:sz w:val="18"/>
          <w:szCs w:val="18"/>
        </w:rPr>
        <w:t>ABS, Census of Population and Housing, 2006, 2011, 2016 and 2021; JSA</w:t>
      </w:r>
      <w:r w:rsidRPr="00800031">
        <w:rPr>
          <w:sz w:val="18"/>
          <w:szCs w:val="18"/>
        </w:rPr>
        <w:t xml:space="preserve">, Survey of Employers who have </w:t>
      </w:r>
      <w:r w:rsidR="004D767B" w:rsidRPr="00800031">
        <w:rPr>
          <w:sz w:val="18"/>
          <w:szCs w:val="18"/>
        </w:rPr>
        <w:t>R</w:t>
      </w:r>
      <w:r w:rsidRPr="00800031">
        <w:rPr>
          <w:sz w:val="18"/>
          <w:szCs w:val="18"/>
        </w:rPr>
        <w:t xml:space="preserve">ecently </w:t>
      </w:r>
      <w:r w:rsidR="004D767B" w:rsidRPr="00800031">
        <w:rPr>
          <w:sz w:val="18"/>
          <w:szCs w:val="18"/>
        </w:rPr>
        <w:t>A</w:t>
      </w:r>
      <w:r w:rsidRPr="00800031">
        <w:rPr>
          <w:sz w:val="18"/>
          <w:szCs w:val="18"/>
        </w:rPr>
        <w:t>dvertised</w:t>
      </w:r>
      <w:r w:rsidRPr="004D767B">
        <w:rPr>
          <w:sz w:val="18"/>
          <w:szCs w:val="18"/>
        </w:rPr>
        <w:t xml:space="preserve"> (SERA)</w:t>
      </w:r>
      <w:r w:rsidRPr="00B93C08">
        <w:rPr>
          <w:sz w:val="18"/>
          <w:szCs w:val="18"/>
        </w:rPr>
        <w:t>.</w:t>
      </w:r>
      <w:r w:rsidR="0032250A" w:rsidRPr="00B93C08">
        <w:br w:type="page"/>
      </w:r>
    </w:p>
    <w:p w14:paraId="316251AA" w14:textId="18617F03" w:rsidR="008564DD" w:rsidRPr="00B93C08" w:rsidRDefault="008564DD" w:rsidP="00320647">
      <w:pPr>
        <w:pStyle w:val="Heading1"/>
      </w:pPr>
      <w:bookmarkStart w:id="41" w:name="_Toc166140503"/>
      <w:r w:rsidRPr="00B93C08">
        <w:lastRenderedPageBreak/>
        <w:t>How are the states and territories faring?</w:t>
      </w:r>
      <w:bookmarkEnd w:id="31"/>
      <w:bookmarkEnd w:id="41"/>
    </w:p>
    <w:p w14:paraId="23E3AB3F" w14:textId="77777777" w:rsidR="008564DD" w:rsidRPr="00B93C08" w:rsidRDefault="008564DD" w:rsidP="00320647">
      <w:pPr>
        <w:pStyle w:val="Heading2"/>
      </w:pPr>
      <w:bookmarkStart w:id="42" w:name="_Toc151365186"/>
      <w:bookmarkStart w:id="43" w:name="_Toc166140504"/>
      <w:r w:rsidRPr="00B93C08">
        <w:t xml:space="preserve">State and territory labour market </w:t>
      </w:r>
      <w:proofErr w:type="gramStart"/>
      <w:r w:rsidRPr="00B93C08">
        <w:t>outcomes</w:t>
      </w:r>
      <w:bookmarkEnd w:id="42"/>
      <w:bookmarkEnd w:id="43"/>
      <w:proofErr w:type="gramEnd"/>
    </w:p>
    <w:p w14:paraId="0CB7FC5D" w14:textId="77777777" w:rsidR="002229E4" w:rsidRPr="004D767B" w:rsidRDefault="002229E4" w:rsidP="002229E4">
      <w:r w:rsidRPr="004D767B">
        <w:t>Employment rose in 6 out of 8 jurisdictions over the March quarter 2024, with the largest increase occurring in Victoria (up by 40,900 or 1.1%), followed by Western Australia (up by 30,600 or 1.9%) — see Table 3.</w:t>
      </w:r>
    </w:p>
    <w:p w14:paraId="09593C3A" w14:textId="77777777" w:rsidR="002229E4" w:rsidRPr="004D767B" w:rsidRDefault="002229E4" w:rsidP="002229E4">
      <w:r w:rsidRPr="004D767B">
        <w:t xml:space="preserve">Six jurisdictions recorded an unemployment rate below 4.0% in March 2024, with the lowest rate recorded in the Australian Capital Territory (of 2.9%), followed by Western Australia (of 3.4%). Victoria and Queensland recorded the equal highest unemployment rate in March 2024 (of 4.1%). </w:t>
      </w:r>
    </w:p>
    <w:p w14:paraId="3F6838A3" w14:textId="77777777" w:rsidR="002229E4" w:rsidRPr="004D767B" w:rsidRDefault="002229E4" w:rsidP="002229E4">
      <w:r w:rsidRPr="004D767B">
        <w:t>The Northern Territory recorded the highest participation rate, of 73.5% in March 2024, while Tasmania recorded the lowest participation rate, of 61.0%.</w:t>
      </w:r>
    </w:p>
    <w:p w14:paraId="5D34757C" w14:textId="43111D0A" w:rsidR="006B239B" w:rsidRPr="00B93C08" w:rsidRDefault="006B239B" w:rsidP="006B239B">
      <w:pPr>
        <w:pStyle w:val="ChartandTablelabel"/>
        <w:rPr>
          <w:rFonts w:asciiTheme="minorHAnsi" w:hAnsiTheme="minorHAnsi"/>
          <w:lang w:val="en-AU"/>
        </w:rPr>
      </w:pPr>
      <w:r w:rsidRPr="004D767B">
        <w:rPr>
          <w:rFonts w:asciiTheme="minorHAnsi" w:hAnsiTheme="minorHAnsi"/>
          <w:lang w:val="en-AU"/>
        </w:rPr>
        <w:t xml:space="preserve">Table </w:t>
      </w:r>
      <w:r w:rsidR="000F70BC" w:rsidRPr="004D767B">
        <w:rPr>
          <w:rFonts w:asciiTheme="minorHAnsi" w:hAnsiTheme="minorHAnsi"/>
          <w:lang w:val="en-AU"/>
        </w:rPr>
        <w:t>3</w:t>
      </w:r>
      <w:r w:rsidRPr="004D767B">
        <w:rPr>
          <w:rFonts w:asciiTheme="minorHAnsi" w:hAnsiTheme="minorHAnsi"/>
          <w:lang w:val="en-AU"/>
        </w:rPr>
        <w:t xml:space="preserve">: Key labour market indicators by state and territory, </w:t>
      </w:r>
      <w:r w:rsidR="002229E4" w:rsidRPr="004D767B">
        <w:rPr>
          <w:rFonts w:asciiTheme="minorHAnsi" w:hAnsiTheme="minorHAnsi"/>
          <w:lang w:val="en-AU"/>
        </w:rPr>
        <w:t>March</w:t>
      </w:r>
      <w:r w:rsidRPr="004D767B">
        <w:rPr>
          <w:rFonts w:asciiTheme="minorHAnsi" w:hAnsiTheme="minorHAnsi"/>
          <w:lang w:val="en-AU"/>
        </w:rPr>
        <w:t xml:space="preserve"> 202</w:t>
      </w:r>
      <w:r w:rsidR="002229E4" w:rsidRPr="004D767B">
        <w:rPr>
          <w:rFonts w:asciiTheme="minorHAnsi" w:hAnsiTheme="minorHAnsi"/>
          <w:lang w:val="en-AU"/>
        </w:rPr>
        <w:t>4</w:t>
      </w:r>
    </w:p>
    <w:tbl>
      <w:tblPr>
        <w:tblW w:w="9520" w:type="dxa"/>
        <w:tblLook w:val="04A0" w:firstRow="1" w:lastRow="0" w:firstColumn="1" w:lastColumn="0" w:noHBand="0" w:noVBand="1"/>
      </w:tblPr>
      <w:tblGrid>
        <w:gridCol w:w="2742"/>
        <w:gridCol w:w="995"/>
        <w:gridCol w:w="950"/>
        <w:gridCol w:w="943"/>
        <w:gridCol w:w="947"/>
        <w:gridCol w:w="998"/>
        <w:gridCol w:w="947"/>
        <w:gridCol w:w="998"/>
      </w:tblGrid>
      <w:tr w:rsidR="0035714A" w:rsidRPr="00B93C08" w14:paraId="4214F5FD" w14:textId="77777777" w:rsidTr="002229E4">
        <w:trPr>
          <w:trHeight w:val="300"/>
        </w:trPr>
        <w:tc>
          <w:tcPr>
            <w:tcW w:w="2742" w:type="dxa"/>
            <w:vMerge w:val="restart"/>
            <w:tcBorders>
              <w:top w:val="nil"/>
              <w:left w:val="nil"/>
              <w:bottom w:val="nil"/>
              <w:right w:val="nil"/>
            </w:tcBorders>
            <w:shd w:val="clear" w:color="000000" w:fill="012749"/>
            <w:vAlign w:val="center"/>
            <w:hideMark/>
          </w:tcPr>
          <w:p w14:paraId="408BEFA9" w14:textId="77777777" w:rsidR="0035714A" w:rsidRPr="00B93C08" w:rsidRDefault="0035714A">
            <w:pPr>
              <w:spacing w:after="0" w:line="240" w:lineRule="auto"/>
              <w:rPr>
                <w:rFonts w:asciiTheme="majorHAnsi" w:eastAsia="Times New Roman" w:hAnsiTheme="majorHAnsi" w:cstheme="majorHAnsi"/>
                <w:color w:val="000000"/>
                <w:sz w:val="20"/>
                <w:szCs w:val="20"/>
                <w:lang w:eastAsia="en-AU"/>
              </w:rPr>
            </w:pPr>
            <w:r w:rsidRPr="00B93C08">
              <w:rPr>
                <w:rFonts w:asciiTheme="majorHAnsi" w:eastAsia="Times New Roman" w:hAnsiTheme="majorHAnsi" w:cstheme="majorHAnsi"/>
                <w:color w:val="000000"/>
                <w:sz w:val="20"/>
                <w:szCs w:val="20"/>
                <w:lang w:eastAsia="en-AU"/>
              </w:rPr>
              <w:t> </w:t>
            </w:r>
          </w:p>
        </w:tc>
        <w:tc>
          <w:tcPr>
            <w:tcW w:w="2888" w:type="dxa"/>
            <w:gridSpan w:val="3"/>
            <w:vMerge w:val="restart"/>
            <w:tcBorders>
              <w:top w:val="nil"/>
              <w:left w:val="nil"/>
              <w:right w:val="nil"/>
            </w:tcBorders>
            <w:shd w:val="clear" w:color="000000" w:fill="012749"/>
            <w:vAlign w:val="center"/>
            <w:hideMark/>
          </w:tcPr>
          <w:p w14:paraId="53760986" w14:textId="77777777" w:rsidR="0035714A" w:rsidRPr="00785336" w:rsidRDefault="0035714A">
            <w:pPr>
              <w:spacing w:after="0" w:line="240" w:lineRule="auto"/>
              <w:jc w:val="center"/>
              <w:rPr>
                <w:rFonts w:asciiTheme="majorHAnsi" w:eastAsia="Times New Roman" w:hAnsiTheme="majorHAnsi" w:cstheme="majorHAnsi"/>
                <w:bCs/>
                <w:color w:val="FFFFFF"/>
                <w:sz w:val="19"/>
                <w:szCs w:val="19"/>
                <w:lang w:eastAsia="en-AU"/>
              </w:rPr>
            </w:pPr>
            <w:r w:rsidRPr="00785336">
              <w:rPr>
                <w:rFonts w:asciiTheme="majorHAnsi" w:eastAsia="Times New Roman" w:hAnsiTheme="majorHAnsi" w:cstheme="majorHAnsi"/>
                <w:bCs/>
                <w:color w:val="FFFFFF"/>
                <w:sz w:val="19"/>
                <w:szCs w:val="19"/>
                <w:lang w:eastAsia="en-AU"/>
              </w:rPr>
              <w:t>Employment ('000)</w:t>
            </w:r>
          </w:p>
        </w:tc>
        <w:tc>
          <w:tcPr>
            <w:tcW w:w="1945" w:type="dxa"/>
            <w:gridSpan w:val="2"/>
            <w:tcBorders>
              <w:top w:val="nil"/>
              <w:left w:val="nil"/>
              <w:right w:val="nil"/>
            </w:tcBorders>
            <w:shd w:val="clear" w:color="000000" w:fill="012749"/>
            <w:vAlign w:val="center"/>
            <w:hideMark/>
          </w:tcPr>
          <w:p w14:paraId="72583F6E" w14:textId="77777777" w:rsidR="0035714A" w:rsidRPr="00785336" w:rsidRDefault="0035714A">
            <w:pPr>
              <w:spacing w:after="0" w:line="240" w:lineRule="auto"/>
              <w:jc w:val="center"/>
              <w:rPr>
                <w:rFonts w:asciiTheme="majorHAnsi" w:eastAsia="Times New Roman" w:hAnsiTheme="majorHAnsi" w:cstheme="majorHAnsi"/>
                <w:bCs/>
                <w:color w:val="FFFFFF"/>
                <w:sz w:val="19"/>
                <w:szCs w:val="19"/>
                <w:lang w:eastAsia="en-AU"/>
              </w:rPr>
            </w:pPr>
            <w:r w:rsidRPr="00785336">
              <w:rPr>
                <w:rFonts w:asciiTheme="majorHAnsi" w:eastAsia="Times New Roman" w:hAnsiTheme="majorHAnsi" w:cstheme="majorHAnsi"/>
                <w:bCs/>
                <w:color w:val="FFFFFF"/>
                <w:sz w:val="19"/>
                <w:szCs w:val="19"/>
                <w:lang w:eastAsia="en-AU"/>
              </w:rPr>
              <w:t>Unemployment</w:t>
            </w:r>
          </w:p>
        </w:tc>
        <w:tc>
          <w:tcPr>
            <w:tcW w:w="1945" w:type="dxa"/>
            <w:gridSpan w:val="2"/>
            <w:tcBorders>
              <w:top w:val="nil"/>
              <w:left w:val="nil"/>
              <w:right w:val="nil"/>
            </w:tcBorders>
            <w:shd w:val="clear" w:color="000000" w:fill="012749"/>
            <w:vAlign w:val="center"/>
            <w:hideMark/>
          </w:tcPr>
          <w:p w14:paraId="3E86526D" w14:textId="77777777" w:rsidR="0035714A" w:rsidRPr="00785336" w:rsidRDefault="0035714A">
            <w:pPr>
              <w:spacing w:after="0" w:line="240" w:lineRule="auto"/>
              <w:jc w:val="center"/>
              <w:rPr>
                <w:rFonts w:asciiTheme="majorHAnsi" w:eastAsia="Times New Roman" w:hAnsiTheme="majorHAnsi" w:cstheme="majorHAnsi"/>
                <w:bCs/>
                <w:color w:val="FFFFFF"/>
                <w:sz w:val="19"/>
                <w:szCs w:val="19"/>
                <w:lang w:eastAsia="en-AU"/>
              </w:rPr>
            </w:pPr>
            <w:r w:rsidRPr="00785336">
              <w:rPr>
                <w:rFonts w:asciiTheme="majorHAnsi" w:eastAsia="Times New Roman" w:hAnsiTheme="majorHAnsi" w:cstheme="majorHAnsi"/>
                <w:bCs/>
                <w:color w:val="FFFFFF"/>
                <w:sz w:val="19"/>
                <w:szCs w:val="19"/>
                <w:lang w:eastAsia="en-AU"/>
              </w:rPr>
              <w:t>Participation</w:t>
            </w:r>
          </w:p>
        </w:tc>
      </w:tr>
      <w:tr w:rsidR="0035714A" w:rsidRPr="00B93C08" w14:paraId="69B51BFE" w14:textId="77777777" w:rsidTr="002229E4">
        <w:trPr>
          <w:trHeight w:val="315"/>
        </w:trPr>
        <w:tc>
          <w:tcPr>
            <w:tcW w:w="2742" w:type="dxa"/>
            <w:vMerge/>
            <w:tcBorders>
              <w:top w:val="nil"/>
              <w:left w:val="nil"/>
              <w:bottom w:val="nil"/>
              <w:right w:val="nil"/>
            </w:tcBorders>
            <w:vAlign w:val="center"/>
            <w:hideMark/>
          </w:tcPr>
          <w:p w14:paraId="392DD54F" w14:textId="77777777" w:rsidR="0035714A" w:rsidRPr="00B93C08" w:rsidRDefault="0035714A">
            <w:pPr>
              <w:spacing w:after="0" w:line="240" w:lineRule="auto"/>
              <w:rPr>
                <w:rFonts w:asciiTheme="majorHAnsi" w:eastAsia="Times New Roman" w:hAnsiTheme="majorHAnsi" w:cstheme="majorHAnsi"/>
                <w:color w:val="000000"/>
                <w:sz w:val="20"/>
                <w:szCs w:val="20"/>
                <w:lang w:eastAsia="en-AU"/>
              </w:rPr>
            </w:pPr>
          </w:p>
        </w:tc>
        <w:tc>
          <w:tcPr>
            <w:tcW w:w="2888" w:type="dxa"/>
            <w:gridSpan w:val="3"/>
            <w:vMerge/>
            <w:tcBorders>
              <w:top w:val="nil"/>
              <w:left w:val="nil"/>
              <w:bottom w:val="single" w:sz="4" w:space="0" w:color="FFFFFF" w:themeColor="background1"/>
              <w:right w:val="nil"/>
            </w:tcBorders>
            <w:vAlign w:val="center"/>
            <w:hideMark/>
          </w:tcPr>
          <w:p w14:paraId="2E5D0ED8" w14:textId="77777777" w:rsidR="0035714A" w:rsidRPr="00785336" w:rsidRDefault="0035714A">
            <w:pPr>
              <w:spacing w:after="0" w:line="240" w:lineRule="auto"/>
              <w:rPr>
                <w:rFonts w:asciiTheme="majorHAnsi" w:eastAsia="Times New Roman" w:hAnsiTheme="majorHAnsi" w:cstheme="majorHAnsi"/>
                <w:bCs/>
                <w:color w:val="FFFFFF"/>
                <w:sz w:val="19"/>
                <w:szCs w:val="19"/>
                <w:lang w:eastAsia="en-AU"/>
              </w:rPr>
            </w:pPr>
          </w:p>
        </w:tc>
        <w:tc>
          <w:tcPr>
            <w:tcW w:w="1945" w:type="dxa"/>
            <w:gridSpan w:val="2"/>
            <w:tcBorders>
              <w:top w:val="nil"/>
              <w:left w:val="nil"/>
              <w:bottom w:val="single" w:sz="4" w:space="0" w:color="FFFFFF" w:themeColor="background1"/>
              <w:right w:val="nil"/>
            </w:tcBorders>
            <w:shd w:val="clear" w:color="000000" w:fill="012749"/>
            <w:vAlign w:val="center"/>
            <w:hideMark/>
          </w:tcPr>
          <w:p w14:paraId="430F3176" w14:textId="77777777" w:rsidR="0035714A" w:rsidRPr="00785336" w:rsidRDefault="0035714A">
            <w:pPr>
              <w:spacing w:after="0" w:line="240" w:lineRule="auto"/>
              <w:jc w:val="center"/>
              <w:rPr>
                <w:rFonts w:asciiTheme="majorHAnsi" w:eastAsia="Times New Roman" w:hAnsiTheme="majorHAnsi" w:cstheme="majorHAnsi"/>
                <w:bCs/>
                <w:color w:val="FFFFFF"/>
                <w:sz w:val="19"/>
                <w:szCs w:val="19"/>
                <w:lang w:eastAsia="en-AU"/>
              </w:rPr>
            </w:pPr>
            <w:r w:rsidRPr="00785336">
              <w:rPr>
                <w:rFonts w:asciiTheme="majorHAnsi" w:eastAsia="Times New Roman" w:hAnsiTheme="majorHAnsi" w:cstheme="majorHAnsi"/>
                <w:bCs/>
                <w:color w:val="FFFFFF"/>
                <w:sz w:val="19"/>
                <w:szCs w:val="19"/>
                <w:lang w:eastAsia="en-AU"/>
              </w:rPr>
              <w:t>rate (%)</w:t>
            </w:r>
          </w:p>
        </w:tc>
        <w:tc>
          <w:tcPr>
            <w:tcW w:w="1945" w:type="dxa"/>
            <w:gridSpan w:val="2"/>
            <w:tcBorders>
              <w:top w:val="nil"/>
              <w:left w:val="nil"/>
              <w:bottom w:val="single" w:sz="4" w:space="0" w:color="FFFFFF" w:themeColor="background1"/>
              <w:right w:val="nil"/>
            </w:tcBorders>
            <w:shd w:val="clear" w:color="000000" w:fill="012749"/>
            <w:vAlign w:val="center"/>
            <w:hideMark/>
          </w:tcPr>
          <w:p w14:paraId="38E9502A" w14:textId="77777777" w:rsidR="0035714A" w:rsidRPr="00785336" w:rsidRDefault="0035714A">
            <w:pPr>
              <w:spacing w:after="0" w:line="240" w:lineRule="auto"/>
              <w:jc w:val="center"/>
              <w:rPr>
                <w:rFonts w:asciiTheme="majorHAnsi" w:eastAsia="Times New Roman" w:hAnsiTheme="majorHAnsi" w:cstheme="majorHAnsi"/>
                <w:bCs/>
                <w:color w:val="FFFFFF"/>
                <w:sz w:val="19"/>
                <w:szCs w:val="19"/>
                <w:lang w:eastAsia="en-AU"/>
              </w:rPr>
            </w:pPr>
            <w:r w:rsidRPr="00785336">
              <w:rPr>
                <w:rFonts w:asciiTheme="majorHAnsi" w:eastAsia="Times New Roman" w:hAnsiTheme="majorHAnsi" w:cstheme="majorHAnsi"/>
                <w:bCs/>
                <w:color w:val="FFFFFF"/>
                <w:sz w:val="19"/>
                <w:szCs w:val="19"/>
                <w:lang w:eastAsia="en-AU"/>
              </w:rPr>
              <w:t>rate (%)</w:t>
            </w:r>
          </w:p>
        </w:tc>
      </w:tr>
      <w:tr w:rsidR="0035714A" w:rsidRPr="00B93C08" w14:paraId="68F44A9D" w14:textId="77777777" w:rsidTr="002229E4">
        <w:trPr>
          <w:trHeight w:val="510"/>
        </w:trPr>
        <w:tc>
          <w:tcPr>
            <w:tcW w:w="2742" w:type="dxa"/>
            <w:vMerge/>
            <w:tcBorders>
              <w:top w:val="nil"/>
              <w:left w:val="nil"/>
              <w:bottom w:val="nil"/>
              <w:right w:val="nil"/>
            </w:tcBorders>
            <w:vAlign w:val="center"/>
            <w:hideMark/>
          </w:tcPr>
          <w:p w14:paraId="63FFDD13" w14:textId="77777777" w:rsidR="0035714A" w:rsidRPr="00B93C08" w:rsidRDefault="0035714A">
            <w:pPr>
              <w:spacing w:after="0" w:line="240" w:lineRule="auto"/>
              <w:rPr>
                <w:rFonts w:asciiTheme="majorHAnsi" w:eastAsia="Times New Roman" w:hAnsiTheme="majorHAnsi" w:cstheme="majorHAnsi"/>
                <w:color w:val="000000"/>
                <w:sz w:val="20"/>
                <w:szCs w:val="20"/>
                <w:lang w:eastAsia="en-AU"/>
              </w:rPr>
            </w:pPr>
          </w:p>
        </w:tc>
        <w:tc>
          <w:tcPr>
            <w:tcW w:w="995" w:type="dxa"/>
            <w:vMerge w:val="restart"/>
            <w:tcBorders>
              <w:top w:val="single" w:sz="4" w:space="0" w:color="FFFFFF" w:themeColor="background1"/>
              <w:left w:val="nil"/>
              <w:bottom w:val="nil"/>
              <w:right w:val="nil"/>
            </w:tcBorders>
            <w:shd w:val="clear" w:color="000000" w:fill="012749"/>
            <w:vAlign w:val="center"/>
            <w:hideMark/>
          </w:tcPr>
          <w:p w14:paraId="69D12121" w14:textId="176D178D" w:rsidR="0035714A" w:rsidRPr="00785336" w:rsidRDefault="002229E4">
            <w:pPr>
              <w:spacing w:after="0" w:line="240" w:lineRule="auto"/>
              <w:jc w:val="center"/>
              <w:rPr>
                <w:rFonts w:asciiTheme="majorHAnsi" w:eastAsia="Times New Roman" w:hAnsiTheme="majorHAnsi" w:cstheme="majorHAnsi"/>
                <w:bCs/>
                <w:color w:val="FFFFFF"/>
                <w:sz w:val="19"/>
                <w:szCs w:val="19"/>
                <w:lang w:eastAsia="en-AU"/>
              </w:rPr>
            </w:pPr>
            <w:r>
              <w:rPr>
                <w:rFonts w:asciiTheme="majorHAnsi" w:eastAsia="Times New Roman" w:hAnsiTheme="majorHAnsi" w:cstheme="majorHAnsi"/>
                <w:bCs/>
                <w:color w:val="FFFFFF"/>
                <w:sz w:val="19"/>
                <w:szCs w:val="19"/>
                <w:lang w:eastAsia="en-AU"/>
              </w:rPr>
              <w:t>Mar</w:t>
            </w:r>
            <w:r w:rsidR="0035714A" w:rsidRPr="00785336">
              <w:rPr>
                <w:rFonts w:asciiTheme="majorHAnsi" w:eastAsia="Times New Roman" w:hAnsiTheme="majorHAnsi" w:cstheme="majorHAnsi"/>
                <w:bCs/>
                <w:color w:val="FFFFFF"/>
                <w:sz w:val="19"/>
                <w:szCs w:val="19"/>
                <w:lang w:eastAsia="en-AU"/>
              </w:rPr>
              <w:t>-2</w:t>
            </w:r>
            <w:r>
              <w:rPr>
                <w:rFonts w:asciiTheme="majorHAnsi" w:eastAsia="Times New Roman" w:hAnsiTheme="majorHAnsi" w:cstheme="majorHAnsi"/>
                <w:bCs/>
                <w:color w:val="FFFFFF"/>
                <w:sz w:val="19"/>
                <w:szCs w:val="19"/>
                <w:lang w:eastAsia="en-AU"/>
              </w:rPr>
              <w:t>4</w:t>
            </w:r>
          </w:p>
        </w:tc>
        <w:tc>
          <w:tcPr>
            <w:tcW w:w="1893" w:type="dxa"/>
            <w:gridSpan w:val="2"/>
            <w:tcBorders>
              <w:top w:val="single" w:sz="4" w:space="0" w:color="FFFFFF" w:themeColor="background1"/>
              <w:left w:val="nil"/>
              <w:bottom w:val="nil"/>
              <w:right w:val="nil"/>
            </w:tcBorders>
            <w:shd w:val="clear" w:color="000000" w:fill="012749"/>
            <w:vAlign w:val="center"/>
            <w:hideMark/>
          </w:tcPr>
          <w:p w14:paraId="16F0D92A" w14:textId="77777777" w:rsidR="0035714A" w:rsidRPr="00785336" w:rsidRDefault="0035714A">
            <w:pPr>
              <w:spacing w:after="0" w:line="240" w:lineRule="auto"/>
              <w:jc w:val="center"/>
              <w:rPr>
                <w:rFonts w:asciiTheme="majorHAnsi" w:eastAsia="Times New Roman" w:hAnsiTheme="majorHAnsi" w:cstheme="majorHAnsi"/>
                <w:bCs/>
                <w:color w:val="FFFFFF"/>
                <w:sz w:val="19"/>
                <w:szCs w:val="19"/>
                <w:lang w:eastAsia="en-AU"/>
              </w:rPr>
            </w:pPr>
            <w:r w:rsidRPr="00785336">
              <w:rPr>
                <w:rFonts w:asciiTheme="majorHAnsi" w:eastAsia="Times New Roman" w:hAnsiTheme="majorHAnsi" w:cstheme="majorHAnsi"/>
                <w:bCs/>
                <w:color w:val="FFFFFF"/>
                <w:sz w:val="19"/>
                <w:szCs w:val="19"/>
                <w:lang w:eastAsia="en-AU"/>
              </w:rPr>
              <w:t>Quarterly change</w:t>
            </w:r>
          </w:p>
        </w:tc>
        <w:tc>
          <w:tcPr>
            <w:tcW w:w="947" w:type="dxa"/>
            <w:vMerge w:val="restart"/>
            <w:tcBorders>
              <w:top w:val="single" w:sz="4" w:space="0" w:color="FFFFFF" w:themeColor="background1"/>
              <w:left w:val="nil"/>
              <w:bottom w:val="nil"/>
              <w:right w:val="nil"/>
            </w:tcBorders>
            <w:shd w:val="clear" w:color="000000" w:fill="012749"/>
            <w:vAlign w:val="center"/>
            <w:hideMark/>
          </w:tcPr>
          <w:p w14:paraId="30C7E27F" w14:textId="18A98BDE" w:rsidR="0035714A" w:rsidRPr="00785336" w:rsidRDefault="002229E4">
            <w:pPr>
              <w:spacing w:after="0" w:line="240" w:lineRule="auto"/>
              <w:jc w:val="center"/>
              <w:rPr>
                <w:rFonts w:asciiTheme="majorHAnsi" w:eastAsia="Times New Roman" w:hAnsiTheme="majorHAnsi" w:cstheme="majorHAnsi"/>
                <w:bCs/>
                <w:color w:val="FFFFFF"/>
                <w:sz w:val="19"/>
                <w:szCs w:val="19"/>
                <w:lang w:eastAsia="en-AU"/>
              </w:rPr>
            </w:pPr>
            <w:r>
              <w:rPr>
                <w:rFonts w:asciiTheme="majorHAnsi" w:eastAsia="Times New Roman" w:hAnsiTheme="majorHAnsi" w:cstheme="majorHAnsi"/>
                <w:bCs/>
                <w:color w:val="FFFFFF"/>
                <w:sz w:val="19"/>
                <w:szCs w:val="19"/>
                <w:lang w:eastAsia="en-AU"/>
              </w:rPr>
              <w:t>Mar</w:t>
            </w:r>
            <w:r w:rsidR="0035714A" w:rsidRPr="00785336">
              <w:rPr>
                <w:rFonts w:asciiTheme="majorHAnsi" w:eastAsia="Times New Roman" w:hAnsiTheme="majorHAnsi" w:cstheme="majorHAnsi"/>
                <w:bCs/>
                <w:color w:val="FFFFFF"/>
                <w:sz w:val="19"/>
                <w:szCs w:val="19"/>
                <w:lang w:eastAsia="en-AU"/>
              </w:rPr>
              <w:t>-2</w:t>
            </w:r>
            <w:r>
              <w:rPr>
                <w:rFonts w:asciiTheme="majorHAnsi" w:eastAsia="Times New Roman" w:hAnsiTheme="majorHAnsi" w:cstheme="majorHAnsi"/>
                <w:bCs/>
                <w:color w:val="FFFFFF"/>
                <w:sz w:val="19"/>
                <w:szCs w:val="19"/>
                <w:lang w:eastAsia="en-AU"/>
              </w:rPr>
              <w:t>4</w:t>
            </w:r>
          </w:p>
        </w:tc>
        <w:tc>
          <w:tcPr>
            <w:tcW w:w="998" w:type="dxa"/>
            <w:tcBorders>
              <w:top w:val="single" w:sz="4" w:space="0" w:color="FFFFFF" w:themeColor="background1"/>
              <w:left w:val="nil"/>
              <w:bottom w:val="nil"/>
              <w:right w:val="nil"/>
            </w:tcBorders>
            <w:shd w:val="clear" w:color="000000" w:fill="012749"/>
            <w:vAlign w:val="center"/>
            <w:hideMark/>
          </w:tcPr>
          <w:p w14:paraId="7F48EB7D" w14:textId="77777777" w:rsidR="0035714A" w:rsidRPr="00785336" w:rsidRDefault="0035714A">
            <w:pPr>
              <w:spacing w:after="0" w:line="240" w:lineRule="auto"/>
              <w:jc w:val="center"/>
              <w:rPr>
                <w:rFonts w:asciiTheme="majorHAnsi" w:eastAsia="Times New Roman" w:hAnsiTheme="majorHAnsi" w:cstheme="majorHAnsi"/>
                <w:bCs/>
                <w:color w:val="FFFFFF"/>
                <w:sz w:val="19"/>
                <w:szCs w:val="19"/>
                <w:lang w:eastAsia="en-AU"/>
              </w:rPr>
            </w:pPr>
            <w:r w:rsidRPr="00785336">
              <w:rPr>
                <w:rFonts w:asciiTheme="majorHAnsi" w:eastAsia="Times New Roman" w:hAnsiTheme="majorHAnsi" w:cstheme="majorHAnsi"/>
                <w:bCs/>
                <w:color w:val="FFFFFF"/>
                <w:sz w:val="19"/>
                <w:szCs w:val="19"/>
                <w:lang w:eastAsia="en-AU"/>
              </w:rPr>
              <w:t>Quarterly change</w:t>
            </w:r>
          </w:p>
        </w:tc>
        <w:tc>
          <w:tcPr>
            <w:tcW w:w="947" w:type="dxa"/>
            <w:vMerge w:val="restart"/>
            <w:tcBorders>
              <w:top w:val="single" w:sz="4" w:space="0" w:color="FFFFFF" w:themeColor="background1"/>
              <w:left w:val="nil"/>
              <w:bottom w:val="nil"/>
              <w:right w:val="nil"/>
            </w:tcBorders>
            <w:shd w:val="clear" w:color="000000" w:fill="012749"/>
            <w:vAlign w:val="center"/>
            <w:hideMark/>
          </w:tcPr>
          <w:p w14:paraId="2B7F13F2" w14:textId="2C7668B4" w:rsidR="0035714A" w:rsidRPr="00785336" w:rsidRDefault="002229E4">
            <w:pPr>
              <w:spacing w:after="0" w:line="240" w:lineRule="auto"/>
              <w:jc w:val="center"/>
              <w:rPr>
                <w:rFonts w:asciiTheme="majorHAnsi" w:eastAsia="Times New Roman" w:hAnsiTheme="majorHAnsi" w:cstheme="majorHAnsi"/>
                <w:bCs/>
                <w:color w:val="FFFFFF"/>
                <w:sz w:val="19"/>
                <w:szCs w:val="19"/>
                <w:lang w:eastAsia="en-AU"/>
              </w:rPr>
            </w:pPr>
            <w:r>
              <w:rPr>
                <w:rFonts w:asciiTheme="majorHAnsi" w:eastAsia="Times New Roman" w:hAnsiTheme="majorHAnsi" w:cstheme="majorHAnsi"/>
                <w:bCs/>
                <w:color w:val="FFFFFF"/>
                <w:sz w:val="19"/>
                <w:szCs w:val="19"/>
                <w:lang w:eastAsia="en-AU"/>
              </w:rPr>
              <w:t>Mar</w:t>
            </w:r>
            <w:r w:rsidR="0035714A" w:rsidRPr="00785336">
              <w:rPr>
                <w:rFonts w:asciiTheme="majorHAnsi" w:eastAsia="Times New Roman" w:hAnsiTheme="majorHAnsi" w:cstheme="majorHAnsi"/>
                <w:bCs/>
                <w:color w:val="FFFFFF"/>
                <w:sz w:val="19"/>
                <w:szCs w:val="19"/>
                <w:lang w:eastAsia="en-AU"/>
              </w:rPr>
              <w:t>-2</w:t>
            </w:r>
            <w:r>
              <w:rPr>
                <w:rFonts w:asciiTheme="majorHAnsi" w:eastAsia="Times New Roman" w:hAnsiTheme="majorHAnsi" w:cstheme="majorHAnsi"/>
                <w:bCs/>
                <w:color w:val="FFFFFF"/>
                <w:sz w:val="19"/>
                <w:szCs w:val="19"/>
                <w:lang w:eastAsia="en-AU"/>
              </w:rPr>
              <w:t>4</w:t>
            </w:r>
          </w:p>
        </w:tc>
        <w:tc>
          <w:tcPr>
            <w:tcW w:w="998" w:type="dxa"/>
            <w:tcBorders>
              <w:top w:val="single" w:sz="4" w:space="0" w:color="FFFFFF" w:themeColor="background1"/>
              <w:left w:val="nil"/>
              <w:bottom w:val="nil"/>
              <w:right w:val="nil"/>
            </w:tcBorders>
            <w:shd w:val="clear" w:color="000000" w:fill="012749"/>
            <w:vAlign w:val="center"/>
            <w:hideMark/>
          </w:tcPr>
          <w:p w14:paraId="452CF65E" w14:textId="77777777" w:rsidR="0035714A" w:rsidRPr="00785336" w:rsidRDefault="0035714A">
            <w:pPr>
              <w:spacing w:after="0" w:line="240" w:lineRule="auto"/>
              <w:jc w:val="center"/>
              <w:rPr>
                <w:rFonts w:asciiTheme="majorHAnsi" w:eastAsia="Times New Roman" w:hAnsiTheme="majorHAnsi" w:cstheme="majorHAnsi"/>
                <w:bCs/>
                <w:color w:val="FFFFFF"/>
                <w:sz w:val="19"/>
                <w:szCs w:val="19"/>
                <w:lang w:eastAsia="en-AU"/>
              </w:rPr>
            </w:pPr>
            <w:r w:rsidRPr="00785336">
              <w:rPr>
                <w:rFonts w:asciiTheme="majorHAnsi" w:eastAsia="Times New Roman" w:hAnsiTheme="majorHAnsi" w:cstheme="majorHAnsi"/>
                <w:bCs/>
                <w:color w:val="FFFFFF"/>
                <w:sz w:val="19"/>
                <w:szCs w:val="19"/>
                <w:lang w:eastAsia="en-AU"/>
              </w:rPr>
              <w:t>Quarterly change</w:t>
            </w:r>
          </w:p>
        </w:tc>
      </w:tr>
      <w:tr w:rsidR="0035714A" w:rsidRPr="00B93C08" w14:paraId="5AB2AFD1" w14:textId="77777777" w:rsidTr="002229E4">
        <w:trPr>
          <w:trHeight w:val="300"/>
        </w:trPr>
        <w:tc>
          <w:tcPr>
            <w:tcW w:w="2742" w:type="dxa"/>
            <w:vMerge/>
            <w:tcBorders>
              <w:top w:val="nil"/>
              <w:left w:val="nil"/>
              <w:bottom w:val="nil"/>
              <w:right w:val="nil"/>
            </w:tcBorders>
            <w:vAlign w:val="center"/>
            <w:hideMark/>
          </w:tcPr>
          <w:p w14:paraId="7EDF5A66" w14:textId="77777777" w:rsidR="0035714A" w:rsidRPr="00B93C08" w:rsidRDefault="0035714A">
            <w:pPr>
              <w:spacing w:after="0" w:line="240" w:lineRule="auto"/>
              <w:rPr>
                <w:rFonts w:asciiTheme="majorHAnsi" w:eastAsia="Times New Roman" w:hAnsiTheme="majorHAnsi" w:cstheme="majorHAnsi"/>
                <w:color w:val="000000"/>
                <w:sz w:val="20"/>
                <w:szCs w:val="20"/>
                <w:lang w:eastAsia="en-AU"/>
              </w:rPr>
            </w:pPr>
          </w:p>
        </w:tc>
        <w:tc>
          <w:tcPr>
            <w:tcW w:w="995" w:type="dxa"/>
            <w:vMerge/>
            <w:tcBorders>
              <w:top w:val="nil"/>
              <w:left w:val="nil"/>
              <w:bottom w:val="nil"/>
              <w:right w:val="nil"/>
            </w:tcBorders>
            <w:vAlign w:val="center"/>
            <w:hideMark/>
          </w:tcPr>
          <w:p w14:paraId="599BF470" w14:textId="77777777" w:rsidR="0035714A" w:rsidRPr="00785336" w:rsidRDefault="0035714A">
            <w:pPr>
              <w:spacing w:after="0" w:line="240" w:lineRule="auto"/>
              <w:rPr>
                <w:rFonts w:asciiTheme="majorHAnsi" w:eastAsia="Times New Roman" w:hAnsiTheme="majorHAnsi" w:cstheme="majorHAnsi"/>
                <w:bCs/>
                <w:color w:val="FFFFFF"/>
                <w:sz w:val="19"/>
                <w:szCs w:val="19"/>
                <w:lang w:eastAsia="en-AU"/>
              </w:rPr>
            </w:pPr>
          </w:p>
        </w:tc>
        <w:tc>
          <w:tcPr>
            <w:tcW w:w="950" w:type="dxa"/>
            <w:tcBorders>
              <w:top w:val="nil"/>
              <w:left w:val="nil"/>
              <w:bottom w:val="nil"/>
              <w:right w:val="nil"/>
            </w:tcBorders>
            <w:shd w:val="clear" w:color="000000" w:fill="012749"/>
            <w:vAlign w:val="center"/>
            <w:hideMark/>
          </w:tcPr>
          <w:p w14:paraId="4EFD506B" w14:textId="77777777" w:rsidR="0035714A" w:rsidRPr="00785336" w:rsidRDefault="0035714A">
            <w:pPr>
              <w:spacing w:after="0" w:line="240" w:lineRule="auto"/>
              <w:jc w:val="center"/>
              <w:rPr>
                <w:rFonts w:asciiTheme="majorHAnsi" w:eastAsia="Times New Roman" w:hAnsiTheme="majorHAnsi" w:cstheme="majorHAnsi"/>
                <w:bCs/>
                <w:color w:val="FFFFFF"/>
                <w:sz w:val="19"/>
                <w:szCs w:val="19"/>
                <w:lang w:eastAsia="en-AU"/>
              </w:rPr>
            </w:pPr>
            <w:r w:rsidRPr="00785336">
              <w:rPr>
                <w:rFonts w:asciiTheme="majorHAnsi" w:eastAsia="Times New Roman" w:hAnsiTheme="majorHAnsi" w:cstheme="majorHAnsi"/>
                <w:bCs/>
                <w:color w:val="FFFFFF"/>
                <w:sz w:val="19"/>
                <w:szCs w:val="19"/>
                <w:lang w:eastAsia="en-AU"/>
              </w:rPr>
              <w:t>(‘000)</w:t>
            </w:r>
          </w:p>
        </w:tc>
        <w:tc>
          <w:tcPr>
            <w:tcW w:w="943" w:type="dxa"/>
            <w:tcBorders>
              <w:top w:val="nil"/>
              <w:left w:val="nil"/>
              <w:bottom w:val="nil"/>
              <w:right w:val="nil"/>
            </w:tcBorders>
            <w:shd w:val="clear" w:color="000000" w:fill="012749"/>
            <w:vAlign w:val="center"/>
            <w:hideMark/>
          </w:tcPr>
          <w:p w14:paraId="6702E9A4" w14:textId="77777777" w:rsidR="0035714A" w:rsidRPr="00785336" w:rsidRDefault="0035714A">
            <w:pPr>
              <w:spacing w:after="0" w:line="240" w:lineRule="auto"/>
              <w:jc w:val="center"/>
              <w:rPr>
                <w:rFonts w:asciiTheme="majorHAnsi" w:eastAsia="Times New Roman" w:hAnsiTheme="majorHAnsi" w:cstheme="majorHAnsi"/>
                <w:bCs/>
                <w:color w:val="FFFFFF"/>
                <w:sz w:val="19"/>
                <w:szCs w:val="19"/>
                <w:lang w:eastAsia="en-AU"/>
              </w:rPr>
            </w:pPr>
            <w:r w:rsidRPr="00785336">
              <w:rPr>
                <w:rFonts w:asciiTheme="majorHAnsi" w:eastAsia="Times New Roman" w:hAnsiTheme="majorHAnsi" w:cstheme="majorHAnsi"/>
                <w:bCs/>
                <w:color w:val="FFFFFF"/>
                <w:sz w:val="19"/>
                <w:szCs w:val="19"/>
                <w:lang w:eastAsia="en-AU"/>
              </w:rPr>
              <w:t>(%)</w:t>
            </w:r>
          </w:p>
        </w:tc>
        <w:tc>
          <w:tcPr>
            <w:tcW w:w="947" w:type="dxa"/>
            <w:vMerge/>
            <w:tcBorders>
              <w:top w:val="nil"/>
              <w:left w:val="nil"/>
              <w:bottom w:val="nil"/>
              <w:right w:val="nil"/>
            </w:tcBorders>
            <w:vAlign w:val="center"/>
            <w:hideMark/>
          </w:tcPr>
          <w:p w14:paraId="75CA316F" w14:textId="77777777" w:rsidR="0035714A" w:rsidRPr="00785336" w:rsidRDefault="0035714A">
            <w:pPr>
              <w:spacing w:after="0" w:line="240" w:lineRule="auto"/>
              <w:rPr>
                <w:rFonts w:asciiTheme="majorHAnsi" w:eastAsia="Times New Roman" w:hAnsiTheme="majorHAnsi" w:cstheme="majorHAnsi"/>
                <w:bCs/>
                <w:color w:val="FFFFFF"/>
                <w:sz w:val="19"/>
                <w:szCs w:val="19"/>
                <w:lang w:eastAsia="en-AU"/>
              </w:rPr>
            </w:pPr>
          </w:p>
        </w:tc>
        <w:tc>
          <w:tcPr>
            <w:tcW w:w="998" w:type="dxa"/>
            <w:tcBorders>
              <w:top w:val="nil"/>
              <w:left w:val="nil"/>
              <w:bottom w:val="nil"/>
              <w:right w:val="nil"/>
            </w:tcBorders>
            <w:shd w:val="clear" w:color="000000" w:fill="012749"/>
            <w:vAlign w:val="center"/>
            <w:hideMark/>
          </w:tcPr>
          <w:p w14:paraId="68D76F00" w14:textId="77777777" w:rsidR="0035714A" w:rsidRPr="00785336" w:rsidRDefault="0035714A">
            <w:pPr>
              <w:spacing w:after="0" w:line="240" w:lineRule="auto"/>
              <w:jc w:val="center"/>
              <w:rPr>
                <w:rFonts w:asciiTheme="majorHAnsi" w:eastAsia="Times New Roman" w:hAnsiTheme="majorHAnsi" w:cstheme="majorHAnsi"/>
                <w:bCs/>
                <w:color w:val="FFFFFF"/>
                <w:sz w:val="19"/>
                <w:szCs w:val="19"/>
                <w:lang w:eastAsia="en-AU"/>
              </w:rPr>
            </w:pPr>
            <w:r w:rsidRPr="00785336">
              <w:rPr>
                <w:rFonts w:asciiTheme="majorHAnsi" w:eastAsia="Times New Roman" w:hAnsiTheme="majorHAnsi" w:cstheme="majorHAnsi"/>
                <w:bCs/>
                <w:color w:val="FFFFFF"/>
                <w:sz w:val="19"/>
                <w:szCs w:val="19"/>
                <w:lang w:eastAsia="en-AU"/>
              </w:rPr>
              <w:t>(% pts)</w:t>
            </w:r>
          </w:p>
        </w:tc>
        <w:tc>
          <w:tcPr>
            <w:tcW w:w="947" w:type="dxa"/>
            <w:vMerge/>
            <w:tcBorders>
              <w:top w:val="nil"/>
              <w:left w:val="nil"/>
              <w:bottom w:val="nil"/>
              <w:right w:val="nil"/>
            </w:tcBorders>
            <w:vAlign w:val="center"/>
            <w:hideMark/>
          </w:tcPr>
          <w:p w14:paraId="2BCA409F" w14:textId="77777777" w:rsidR="0035714A" w:rsidRPr="00785336" w:rsidRDefault="0035714A">
            <w:pPr>
              <w:spacing w:after="0" w:line="240" w:lineRule="auto"/>
              <w:rPr>
                <w:rFonts w:asciiTheme="majorHAnsi" w:eastAsia="Times New Roman" w:hAnsiTheme="majorHAnsi" w:cstheme="majorHAnsi"/>
                <w:bCs/>
                <w:color w:val="FFFFFF"/>
                <w:sz w:val="19"/>
                <w:szCs w:val="19"/>
                <w:lang w:eastAsia="en-AU"/>
              </w:rPr>
            </w:pPr>
          </w:p>
        </w:tc>
        <w:tc>
          <w:tcPr>
            <w:tcW w:w="998" w:type="dxa"/>
            <w:tcBorders>
              <w:top w:val="nil"/>
              <w:left w:val="nil"/>
              <w:bottom w:val="nil"/>
              <w:right w:val="nil"/>
            </w:tcBorders>
            <w:shd w:val="clear" w:color="000000" w:fill="012749"/>
            <w:vAlign w:val="center"/>
            <w:hideMark/>
          </w:tcPr>
          <w:p w14:paraId="091DE3A4" w14:textId="77777777" w:rsidR="0035714A" w:rsidRPr="00785336" w:rsidRDefault="0035714A">
            <w:pPr>
              <w:spacing w:after="0" w:line="240" w:lineRule="auto"/>
              <w:jc w:val="center"/>
              <w:rPr>
                <w:rFonts w:asciiTheme="majorHAnsi" w:eastAsia="Times New Roman" w:hAnsiTheme="majorHAnsi" w:cstheme="majorHAnsi"/>
                <w:bCs/>
                <w:color w:val="FFFFFF"/>
                <w:sz w:val="19"/>
                <w:szCs w:val="19"/>
                <w:lang w:eastAsia="en-AU"/>
              </w:rPr>
            </w:pPr>
            <w:r w:rsidRPr="00785336">
              <w:rPr>
                <w:rFonts w:asciiTheme="majorHAnsi" w:eastAsia="Times New Roman" w:hAnsiTheme="majorHAnsi" w:cstheme="majorHAnsi"/>
                <w:bCs/>
                <w:color w:val="FFFFFF"/>
                <w:sz w:val="19"/>
                <w:szCs w:val="19"/>
                <w:lang w:eastAsia="en-AU"/>
              </w:rPr>
              <w:t>(% pts)</w:t>
            </w:r>
          </w:p>
        </w:tc>
      </w:tr>
      <w:tr w:rsidR="002229E4" w:rsidRPr="00B93C08" w14:paraId="4E35AF30" w14:textId="77777777" w:rsidTr="002229E4">
        <w:trPr>
          <w:trHeight w:val="300"/>
        </w:trPr>
        <w:tc>
          <w:tcPr>
            <w:tcW w:w="2742" w:type="dxa"/>
            <w:tcBorders>
              <w:top w:val="nil"/>
              <w:left w:val="nil"/>
              <w:bottom w:val="nil"/>
              <w:right w:val="nil"/>
            </w:tcBorders>
            <w:shd w:val="clear" w:color="auto" w:fill="auto"/>
            <w:vAlign w:val="center"/>
            <w:hideMark/>
          </w:tcPr>
          <w:p w14:paraId="140FC955" w14:textId="702BACA8" w:rsidR="002229E4" w:rsidRPr="004D767B" w:rsidRDefault="002229E4" w:rsidP="002229E4">
            <w:pPr>
              <w:spacing w:after="0" w:line="240" w:lineRule="auto"/>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New South Wales</w:t>
            </w:r>
          </w:p>
        </w:tc>
        <w:tc>
          <w:tcPr>
            <w:tcW w:w="995" w:type="dxa"/>
            <w:tcBorders>
              <w:top w:val="nil"/>
              <w:left w:val="nil"/>
              <w:bottom w:val="nil"/>
              <w:right w:val="nil"/>
            </w:tcBorders>
            <w:shd w:val="clear" w:color="auto" w:fill="auto"/>
            <w:vAlign w:val="center"/>
            <w:hideMark/>
          </w:tcPr>
          <w:p w14:paraId="3CAB84A4" w14:textId="4666DA70"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4,433.3</w:t>
            </w:r>
          </w:p>
        </w:tc>
        <w:tc>
          <w:tcPr>
            <w:tcW w:w="950" w:type="dxa"/>
            <w:tcBorders>
              <w:top w:val="nil"/>
              <w:left w:val="nil"/>
              <w:bottom w:val="nil"/>
              <w:right w:val="nil"/>
            </w:tcBorders>
            <w:shd w:val="clear" w:color="auto" w:fill="auto"/>
            <w:vAlign w:val="center"/>
            <w:hideMark/>
          </w:tcPr>
          <w:p w14:paraId="1B0C5B5A" w14:textId="37B5246E"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24.1</w:t>
            </w:r>
          </w:p>
        </w:tc>
        <w:tc>
          <w:tcPr>
            <w:tcW w:w="943" w:type="dxa"/>
            <w:tcBorders>
              <w:top w:val="nil"/>
              <w:left w:val="nil"/>
              <w:bottom w:val="nil"/>
              <w:right w:val="nil"/>
            </w:tcBorders>
            <w:shd w:val="clear" w:color="auto" w:fill="auto"/>
            <w:vAlign w:val="center"/>
            <w:hideMark/>
          </w:tcPr>
          <w:p w14:paraId="44194205" w14:textId="23027D5F"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0.5</w:t>
            </w:r>
          </w:p>
        </w:tc>
        <w:tc>
          <w:tcPr>
            <w:tcW w:w="947" w:type="dxa"/>
            <w:tcBorders>
              <w:top w:val="nil"/>
              <w:left w:val="nil"/>
              <w:bottom w:val="nil"/>
              <w:right w:val="nil"/>
            </w:tcBorders>
            <w:shd w:val="clear" w:color="auto" w:fill="auto"/>
            <w:vAlign w:val="center"/>
            <w:hideMark/>
          </w:tcPr>
          <w:p w14:paraId="180687BF" w14:textId="0E52FE4E"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3.8</w:t>
            </w:r>
          </w:p>
        </w:tc>
        <w:tc>
          <w:tcPr>
            <w:tcW w:w="998" w:type="dxa"/>
            <w:tcBorders>
              <w:top w:val="nil"/>
              <w:left w:val="nil"/>
              <w:bottom w:val="nil"/>
              <w:right w:val="nil"/>
            </w:tcBorders>
            <w:shd w:val="clear" w:color="auto" w:fill="auto"/>
            <w:vAlign w:val="center"/>
            <w:hideMark/>
          </w:tcPr>
          <w:p w14:paraId="4D925A44" w14:textId="16DCB416"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0.3</w:t>
            </w:r>
          </w:p>
        </w:tc>
        <w:tc>
          <w:tcPr>
            <w:tcW w:w="947" w:type="dxa"/>
            <w:tcBorders>
              <w:top w:val="nil"/>
              <w:left w:val="nil"/>
              <w:bottom w:val="nil"/>
              <w:right w:val="nil"/>
            </w:tcBorders>
            <w:shd w:val="clear" w:color="auto" w:fill="auto"/>
            <w:vAlign w:val="center"/>
            <w:hideMark/>
          </w:tcPr>
          <w:p w14:paraId="029DBF2B" w14:textId="7EE1D0AD"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66.1</w:t>
            </w:r>
          </w:p>
        </w:tc>
        <w:tc>
          <w:tcPr>
            <w:tcW w:w="998" w:type="dxa"/>
            <w:tcBorders>
              <w:top w:val="nil"/>
              <w:left w:val="nil"/>
              <w:bottom w:val="nil"/>
              <w:right w:val="nil"/>
            </w:tcBorders>
            <w:shd w:val="clear" w:color="auto" w:fill="auto"/>
            <w:vAlign w:val="center"/>
            <w:hideMark/>
          </w:tcPr>
          <w:p w14:paraId="78BB8DA3" w14:textId="46F7D98E"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0.1</w:t>
            </w:r>
          </w:p>
        </w:tc>
      </w:tr>
      <w:tr w:rsidR="002229E4" w:rsidRPr="00B93C08" w14:paraId="2C5BA397" w14:textId="77777777" w:rsidTr="002229E4">
        <w:trPr>
          <w:trHeight w:val="300"/>
        </w:trPr>
        <w:tc>
          <w:tcPr>
            <w:tcW w:w="2742" w:type="dxa"/>
            <w:tcBorders>
              <w:top w:val="nil"/>
              <w:left w:val="nil"/>
              <w:bottom w:val="nil"/>
              <w:right w:val="nil"/>
            </w:tcBorders>
            <w:shd w:val="clear" w:color="000000" w:fill="E6E6E6"/>
            <w:vAlign w:val="center"/>
            <w:hideMark/>
          </w:tcPr>
          <w:p w14:paraId="7C8E907D" w14:textId="20127DF9" w:rsidR="002229E4" w:rsidRPr="004D767B" w:rsidRDefault="002229E4" w:rsidP="002229E4">
            <w:pPr>
              <w:spacing w:after="0" w:line="240" w:lineRule="auto"/>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Victoria</w:t>
            </w:r>
          </w:p>
        </w:tc>
        <w:tc>
          <w:tcPr>
            <w:tcW w:w="995" w:type="dxa"/>
            <w:tcBorders>
              <w:top w:val="nil"/>
              <w:left w:val="nil"/>
              <w:bottom w:val="nil"/>
              <w:right w:val="nil"/>
            </w:tcBorders>
            <w:shd w:val="clear" w:color="000000" w:fill="E6E6E6"/>
            <w:vAlign w:val="center"/>
            <w:hideMark/>
          </w:tcPr>
          <w:p w14:paraId="0449F344" w14:textId="03835D01"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3,706.6</w:t>
            </w:r>
          </w:p>
        </w:tc>
        <w:tc>
          <w:tcPr>
            <w:tcW w:w="950" w:type="dxa"/>
            <w:tcBorders>
              <w:top w:val="nil"/>
              <w:left w:val="nil"/>
              <w:bottom w:val="nil"/>
              <w:right w:val="nil"/>
            </w:tcBorders>
            <w:shd w:val="clear" w:color="000000" w:fill="E6E6E6"/>
            <w:vAlign w:val="center"/>
            <w:hideMark/>
          </w:tcPr>
          <w:p w14:paraId="240621E4" w14:textId="78CF4447"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40.9</w:t>
            </w:r>
          </w:p>
        </w:tc>
        <w:tc>
          <w:tcPr>
            <w:tcW w:w="943" w:type="dxa"/>
            <w:tcBorders>
              <w:top w:val="nil"/>
              <w:left w:val="nil"/>
              <w:bottom w:val="nil"/>
              <w:right w:val="nil"/>
            </w:tcBorders>
            <w:shd w:val="clear" w:color="000000" w:fill="E6E6E6"/>
            <w:vAlign w:val="center"/>
            <w:hideMark/>
          </w:tcPr>
          <w:p w14:paraId="1A4EE56C" w14:textId="11280099"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1.1</w:t>
            </w:r>
          </w:p>
        </w:tc>
        <w:tc>
          <w:tcPr>
            <w:tcW w:w="947" w:type="dxa"/>
            <w:tcBorders>
              <w:top w:val="nil"/>
              <w:left w:val="nil"/>
              <w:bottom w:val="nil"/>
              <w:right w:val="nil"/>
            </w:tcBorders>
            <w:shd w:val="clear" w:color="000000" w:fill="E6E6E6"/>
            <w:vAlign w:val="center"/>
            <w:hideMark/>
          </w:tcPr>
          <w:p w14:paraId="5FC41F8C" w14:textId="3FC4BFD7"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4.1</w:t>
            </w:r>
          </w:p>
        </w:tc>
        <w:tc>
          <w:tcPr>
            <w:tcW w:w="998" w:type="dxa"/>
            <w:tcBorders>
              <w:top w:val="nil"/>
              <w:left w:val="nil"/>
              <w:bottom w:val="nil"/>
              <w:right w:val="nil"/>
            </w:tcBorders>
            <w:shd w:val="clear" w:color="000000" w:fill="E6E6E6"/>
            <w:vAlign w:val="center"/>
            <w:hideMark/>
          </w:tcPr>
          <w:p w14:paraId="01FB2A5C" w14:textId="7CE12D1C"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0.0</w:t>
            </w:r>
          </w:p>
        </w:tc>
        <w:tc>
          <w:tcPr>
            <w:tcW w:w="947" w:type="dxa"/>
            <w:tcBorders>
              <w:top w:val="nil"/>
              <w:left w:val="nil"/>
              <w:bottom w:val="nil"/>
              <w:right w:val="nil"/>
            </w:tcBorders>
            <w:shd w:val="clear" w:color="000000" w:fill="E6E6E6"/>
            <w:vAlign w:val="center"/>
            <w:hideMark/>
          </w:tcPr>
          <w:p w14:paraId="1B94BF80" w14:textId="5D0225A7"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67.3</w:t>
            </w:r>
          </w:p>
        </w:tc>
        <w:tc>
          <w:tcPr>
            <w:tcW w:w="998" w:type="dxa"/>
            <w:tcBorders>
              <w:top w:val="nil"/>
              <w:left w:val="nil"/>
              <w:bottom w:val="nil"/>
              <w:right w:val="nil"/>
            </w:tcBorders>
            <w:shd w:val="clear" w:color="000000" w:fill="E6E6E6"/>
            <w:vAlign w:val="center"/>
            <w:hideMark/>
          </w:tcPr>
          <w:p w14:paraId="34834E32" w14:textId="51673444"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0.2</w:t>
            </w:r>
          </w:p>
        </w:tc>
      </w:tr>
      <w:tr w:rsidR="002229E4" w:rsidRPr="00B93C08" w14:paraId="6C74BE1B" w14:textId="77777777" w:rsidTr="002229E4">
        <w:trPr>
          <w:trHeight w:val="300"/>
        </w:trPr>
        <w:tc>
          <w:tcPr>
            <w:tcW w:w="2742" w:type="dxa"/>
            <w:tcBorders>
              <w:top w:val="nil"/>
              <w:left w:val="nil"/>
              <w:bottom w:val="nil"/>
              <w:right w:val="nil"/>
            </w:tcBorders>
            <w:shd w:val="clear" w:color="auto" w:fill="auto"/>
            <w:vAlign w:val="center"/>
            <w:hideMark/>
          </w:tcPr>
          <w:p w14:paraId="529FA003" w14:textId="43D88E25" w:rsidR="002229E4" w:rsidRPr="004D767B" w:rsidRDefault="002229E4" w:rsidP="002229E4">
            <w:pPr>
              <w:spacing w:after="0" w:line="240" w:lineRule="auto"/>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Queensland</w:t>
            </w:r>
          </w:p>
        </w:tc>
        <w:tc>
          <w:tcPr>
            <w:tcW w:w="995" w:type="dxa"/>
            <w:tcBorders>
              <w:top w:val="nil"/>
              <w:left w:val="nil"/>
              <w:bottom w:val="nil"/>
              <w:right w:val="nil"/>
            </w:tcBorders>
            <w:shd w:val="clear" w:color="auto" w:fill="auto"/>
            <w:vAlign w:val="center"/>
            <w:hideMark/>
          </w:tcPr>
          <w:p w14:paraId="50CA69DB" w14:textId="432ED000"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2,901.2</w:t>
            </w:r>
          </w:p>
        </w:tc>
        <w:tc>
          <w:tcPr>
            <w:tcW w:w="950" w:type="dxa"/>
            <w:tcBorders>
              <w:top w:val="nil"/>
              <w:left w:val="nil"/>
              <w:bottom w:val="nil"/>
              <w:right w:val="nil"/>
            </w:tcBorders>
            <w:shd w:val="clear" w:color="auto" w:fill="auto"/>
            <w:vAlign w:val="center"/>
            <w:hideMark/>
          </w:tcPr>
          <w:p w14:paraId="004BDD70" w14:textId="5802DBE5"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24.3</w:t>
            </w:r>
          </w:p>
        </w:tc>
        <w:tc>
          <w:tcPr>
            <w:tcW w:w="943" w:type="dxa"/>
            <w:tcBorders>
              <w:top w:val="nil"/>
              <w:left w:val="nil"/>
              <w:bottom w:val="nil"/>
              <w:right w:val="nil"/>
            </w:tcBorders>
            <w:shd w:val="clear" w:color="auto" w:fill="auto"/>
            <w:vAlign w:val="center"/>
            <w:hideMark/>
          </w:tcPr>
          <w:p w14:paraId="797AD438" w14:textId="18400268"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0.8</w:t>
            </w:r>
          </w:p>
        </w:tc>
        <w:tc>
          <w:tcPr>
            <w:tcW w:w="947" w:type="dxa"/>
            <w:tcBorders>
              <w:top w:val="nil"/>
              <w:left w:val="nil"/>
              <w:bottom w:val="nil"/>
              <w:right w:val="nil"/>
            </w:tcBorders>
            <w:shd w:val="clear" w:color="auto" w:fill="auto"/>
            <w:vAlign w:val="center"/>
            <w:hideMark/>
          </w:tcPr>
          <w:p w14:paraId="782C73EF" w14:textId="724208E3"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4.1</w:t>
            </w:r>
          </w:p>
        </w:tc>
        <w:tc>
          <w:tcPr>
            <w:tcW w:w="998" w:type="dxa"/>
            <w:tcBorders>
              <w:top w:val="nil"/>
              <w:left w:val="nil"/>
              <w:bottom w:val="nil"/>
              <w:right w:val="nil"/>
            </w:tcBorders>
            <w:shd w:val="clear" w:color="auto" w:fill="auto"/>
            <w:vAlign w:val="center"/>
            <w:hideMark/>
          </w:tcPr>
          <w:p w14:paraId="5C688F55" w14:textId="61CFE23F"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-0.2</w:t>
            </w:r>
          </w:p>
        </w:tc>
        <w:tc>
          <w:tcPr>
            <w:tcW w:w="947" w:type="dxa"/>
            <w:tcBorders>
              <w:top w:val="nil"/>
              <w:left w:val="nil"/>
              <w:bottom w:val="nil"/>
              <w:right w:val="nil"/>
            </w:tcBorders>
            <w:shd w:val="clear" w:color="auto" w:fill="auto"/>
            <w:vAlign w:val="center"/>
            <w:hideMark/>
          </w:tcPr>
          <w:p w14:paraId="324FA54B" w14:textId="268F16E4"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66.6</w:t>
            </w:r>
          </w:p>
        </w:tc>
        <w:tc>
          <w:tcPr>
            <w:tcW w:w="998" w:type="dxa"/>
            <w:tcBorders>
              <w:top w:val="nil"/>
              <w:left w:val="nil"/>
              <w:bottom w:val="nil"/>
              <w:right w:val="nil"/>
            </w:tcBorders>
            <w:shd w:val="clear" w:color="auto" w:fill="auto"/>
            <w:vAlign w:val="center"/>
            <w:hideMark/>
          </w:tcPr>
          <w:p w14:paraId="3484F9ED" w14:textId="440B299C"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-0.1</w:t>
            </w:r>
          </w:p>
        </w:tc>
      </w:tr>
      <w:tr w:rsidR="002229E4" w:rsidRPr="00B93C08" w14:paraId="4407C7B3" w14:textId="77777777" w:rsidTr="002229E4">
        <w:trPr>
          <w:trHeight w:val="300"/>
        </w:trPr>
        <w:tc>
          <w:tcPr>
            <w:tcW w:w="2742" w:type="dxa"/>
            <w:tcBorders>
              <w:top w:val="nil"/>
              <w:left w:val="nil"/>
              <w:bottom w:val="nil"/>
              <w:right w:val="nil"/>
            </w:tcBorders>
            <w:shd w:val="clear" w:color="000000" w:fill="E6E6E6"/>
            <w:vAlign w:val="center"/>
            <w:hideMark/>
          </w:tcPr>
          <w:p w14:paraId="55ADF6D0" w14:textId="1ADC2005" w:rsidR="002229E4" w:rsidRPr="004D767B" w:rsidRDefault="002229E4" w:rsidP="002229E4">
            <w:pPr>
              <w:spacing w:after="0" w:line="240" w:lineRule="auto"/>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South Australia</w:t>
            </w:r>
          </w:p>
        </w:tc>
        <w:tc>
          <w:tcPr>
            <w:tcW w:w="995" w:type="dxa"/>
            <w:tcBorders>
              <w:top w:val="nil"/>
              <w:left w:val="nil"/>
              <w:bottom w:val="nil"/>
              <w:right w:val="nil"/>
            </w:tcBorders>
            <w:shd w:val="clear" w:color="000000" w:fill="E6E6E6"/>
            <w:vAlign w:val="center"/>
            <w:hideMark/>
          </w:tcPr>
          <w:p w14:paraId="0DE25DB6" w14:textId="6B78D3C6"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939.2</w:t>
            </w:r>
          </w:p>
        </w:tc>
        <w:tc>
          <w:tcPr>
            <w:tcW w:w="950" w:type="dxa"/>
            <w:tcBorders>
              <w:top w:val="nil"/>
              <w:left w:val="nil"/>
              <w:bottom w:val="nil"/>
              <w:right w:val="nil"/>
            </w:tcBorders>
            <w:shd w:val="clear" w:color="000000" w:fill="E6E6E6"/>
            <w:vAlign w:val="center"/>
            <w:hideMark/>
          </w:tcPr>
          <w:p w14:paraId="4031C1EB" w14:textId="4F9CE9AB"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0.0</w:t>
            </w:r>
          </w:p>
        </w:tc>
        <w:tc>
          <w:tcPr>
            <w:tcW w:w="943" w:type="dxa"/>
            <w:tcBorders>
              <w:top w:val="nil"/>
              <w:left w:val="nil"/>
              <w:bottom w:val="nil"/>
              <w:right w:val="nil"/>
            </w:tcBorders>
            <w:shd w:val="clear" w:color="000000" w:fill="E6E6E6"/>
            <w:vAlign w:val="center"/>
            <w:hideMark/>
          </w:tcPr>
          <w:p w14:paraId="4FE9340E" w14:textId="62AF4EA1"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0.0</w:t>
            </w:r>
          </w:p>
        </w:tc>
        <w:tc>
          <w:tcPr>
            <w:tcW w:w="947" w:type="dxa"/>
            <w:tcBorders>
              <w:top w:val="nil"/>
              <w:left w:val="nil"/>
              <w:bottom w:val="nil"/>
              <w:right w:val="nil"/>
            </w:tcBorders>
            <w:shd w:val="clear" w:color="000000" w:fill="E6E6E6"/>
            <w:vAlign w:val="center"/>
            <w:hideMark/>
          </w:tcPr>
          <w:p w14:paraId="407ED534" w14:textId="0F5A12A1"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3.9</w:t>
            </w:r>
          </w:p>
        </w:tc>
        <w:tc>
          <w:tcPr>
            <w:tcW w:w="998" w:type="dxa"/>
            <w:tcBorders>
              <w:top w:val="nil"/>
              <w:left w:val="nil"/>
              <w:bottom w:val="nil"/>
              <w:right w:val="nil"/>
            </w:tcBorders>
            <w:shd w:val="clear" w:color="000000" w:fill="E6E6E6"/>
            <w:vAlign w:val="center"/>
            <w:hideMark/>
          </w:tcPr>
          <w:p w14:paraId="5CC5F6BE" w14:textId="6C08C5D4"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0.0</w:t>
            </w:r>
          </w:p>
        </w:tc>
        <w:tc>
          <w:tcPr>
            <w:tcW w:w="947" w:type="dxa"/>
            <w:tcBorders>
              <w:top w:val="nil"/>
              <w:left w:val="nil"/>
              <w:bottom w:val="nil"/>
              <w:right w:val="nil"/>
            </w:tcBorders>
            <w:shd w:val="clear" w:color="000000" w:fill="E6E6E6"/>
            <w:vAlign w:val="center"/>
            <w:hideMark/>
          </w:tcPr>
          <w:p w14:paraId="3197C279" w14:textId="647D9006"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62.7</w:t>
            </w:r>
          </w:p>
        </w:tc>
        <w:tc>
          <w:tcPr>
            <w:tcW w:w="998" w:type="dxa"/>
            <w:tcBorders>
              <w:top w:val="nil"/>
              <w:left w:val="nil"/>
              <w:bottom w:val="nil"/>
              <w:right w:val="nil"/>
            </w:tcBorders>
            <w:shd w:val="clear" w:color="000000" w:fill="E6E6E6"/>
            <w:vAlign w:val="center"/>
            <w:hideMark/>
          </w:tcPr>
          <w:p w14:paraId="260C6191" w14:textId="059768CA"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-0.4</w:t>
            </w:r>
          </w:p>
        </w:tc>
      </w:tr>
      <w:tr w:rsidR="002229E4" w:rsidRPr="00B93C08" w14:paraId="7DB8FA6E" w14:textId="77777777" w:rsidTr="002229E4">
        <w:trPr>
          <w:trHeight w:val="300"/>
        </w:trPr>
        <w:tc>
          <w:tcPr>
            <w:tcW w:w="2742" w:type="dxa"/>
            <w:tcBorders>
              <w:top w:val="nil"/>
              <w:left w:val="nil"/>
              <w:bottom w:val="nil"/>
              <w:right w:val="nil"/>
            </w:tcBorders>
            <w:shd w:val="clear" w:color="auto" w:fill="auto"/>
            <w:vAlign w:val="center"/>
            <w:hideMark/>
          </w:tcPr>
          <w:p w14:paraId="7984F790" w14:textId="20F74A6E" w:rsidR="002229E4" w:rsidRPr="004D767B" w:rsidRDefault="002229E4" w:rsidP="002229E4">
            <w:pPr>
              <w:spacing w:after="0" w:line="240" w:lineRule="auto"/>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Western Australia</w:t>
            </w:r>
          </w:p>
        </w:tc>
        <w:tc>
          <w:tcPr>
            <w:tcW w:w="995" w:type="dxa"/>
            <w:tcBorders>
              <w:top w:val="nil"/>
              <w:left w:val="nil"/>
              <w:bottom w:val="nil"/>
              <w:right w:val="nil"/>
            </w:tcBorders>
            <w:shd w:val="clear" w:color="auto" w:fill="auto"/>
            <w:vAlign w:val="center"/>
            <w:hideMark/>
          </w:tcPr>
          <w:p w14:paraId="7D1A51D6" w14:textId="740F60C3"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1,602.6</w:t>
            </w:r>
          </w:p>
        </w:tc>
        <w:tc>
          <w:tcPr>
            <w:tcW w:w="950" w:type="dxa"/>
            <w:tcBorders>
              <w:top w:val="nil"/>
              <w:left w:val="nil"/>
              <w:bottom w:val="nil"/>
              <w:right w:val="nil"/>
            </w:tcBorders>
            <w:shd w:val="clear" w:color="auto" w:fill="auto"/>
            <w:vAlign w:val="center"/>
            <w:hideMark/>
          </w:tcPr>
          <w:p w14:paraId="75C268C3" w14:textId="54FC0D21"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30.6</w:t>
            </w:r>
          </w:p>
        </w:tc>
        <w:tc>
          <w:tcPr>
            <w:tcW w:w="943" w:type="dxa"/>
            <w:tcBorders>
              <w:top w:val="nil"/>
              <w:left w:val="nil"/>
              <w:bottom w:val="nil"/>
              <w:right w:val="nil"/>
            </w:tcBorders>
            <w:shd w:val="clear" w:color="auto" w:fill="auto"/>
            <w:vAlign w:val="center"/>
            <w:hideMark/>
          </w:tcPr>
          <w:p w14:paraId="3E3A01F1" w14:textId="16FCADEC"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1.9</w:t>
            </w:r>
          </w:p>
        </w:tc>
        <w:tc>
          <w:tcPr>
            <w:tcW w:w="947" w:type="dxa"/>
            <w:tcBorders>
              <w:top w:val="nil"/>
              <w:left w:val="nil"/>
              <w:bottom w:val="nil"/>
              <w:right w:val="nil"/>
            </w:tcBorders>
            <w:shd w:val="clear" w:color="auto" w:fill="auto"/>
            <w:vAlign w:val="center"/>
            <w:hideMark/>
          </w:tcPr>
          <w:p w14:paraId="52695331" w14:textId="4D0D9EAC"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3.4</w:t>
            </w:r>
          </w:p>
        </w:tc>
        <w:tc>
          <w:tcPr>
            <w:tcW w:w="998" w:type="dxa"/>
            <w:tcBorders>
              <w:top w:val="nil"/>
              <w:left w:val="nil"/>
              <w:bottom w:val="nil"/>
              <w:right w:val="nil"/>
            </w:tcBorders>
            <w:shd w:val="clear" w:color="auto" w:fill="auto"/>
            <w:vAlign w:val="center"/>
            <w:hideMark/>
          </w:tcPr>
          <w:p w14:paraId="2DA95412" w14:textId="22D0F47B"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-0.6</w:t>
            </w:r>
          </w:p>
        </w:tc>
        <w:tc>
          <w:tcPr>
            <w:tcW w:w="947" w:type="dxa"/>
            <w:tcBorders>
              <w:top w:val="nil"/>
              <w:left w:val="nil"/>
              <w:bottom w:val="nil"/>
              <w:right w:val="nil"/>
            </w:tcBorders>
            <w:shd w:val="clear" w:color="auto" w:fill="auto"/>
            <w:vAlign w:val="center"/>
            <w:hideMark/>
          </w:tcPr>
          <w:p w14:paraId="540B0523" w14:textId="3F8CEBEC"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69.0</w:t>
            </w:r>
          </w:p>
        </w:tc>
        <w:tc>
          <w:tcPr>
            <w:tcW w:w="998" w:type="dxa"/>
            <w:tcBorders>
              <w:top w:val="nil"/>
              <w:left w:val="nil"/>
              <w:bottom w:val="nil"/>
              <w:right w:val="nil"/>
            </w:tcBorders>
            <w:shd w:val="clear" w:color="auto" w:fill="auto"/>
            <w:vAlign w:val="center"/>
            <w:hideMark/>
          </w:tcPr>
          <w:p w14:paraId="45D0FE4F" w14:textId="67985B36"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0.2</w:t>
            </w:r>
          </w:p>
        </w:tc>
      </w:tr>
      <w:tr w:rsidR="002229E4" w:rsidRPr="00B93C08" w14:paraId="6A49F2AA" w14:textId="77777777" w:rsidTr="002229E4">
        <w:trPr>
          <w:trHeight w:val="300"/>
        </w:trPr>
        <w:tc>
          <w:tcPr>
            <w:tcW w:w="2742" w:type="dxa"/>
            <w:tcBorders>
              <w:top w:val="nil"/>
              <w:left w:val="nil"/>
              <w:bottom w:val="nil"/>
              <w:right w:val="nil"/>
            </w:tcBorders>
            <w:shd w:val="clear" w:color="000000" w:fill="E6E6E6"/>
            <w:vAlign w:val="center"/>
            <w:hideMark/>
          </w:tcPr>
          <w:p w14:paraId="3C6C5715" w14:textId="46C0FDFC" w:rsidR="002229E4" w:rsidRPr="004D767B" w:rsidRDefault="002229E4" w:rsidP="002229E4">
            <w:pPr>
              <w:spacing w:after="0" w:line="240" w:lineRule="auto"/>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Tasmania</w:t>
            </w:r>
          </w:p>
        </w:tc>
        <w:tc>
          <w:tcPr>
            <w:tcW w:w="995" w:type="dxa"/>
            <w:tcBorders>
              <w:top w:val="nil"/>
              <w:left w:val="nil"/>
              <w:bottom w:val="nil"/>
              <w:right w:val="nil"/>
            </w:tcBorders>
            <w:shd w:val="clear" w:color="000000" w:fill="E6E6E6"/>
            <w:vAlign w:val="center"/>
            <w:hideMark/>
          </w:tcPr>
          <w:p w14:paraId="235583B1" w14:textId="48A3F217"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282.5</w:t>
            </w:r>
          </w:p>
        </w:tc>
        <w:tc>
          <w:tcPr>
            <w:tcW w:w="950" w:type="dxa"/>
            <w:tcBorders>
              <w:top w:val="nil"/>
              <w:left w:val="nil"/>
              <w:bottom w:val="nil"/>
              <w:right w:val="nil"/>
            </w:tcBorders>
            <w:shd w:val="clear" w:color="000000" w:fill="E6E6E6"/>
            <w:vAlign w:val="center"/>
            <w:hideMark/>
          </w:tcPr>
          <w:p w14:paraId="22A9E695" w14:textId="798306AA"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-4.2</w:t>
            </w:r>
          </w:p>
        </w:tc>
        <w:tc>
          <w:tcPr>
            <w:tcW w:w="943" w:type="dxa"/>
            <w:tcBorders>
              <w:top w:val="nil"/>
              <w:left w:val="nil"/>
              <w:bottom w:val="nil"/>
              <w:right w:val="nil"/>
            </w:tcBorders>
            <w:shd w:val="clear" w:color="000000" w:fill="E6E6E6"/>
            <w:vAlign w:val="center"/>
            <w:hideMark/>
          </w:tcPr>
          <w:p w14:paraId="6AFFAE54" w14:textId="493633B8"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-1.5</w:t>
            </w:r>
          </w:p>
        </w:tc>
        <w:tc>
          <w:tcPr>
            <w:tcW w:w="947" w:type="dxa"/>
            <w:tcBorders>
              <w:top w:val="nil"/>
              <w:left w:val="nil"/>
              <w:bottom w:val="nil"/>
              <w:right w:val="nil"/>
            </w:tcBorders>
            <w:shd w:val="clear" w:color="000000" w:fill="E6E6E6"/>
            <w:vAlign w:val="center"/>
            <w:hideMark/>
          </w:tcPr>
          <w:p w14:paraId="6DCFC24D" w14:textId="079A1527"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3.8</w:t>
            </w:r>
          </w:p>
        </w:tc>
        <w:tc>
          <w:tcPr>
            <w:tcW w:w="998" w:type="dxa"/>
            <w:tcBorders>
              <w:top w:val="nil"/>
              <w:left w:val="nil"/>
              <w:bottom w:val="nil"/>
              <w:right w:val="nil"/>
            </w:tcBorders>
            <w:shd w:val="clear" w:color="000000" w:fill="E6E6E6"/>
            <w:vAlign w:val="center"/>
            <w:hideMark/>
          </w:tcPr>
          <w:p w14:paraId="565DF27E" w14:textId="14F433A5"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0.2</w:t>
            </w:r>
          </w:p>
        </w:tc>
        <w:tc>
          <w:tcPr>
            <w:tcW w:w="947" w:type="dxa"/>
            <w:tcBorders>
              <w:top w:val="nil"/>
              <w:left w:val="nil"/>
              <w:bottom w:val="nil"/>
              <w:right w:val="nil"/>
            </w:tcBorders>
            <w:shd w:val="clear" w:color="000000" w:fill="E6E6E6"/>
            <w:vAlign w:val="center"/>
            <w:hideMark/>
          </w:tcPr>
          <w:p w14:paraId="6D2CA29D" w14:textId="5026DFF7"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61.0</w:t>
            </w:r>
          </w:p>
        </w:tc>
        <w:tc>
          <w:tcPr>
            <w:tcW w:w="998" w:type="dxa"/>
            <w:tcBorders>
              <w:top w:val="nil"/>
              <w:left w:val="nil"/>
              <w:bottom w:val="nil"/>
              <w:right w:val="nil"/>
            </w:tcBorders>
            <w:shd w:val="clear" w:color="000000" w:fill="E6E6E6"/>
            <w:vAlign w:val="center"/>
            <w:hideMark/>
          </w:tcPr>
          <w:p w14:paraId="64674EE1" w14:textId="66330754"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-0.9</w:t>
            </w:r>
          </w:p>
        </w:tc>
      </w:tr>
      <w:tr w:rsidR="002229E4" w:rsidRPr="00B93C08" w14:paraId="472289C4" w14:textId="77777777" w:rsidTr="002229E4">
        <w:trPr>
          <w:trHeight w:val="300"/>
        </w:trPr>
        <w:tc>
          <w:tcPr>
            <w:tcW w:w="2742" w:type="dxa"/>
            <w:tcBorders>
              <w:top w:val="nil"/>
              <w:left w:val="nil"/>
              <w:bottom w:val="nil"/>
              <w:right w:val="nil"/>
            </w:tcBorders>
            <w:shd w:val="clear" w:color="auto" w:fill="auto"/>
            <w:vAlign w:val="center"/>
            <w:hideMark/>
          </w:tcPr>
          <w:p w14:paraId="31EF574C" w14:textId="604D0009" w:rsidR="002229E4" w:rsidRPr="004D767B" w:rsidRDefault="002229E4" w:rsidP="002229E4">
            <w:pPr>
              <w:spacing w:after="0" w:line="240" w:lineRule="auto"/>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Northern Territory</w:t>
            </w:r>
          </w:p>
        </w:tc>
        <w:tc>
          <w:tcPr>
            <w:tcW w:w="995" w:type="dxa"/>
            <w:tcBorders>
              <w:top w:val="nil"/>
              <w:left w:val="nil"/>
              <w:bottom w:val="nil"/>
              <w:right w:val="nil"/>
            </w:tcBorders>
            <w:shd w:val="clear" w:color="auto" w:fill="auto"/>
            <w:vAlign w:val="center"/>
            <w:hideMark/>
          </w:tcPr>
          <w:p w14:paraId="45F4DBE5" w14:textId="0234B458"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139.7</w:t>
            </w:r>
          </w:p>
        </w:tc>
        <w:tc>
          <w:tcPr>
            <w:tcW w:w="950" w:type="dxa"/>
            <w:tcBorders>
              <w:top w:val="nil"/>
              <w:left w:val="nil"/>
              <w:bottom w:val="nil"/>
              <w:right w:val="nil"/>
            </w:tcBorders>
            <w:shd w:val="clear" w:color="auto" w:fill="auto"/>
            <w:vAlign w:val="center"/>
            <w:hideMark/>
          </w:tcPr>
          <w:p w14:paraId="5DA4BF80" w14:textId="3D319E6E"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2.2</w:t>
            </w:r>
          </w:p>
        </w:tc>
        <w:tc>
          <w:tcPr>
            <w:tcW w:w="943" w:type="dxa"/>
            <w:tcBorders>
              <w:top w:val="nil"/>
              <w:left w:val="nil"/>
              <w:bottom w:val="nil"/>
              <w:right w:val="nil"/>
            </w:tcBorders>
            <w:shd w:val="clear" w:color="auto" w:fill="auto"/>
            <w:vAlign w:val="center"/>
            <w:hideMark/>
          </w:tcPr>
          <w:p w14:paraId="14536D24" w14:textId="608AC7F1"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1.6</w:t>
            </w:r>
          </w:p>
        </w:tc>
        <w:tc>
          <w:tcPr>
            <w:tcW w:w="947" w:type="dxa"/>
            <w:tcBorders>
              <w:top w:val="nil"/>
              <w:left w:val="nil"/>
              <w:bottom w:val="nil"/>
              <w:right w:val="nil"/>
            </w:tcBorders>
            <w:shd w:val="clear" w:color="auto" w:fill="auto"/>
            <w:vAlign w:val="center"/>
            <w:hideMark/>
          </w:tcPr>
          <w:p w14:paraId="5F8EB72C" w14:textId="7F78B992"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3.8</w:t>
            </w:r>
          </w:p>
        </w:tc>
        <w:tc>
          <w:tcPr>
            <w:tcW w:w="998" w:type="dxa"/>
            <w:tcBorders>
              <w:top w:val="nil"/>
              <w:left w:val="nil"/>
              <w:bottom w:val="nil"/>
              <w:right w:val="nil"/>
            </w:tcBorders>
            <w:shd w:val="clear" w:color="auto" w:fill="auto"/>
            <w:vAlign w:val="center"/>
            <w:hideMark/>
          </w:tcPr>
          <w:p w14:paraId="0115FC90" w14:textId="5E362058"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-0.8</w:t>
            </w:r>
          </w:p>
        </w:tc>
        <w:tc>
          <w:tcPr>
            <w:tcW w:w="947" w:type="dxa"/>
            <w:tcBorders>
              <w:top w:val="nil"/>
              <w:left w:val="nil"/>
              <w:bottom w:val="nil"/>
              <w:right w:val="nil"/>
            </w:tcBorders>
            <w:shd w:val="clear" w:color="auto" w:fill="auto"/>
            <w:vAlign w:val="center"/>
            <w:hideMark/>
          </w:tcPr>
          <w:p w14:paraId="4386D12A" w14:textId="22FBAEFF"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73.5</w:t>
            </w:r>
          </w:p>
        </w:tc>
        <w:tc>
          <w:tcPr>
            <w:tcW w:w="998" w:type="dxa"/>
            <w:tcBorders>
              <w:top w:val="nil"/>
              <w:left w:val="nil"/>
              <w:bottom w:val="nil"/>
              <w:right w:val="nil"/>
            </w:tcBorders>
            <w:shd w:val="clear" w:color="auto" w:fill="auto"/>
            <w:vAlign w:val="center"/>
            <w:hideMark/>
          </w:tcPr>
          <w:p w14:paraId="26132296" w14:textId="2876FB01"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0.2</w:t>
            </w:r>
          </w:p>
        </w:tc>
      </w:tr>
      <w:tr w:rsidR="002229E4" w:rsidRPr="00B93C08" w14:paraId="57978453" w14:textId="77777777" w:rsidTr="002229E4">
        <w:trPr>
          <w:trHeight w:val="300"/>
        </w:trPr>
        <w:tc>
          <w:tcPr>
            <w:tcW w:w="2742" w:type="dxa"/>
            <w:tcBorders>
              <w:top w:val="nil"/>
              <w:left w:val="nil"/>
              <w:right w:val="nil"/>
            </w:tcBorders>
            <w:shd w:val="clear" w:color="000000" w:fill="E6E6E6"/>
            <w:vAlign w:val="center"/>
            <w:hideMark/>
          </w:tcPr>
          <w:p w14:paraId="130C03AA" w14:textId="3D42DE2D" w:rsidR="002229E4" w:rsidRPr="004D767B" w:rsidRDefault="002229E4" w:rsidP="002229E4">
            <w:pPr>
              <w:spacing w:after="0" w:line="240" w:lineRule="auto"/>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Australian Capital Territory</w:t>
            </w:r>
          </w:p>
        </w:tc>
        <w:tc>
          <w:tcPr>
            <w:tcW w:w="995" w:type="dxa"/>
            <w:tcBorders>
              <w:top w:val="nil"/>
              <w:left w:val="nil"/>
              <w:right w:val="nil"/>
            </w:tcBorders>
            <w:shd w:val="clear" w:color="000000" w:fill="E6E6E6"/>
            <w:vAlign w:val="center"/>
            <w:hideMark/>
          </w:tcPr>
          <w:p w14:paraId="4EF553F8" w14:textId="73E64092"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267.9</w:t>
            </w:r>
          </w:p>
        </w:tc>
        <w:tc>
          <w:tcPr>
            <w:tcW w:w="950" w:type="dxa"/>
            <w:tcBorders>
              <w:top w:val="nil"/>
              <w:left w:val="nil"/>
              <w:right w:val="nil"/>
            </w:tcBorders>
            <w:shd w:val="clear" w:color="000000" w:fill="E6E6E6"/>
            <w:vAlign w:val="center"/>
            <w:hideMark/>
          </w:tcPr>
          <w:p w14:paraId="34A32850" w14:textId="609A9FFE"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2.9</w:t>
            </w:r>
          </w:p>
        </w:tc>
        <w:tc>
          <w:tcPr>
            <w:tcW w:w="943" w:type="dxa"/>
            <w:tcBorders>
              <w:top w:val="nil"/>
              <w:left w:val="nil"/>
              <w:right w:val="nil"/>
            </w:tcBorders>
            <w:shd w:val="clear" w:color="000000" w:fill="E6E6E6"/>
            <w:vAlign w:val="center"/>
            <w:hideMark/>
          </w:tcPr>
          <w:p w14:paraId="724E4905" w14:textId="316E7129"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1.1</w:t>
            </w:r>
          </w:p>
        </w:tc>
        <w:tc>
          <w:tcPr>
            <w:tcW w:w="947" w:type="dxa"/>
            <w:tcBorders>
              <w:top w:val="nil"/>
              <w:left w:val="nil"/>
              <w:right w:val="nil"/>
            </w:tcBorders>
            <w:shd w:val="clear" w:color="000000" w:fill="E6E6E6"/>
            <w:vAlign w:val="center"/>
            <w:hideMark/>
          </w:tcPr>
          <w:p w14:paraId="40543B5A" w14:textId="678B83A3"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2.9</w:t>
            </w:r>
          </w:p>
        </w:tc>
        <w:tc>
          <w:tcPr>
            <w:tcW w:w="998" w:type="dxa"/>
            <w:tcBorders>
              <w:top w:val="nil"/>
              <w:left w:val="nil"/>
              <w:right w:val="nil"/>
            </w:tcBorders>
            <w:shd w:val="clear" w:color="000000" w:fill="E6E6E6"/>
            <w:vAlign w:val="center"/>
            <w:hideMark/>
          </w:tcPr>
          <w:p w14:paraId="7A75D351" w14:textId="0A058985"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-1.1</w:t>
            </w:r>
          </w:p>
        </w:tc>
        <w:tc>
          <w:tcPr>
            <w:tcW w:w="947" w:type="dxa"/>
            <w:tcBorders>
              <w:top w:val="nil"/>
              <w:left w:val="nil"/>
              <w:right w:val="nil"/>
            </w:tcBorders>
            <w:shd w:val="clear" w:color="000000" w:fill="E6E6E6"/>
            <w:vAlign w:val="center"/>
            <w:hideMark/>
          </w:tcPr>
          <w:p w14:paraId="1538D2A6" w14:textId="7946CCF7"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71.6</w:t>
            </w:r>
          </w:p>
        </w:tc>
        <w:tc>
          <w:tcPr>
            <w:tcW w:w="998" w:type="dxa"/>
            <w:tcBorders>
              <w:top w:val="nil"/>
              <w:left w:val="nil"/>
              <w:right w:val="nil"/>
            </w:tcBorders>
            <w:shd w:val="clear" w:color="000000" w:fill="E6E6E6"/>
            <w:vAlign w:val="center"/>
            <w:hideMark/>
          </w:tcPr>
          <w:p w14:paraId="3FF5E679" w14:textId="1B981336" w:rsidR="002229E4" w:rsidRPr="004D767B"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4D767B">
              <w:rPr>
                <w:rFonts w:eastAsia="Times New Roman" w:cs="Arial"/>
                <w:color w:val="000000"/>
                <w:sz w:val="20"/>
                <w:szCs w:val="20"/>
                <w:lang w:eastAsia="en-AU"/>
              </w:rPr>
              <w:t>-0.6</w:t>
            </w:r>
          </w:p>
        </w:tc>
      </w:tr>
      <w:tr w:rsidR="002229E4" w:rsidRPr="00B93C08" w14:paraId="6750BEDB" w14:textId="77777777" w:rsidTr="002229E4">
        <w:trPr>
          <w:trHeight w:val="315"/>
        </w:trPr>
        <w:tc>
          <w:tcPr>
            <w:tcW w:w="2742" w:type="dxa"/>
            <w:tcBorders>
              <w:top w:val="nil"/>
              <w:left w:val="nil"/>
              <w:bottom w:val="single" w:sz="4" w:space="0" w:color="auto"/>
              <w:right w:val="nil"/>
            </w:tcBorders>
            <w:shd w:val="clear" w:color="auto" w:fill="auto"/>
            <w:vAlign w:val="center"/>
            <w:hideMark/>
          </w:tcPr>
          <w:p w14:paraId="6ABC5238" w14:textId="24B279F4" w:rsidR="002229E4" w:rsidRPr="004D767B" w:rsidRDefault="002229E4" w:rsidP="002229E4">
            <w:pPr>
              <w:spacing w:after="0" w:line="240" w:lineRule="auto"/>
              <w:rPr>
                <w:rFonts w:asciiTheme="majorHAnsi" w:eastAsia="Times New Roman" w:hAnsiTheme="majorHAnsi" w:cstheme="majorHAnsi"/>
                <w:b/>
                <w:color w:val="000000"/>
                <w:sz w:val="20"/>
                <w:szCs w:val="20"/>
                <w:lang w:eastAsia="en-AU"/>
              </w:rPr>
            </w:pPr>
            <w:r w:rsidRPr="004D767B">
              <w:rPr>
                <w:rFonts w:eastAsia="Times New Roman" w:cs="Arial"/>
                <w:b/>
                <w:bCs/>
                <w:color w:val="000000"/>
                <w:sz w:val="20"/>
                <w:szCs w:val="20"/>
                <w:lang w:eastAsia="en-AU"/>
              </w:rPr>
              <w:t>Australia</w:t>
            </w:r>
          </w:p>
        </w:tc>
        <w:tc>
          <w:tcPr>
            <w:tcW w:w="995" w:type="dxa"/>
            <w:tcBorders>
              <w:top w:val="nil"/>
              <w:left w:val="nil"/>
              <w:bottom w:val="single" w:sz="4" w:space="0" w:color="auto"/>
              <w:right w:val="nil"/>
            </w:tcBorders>
            <w:shd w:val="clear" w:color="auto" w:fill="auto"/>
            <w:vAlign w:val="center"/>
            <w:hideMark/>
          </w:tcPr>
          <w:p w14:paraId="55AB2807" w14:textId="2A02FD5A" w:rsidR="002229E4" w:rsidRPr="004D767B" w:rsidRDefault="002229E4" w:rsidP="002229E4">
            <w:pPr>
              <w:spacing w:after="0" w:line="240" w:lineRule="auto"/>
              <w:jc w:val="center"/>
              <w:rPr>
                <w:rFonts w:asciiTheme="majorHAnsi" w:eastAsia="Times New Roman" w:hAnsiTheme="majorHAnsi" w:cstheme="majorHAnsi"/>
                <w:b/>
                <w:sz w:val="20"/>
                <w:szCs w:val="20"/>
                <w:lang w:eastAsia="en-AU"/>
              </w:rPr>
            </w:pPr>
            <w:r w:rsidRPr="004D767B">
              <w:rPr>
                <w:rFonts w:eastAsia="Times New Roman" w:cs="Arial"/>
                <w:b/>
                <w:bCs/>
                <w:sz w:val="20"/>
                <w:szCs w:val="20"/>
                <w:lang w:eastAsia="en-AU"/>
              </w:rPr>
              <w:t>14,259.9</w:t>
            </w:r>
          </w:p>
        </w:tc>
        <w:tc>
          <w:tcPr>
            <w:tcW w:w="950" w:type="dxa"/>
            <w:tcBorders>
              <w:top w:val="nil"/>
              <w:left w:val="nil"/>
              <w:bottom w:val="single" w:sz="4" w:space="0" w:color="auto"/>
              <w:right w:val="nil"/>
            </w:tcBorders>
            <w:shd w:val="clear" w:color="auto" w:fill="auto"/>
            <w:vAlign w:val="center"/>
            <w:hideMark/>
          </w:tcPr>
          <w:p w14:paraId="222B6DC9" w14:textId="4E31181E" w:rsidR="002229E4" w:rsidRPr="004D767B" w:rsidRDefault="002229E4" w:rsidP="002229E4">
            <w:pPr>
              <w:spacing w:after="0" w:line="240" w:lineRule="auto"/>
              <w:jc w:val="center"/>
              <w:rPr>
                <w:rFonts w:asciiTheme="majorHAnsi" w:eastAsia="Times New Roman" w:hAnsiTheme="majorHAnsi" w:cstheme="majorHAnsi"/>
                <w:b/>
                <w:sz w:val="20"/>
                <w:szCs w:val="20"/>
                <w:lang w:eastAsia="en-AU"/>
              </w:rPr>
            </w:pPr>
            <w:r w:rsidRPr="004D767B">
              <w:rPr>
                <w:rFonts w:eastAsia="Times New Roman" w:cs="Arial"/>
                <w:b/>
                <w:bCs/>
                <w:sz w:val="20"/>
                <w:szCs w:val="20"/>
                <w:lang w:eastAsia="en-AU"/>
              </w:rPr>
              <w:t>122.3</w:t>
            </w:r>
          </w:p>
        </w:tc>
        <w:tc>
          <w:tcPr>
            <w:tcW w:w="943" w:type="dxa"/>
            <w:tcBorders>
              <w:top w:val="nil"/>
              <w:left w:val="nil"/>
              <w:bottom w:val="single" w:sz="4" w:space="0" w:color="auto"/>
              <w:right w:val="nil"/>
            </w:tcBorders>
            <w:shd w:val="clear" w:color="auto" w:fill="auto"/>
            <w:vAlign w:val="center"/>
            <w:hideMark/>
          </w:tcPr>
          <w:p w14:paraId="771F784E" w14:textId="0EA775E3" w:rsidR="002229E4" w:rsidRPr="004D767B" w:rsidRDefault="002229E4" w:rsidP="002229E4">
            <w:pPr>
              <w:spacing w:after="0" w:line="240" w:lineRule="auto"/>
              <w:jc w:val="center"/>
              <w:rPr>
                <w:rFonts w:asciiTheme="majorHAnsi" w:eastAsia="Times New Roman" w:hAnsiTheme="majorHAnsi" w:cstheme="majorHAnsi"/>
                <w:b/>
                <w:sz w:val="20"/>
                <w:szCs w:val="20"/>
                <w:lang w:eastAsia="en-AU"/>
              </w:rPr>
            </w:pPr>
            <w:r w:rsidRPr="004D767B">
              <w:rPr>
                <w:rFonts w:eastAsia="Times New Roman" w:cs="Arial"/>
                <w:b/>
                <w:bCs/>
                <w:sz w:val="20"/>
                <w:szCs w:val="20"/>
                <w:lang w:eastAsia="en-AU"/>
              </w:rPr>
              <w:t>0.9</w:t>
            </w:r>
          </w:p>
        </w:tc>
        <w:tc>
          <w:tcPr>
            <w:tcW w:w="947" w:type="dxa"/>
            <w:tcBorders>
              <w:top w:val="nil"/>
              <w:left w:val="nil"/>
              <w:bottom w:val="single" w:sz="4" w:space="0" w:color="auto"/>
              <w:right w:val="nil"/>
            </w:tcBorders>
            <w:shd w:val="clear" w:color="auto" w:fill="auto"/>
            <w:vAlign w:val="center"/>
            <w:hideMark/>
          </w:tcPr>
          <w:p w14:paraId="0D5742B2" w14:textId="59C774DB" w:rsidR="002229E4" w:rsidRPr="004D767B" w:rsidRDefault="002229E4" w:rsidP="002229E4">
            <w:pPr>
              <w:spacing w:after="0" w:line="240" w:lineRule="auto"/>
              <w:jc w:val="center"/>
              <w:rPr>
                <w:rFonts w:asciiTheme="majorHAnsi" w:eastAsia="Times New Roman" w:hAnsiTheme="majorHAnsi" w:cstheme="majorHAnsi"/>
                <w:b/>
                <w:sz w:val="20"/>
                <w:szCs w:val="20"/>
                <w:lang w:eastAsia="en-AU"/>
              </w:rPr>
            </w:pPr>
            <w:r w:rsidRPr="004D767B">
              <w:rPr>
                <w:rFonts w:eastAsia="Times New Roman" w:cs="Arial"/>
                <w:b/>
                <w:bCs/>
                <w:sz w:val="20"/>
                <w:szCs w:val="20"/>
                <w:lang w:eastAsia="en-AU"/>
              </w:rPr>
              <w:t>3.8</w:t>
            </w:r>
          </w:p>
        </w:tc>
        <w:tc>
          <w:tcPr>
            <w:tcW w:w="998" w:type="dxa"/>
            <w:tcBorders>
              <w:top w:val="nil"/>
              <w:left w:val="nil"/>
              <w:bottom w:val="single" w:sz="4" w:space="0" w:color="auto"/>
              <w:right w:val="nil"/>
            </w:tcBorders>
            <w:shd w:val="clear" w:color="auto" w:fill="auto"/>
            <w:vAlign w:val="center"/>
            <w:hideMark/>
          </w:tcPr>
          <w:p w14:paraId="67A671F7" w14:textId="108C1D1A" w:rsidR="002229E4" w:rsidRPr="004D767B" w:rsidRDefault="002229E4" w:rsidP="002229E4">
            <w:pPr>
              <w:spacing w:after="0" w:line="240" w:lineRule="auto"/>
              <w:jc w:val="center"/>
              <w:rPr>
                <w:rFonts w:asciiTheme="majorHAnsi" w:eastAsia="Times New Roman" w:hAnsiTheme="majorHAnsi" w:cstheme="majorHAnsi"/>
                <w:b/>
                <w:sz w:val="20"/>
                <w:szCs w:val="20"/>
                <w:lang w:eastAsia="en-AU"/>
              </w:rPr>
            </w:pPr>
            <w:r w:rsidRPr="004D767B">
              <w:rPr>
                <w:rFonts w:eastAsia="Times New Roman" w:cs="Arial"/>
                <w:b/>
                <w:bCs/>
                <w:sz w:val="20"/>
                <w:szCs w:val="20"/>
                <w:lang w:eastAsia="en-AU"/>
              </w:rPr>
              <w:t>-0.1</w:t>
            </w:r>
          </w:p>
        </w:tc>
        <w:tc>
          <w:tcPr>
            <w:tcW w:w="947" w:type="dxa"/>
            <w:tcBorders>
              <w:top w:val="nil"/>
              <w:left w:val="nil"/>
              <w:bottom w:val="single" w:sz="4" w:space="0" w:color="auto"/>
              <w:right w:val="nil"/>
            </w:tcBorders>
            <w:shd w:val="clear" w:color="auto" w:fill="auto"/>
            <w:vAlign w:val="center"/>
            <w:hideMark/>
          </w:tcPr>
          <w:p w14:paraId="776EFF9F" w14:textId="7CA2C4D4" w:rsidR="002229E4" w:rsidRPr="004D767B" w:rsidRDefault="002229E4" w:rsidP="002229E4">
            <w:pPr>
              <w:spacing w:after="0" w:line="240" w:lineRule="auto"/>
              <w:jc w:val="center"/>
              <w:rPr>
                <w:rFonts w:asciiTheme="majorHAnsi" w:eastAsia="Times New Roman" w:hAnsiTheme="majorHAnsi" w:cstheme="majorHAnsi"/>
                <w:b/>
                <w:sz w:val="20"/>
                <w:szCs w:val="20"/>
                <w:lang w:eastAsia="en-AU"/>
              </w:rPr>
            </w:pPr>
            <w:r w:rsidRPr="004D767B">
              <w:rPr>
                <w:rFonts w:eastAsia="Times New Roman" w:cs="Arial"/>
                <w:b/>
                <w:bCs/>
                <w:sz w:val="20"/>
                <w:szCs w:val="20"/>
                <w:lang w:eastAsia="en-AU"/>
              </w:rPr>
              <w:t>66.6</w:t>
            </w:r>
          </w:p>
        </w:tc>
        <w:tc>
          <w:tcPr>
            <w:tcW w:w="998" w:type="dxa"/>
            <w:tcBorders>
              <w:top w:val="nil"/>
              <w:left w:val="nil"/>
              <w:bottom w:val="single" w:sz="4" w:space="0" w:color="auto"/>
              <w:right w:val="nil"/>
            </w:tcBorders>
            <w:shd w:val="clear" w:color="auto" w:fill="auto"/>
            <w:vAlign w:val="center"/>
            <w:hideMark/>
          </w:tcPr>
          <w:p w14:paraId="7851705E" w14:textId="62C32354" w:rsidR="002229E4" w:rsidRPr="004D767B" w:rsidRDefault="002229E4" w:rsidP="002229E4">
            <w:pPr>
              <w:spacing w:after="0" w:line="240" w:lineRule="auto"/>
              <w:jc w:val="center"/>
              <w:rPr>
                <w:rFonts w:asciiTheme="majorHAnsi" w:eastAsia="Times New Roman" w:hAnsiTheme="majorHAnsi" w:cstheme="majorHAnsi"/>
                <w:b/>
                <w:sz w:val="20"/>
                <w:szCs w:val="20"/>
                <w:lang w:eastAsia="en-AU"/>
              </w:rPr>
            </w:pPr>
            <w:r w:rsidRPr="004D767B">
              <w:rPr>
                <w:rFonts w:eastAsia="Times New Roman" w:cs="Arial"/>
                <w:b/>
                <w:bCs/>
                <w:sz w:val="20"/>
                <w:szCs w:val="20"/>
                <w:lang w:eastAsia="en-AU"/>
              </w:rPr>
              <w:t>0.0</w:t>
            </w:r>
          </w:p>
        </w:tc>
      </w:tr>
    </w:tbl>
    <w:p w14:paraId="1FB6C961" w14:textId="076BBE9C" w:rsidR="0035714A" w:rsidRPr="00B93C08" w:rsidRDefault="0035714A" w:rsidP="004D767B">
      <w:pPr>
        <w:pStyle w:val="Source"/>
        <w:spacing w:before="0"/>
      </w:pPr>
      <w:r w:rsidRPr="004D767B">
        <w:t xml:space="preserve">Source: ABS, Labour Force, Australia, </w:t>
      </w:r>
      <w:r w:rsidR="002229E4" w:rsidRPr="004D767B">
        <w:t>March</w:t>
      </w:r>
      <w:r w:rsidRPr="004D767B">
        <w:t xml:space="preserve"> 202</w:t>
      </w:r>
      <w:r w:rsidR="002229E4" w:rsidRPr="004D767B">
        <w:t>4</w:t>
      </w:r>
      <w:r w:rsidRPr="004D767B">
        <w:t>, seasonally adjusted data.</w:t>
      </w:r>
    </w:p>
    <w:p w14:paraId="7C9C289F" w14:textId="7451D939" w:rsidR="00221B31" w:rsidRPr="004D767B" w:rsidRDefault="00221B31" w:rsidP="00221B31">
      <w:r w:rsidRPr="004D767B">
        <w:t xml:space="preserve">Results from the </w:t>
      </w:r>
      <w:r w:rsidRPr="004D767B">
        <w:rPr>
          <w:i/>
          <w:iCs/>
        </w:rPr>
        <w:t>Recruitment Experiences and Outlook Survey</w:t>
      </w:r>
      <w:r w:rsidRPr="004D767B">
        <w:t xml:space="preserve"> show that quarterly </w:t>
      </w:r>
      <w:r w:rsidRPr="004D767B">
        <w:rPr>
          <w:rStyle w:val="Strong"/>
          <w:b w:val="0"/>
          <w:bCs w:val="0"/>
        </w:rPr>
        <w:t>recruitment activity</w:t>
      </w:r>
      <w:r w:rsidRPr="004D767B">
        <w:t xml:space="preserve"> has decreased in all states (except Tasmania) over the year to the March quarter 2024 (Figure </w:t>
      </w:r>
      <w:r w:rsidR="00E479A1" w:rsidRPr="004D767B">
        <w:t>12</w:t>
      </w:r>
      <w:r w:rsidRPr="004D767B">
        <w:t xml:space="preserve">). </w:t>
      </w:r>
    </w:p>
    <w:p w14:paraId="3689B755" w14:textId="0DCF5958" w:rsidR="005D7362" w:rsidRPr="00B93C08" w:rsidRDefault="00221B31" w:rsidP="00221B31">
      <w:r w:rsidRPr="004D767B">
        <w:lastRenderedPageBreak/>
        <w:t>For instance, in the March quarter 2024, New South Wales, Victoria, and South Australia recorded a decrease in recruitment rates. Queensland, Western Australia, and Tasmania recorded an increase in recruitment rates. New South Wales recorded the largest annual and quarterly decline in its recruitment rate (12 percentage points since March quarter 2023 and 4 percentage points since December quarter 2023). Queensland has been the most resilient over the last year and recorded the highest quarterly recruitment rate (56%).</w:t>
      </w:r>
    </w:p>
    <w:p w14:paraId="02EDF34D" w14:textId="33661A39" w:rsidR="00B93E08" w:rsidRPr="004D767B" w:rsidRDefault="00221B31" w:rsidP="00BE2E99">
      <w:pPr>
        <w:pStyle w:val="ChartandTablelabel"/>
        <w:keepNext/>
        <w:keepLines/>
        <w:rPr>
          <w:rFonts w:asciiTheme="minorHAnsi" w:hAnsiTheme="minorHAnsi"/>
          <w:lang w:val="en-AU"/>
        </w:rPr>
      </w:pPr>
      <w:r w:rsidRPr="004D767B">
        <w:rPr>
          <w:rFonts w:asciiTheme="minorHAnsi" w:hAnsiTheme="minorHAnsi"/>
          <w:lang w:val="en-AU"/>
        </w:rPr>
        <w:t xml:space="preserve">Figure </w:t>
      </w:r>
      <w:r w:rsidR="005526ED" w:rsidRPr="004D767B">
        <w:rPr>
          <w:rFonts w:asciiTheme="minorHAnsi" w:hAnsiTheme="minorHAnsi"/>
          <w:lang w:val="en-AU"/>
        </w:rPr>
        <w:t>12</w:t>
      </w:r>
      <w:r w:rsidRPr="004D767B">
        <w:rPr>
          <w:rFonts w:asciiTheme="minorHAnsi" w:hAnsiTheme="minorHAnsi"/>
          <w:lang w:val="en-AU"/>
        </w:rPr>
        <w:t xml:space="preserve">: Recruitment rate (proportion of employers currently recruiting or who recruited in the past month) by state, March quarter 2023 to March quarter </w:t>
      </w:r>
      <w:proofErr w:type="gramStart"/>
      <w:r w:rsidRPr="004D767B">
        <w:rPr>
          <w:rFonts w:asciiTheme="minorHAnsi" w:hAnsiTheme="minorHAnsi"/>
          <w:lang w:val="en-AU"/>
        </w:rPr>
        <w:t>2024</w:t>
      </w:r>
      <w:proofErr w:type="gramEnd"/>
    </w:p>
    <w:p w14:paraId="6A54D5F0" w14:textId="4EB2C7C9" w:rsidR="00AE1D9B" w:rsidRPr="004D767B" w:rsidRDefault="00221B31" w:rsidP="004D767B">
      <w:pPr>
        <w:keepNext/>
        <w:keepLines/>
        <w:spacing w:after="0"/>
      </w:pPr>
      <w:r w:rsidRPr="004D767B">
        <w:rPr>
          <w:noProof/>
        </w:rPr>
        <w:drawing>
          <wp:inline distT="0" distB="0" distL="0" distR="0" wp14:anchorId="3BA74E80" wp14:editId="7410C6E9">
            <wp:extent cx="5688000" cy="2782800"/>
            <wp:effectExtent l="0" t="0" r="8255" b="0"/>
            <wp:docPr id="711886000" name="Chart 1" descr="Figure 12 is a column chart, showing the recruitment rate (represented as a proportion of all employers) for each state, from the March quarter 2023 to the March quarter 2024. Most states have recorded a decline in their respective recruitment rate over this period. Queensland recorded the highest recruitment rate in the March quarter 2024, while New South Wales and South Australia recorded the lowest recruitment rate.">
              <a:extLst xmlns:a="http://schemas.openxmlformats.org/drawingml/2006/main">
                <a:ext uri="{FF2B5EF4-FFF2-40B4-BE49-F238E27FC236}">
                  <a16:creationId xmlns:a16="http://schemas.microsoft.com/office/drawing/2014/main" id="{EF6C0134-D954-4576-901A-C1CA220DD7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C6AE804" w14:textId="2C61BE35" w:rsidR="005D7362" w:rsidRPr="00B93C08" w:rsidRDefault="00221B31" w:rsidP="004D767B">
      <w:pPr>
        <w:pStyle w:val="Source"/>
        <w:keepNext/>
        <w:keepLines/>
        <w:spacing w:before="0"/>
      </w:pPr>
      <w:r w:rsidRPr="004D767B">
        <w:t xml:space="preserve">Source: </w:t>
      </w:r>
      <w:r w:rsidR="00E26FD9" w:rsidRPr="004D767B">
        <w:t>JSA</w:t>
      </w:r>
      <w:r w:rsidRPr="004D767B">
        <w:t>, Recruitment Experiences and Outlook Survey, March 2024.</w:t>
      </w:r>
      <w:r w:rsidR="005D7362" w:rsidRPr="004D767B">
        <w:br/>
        <w:t>Note: Data for Australian Capital Territory and Northern Territory are unavailable on quarterly basis</w:t>
      </w:r>
      <w:r w:rsidR="00EC1FF2" w:rsidRPr="004D767B">
        <w:t>,</w:t>
      </w:r>
      <w:r w:rsidR="005D7362" w:rsidRPr="004D767B">
        <w:t xml:space="preserve"> due to small sample sizes.</w:t>
      </w:r>
    </w:p>
    <w:p w14:paraId="7AE35F9C" w14:textId="4D7B7971" w:rsidR="00417E5A" w:rsidRPr="004D767B" w:rsidRDefault="00417E5A" w:rsidP="00417E5A">
      <w:r w:rsidRPr="004D767B">
        <w:t>Quarterly r</w:t>
      </w:r>
      <w:r w:rsidRPr="004D767B">
        <w:rPr>
          <w:rStyle w:val="Strong"/>
          <w:b w:val="0"/>
          <w:bCs w:val="0"/>
        </w:rPr>
        <w:t>ecruitment difficulty</w:t>
      </w:r>
      <w:r w:rsidRPr="004D767B">
        <w:t xml:space="preserve"> has also decreased in all states over the year (Figure 1</w:t>
      </w:r>
      <w:r w:rsidR="00E479A1" w:rsidRPr="004D767B">
        <w:t>3</w:t>
      </w:r>
      <w:r w:rsidRPr="004D767B">
        <w:t>). Queensland recorded the highest level of recruitment difficulty at 56% for the March quarter 2024 while South Australia and Tasmania both recorded the lowest difficulty rate (both 51%). The largest decline occurred in Western Australia, down 19 percentage points over the year, to stand at 54% in the March quarter 2024.</w:t>
      </w:r>
    </w:p>
    <w:p w14:paraId="6D2E13A4" w14:textId="569C43B7" w:rsidR="005D7362" w:rsidRPr="004D767B" w:rsidRDefault="00417E5A" w:rsidP="0046633F">
      <w:pPr>
        <w:pStyle w:val="ChartandTablelabel"/>
        <w:rPr>
          <w:rFonts w:asciiTheme="minorHAnsi" w:hAnsiTheme="minorHAnsi"/>
          <w:lang w:val="en-AU"/>
        </w:rPr>
      </w:pPr>
      <w:r w:rsidRPr="004D767B">
        <w:rPr>
          <w:rFonts w:asciiTheme="minorHAnsi" w:hAnsiTheme="minorHAnsi"/>
          <w:lang w:val="en-AU"/>
        </w:rPr>
        <w:t>Figure 1</w:t>
      </w:r>
      <w:r w:rsidR="005526ED" w:rsidRPr="004D767B">
        <w:rPr>
          <w:rFonts w:asciiTheme="minorHAnsi" w:hAnsiTheme="minorHAnsi"/>
          <w:lang w:val="en-AU"/>
        </w:rPr>
        <w:t>3</w:t>
      </w:r>
      <w:r w:rsidRPr="004D767B">
        <w:rPr>
          <w:rFonts w:asciiTheme="minorHAnsi" w:hAnsiTheme="minorHAnsi"/>
          <w:lang w:val="en-AU"/>
        </w:rPr>
        <w:t>: Recruitment difficulty rate by state, March quarter 2023 to March quarter 2024</w:t>
      </w:r>
    </w:p>
    <w:p w14:paraId="139529E1" w14:textId="2EFA7942" w:rsidR="00681DE1" w:rsidRPr="00B93C08" w:rsidRDefault="00B92107" w:rsidP="004D767B">
      <w:pPr>
        <w:spacing w:after="0"/>
        <w:rPr>
          <w:highlight w:val="yellow"/>
        </w:rPr>
      </w:pPr>
      <w:r w:rsidRPr="00225794">
        <w:rPr>
          <w:noProof/>
        </w:rPr>
        <w:lastRenderedPageBreak/>
        <w:drawing>
          <wp:inline distT="0" distB="0" distL="0" distR="0" wp14:anchorId="5A0AB5BD" wp14:editId="67EAE88D">
            <wp:extent cx="5688000" cy="2811600"/>
            <wp:effectExtent l="0" t="0" r="8255" b="8255"/>
            <wp:docPr id="60489452" name="Chart 1" descr="Figure 10 is a column chart showing the recruitment difficulty rate (represented as a proportion of all employers) for each state from the March quarter 2023 to the March quarter 2024. All states recorded a decline in their respective difficulty rate over this period.">
              <a:extLst xmlns:a="http://schemas.openxmlformats.org/drawingml/2006/main">
                <a:ext uri="{FF2B5EF4-FFF2-40B4-BE49-F238E27FC236}">
                  <a16:creationId xmlns:a16="http://schemas.microsoft.com/office/drawing/2014/main" id="{E2156235-D58E-44F3-AF28-F5B64BE8DE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79673D9" w14:textId="77777777" w:rsidR="00B92107" w:rsidRDefault="00417E5A" w:rsidP="00B92107">
      <w:pPr>
        <w:pStyle w:val="Source"/>
        <w:spacing w:before="0" w:after="0"/>
      </w:pPr>
      <w:r w:rsidRPr="004D767B">
        <w:t xml:space="preserve">Source: </w:t>
      </w:r>
      <w:r w:rsidR="00E26FD9" w:rsidRPr="004D767B">
        <w:t>JSA</w:t>
      </w:r>
      <w:r w:rsidRPr="004D767B">
        <w:t>, Recruitment Experiences and Outlook Survey, March 2024.</w:t>
      </w:r>
      <w:r w:rsidR="005D7362" w:rsidRPr="004D767B">
        <w:br/>
        <w:t xml:space="preserve">Note: Data for </w:t>
      </w:r>
      <w:r w:rsidR="000A6A3E" w:rsidRPr="004D767B">
        <w:t xml:space="preserve">the </w:t>
      </w:r>
      <w:r w:rsidR="005D7362" w:rsidRPr="004D767B">
        <w:t xml:space="preserve">Australian Capital Territory and </w:t>
      </w:r>
      <w:r w:rsidR="000A6A3E" w:rsidRPr="004D767B">
        <w:t xml:space="preserve">the </w:t>
      </w:r>
      <w:r w:rsidR="005D7362" w:rsidRPr="004D767B">
        <w:t xml:space="preserve">Northern Territory are </w:t>
      </w:r>
      <w:r w:rsidR="000A6A3E" w:rsidRPr="004D767B">
        <w:t xml:space="preserve">not available </w:t>
      </w:r>
      <w:r w:rsidR="005D7362" w:rsidRPr="004D767B">
        <w:t xml:space="preserve">on </w:t>
      </w:r>
      <w:r w:rsidR="000A6A3E" w:rsidRPr="004D767B">
        <w:t xml:space="preserve">a </w:t>
      </w:r>
      <w:r w:rsidR="005D7362" w:rsidRPr="004D767B">
        <w:t>quarterly basis</w:t>
      </w:r>
      <w:r w:rsidR="000A6A3E" w:rsidRPr="004D767B">
        <w:t>,</w:t>
      </w:r>
      <w:r w:rsidR="005D7362" w:rsidRPr="004D767B">
        <w:t xml:space="preserve"> due to small sample sizes.</w:t>
      </w:r>
      <w:bookmarkStart w:id="44" w:name="_Toc151365187"/>
    </w:p>
    <w:p w14:paraId="5D5BFFD1" w14:textId="21E719AF" w:rsidR="001C6D03" w:rsidRPr="00B93C08" w:rsidRDefault="00B92107" w:rsidP="004D767B">
      <w:pPr>
        <w:pStyle w:val="Source"/>
        <w:spacing w:before="0"/>
        <w:rPr>
          <w:rFonts w:eastAsiaTheme="majorEastAsia" w:cstheme="majorBidi"/>
          <w:b/>
          <w:sz w:val="32"/>
          <w:szCs w:val="26"/>
        </w:rPr>
      </w:pPr>
      <w:r>
        <w:t>*</w:t>
      </w:r>
      <w:r w:rsidRPr="00800031">
        <w:t>Interpret with caution due to low sample size.</w:t>
      </w:r>
      <w:r w:rsidR="001C6D03" w:rsidRPr="00B93C08">
        <w:br w:type="page"/>
      </w:r>
    </w:p>
    <w:p w14:paraId="1B220199" w14:textId="52D55649" w:rsidR="008564DD" w:rsidRPr="00B93C08" w:rsidRDefault="008564DD" w:rsidP="00320647">
      <w:pPr>
        <w:pStyle w:val="Heading2"/>
      </w:pPr>
      <w:bookmarkStart w:id="45" w:name="_Toc166140505"/>
      <w:r w:rsidRPr="00B93C08">
        <w:lastRenderedPageBreak/>
        <w:t>The regions</w:t>
      </w:r>
      <w:bookmarkEnd w:id="44"/>
      <w:bookmarkEnd w:id="45"/>
    </w:p>
    <w:p w14:paraId="5510E4E8" w14:textId="77777777" w:rsidR="002B6E60" w:rsidRPr="00312614" w:rsidRDefault="002B6E60" w:rsidP="002B6E60">
      <w:r w:rsidRPr="00312614">
        <w:t>Employment growth was moderate in rest of state areas over the March quarter 2024 (up by 11,500 or 0.3%), outpacing the marginal increase recorded in the capital cities (of 4,500 or 0.0%</w:t>
      </w:r>
      <w:r w:rsidRPr="00312614">
        <w:rPr>
          <w:rStyle w:val="FootnoteReference"/>
        </w:rPr>
        <w:footnoteReference w:id="5"/>
      </w:r>
      <w:r w:rsidRPr="00312614">
        <w:t>) over the period.</w:t>
      </w:r>
    </w:p>
    <w:p w14:paraId="042A7E56" w14:textId="77777777" w:rsidR="002B6E60" w:rsidRPr="00312614" w:rsidRDefault="002B6E60" w:rsidP="002B6E60">
      <w:r w:rsidRPr="00312614">
        <w:t>The unemployment rate rose by 0.4 percentage points in capital cities, to 4.2% in March 2024, while it increased by 0.3 percentage points in rest of state areas, to 3.9%. The participation rate decreased by 0.3 percentage points in the capital cities over the period, to 68.6%, while the participation rate declined by 0.1 percentage points in rest of state areas, to 63.4% in March 2024 (Table 4).</w:t>
      </w:r>
      <w:r w:rsidRPr="00312614" w:rsidDel="006322E0">
        <w:t xml:space="preserve"> </w:t>
      </w:r>
    </w:p>
    <w:p w14:paraId="1B820351" w14:textId="71AE73F4" w:rsidR="00067984" w:rsidRPr="00312614" w:rsidRDefault="00067984" w:rsidP="00067984">
      <w:pPr>
        <w:pStyle w:val="ChartandTablelabel"/>
        <w:rPr>
          <w:rFonts w:asciiTheme="minorHAnsi" w:hAnsiTheme="minorHAnsi"/>
          <w:lang w:val="en-AU"/>
        </w:rPr>
      </w:pPr>
      <w:r w:rsidRPr="00312614">
        <w:rPr>
          <w:rFonts w:asciiTheme="minorHAnsi" w:hAnsiTheme="minorHAnsi"/>
          <w:lang w:val="en-AU"/>
        </w:rPr>
        <w:t xml:space="preserve">Table </w:t>
      </w:r>
      <w:r w:rsidR="00791464" w:rsidRPr="00312614">
        <w:rPr>
          <w:rFonts w:asciiTheme="minorHAnsi" w:hAnsiTheme="minorHAnsi"/>
          <w:lang w:val="en-AU"/>
        </w:rPr>
        <w:t>4</w:t>
      </w:r>
      <w:r w:rsidRPr="00312614">
        <w:rPr>
          <w:rFonts w:asciiTheme="minorHAnsi" w:hAnsiTheme="minorHAnsi"/>
          <w:lang w:val="en-AU"/>
        </w:rPr>
        <w:t xml:space="preserve">: Key labour market indicators by capital cities and rest of state areas, </w:t>
      </w:r>
      <w:r w:rsidR="002229E4" w:rsidRPr="00312614">
        <w:rPr>
          <w:rFonts w:asciiTheme="minorHAnsi" w:hAnsiTheme="minorHAnsi"/>
          <w:lang w:val="en-AU"/>
        </w:rPr>
        <w:t>March</w:t>
      </w:r>
      <w:r w:rsidRPr="00312614">
        <w:rPr>
          <w:rFonts w:asciiTheme="minorHAnsi" w:hAnsiTheme="minorHAnsi"/>
          <w:lang w:val="en-AU"/>
        </w:rPr>
        <w:t xml:space="preserve"> 202</w:t>
      </w:r>
      <w:r w:rsidR="002229E4" w:rsidRPr="00312614">
        <w:rPr>
          <w:rFonts w:asciiTheme="minorHAnsi" w:hAnsiTheme="minorHAnsi"/>
          <w:lang w:val="en-AU"/>
        </w:rPr>
        <w:t>4</w:t>
      </w:r>
    </w:p>
    <w:tbl>
      <w:tblPr>
        <w:tblW w:w="9072" w:type="dxa"/>
        <w:tblLayout w:type="fixed"/>
        <w:tblLook w:val="04A0" w:firstRow="1" w:lastRow="0" w:firstColumn="1" w:lastColumn="0" w:noHBand="0" w:noVBand="1"/>
      </w:tblPr>
      <w:tblGrid>
        <w:gridCol w:w="2410"/>
        <w:gridCol w:w="1134"/>
        <w:gridCol w:w="1134"/>
        <w:gridCol w:w="1135"/>
        <w:gridCol w:w="1133"/>
        <w:gridCol w:w="1134"/>
        <w:gridCol w:w="992"/>
      </w:tblGrid>
      <w:tr w:rsidR="00067984" w:rsidRPr="00312614" w14:paraId="5D80E88A" w14:textId="77777777" w:rsidTr="00EE2422">
        <w:trPr>
          <w:trHeight w:val="300"/>
        </w:trPr>
        <w:tc>
          <w:tcPr>
            <w:tcW w:w="2410" w:type="dxa"/>
            <w:vMerge w:val="restart"/>
            <w:tcBorders>
              <w:top w:val="nil"/>
              <w:left w:val="nil"/>
              <w:bottom w:val="nil"/>
              <w:right w:val="nil"/>
            </w:tcBorders>
            <w:shd w:val="clear" w:color="000000" w:fill="012749"/>
            <w:vAlign w:val="center"/>
            <w:hideMark/>
          </w:tcPr>
          <w:p w14:paraId="65C5F983" w14:textId="77777777" w:rsidR="00067984" w:rsidRPr="00312614" w:rsidRDefault="00067984">
            <w:pPr>
              <w:spacing w:after="0" w:line="240" w:lineRule="auto"/>
              <w:rPr>
                <w:rFonts w:asciiTheme="majorHAnsi" w:eastAsia="Times New Roman" w:hAnsiTheme="majorHAnsi" w:cstheme="majorHAnsi"/>
                <w:color w:val="000000"/>
                <w:sz w:val="19"/>
                <w:szCs w:val="19"/>
                <w:lang w:eastAsia="en-AU"/>
              </w:rPr>
            </w:pPr>
            <w:r w:rsidRPr="00312614">
              <w:rPr>
                <w:rFonts w:asciiTheme="majorHAnsi" w:eastAsia="Times New Roman" w:hAnsiTheme="majorHAnsi" w:cstheme="majorHAnsi"/>
                <w:color w:val="000000"/>
                <w:sz w:val="19"/>
                <w:szCs w:val="19"/>
                <w:lang w:eastAsia="en-AU"/>
              </w:rPr>
              <w:t> </w:t>
            </w:r>
          </w:p>
        </w:tc>
        <w:tc>
          <w:tcPr>
            <w:tcW w:w="3403" w:type="dxa"/>
            <w:gridSpan w:val="3"/>
            <w:tcBorders>
              <w:top w:val="nil"/>
              <w:left w:val="nil"/>
              <w:bottom w:val="nil"/>
              <w:right w:val="nil"/>
            </w:tcBorders>
            <w:shd w:val="clear" w:color="000000" w:fill="012749"/>
            <w:vAlign w:val="center"/>
            <w:hideMark/>
          </w:tcPr>
          <w:p w14:paraId="7702148B" w14:textId="77777777" w:rsidR="00067984" w:rsidRPr="00312614" w:rsidRDefault="00067984">
            <w:pPr>
              <w:spacing w:after="0" w:line="240" w:lineRule="auto"/>
              <w:jc w:val="center"/>
              <w:rPr>
                <w:rFonts w:asciiTheme="majorHAnsi" w:eastAsia="Times New Roman" w:hAnsiTheme="majorHAnsi" w:cstheme="majorHAnsi"/>
                <w:color w:val="FFFFFF"/>
                <w:sz w:val="19"/>
                <w:szCs w:val="19"/>
                <w:lang w:eastAsia="en-AU"/>
              </w:rPr>
            </w:pPr>
            <w:r w:rsidRPr="00312614">
              <w:rPr>
                <w:rFonts w:asciiTheme="majorHAnsi" w:eastAsia="Times New Roman" w:hAnsiTheme="majorHAnsi" w:cstheme="majorHAnsi"/>
                <w:color w:val="FFFFFF"/>
                <w:sz w:val="19"/>
                <w:szCs w:val="19"/>
                <w:lang w:eastAsia="en-AU"/>
              </w:rPr>
              <w:t>Capital cities</w:t>
            </w:r>
          </w:p>
        </w:tc>
        <w:tc>
          <w:tcPr>
            <w:tcW w:w="3259" w:type="dxa"/>
            <w:gridSpan w:val="3"/>
            <w:tcBorders>
              <w:top w:val="nil"/>
              <w:left w:val="nil"/>
              <w:bottom w:val="nil"/>
              <w:right w:val="nil"/>
            </w:tcBorders>
            <w:shd w:val="clear" w:color="000000" w:fill="012749"/>
            <w:vAlign w:val="center"/>
            <w:hideMark/>
          </w:tcPr>
          <w:p w14:paraId="25DAFF4D" w14:textId="65176F1D" w:rsidR="00067984" w:rsidRPr="00312614" w:rsidRDefault="00067984">
            <w:pPr>
              <w:spacing w:after="0" w:line="240" w:lineRule="auto"/>
              <w:jc w:val="center"/>
              <w:rPr>
                <w:rFonts w:asciiTheme="majorHAnsi" w:eastAsia="Times New Roman" w:hAnsiTheme="majorHAnsi" w:cstheme="majorHAnsi"/>
                <w:color w:val="FFFFFF"/>
                <w:sz w:val="19"/>
                <w:szCs w:val="19"/>
                <w:lang w:eastAsia="en-AU"/>
              </w:rPr>
            </w:pPr>
            <w:r w:rsidRPr="00312614">
              <w:rPr>
                <w:rFonts w:asciiTheme="majorHAnsi" w:eastAsia="Times New Roman" w:hAnsiTheme="majorHAnsi" w:cstheme="majorHAnsi"/>
                <w:color w:val="FFFFFF"/>
                <w:sz w:val="19"/>
                <w:szCs w:val="19"/>
                <w:lang w:eastAsia="en-AU"/>
              </w:rPr>
              <w:t>Rest of state</w:t>
            </w:r>
            <w:r w:rsidR="009F5D10" w:rsidRPr="00312614">
              <w:rPr>
                <w:rFonts w:asciiTheme="majorHAnsi" w:eastAsia="Times New Roman" w:hAnsiTheme="majorHAnsi" w:cstheme="majorHAnsi"/>
                <w:color w:val="FFFFFF"/>
                <w:sz w:val="19"/>
                <w:szCs w:val="19"/>
                <w:lang w:eastAsia="en-AU"/>
              </w:rPr>
              <w:t xml:space="preserve"> areas</w:t>
            </w:r>
          </w:p>
        </w:tc>
      </w:tr>
      <w:tr w:rsidR="00067984" w:rsidRPr="00312614" w14:paraId="30467429" w14:textId="77777777" w:rsidTr="00EE2422">
        <w:trPr>
          <w:trHeight w:val="315"/>
        </w:trPr>
        <w:tc>
          <w:tcPr>
            <w:tcW w:w="2410" w:type="dxa"/>
            <w:vMerge/>
            <w:tcBorders>
              <w:top w:val="nil"/>
              <w:left w:val="nil"/>
              <w:bottom w:val="nil"/>
              <w:right w:val="nil"/>
            </w:tcBorders>
            <w:vAlign w:val="center"/>
            <w:hideMark/>
          </w:tcPr>
          <w:p w14:paraId="3565DF7C" w14:textId="77777777" w:rsidR="00067984" w:rsidRPr="00312614" w:rsidRDefault="00067984">
            <w:pPr>
              <w:spacing w:after="0" w:line="240" w:lineRule="auto"/>
              <w:rPr>
                <w:rFonts w:asciiTheme="majorHAnsi" w:eastAsia="Times New Roman" w:hAnsiTheme="majorHAnsi" w:cstheme="majorHAnsi"/>
                <w:color w:val="000000"/>
                <w:sz w:val="19"/>
                <w:szCs w:val="19"/>
                <w:lang w:eastAsia="en-AU"/>
              </w:rPr>
            </w:pPr>
          </w:p>
        </w:tc>
        <w:tc>
          <w:tcPr>
            <w:tcW w:w="1134" w:type="dxa"/>
            <w:vMerge w:val="restart"/>
            <w:tcBorders>
              <w:top w:val="nil"/>
              <w:left w:val="nil"/>
              <w:bottom w:val="nil"/>
              <w:right w:val="nil"/>
            </w:tcBorders>
            <w:shd w:val="clear" w:color="000000" w:fill="012749"/>
            <w:vAlign w:val="center"/>
            <w:hideMark/>
          </w:tcPr>
          <w:p w14:paraId="203B5A5C" w14:textId="0E245294" w:rsidR="00067984" w:rsidRPr="00312614" w:rsidRDefault="002229E4">
            <w:pPr>
              <w:spacing w:after="0" w:line="240" w:lineRule="auto"/>
              <w:jc w:val="center"/>
              <w:rPr>
                <w:rFonts w:asciiTheme="majorHAnsi" w:eastAsia="Times New Roman" w:hAnsiTheme="majorHAnsi" w:cstheme="majorHAnsi"/>
                <w:color w:val="FFFFFF"/>
                <w:sz w:val="19"/>
                <w:szCs w:val="19"/>
                <w:lang w:eastAsia="en-AU"/>
              </w:rPr>
            </w:pPr>
            <w:r w:rsidRPr="00312614">
              <w:rPr>
                <w:rFonts w:asciiTheme="majorHAnsi" w:eastAsia="Times New Roman" w:hAnsiTheme="majorHAnsi" w:cstheme="majorHAnsi"/>
                <w:color w:val="FFFFFF"/>
                <w:sz w:val="19"/>
                <w:szCs w:val="19"/>
                <w:lang w:eastAsia="en-AU"/>
              </w:rPr>
              <w:t>Mar</w:t>
            </w:r>
            <w:r w:rsidR="00067984" w:rsidRPr="00312614">
              <w:rPr>
                <w:rFonts w:asciiTheme="majorHAnsi" w:eastAsia="Times New Roman" w:hAnsiTheme="majorHAnsi" w:cstheme="majorHAnsi"/>
                <w:color w:val="FFFFFF"/>
                <w:sz w:val="19"/>
                <w:szCs w:val="19"/>
                <w:lang w:eastAsia="en-AU"/>
              </w:rPr>
              <w:t>-2</w:t>
            </w:r>
            <w:r w:rsidRPr="00312614">
              <w:rPr>
                <w:rFonts w:asciiTheme="majorHAnsi" w:eastAsia="Times New Roman" w:hAnsiTheme="majorHAnsi" w:cstheme="majorHAnsi"/>
                <w:color w:val="FFFFFF"/>
                <w:sz w:val="19"/>
                <w:szCs w:val="19"/>
                <w:lang w:eastAsia="en-AU"/>
              </w:rPr>
              <w:t>4</w:t>
            </w:r>
          </w:p>
        </w:tc>
        <w:tc>
          <w:tcPr>
            <w:tcW w:w="2269" w:type="dxa"/>
            <w:gridSpan w:val="2"/>
            <w:tcBorders>
              <w:top w:val="nil"/>
              <w:left w:val="nil"/>
              <w:bottom w:val="single" w:sz="8" w:space="0" w:color="FFFFFF"/>
              <w:right w:val="nil"/>
            </w:tcBorders>
            <w:shd w:val="clear" w:color="000000" w:fill="012749"/>
            <w:vAlign w:val="center"/>
            <w:hideMark/>
          </w:tcPr>
          <w:p w14:paraId="20064BBF" w14:textId="77777777" w:rsidR="00067984" w:rsidRPr="00312614" w:rsidRDefault="00067984">
            <w:pPr>
              <w:spacing w:after="0" w:line="240" w:lineRule="auto"/>
              <w:jc w:val="center"/>
              <w:rPr>
                <w:rFonts w:asciiTheme="majorHAnsi" w:eastAsia="Times New Roman" w:hAnsiTheme="majorHAnsi" w:cstheme="majorHAnsi"/>
                <w:color w:val="FFFFFF"/>
                <w:sz w:val="19"/>
                <w:szCs w:val="19"/>
                <w:lang w:eastAsia="en-AU"/>
              </w:rPr>
            </w:pPr>
            <w:r w:rsidRPr="00312614">
              <w:rPr>
                <w:rFonts w:asciiTheme="majorHAnsi" w:eastAsia="Times New Roman" w:hAnsiTheme="majorHAnsi" w:cstheme="majorHAnsi"/>
                <w:color w:val="FFFFFF"/>
                <w:sz w:val="19"/>
                <w:szCs w:val="19"/>
                <w:lang w:eastAsia="en-AU"/>
              </w:rPr>
              <w:t>Quarterly change</w:t>
            </w:r>
          </w:p>
        </w:tc>
        <w:tc>
          <w:tcPr>
            <w:tcW w:w="1133" w:type="dxa"/>
            <w:vMerge w:val="restart"/>
            <w:tcBorders>
              <w:top w:val="nil"/>
              <w:left w:val="nil"/>
              <w:bottom w:val="nil"/>
              <w:right w:val="nil"/>
            </w:tcBorders>
            <w:shd w:val="clear" w:color="000000" w:fill="012749"/>
            <w:vAlign w:val="center"/>
            <w:hideMark/>
          </w:tcPr>
          <w:p w14:paraId="2C94AD70" w14:textId="1E659126" w:rsidR="00067984" w:rsidRPr="00312614" w:rsidRDefault="002229E4">
            <w:pPr>
              <w:spacing w:after="0" w:line="240" w:lineRule="auto"/>
              <w:jc w:val="center"/>
              <w:rPr>
                <w:rFonts w:asciiTheme="majorHAnsi" w:eastAsia="Times New Roman" w:hAnsiTheme="majorHAnsi" w:cstheme="majorHAnsi"/>
                <w:color w:val="FFFFFF"/>
                <w:sz w:val="19"/>
                <w:szCs w:val="19"/>
                <w:lang w:eastAsia="en-AU"/>
              </w:rPr>
            </w:pPr>
            <w:r w:rsidRPr="00312614">
              <w:rPr>
                <w:rFonts w:asciiTheme="majorHAnsi" w:eastAsia="Times New Roman" w:hAnsiTheme="majorHAnsi" w:cstheme="majorHAnsi"/>
                <w:color w:val="FFFFFF"/>
                <w:sz w:val="19"/>
                <w:szCs w:val="19"/>
                <w:lang w:eastAsia="en-AU"/>
              </w:rPr>
              <w:t>Mar</w:t>
            </w:r>
            <w:r w:rsidR="00067984" w:rsidRPr="00312614">
              <w:rPr>
                <w:rFonts w:asciiTheme="majorHAnsi" w:eastAsia="Times New Roman" w:hAnsiTheme="majorHAnsi" w:cstheme="majorHAnsi"/>
                <w:color w:val="FFFFFF"/>
                <w:sz w:val="19"/>
                <w:szCs w:val="19"/>
                <w:lang w:eastAsia="en-AU"/>
              </w:rPr>
              <w:t>-2</w:t>
            </w:r>
            <w:r w:rsidRPr="00312614">
              <w:rPr>
                <w:rFonts w:asciiTheme="majorHAnsi" w:eastAsia="Times New Roman" w:hAnsiTheme="majorHAnsi" w:cstheme="majorHAnsi"/>
                <w:color w:val="FFFFFF"/>
                <w:sz w:val="19"/>
                <w:szCs w:val="19"/>
                <w:lang w:eastAsia="en-AU"/>
              </w:rPr>
              <w:t>4</w:t>
            </w:r>
          </w:p>
        </w:tc>
        <w:tc>
          <w:tcPr>
            <w:tcW w:w="2126" w:type="dxa"/>
            <w:gridSpan w:val="2"/>
            <w:tcBorders>
              <w:top w:val="nil"/>
              <w:left w:val="nil"/>
              <w:bottom w:val="single" w:sz="8" w:space="0" w:color="FFFFFF"/>
              <w:right w:val="nil"/>
            </w:tcBorders>
            <w:shd w:val="clear" w:color="000000" w:fill="012749"/>
            <w:vAlign w:val="center"/>
            <w:hideMark/>
          </w:tcPr>
          <w:p w14:paraId="5ECE6D5D" w14:textId="77777777" w:rsidR="00067984" w:rsidRPr="00312614" w:rsidRDefault="00067984">
            <w:pPr>
              <w:spacing w:after="0" w:line="240" w:lineRule="auto"/>
              <w:jc w:val="center"/>
              <w:rPr>
                <w:rFonts w:asciiTheme="majorHAnsi" w:eastAsia="Times New Roman" w:hAnsiTheme="majorHAnsi" w:cstheme="majorHAnsi"/>
                <w:color w:val="FFFFFF"/>
                <w:sz w:val="19"/>
                <w:szCs w:val="19"/>
                <w:lang w:eastAsia="en-AU"/>
              </w:rPr>
            </w:pPr>
            <w:r w:rsidRPr="00312614">
              <w:rPr>
                <w:rFonts w:asciiTheme="majorHAnsi" w:eastAsia="Times New Roman" w:hAnsiTheme="majorHAnsi" w:cstheme="majorHAnsi"/>
                <w:color w:val="FFFFFF"/>
                <w:sz w:val="19"/>
                <w:szCs w:val="19"/>
                <w:lang w:eastAsia="en-AU"/>
              </w:rPr>
              <w:t>Quarterly change</w:t>
            </w:r>
          </w:p>
        </w:tc>
      </w:tr>
      <w:tr w:rsidR="00067984" w:rsidRPr="00312614" w14:paraId="1C0FD7BE" w14:textId="77777777" w:rsidTr="00EE2422">
        <w:trPr>
          <w:trHeight w:val="300"/>
        </w:trPr>
        <w:tc>
          <w:tcPr>
            <w:tcW w:w="2410" w:type="dxa"/>
            <w:vMerge/>
            <w:tcBorders>
              <w:top w:val="nil"/>
              <w:left w:val="nil"/>
              <w:bottom w:val="nil"/>
              <w:right w:val="nil"/>
            </w:tcBorders>
            <w:vAlign w:val="center"/>
            <w:hideMark/>
          </w:tcPr>
          <w:p w14:paraId="19E3078A" w14:textId="77777777" w:rsidR="00067984" w:rsidRPr="00312614" w:rsidRDefault="00067984">
            <w:pPr>
              <w:spacing w:after="0" w:line="240" w:lineRule="auto"/>
              <w:rPr>
                <w:rFonts w:asciiTheme="majorHAnsi" w:eastAsia="Times New Roman" w:hAnsiTheme="majorHAnsi" w:cstheme="majorHAnsi"/>
                <w:color w:val="000000"/>
                <w:sz w:val="19"/>
                <w:szCs w:val="19"/>
                <w:lang w:eastAsia="en-AU"/>
              </w:rPr>
            </w:pPr>
          </w:p>
        </w:tc>
        <w:tc>
          <w:tcPr>
            <w:tcW w:w="1134" w:type="dxa"/>
            <w:vMerge/>
            <w:tcBorders>
              <w:top w:val="nil"/>
              <w:left w:val="nil"/>
              <w:bottom w:val="nil"/>
              <w:right w:val="nil"/>
            </w:tcBorders>
            <w:vAlign w:val="center"/>
            <w:hideMark/>
          </w:tcPr>
          <w:p w14:paraId="35A4E6EA" w14:textId="77777777" w:rsidR="00067984" w:rsidRPr="00312614" w:rsidRDefault="00067984">
            <w:pPr>
              <w:spacing w:after="0" w:line="240" w:lineRule="auto"/>
              <w:rPr>
                <w:rFonts w:asciiTheme="majorHAnsi" w:eastAsia="Times New Roman" w:hAnsiTheme="majorHAnsi" w:cstheme="majorHAnsi"/>
                <w:color w:val="FFFFFF"/>
                <w:sz w:val="19"/>
                <w:szCs w:val="19"/>
                <w:lang w:eastAsia="en-AU"/>
              </w:rPr>
            </w:pPr>
          </w:p>
        </w:tc>
        <w:tc>
          <w:tcPr>
            <w:tcW w:w="1134" w:type="dxa"/>
            <w:tcBorders>
              <w:top w:val="nil"/>
              <w:left w:val="nil"/>
              <w:bottom w:val="nil"/>
              <w:right w:val="nil"/>
            </w:tcBorders>
            <w:shd w:val="clear" w:color="000000" w:fill="012749"/>
            <w:vAlign w:val="center"/>
            <w:hideMark/>
          </w:tcPr>
          <w:p w14:paraId="123B782D" w14:textId="77777777" w:rsidR="00067984" w:rsidRPr="00312614" w:rsidRDefault="00067984">
            <w:pPr>
              <w:spacing w:after="0" w:line="240" w:lineRule="auto"/>
              <w:jc w:val="center"/>
              <w:rPr>
                <w:rFonts w:asciiTheme="majorHAnsi" w:eastAsia="Times New Roman" w:hAnsiTheme="majorHAnsi" w:cstheme="majorHAnsi"/>
                <w:color w:val="FFFFFF"/>
                <w:sz w:val="19"/>
                <w:szCs w:val="19"/>
                <w:lang w:eastAsia="en-AU"/>
              </w:rPr>
            </w:pPr>
            <w:r w:rsidRPr="00312614">
              <w:rPr>
                <w:rFonts w:asciiTheme="majorHAnsi" w:eastAsia="Times New Roman" w:hAnsiTheme="majorHAnsi" w:cstheme="majorHAnsi"/>
                <w:color w:val="FFFFFF"/>
                <w:sz w:val="19"/>
                <w:szCs w:val="19"/>
                <w:lang w:eastAsia="en-AU"/>
              </w:rPr>
              <w:t>(‘000)</w:t>
            </w:r>
          </w:p>
        </w:tc>
        <w:tc>
          <w:tcPr>
            <w:tcW w:w="1135" w:type="dxa"/>
            <w:tcBorders>
              <w:top w:val="nil"/>
              <w:left w:val="nil"/>
              <w:bottom w:val="nil"/>
              <w:right w:val="nil"/>
            </w:tcBorders>
            <w:shd w:val="clear" w:color="000000" w:fill="012749"/>
            <w:vAlign w:val="center"/>
            <w:hideMark/>
          </w:tcPr>
          <w:p w14:paraId="0E7E0FAC" w14:textId="77777777" w:rsidR="00067984" w:rsidRPr="00312614" w:rsidRDefault="00067984">
            <w:pPr>
              <w:spacing w:after="0" w:line="240" w:lineRule="auto"/>
              <w:jc w:val="center"/>
              <w:rPr>
                <w:rFonts w:asciiTheme="majorHAnsi" w:eastAsia="Times New Roman" w:hAnsiTheme="majorHAnsi" w:cstheme="majorHAnsi"/>
                <w:color w:val="FFFFFF"/>
                <w:sz w:val="19"/>
                <w:szCs w:val="19"/>
                <w:lang w:eastAsia="en-AU"/>
              </w:rPr>
            </w:pPr>
            <w:r w:rsidRPr="00312614">
              <w:rPr>
                <w:rFonts w:asciiTheme="majorHAnsi" w:eastAsia="Times New Roman" w:hAnsiTheme="majorHAnsi" w:cstheme="majorHAnsi"/>
                <w:color w:val="FFFFFF"/>
                <w:sz w:val="19"/>
                <w:szCs w:val="19"/>
                <w:lang w:eastAsia="en-AU"/>
              </w:rPr>
              <w:t>(%)</w:t>
            </w:r>
          </w:p>
        </w:tc>
        <w:tc>
          <w:tcPr>
            <w:tcW w:w="1133" w:type="dxa"/>
            <w:vMerge/>
            <w:tcBorders>
              <w:top w:val="nil"/>
              <w:left w:val="nil"/>
              <w:bottom w:val="nil"/>
              <w:right w:val="nil"/>
            </w:tcBorders>
            <w:vAlign w:val="center"/>
            <w:hideMark/>
          </w:tcPr>
          <w:p w14:paraId="152BEB3D" w14:textId="77777777" w:rsidR="00067984" w:rsidRPr="00312614" w:rsidRDefault="00067984">
            <w:pPr>
              <w:spacing w:after="0" w:line="240" w:lineRule="auto"/>
              <w:rPr>
                <w:rFonts w:asciiTheme="majorHAnsi" w:eastAsia="Times New Roman" w:hAnsiTheme="majorHAnsi" w:cstheme="majorHAnsi"/>
                <w:color w:val="FFFFFF"/>
                <w:sz w:val="19"/>
                <w:szCs w:val="19"/>
                <w:lang w:eastAsia="en-AU"/>
              </w:rPr>
            </w:pPr>
          </w:p>
        </w:tc>
        <w:tc>
          <w:tcPr>
            <w:tcW w:w="1134" w:type="dxa"/>
            <w:tcBorders>
              <w:top w:val="nil"/>
              <w:left w:val="nil"/>
              <w:bottom w:val="nil"/>
              <w:right w:val="nil"/>
            </w:tcBorders>
            <w:shd w:val="clear" w:color="000000" w:fill="012749"/>
            <w:vAlign w:val="center"/>
            <w:hideMark/>
          </w:tcPr>
          <w:p w14:paraId="50EC4E03" w14:textId="77777777" w:rsidR="00067984" w:rsidRPr="00312614" w:rsidRDefault="00067984">
            <w:pPr>
              <w:spacing w:after="0" w:line="240" w:lineRule="auto"/>
              <w:jc w:val="center"/>
              <w:rPr>
                <w:rFonts w:asciiTheme="majorHAnsi" w:eastAsia="Times New Roman" w:hAnsiTheme="majorHAnsi" w:cstheme="majorHAnsi"/>
                <w:color w:val="FFFFFF"/>
                <w:sz w:val="19"/>
                <w:szCs w:val="19"/>
                <w:lang w:eastAsia="en-AU"/>
              </w:rPr>
            </w:pPr>
            <w:r w:rsidRPr="00312614">
              <w:rPr>
                <w:rFonts w:asciiTheme="majorHAnsi" w:eastAsia="Times New Roman" w:hAnsiTheme="majorHAnsi" w:cstheme="majorHAnsi"/>
                <w:color w:val="FFFFFF"/>
                <w:sz w:val="19"/>
                <w:szCs w:val="19"/>
                <w:lang w:eastAsia="en-AU"/>
              </w:rPr>
              <w:t>(‘000)</w:t>
            </w:r>
          </w:p>
        </w:tc>
        <w:tc>
          <w:tcPr>
            <w:tcW w:w="992" w:type="dxa"/>
            <w:tcBorders>
              <w:top w:val="nil"/>
              <w:left w:val="nil"/>
              <w:bottom w:val="nil"/>
              <w:right w:val="nil"/>
            </w:tcBorders>
            <w:shd w:val="clear" w:color="000000" w:fill="012749"/>
            <w:vAlign w:val="center"/>
            <w:hideMark/>
          </w:tcPr>
          <w:p w14:paraId="1479B48A" w14:textId="77777777" w:rsidR="00067984" w:rsidRPr="00312614" w:rsidRDefault="00067984">
            <w:pPr>
              <w:spacing w:after="0" w:line="240" w:lineRule="auto"/>
              <w:jc w:val="center"/>
              <w:rPr>
                <w:rFonts w:asciiTheme="majorHAnsi" w:eastAsia="Times New Roman" w:hAnsiTheme="majorHAnsi" w:cstheme="majorHAnsi"/>
                <w:color w:val="FFFFFF"/>
                <w:sz w:val="19"/>
                <w:szCs w:val="19"/>
                <w:lang w:eastAsia="en-AU"/>
              </w:rPr>
            </w:pPr>
            <w:r w:rsidRPr="00312614">
              <w:rPr>
                <w:rFonts w:asciiTheme="majorHAnsi" w:eastAsia="Times New Roman" w:hAnsiTheme="majorHAnsi" w:cstheme="majorHAnsi"/>
                <w:color w:val="FFFFFF"/>
                <w:sz w:val="19"/>
                <w:szCs w:val="19"/>
                <w:lang w:eastAsia="en-AU"/>
              </w:rPr>
              <w:t>(%)</w:t>
            </w:r>
          </w:p>
        </w:tc>
      </w:tr>
      <w:tr w:rsidR="002229E4" w:rsidRPr="00312614" w14:paraId="402FE30B" w14:textId="77777777" w:rsidTr="00EE2422">
        <w:trPr>
          <w:trHeight w:val="340"/>
        </w:trPr>
        <w:tc>
          <w:tcPr>
            <w:tcW w:w="2410" w:type="dxa"/>
            <w:tcBorders>
              <w:top w:val="nil"/>
              <w:left w:val="nil"/>
              <w:bottom w:val="nil"/>
              <w:right w:val="nil"/>
            </w:tcBorders>
            <w:shd w:val="clear" w:color="auto" w:fill="auto"/>
            <w:vAlign w:val="center"/>
            <w:hideMark/>
          </w:tcPr>
          <w:p w14:paraId="26D4640C" w14:textId="77777777" w:rsidR="002229E4" w:rsidRPr="00312614" w:rsidRDefault="002229E4" w:rsidP="002229E4">
            <w:pPr>
              <w:spacing w:after="0" w:line="240" w:lineRule="auto"/>
              <w:rPr>
                <w:rFonts w:asciiTheme="majorHAnsi" w:eastAsia="Times New Roman" w:hAnsiTheme="majorHAnsi" w:cstheme="majorHAnsi"/>
                <w:color w:val="000000"/>
                <w:sz w:val="20"/>
                <w:szCs w:val="20"/>
                <w:lang w:eastAsia="en-AU"/>
              </w:rPr>
            </w:pPr>
            <w:r w:rsidRPr="00312614">
              <w:rPr>
                <w:rFonts w:asciiTheme="majorHAnsi" w:eastAsia="Times New Roman" w:hAnsiTheme="majorHAnsi" w:cstheme="majorHAnsi"/>
                <w:color w:val="000000"/>
                <w:sz w:val="20"/>
                <w:szCs w:val="20"/>
                <w:lang w:eastAsia="en-AU"/>
              </w:rPr>
              <w:t>Employment (‘000)</w:t>
            </w:r>
          </w:p>
        </w:tc>
        <w:tc>
          <w:tcPr>
            <w:tcW w:w="1134" w:type="dxa"/>
            <w:tcBorders>
              <w:top w:val="nil"/>
              <w:left w:val="nil"/>
              <w:bottom w:val="nil"/>
              <w:right w:val="nil"/>
            </w:tcBorders>
            <w:shd w:val="clear" w:color="auto" w:fill="auto"/>
            <w:vAlign w:val="center"/>
            <w:hideMark/>
          </w:tcPr>
          <w:p w14:paraId="3D0EF9E6" w14:textId="064C7EDF" w:rsidR="002229E4" w:rsidRPr="00312614" w:rsidRDefault="00E33CC6" w:rsidP="002229E4">
            <w:pPr>
              <w:spacing w:after="0" w:line="240" w:lineRule="auto"/>
              <w:jc w:val="center"/>
              <w:rPr>
                <w:rFonts w:asciiTheme="majorHAnsi" w:eastAsia="Times New Roman" w:hAnsiTheme="majorHAnsi" w:cstheme="majorHAnsi"/>
                <w:color w:val="000000"/>
                <w:sz w:val="20"/>
                <w:szCs w:val="20"/>
                <w:lang w:eastAsia="en-AU"/>
              </w:rPr>
            </w:pPr>
            <w:r w:rsidRPr="00312614">
              <w:rPr>
                <w:rFonts w:eastAsia="Times New Roman" w:cs="Arial"/>
                <w:color w:val="000000"/>
                <w:sz w:val="20"/>
                <w:szCs w:val="20"/>
                <w:lang w:eastAsia="en-AU"/>
              </w:rPr>
              <w:t>9,837.5</w:t>
            </w:r>
          </w:p>
        </w:tc>
        <w:tc>
          <w:tcPr>
            <w:tcW w:w="1134" w:type="dxa"/>
            <w:tcBorders>
              <w:top w:val="nil"/>
              <w:left w:val="nil"/>
              <w:bottom w:val="nil"/>
              <w:right w:val="nil"/>
            </w:tcBorders>
            <w:shd w:val="clear" w:color="auto" w:fill="auto"/>
            <w:vAlign w:val="center"/>
            <w:hideMark/>
          </w:tcPr>
          <w:p w14:paraId="0295C8B8" w14:textId="6A6A1FB7" w:rsidR="002229E4" w:rsidRPr="00312614" w:rsidRDefault="00E33CC6" w:rsidP="002229E4">
            <w:pPr>
              <w:spacing w:after="0" w:line="240" w:lineRule="auto"/>
              <w:jc w:val="center"/>
              <w:rPr>
                <w:rFonts w:asciiTheme="majorHAnsi" w:eastAsia="Times New Roman" w:hAnsiTheme="majorHAnsi" w:cstheme="majorHAnsi"/>
                <w:color w:val="000000"/>
                <w:sz w:val="20"/>
                <w:szCs w:val="20"/>
                <w:lang w:eastAsia="en-AU"/>
              </w:rPr>
            </w:pPr>
            <w:r w:rsidRPr="00312614">
              <w:rPr>
                <w:rFonts w:eastAsia="Times New Roman" w:cs="Arial"/>
                <w:color w:val="000000"/>
                <w:sz w:val="20"/>
                <w:szCs w:val="20"/>
                <w:lang w:eastAsia="en-AU"/>
              </w:rPr>
              <w:t>4.5</w:t>
            </w:r>
          </w:p>
        </w:tc>
        <w:tc>
          <w:tcPr>
            <w:tcW w:w="1135" w:type="dxa"/>
            <w:tcBorders>
              <w:top w:val="nil"/>
              <w:left w:val="nil"/>
              <w:bottom w:val="nil"/>
              <w:right w:val="nil"/>
            </w:tcBorders>
            <w:shd w:val="clear" w:color="auto" w:fill="auto"/>
            <w:vAlign w:val="center"/>
            <w:hideMark/>
          </w:tcPr>
          <w:p w14:paraId="4741FE5B" w14:textId="5607798A" w:rsidR="002229E4" w:rsidRPr="00312614"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312614">
              <w:rPr>
                <w:rFonts w:eastAsia="Times New Roman" w:cs="Arial"/>
                <w:color w:val="000000"/>
                <w:sz w:val="20"/>
                <w:szCs w:val="20"/>
                <w:lang w:eastAsia="en-AU"/>
              </w:rPr>
              <w:t>0.</w:t>
            </w:r>
            <w:r w:rsidR="00E33CC6" w:rsidRPr="00312614">
              <w:rPr>
                <w:rFonts w:eastAsia="Times New Roman" w:cs="Arial"/>
                <w:color w:val="000000"/>
                <w:sz w:val="20"/>
                <w:szCs w:val="20"/>
                <w:lang w:eastAsia="en-AU"/>
              </w:rPr>
              <w:t>0</w:t>
            </w:r>
            <w:r w:rsidR="000C7E9B" w:rsidRPr="00312614">
              <w:rPr>
                <w:rFonts w:eastAsia="Times New Roman" w:cs="Arial"/>
                <w:color w:val="000000"/>
                <w:sz w:val="20"/>
                <w:szCs w:val="20"/>
                <w:lang w:eastAsia="en-AU"/>
              </w:rPr>
              <w:t>*</w:t>
            </w:r>
          </w:p>
        </w:tc>
        <w:tc>
          <w:tcPr>
            <w:tcW w:w="1133" w:type="dxa"/>
            <w:tcBorders>
              <w:top w:val="nil"/>
              <w:left w:val="nil"/>
              <w:bottom w:val="nil"/>
              <w:right w:val="nil"/>
            </w:tcBorders>
            <w:shd w:val="clear" w:color="auto" w:fill="auto"/>
            <w:vAlign w:val="center"/>
            <w:hideMark/>
          </w:tcPr>
          <w:p w14:paraId="49C7B5CA" w14:textId="04C22454" w:rsidR="002229E4" w:rsidRPr="00312614"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312614">
              <w:rPr>
                <w:rFonts w:eastAsia="Times New Roman" w:cs="Arial"/>
                <w:color w:val="000000"/>
                <w:sz w:val="20"/>
                <w:szCs w:val="20"/>
                <w:lang w:eastAsia="en-AU"/>
              </w:rPr>
              <w:t>4,</w:t>
            </w:r>
            <w:r w:rsidR="00E33CC6" w:rsidRPr="00312614">
              <w:rPr>
                <w:rFonts w:eastAsia="Times New Roman" w:cs="Arial"/>
                <w:color w:val="000000"/>
                <w:sz w:val="20"/>
                <w:szCs w:val="20"/>
                <w:lang w:eastAsia="en-AU"/>
              </w:rPr>
              <w:t>448.1</w:t>
            </w:r>
          </w:p>
        </w:tc>
        <w:tc>
          <w:tcPr>
            <w:tcW w:w="1134" w:type="dxa"/>
            <w:tcBorders>
              <w:top w:val="nil"/>
              <w:left w:val="nil"/>
              <w:bottom w:val="nil"/>
              <w:right w:val="nil"/>
            </w:tcBorders>
            <w:shd w:val="clear" w:color="auto" w:fill="auto"/>
            <w:vAlign w:val="center"/>
            <w:hideMark/>
          </w:tcPr>
          <w:p w14:paraId="0D95D0DD" w14:textId="3622B2B9" w:rsidR="002229E4" w:rsidRPr="00312614" w:rsidRDefault="00E33CC6" w:rsidP="002229E4">
            <w:pPr>
              <w:spacing w:after="0" w:line="240" w:lineRule="auto"/>
              <w:jc w:val="center"/>
              <w:rPr>
                <w:rFonts w:asciiTheme="majorHAnsi" w:eastAsia="Times New Roman" w:hAnsiTheme="majorHAnsi" w:cstheme="majorHAnsi"/>
                <w:color w:val="000000"/>
                <w:sz w:val="20"/>
                <w:szCs w:val="20"/>
                <w:lang w:eastAsia="en-AU"/>
              </w:rPr>
            </w:pPr>
            <w:r w:rsidRPr="00312614">
              <w:rPr>
                <w:rFonts w:eastAsia="Times New Roman" w:cs="Arial"/>
                <w:color w:val="000000"/>
                <w:sz w:val="20"/>
                <w:szCs w:val="20"/>
                <w:lang w:eastAsia="en-AU"/>
              </w:rPr>
              <w:t>11.5</w:t>
            </w:r>
          </w:p>
        </w:tc>
        <w:tc>
          <w:tcPr>
            <w:tcW w:w="992" w:type="dxa"/>
            <w:tcBorders>
              <w:top w:val="nil"/>
              <w:left w:val="nil"/>
              <w:bottom w:val="nil"/>
              <w:right w:val="nil"/>
            </w:tcBorders>
            <w:shd w:val="clear" w:color="auto" w:fill="auto"/>
            <w:vAlign w:val="center"/>
            <w:hideMark/>
          </w:tcPr>
          <w:p w14:paraId="477A76E4" w14:textId="75D1C068" w:rsidR="002229E4" w:rsidRPr="00312614" w:rsidRDefault="00E33CC6" w:rsidP="002229E4">
            <w:pPr>
              <w:spacing w:after="0" w:line="240" w:lineRule="auto"/>
              <w:jc w:val="center"/>
              <w:rPr>
                <w:rFonts w:asciiTheme="majorHAnsi" w:eastAsia="Times New Roman" w:hAnsiTheme="majorHAnsi" w:cstheme="majorHAnsi"/>
                <w:color w:val="000000"/>
                <w:sz w:val="20"/>
                <w:szCs w:val="20"/>
                <w:lang w:eastAsia="en-AU"/>
              </w:rPr>
            </w:pPr>
            <w:r w:rsidRPr="00312614">
              <w:rPr>
                <w:rFonts w:eastAsia="Times New Roman" w:cs="Arial"/>
                <w:color w:val="000000"/>
                <w:sz w:val="20"/>
                <w:szCs w:val="20"/>
                <w:lang w:eastAsia="en-AU"/>
              </w:rPr>
              <w:t>0.3</w:t>
            </w:r>
          </w:p>
        </w:tc>
      </w:tr>
      <w:tr w:rsidR="002229E4" w:rsidRPr="00312614" w14:paraId="2FAC16F5" w14:textId="77777777" w:rsidTr="00120AF5">
        <w:trPr>
          <w:trHeight w:val="340"/>
        </w:trPr>
        <w:tc>
          <w:tcPr>
            <w:tcW w:w="2410" w:type="dxa"/>
            <w:tcBorders>
              <w:top w:val="nil"/>
              <w:left w:val="nil"/>
              <w:right w:val="nil"/>
            </w:tcBorders>
            <w:shd w:val="clear" w:color="000000" w:fill="E6E6E6"/>
            <w:vAlign w:val="center"/>
            <w:hideMark/>
          </w:tcPr>
          <w:p w14:paraId="0825EB26" w14:textId="77777777" w:rsidR="002229E4" w:rsidRPr="00312614" w:rsidRDefault="002229E4" w:rsidP="002229E4">
            <w:pPr>
              <w:spacing w:after="0" w:line="240" w:lineRule="auto"/>
              <w:rPr>
                <w:rFonts w:asciiTheme="majorHAnsi" w:eastAsia="Times New Roman" w:hAnsiTheme="majorHAnsi" w:cstheme="majorHAnsi"/>
                <w:color w:val="000000"/>
                <w:sz w:val="20"/>
                <w:szCs w:val="20"/>
                <w:lang w:eastAsia="en-AU"/>
              </w:rPr>
            </w:pPr>
            <w:r w:rsidRPr="00312614">
              <w:rPr>
                <w:rFonts w:asciiTheme="majorHAnsi" w:eastAsia="Times New Roman" w:hAnsiTheme="majorHAnsi" w:cstheme="majorHAnsi"/>
                <w:sz w:val="20"/>
                <w:szCs w:val="20"/>
                <w:lang w:eastAsia="en-AU"/>
              </w:rPr>
              <w:t>Unemployment rate (%)</w:t>
            </w:r>
          </w:p>
        </w:tc>
        <w:tc>
          <w:tcPr>
            <w:tcW w:w="1134" w:type="dxa"/>
            <w:tcBorders>
              <w:top w:val="nil"/>
              <w:left w:val="nil"/>
              <w:right w:val="nil"/>
            </w:tcBorders>
            <w:shd w:val="clear" w:color="000000" w:fill="E6E6E6"/>
            <w:vAlign w:val="center"/>
            <w:hideMark/>
          </w:tcPr>
          <w:p w14:paraId="31BAD597" w14:textId="4EB53B35" w:rsidR="002229E4" w:rsidRPr="00312614"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312614">
              <w:rPr>
                <w:rFonts w:eastAsia="Times New Roman" w:cs="Arial"/>
                <w:color w:val="000000"/>
                <w:sz w:val="20"/>
                <w:szCs w:val="20"/>
                <w:lang w:eastAsia="en-AU"/>
              </w:rPr>
              <w:t>4.</w:t>
            </w:r>
            <w:r w:rsidR="00E33CC6" w:rsidRPr="00312614">
              <w:rPr>
                <w:rFonts w:eastAsia="Times New Roman" w:cs="Arial"/>
                <w:color w:val="000000"/>
                <w:sz w:val="20"/>
                <w:szCs w:val="20"/>
                <w:lang w:eastAsia="en-AU"/>
              </w:rPr>
              <w:t>2</w:t>
            </w:r>
          </w:p>
        </w:tc>
        <w:tc>
          <w:tcPr>
            <w:tcW w:w="1134" w:type="dxa"/>
            <w:tcBorders>
              <w:top w:val="nil"/>
              <w:left w:val="nil"/>
              <w:right w:val="nil"/>
            </w:tcBorders>
            <w:shd w:val="clear" w:color="000000" w:fill="E6E6E6"/>
            <w:vAlign w:val="center"/>
            <w:hideMark/>
          </w:tcPr>
          <w:p w14:paraId="67A0D1F4" w14:textId="388155DE" w:rsidR="002229E4" w:rsidRPr="00312614"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312614">
              <w:rPr>
                <w:rFonts w:eastAsia="Times New Roman" w:cs="Arial"/>
                <w:color w:val="000000"/>
                <w:sz w:val="20"/>
                <w:szCs w:val="20"/>
                <w:lang w:eastAsia="en-AU"/>
              </w:rPr>
              <w:t>-</w:t>
            </w:r>
          </w:p>
        </w:tc>
        <w:tc>
          <w:tcPr>
            <w:tcW w:w="1135" w:type="dxa"/>
            <w:tcBorders>
              <w:top w:val="nil"/>
              <w:left w:val="nil"/>
              <w:right w:val="nil"/>
            </w:tcBorders>
            <w:shd w:val="clear" w:color="000000" w:fill="E6E6E6"/>
            <w:vAlign w:val="center"/>
            <w:hideMark/>
          </w:tcPr>
          <w:p w14:paraId="1FA35E27" w14:textId="14F22EFE" w:rsidR="002229E4" w:rsidRPr="00312614"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312614">
              <w:rPr>
                <w:rFonts w:eastAsia="Times New Roman" w:cs="Arial"/>
                <w:color w:val="000000"/>
                <w:sz w:val="20"/>
                <w:szCs w:val="20"/>
                <w:lang w:eastAsia="en-AU"/>
              </w:rPr>
              <w:t>0.4 pts</w:t>
            </w:r>
          </w:p>
        </w:tc>
        <w:tc>
          <w:tcPr>
            <w:tcW w:w="1133" w:type="dxa"/>
            <w:tcBorders>
              <w:top w:val="nil"/>
              <w:left w:val="nil"/>
              <w:right w:val="nil"/>
            </w:tcBorders>
            <w:shd w:val="clear" w:color="000000" w:fill="E6E6E6"/>
            <w:vAlign w:val="center"/>
            <w:hideMark/>
          </w:tcPr>
          <w:p w14:paraId="595FAFD8" w14:textId="270D4BB6" w:rsidR="002229E4" w:rsidRPr="00312614"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312614">
              <w:rPr>
                <w:rFonts w:eastAsia="Times New Roman" w:cs="Arial"/>
                <w:color w:val="000000"/>
                <w:sz w:val="20"/>
                <w:szCs w:val="20"/>
                <w:lang w:eastAsia="en-AU"/>
              </w:rPr>
              <w:t>3.</w:t>
            </w:r>
            <w:r w:rsidR="00E33CC6" w:rsidRPr="00312614">
              <w:rPr>
                <w:rFonts w:eastAsia="Times New Roman" w:cs="Arial"/>
                <w:color w:val="000000"/>
                <w:sz w:val="20"/>
                <w:szCs w:val="20"/>
                <w:lang w:eastAsia="en-AU"/>
              </w:rPr>
              <w:t>9</w:t>
            </w:r>
          </w:p>
        </w:tc>
        <w:tc>
          <w:tcPr>
            <w:tcW w:w="1134" w:type="dxa"/>
            <w:tcBorders>
              <w:top w:val="nil"/>
              <w:left w:val="nil"/>
              <w:right w:val="nil"/>
            </w:tcBorders>
            <w:shd w:val="clear" w:color="000000" w:fill="E6E6E6"/>
            <w:vAlign w:val="center"/>
            <w:hideMark/>
          </w:tcPr>
          <w:p w14:paraId="46E9DBB8" w14:textId="06A0D117" w:rsidR="002229E4" w:rsidRPr="00312614"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312614">
              <w:rPr>
                <w:rFonts w:eastAsia="Times New Roman" w:cs="Arial"/>
                <w:color w:val="000000"/>
                <w:sz w:val="20"/>
                <w:szCs w:val="20"/>
                <w:lang w:eastAsia="en-AU"/>
              </w:rPr>
              <w:t>-</w:t>
            </w:r>
          </w:p>
        </w:tc>
        <w:tc>
          <w:tcPr>
            <w:tcW w:w="992" w:type="dxa"/>
            <w:tcBorders>
              <w:top w:val="nil"/>
              <w:left w:val="nil"/>
              <w:right w:val="nil"/>
            </w:tcBorders>
            <w:shd w:val="clear" w:color="000000" w:fill="E6E6E6"/>
            <w:vAlign w:val="center"/>
            <w:hideMark/>
          </w:tcPr>
          <w:p w14:paraId="149EEB0D" w14:textId="572E883A" w:rsidR="002229E4" w:rsidRPr="00312614"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312614">
              <w:rPr>
                <w:rFonts w:eastAsia="Times New Roman" w:cs="Arial"/>
                <w:color w:val="000000"/>
                <w:sz w:val="20"/>
                <w:szCs w:val="20"/>
                <w:lang w:eastAsia="en-AU"/>
              </w:rPr>
              <w:t>0.</w:t>
            </w:r>
            <w:r w:rsidR="00E33CC6" w:rsidRPr="00312614">
              <w:rPr>
                <w:rFonts w:eastAsia="Times New Roman" w:cs="Arial"/>
                <w:color w:val="000000"/>
                <w:sz w:val="20"/>
                <w:szCs w:val="20"/>
                <w:lang w:eastAsia="en-AU"/>
              </w:rPr>
              <w:t>3</w:t>
            </w:r>
            <w:r w:rsidRPr="00312614">
              <w:rPr>
                <w:rFonts w:eastAsia="Times New Roman" w:cs="Arial"/>
                <w:color w:val="000000"/>
                <w:sz w:val="20"/>
                <w:szCs w:val="20"/>
                <w:lang w:eastAsia="en-AU"/>
              </w:rPr>
              <w:t xml:space="preserve"> pts</w:t>
            </w:r>
          </w:p>
        </w:tc>
      </w:tr>
      <w:tr w:rsidR="002229E4" w:rsidRPr="00312614" w14:paraId="166BBF4A" w14:textId="77777777" w:rsidTr="00120AF5">
        <w:trPr>
          <w:trHeight w:val="340"/>
        </w:trPr>
        <w:tc>
          <w:tcPr>
            <w:tcW w:w="2410" w:type="dxa"/>
            <w:tcBorders>
              <w:top w:val="nil"/>
              <w:left w:val="nil"/>
              <w:bottom w:val="single" w:sz="4" w:space="0" w:color="auto"/>
              <w:right w:val="nil"/>
            </w:tcBorders>
            <w:shd w:val="clear" w:color="auto" w:fill="auto"/>
            <w:vAlign w:val="center"/>
            <w:hideMark/>
          </w:tcPr>
          <w:p w14:paraId="77F9888C" w14:textId="77777777" w:rsidR="002229E4" w:rsidRPr="00312614" w:rsidRDefault="002229E4" w:rsidP="002229E4">
            <w:pPr>
              <w:spacing w:after="0" w:line="240" w:lineRule="auto"/>
              <w:rPr>
                <w:rFonts w:asciiTheme="majorHAnsi" w:eastAsia="Times New Roman" w:hAnsiTheme="majorHAnsi" w:cstheme="majorHAnsi"/>
                <w:color w:val="000000"/>
                <w:sz w:val="20"/>
                <w:szCs w:val="20"/>
                <w:lang w:eastAsia="en-AU"/>
              </w:rPr>
            </w:pPr>
            <w:r w:rsidRPr="00312614">
              <w:rPr>
                <w:rFonts w:asciiTheme="majorHAnsi" w:eastAsia="Times New Roman" w:hAnsiTheme="majorHAnsi" w:cstheme="majorHAnsi"/>
                <w:color w:val="000000"/>
                <w:sz w:val="20"/>
                <w:szCs w:val="20"/>
                <w:lang w:eastAsia="en-AU"/>
              </w:rPr>
              <w:t>Participation rate (%)</w:t>
            </w:r>
          </w:p>
        </w:tc>
        <w:tc>
          <w:tcPr>
            <w:tcW w:w="1134" w:type="dxa"/>
            <w:tcBorders>
              <w:top w:val="nil"/>
              <w:left w:val="nil"/>
              <w:bottom w:val="single" w:sz="4" w:space="0" w:color="auto"/>
              <w:right w:val="nil"/>
            </w:tcBorders>
            <w:shd w:val="clear" w:color="auto" w:fill="auto"/>
            <w:vAlign w:val="center"/>
            <w:hideMark/>
          </w:tcPr>
          <w:p w14:paraId="3AF85101" w14:textId="46636716" w:rsidR="002229E4" w:rsidRPr="00312614"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312614">
              <w:rPr>
                <w:rFonts w:eastAsia="Times New Roman" w:cs="Arial"/>
                <w:color w:val="000000"/>
                <w:sz w:val="20"/>
                <w:szCs w:val="20"/>
                <w:lang w:eastAsia="en-AU"/>
              </w:rPr>
              <w:t>68.6</w:t>
            </w:r>
          </w:p>
        </w:tc>
        <w:tc>
          <w:tcPr>
            <w:tcW w:w="1134" w:type="dxa"/>
            <w:tcBorders>
              <w:top w:val="nil"/>
              <w:left w:val="nil"/>
              <w:bottom w:val="single" w:sz="4" w:space="0" w:color="auto"/>
              <w:right w:val="nil"/>
            </w:tcBorders>
            <w:shd w:val="clear" w:color="auto" w:fill="auto"/>
            <w:vAlign w:val="center"/>
            <w:hideMark/>
          </w:tcPr>
          <w:p w14:paraId="63486DCD" w14:textId="58708C97" w:rsidR="002229E4" w:rsidRPr="00312614"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312614">
              <w:rPr>
                <w:rFonts w:eastAsia="Times New Roman" w:cs="Arial"/>
                <w:color w:val="000000"/>
                <w:sz w:val="20"/>
                <w:szCs w:val="20"/>
                <w:lang w:eastAsia="en-AU"/>
              </w:rPr>
              <w:t xml:space="preserve"> -</w:t>
            </w:r>
          </w:p>
        </w:tc>
        <w:tc>
          <w:tcPr>
            <w:tcW w:w="1135" w:type="dxa"/>
            <w:tcBorders>
              <w:top w:val="nil"/>
              <w:left w:val="nil"/>
              <w:bottom w:val="single" w:sz="4" w:space="0" w:color="auto"/>
              <w:right w:val="nil"/>
            </w:tcBorders>
            <w:shd w:val="clear" w:color="auto" w:fill="auto"/>
            <w:vAlign w:val="center"/>
            <w:hideMark/>
          </w:tcPr>
          <w:p w14:paraId="6CA93487" w14:textId="1E285971" w:rsidR="002229E4" w:rsidRPr="00312614" w:rsidRDefault="00E33CC6" w:rsidP="002229E4">
            <w:pPr>
              <w:spacing w:after="0" w:line="240" w:lineRule="auto"/>
              <w:jc w:val="center"/>
              <w:rPr>
                <w:rFonts w:asciiTheme="majorHAnsi" w:eastAsia="Times New Roman" w:hAnsiTheme="majorHAnsi" w:cstheme="majorHAnsi"/>
                <w:color w:val="000000"/>
                <w:sz w:val="20"/>
                <w:szCs w:val="20"/>
                <w:lang w:eastAsia="en-AU"/>
              </w:rPr>
            </w:pPr>
            <w:r w:rsidRPr="00312614">
              <w:rPr>
                <w:rFonts w:eastAsia="Times New Roman" w:cs="Arial"/>
                <w:color w:val="000000"/>
                <w:sz w:val="20"/>
                <w:szCs w:val="20"/>
                <w:lang w:eastAsia="en-AU"/>
              </w:rPr>
              <w:t>-0.3</w:t>
            </w:r>
            <w:r w:rsidR="002229E4" w:rsidRPr="00312614">
              <w:rPr>
                <w:rFonts w:eastAsia="Times New Roman" w:cs="Arial"/>
                <w:color w:val="000000"/>
                <w:sz w:val="20"/>
                <w:szCs w:val="20"/>
                <w:lang w:eastAsia="en-AU"/>
              </w:rPr>
              <w:t xml:space="preserve"> pts</w:t>
            </w:r>
          </w:p>
        </w:tc>
        <w:tc>
          <w:tcPr>
            <w:tcW w:w="1133" w:type="dxa"/>
            <w:tcBorders>
              <w:top w:val="nil"/>
              <w:left w:val="nil"/>
              <w:bottom w:val="single" w:sz="4" w:space="0" w:color="auto"/>
              <w:right w:val="nil"/>
            </w:tcBorders>
            <w:shd w:val="clear" w:color="auto" w:fill="auto"/>
            <w:vAlign w:val="center"/>
            <w:hideMark/>
          </w:tcPr>
          <w:p w14:paraId="3250FDD4" w14:textId="39F4C079" w:rsidR="002229E4" w:rsidRPr="00312614"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312614">
              <w:rPr>
                <w:rFonts w:eastAsia="Times New Roman" w:cs="Arial"/>
                <w:color w:val="000000"/>
                <w:sz w:val="20"/>
                <w:szCs w:val="20"/>
                <w:lang w:eastAsia="en-AU"/>
              </w:rPr>
              <w:t>63.</w:t>
            </w:r>
            <w:r w:rsidR="00E33CC6" w:rsidRPr="00312614">
              <w:rPr>
                <w:rFonts w:eastAsia="Times New Roman" w:cs="Arial"/>
                <w:color w:val="000000"/>
                <w:sz w:val="20"/>
                <w:szCs w:val="20"/>
                <w:lang w:eastAsia="en-AU"/>
              </w:rPr>
              <w:t>4</w:t>
            </w:r>
          </w:p>
        </w:tc>
        <w:tc>
          <w:tcPr>
            <w:tcW w:w="1134" w:type="dxa"/>
            <w:tcBorders>
              <w:top w:val="nil"/>
              <w:left w:val="nil"/>
              <w:bottom w:val="single" w:sz="4" w:space="0" w:color="auto"/>
              <w:right w:val="nil"/>
            </w:tcBorders>
            <w:shd w:val="clear" w:color="auto" w:fill="auto"/>
            <w:vAlign w:val="center"/>
            <w:hideMark/>
          </w:tcPr>
          <w:p w14:paraId="68267F50" w14:textId="68A65839" w:rsidR="002229E4" w:rsidRPr="00312614" w:rsidRDefault="002229E4" w:rsidP="002229E4">
            <w:pPr>
              <w:spacing w:after="0" w:line="240" w:lineRule="auto"/>
              <w:jc w:val="center"/>
              <w:rPr>
                <w:rFonts w:asciiTheme="majorHAnsi" w:eastAsia="Times New Roman" w:hAnsiTheme="majorHAnsi" w:cstheme="majorHAnsi"/>
                <w:color w:val="000000"/>
                <w:sz w:val="20"/>
                <w:szCs w:val="20"/>
                <w:lang w:eastAsia="en-AU"/>
              </w:rPr>
            </w:pPr>
            <w:r w:rsidRPr="00312614">
              <w:rPr>
                <w:rFonts w:eastAsia="Times New Roman" w:cs="Arial"/>
                <w:color w:val="000000"/>
                <w:sz w:val="20"/>
                <w:szCs w:val="20"/>
                <w:lang w:eastAsia="en-AU"/>
              </w:rPr>
              <w:t xml:space="preserve"> -</w:t>
            </w:r>
          </w:p>
        </w:tc>
        <w:tc>
          <w:tcPr>
            <w:tcW w:w="992" w:type="dxa"/>
            <w:tcBorders>
              <w:top w:val="nil"/>
              <w:left w:val="nil"/>
              <w:bottom w:val="single" w:sz="4" w:space="0" w:color="auto"/>
              <w:right w:val="nil"/>
            </w:tcBorders>
            <w:shd w:val="clear" w:color="auto" w:fill="auto"/>
            <w:vAlign w:val="center"/>
            <w:hideMark/>
          </w:tcPr>
          <w:p w14:paraId="27EEFCFA" w14:textId="54B1E647" w:rsidR="002229E4" w:rsidRPr="00312614" w:rsidRDefault="00E33CC6" w:rsidP="002229E4">
            <w:pPr>
              <w:spacing w:after="0" w:line="240" w:lineRule="auto"/>
              <w:jc w:val="center"/>
              <w:rPr>
                <w:rFonts w:asciiTheme="majorHAnsi" w:eastAsia="Times New Roman" w:hAnsiTheme="majorHAnsi" w:cstheme="majorHAnsi"/>
                <w:color w:val="000000"/>
                <w:sz w:val="20"/>
                <w:szCs w:val="20"/>
                <w:lang w:eastAsia="en-AU"/>
              </w:rPr>
            </w:pPr>
            <w:r w:rsidRPr="00312614">
              <w:rPr>
                <w:rFonts w:eastAsia="Times New Roman" w:cs="Arial"/>
                <w:color w:val="000000"/>
                <w:sz w:val="20"/>
                <w:szCs w:val="20"/>
                <w:lang w:eastAsia="en-AU"/>
              </w:rPr>
              <w:t>-0.1</w:t>
            </w:r>
            <w:r w:rsidR="002229E4" w:rsidRPr="00312614">
              <w:rPr>
                <w:rFonts w:eastAsia="Times New Roman" w:cs="Arial"/>
                <w:color w:val="000000"/>
                <w:sz w:val="20"/>
                <w:szCs w:val="20"/>
                <w:lang w:eastAsia="en-AU"/>
              </w:rPr>
              <w:t xml:space="preserve"> pts</w:t>
            </w:r>
          </w:p>
        </w:tc>
      </w:tr>
    </w:tbl>
    <w:p w14:paraId="7640E60D" w14:textId="77777777" w:rsidR="000C7E9B" w:rsidRPr="00312614" w:rsidRDefault="00E33CC6" w:rsidP="000C7E9B">
      <w:pPr>
        <w:pStyle w:val="Source"/>
        <w:spacing w:before="0" w:after="0" w:line="240" w:lineRule="auto"/>
      </w:pPr>
      <w:r w:rsidRPr="00312614">
        <w:t xml:space="preserve">Source: ABS, </w:t>
      </w:r>
      <w:r w:rsidRPr="00312614">
        <w:rPr>
          <w:i/>
          <w:iCs/>
        </w:rPr>
        <w:t>Labour Force, Australia, Detailed</w:t>
      </w:r>
      <w:r w:rsidRPr="00312614">
        <w:t>, March 2024, table MRM1 - Modelled estimates of labour force status, by SA4.</w:t>
      </w:r>
    </w:p>
    <w:p w14:paraId="1448E816" w14:textId="525DDF00" w:rsidR="000C7E9B" w:rsidRPr="000C7E9B" w:rsidRDefault="000C7E9B" w:rsidP="009C2085">
      <w:pPr>
        <w:pStyle w:val="Source"/>
        <w:spacing w:before="0" w:line="240" w:lineRule="auto"/>
      </w:pPr>
      <w:r w:rsidRPr="00312614">
        <w:t>* Please note that more detailed data show that employment increased by 0.045% over the March quarter 2024.</w:t>
      </w:r>
    </w:p>
    <w:p w14:paraId="1AE97EB7" w14:textId="5478E2A8" w:rsidR="00417E5A" w:rsidRDefault="00417E5A" w:rsidP="00417E5A">
      <w:r w:rsidRPr="004D767B">
        <w:t xml:space="preserve">Employers in </w:t>
      </w:r>
      <w:r w:rsidR="00C6538D" w:rsidRPr="004D767B">
        <w:t>r</w:t>
      </w:r>
      <w:r w:rsidRPr="004D767B">
        <w:t>est of state areas tend to recruit more frequently than their capital city counterparts. Figure 1</w:t>
      </w:r>
      <w:r w:rsidR="00E479A1" w:rsidRPr="004D767B">
        <w:t>4</w:t>
      </w:r>
      <w:r w:rsidRPr="004D767B">
        <w:t xml:space="preserve"> shows that the monthly recruitment rate for rest of state areas peaked at 62% in July 2022, compared with a high of 58% in October 2022 for the capital cities. </w:t>
      </w:r>
    </w:p>
    <w:p w14:paraId="777A0567" w14:textId="77777777" w:rsidR="009C2085" w:rsidRPr="00B93C08" w:rsidRDefault="009C2085" w:rsidP="009C2085">
      <w:pPr>
        <w:pStyle w:val="ChartandTablelabel"/>
        <w:rPr>
          <w:rFonts w:asciiTheme="minorHAnsi" w:hAnsiTheme="minorHAnsi"/>
          <w:lang w:val="en-AU"/>
        </w:rPr>
      </w:pPr>
      <w:r w:rsidRPr="004D767B">
        <w:rPr>
          <w:rFonts w:asciiTheme="minorHAnsi" w:hAnsiTheme="minorHAnsi"/>
          <w:lang w:val="en-AU"/>
        </w:rPr>
        <w:t>Figure 14: Monthly recruitment rate (proportion of employers currently recruiting or who recruited in the past month) by capital cities and rest of state areas, September 2020 to March 2024</w:t>
      </w:r>
    </w:p>
    <w:p w14:paraId="1F2E3A8E" w14:textId="77777777" w:rsidR="009C2085" w:rsidRPr="00B93C08" w:rsidRDefault="009C2085" w:rsidP="009C2085">
      <w:pPr>
        <w:spacing w:after="0"/>
      </w:pPr>
      <w:r w:rsidRPr="00B93C08">
        <w:rPr>
          <w:noProof/>
        </w:rPr>
        <w:lastRenderedPageBreak/>
        <w:drawing>
          <wp:inline distT="0" distB="0" distL="0" distR="0" wp14:anchorId="6439EB4F" wp14:editId="1D052A11">
            <wp:extent cx="5731200" cy="2876400"/>
            <wp:effectExtent l="0" t="0" r="3175" b="635"/>
            <wp:docPr id="2074998774" name="Chart 1" descr="Figure 14 is a 2-line time series line chart, showing the recruitment rate (as a proportion of all employers) for capital cities and rest of state areas from September 2020 to March 2024. The recruitment rate for rest of state areas has generally been higher than the rate for capital cities.">
              <a:extLst xmlns:a="http://schemas.openxmlformats.org/drawingml/2006/main">
                <a:ext uri="{FF2B5EF4-FFF2-40B4-BE49-F238E27FC236}">
                  <a16:creationId xmlns:a16="http://schemas.microsoft.com/office/drawing/2014/main" id="{47182BAA-45A3-4B39-8563-65FF3B3BD0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B89100F" w14:textId="77777777" w:rsidR="009C2085" w:rsidRPr="00B93C08" w:rsidRDefault="009C2085" w:rsidP="009C2085">
      <w:pPr>
        <w:pStyle w:val="Source"/>
        <w:spacing w:before="0"/>
      </w:pPr>
      <w:r w:rsidRPr="0082295F">
        <w:t xml:space="preserve">Source: JSA, Recruitment Experiences and Outlook Survey, March 2024. </w:t>
      </w:r>
      <w:r w:rsidRPr="0082295F">
        <w:br/>
        <w:t>Notes: Disaggregated data are not published for January of each year and relevant data points have been joined by a dotted line. A Henderson smoothed line has been included in the charts to reduce month-to-month volatility and illustrate long-term patterns.</w:t>
      </w:r>
    </w:p>
    <w:p w14:paraId="0AAEF026" w14:textId="23139437" w:rsidR="00417E5A" w:rsidRPr="004D767B" w:rsidRDefault="00417E5A" w:rsidP="00417E5A">
      <w:r w:rsidRPr="004D767B">
        <w:t>The recruitment rate for capital cities continues to trend down, sitting at 46% in March 2024</w:t>
      </w:r>
      <w:r w:rsidR="00C6538D" w:rsidRPr="004D767B">
        <w:t>.</w:t>
      </w:r>
      <w:r w:rsidRPr="004D767B">
        <w:t xml:space="preserve"> This is a drop of 1 percentage point from the previous month and 9 percentage points lower compared to 12 months ago. By contrast, the recruitment rate for rest of state areas stood at 53% in March 2024 and is 3 percentage points lower than it was in March 2023.</w:t>
      </w:r>
    </w:p>
    <w:p w14:paraId="77C0D876" w14:textId="366EB536" w:rsidR="00784DDA" w:rsidRPr="0082295F" w:rsidRDefault="003F47B5" w:rsidP="00784DDA">
      <w:bookmarkStart w:id="46" w:name="_Toc151365188"/>
      <w:bookmarkStart w:id="47" w:name="_Toc152324305"/>
      <w:bookmarkStart w:id="48" w:name="_Toc151365189"/>
      <w:r w:rsidRPr="0082295F">
        <w:t xml:space="preserve">Significant growth in internet vacancies was recorded in capital cities and rest of state areas between </w:t>
      </w:r>
      <w:r w:rsidR="00784DDA" w:rsidRPr="0082295F">
        <w:t>June 2020</w:t>
      </w:r>
      <w:r w:rsidRPr="0082295F">
        <w:t xml:space="preserve"> and</w:t>
      </w:r>
      <w:r w:rsidR="00784DDA" w:rsidRPr="0082295F">
        <w:t xml:space="preserve"> October 2022.</w:t>
      </w:r>
      <w:r w:rsidR="001A7548" w:rsidRPr="0082295F">
        <w:t xml:space="preserve"> Figure 1</w:t>
      </w:r>
      <w:r w:rsidR="00E479A1" w:rsidRPr="0082295F">
        <w:t>5</w:t>
      </w:r>
      <w:r w:rsidR="001A7548" w:rsidRPr="0082295F">
        <w:t xml:space="preserve"> shows that recruitment activity in capital cities increased, by 248.2% (or 158,500 job advertisements) from the low observed in June 2020, and by 215.5% (or 55,400) in rest of state areas, to peak in October 2022.</w:t>
      </w:r>
      <w:r w:rsidR="00784DDA" w:rsidRPr="0082295F">
        <w:t xml:space="preserve"> </w:t>
      </w:r>
      <w:r w:rsidR="00FB5312" w:rsidRPr="0082295F">
        <w:t>While vacancies</w:t>
      </w:r>
      <w:r w:rsidR="00784DDA" w:rsidRPr="0082295F">
        <w:t xml:space="preserve"> have declined from th</w:t>
      </w:r>
      <w:r w:rsidR="00FB5312" w:rsidRPr="0082295F">
        <w:t>eir</w:t>
      </w:r>
      <w:r w:rsidR="00784DDA" w:rsidRPr="0082295F">
        <w:t xml:space="preserve"> series high</w:t>
      </w:r>
      <w:r w:rsidR="00FB5312" w:rsidRPr="0082295F">
        <w:t>s</w:t>
      </w:r>
      <w:r w:rsidR="00784DDA" w:rsidRPr="0082295F">
        <w:t xml:space="preserve"> </w:t>
      </w:r>
      <w:r w:rsidR="00FB5312" w:rsidRPr="0082295F">
        <w:t xml:space="preserve">in rest of state areas and capital cities </w:t>
      </w:r>
      <w:r w:rsidR="00784DDA" w:rsidRPr="0082295F">
        <w:t xml:space="preserve">over the </w:t>
      </w:r>
      <w:r w:rsidR="0028574B" w:rsidRPr="0082295F">
        <w:t xml:space="preserve">past </w:t>
      </w:r>
      <w:r w:rsidR="001A7548" w:rsidRPr="0082295F">
        <w:t>18 months</w:t>
      </w:r>
      <w:r w:rsidR="00784DDA" w:rsidRPr="0082295F">
        <w:t>, advertisements in rest of state areas have remained more buoyant than their capital city counterparts.</w:t>
      </w:r>
      <w:r w:rsidR="001A7548" w:rsidRPr="0082295F">
        <w:t xml:space="preserve"> Since the peak in late 2022, recruitment activity has decreased, by 20.6% (or 45,700) in capital cities, and by 1</w:t>
      </w:r>
      <w:r w:rsidR="00503A4C" w:rsidRPr="0082295F">
        <w:t>3</w:t>
      </w:r>
      <w:r w:rsidR="001A7548" w:rsidRPr="0082295F">
        <w:t>.</w:t>
      </w:r>
      <w:r w:rsidR="00503A4C" w:rsidRPr="0082295F">
        <w:t>2</w:t>
      </w:r>
      <w:r w:rsidR="001A7548" w:rsidRPr="0082295F">
        <w:t>% (or 10,700) in rest of state areas.</w:t>
      </w:r>
      <w:r w:rsidR="00784DDA" w:rsidRPr="0082295F">
        <w:t xml:space="preserve"> Results over </w:t>
      </w:r>
      <w:r w:rsidR="001A7548" w:rsidRPr="0082295F">
        <w:t xml:space="preserve">early </w:t>
      </w:r>
      <w:r w:rsidR="00784DDA" w:rsidRPr="0082295F">
        <w:t>202</w:t>
      </w:r>
      <w:r w:rsidR="001A7548" w:rsidRPr="0082295F">
        <w:t>4</w:t>
      </w:r>
      <w:r w:rsidR="00273F7D" w:rsidRPr="0082295F">
        <w:t xml:space="preserve"> across the two jurisdictions</w:t>
      </w:r>
      <w:r w:rsidR="00784DDA" w:rsidRPr="0082295F">
        <w:t xml:space="preserve"> indicate </w:t>
      </w:r>
      <w:r w:rsidR="00273F7D" w:rsidRPr="0082295F">
        <w:t>increasing</w:t>
      </w:r>
      <w:r w:rsidR="00784DDA" w:rsidRPr="0082295F">
        <w:t xml:space="preserve"> recruitment activity, </w:t>
      </w:r>
      <w:r w:rsidR="00963CE4" w:rsidRPr="0082295F">
        <w:t>al</w:t>
      </w:r>
      <w:r w:rsidR="00784DDA" w:rsidRPr="0082295F">
        <w:t xml:space="preserve">though </w:t>
      </w:r>
      <w:r w:rsidR="00963CE4" w:rsidRPr="0082295F">
        <w:t xml:space="preserve">the </w:t>
      </w:r>
      <w:r w:rsidR="001A7548" w:rsidRPr="0082295F">
        <w:t>declines</w:t>
      </w:r>
      <w:r w:rsidR="00784DDA" w:rsidRPr="0082295F">
        <w:t xml:space="preserve"> in aggregate seasonally adjusted </w:t>
      </w:r>
      <w:r w:rsidR="00B16AE3" w:rsidRPr="0082295F">
        <w:t xml:space="preserve">vacancy </w:t>
      </w:r>
      <w:r w:rsidR="00784DDA" w:rsidRPr="0082295F">
        <w:t>figures</w:t>
      </w:r>
      <w:r w:rsidR="00503A4C" w:rsidRPr="0082295F">
        <w:t xml:space="preserve"> (see Figure 5)</w:t>
      </w:r>
      <w:r w:rsidR="00784DDA" w:rsidRPr="0082295F">
        <w:t xml:space="preserve"> suggest</w:t>
      </w:r>
      <w:r w:rsidR="001A63CD" w:rsidRPr="0082295F">
        <w:t>s</w:t>
      </w:r>
      <w:r w:rsidR="00784DDA" w:rsidRPr="0082295F">
        <w:t xml:space="preserve"> this </w:t>
      </w:r>
      <w:r w:rsidR="001A63CD" w:rsidRPr="0082295F">
        <w:t>is</w:t>
      </w:r>
      <w:r w:rsidR="00784DDA" w:rsidRPr="0082295F">
        <w:t xml:space="preserve"> largely </w:t>
      </w:r>
      <w:r w:rsidR="001A63CD" w:rsidRPr="0082295F">
        <w:t>attributable</w:t>
      </w:r>
      <w:r w:rsidR="00784DDA" w:rsidRPr="0082295F">
        <w:t xml:space="preserve"> to typical </w:t>
      </w:r>
      <w:r w:rsidR="001A7548" w:rsidRPr="0082295F">
        <w:t>start</w:t>
      </w:r>
      <w:r w:rsidR="00784DDA" w:rsidRPr="0082295F">
        <w:t xml:space="preserve">-of-year </w:t>
      </w:r>
      <w:r w:rsidR="001A7548" w:rsidRPr="0082295F">
        <w:t>ramp ups</w:t>
      </w:r>
      <w:r w:rsidR="00503A4C" w:rsidRPr="0082295F">
        <w:t>.</w:t>
      </w:r>
      <w:r w:rsidR="001A7548" w:rsidRPr="0082295F">
        <w:t xml:space="preserve"> </w:t>
      </w:r>
      <w:r w:rsidR="00503A4C" w:rsidRPr="0082295F">
        <w:t>T</w:t>
      </w:r>
      <w:r w:rsidR="001A7548" w:rsidRPr="0082295F">
        <w:t xml:space="preserve">he </w:t>
      </w:r>
      <w:r w:rsidR="00503A4C" w:rsidRPr="0082295F">
        <w:t xml:space="preserve">recent </w:t>
      </w:r>
      <w:r w:rsidR="0028574B" w:rsidRPr="0082295F">
        <w:t>increases</w:t>
      </w:r>
      <w:r w:rsidR="001A7548" w:rsidRPr="0082295F">
        <w:t xml:space="preserve"> in recruitment activity </w:t>
      </w:r>
      <w:r w:rsidR="00503A4C" w:rsidRPr="0082295F">
        <w:t>appear</w:t>
      </w:r>
      <w:r w:rsidR="001A7548" w:rsidRPr="0082295F">
        <w:t xml:space="preserve"> </w:t>
      </w:r>
      <w:r w:rsidR="00503A4C" w:rsidRPr="0082295F">
        <w:t>weaker</w:t>
      </w:r>
      <w:r w:rsidR="001A7548" w:rsidRPr="0082295F">
        <w:t xml:space="preserve"> than the same period in 2023</w:t>
      </w:r>
      <w:r w:rsidR="00784DDA" w:rsidRPr="0082295F">
        <w:t>.</w:t>
      </w:r>
    </w:p>
    <w:p w14:paraId="0ECEE95C" w14:textId="66570C5D" w:rsidR="00784DDA" w:rsidRPr="0082295F" w:rsidRDefault="00784DDA" w:rsidP="00633FAB">
      <w:pPr>
        <w:pStyle w:val="ChartandTablelabel"/>
        <w:rPr>
          <w:rFonts w:asciiTheme="minorHAnsi" w:hAnsiTheme="minorHAnsi"/>
          <w:lang w:val="en-AU"/>
        </w:rPr>
      </w:pPr>
      <w:r w:rsidRPr="0082295F">
        <w:rPr>
          <w:rFonts w:asciiTheme="minorHAnsi" w:hAnsiTheme="minorHAnsi"/>
          <w:lang w:val="en-AU"/>
        </w:rPr>
        <w:t>Figure 1</w:t>
      </w:r>
      <w:r w:rsidR="005526ED" w:rsidRPr="0082295F">
        <w:rPr>
          <w:rFonts w:asciiTheme="minorHAnsi" w:hAnsiTheme="minorHAnsi"/>
          <w:lang w:val="en-AU"/>
        </w:rPr>
        <w:t>5</w:t>
      </w:r>
      <w:r w:rsidRPr="0082295F">
        <w:rPr>
          <w:rFonts w:asciiTheme="minorHAnsi" w:hAnsiTheme="minorHAnsi"/>
          <w:lang w:val="en-AU"/>
        </w:rPr>
        <w:t xml:space="preserve">: Online job advertisements in capital cities and rest of state areas, </w:t>
      </w:r>
      <w:r w:rsidR="00503A4C" w:rsidRPr="0082295F">
        <w:rPr>
          <w:rFonts w:asciiTheme="minorHAnsi" w:hAnsiTheme="minorHAnsi"/>
          <w:lang w:val="en-AU"/>
        </w:rPr>
        <w:t>March</w:t>
      </w:r>
      <w:r w:rsidRPr="0082295F">
        <w:rPr>
          <w:rFonts w:asciiTheme="minorHAnsi" w:hAnsiTheme="minorHAnsi"/>
          <w:lang w:val="en-AU"/>
        </w:rPr>
        <w:t xml:space="preserve"> 2019 to </w:t>
      </w:r>
      <w:r w:rsidR="00503A4C" w:rsidRPr="0082295F">
        <w:rPr>
          <w:rFonts w:asciiTheme="minorHAnsi" w:hAnsiTheme="minorHAnsi"/>
          <w:lang w:val="en-AU"/>
        </w:rPr>
        <w:t>March</w:t>
      </w:r>
      <w:r w:rsidRPr="0082295F">
        <w:rPr>
          <w:rFonts w:asciiTheme="minorHAnsi" w:hAnsiTheme="minorHAnsi"/>
          <w:lang w:val="en-AU"/>
        </w:rPr>
        <w:t xml:space="preserve"> 202</w:t>
      </w:r>
      <w:r w:rsidR="00503A4C" w:rsidRPr="0082295F">
        <w:rPr>
          <w:rFonts w:asciiTheme="minorHAnsi" w:hAnsiTheme="minorHAnsi"/>
          <w:lang w:val="en-AU"/>
        </w:rPr>
        <w:t>4</w:t>
      </w:r>
    </w:p>
    <w:p w14:paraId="1D3D0F6F" w14:textId="6054296C" w:rsidR="00633FAB" w:rsidRPr="0082295F" w:rsidRDefault="004A3F06" w:rsidP="0082295F">
      <w:pPr>
        <w:spacing w:after="0"/>
      </w:pPr>
      <w:r w:rsidRPr="0082295F">
        <w:rPr>
          <w:noProof/>
        </w:rPr>
        <w:lastRenderedPageBreak/>
        <w:drawing>
          <wp:inline distT="0" distB="0" distL="0" distR="0" wp14:anchorId="17C5F844" wp14:editId="02A4BD60">
            <wp:extent cx="5688000" cy="2980800"/>
            <wp:effectExtent l="0" t="0" r="8255" b="0"/>
            <wp:docPr id="814325850" name="Chart 1" descr="Figure 15 is a time series line chart, with 2 lines showing the number of monthly online job advertisements for capital cities and rest of state areas from March 2019 to March 2024. While the number of job advertisements in capital cities is always higher than the rest of state areas, they both follow a similar trend. Over recent months, there has been a fall in advertisements in both capital cities and rest of state areas.">
              <a:extLst xmlns:a="http://schemas.openxmlformats.org/drawingml/2006/main">
                <a:ext uri="{FF2B5EF4-FFF2-40B4-BE49-F238E27FC236}">
                  <a16:creationId xmlns:a16="http://schemas.microsoft.com/office/drawing/2014/main" id="{E5B09D53-468B-9CCD-0FD3-62357393D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2DB1FBA" w14:textId="0370FEC8" w:rsidR="00784DDA" w:rsidRPr="00B93C08" w:rsidRDefault="00784DDA" w:rsidP="0082295F">
      <w:pPr>
        <w:pStyle w:val="Source"/>
        <w:spacing w:before="0"/>
      </w:pPr>
      <w:r w:rsidRPr="0082295F">
        <w:t xml:space="preserve">Source: </w:t>
      </w:r>
      <w:r w:rsidR="00E26FD9" w:rsidRPr="0082295F">
        <w:t>JSA</w:t>
      </w:r>
      <w:r w:rsidRPr="0082295F">
        <w:t xml:space="preserve">, Internet Vacancy Index, </w:t>
      </w:r>
      <w:r w:rsidR="008B4599" w:rsidRPr="0082295F">
        <w:t>March</w:t>
      </w:r>
      <w:r w:rsidRPr="0082295F">
        <w:t xml:space="preserve"> 202</w:t>
      </w:r>
      <w:r w:rsidR="008B4599" w:rsidRPr="0082295F">
        <w:t>4</w:t>
      </w:r>
      <w:r w:rsidRPr="0082295F">
        <w:t>, 3-month average data.</w:t>
      </w:r>
    </w:p>
    <w:p w14:paraId="474180BC" w14:textId="77777777" w:rsidR="005D7362" w:rsidRPr="00B93C08" w:rsidRDefault="005D7362" w:rsidP="005D7362">
      <w:pPr>
        <w:pStyle w:val="Heading3"/>
      </w:pPr>
      <w:bookmarkStart w:id="49" w:name="_Toc166140506"/>
      <w:r w:rsidRPr="00B93C08">
        <w:t>Recruitment difficulty in the regions</w:t>
      </w:r>
      <w:bookmarkEnd w:id="46"/>
      <w:bookmarkEnd w:id="47"/>
      <w:bookmarkEnd w:id="49"/>
    </w:p>
    <w:p w14:paraId="701A083C" w14:textId="106C0B6C" w:rsidR="00432824" w:rsidRPr="0082295F" w:rsidRDefault="00432824" w:rsidP="00432824">
      <w:r w:rsidRPr="0082295F">
        <w:t>Record high levels of recruitment difficulty occurred in both capital cities and rest of state areas during mid-2022 (Figure 1</w:t>
      </w:r>
      <w:r w:rsidR="00E479A1" w:rsidRPr="0082295F">
        <w:t>6</w:t>
      </w:r>
      <w:r w:rsidRPr="0082295F">
        <w:t xml:space="preserve">). Recruitment difficulty peaked in rest of state areas, at 77% in July 2022, while in capital cities, the monthly recruitment difficulty rate peaked at 75% of recruiting employers in August 2022. </w:t>
      </w:r>
    </w:p>
    <w:p w14:paraId="31BADC69" w14:textId="77777777" w:rsidR="00432824" w:rsidRPr="0082295F" w:rsidRDefault="00432824" w:rsidP="00432824">
      <w:r w:rsidRPr="0082295F">
        <w:t>While the recruitment difficulty rate has eased for all employers since the mid-2022 peak, it has declined more sharply in capital cities, dropping 19 percentage points over the past 12 months to sit at 46% in March 2024. This is the lowest difficulty rate experienced by employers within capital cities since May 2021. In contrast, over recent months there has been a tightening in the difficulty rate within rest of state areas which currently sits at 58% for the month of March 2024. This is an increase of 1 percentage point compared to last month and an increase of 2 percentage points compared to December 2023.</w:t>
      </w:r>
    </w:p>
    <w:p w14:paraId="5B6679EF" w14:textId="043493E2" w:rsidR="005D7362" w:rsidRPr="00B93C08" w:rsidRDefault="005D7362" w:rsidP="005D7362"/>
    <w:p w14:paraId="23AE85A5" w14:textId="2E6D1900" w:rsidR="005E4224" w:rsidRPr="0082295F" w:rsidRDefault="005E4224" w:rsidP="005E4224">
      <w:pPr>
        <w:pStyle w:val="ChartandTablelabel"/>
        <w:keepNext/>
        <w:keepLines/>
        <w:rPr>
          <w:rFonts w:asciiTheme="minorHAnsi" w:hAnsiTheme="minorHAnsi"/>
          <w:lang w:val="en-AU"/>
        </w:rPr>
      </w:pPr>
      <w:r w:rsidRPr="0082295F">
        <w:rPr>
          <w:rFonts w:asciiTheme="minorHAnsi" w:hAnsiTheme="minorHAnsi"/>
          <w:lang w:val="en-AU"/>
        </w:rPr>
        <w:lastRenderedPageBreak/>
        <w:t>Figure 1</w:t>
      </w:r>
      <w:r w:rsidR="005526ED" w:rsidRPr="0082295F">
        <w:rPr>
          <w:rFonts w:asciiTheme="minorHAnsi" w:hAnsiTheme="minorHAnsi"/>
          <w:lang w:val="en-AU"/>
        </w:rPr>
        <w:t>6</w:t>
      </w:r>
      <w:r w:rsidRPr="0082295F">
        <w:rPr>
          <w:rFonts w:asciiTheme="minorHAnsi" w:hAnsiTheme="minorHAnsi"/>
          <w:lang w:val="en-AU"/>
        </w:rPr>
        <w:t xml:space="preserve">: Monthly recruitment difficulty rate (proportion of recruiting employers) by region, </w:t>
      </w:r>
      <w:r w:rsidR="00AE0292" w:rsidRPr="0082295F">
        <w:rPr>
          <w:rFonts w:asciiTheme="minorHAnsi" w:hAnsiTheme="minorHAnsi"/>
          <w:lang w:val="en-AU"/>
        </w:rPr>
        <w:t>September</w:t>
      </w:r>
      <w:r w:rsidRPr="0082295F">
        <w:rPr>
          <w:rFonts w:asciiTheme="minorHAnsi" w:hAnsiTheme="minorHAnsi"/>
          <w:lang w:val="en-AU"/>
        </w:rPr>
        <w:t xml:space="preserve"> 2020 to March 2024</w:t>
      </w:r>
    </w:p>
    <w:p w14:paraId="79FAB4AC" w14:textId="54392C0F" w:rsidR="005D7362" w:rsidRPr="00B93C08" w:rsidRDefault="00AE0292" w:rsidP="0082295F">
      <w:pPr>
        <w:keepNext/>
        <w:keepLines/>
        <w:spacing w:after="0"/>
      </w:pPr>
      <w:r w:rsidRPr="00B93C08">
        <w:rPr>
          <w:noProof/>
        </w:rPr>
        <w:drawing>
          <wp:inline distT="0" distB="0" distL="0" distR="0" wp14:anchorId="305C1A29" wp14:editId="7CBDE8B7">
            <wp:extent cx="5731200" cy="2847600"/>
            <wp:effectExtent l="0" t="0" r="3175" b="0"/>
            <wp:docPr id="831308207" name="Chart 1" descr="Figure 16 is a time series line chart, with 2 lines showing the recruitment difficulty rate for capital cities and rest of state areas from September 2020 to March 2024. Recruitment difficulty has generally been higher for employers in rest of state areas. Both have followed similar trends, though the decline in recruitment difficulty from mid-2022 was more pronounced for capital cities than for rest of state areas.">
              <a:extLst xmlns:a="http://schemas.openxmlformats.org/drawingml/2006/main">
                <a:ext uri="{FF2B5EF4-FFF2-40B4-BE49-F238E27FC236}">
                  <a16:creationId xmlns:a16="http://schemas.microsoft.com/office/drawing/2014/main" id="{D1FC09AD-7103-467D-8DB3-4CC5ECA11E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1F22C56" w14:textId="13A57C9C" w:rsidR="005D7362" w:rsidRPr="0082295F" w:rsidRDefault="005E4224" w:rsidP="0082295F">
      <w:pPr>
        <w:pStyle w:val="Source"/>
        <w:keepNext/>
        <w:keepLines/>
        <w:spacing w:before="0"/>
      </w:pPr>
      <w:r w:rsidRPr="0082295F">
        <w:t xml:space="preserve">Source: </w:t>
      </w:r>
      <w:r w:rsidR="00E26FD9" w:rsidRPr="0082295F">
        <w:t>JSA</w:t>
      </w:r>
      <w:r w:rsidRPr="0082295F">
        <w:t xml:space="preserve">, Recruitment Experiences and Outlook Survey, March 2024. </w:t>
      </w:r>
      <w:r w:rsidRPr="0082295F">
        <w:br/>
        <w:t>Notes: The recruitment difficulty rate is the proportion of recruiting employers who report having difficulty filling advertised roles. Disaggregated data are not published in January of each year. Accordingly, relevant data points have been joined by a dotted line. A Henderson smoothed line has been included in the charts to reduce month-to-month volatility and illustrate long-term patterns.</w:t>
      </w:r>
    </w:p>
    <w:p w14:paraId="629BB0D6" w14:textId="1C2B9488" w:rsidR="005D7362" w:rsidRPr="0082295F" w:rsidRDefault="00AE0292" w:rsidP="005D7362">
      <w:r w:rsidRPr="0082295F">
        <w:t>It is also worth noting that the relationship between the amount of recruitment (as seen in recruitment rates) and recruitment difficulty varies within individual capital cities and rest of state areas. Figure 1</w:t>
      </w:r>
      <w:r w:rsidR="00E479A1" w:rsidRPr="0082295F">
        <w:t>7</w:t>
      </w:r>
      <w:r w:rsidRPr="0082295F">
        <w:t xml:space="preserve"> shows these regional variations observed over the past 12 months to March 2024. In general, at similar rates of recruitment, rest of state areas tend to experience higher levels of difficulty. For example, Rest of Victoria is a relatively low recruiter (47%) and has high recruitment difficulty (65%), while Greater Melbourne has a lower difficulty rate (56%) at a similar rate of recruitment (45%). A similar pattern is observed between other capital cities and their respective rest of state counterparts.</w:t>
      </w:r>
    </w:p>
    <w:p w14:paraId="09DBFA88" w14:textId="33FE3958" w:rsidR="005D7362" w:rsidRPr="0082295F" w:rsidRDefault="00AE0292" w:rsidP="005D7362">
      <w:pPr>
        <w:pStyle w:val="ChartandTablelabel"/>
        <w:rPr>
          <w:rFonts w:asciiTheme="minorHAnsi" w:hAnsiTheme="minorHAnsi"/>
          <w:lang w:val="en-AU"/>
        </w:rPr>
      </w:pPr>
      <w:r w:rsidRPr="0082295F">
        <w:rPr>
          <w:rFonts w:asciiTheme="minorHAnsi" w:hAnsiTheme="minorHAnsi"/>
          <w:lang w:val="en-AU"/>
        </w:rPr>
        <w:t>Figure 1</w:t>
      </w:r>
      <w:r w:rsidR="005526ED" w:rsidRPr="0082295F">
        <w:rPr>
          <w:rFonts w:asciiTheme="minorHAnsi" w:hAnsiTheme="minorHAnsi"/>
          <w:lang w:val="en-AU"/>
        </w:rPr>
        <w:t>7</w:t>
      </w:r>
      <w:r w:rsidRPr="0082295F">
        <w:rPr>
          <w:rFonts w:asciiTheme="minorHAnsi" w:hAnsiTheme="minorHAnsi"/>
          <w:lang w:val="en-AU"/>
        </w:rPr>
        <w:t>: Rates of recruitment and recruitment difficulty by region (12 months to March 2024)</w:t>
      </w:r>
    </w:p>
    <w:p w14:paraId="5726DF63" w14:textId="36E6BAB4" w:rsidR="005D7362" w:rsidRPr="0082295F" w:rsidRDefault="00AE0292" w:rsidP="0082295F">
      <w:pPr>
        <w:spacing w:after="0"/>
      </w:pPr>
      <w:r w:rsidRPr="0082295F">
        <w:rPr>
          <w:noProof/>
        </w:rPr>
        <w:lastRenderedPageBreak/>
        <w:drawing>
          <wp:inline distT="0" distB="0" distL="0" distR="0" wp14:anchorId="4C955438" wp14:editId="59118F1B">
            <wp:extent cx="5730875" cy="2914650"/>
            <wp:effectExtent l="0" t="0" r="3175" b="0"/>
            <wp:docPr id="501049202" name="Chart 1" descr="Figure 17 is a scatter plot chart which plots each capital city and rest of state region by their recruitment rate (y axis) and recruitment difficulty (x axis). Capital city regions tend to congregate in the lower left of the chart, while rest of state areas congregate more towards the upper right part of the chart.">
              <a:extLst xmlns:a="http://schemas.openxmlformats.org/drawingml/2006/main">
                <a:ext uri="{FF2B5EF4-FFF2-40B4-BE49-F238E27FC236}">
                  <a16:creationId xmlns:a16="http://schemas.microsoft.com/office/drawing/2014/main" id="{D2984989-0AFC-40E4-8643-90DC154021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954CAB6" w14:textId="049EF369" w:rsidR="005D7362" w:rsidRPr="00B93C08" w:rsidRDefault="004D734E" w:rsidP="0082295F">
      <w:pPr>
        <w:pStyle w:val="Source"/>
        <w:spacing w:before="0"/>
      </w:pPr>
      <w:r w:rsidRPr="0082295F">
        <w:t xml:space="preserve">Source: </w:t>
      </w:r>
      <w:r w:rsidR="00E26FD9" w:rsidRPr="0082295F">
        <w:t>JSA</w:t>
      </w:r>
      <w:r w:rsidRPr="0082295F">
        <w:t>, Recruitment Experiences and Outlook Survey, March 2024.</w:t>
      </w:r>
    </w:p>
    <w:p w14:paraId="491C1608" w14:textId="56F1773A" w:rsidR="004D734E" w:rsidRPr="0082295F" w:rsidRDefault="004D734E" w:rsidP="004D734E">
      <w:r w:rsidRPr="0082295F">
        <w:t>Recruitment difficulty rates generally tend to be higher in regions that are further away from large population hubs. Figure 1</w:t>
      </w:r>
      <w:r w:rsidR="005526ED" w:rsidRPr="0082295F">
        <w:t>8</w:t>
      </w:r>
      <w:r w:rsidRPr="0082295F">
        <w:t xml:space="preserve"> shows recruitment difficulty recorded in the 12 months to March 2024, for each Statistical Area Level 4 region and Greater Capital City area. The higher recruitment difficulty rates in more remote areas can sometimes be explained by tighter labour market conditions, as employers encounter greater challenges finding suitably qualified staff. This can also be further exacerbated in some areas </w:t>
      </w:r>
      <w:proofErr w:type="gramStart"/>
      <w:r w:rsidRPr="0082295F">
        <w:t>as a result of</w:t>
      </w:r>
      <w:proofErr w:type="gramEnd"/>
      <w:r w:rsidRPr="0082295F">
        <w:t xml:space="preserve"> a narrower industry composition, with a focus on mining or agriculture for example, and the consequent need for specialised skills.</w:t>
      </w:r>
    </w:p>
    <w:p w14:paraId="54679A4E" w14:textId="0969810F" w:rsidR="005D7362" w:rsidRPr="0082295F" w:rsidRDefault="004D734E" w:rsidP="004D734E">
      <w:pPr>
        <w:pStyle w:val="ChartandTablelabel"/>
        <w:rPr>
          <w:rFonts w:asciiTheme="minorHAnsi" w:hAnsiTheme="minorHAnsi"/>
          <w:lang w:val="en-AU"/>
        </w:rPr>
      </w:pPr>
      <w:r w:rsidRPr="0082295F">
        <w:rPr>
          <w:rFonts w:asciiTheme="minorHAnsi" w:hAnsiTheme="minorHAnsi"/>
          <w:lang w:val="en-AU"/>
        </w:rPr>
        <w:t>Figure 1</w:t>
      </w:r>
      <w:r w:rsidR="005526ED" w:rsidRPr="0082295F">
        <w:rPr>
          <w:rFonts w:asciiTheme="minorHAnsi" w:hAnsiTheme="minorHAnsi"/>
          <w:lang w:val="en-AU"/>
        </w:rPr>
        <w:t>8</w:t>
      </w:r>
      <w:r w:rsidRPr="0082295F">
        <w:rPr>
          <w:rFonts w:asciiTheme="minorHAnsi" w:hAnsiTheme="minorHAnsi"/>
          <w:lang w:val="en-AU"/>
        </w:rPr>
        <w:t>: Recruitment difficulty rates, 12 months to March 2024 – heatmap of SA4 regions and Greater Capital City areas</w:t>
      </w:r>
    </w:p>
    <w:p w14:paraId="25978997" w14:textId="22EA4165" w:rsidR="005D7362" w:rsidRPr="0082295F" w:rsidRDefault="004D734E" w:rsidP="0082295F">
      <w:pPr>
        <w:spacing w:after="0"/>
      </w:pPr>
      <w:r w:rsidRPr="0082295F">
        <w:rPr>
          <w:noProof/>
        </w:rPr>
        <w:lastRenderedPageBreak/>
        <w:drawing>
          <wp:inline distT="0" distB="0" distL="0" distR="0" wp14:anchorId="0FDB8441" wp14:editId="2C2DC4D6">
            <wp:extent cx="5731200" cy="4122258"/>
            <wp:effectExtent l="0" t="0" r="3175" b="0"/>
            <wp:docPr id="632308227" name="Picture 1" descr="Figure 18 is a map of Australia displaying recruitment difficulty rate ranges for each rest of state statistical area level 4, and greater capital city areas. Capital city areas display lower rates of difficulty, on average, than those in remote and regional SA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08227" name="Picture 1" descr="Figure 18 is a map of Australia displaying recruitment difficulty rate ranges for each rest of state statistical area level 4, and greater capital city areas. Capital city areas display lower rates of difficulty, on average, than those in remote and regional SA4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492" t="4449" r="4824" b="3747"/>
                    <a:stretch/>
                  </pic:blipFill>
                  <pic:spPr bwMode="auto">
                    <a:xfrm>
                      <a:off x="0" y="0"/>
                      <a:ext cx="5731200" cy="4122258"/>
                    </a:xfrm>
                    <a:prstGeom prst="rect">
                      <a:avLst/>
                    </a:prstGeom>
                    <a:noFill/>
                    <a:ln>
                      <a:noFill/>
                    </a:ln>
                    <a:extLst>
                      <a:ext uri="{53640926-AAD7-44D8-BBD7-CCE9431645EC}">
                        <a14:shadowObscured xmlns:a14="http://schemas.microsoft.com/office/drawing/2010/main"/>
                      </a:ext>
                    </a:extLst>
                  </pic:spPr>
                </pic:pic>
              </a:graphicData>
            </a:graphic>
          </wp:inline>
        </w:drawing>
      </w:r>
    </w:p>
    <w:p w14:paraId="75D3C99A" w14:textId="25FD8D93" w:rsidR="008564DD" w:rsidRPr="00B93C08" w:rsidRDefault="004D734E" w:rsidP="0082295F">
      <w:pPr>
        <w:pStyle w:val="Source"/>
        <w:spacing w:before="0"/>
      </w:pPr>
      <w:bookmarkStart w:id="50" w:name="_Hlk140053166"/>
      <w:bookmarkEnd w:id="48"/>
      <w:r w:rsidRPr="0082295F">
        <w:t xml:space="preserve">Source: </w:t>
      </w:r>
      <w:r w:rsidR="00E26FD9" w:rsidRPr="0082295F">
        <w:t>JSA</w:t>
      </w:r>
      <w:r w:rsidRPr="0082295F">
        <w:t xml:space="preserve">, Recruitment Experiences and Outlook Survey, March 2024. </w:t>
      </w:r>
      <w:r w:rsidRPr="0082295F">
        <w:br/>
        <w:t>Note: Results for rest of state SA4s are indicative only, due to small sample sizes for some regions.</w:t>
      </w:r>
      <w:bookmarkEnd w:id="50"/>
      <w:r w:rsidR="008564DD" w:rsidRPr="00B93C08">
        <w:br w:type="page"/>
      </w:r>
    </w:p>
    <w:bookmarkStart w:id="51" w:name="_Toc166140507"/>
    <w:bookmarkStart w:id="52" w:name="_Toc160704403"/>
    <w:bookmarkStart w:id="53" w:name="_Toc151365190"/>
    <w:p w14:paraId="740D72A0" w14:textId="5C1302D0" w:rsidR="007D1E2F" w:rsidRPr="00B93C08" w:rsidRDefault="004D734E" w:rsidP="007D1E2F">
      <w:pPr>
        <w:pStyle w:val="Heading2"/>
        <w:rPr>
          <w:rFonts w:eastAsia="Times New Roman"/>
          <w:highlight w:val="yellow"/>
        </w:rPr>
      </w:pPr>
      <w:r w:rsidRPr="00B93C08">
        <w:rPr>
          <w:noProof/>
          <w:color w:val="2B579A"/>
          <w:shd w:val="clear" w:color="auto" w:fill="E6E6E6"/>
          <w14:ligatures w14:val="standard"/>
          <w14:numForm w14:val="lining"/>
          <w14:numSpacing w14:val="proportional"/>
        </w:rPr>
        <w:lastRenderedPageBreak/>
        <mc:AlternateContent>
          <mc:Choice Requires="wpg">
            <w:drawing>
              <wp:anchor distT="0" distB="0" distL="114300" distR="114300" simplePos="0" relativeHeight="251655680" behindDoc="1" locked="0" layoutInCell="1" allowOverlap="1" wp14:anchorId="74E865E4" wp14:editId="2A07AEEA">
                <wp:simplePos x="0" y="0"/>
                <wp:positionH relativeFrom="margin">
                  <wp:posOffset>-348018</wp:posOffset>
                </wp:positionH>
                <wp:positionV relativeFrom="page">
                  <wp:posOffset>812042</wp:posOffset>
                </wp:positionV>
                <wp:extent cx="6388100" cy="8325049"/>
                <wp:effectExtent l="0" t="0" r="0" b="0"/>
                <wp:wrapNone/>
                <wp:docPr id="1229990459" name="Group 1229990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88100" cy="8325049"/>
                          <a:chOff x="0" y="0"/>
                          <a:chExt cx="5577937" cy="3722400"/>
                        </a:xfrm>
                      </wpg:grpSpPr>
                      <wps:wsp>
                        <wps:cNvPr id="221369393" name="Rectangle 221369393">
                          <a:extLst>
                            <a:ext uri="{C183D7F6-B498-43B3-948B-1728B52AA6E4}">
                              <adec:decorative xmlns:adec="http://schemas.microsoft.com/office/drawing/2017/decorative" val="1"/>
                            </a:ext>
                          </a:extLst>
                        </wps:cNvPr>
                        <wps:cNvSpPr/>
                        <wps:spPr>
                          <a:xfrm>
                            <a:off x="0" y="0"/>
                            <a:ext cx="5577937" cy="3721100"/>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rgbClr r="0" g="0" b="0"/>
                          </a:effectRef>
                          <a:fontRef idx="minor">
                            <a:schemeClr val="lt1"/>
                          </a:fontRef>
                        </wps:style>
                        <wps:txbx>
                          <w:txbxContent>
                            <w:p w14:paraId="3011E055" w14:textId="77777777" w:rsidR="003B4858" w:rsidRPr="00B93C08" w:rsidRDefault="003B4858" w:rsidP="003B4858">
                              <w:pPr>
                                <w:pStyle w:val="Bodycopy"/>
                                <w:spacing w:before="160" w:after="0" w:line="276" w:lineRule="auto"/>
                                <w:rPr>
                                  <w14:numForm w14:val="lining"/>
                                  <w14:numSpacing w14:val="proportional"/>
                                </w:rPr>
                              </w:pPr>
                            </w:p>
                          </w:txbxContent>
                        </wps:txbx>
                        <wps:bodyPr spcFirstLastPara="0" wrap="square" lIns="288000" tIns="108000" rIns="144000" bIns="108000" anchor="t">
                          <a:noAutofit/>
                        </wps:bodyPr>
                      </wps:wsp>
                      <wps:wsp>
                        <wps:cNvPr id="1552731050" name="Rectangle 1552731050"/>
                        <wps:cNvSpPr/>
                        <wps:spPr>
                          <a:xfrm>
                            <a:off x="0" y="0"/>
                            <a:ext cx="133350" cy="3722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4E865E4" id="Group 1229990459" o:spid="_x0000_s1036" alt="&quot;&quot;" style="position:absolute;margin-left:-27.4pt;margin-top:63.95pt;width:503pt;height:655.5pt;z-index:-251660800;mso-position-horizontal-relative:margin;mso-position-vertical-relative:page" coordsize="55779,37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">
                <v:rect id="Rectangle 221369393" o:spid="_x0000_s1037" alt="&quot;&quot;" style="position:absolute;width:55779;height:37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" fillcolor="#f2f2f2 [3052]" stroked="f" strokeweight="1pt">
                  <v:textbox inset="8mm,3mm,4mm,3mm">
                    <w:txbxContent>
                      <w:p w14:paraId="3011E055" w14:textId="77777777" w:rsidR="003B4858" w:rsidRPr="00B93C08" w:rsidRDefault="003B4858" w:rsidP="003B4858">
                        <w:pPr>
                          <w:pStyle w:val="Bodycopy"/>
                          <w:spacing w:before="160" w:after="0" w:line="276" w:lineRule="auto"/>
                          <w:rPr>
                            <w14:numForm w14:val="lining"/>
                            <w14:numSpacing w14:val="proportional"/>
                          </w:rPr>
                        </w:pPr>
                      </w:p>
                    </w:txbxContent>
                  </v:textbox>
                </v:rect>
                <v:rect id="Rectangle 1552731050" o:spid="_x0000_s1038" style="position:absolute;width:1333;height:37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" fillcolor="#d2de5a [3214]" stroked="f" strokeweight="1pt"/>
                <w10:wrap anchorx="margin" anchory="page"/>
              </v:group>
            </w:pict>
          </mc:Fallback>
        </mc:AlternateContent>
      </w:r>
      <w:r w:rsidR="003B4858" w:rsidRPr="00B93C08">
        <w:rPr>
          <w:noProof/>
          <w:color w:val="2B579A"/>
          <w:shd w:val="clear" w:color="auto" w:fill="E6E6E6"/>
          <w14:ligatures w14:val="standard"/>
          <w14:numForm w14:val="lining"/>
          <w14:numSpacing w14:val="proportional"/>
        </w:rPr>
        <mc:AlternateContent>
          <mc:Choice Requires="wpg">
            <w:drawing>
              <wp:anchor distT="0" distB="0" distL="114300" distR="114300" simplePos="0" relativeHeight="251641344" behindDoc="1" locked="0" layoutInCell="1" allowOverlap="1" wp14:anchorId="35F20862" wp14:editId="3D518494">
                <wp:simplePos x="0" y="0"/>
                <wp:positionH relativeFrom="margin">
                  <wp:posOffset>-354842</wp:posOffset>
                </wp:positionH>
                <wp:positionV relativeFrom="page">
                  <wp:posOffset>696036</wp:posOffset>
                </wp:positionV>
                <wp:extent cx="6388589" cy="8441140"/>
                <wp:effectExtent l="0" t="0" r="0" b="0"/>
                <wp:wrapNone/>
                <wp:docPr id="81782800" name="Group 817828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88589" cy="8441140"/>
                          <a:chOff x="0" y="0"/>
                          <a:chExt cx="5577937" cy="3722400"/>
                        </a:xfrm>
                      </wpg:grpSpPr>
                      <wps:wsp>
                        <wps:cNvPr id="1595967659" name="Rectangle 1595967659">
                          <a:extLst>
                            <a:ext uri="{C183D7F6-B498-43B3-948B-1728B52AA6E4}">
                              <adec:decorative xmlns:adec="http://schemas.microsoft.com/office/drawing/2017/decorative" val="1"/>
                            </a:ext>
                          </a:extLst>
                        </wps:cNvPr>
                        <wps:cNvSpPr/>
                        <wps:spPr>
                          <a:xfrm>
                            <a:off x="0" y="0"/>
                            <a:ext cx="5577937" cy="3721100"/>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rgbClr r="0" g="0" b="0"/>
                          </a:effectRef>
                          <a:fontRef idx="minor">
                            <a:schemeClr val="lt1"/>
                          </a:fontRef>
                        </wps:style>
                        <wps:txbx>
                          <w:txbxContent>
                            <w:p w14:paraId="726D5677" w14:textId="77777777" w:rsidR="003B4858" w:rsidRPr="00B93C08" w:rsidRDefault="003B4858" w:rsidP="003B4858">
                              <w:pPr>
                                <w:pStyle w:val="Bodycopy"/>
                                <w:spacing w:before="160" w:after="0" w:line="276" w:lineRule="auto"/>
                                <w:rPr>
                                  <w14:numForm w14:val="lining"/>
                                  <w14:numSpacing w14:val="proportional"/>
                                </w:rPr>
                              </w:pPr>
                            </w:p>
                          </w:txbxContent>
                        </wps:txbx>
                        <wps:bodyPr spcFirstLastPara="0" wrap="square" lIns="288000" tIns="108000" rIns="144000" bIns="108000" anchor="t">
                          <a:noAutofit/>
                        </wps:bodyPr>
                      </wps:wsp>
                      <wps:wsp>
                        <wps:cNvPr id="1120596125" name="Rectangle 1120596125"/>
                        <wps:cNvSpPr/>
                        <wps:spPr>
                          <a:xfrm>
                            <a:off x="0" y="0"/>
                            <a:ext cx="133350" cy="3722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5F20862" id="Group 81782800" o:spid="_x0000_s1039" alt="&quot;&quot;" style="position:absolute;margin-left:-27.95pt;margin-top:54.8pt;width:503.05pt;height:664.65pt;z-index:-251675136;mso-position-horizontal-relative:margin;mso-position-vertical-relative:page" coordsize="55779,37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">
                <v:rect id="Rectangle 1595967659" o:spid="_x0000_s1040" alt="&quot;&quot;" style="position:absolute;width:55779;height:37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" fillcolor="#f2f2f2 [3052]" stroked="f" strokeweight="1pt">
                  <v:textbox inset="8mm,3mm,4mm,3mm">
                    <w:txbxContent>
                      <w:p w14:paraId="726D5677" w14:textId="77777777" w:rsidR="003B4858" w:rsidRPr="00B93C08" w:rsidRDefault="003B4858" w:rsidP="003B4858">
                        <w:pPr>
                          <w:pStyle w:val="Bodycopy"/>
                          <w:spacing w:before="160" w:after="0" w:line="276" w:lineRule="auto"/>
                          <w:rPr>
                            <w14:numForm w14:val="lining"/>
                            <w14:numSpacing w14:val="proportional"/>
                          </w:rPr>
                        </w:pPr>
                      </w:p>
                    </w:txbxContent>
                  </v:textbox>
                </v:rect>
                <v:rect id="Rectangle 1120596125" o:spid="_x0000_s1041" style="position:absolute;width:1333;height:37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" fillcolor="#d2de5a [3214]" stroked="f" strokeweight="1pt"/>
                <w10:wrap anchorx="margin" anchory="page"/>
              </v:group>
            </w:pict>
          </mc:Fallback>
        </mc:AlternateContent>
      </w:r>
      <w:r w:rsidR="0032250A" w:rsidRPr="00B93C08">
        <w:rPr>
          <w:rFonts w:eastAsia="Times New Roman"/>
        </w:rPr>
        <w:t xml:space="preserve">In focus: </w:t>
      </w:r>
      <w:r w:rsidR="007D1E2F" w:rsidRPr="00B93C08">
        <w:rPr>
          <w:rFonts w:eastAsia="Times New Roman"/>
        </w:rPr>
        <w:t xml:space="preserve">Assessing the long-term performance of regional labour </w:t>
      </w:r>
      <w:proofErr w:type="gramStart"/>
      <w:r w:rsidR="007D1E2F" w:rsidRPr="00B93C08">
        <w:rPr>
          <w:rFonts w:eastAsia="Times New Roman"/>
        </w:rPr>
        <w:t>markets</w:t>
      </w:r>
      <w:bookmarkEnd w:id="51"/>
      <w:proofErr w:type="gramEnd"/>
    </w:p>
    <w:p w14:paraId="42F34A54" w14:textId="135AD906" w:rsidR="007D1E2F" w:rsidRPr="0082295F" w:rsidRDefault="001E6EAD" w:rsidP="007D1E2F">
      <w:pPr>
        <w:rPr>
          <w:rFonts w:eastAsia="Arial" w:cs="Times New Roman"/>
        </w:rPr>
      </w:pPr>
      <w:bookmarkStart w:id="54" w:name="_Hlk165620012"/>
      <w:r w:rsidRPr="0082295F">
        <w:rPr>
          <w:rFonts w:eastAsia="Arial" w:cs="Times New Roman"/>
        </w:rPr>
        <w:t>J</w:t>
      </w:r>
      <w:r>
        <w:rPr>
          <w:rFonts w:eastAsia="Arial" w:cs="Times New Roman"/>
        </w:rPr>
        <w:t xml:space="preserve">obs and </w:t>
      </w:r>
      <w:r w:rsidRPr="0082295F">
        <w:rPr>
          <w:rFonts w:eastAsia="Arial" w:cs="Times New Roman"/>
        </w:rPr>
        <w:t>S</w:t>
      </w:r>
      <w:r>
        <w:rPr>
          <w:rFonts w:eastAsia="Arial" w:cs="Times New Roman"/>
        </w:rPr>
        <w:t xml:space="preserve">kills </w:t>
      </w:r>
      <w:r w:rsidRPr="0082295F">
        <w:rPr>
          <w:rFonts w:eastAsia="Arial" w:cs="Times New Roman"/>
        </w:rPr>
        <w:t>A</w:t>
      </w:r>
      <w:r>
        <w:rPr>
          <w:rFonts w:eastAsia="Arial" w:cs="Times New Roman"/>
        </w:rPr>
        <w:t>ustralia’s</w:t>
      </w:r>
      <w:r w:rsidRPr="0082295F">
        <w:rPr>
          <w:rFonts w:eastAsia="Arial" w:cs="Times New Roman"/>
        </w:rPr>
        <w:t xml:space="preserve"> </w:t>
      </w:r>
      <w:r w:rsidRPr="0082295F">
        <w:rPr>
          <w:rFonts w:eastAsia="Arial" w:cs="Times New Roman"/>
          <w:i/>
        </w:rPr>
        <w:t>Regional Labour Market Indicator</w:t>
      </w:r>
      <w:r w:rsidRPr="0082295F">
        <w:rPr>
          <w:rFonts w:eastAsia="Arial" w:cs="Times New Roman"/>
        </w:rPr>
        <w:t xml:space="preserve"> (RLMI)</w:t>
      </w:r>
      <w:r w:rsidRPr="0082295F">
        <w:rPr>
          <w:rStyle w:val="FootnoteReference"/>
          <w:rFonts w:eastAsia="Arial" w:cs="Times New Roman"/>
        </w:rPr>
        <w:footnoteReference w:id="6"/>
      </w:r>
      <w:r w:rsidRPr="0082295F">
        <w:rPr>
          <w:rFonts w:eastAsia="Arial" w:cs="Times New Roman"/>
        </w:rPr>
        <w:t xml:space="preserve"> can help to identify trends in region</w:t>
      </w:r>
      <w:r w:rsidR="00214B5E">
        <w:rPr>
          <w:rFonts w:eastAsia="Arial" w:cs="Times New Roman"/>
        </w:rPr>
        <w:t>-</w:t>
      </w:r>
      <w:r w:rsidR="00F252A3">
        <w:rPr>
          <w:rFonts w:eastAsia="Arial" w:cs="Times New Roman"/>
        </w:rPr>
        <w:t>specific</w:t>
      </w:r>
      <w:r w:rsidRPr="0082295F">
        <w:rPr>
          <w:rFonts w:eastAsia="Arial" w:cs="Times New Roman"/>
        </w:rPr>
        <w:t xml:space="preserve"> labour market performance</w:t>
      </w:r>
      <w:r>
        <w:rPr>
          <w:rFonts w:eastAsia="Arial" w:cs="Times New Roman"/>
        </w:rPr>
        <w:t xml:space="preserve">. </w:t>
      </w:r>
      <w:r w:rsidRPr="0082295F">
        <w:rPr>
          <w:rFonts w:eastAsia="Arial" w:cs="Times New Roman"/>
        </w:rPr>
        <w:t>Com</w:t>
      </w:r>
      <w:r>
        <w:rPr>
          <w:rFonts w:eastAsia="Arial" w:cs="Times New Roman"/>
        </w:rPr>
        <w:t>paring</w:t>
      </w:r>
      <w:r w:rsidRPr="0082295F">
        <w:rPr>
          <w:rFonts w:eastAsia="Arial" w:cs="Times New Roman"/>
        </w:rPr>
        <w:t xml:space="preserve"> a region’s long-term rating of labour market strength with the current rating </w:t>
      </w:r>
      <w:r>
        <w:rPr>
          <w:rFonts w:eastAsia="Arial" w:cs="Times New Roman"/>
        </w:rPr>
        <w:t>can identify regions with changed conditions. Changes</w:t>
      </w:r>
      <w:r w:rsidR="007D1E2F" w:rsidRPr="0082295F">
        <w:rPr>
          <w:rFonts w:eastAsia="Arial" w:cs="Times New Roman"/>
        </w:rPr>
        <w:t xml:space="preserve"> may </w:t>
      </w:r>
      <w:r>
        <w:rPr>
          <w:rFonts w:eastAsia="Arial" w:cs="Times New Roman"/>
        </w:rPr>
        <w:t>arise</w:t>
      </w:r>
      <w:r w:rsidR="007D1E2F" w:rsidRPr="0082295F">
        <w:rPr>
          <w:rFonts w:eastAsia="Arial" w:cs="Times New Roman"/>
        </w:rPr>
        <w:t xml:space="preserve"> </w:t>
      </w:r>
      <w:r>
        <w:rPr>
          <w:rFonts w:eastAsia="Arial" w:cs="Times New Roman"/>
        </w:rPr>
        <w:t>from</w:t>
      </w:r>
      <w:r w:rsidR="007D1E2F" w:rsidRPr="0082295F">
        <w:rPr>
          <w:rFonts w:eastAsia="Arial" w:cs="Times New Roman"/>
        </w:rPr>
        <w:t xml:space="preserve"> short-term fluctuations in the business cycle or long-term and persistent region-specific shifts. </w:t>
      </w:r>
      <w:r>
        <w:rPr>
          <w:rFonts w:eastAsia="Arial" w:cs="Times New Roman"/>
        </w:rPr>
        <w:t>I</w:t>
      </w:r>
      <w:r w:rsidR="007D1E2F" w:rsidRPr="0082295F">
        <w:rPr>
          <w:rFonts w:eastAsia="Arial" w:cs="Times New Roman"/>
        </w:rPr>
        <w:t>dentif</w:t>
      </w:r>
      <w:r>
        <w:rPr>
          <w:rFonts w:eastAsia="Arial" w:cs="Times New Roman"/>
        </w:rPr>
        <w:t>ying</w:t>
      </w:r>
      <w:r w:rsidR="007D1E2F" w:rsidRPr="0082295F">
        <w:rPr>
          <w:rFonts w:eastAsia="Arial" w:cs="Times New Roman"/>
        </w:rPr>
        <w:t xml:space="preserve"> whether a region’s labour market performance is driven by short-term cyclical fluctuation </w:t>
      </w:r>
      <w:r>
        <w:rPr>
          <w:rFonts w:eastAsia="Arial" w:cs="Times New Roman"/>
        </w:rPr>
        <w:t>or</w:t>
      </w:r>
      <w:r w:rsidR="007D1E2F" w:rsidRPr="0082295F">
        <w:rPr>
          <w:rFonts w:eastAsia="Arial" w:cs="Times New Roman"/>
        </w:rPr>
        <w:t xml:space="preserve"> long-term structural shift can help target appropriate policy responses.</w:t>
      </w:r>
    </w:p>
    <w:p w14:paraId="0A774911" w14:textId="57A0A760" w:rsidR="007D1E2F" w:rsidRPr="0082295F" w:rsidRDefault="007D1E2F" w:rsidP="007D1E2F">
      <w:pPr>
        <w:rPr>
          <w:rFonts w:eastAsia="Arial" w:cs="Times New Roman"/>
        </w:rPr>
      </w:pPr>
      <w:r w:rsidRPr="0082295F">
        <w:rPr>
          <w:rFonts w:eastAsia="Arial" w:cs="Times New Roman"/>
        </w:rPr>
        <w:t>The RLMI results illustrate a high degree of labour market persistence</w:t>
      </w:r>
      <w:r w:rsidR="001E6EAD">
        <w:rPr>
          <w:rFonts w:eastAsia="Arial" w:cs="Times New Roman"/>
        </w:rPr>
        <w:t>.</w:t>
      </w:r>
      <w:r w:rsidRPr="0082295F">
        <w:rPr>
          <w:rFonts w:eastAsia="Arial" w:cs="Times New Roman"/>
        </w:rPr>
        <w:t xml:space="preserve"> </w:t>
      </w:r>
      <w:r w:rsidR="001E6EAD">
        <w:rPr>
          <w:rFonts w:eastAsia="Arial" w:cs="Times New Roman"/>
        </w:rPr>
        <w:t>F</w:t>
      </w:r>
      <w:r w:rsidR="001E6EAD" w:rsidRPr="0082295F">
        <w:rPr>
          <w:rFonts w:eastAsia="Arial" w:cs="Times New Roman"/>
        </w:rPr>
        <w:t>or many regions</w:t>
      </w:r>
      <w:r w:rsidR="001E6EAD">
        <w:rPr>
          <w:rFonts w:eastAsia="Arial" w:cs="Times New Roman"/>
        </w:rPr>
        <w:t>,</w:t>
      </w:r>
      <w:r w:rsidR="001E6EAD" w:rsidRPr="0082295F">
        <w:rPr>
          <w:rFonts w:eastAsia="Arial" w:cs="Times New Roman"/>
        </w:rPr>
        <w:t xml:space="preserve"> </w:t>
      </w:r>
      <w:r w:rsidR="001E6EAD">
        <w:rPr>
          <w:rFonts w:eastAsia="Arial" w:cs="Times New Roman"/>
        </w:rPr>
        <w:t>c</w:t>
      </w:r>
      <w:r w:rsidRPr="0082295F">
        <w:rPr>
          <w:rFonts w:eastAsia="Arial" w:cs="Times New Roman"/>
        </w:rPr>
        <w:t>onditions</w:t>
      </w:r>
      <w:r w:rsidR="001E6EAD">
        <w:rPr>
          <w:rFonts w:eastAsia="Arial" w:cs="Times New Roman"/>
        </w:rPr>
        <w:t xml:space="preserve"> </w:t>
      </w:r>
      <w:r w:rsidRPr="0082295F">
        <w:rPr>
          <w:rFonts w:eastAsia="Arial" w:cs="Times New Roman"/>
        </w:rPr>
        <w:t xml:space="preserve">vary little from their long-term trend (see </w:t>
      </w:r>
      <w:r w:rsidR="005526ED" w:rsidRPr="0082295F">
        <w:rPr>
          <w:rFonts w:eastAsia="Arial" w:cs="Times New Roman"/>
        </w:rPr>
        <w:t>Figure 19</w:t>
      </w:r>
      <w:r w:rsidRPr="0082295F">
        <w:rPr>
          <w:rFonts w:eastAsia="Arial" w:cs="Times New Roman"/>
        </w:rPr>
        <w:t xml:space="preserve">). For instance, current labour market conditions </w:t>
      </w:r>
      <w:r w:rsidR="001E6EAD" w:rsidRPr="0082295F">
        <w:rPr>
          <w:rFonts w:eastAsia="Arial" w:cs="Times New Roman"/>
        </w:rPr>
        <w:t xml:space="preserve">are </w:t>
      </w:r>
      <w:proofErr w:type="gramStart"/>
      <w:r w:rsidR="001E6EAD" w:rsidRPr="0082295F">
        <w:rPr>
          <w:rFonts w:eastAsia="Arial" w:cs="Times New Roman"/>
        </w:rPr>
        <w:t>similar to</w:t>
      </w:r>
      <w:proofErr w:type="gramEnd"/>
      <w:r w:rsidR="001E6EAD" w:rsidRPr="0082295F">
        <w:rPr>
          <w:rFonts w:eastAsia="Arial" w:cs="Times New Roman"/>
        </w:rPr>
        <w:t xml:space="preserve"> the</w:t>
      </w:r>
      <w:r w:rsidR="001E6EAD">
        <w:rPr>
          <w:rFonts w:eastAsia="Arial" w:cs="Times New Roman"/>
        </w:rPr>
        <w:t>i</w:t>
      </w:r>
      <w:r w:rsidR="00F252A3">
        <w:rPr>
          <w:rFonts w:eastAsia="Arial" w:cs="Times New Roman"/>
        </w:rPr>
        <w:t>r</w:t>
      </w:r>
      <w:r w:rsidR="001E6EAD" w:rsidRPr="0082295F">
        <w:rPr>
          <w:rFonts w:eastAsia="Arial" w:cs="Times New Roman"/>
        </w:rPr>
        <w:t xml:space="preserve"> long-term trend (relative to the national average)</w:t>
      </w:r>
      <w:r w:rsidR="001E6EAD">
        <w:rPr>
          <w:rFonts w:eastAsia="Arial" w:cs="Times New Roman"/>
        </w:rPr>
        <w:t xml:space="preserve"> </w:t>
      </w:r>
      <w:r w:rsidRPr="0082295F">
        <w:rPr>
          <w:rFonts w:eastAsia="Arial" w:cs="Times New Roman"/>
        </w:rPr>
        <w:t>for around 80% of regions (or 71 SA4’s). This has important implications for labour market policy</w:t>
      </w:r>
      <w:r w:rsidR="00F252A3">
        <w:rPr>
          <w:rFonts w:eastAsia="Arial" w:cs="Times New Roman"/>
        </w:rPr>
        <w:t>.</w:t>
      </w:r>
      <w:r w:rsidRPr="0082295F">
        <w:rPr>
          <w:rFonts w:eastAsia="Arial" w:cs="Times New Roman"/>
        </w:rPr>
        <w:t xml:space="preserve"> </w:t>
      </w:r>
      <w:r w:rsidR="00E31C70">
        <w:rPr>
          <w:rFonts w:eastAsia="Arial" w:cs="Times New Roman"/>
        </w:rPr>
        <w:t>Many regions with</w:t>
      </w:r>
      <w:r w:rsidRPr="0082295F">
        <w:rPr>
          <w:rFonts w:eastAsia="Arial" w:cs="Times New Roman"/>
        </w:rPr>
        <w:t xml:space="preserve"> persistently poor conditions are</w:t>
      </w:r>
      <w:r w:rsidR="00E31C70">
        <w:rPr>
          <w:rFonts w:eastAsia="Arial" w:cs="Times New Roman"/>
        </w:rPr>
        <w:t xml:space="preserve"> in</w:t>
      </w:r>
      <w:r w:rsidRPr="0082295F">
        <w:rPr>
          <w:rFonts w:eastAsia="Arial" w:cs="Times New Roman"/>
        </w:rPr>
        <w:t xml:space="preserve"> regional and remote areas</w:t>
      </w:r>
      <w:r w:rsidR="00E31C70">
        <w:rPr>
          <w:rFonts w:eastAsia="Arial" w:cs="Times New Roman"/>
        </w:rPr>
        <w:t xml:space="preserve">. Policy </w:t>
      </w:r>
      <w:proofErr w:type="gramStart"/>
      <w:r w:rsidR="00E31C70">
        <w:rPr>
          <w:rFonts w:eastAsia="Arial" w:cs="Times New Roman"/>
        </w:rPr>
        <w:t>focus</w:t>
      </w:r>
      <w:proofErr w:type="gramEnd"/>
      <w:r w:rsidR="00214B5E">
        <w:rPr>
          <w:rFonts w:eastAsia="Arial" w:cs="Times New Roman"/>
        </w:rPr>
        <w:t xml:space="preserve"> for such regions</w:t>
      </w:r>
      <w:r w:rsidRPr="0082295F">
        <w:rPr>
          <w:rFonts w:eastAsia="Arial" w:cs="Times New Roman"/>
        </w:rPr>
        <w:t xml:space="preserve"> should be on addressing structural sources of labour underutilisation that increase the risk of disadvantage becoming entrenched. </w:t>
      </w:r>
    </w:p>
    <w:p w14:paraId="1D3ACEC5" w14:textId="58EAE808" w:rsidR="007D1E2F" w:rsidRPr="0082295F" w:rsidRDefault="007D1E2F" w:rsidP="007D1E2F">
      <w:pPr>
        <w:rPr>
          <w:rFonts w:eastAsia="Arial" w:cs="Times New Roman"/>
        </w:rPr>
      </w:pPr>
      <w:r w:rsidRPr="0082295F">
        <w:rPr>
          <w:rFonts w:eastAsia="Arial" w:cs="Times New Roman"/>
        </w:rPr>
        <w:t xml:space="preserve">For </w:t>
      </w:r>
      <w:proofErr w:type="gramStart"/>
      <w:r w:rsidRPr="0082295F">
        <w:rPr>
          <w:rFonts w:eastAsia="Arial" w:cs="Times New Roman"/>
        </w:rPr>
        <w:t>a number of</w:t>
      </w:r>
      <w:proofErr w:type="gramEnd"/>
      <w:r w:rsidRPr="0082295F">
        <w:rPr>
          <w:rFonts w:eastAsia="Arial" w:cs="Times New Roman"/>
        </w:rPr>
        <w:t xml:space="preserve"> regions, however, current labour market conditions vary considerably from their long-term trend. This is not entirely surprising given regions, at points in time, are exposed to different economic and labour market developments</w:t>
      </w:r>
      <w:r w:rsidR="00F252A3">
        <w:rPr>
          <w:rFonts w:eastAsia="Arial" w:cs="Times New Roman"/>
        </w:rPr>
        <w:t>. This can</w:t>
      </w:r>
      <w:r w:rsidRPr="0082295F">
        <w:rPr>
          <w:rFonts w:eastAsia="Arial" w:cs="Times New Roman"/>
        </w:rPr>
        <w:t xml:space="preserve"> depend on their geographical dispersion and other characteristics, such as industry composition, availability of natural resources and location.</w:t>
      </w:r>
      <w:r w:rsidRPr="0082295F">
        <w:rPr>
          <w:rStyle w:val="FootnoteReference"/>
          <w:rFonts w:eastAsia="Arial" w:cs="Times New Roman"/>
        </w:rPr>
        <w:footnoteReference w:id="7"/>
      </w:r>
      <w:r w:rsidRPr="0082295F">
        <w:rPr>
          <w:rFonts w:eastAsia="Arial" w:cs="Times New Roman"/>
        </w:rPr>
        <w:t xml:space="preserve"> </w:t>
      </w:r>
    </w:p>
    <w:bookmarkEnd w:id="54"/>
    <w:p w14:paraId="741B1AE1" w14:textId="74F06EC3" w:rsidR="007D1E2F" w:rsidRPr="00B93C08" w:rsidRDefault="007D1E2F" w:rsidP="003B4858">
      <w:pPr>
        <w:keepNext/>
        <w:spacing w:after="0"/>
        <w:rPr>
          <w:rFonts w:eastAsia="Arial" w:cs="Times New Roman"/>
          <w:sz w:val="20"/>
          <w:szCs w:val="20"/>
        </w:rPr>
      </w:pPr>
      <w:r w:rsidRPr="0082295F">
        <w:rPr>
          <w:rFonts w:eastAsia="Arial" w:cs="Times New Roman"/>
          <w:b/>
          <w:bCs/>
        </w:rPr>
        <w:lastRenderedPageBreak/>
        <w:t xml:space="preserve">Figure </w:t>
      </w:r>
      <w:r w:rsidR="005526ED" w:rsidRPr="0082295F">
        <w:rPr>
          <w:rFonts w:eastAsia="Arial" w:cs="Times New Roman"/>
          <w:b/>
          <w:bCs/>
        </w:rPr>
        <w:t>19</w:t>
      </w:r>
      <w:r w:rsidRPr="0082295F">
        <w:rPr>
          <w:rFonts w:eastAsia="Arial" w:cs="Times New Roman"/>
          <w:b/>
          <w:bCs/>
        </w:rPr>
        <w:t>: Long-term and current ratings of regional labour market strength</w:t>
      </w:r>
    </w:p>
    <w:p w14:paraId="4EE3163C" w14:textId="097EF317" w:rsidR="007D1E2F" w:rsidRPr="00B93C08" w:rsidRDefault="00BC3C96" w:rsidP="0082295F">
      <w:pPr>
        <w:keepNext/>
        <w:spacing w:after="0"/>
        <w:rPr>
          <w:rFonts w:eastAsia="Arial" w:cs="Times New Roman"/>
        </w:rPr>
      </w:pPr>
      <w:r w:rsidRPr="00B93C08">
        <w:rPr>
          <w:rFonts w:eastAsia="Arial" w:cs="Times New Roman"/>
          <w:noProof/>
        </w:rPr>
        <w:drawing>
          <wp:inline distT="0" distB="0" distL="0" distR="0" wp14:anchorId="6640657C" wp14:editId="5C73E025">
            <wp:extent cx="4838131" cy="3538280"/>
            <wp:effectExtent l="0" t="0" r="635" b="5080"/>
            <wp:docPr id="1630396717" name="Picture 1" descr="Figure 19 is a scatter-plot showing the current relative labour market strength of all SA4s on the vertical axis against the long-term relative labour market strength (averaged over the last 20 years) on the horizontal axis. The plot is divided into four quadrants, the divisions demarking average conditions at the two time points presented. The top left quadrant captures regions with improved conditions, the top right captures regions that have been persistently strong, the bottom left captures regions that have experienced persistently poor conditions and the bottom right captures regions experiencing worsening conditions. Overall, this chart illustrates that for many regions, conditions vary little from their long-term trend, with the majority of SA4s falling in either the persistently strong or persistently poor condition quadr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96717" name="Picture 1" descr="Figure 19 is a scatter-plot showing the current relative labour market strength of all SA4s on the vertical axis against the long-term relative labour market strength (averaged over the last 20 years) on the horizontal axis. The plot is divided into four quadrants, the divisions demarking average conditions at the two time points presented. The top left quadrant captures regions with improved conditions, the top right captures regions that have been persistently strong, the bottom left captures regions that have experienced persistently poor conditions and the bottom right captures regions experiencing worsening conditions. Overall, this chart illustrates that for many regions, conditions vary little from their long-term trend, with the majority of SA4s falling in either the persistently strong or persistently poor condition quadrants. "/>
                    <pic:cNvPicPr/>
                  </pic:nvPicPr>
                  <pic:blipFill>
                    <a:blip r:embed="rId42">
                      <a:extLst>
                        <a:ext uri="{28A0092B-C50C-407E-A947-70E740481C1C}">
                          <a14:useLocalDpi xmlns:a14="http://schemas.microsoft.com/office/drawing/2010/main" val="0"/>
                        </a:ext>
                      </a:extLst>
                    </a:blip>
                    <a:stretch>
                      <a:fillRect/>
                    </a:stretch>
                  </pic:blipFill>
                  <pic:spPr>
                    <a:xfrm>
                      <a:off x="0" y="0"/>
                      <a:ext cx="4906384" cy="3588196"/>
                    </a:xfrm>
                    <a:prstGeom prst="rect">
                      <a:avLst/>
                    </a:prstGeom>
                  </pic:spPr>
                </pic:pic>
              </a:graphicData>
            </a:graphic>
          </wp:inline>
        </w:drawing>
      </w:r>
    </w:p>
    <w:p w14:paraId="78D8D63B" w14:textId="5F8908E8" w:rsidR="007D1E2F" w:rsidRPr="0082295F" w:rsidRDefault="007D1E2F" w:rsidP="007D1E2F">
      <w:pPr>
        <w:keepNext/>
        <w:rPr>
          <w:rFonts w:eastAsia="Arial" w:cs="Times New Roman"/>
          <w:sz w:val="16"/>
          <w:szCs w:val="16"/>
        </w:rPr>
      </w:pPr>
      <w:r w:rsidRPr="0082295F">
        <w:rPr>
          <w:rFonts w:eastAsia="Arial" w:cs="Times New Roman"/>
          <w:sz w:val="16"/>
          <w:szCs w:val="16"/>
        </w:rPr>
        <w:t xml:space="preserve">Source: JSA, </w:t>
      </w:r>
      <w:r w:rsidRPr="0082295F">
        <w:rPr>
          <w:rFonts w:eastAsia="Arial" w:cs="Times New Roman"/>
          <w:i/>
          <w:sz w:val="16"/>
          <w:szCs w:val="16"/>
        </w:rPr>
        <w:t>Regional Labour Market Indicator (RLMI)</w:t>
      </w:r>
      <w:r w:rsidRPr="0082295F">
        <w:rPr>
          <w:rFonts w:eastAsia="Arial" w:cs="Times New Roman"/>
          <w:sz w:val="16"/>
          <w:szCs w:val="16"/>
        </w:rPr>
        <w:t>, January 2024</w:t>
      </w:r>
    </w:p>
    <w:p w14:paraId="58742584" w14:textId="77777777" w:rsidR="004D734E" w:rsidRPr="00B93C08" w:rsidRDefault="004D734E">
      <w:pPr>
        <w:spacing w:after="160" w:line="259" w:lineRule="auto"/>
        <w:rPr>
          <w:rFonts w:eastAsia="Arial" w:cs="Arial"/>
          <w:b/>
          <w:bCs/>
          <w:color w:val="012749"/>
          <w:highlight w:val="yellow"/>
        </w:rPr>
      </w:pPr>
      <w:r w:rsidRPr="00B93C08">
        <w:rPr>
          <w:rFonts w:eastAsia="Arial" w:cs="Arial"/>
          <w:b/>
          <w:bCs/>
          <w:color w:val="012749"/>
          <w:highlight w:val="yellow"/>
        </w:rPr>
        <w:br w:type="page"/>
      </w:r>
    </w:p>
    <w:p w14:paraId="319F9EDA" w14:textId="7DDE526A" w:rsidR="007D1E2F" w:rsidRPr="00B93C08" w:rsidRDefault="004D734E" w:rsidP="00B51941">
      <w:pPr>
        <w:pStyle w:val="Heading4"/>
        <w:rPr>
          <w:highlight w:val="yellow"/>
        </w:rPr>
      </w:pPr>
      <w:r w:rsidRPr="00412E44">
        <w:rPr>
          <w:noProof/>
          <w:color w:val="2B579A"/>
          <w:shd w:val="clear" w:color="auto" w:fill="E6E6E6"/>
          <w14:ligatures w14:val="standard"/>
          <w14:numForm w14:val="lining"/>
          <w14:numSpacing w14:val="proportional"/>
        </w:rPr>
        <w:lastRenderedPageBreak/>
        <mc:AlternateContent>
          <mc:Choice Requires="wpg">
            <w:drawing>
              <wp:anchor distT="0" distB="0" distL="114300" distR="114300" simplePos="0" relativeHeight="251661824" behindDoc="1" locked="0" layoutInCell="1" allowOverlap="1" wp14:anchorId="50DB0860" wp14:editId="4A70C016">
                <wp:simplePos x="0" y="0"/>
                <wp:positionH relativeFrom="margin">
                  <wp:posOffset>-341194</wp:posOffset>
                </wp:positionH>
                <wp:positionV relativeFrom="page">
                  <wp:posOffset>661916</wp:posOffset>
                </wp:positionV>
                <wp:extent cx="6388100" cy="8059003"/>
                <wp:effectExtent l="0" t="0" r="0" b="0"/>
                <wp:wrapNone/>
                <wp:docPr id="671305575" name="Group 6713055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88100" cy="8059003"/>
                          <a:chOff x="0" y="0"/>
                          <a:chExt cx="5577937" cy="3722400"/>
                        </a:xfrm>
                      </wpg:grpSpPr>
                      <wps:wsp>
                        <wps:cNvPr id="1981033159" name="Rectangle 1981033159">
                          <a:extLst>
                            <a:ext uri="{C183D7F6-B498-43B3-948B-1728B52AA6E4}">
                              <adec:decorative xmlns:adec="http://schemas.microsoft.com/office/drawing/2017/decorative" val="1"/>
                            </a:ext>
                          </a:extLst>
                        </wps:cNvPr>
                        <wps:cNvSpPr/>
                        <wps:spPr>
                          <a:xfrm>
                            <a:off x="0" y="0"/>
                            <a:ext cx="5577937" cy="3721100"/>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rgbClr r="0" g="0" b="0"/>
                          </a:effectRef>
                          <a:fontRef idx="minor">
                            <a:schemeClr val="lt1"/>
                          </a:fontRef>
                        </wps:style>
                        <wps:txbx>
                          <w:txbxContent>
                            <w:p w14:paraId="3A858990" w14:textId="77777777" w:rsidR="00684A76" w:rsidRPr="00B93C08" w:rsidRDefault="00684A76" w:rsidP="00684A76">
                              <w:pPr>
                                <w:pStyle w:val="Bodycopy"/>
                                <w:spacing w:before="160" w:after="0" w:line="276" w:lineRule="auto"/>
                                <w:rPr>
                                  <w14:numForm w14:val="lining"/>
                                  <w14:numSpacing w14:val="proportional"/>
                                </w:rPr>
                              </w:pPr>
                            </w:p>
                          </w:txbxContent>
                        </wps:txbx>
                        <wps:bodyPr spcFirstLastPara="0" wrap="square" lIns="288000" tIns="108000" rIns="144000" bIns="108000" anchor="t">
                          <a:noAutofit/>
                        </wps:bodyPr>
                      </wps:wsp>
                      <wps:wsp>
                        <wps:cNvPr id="972140726" name="Rectangle 972140726"/>
                        <wps:cNvSpPr/>
                        <wps:spPr>
                          <a:xfrm>
                            <a:off x="0" y="0"/>
                            <a:ext cx="133350" cy="3722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DB0860" id="Group 671305575" o:spid="_x0000_s1042" alt="&quot;&quot;" style="position:absolute;margin-left:-26.85pt;margin-top:52.1pt;width:503pt;height:634.55pt;z-index:-251654656;mso-position-horizontal-relative:margin;mso-position-vertical-relative:page" coordsize="55779,37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">
                <v:rect id="Rectangle 1981033159" o:spid="_x0000_s1043" alt="&quot;&quot;" style="position:absolute;width:55779;height:37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" fillcolor="#f2f2f2 [3052]" stroked="f" strokeweight="1pt">
                  <v:textbox inset="8mm,3mm,4mm,3mm">
                    <w:txbxContent>
                      <w:p w14:paraId="3A858990" w14:textId="77777777" w:rsidR="00684A76" w:rsidRPr="00B93C08" w:rsidRDefault="00684A76" w:rsidP="00684A76">
                        <w:pPr>
                          <w:pStyle w:val="Bodycopy"/>
                          <w:spacing w:before="160" w:after="0" w:line="276" w:lineRule="auto"/>
                          <w:rPr>
                            <w14:numForm w14:val="lining"/>
                            <w14:numSpacing w14:val="proportional"/>
                          </w:rPr>
                        </w:pPr>
                      </w:p>
                    </w:txbxContent>
                  </v:textbox>
                </v:rect>
                <v:rect id="Rectangle 972140726" o:spid="_x0000_s1044" style="position:absolute;width:1333;height:37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" fillcolor="#d2de5a [3214]" stroked="f" strokeweight="1pt"/>
                <w10:wrap anchorx="margin" anchory="page"/>
              </v:group>
            </w:pict>
          </mc:Fallback>
        </mc:AlternateContent>
      </w:r>
      <w:r w:rsidR="007D1E2F" w:rsidRPr="00412E44">
        <w:t>Region in focus: Central Queensland</w:t>
      </w:r>
    </w:p>
    <w:p w14:paraId="539DF021" w14:textId="77777777" w:rsidR="007D1E2F" w:rsidRPr="00B93C08" w:rsidRDefault="007D1E2F" w:rsidP="00412E44">
      <w:pPr>
        <w:spacing w:after="0" w:line="276" w:lineRule="auto"/>
        <w:outlineLvl w:val="3"/>
        <w:rPr>
          <w:rFonts w:eastAsia="Arial" w:cs="Arial"/>
          <w:highlight w:val="yellow"/>
        </w:rPr>
      </w:pPr>
      <w:r w:rsidRPr="00412E44">
        <w:rPr>
          <w:rFonts w:eastAsia="Arial" w:cs="Arial"/>
        </w:rPr>
        <w:t xml:space="preserve">The relative strength of the labour market in </w:t>
      </w:r>
      <w:r w:rsidRPr="00412E44">
        <w:rPr>
          <w:rFonts w:eastAsia="Arial" w:cs="Arial"/>
          <w:b/>
          <w:bCs/>
        </w:rPr>
        <w:t>Central Queensland</w:t>
      </w:r>
      <w:r w:rsidRPr="00412E44">
        <w:rPr>
          <w:rFonts w:eastAsia="Arial" w:cs="Arial"/>
        </w:rPr>
        <w:t xml:space="preserve"> has declined from its long-term trend as </w:t>
      </w:r>
      <w:proofErr w:type="gramStart"/>
      <w:r w:rsidRPr="00412E44">
        <w:rPr>
          <w:rFonts w:eastAsia="Arial" w:cs="Arial"/>
        </w:rPr>
        <w:t>a number of</w:t>
      </w:r>
      <w:proofErr w:type="gramEnd"/>
      <w:r w:rsidRPr="00412E44">
        <w:rPr>
          <w:rFonts w:eastAsia="Arial" w:cs="Arial"/>
        </w:rPr>
        <w:t xml:space="preserve"> partial indicators of spare labour market capacity have recently softened, with the region’s working age employment rate falling over the past 12 months. This has been accompanied by an increase in the unemployment rate, while the proportion of the working age population in receipt of </w:t>
      </w:r>
      <w:proofErr w:type="spellStart"/>
      <w:r w:rsidRPr="00412E44">
        <w:rPr>
          <w:rFonts w:eastAsia="Arial" w:cs="Arial"/>
        </w:rPr>
        <w:t>JobSeeker</w:t>
      </w:r>
      <w:proofErr w:type="spellEnd"/>
      <w:r w:rsidRPr="00412E44">
        <w:rPr>
          <w:rFonts w:eastAsia="Arial" w:cs="Arial"/>
        </w:rPr>
        <w:t xml:space="preserve"> income support remains well above the national average.</w:t>
      </w:r>
    </w:p>
    <w:p w14:paraId="6D120125" w14:textId="21425770" w:rsidR="007D1E2F" w:rsidRPr="00B93C08" w:rsidRDefault="007D1E2F" w:rsidP="007D1E2F">
      <w:pPr>
        <w:spacing w:before="240" w:after="0" w:line="276" w:lineRule="auto"/>
        <w:outlineLvl w:val="3"/>
        <w:rPr>
          <w:rFonts w:eastAsia="Arial" w:cs="Times New Roman"/>
          <w:highlight w:val="yellow"/>
        </w:rPr>
      </w:pPr>
      <w:r w:rsidRPr="00412E44">
        <w:rPr>
          <w:rFonts w:eastAsia="Arial" w:cs="Arial"/>
        </w:rPr>
        <w:t xml:space="preserve">While the change in labour market conditions may be, at least partially, the result of a short-term cyclical variations, there are </w:t>
      </w:r>
      <w:proofErr w:type="gramStart"/>
      <w:r w:rsidRPr="00412E44">
        <w:rPr>
          <w:rFonts w:eastAsia="Arial" w:cs="Arial"/>
        </w:rPr>
        <w:t>a number of</w:t>
      </w:r>
      <w:proofErr w:type="gramEnd"/>
      <w:r w:rsidRPr="00412E44">
        <w:rPr>
          <w:rFonts w:eastAsia="Arial" w:cs="Arial"/>
        </w:rPr>
        <w:t xml:space="preserve"> economic and labour market factors that have likely contributed to weaker conditions in Central Queensland. One such factor is the net zero transformation, which represents a significant structural shift for the region. While this presents both challenges and opportunities for the Australian labour market, Central Queensland’s labour market is more exposed than most due to its high share of employment in transitioning sectors</w:t>
      </w:r>
      <w:r w:rsidRPr="00412E44">
        <w:rPr>
          <w:rStyle w:val="FootnoteReference"/>
          <w:rFonts w:eastAsia="Arial" w:cs="Arial"/>
        </w:rPr>
        <w:footnoteReference w:id="8"/>
      </w:r>
      <w:r w:rsidRPr="00412E44">
        <w:rPr>
          <w:rFonts w:eastAsia="Arial" w:cs="Arial"/>
        </w:rPr>
        <w:t>. For instance, of the 5 regions across Australia where workers in transitioning industries make up more than 10% of local employment, 3 regions are in (or close to) Central Queensland (Central Highlands – 15% of local employment, Biloela – 11% and Bowen Basin – North – 21%).</w:t>
      </w:r>
      <w:r w:rsidRPr="00412E44">
        <w:rPr>
          <w:rStyle w:val="FootnoteReference"/>
          <w:rFonts w:eastAsia="Arial" w:cs="Times New Roman"/>
        </w:rPr>
        <w:footnoteReference w:id="9"/>
      </w:r>
    </w:p>
    <w:p w14:paraId="66C2DC81" w14:textId="1BFE3F31" w:rsidR="007D1E2F" w:rsidRPr="00B93C08" w:rsidRDefault="007D1E2F" w:rsidP="007D1E2F">
      <w:pPr>
        <w:spacing w:before="240" w:after="0" w:line="276" w:lineRule="auto"/>
        <w:outlineLvl w:val="3"/>
        <w:rPr>
          <w:rFonts w:eastAsia="Arial" w:cs="Arial"/>
          <w:highlight w:val="yellow"/>
        </w:rPr>
      </w:pPr>
      <w:r w:rsidRPr="00412E44">
        <w:rPr>
          <w:rFonts w:eastAsia="Arial" w:cs="Arial"/>
        </w:rPr>
        <w:t>Other factors also likely contributing to weak</w:t>
      </w:r>
      <w:r w:rsidR="000533DF">
        <w:rPr>
          <w:rFonts w:eastAsia="Arial" w:cs="Arial"/>
        </w:rPr>
        <w:t>en</w:t>
      </w:r>
      <w:r w:rsidRPr="00412E44">
        <w:rPr>
          <w:rFonts w:eastAsia="Arial" w:cs="Arial"/>
        </w:rPr>
        <w:t>ing conditions in the region, are the ongoing recruitment challenges, particularly for skilled workers. For instance, the vacancy ratio</w:t>
      </w:r>
      <w:r w:rsidRPr="00412E44">
        <w:rPr>
          <w:rStyle w:val="FootnoteReference"/>
          <w:rFonts w:eastAsia="Arial" w:cs="Times New Roman"/>
        </w:rPr>
        <w:footnoteReference w:id="10"/>
      </w:r>
      <w:r w:rsidRPr="00412E44">
        <w:rPr>
          <w:rFonts w:eastAsia="Arial" w:cs="Arial"/>
        </w:rPr>
        <w:t xml:space="preserve"> for Occupational Therapists and Mining Engineers in the region is above 10%, whilst the vacancy ratio for General Practitioners and Resident Medical Officers has increased sharply, from just under 3% in 2020, to more than 8% in 2024. Recruitment challenges in the region have likely been made more difficult due to the lower skill level of the region’s workforce (just 56% of the workforce have attained a Certificate III or above, well below the national average of 65%), as well as stagnant population growth over the past few years.</w:t>
      </w:r>
    </w:p>
    <w:p w14:paraId="5C9228A3" w14:textId="77777777" w:rsidR="007D1E2F" w:rsidRPr="0082295F" w:rsidRDefault="007D1E2F" w:rsidP="00B51941">
      <w:pPr>
        <w:pStyle w:val="Heading4"/>
      </w:pPr>
      <w:r w:rsidRPr="0082295F">
        <w:t>Region in focus: Newcastle and Lake Macquarie</w:t>
      </w:r>
    </w:p>
    <w:p w14:paraId="6E2DE501" w14:textId="11DBB3CF" w:rsidR="007D1E2F" w:rsidRPr="00B93C08" w:rsidRDefault="007D1E2F" w:rsidP="00412E44">
      <w:pPr>
        <w:spacing w:after="0" w:line="276" w:lineRule="auto"/>
        <w:outlineLvl w:val="3"/>
        <w:rPr>
          <w:rFonts w:eastAsia="Arial" w:cs="Arial"/>
          <w:highlight w:val="yellow"/>
        </w:rPr>
      </w:pPr>
      <w:r w:rsidRPr="0082295F">
        <w:rPr>
          <w:rFonts w:eastAsia="Arial" w:cs="Arial"/>
        </w:rPr>
        <w:t xml:space="preserve">By contrast, the relative strength of the labour market in </w:t>
      </w:r>
      <w:r w:rsidRPr="0082295F">
        <w:rPr>
          <w:rFonts w:eastAsia="Arial" w:cs="Arial"/>
          <w:b/>
          <w:bCs/>
        </w:rPr>
        <w:t>Newcastle and Lake Macquarie</w:t>
      </w:r>
      <w:r w:rsidRPr="0082295F">
        <w:rPr>
          <w:rFonts w:eastAsia="Arial" w:cs="Arial"/>
        </w:rPr>
        <w:t xml:space="preserve"> has improved from its long-term trend as </w:t>
      </w:r>
      <w:proofErr w:type="gramStart"/>
      <w:r w:rsidRPr="0082295F">
        <w:rPr>
          <w:rFonts w:eastAsia="Arial" w:cs="Arial"/>
        </w:rPr>
        <w:t>a number of</w:t>
      </w:r>
      <w:proofErr w:type="gramEnd"/>
      <w:r w:rsidRPr="0082295F">
        <w:rPr>
          <w:rFonts w:eastAsia="Arial" w:cs="Arial"/>
        </w:rPr>
        <w:t xml:space="preserve"> partial indicators of spare labour market </w:t>
      </w:r>
      <w:r w:rsidRPr="0082295F">
        <w:rPr>
          <w:rFonts w:eastAsia="Arial" w:cs="Arial"/>
        </w:rPr>
        <w:lastRenderedPageBreak/>
        <w:t xml:space="preserve">capacity have recently strengthened, with the working age employment rate rising considerably over the past few years, while the unemployment rate remains below the national average. Encouragingly, the working age </w:t>
      </w:r>
      <w:proofErr w:type="spellStart"/>
      <w:r w:rsidRPr="0082295F">
        <w:rPr>
          <w:rFonts w:eastAsia="Arial" w:cs="Arial"/>
        </w:rPr>
        <w:t>JobSeeker</w:t>
      </w:r>
      <w:proofErr w:type="spellEnd"/>
      <w:r w:rsidRPr="0082295F">
        <w:rPr>
          <w:rFonts w:eastAsia="Arial" w:cs="Arial"/>
        </w:rPr>
        <w:t xml:space="preserve"> income support rate has also fallen steadily over the past few years and is below the national average.</w:t>
      </w:r>
    </w:p>
    <w:p w14:paraId="476EEBB7" w14:textId="5598AAF5" w:rsidR="007D1E2F" w:rsidRPr="00B93C08" w:rsidRDefault="007D1E2F" w:rsidP="00684A76">
      <w:pPr>
        <w:spacing w:before="240" w:after="0" w:line="276" w:lineRule="auto"/>
        <w:outlineLvl w:val="3"/>
        <w:rPr>
          <w:rFonts w:eastAsia="Arial" w:cs="Arial"/>
        </w:rPr>
      </w:pPr>
      <w:r w:rsidRPr="0082295F">
        <w:rPr>
          <w:rFonts w:eastAsia="Arial" w:cs="Arial"/>
        </w:rPr>
        <w:t xml:space="preserve">Like many coastal cities, Newcastle and Lake Macquarie has become an increasingly attractive place to live post-COVID (particularly for those from major capital cities, such as Sydney) and as a result has experienced particularly strong population growth in recent years, with the region’s population increasing by 3% over the last year, and by more than 7% since the onset of COVID-19 in March 2020. This surge in population has led to a large rise in employment across a range of sectors including for health, </w:t>
      </w:r>
      <w:proofErr w:type="gramStart"/>
      <w:r w:rsidRPr="0082295F">
        <w:rPr>
          <w:rFonts w:eastAsia="Arial" w:cs="Arial"/>
        </w:rPr>
        <w:t>education</w:t>
      </w:r>
      <w:proofErr w:type="gramEnd"/>
      <w:r w:rsidRPr="0082295F">
        <w:rPr>
          <w:rFonts w:eastAsia="Arial" w:cs="Arial"/>
        </w:rPr>
        <w:t xml:space="preserve"> and tourism.</w:t>
      </w:r>
      <w:bookmarkEnd w:id="52"/>
    </w:p>
    <w:p w14:paraId="4104B45A" w14:textId="77777777" w:rsidR="007D1E2F" w:rsidRPr="00B93C08" w:rsidRDefault="007D1E2F" w:rsidP="00684A76">
      <w:pPr>
        <w:pStyle w:val="Bodycopy"/>
      </w:pPr>
      <w:r w:rsidRPr="00B93C08">
        <w:br w:type="page"/>
      </w:r>
    </w:p>
    <w:p w14:paraId="58EA1387" w14:textId="0555A0C1" w:rsidR="008564DD" w:rsidRPr="00B93C08" w:rsidRDefault="008564DD" w:rsidP="00320647">
      <w:pPr>
        <w:pStyle w:val="Heading1"/>
      </w:pPr>
      <w:bookmarkStart w:id="55" w:name="_Toc166140508"/>
      <w:r w:rsidRPr="00B93C08">
        <w:lastRenderedPageBreak/>
        <w:t>Labour market conditions across industries and occupations</w:t>
      </w:r>
      <w:bookmarkEnd w:id="53"/>
      <w:bookmarkEnd w:id="55"/>
    </w:p>
    <w:p w14:paraId="1F88F48F" w14:textId="09DAF8B4" w:rsidR="00782901" w:rsidRPr="00412E44" w:rsidRDefault="006A5278" w:rsidP="005C6F00">
      <w:pPr>
        <w:rPr>
          <w:rFonts w:eastAsiaTheme="majorEastAsia" w:cs="Arial"/>
          <w:sz w:val="18"/>
          <w:szCs w:val="18"/>
        </w:rPr>
      </w:pPr>
      <w:bookmarkStart w:id="56" w:name="_Toc151365192"/>
      <w:bookmarkStart w:id="57" w:name="_Toc152324309"/>
      <w:bookmarkStart w:id="58" w:name="_Hlk156823976"/>
      <w:r w:rsidRPr="00412E44">
        <w:rPr>
          <w:rFonts w:eastAsiaTheme="majorEastAsia" w:cs="Arial"/>
          <w:sz w:val="18"/>
          <w:szCs w:val="18"/>
        </w:rPr>
        <w:t>N</w:t>
      </w:r>
      <w:r w:rsidR="00E125DF" w:rsidRPr="00412E44">
        <w:rPr>
          <w:rFonts w:eastAsiaTheme="majorEastAsia" w:cs="Arial"/>
          <w:sz w:val="18"/>
          <w:szCs w:val="18"/>
        </w:rPr>
        <w:t>ote</w:t>
      </w:r>
      <w:r w:rsidRPr="00412E44">
        <w:rPr>
          <w:rFonts w:eastAsiaTheme="majorEastAsia" w:cs="Arial"/>
          <w:sz w:val="18"/>
          <w:szCs w:val="18"/>
        </w:rPr>
        <w:t xml:space="preserve">: </w:t>
      </w:r>
      <w:r w:rsidR="002B7450" w:rsidRPr="00412E44">
        <w:rPr>
          <w:rFonts w:eastAsiaTheme="majorEastAsia" w:cs="Arial"/>
          <w:sz w:val="18"/>
          <w:szCs w:val="18"/>
        </w:rPr>
        <w:t>The industry, occupation and skill level employment data in the analysis</w:t>
      </w:r>
      <w:r w:rsidR="005765BB" w:rsidRPr="00412E44">
        <w:rPr>
          <w:rFonts w:eastAsiaTheme="majorEastAsia" w:cs="Arial"/>
          <w:sz w:val="18"/>
          <w:szCs w:val="18"/>
        </w:rPr>
        <w:t xml:space="preserve"> below</w:t>
      </w:r>
      <w:r w:rsidR="002B7450" w:rsidRPr="00412E44">
        <w:rPr>
          <w:rFonts w:eastAsiaTheme="majorEastAsia" w:cs="Arial"/>
          <w:sz w:val="18"/>
          <w:szCs w:val="18"/>
        </w:rPr>
        <w:t xml:space="preserve"> are sourced from ABS, Labour Force, Australia, Detailed, February 2024 and trended by Jobs and Skills Australia, while total employment data have been trended by the ABS.</w:t>
      </w:r>
    </w:p>
    <w:p w14:paraId="641AD7EE" w14:textId="7955A5C5" w:rsidR="00782901" w:rsidRPr="00B93C08" w:rsidRDefault="00782901" w:rsidP="008C659D">
      <w:pPr>
        <w:pStyle w:val="Heading2"/>
      </w:pPr>
      <w:bookmarkStart w:id="59" w:name="_Toc166140509"/>
      <w:r w:rsidRPr="00B93C08">
        <w:t xml:space="preserve">Employment by </w:t>
      </w:r>
      <w:r w:rsidR="000023F8" w:rsidRPr="00B93C08">
        <w:t>i</w:t>
      </w:r>
      <w:r w:rsidRPr="00B93C08">
        <w:t>ndustry</w:t>
      </w:r>
      <w:bookmarkEnd w:id="59"/>
    </w:p>
    <w:p w14:paraId="5EE312AD" w14:textId="02B923A5" w:rsidR="00C37031" w:rsidRPr="00B93C08" w:rsidRDefault="002B7450" w:rsidP="005C6F00">
      <w:pPr>
        <w:rPr>
          <w:rFonts w:cs="Arial"/>
          <w:highlight w:val="yellow"/>
        </w:rPr>
      </w:pPr>
      <w:r w:rsidRPr="00412E44">
        <w:rPr>
          <w:rFonts w:cs="Arial"/>
        </w:rPr>
        <w:t xml:space="preserve">Employment increased in 14 industries and declined in 5 over the year </w:t>
      </w:r>
      <w:r w:rsidR="005765BB" w:rsidRPr="00412E44">
        <w:rPr>
          <w:rFonts w:cs="Arial"/>
        </w:rPr>
        <w:t xml:space="preserve">to </w:t>
      </w:r>
      <w:r w:rsidRPr="00412E44">
        <w:rPr>
          <w:rFonts w:cs="Arial"/>
        </w:rPr>
        <w:t>February 2024. Health Care and Social Assistance; Education and Training; and Construction made the largest contributions to employment growth over the year. The largest falls in employment over the year were recorded in Accommodation and Food Services; Financial and Insurance Services; and Administrative and Support Services.</w:t>
      </w:r>
    </w:p>
    <w:p w14:paraId="05DE3374" w14:textId="4D2E5B90" w:rsidR="00782901" w:rsidRPr="00412E44" w:rsidRDefault="00527EA7" w:rsidP="00C37031">
      <w:pPr>
        <w:pStyle w:val="ChartandTablelabel"/>
        <w:spacing w:before="240"/>
        <w:rPr>
          <w:lang w:val="en-AU"/>
        </w:rPr>
      </w:pPr>
      <w:r w:rsidRPr="00412E44">
        <w:rPr>
          <w:lang w:val="en-AU"/>
        </w:rPr>
        <w:t xml:space="preserve">Figure </w:t>
      </w:r>
      <w:r w:rsidR="005526ED" w:rsidRPr="00412E44">
        <w:rPr>
          <w:lang w:val="en-AU"/>
        </w:rPr>
        <w:t>20</w:t>
      </w:r>
      <w:r w:rsidR="00782901" w:rsidRPr="00412E44">
        <w:rPr>
          <w:lang w:val="en-AU"/>
        </w:rPr>
        <w:t>: Employment change by industry (</w:t>
      </w:r>
      <w:r w:rsidR="00AC59E0" w:rsidRPr="00412E44">
        <w:rPr>
          <w:lang w:val="en-AU"/>
        </w:rPr>
        <w:t xml:space="preserve">Jobs and Skills Australia </w:t>
      </w:r>
      <w:r w:rsidR="00782901" w:rsidRPr="00412E44">
        <w:rPr>
          <w:lang w:val="en-AU"/>
        </w:rPr>
        <w:t>trend series)</w:t>
      </w:r>
      <w:r w:rsidR="005F6157" w:rsidRPr="00412E44">
        <w:rPr>
          <w:lang w:val="en-AU"/>
        </w:rPr>
        <w:t>,</w:t>
      </w:r>
      <w:r w:rsidR="00782901" w:rsidRPr="00412E44">
        <w:rPr>
          <w:lang w:val="en-AU"/>
        </w:rPr>
        <w:t xml:space="preserve"> </w:t>
      </w:r>
      <w:r w:rsidR="00C37031" w:rsidRPr="00412E44">
        <w:rPr>
          <w:lang w:val="en-AU"/>
        </w:rPr>
        <w:t>February</w:t>
      </w:r>
      <w:r w:rsidR="00782901" w:rsidRPr="00412E44">
        <w:rPr>
          <w:lang w:val="en-AU"/>
        </w:rPr>
        <w:t xml:space="preserve"> 202</w:t>
      </w:r>
      <w:r w:rsidR="00C37031" w:rsidRPr="00412E44">
        <w:rPr>
          <w:lang w:val="en-AU"/>
        </w:rPr>
        <w:t>3</w:t>
      </w:r>
      <w:r w:rsidR="00782901" w:rsidRPr="00412E44">
        <w:rPr>
          <w:lang w:val="en-AU"/>
        </w:rPr>
        <w:t xml:space="preserve"> to </w:t>
      </w:r>
      <w:r w:rsidR="00C37031" w:rsidRPr="00412E44">
        <w:rPr>
          <w:lang w:val="en-AU"/>
        </w:rPr>
        <w:t>February</w:t>
      </w:r>
      <w:r w:rsidR="00782901" w:rsidRPr="00412E44">
        <w:rPr>
          <w:lang w:val="en-AU"/>
        </w:rPr>
        <w:t xml:space="preserve"> 202</w:t>
      </w:r>
      <w:r w:rsidR="00C37031" w:rsidRPr="00412E44">
        <w:rPr>
          <w:lang w:val="en-AU"/>
        </w:rPr>
        <w:t>4</w:t>
      </w:r>
    </w:p>
    <w:p w14:paraId="34F426E7" w14:textId="7C72ED9F" w:rsidR="00B207F9" w:rsidRPr="00412E44" w:rsidRDefault="00B207F9" w:rsidP="00782901">
      <w:r w:rsidRPr="00412E44">
        <w:rPr>
          <w:noProof/>
        </w:rPr>
        <w:lastRenderedPageBreak/>
        <w:drawing>
          <wp:inline distT="0" distB="0" distL="0" distR="0" wp14:anchorId="32E9874F" wp14:editId="1C5AA07F">
            <wp:extent cx="5731510" cy="4777105"/>
            <wp:effectExtent l="0" t="0" r="2540" b="4445"/>
            <wp:docPr id="287141789" name="Chart 1" descr="Figure 20 is a bar chart which shows annual employment change for each major industry, from February 2023 to February 2024 . Health Care and Social Assistance recorded the largest increase in employment, of 108,000, while Accommodation and Food Services recorded the largest decline, of 18,000. Of the 19 industries, 5 recorded falls in employment over the period.">
              <a:extLst xmlns:a="http://schemas.openxmlformats.org/drawingml/2006/main">
                <a:ext uri="{FF2B5EF4-FFF2-40B4-BE49-F238E27FC236}">
                  <a16:creationId xmlns:a16="http://schemas.microsoft.com/office/drawing/2014/main" id="{3E359ADA-D051-74B3-5F9B-0BF82E7679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56778F6" w14:textId="77777777" w:rsidR="00B207F9" w:rsidRPr="00412E44" w:rsidRDefault="00B207F9">
      <w:pPr>
        <w:spacing w:after="160" w:line="259" w:lineRule="auto"/>
        <w:rPr>
          <w:b/>
          <w:color w:val="000000" w:themeColor="text1"/>
          <w:sz w:val="20"/>
        </w:rPr>
      </w:pPr>
      <w:r w:rsidRPr="00412E44">
        <w:br w:type="page"/>
      </w:r>
    </w:p>
    <w:p w14:paraId="20EE23D5" w14:textId="43A894F6" w:rsidR="00782901" w:rsidRPr="00412E44" w:rsidRDefault="00782901" w:rsidP="008C659D">
      <w:pPr>
        <w:pStyle w:val="ChartandTablelabel"/>
        <w:rPr>
          <w:lang w:val="en-AU"/>
        </w:rPr>
      </w:pPr>
      <w:r w:rsidRPr="00412E44">
        <w:rPr>
          <w:lang w:val="en-AU"/>
        </w:rPr>
        <w:lastRenderedPageBreak/>
        <w:t xml:space="preserve">Table </w:t>
      </w:r>
      <w:r w:rsidR="00F06B36" w:rsidRPr="00412E44">
        <w:rPr>
          <w:lang w:val="en-AU"/>
        </w:rPr>
        <w:t>5</w:t>
      </w:r>
      <w:r w:rsidRPr="00412E44">
        <w:rPr>
          <w:lang w:val="en-AU"/>
        </w:rPr>
        <w:t xml:space="preserve">: Employment by </w:t>
      </w:r>
      <w:r w:rsidR="00BF5BE0" w:rsidRPr="00412E44">
        <w:rPr>
          <w:lang w:val="en-AU"/>
        </w:rPr>
        <w:t>i</w:t>
      </w:r>
      <w:r w:rsidRPr="00412E44">
        <w:rPr>
          <w:lang w:val="en-AU"/>
        </w:rPr>
        <w:t>ndustry</w:t>
      </w:r>
      <w:r w:rsidRPr="00412E44">
        <w:rPr>
          <w:rStyle w:val="FootnoteReference"/>
          <w:lang w:val="en-AU"/>
        </w:rPr>
        <w:footnoteReference w:id="11"/>
      </w:r>
    </w:p>
    <w:tbl>
      <w:tblPr>
        <w:tblStyle w:val="TableGrid1"/>
        <w:tblW w:w="9213" w:type="dxa"/>
        <w:jc w:val="center"/>
        <w:tblLayout w:type="fixed"/>
        <w:tblLook w:val="04A0" w:firstRow="1" w:lastRow="0" w:firstColumn="1" w:lastColumn="0" w:noHBand="0" w:noVBand="1"/>
      </w:tblPr>
      <w:tblGrid>
        <w:gridCol w:w="3118"/>
        <w:gridCol w:w="1134"/>
        <w:gridCol w:w="1134"/>
        <w:gridCol w:w="992"/>
        <w:gridCol w:w="851"/>
        <w:gridCol w:w="992"/>
        <w:gridCol w:w="992"/>
      </w:tblGrid>
      <w:tr w:rsidR="00782901" w:rsidRPr="00B93C08" w14:paraId="5FEABC53" w14:textId="77777777" w:rsidTr="00B870BF">
        <w:trPr>
          <w:trHeight w:val="340"/>
          <w:jc w:val="center"/>
        </w:trPr>
        <w:tc>
          <w:tcPr>
            <w:tcW w:w="3118" w:type="dxa"/>
            <w:vMerge w:val="restart"/>
            <w:tcBorders>
              <w:top w:val="nil"/>
              <w:left w:val="nil"/>
              <w:right w:val="nil"/>
            </w:tcBorders>
            <w:shd w:val="clear" w:color="auto" w:fill="012749"/>
            <w:vAlign w:val="center"/>
          </w:tcPr>
          <w:p w14:paraId="6AE154CE" w14:textId="77777777" w:rsidR="00782901" w:rsidRPr="00785336" w:rsidRDefault="00782901">
            <w:pPr>
              <w:spacing w:after="0" w:line="240" w:lineRule="auto"/>
              <w:rPr>
                <w:rFonts w:cs="Arial"/>
                <w:color w:val="FFFFFF"/>
                <w:sz w:val="19"/>
                <w:szCs w:val="19"/>
              </w:rPr>
            </w:pPr>
            <w:r w:rsidRPr="00785336">
              <w:rPr>
                <w:rFonts w:cs="Arial"/>
                <w:color w:val="FFFFFF"/>
                <w:sz w:val="19"/>
                <w:szCs w:val="19"/>
              </w:rPr>
              <w:t>Industry</w:t>
            </w:r>
          </w:p>
        </w:tc>
        <w:tc>
          <w:tcPr>
            <w:tcW w:w="2268" w:type="dxa"/>
            <w:gridSpan w:val="2"/>
            <w:tcBorders>
              <w:top w:val="nil"/>
              <w:left w:val="nil"/>
              <w:bottom w:val="single" w:sz="4" w:space="0" w:color="FFFFFF" w:themeColor="background1"/>
              <w:right w:val="nil"/>
            </w:tcBorders>
            <w:shd w:val="clear" w:color="auto" w:fill="012749"/>
            <w:vAlign w:val="center"/>
          </w:tcPr>
          <w:p w14:paraId="617F460A" w14:textId="068FD0AF" w:rsidR="00782901" w:rsidRPr="00785336" w:rsidRDefault="001F7129">
            <w:pPr>
              <w:spacing w:after="0" w:line="240" w:lineRule="auto"/>
              <w:jc w:val="center"/>
              <w:rPr>
                <w:rFonts w:cs="Arial"/>
                <w:sz w:val="19"/>
                <w:szCs w:val="19"/>
              </w:rPr>
            </w:pPr>
            <w:r w:rsidRPr="00785336">
              <w:rPr>
                <w:rFonts w:cs="Arial"/>
                <w:sz w:val="19"/>
                <w:szCs w:val="19"/>
              </w:rPr>
              <w:t>Employment</w:t>
            </w:r>
          </w:p>
        </w:tc>
        <w:tc>
          <w:tcPr>
            <w:tcW w:w="1843" w:type="dxa"/>
            <w:gridSpan w:val="2"/>
            <w:vMerge w:val="restart"/>
            <w:tcBorders>
              <w:top w:val="nil"/>
              <w:left w:val="nil"/>
              <w:right w:val="nil"/>
            </w:tcBorders>
            <w:shd w:val="clear" w:color="auto" w:fill="012749"/>
            <w:vAlign w:val="center"/>
          </w:tcPr>
          <w:p w14:paraId="6AAEDA5A" w14:textId="3F976889" w:rsidR="00782901" w:rsidRPr="00785336" w:rsidRDefault="00782901">
            <w:pPr>
              <w:spacing w:after="0" w:line="240" w:lineRule="auto"/>
              <w:jc w:val="center"/>
              <w:rPr>
                <w:rFonts w:cs="Arial"/>
                <w:color w:val="FFFFFF"/>
                <w:sz w:val="19"/>
                <w:szCs w:val="19"/>
              </w:rPr>
            </w:pPr>
            <w:r w:rsidRPr="00785336">
              <w:rPr>
                <w:rFonts w:cs="Arial"/>
                <w:color w:val="FFFFFF"/>
                <w:sz w:val="19"/>
                <w:szCs w:val="19"/>
              </w:rPr>
              <w:t xml:space="preserve">Annual change to </w:t>
            </w:r>
            <w:r w:rsidR="00C37031" w:rsidRPr="00785336">
              <w:rPr>
                <w:rFonts w:cs="Arial"/>
                <w:color w:val="FFFFFF"/>
                <w:sz w:val="19"/>
                <w:szCs w:val="19"/>
              </w:rPr>
              <w:t>Feb</w:t>
            </w:r>
            <w:r w:rsidR="00ED5B1A" w:rsidRPr="00785336">
              <w:rPr>
                <w:rFonts w:cs="Arial"/>
                <w:color w:val="FFFFFF"/>
                <w:sz w:val="19"/>
                <w:szCs w:val="19"/>
              </w:rPr>
              <w:t>-</w:t>
            </w:r>
            <w:r w:rsidRPr="00785336">
              <w:rPr>
                <w:rFonts w:cs="Arial"/>
                <w:color w:val="FFFFFF"/>
                <w:sz w:val="19"/>
                <w:szCs w:val="19"/>
              </w:rPr>
              <w:t>2</w:t>
            </w:r>
            <w:r w:rsidR="00C37031" w:rsidRPr="00785336">
              <w:rPr>
                <w:rFonts w:cs="Arial"/>
                <w:color w:val="FFFFFF"/>
                <w:sz w:val="19"/>
                <w:szCs w:val="19"/>
              </w:rPr>
              <w:t>4</w:t>
            </w:r>
          </w:p>
        </w:tc>
        <w:tc>
          <w:tcPr>
            <w:tcW w:w="1984" w:type="dxa"/>
            <w:gridSpan w:val="2"/>
            <w:vMerge w:val="restart"/>
            <w:tcBorders>
              <w:top w:val="nil"/>
              <w:left w:val="nil"/>
              <w:right w:val="nil"/>
            </w:tcBorders>
            <w:shd w:val="clear" w:color="auto" w:fill="012749"/>
            <w:vAlign w:val="center"/>
          </w:tcPr>
          <w:p w14:paraId="50FB9E0A" w14:textId="5A6C1E98" w:rsidR="00782901" w:rsidRPr="00785336" w:rsidRDefault="00C716E5">
            <w:pPr>
              <w:spacing w:after="0" w:line="240" w:lineRule="auto"/>
              <w:jc w:val="center"/>
              <w:rPr>
                <w:rFonts w:cs="Arial"/>
                <w:color w:val="FFFFFF"/>
                <w:sz w:val="19"/>
                <w:szCs w:val="19"/>
              </w:rPr>
            </w:pPr>
            <w:r w:rsidRPr="00785336">
              <w:rPr>
                <w:rFonts w:cs="Arial"/>
                <w:color w:val="FFFFFF"/>
                <w:sz w:val="19"/>
                <w:szCs w:val="19"/>
              </w:rPr>
              <w:t>5</w:t>
            </w:r>
            <w:r w:rsidR="00782901" w:rsidRPr="00785336">
              <w:rPr>
                <w:rFonts w:cs="Arial"/>
                <w:color w:val="FFFFFF"/>
                <w:sz w:val="19"/>
                <w:szCs w:val="19"/>
              </w:rPr>
              <w:t xml:space="preserve">-year change to </w:t>
            </w:r>
            <w:r w:rsidR="00C37031" w:rsidRPr="00785336">
              <w:rPr>
                <w:rFonts w:cs="Arial"/>
                <w:color w:val="FFFFFF"/>
                <w:sz w:val="19"/>
                <w:szCs w:val="19"/>
              </w:rPr>
              <w:t>Feb</w:t>
            </w:r>
            <w:r w:rsidR="00ED5B1A" w:rsidRPr="00785336">
              <w:rPr>
                <w:rFonts w:cs="Arial"/>
                <w:color w:val="FFFFFF"/>
                <w:sz w:val="19"/>
                <w:szCs w:val="19"/>
              </w:rPr>
              <w:t>-</w:t>
            </w:r>
            <w:r w:rsidR="00782901" w:rsidRPr="00785336">
              <w:rPr>
                <w:rFonts w:cs="Arial"/>
                <w:color w:val="FFFFFF"/>
                <w:sz w:val="19"/>
                <w:szCs w:val="19"/>
              </w:rPr>
              <w:t>2</w:t>
            </w:r>
            <w:r w:rsidR="00C37031" w:rsidRPr="00785336">
              <w:rPr>
                <w:rFonts w:cs="Arial"/>
                <w:color w:val="FFFFFF"/>
                <w:sz w:val="19"/>
                <w:szCs w:val="19"/>
              </w:rPr>
              <w:t>4</w:t>
            </w:r>
          </w:p>
        </w:tc>
      </w:tr>
      <w:tr w:rsidR="00782901" w:rsidRPr="00B93C08" w14:paraId="79C78492" w14:textId="77777777" w:rsidTr="00B870BF">
        <w:trPr>
          <w:trHeight w:val="340"/>
          <w:jc w:val="center"/>
        </w:trPr>
        <w:tc>
          <w:tcPr>
            <w:tcW w:w="3118" w:type="dxa"/>
            <w:vMerge/>
            <w:tcBorders>
              <w:left w:val="nil"/>
              <w:right w:val="nil"/>
            </w:tcBorders>
            <w:shd w:val="clear" w:color="auto" w:fill="012749"/>
            <w:vAlign w:val="center"/>
            <w:hideMark/>
          </w:tcPr>
          <w:p w14:paraId="4B479C0F" w14:textId="77777777" w:rsidR="00782901" w:rsidRPr="00785336" w:rsidRDefault="00782901">
            <w:pPr>
              <w:spacing w:after="0" w:line="240" w:lineRule="auto"/>
              <w:rPr>
                <w:rFonts w:cs="Arial"/>
                <w:color w:val="FFFFFF"/>
                <w:sz w:val="19"/>
                <w:szCs w:val="19"/>
              </w:rPr>
            </w:pPr>
          </w:p>
        </w:tc>
        <w:tc>
          <w:tcPr>
            <w:tcW w:w="1134" w:type="dxa"/>
            <w:tcBorders>
              <w:top w:val="single" w:sz="4" w:space="0" w:color="FFFFFF" w:themeColor="background1"/>
              <w:left w:val="nil"/>
              <w:bottom w:val="nil"/>
              <w:right w:val="nil"/>
            </w:tcBorders>
            <w:shd w:val="clear" w:color="auto" w:fill="012749"/>
            <w:vAlign w:val="center"/>
            <w:hideMark/>
          </w:tcPr>
          <w:p w14:paraId="153AD879" w14:textId="6C16F626" w:rsidR="00782901" w:rsidRPr="00785336" w:rsidRDefault="00C37031" w:rsidP="003F3220">
            <w:pPr>
              <w:spacing w:after="0" w:line="240" w:lineRule="auto"/>
              <w:jc w:val="center"/>
              <w:rPr>
                <w:rFonts w:cs="Arial"/>
                <w:sz w:val="19"/>
                <w:szCs w:val="19"/>
              </w:rPr>
            </w:pPr>
            <w:r w:rsidRPr="00785336">
              <w:rPr>
                <w:rFonts w:cs="Arial"/>
                <w:sz w:val="19"/>
                <w:szCs w:val="19"/>
              </w:rPr>
              <w:t>Feb</w:t>
            </w:r>
            <w:r w:rsidR="00ED5B1A" w:rsidRPr="00785336">
              <w:rPr>
                <w:rFonts w:cs="Arial"/>
                <w:sz w:val="19"/>
                <w:szCs w:val="19"/>
              </w:rPr>
              <w:t>-</w:t>
            </w:r>
            <w:r w:rsidR="00782901" w:rsidRPr="00785336">
              <w:rPr>
                <w:rFonts w:cs="Arial"/>
                <w:sz w:val="19"/>
                <w:szCs w:val="19"/>
              </w:rPr>
              <w:t>2</w:t>
            </w:r>
            <w:r w:rsidRPr="00785336">
              <w:rPr>
                <w:rFonts w:cs="Arial"/>
                <w:sz w:val="19"/>
                <w:szCs w:val="19"/>
              </w:rPr>
              <w:t>4</w:t>
            </w:r>
          </w:p>
        </w:tc>
        <w:tc>
          <w:tcPr>
            <w:tcW w:w="1134" w:type="dxa"/>
            <w:tcBorders>
              <w:top w:val="single" w:sz="4" w:space="0" w:color="FFFFFF" w:themeColor="background1"/>
              <w:left w:val="nil"/>
              <w:bottom w:val="nil"/>
              <w:right w:val="nil"/>
            </w:tcBorders>
            <w:shd w:val="clear" w:color="auto" w:fill="012749"/>
            <w:vAlign w:val="center"/>
            <w:hideMark/>
          </w:tcPr>
          <w:p w14:paraId="0D8F5873" w14:textId="38D82B46" w:rsidR="00782901" w:rsidRPr="00785336" w:rsidRDefault="00C37031" w:rsidP="003F3220">
            <w:pPr>
              <w:spacing w:after="0" w:line="240" w:lineRule="auto"/>
              <w:jc w:val="center"/>
              <w:rPr>
                <w:rFonts w:cs="Arial"/>
                <w:sz w:val="19"/>
                <w:szCs w:val="19"/>
              </w:rPr>
            </w:pPr>
            <w:r w:rsidRPr="00785336">
              <w:rPr>
                <w:rFonts w:cs="Arial"/>
                <w:sz w:val="19"/>
                <w:szCs w:val="19"/>
              </w:rPr>
              <w:t>Feb</w:t>
            </w:r>
            <w:r w:rsidR="00ED5B1A" w:rsidRPr="00785336">
              <w:rPr>
                <w:rFonts w:cs="Arial"/>
                <w:sz w:val="19"/>
                <w:szCs w:val="19"/>
              </w:rPr>
              <w:t>-</w:t>
            </w:r>
            <w:r w:rsidR="00782901" w:rsidRPr="00785336">
              <w:rPr>
                <w:rFonts w:cs="Arial"/>
                <w:sz w:val="19"/>
                <w:szCs w:val="19"/>
              </w:rPr>
              <w:t>2</w:t>
            </w:r>
            <w:r w:rsidRPr="00785336">
              <w:rPr>
                <w:rFonts w:cs="Arial"/>
                <w:sz w:val="19"/>
                <w:szCs w:val="19"/>
              </w:rPr>
              <w:t>3</w:t>
            </w:r>
          </w:p>
        </w:tc>
        <w:tc>
          <w:tcPr>
            <w:tcW w:w="1843" w:type="dxa"/>
            <w:gridSpan w:val="2"/>
            <w:vMerge/>
            <w:tcBorders>
              <w:left w:val="nil"/>
              <w:bottom w:val="nil"/>
              <w:right w:val="nil"/>
            </w:tcBorders>
            <w:shd w:val="clear" w:color="auto" w:fill="012749"/>
            <w:vAlign w:val="center"/>
            <w:hideMark/>
          </w:tcPr>
          <w:p w14:paraId="4F40F9FC" w14:textId="77777777" w:rsidR="00782901" w:rsidRPr="00785336" w:rsidRDefault="00782901">
            <w:pPr>
              <w:spacing w:after="0" w:line="240" w:lineRule="auto"/>
              <w:jc w:val="center"/>
              <w:rPr>
                <w:rFonts w:cs="Arial"/>
                <w:color w:val="FFFFFF"/>
                <w:sz w:val="19"/>
                <w:szCs w:val="19"/>
              </w:rPr>
            </w:pPr>
          </w:p>
        </w:tc>
        <w:tc>
          <w:tcPr>
            <w:tcW w:w="1984" w:type="dxa"/>
            <w:gridSpan w:val="2"/>
            <w:vMerge/>
            <w:tcBorders>
              <w:left w:val="nil"/>
              <w:bottom w:val="nil"/>
              <w:right w:val="nil"/>
            </w:tcBorders>
            <w:shd w:val="clear" w:color="auto" w:fill="012749"/>
            <w:vAlign w:val="center"/>
            <w:hideMark/>
          </w:tcPr>
          <w:p w14:paraId="0AC319F5" w14:textId="77777777" w:rsidR="00782901" w:rsidRPr="00785336" w:rsidRDefault="00782901">
            <w:pPr>
              <w:spacing w:after="0" w:line="240" w:lineRule="auto"/>
              <w:jc w:val="center"/>
              <w:rPr>
                <w:rFonts w:cs="Arial"/>
                <w:color w:val="FFFFFF"/>
                <w:sz w:val="19"/>
                <w:szCs w:val="19"/>
              </w:rPr>
            </w:pPr>
          </w:p>
        </w:tc>
      </w:tr>
      <w:tr w:rsidR="00782901" w:rsidRPr="00B93C08" w14:paraId="4611863F" w14:textId="77777777" w:rsidTr="00C36ADE">
        <w:trPr>
          <w:trHeight w:val="340"/>
          <w:jc w:val="center"/>
        </w:trPr>
        <w:tc>
          <w:tcPr>
            <w:tcW w:w="3118" w:type="dxa"/>
            <w:vMerge/>
            <w:tcBorders>
              <w:left w:val="nil"/>
              <w:bottom w:val="nil"/>
              <w:right w:val="nil"/>
            </w:tcBorders>
            <w:shd w:val="clear" w:color="auto" w:fill="012749"/>
            <w:vAlign w:val="center"/>
          </w:tcPr>
          <w:p w14:paraId="7635DA8F" w14:textId="77777777" w:rsidR="00782901" w:rsidRPr="00785336" w:rsidRDefault="00782901">
            <w:pPr>
              <w:spacing w:after="0" w:line="240" w:lineRule="auto"/>
              <w:rPr>
                <w:rFonts w:cs="Arial"/>
                <w:color w:val="FFFFFF"/>
                <w:sz w:val="19"/>
                <w:szCs w:val="19"/>
              </w:rPr>
            </w:pPr>
          </w:p>
        </w:tc>
        <w:tc>
          <w:tcPr>
            <w:tcW w:w="1134" w:type="dxa"/>
            <w:tcBorders>
              <w:top w:val="nil"/>
              <w:left w:val="nil"/>
              <w:bottom w:val="nil"/>
              <w:right w:val="nil"/>
            </w:tcBorders>
            <w:shd w:val="clear" w:color="auto" w:fill="012749"/>
            <w:vAlign w:val="center"/>
          </w:tcPr>
          <w:p w14:paraId="0B0E942B" w14:textId="77777777" w:rsidR="00782901" w:rsidRPr="00785336" w:rsidRDefault="00782901" w:rsidP="003F3220">
            <w:pPr>
              <w:spacing w:after="0" w:line="240" w:lineRule="auto"/>
              <w:jc w:val="center"/>
              <w:rPr>
                <w:rFonts w:cs="Arial"/>
                <w:sz w:val="19"/>
                <w:szCs w:val="19"/>
              </w:rPr>
            </w:pPr>
            <w:r w:rsidRPr="00785336">
              <w:rPr>
                <w:rFonts w:cs="Arial"/>
                <w:sz w:val="19"/>
                <w:szCs w:val="19"/>
              </w:rPr>
              <w:t>(‘000)</w:t>
            </w:r>
          </w:p>
        </w:tc>
        <w:tc>
          <w:tcPr>
            <w:tcW w:w="1134" w:type="dxa"/>
            <w:tcBorders>
              <w:top w:val="nil"/>
              <w:left w:val="nil"/>
              <w:bottom w:val="nil"/>
              <w:right w:val="nil"/>
            </w:tcBorders>
            <w:shd w:val="clear" w:color="auto" w:fill="012749"/>
            <w:vAlign w:val="center"/>
          </w:tcPr>
          <w:p w14:paraId="4956DE9B" w14:textId="77777777" w:rsidR="00782901" w:rsidRPr="00785336" w:rsidRDefault="00782901" w:rsidP="003F3220">
            <w:pPr>
              <w:spacing w:after="0" w:line="240" w:lineRule="auto"/>
              <w:jc w:val="center"/>
              <w:rPr>
                <w:rFonts w:cs="Arial"/>
                <w:sz w:val="19"/>
                <w:szCs w:val="19"/>
              </w:rPr>
            </w:pPr>
            <w:r w:rsidRPr="00785336">
              <w:rPr>
                <w:rFonts w:cs="Arial"/>
                <w:sz w:val="19"/>
                <w:szCs w:val="19"/>
              </w:rPr>
              <w:t>(‘000)</w:t>
            </w:r>
          </w:p>
        </w:tc>
        <w:tc>
          <w:tcPr>
            <w:tcW w:w="992" w:type="dxa"/>
            <w:tcBorders>
              <w:top w:val="nil"/>
              <w:left w:val="nil"/>
              <w:bottom w:val="nil"/>
              <w:right w:val="nil"/>
            </w:tcBorders>
            <w:shd w:val="clear" w:color="auto" w:fill="012749"/>
            <w:vAlign w:val="center"/>
          </w:tcPr>
          <w:p w14:paraId="24A6C7DD" w14:textId="77777777" w:rsidR="00782901" w:rsidRPr="00785336" w:rsidRDefault="00782901" w:rsidP="003F3220">
            <w:pPr>
              <w:spacing w:after="0" w:line="240" w:lineRule="auto"/>
              <w:jc w:val="center"/>
              <w:rPr>
                <w:rFonts w:cs="Arial"/>
                <w:color w:val="FFFFFF"/>
                <w:sz w:val="19"/>
                <w:szCs w:val="19"/>
              </w:rPr>
            </w:pPr>
            <w:r w:rsidRPr="00785336">
              <w:rPr>
                <w:rFonts w:cs="Arial"/>
                <w:color w:val="FFFFFF"/>
                <w:sz w:val="19"/>
                <w:szCs w:val="19"/>
              </w:rPr>
              <w:t>(‘000)</w:t>
            </w:r>
          </w:p>
        </w:tc>
        <w:tc>
          <w:tcPr>
            <w:tcW w:w="851" w:type="dxa"/>
            <w:tcBorders>
              <w:top w:val="nil"/>
              <w:left w:val="nil"/>
              <w:bottom w:val="nil"/>
              <w:right w:val="nil"/>
            </w:tcBorders>
            <w:shd w:val="clear" w:color="auto" w:fill="012749"/>
            <w:vAlign w:val="center"/>
          </w:tcPr>
          <w:p w14:paraId="2D4E1DD0" w14:textId="77777777" w:rsidR="00782901" w:rsidRPr="00785336" w:rsidRDefault="00782901" w:rsidP="003F3220">
            <w:pPr>
              <w:spacing w:after="0" w:line="240" w:lineRule="auto"/>
              <w:jc w:val="center"/>
              <w:rPr>
                <w:rFonts w:cs="Arial"/>
                <w:color w:val="FFFFFF"/>
                <w:sz w:val="19"/>
                <w:szCs w:val="19"/>
              </w:rPr>
            </w:pPr>
            <w:r w:rsidRPr="00785336">
              <w:rPr>
                <w:rFonts w:cs="Arial"/>
                <w:color w:val="FFFFFF"/>
                <w:sz w:val="19"/>
                <w:szCs w:val="19"/>
              </w:rPr>
              <w:t>(%)</w:t>
            </w:r>
          </w:p>
        </w:tc>
        <w:tc>
          <w:tcPr>
            <w:tcW w:w="992" w:type="dxa"/>
            <w:tcBorders>
              <w:top w:val="nil"/>
              <w:left w:val="nil"/>
              <w:bottom w:val="nil"/>
              <w:right w:val="nil"/>
            </w:tcBorders>
            <w:shd w:val="clear" w:color="auto" w:fill="012749"/>
            <w:vAlign w:val="center"/>
          </w:tcPr>
          <w:p w14:paraId="28DA74B4" w14:textId="77777777" w:rsidR="00782901" w:rsidRPr="00785336" w:rsidRDefault="00782901" w:rsidP="003F3220">
            <w:pPr>
              <w:spacing w:after="0" w:line="240" w:lineRule="auto"/>
              <w:jc w:val="center"/>
              <w:rPr>
                <w:rFonts w:cs="Arial"/>
                <w:color w:val="FFFFFF"/>
                <w:sz w:val="19"/>
                <w:szCs w:val="19"/>
              </w:rPr>
            </w:pPr>
            <w:r w:rsidRPr="00785336">
              <w:rPr>
                <w:rFonts w:cs="Arial"/>
                <w:color w:val="FFFFFF"/>
                <w:sz w:val="19"/>
                <w:szCs w:val="19"/>
              </w:rPr>
              <w:t>(‘000)</w:t>
            </w:r>
          </w:p>
        </w:tc>
        <w:tc>
          <w:tcPr>
            <w:tcW w:w="992" w:type="dxa"/>
            <w:tcBorders>
              <w:top w:val="nil"/>
              <w:left w:val="nil"/>
              <w:bottom w:val="nil"/>
              <w:right w:val="nil"/>
            </w:tcBorders>
            <w:shd w:val="clear" w:color="auto" w:fill="012749"/>
            <w:vAlign w:val="center"/>
          </w:tcPr>
          <w:p w14:paraId="5FBBE372" w14:textId="77777777" w:rsidR="00782901" w:rsidRPr="00785336" w:rsidRDefault="00782901" w:rsidP="003F3220">
            <w:pPr>
              <w:spacing w:after="0" w:line="240" w:lineRule="auto"/>
              <w:jc w:val="center"/>
              <w:rPr>
                <w:rFonts w:cs="Arial"/>
                <w:color w:val="FFFFFF"/>
                <w:sz w:val="19"/>
                <w:szCs w:val="19"/>
              </w:rPr>
            </w:pPr>
            <w:r w:rsidRPr="00785336">
              <w:rPr>
                <w:rFonts w:cs="Arial"/>
                <w:color w:val="FFFFFF"/>
                <w:sz w:val="19"/>
                <w:szCs w:val="19"/>
              </w:rPr>
              <w:t>(%)</w:t>
            </w:r>
          </w:p>
        </w:tc>
      </w:tr>
      <w:tr w:rsidR="00C37031" w:rsidRPr="00412E44" w14:paraId="3BCF36FA" w14:textId="77777777" w:rsidTr="006C23DB">
        <w:trPr>
          <w:trHeight w:val="300"/>
          <w:jc w:val="center"/>
        </w:trPr>
        <w:tc>
          <w:tcPr>
            <w:tcW w:w="3118" w:type="dxa"/>
            <w:tcBorders>
              <w:top w:val="nil"/>
              <w:left w:val="nil"/>
              <w:bottom w:val="nil"/>
              <w:right w:val="nil"/>
            </w:tcBorders>
            <w:shd w:val="clear" w:color="auto" w:fill="FFFFFF" w:themeFill="background1"/>
            <w:noWrap/>
            <w:vAlign w:val="center"/>
            <w:hideMark/>
          </w:tcPr>
          <w:p w14:paraId="29580611" w14:textId="77777777" w:rsidR="00C37031" w:rsidRPr="00412E44" w:rsidRDefault="00C37031" w:rsidP="00C37031">
            <w:pPr>
              <w:spacing w:after="0" w:line="240" w:lineRule="auto"/>
              <w:rPr>
                <w:rFonts w:cs="Arial"/>
              </w:rPr>
            </w:pPr>
            <w:r w:rsidRPr="00412E44">
              <w:rPr>
                <w:rFonts w:cs="Arial"/>
              </w:rPr>
              <w:t>Agriculture, Forestry and Fishing</w:t>
            </w:r>
          </w:p>
        </w:tc>
        <w:tc>
          <w:tcPr>
            <w:tcW w:w="1134" w:type="dxa"/>
            <w:tcBorders>
              <w:top w:val="nil"/>
              <w:left w:val="nil"/>
              <w:bottom w:val="nil"/>
              <w:right w:val="nil"/>
            </w:tcBorders>
            <w:shd w:val="clear" w:color="auto" w:fill="FFFFFF" w:themeFill="background1"/>
            <w:noWrap/>
            <w:vAlign w:val="center"/>
            <w:hideMark/>
          </w:tcPr>
          <w:p w14:paraId="30ED7239" w14:textId="25DC5F2B" w:rsidR="00C37031" w:rsidRPr="00412E44" w:rsidRDefault="00C37031" w:rsidP="00C37031">
            <w:pPr>
              <w:spacing w:after="0" w:line="240" w:lineRule="auto"/>
              <w:jc w:val="center"/>
              <w:rPr>
                <w:rFonts w:cs="Arial"/>
              </w:rPr>
            </w:pPr>
            <w:r w:rsidRPr="00412E44">
              <w:t>311.2</w:t>
            </w:r>
          </w:p>
        </w:tc>
        <w:tc>
          <w:tcPr>
            <w:tcW w:w="1134" w:type="dxa"/>
            <w:tcBorders>
              <w:top w:val="nil"/>
              <w:left w:val="nil"/>
              <w:bottom w:val="nil"/>
              <w:right w:val="nil"/>
            </w:tcBorders>
            <w:shd w:val="clear" w:color="auto" w:fill="FFFFFF" w:themeFill="background1"/>
            <w:noWrap/>
            <w:vAlign w:val="center"/>
            <w:hideMark/>
          </w:tcPr>
          <w:p w14:paraId="2043C974" w14:textId="16BDAC79" w:rsidR="00C37031" w:rsidRPr="00412E44" w:rsidRDefault="00C37031" w:rsidP="00C37031">
            <w:pPr>
              <w:spacing w:after="0" w:line="240" w:lineRule="auto"/>
              <w:jc w:val="center"/>
              <w:rPr>
                <w:rFonts w:cs="Arial"/>
              </w:rPr>
            </w:pPr>
            <w:r w:rsidRPr="00412E44">
              <w:t>311.4</w:t>
            </w:r>
          </w:p>
        </w:tc>
        <w:tc>
          <w:tcPr>
            <w:tcW w:w="992" w:type="dxa"/>
            <w:tcBorders>
              <w:top w:val="nil"/>
              <w:left w:val="nil"/>
              <w:bottom w:val="nil"/>
              <w:right w:val="nil"/>
            </w:tcBorders>
            <w:shd w:val="clear" w:color="auto" w:fill="FFFFFF" w:themeFill="background1"/>
            <w:noWrap/>
            <w:vAlign w:val="center"/>
            <w:hideMark/>
          </w:tcPr>
          <w:p w14:paraId="63942B53" w14:textId="3E97CF5A" w:rsidR="00C37031" w:rsidRPr="00412E44" w:rsidRDefault="00C37031" w:rsidP="00C37031">
            <w:pPr>
              <w:spacing w:after="0" w:line="240" w:lineRule="auto"/>
              <w:jc w:val="center"/>
              <w:rPr>
                <w:rFonts w:cs="Arial"/>
              </w:rPr>
            </w:pPr>
            <w:r w:rsidRPr="00412E44">
              <w:t>-0.2</w:t>
            </w:r>
          </w:p>
        </w:tc>
        <w:tc>
          <w:tcPr>
            <w:tcW w:w="851" w:type="dxa"/>
            <w:tcBorders>
              <w:top w:val="nil"/>
              <w:left w:val="nil"/>
              <w:bottom w:val="nil"/>
              <w:right w:val="nil"/>
            </w:tcBorders>
            <w:shd w:val="clear" w:color="auto" w:fill="FFFFFF" w:themeFill="background1"/>
            <w:noWrap/>
            <w:vAlign w:val="center"/>
            <w:hideMark/>
          </w:tcPr>
          <w:p w14:paraId="464EF43B" w14:textId="05F9C444" w:rsidR="00C37031" w:rsidRPr="00412E44" w:rsidRDefault="00C37031" w:rsidP="00C37031">
            <w:pPr>
              <w:spacing w:after="0" w:line="240" w:lineRule="auto"/>
              <w:jc w:val="center"/>
              <w:rPr>
                <w:rFonts w:cs="Arial"/>
              </w:rPr>
            </w:pPr>
            <w:r w:rsidRPr="00412E44">
              <w:t>-0.1</w:t>
            </w:r>
          </w:p>
        </w:tc>
        <w:tc>
          <w:tcPr>
            <w:tcW w:w="992" w:type="dxa"/>
            <w:tcBorders>
              <w:top w:val="nil"/>
              <w:left w:val="nil"/>
              <w:bottom w:val="nil"/>
              <w:right w:val="nil"/>
            </w:tcBorders>
            <w:shd w:val="clear" w:color="auto" w:fill="FFFFFF" w:themeFill="background1"/>
            <w:noWrap/>
            <w:vAlign w:val="center"/>
            <w:hideMark/>
          </w:tcPr>
          <w:p w14:paraId="5DFC568B" w14:textId="2A05DA27" w:rsidR="00C37031" w:rsidRPr="00412E44" w:rsidRDefault="00C37031" w:rsidP="00C37031">
            <w:pPr>
              <w:spacing w:after="0" w:line="240" w:lineRule="auto"/>
              <w:jc w:val="center"/>
              <w:rPr>
                <w:rFonts w:cs="Arial"/>
              </w:rPr>
            </w:pPr>
            <w:r w:rsidRPr="00412E44">
              <w:t>-19.7</w:t>
            </w:r>
          </w:p>
        </w:tc>
        <w:tc>
          <w:tcPr>
            <w:tcW w:w="992" w:type="dxa"/>
            <w:tcBorders>
              <w:top w:val="nil"/>
              <w:left w:val="nil"/>
              <w:bottom w:val="nil"/>
              <w:right w:val="nil"/>
            </w:tcBorders>
            <w:shd w:val="clear" w:color="auto" w:fill="FFFFFF" w:themeFill="background1"/>
            <w:noWrap/>
            <w:vAlign w:val="center"/>
            <w:hideMark/>
          </w:tcPr>
          <w:p w14:paraId="34910DE7" w14:textId="2C72220C" w:rsidR="00C37031" w:rsidRPr="00412E44" w:rsidRDefault="00C37031" w:rsidP="00C37031">
            <w:pPr>
              <w:spacing w:after="0" w:line="240" w:lineRule="auto"/>
              <w:jc w:val="center"/>
              <w:rPr>
                <w:rFonts w:cs="Arial"/>
              </w:rPr>
            </w:pPr>
            <w:r w:rsidRPr="00412E44">
              <w:t>-6.0</w:t>
            </w:r>
          </w:p>
        </w:tc>
      </w:tr>
      <w:tr w:rsidR="00C37031" w:rsidRPr="00412E44" w14:paraId="340C9FA7" w14:textId="77777777" w:rsidTr="006C23DB">
        <w:trPr>
          <w:trHeight w:val="300"/>
          <w:jc w:val="center"/>
        </w:trPr>
        <w:tc>
          <w:tcPr>
            <w:tcW w:w="3118" w:type="dxa"/>
            <w:tcBorders>
              <w:top w:val="nil"/>
              <w:left w:val="nil"/>
              <w:bottom w:val="nil"/>
              <w:right w:val="nil"/>
            </w:tcBorders>
            <w:shd w:val="clear" w:color="auto" w:fill="D9D9D9" w:themeFill="background1" w:themeFillShade="D9"/>
            <w:noWrap/>
            <w:vAlign w:val="center"/>
            <w:hideMark/>
          </w:tcPr>
          <w:p w14:paraId="177CE96B" w14:textId="77777777" w:rsidR="00C37031" w:rsidRPr="00412E44" w:rsidRDefault="00C37031" w:rsidP="00C37031">
            <w:pPr>
              <w:spacing w:after="0" w:line="240" w:lineRule="auto"/>
              <w:rPr>
                <w:rFonts w:cs="Arial"/>
              </w:rPr>
            </w:pPr>
            <w:r w:rsidRPr="00412E44">
              <w:rPr>
                <w:rFonts w:cs="Arial"/>
              </w:rPr>
              <w:t>Mining</w:t>
            </w:r>
          </w:p>
        </w:tc>
        <w:tc>
          <w:tcPr>
            <w:tcW w:w="1134" w:type="dxa"/>
            <w:tcBorders>
              <w:top w:val="nil"/>
              <w:left w:val="nil"/>
              <w:bottom w:val="nil"/>
              <w:right w:val="nil"/>
            </w:tcBorders>
            <w:shd w:val="clear" w:color="auto" w:fill="D9D9D9" w:themeFill="background1" w:themeFillShade="D9"/>
            <w:noWrap/>
            <w:vAlign w:val="center"/>
            <w:hideMark/>
          </w:tcPr>
          <w:p w14:paraId="2E13641F" w14:textId="22AD571B" w:rsidR="00C37031" w:rsidRPr="00412E44" w:rsidRDefault="00C37031" w:rsidP="00C37031">
            <w:pPr>
              <w:spacing w:after="0" w:line="240" w:lineRule="auto"/>
              <w:jc w:val="center"/>
              <w:rPr>
                <w:rFonts w:cs="Arial"/>
              </w:rPr>
            </w:pPr>
            <w:r w:rsidRPr="00412E44">
              <w:t>311.1*</w:t>
            </w:r>
          </w:p>
        </w:tc>
        <w:tc>
          <w:tcPr>
            <w:tcW w:w="1134" w:type="dxa"/>
            <w:tcBorders>
              <w:top w:val="nil"/>
              <w:left w:val="nil"/>
              <w:bottom w:val="nil"/>
              <w:right w:val="nil"/>
            </w:tcBorders>
            <w:shd w:val="clear" w:color="auto" w:fill="D9D9D9" w:themeFill="background1" w:themeFillShade="D9"/>
            <w:noWrap/>
            <w:vAlign w:val="center"/>
            <w:hideMark/>
          </w:tcPr>
          <w:p w14:paraId="38F4C038" w14:textId="0D1CE32E" w:rsidR="00C37031" w:rsidRPr="00412E44" w:rsidRDefault="00C37031" w:rsidP="00C37031">
            <w:pPr>
              <w:spacing w:after="0" w:line="240" w:lineRule="auto"/>
              <w:jc w:val="center"/>
              <w:rPr>
                <w:rFonts w:cs="Arial"/>
              </w:rPr>
            </w:pPr>
            <w:r w:rsidRPr="00412E44">
              <w:t>304.6</w:t>
            </w:r>
          </w:p>
        </w:tc>
        <w:tc>
          <w:tcPr>
            <w:tcW w:w="992" w:type="dxa"/>
            <w:tcBorders>
              <w:top w:val="nil"/>
              <w:left w:val="nil"/>
              <w:bottom w:val="nil"/>
              <w:right w:val="nil"/>
            </w:tcBorders>
            <w:shd w:val="clear" w:color="auto" w:fill="D9D9D9" w:themeFill="background1" w:themeFillShade="D9"/>
            <w:noWrap/>
            <w:vAlign w:val="center"/>
            <w:hideMark/>
          </w:tcPr>
          <w:p w14:paraId="207EFEB6" w14:textId="579FA3BE" w:rsidR="00C37031" w:rsidRPr="00412E44" w:rsidRDefault="00C37031" w:rsidP="00C37031">
            <w:pPr>
              <w:spacing w:after="0" w:line="240" w:lineRule="auto"/>
              <w:jc w:val="center"/>
              <w:rPr>
                <w:rFonts w:cs="Arial"/>
              </w:rPr>
            </w:pPr>
            <w:r w:rsidRPr="00412E44">
              <w:t>6.5</w:t>
            </w:r>
          </w:p>
        </w:tc>
        <w:tc>
          <w:tcPr>
            <w:tcW w:w="851" w:type="dxa"/>
            <w:tcBorders>
              <w:top w:val="nil"/>
              <w:left w:val="nil"/>
              <w:bottom w:val="nil"/>
              <w:right w:val="nil"/>
            </w:tcBorders>
            <w:shd w:val="clear" w:color="auto" w:fill="D9D9D9" w:themeFill="background1" w:themeFillShade="D9"/>
            <w:noWrap/>
            <w:vAlign w:val="center"/>
            <w:hideMark/>
          </w:tcPr>
          <w:p w14:paraId="42FE41D7" w14:textId="64438454" w:rsidR="00C37031" w:rsidRPr="00412E44" w:rsidRDefault="00C37031" w:rsidP="00C37031">
            <w:pPr>
              <w:spacing w:after="0" w:line="240" w:lineRule="auto"/>
              <w:jc w:val="center"/>
              <w:rPr>
                <w:rFonts w:cs="Arial"/>
              </w:rPr>
            </w:pPr>
            <w:r w:rsidRPr="00412E44">
              <w:t>2.1</w:t>
            </w:r>
          </w:p>
        </w:tc>
        <w:tc>
          <w:tcPr>
            <w:tcW w:w="992" w:type="dxa"/>
            <w:tcBorders>
              <w:top w:val="nil"/>
              <w:left w:val="nil"/>
              <w:bottom w:val="nil"/>
              <w:right w:val="nil"/>
            </w:tcBorders>
            <w:shd w:val="clear" w:color="auto" w:fill="D9D9D9" w:themeFill="background1" w:themeFillShade="D9"/>
            <w:noWrap/>
            <w:vAlign w:val="center"/>
            <w:hideMark/>
          </w:tcPr>
          <w:p w14:paraId="2F30B803" w14:textId="4ADE6128" w:rsidR="00C37031" w:rsidRPr="00412E44" w:rsidRDefault="00C37031" w:rsidP="00C37031">
            <w:pPr>
              <w:spacing w:after="0" w:line="240" w:lineRule="auto"/>
              <w:jc w:val="center"/>
              <w:rPr>
                <w:rFonts w:cs="Arial"/>
              </w:rPr>
            </w:pPr>
            <w:r w:rsidRPr="00412E44">
              <w:t>57.0</w:t>
            </w:r>
          </w:p>
        </w:tc>
        <w:tc>
          <w:tcPr>
            <w:tcW w:w="992" w:type="dxa"/>
            <w:tcBorders>
              <w:top w:val="nil"/>
              <w:left w:val="nil"/>
              <w:bottom w:val="nil"/>
              <w:right w:val="nil"/>
            </w:tcBorders>
            <w:shd w:val="clear" w:color="auto" w:fill="D9D9D9" w:themeFill="background1" w:themeFillShade="D9"/>
            <w:noWrap/>
            <w:vAlign w:val="center"/>
            <w:hideMark/>
          </w:tcPr>
          <w:p w14:paraId="7B101BEF" w14:textId="12E7276D" w:rsidR="00C37031" w:rsidRPr="00412E44" w:rsidRDefault="00C37031" w:rsidP="00C37031">
            <w:pPr>
              <w:spacing w:after="0" w:line="240" w:lineRule="auto"/>
              <w:jc w:val="center"/>
              <w:rPr>
                <w:rFonts w:cs="Arial"/>
              </w:rPr>
            </w:pPr>
            <w:r w:rsidRPr="00412E44">
              <w:t>22.5</w:t>
            </w:r>
          </w:p>
        </w:tc>
      </w:tr>
      <w:tr w:rsidR="00C37031" w:rsidRPr="00412E44" w14:paraId="68BF3925" w14:textId="77777777" w:rsidTr="006C23DB">
        <w:trPr>
          <w:trHeight w:val="300"/>
          <w:jc w:val="center"/>
        </w:trPr>
        <w:tc>
          <w:tcPr>
            <w:tcW w:w="3118" w:type="dxa"/>
            <w:tcBorders>
              <w:top w:val="nil"/>
              <w:left w:val="nil"/>
              <w:bottom w:val="nil"/>
              <w:right w:val="nil"/>
            </w:tcBorders>
            <w:shd w:val="clear" w:color="auto" w:fill="FFFFFF" w:themeFill="background1"/>
            <w:noWrap/>
            <w:vAlign w:val="center"/>
            <w:hideMark/>
          </w:tcPr>
          <w:p w14:paraId="63559F02" w14:textId="77777777" w:rsidR="00C37031" w:rsidRPr="00412E44" w:rsidRDefault="00C37031" w:rsidP="00C37031">
            <w:pPr>
              <w:spacing w:after="0" w:line="240" w:lineRule="auto"/>
              <w:rPr>
                <w:rFonts w:cs="Arial"/>
              </w:rPr>
            </w:pPr>
            <w:r w:rsidRPr="00412E44">
              <w:rPr>
                <w:rFonts w:cs="Arial"/>
              </w:rPr>
              <w:t>Manufacturing</w:t>
            </w:r>
          </w:p>
        </w:tc>
        <w:tc>
          <w:tcPr>
            <w:tcW w:w="1134" w:type="dxa"/>
            <w:tcBorders>
              <w:top w:val="nil"/>
              <w:left w:val="nil"/>
              <w:bottom w:val="nil"/>
              <w:right w:val="nil"/>
            </w:tcBorders>
            <w:shd w:val="clear" w:color="auto" w:fill="FFFFFF" w:themeFill="background1"/>
            <w:noWrap/>
            <w:vAlign w:val="center"/>
            <w:hideMark/>
          </w:tcPr>
          <w:p w14:paraId="66C20BA8" w14:textId="5F59AA9F" w:rsidR="00C37031" w:rsidRPr="00412E44" w:rsidRDefault="00C37031" w:rsidP="00C37031">
            <w:pPr>
              <w:spacing w:after="0" w:line="240" w:lineRule="auto"/>
              <w:jc w:val="center"/>
              <w:rPr>
                <w:rFonts w:cs="Arial"/>
              </w:rPr>
            </w:pPr>
            <w:r w:rsidRPr="00412E44">
              <w:t>912.8</w:t>
            </w:r>
          </w:p>
        </w:tc>
        <w:tc>
          <w:tcPr>
            <w:tcW w:w="1134" w:type="dxa"/>
            <w:tcBorders>
              <w:top w:val="nil"/>
              <w:left w:val="nil"/>
              <w:bottom w:val="nil"/>
              <w:right w:val="nil"/>
            </w:tcBorders>
            <w:shd w:val="clear" w:color="auto" w:fill="FFFFFF" w:themeFill="background1"/>
            <w:noWrap/>
            <w:vAlign w:val="center"/>
            <w:hideMark/>
          </w:tcPr>
          <w:p w14:paraId="3D461681" w14:textId="4FC53057" w:rsidR="00C37031" w:rsidRPr="00412E44" w:rsidRDefault="00C37031" w:rsidP="00C37031">
            <w:pPr>
              <w:spacing w:after="0" w:line="240" w:lineRule="auto"/>
              <w:jc w:val="center"/>
              <w:rPr>
                <w:rFonts w:cs="Arial"/>
              </w:rPr>
            </w:pPr>
            <w:r w:rsidRPr="00412E44">
              <w:t>879.9</w:t>
            </w:r>
          </w:p>
        </w:tc>
        <w:tc>
          <w:tcPr>
            <w:tcW w:w="992" w:type="dxa"/>
            <w:tcBorders>
              <w:top w:val="nil"/>
              <w:left w:val="nil"/>
              <w:bottom w:val="nil"/>
              <w:right w:val="nil"/>
            </w:tcBorders>
            <w:shd w:val="clear" w:color="auto" w:fill="FFFFFF" w:themeFill="background1"/>
            <w:noWrap/>
            <w:vAlign w:val="center"/>
            <w:hideMark/>
          </w:tcPr>
          <w:p w14:paraId="44DA30F9" w14:textId="5220C696" w:rsidR="00C37031" w:rsidRPr="00412E44" w:rsidRDefault="00C37031" w:rsidP="00C37031">
            <w:pPr>
              <w:spacing w:after="0" w:line="240" w:lineRule="auto"/>
              <w:jc w:val="center"/>
              <w:rPr>
                <w:rFonts w:cs="Arial"/>
              </w:rPr>
            </w:pPr>
            <w:r w:rsidRPr="00412E44">
              <w:t>32.9</w:t>
            </w:r>
          </w:p>
        </w:tc>
        <w:tc>
          <w:tcPr>
            <w:tcW w:w="851" w:type="dxa"/>
            <w:tcBorders>
              <w:top w:val="nil"/>
              <w:left w:val="nil"/>
              <w:bottom w:val="nil"/>
              <w:right w:val="nil"/>
            </w:tcBorders>
            <w:shd w:val="clear" w:color="auto" w:fill="FFFFFF" w:themeFill="background1"/>
            <w:noWrap/>
            <w:vAlign w:val="center"/>
            <w:hideMark/>
          </w:tcPr>
          <w:p w14:paraId="01959FB2" w14:textId="1BEC1897" w:rsidR="00C37031" w:rsidRPr="00412E44" w:rsidRDefault="00C37031" w:rsidP="00C37031">
            <w:pPr>
              <w:spacing w:after="0" w:line="240" w:lineRule="auto"/>
              <w:jc w:val="center"/>
              <w:rPr>
                <w:rFonts w:cs="Arial"/>
              </w:rPr>
            </w:pPr>
            <w:r w:rsidRPr="00412E44">
              <w:t>3.7</w:t>
            </w:r>
          </w:p>
        </w:tc>
        <w:tc>
          <w:tcPr>
            <w:tcW w:w="992" w:type="dxa"/>
            <w:tcBorders>
              <w:top w:val="nil"/>
              <w:left w:val="nil"/>
              <w:bottom w:val="nil"/>
              <w:right w:val="nil"/>
            </w:tcBorders>
            <w:shd w:val="clear" w:color="auto" w:fill="FFFFFF" w:themeFill="background1"/>
            <w:noWrap/>
            <w:vAlign w:val="center"/>
            <w:hideMark/>
          </w:tcPr>
          <w:p w14:paraId="641C1DF8" w14:textId="5944161E" w:rsidR="00C37031" w:rsidRPr="00412E44" w:rsidRDefault="00C37031" w:rsidP="00C37031">
            <w:pPr>
              <w:spacing w:after="0" w:line="240" w:lineRule="auto"/>
              <w:jc w:val="center"/>
              <w:rPr>
                <w:rFonts w:cs="Arial"/>
              </w:rPr>
            </w:pPr>
            <w:r w:rsidRPr="00412E44">
              <w:t>14.0</w:t>
            </w:r>
          </w:p>
        </w:tc>
        <w:tc>
          <w:tcPr>
            <w:tcW w:w="992" w:type="dxa"/>
            <w:tcBorders>
              <w:top w:val="nil"/>
              <w:left w:val="nil"/>
              <w:bottom w:val="nil"/>
              <w:right w:val="nil"/>
            </w:tcBorders>
            <w:shd w:val="clear" w:color="auto" w:fill="FFFFFF" w:themeFill="background1"/>
            <w:noWrap/>
            <w:vAlign w:val="center"/>
            <w:hideMark/>
          </w:tcPr>
          <w:p w14:paraId="25B696AD" w14:textId="4850614C" w:rsidR="00C37031" w:rsidRPr="00412E44" w:rsidRDefault="00C37031" w:rsidP="00C37031">
            <w:pPr>
              <w:spacing w:after="0" w:line="240" w:lineRule="auto"/>
              <w:jc w:val="center"/>
              <w:rPr>
                <w:rFonts w:cs="Arial"/>
              </w:rPr>
            </w:pPr>
            <w:r w:rsidRPr="00412E44">
              <w:t>1.6</w:t>
            </w:r>
          </w:p>
        </w:tc>
      </w:tr>
      <w:tr w:rsidR="00C37031" w:rsidRPr="00412E44" w14:paraId="39973A3F" w14:textId="77777777" w:rsidTr="006C23DB">
        <w:trPr>
          <w:trHeight w:val="300"/>
          <w:jc w:val="center"/>
        </w:trPr>
        <w:tc>
          <w:tcPr>
            <w:tcW w:w="3118" w:type="dxa"/>
            <w:tcBorders>
              <w:top w:val="nil"/>
              <w:left w:val="nil"/>
              <w:bottom w:val="nil"/>
              <w:right w:val="nil"/>
            </w:tcBorders>
            <w:shd w:val="clear" w:color="auto" w:fill="D9D9D9" w:themeFill="background1" w:themeFillShade="D9"/>
            <w:noWrap/>
            <w:vAlign w:val="center"/>
            <w:hideMark/>
          </w:tcPr>
          <w:p w14:paraId="0B003987" w14:textId="77777777" w:rsidR="00C37031" w:rsidRPr="00412E44" w:rsidRDefault="00C37031" w:rsidP="00C37031">
            <w:pPr>
              <w:spacing w:after="0" w:line="240" w:lineRule="auto"/>
              <w:rPr>
                <w:rFonts w:cs="Arial"/>
              </w:rPr>
            </w:pPr>
            <w:r w:rsidRPr="00412E44">
              <w:rPr>
                <w:rFonts w:cs="Arial"/>
              </w:rPr>
              <w:t>Electricity, Gas, Water and Waste Services</w:t>
            </w:r>
          </w:p>
        </w:tc>
        <w:tc>
          <w:tcPr>
            <w:tcW w:w="1134" w:type="dxa"/>
            <w:tcBorders>
              <w:top w:val="nil"/>
              <w:left w:val="nil"/>
              <w:bottom w:val="nil"/>
              <w:right w:val="nil"/>
            </w:tcBorders>
            <w:shd w:val="clear" w:color="auto" w:fill="D9D9D9" w:themeFill="background1" w:themeFillShade="D9"/>
            <w:noWrap/>
            <w:vAlign w:val="center"/>
            <w:hideMark/>
          </w:tcPr>
          <w:p w14:paraId="22ABB7E7" w14:textId="0A7116EB" w:rsidR="00C37031" w:rsidRPr="00412E44" w:rsidRDefault="00C37031" w:rsidP="00C37031">
            <w:pPr>
              <w:spacing w:after="0" w:line="240" w:lineRule="auto"/>
              <w:jc w:val="center"/>
              <w:rPr>
                <w:rFonts w:cs="Arial"/>
              </w:rPr>
            </w:pPr>
            <w:r w:rsidRPr="00412E44">
              <w:t>166.0*</w:t>
            </w:r>
          </w:p>
        </w:tc>
        <w:tc>
          <w:tcPr>
            <w:tcW w:w="1134" w:type="dxa"/>
            <w:tcBorders>
              <w:top w:val="nil"/>
              <w:left w:val="nil"/>
              <w:bottom w:val="nil"/>
              <w:right w:val="nil"/>
            </w:tcBorders>
            <w:shd w:val="clear" w:color="auto" w:fill="D9D9D9" w:themeFill="background1" w:themeFillShade="D9"/>
            <w:noWrap/>
            <w:vAlign w:val="center"/>
            <w:hideMark/>
          </w:tcPr>
          <w:p w14:paraId="30BAD3D0" w14:textId="31C4253B" w:rsidR="00C37031" w:rsidRPr="00412E44" w:rsidRDefault="00C37031" w:rsidP="00C37031">
            <w:pPr>
              <w:spacing w:after="0" w:line="240" w:lineRule="auto"/>
              <w:jc w:val="center"/>
              <w:rPr>
                <w:rFonts w:cs="Arial"/>
              </w:rPr>
            </w:pPr>
            <w:r w:rsidRPr="00412E44">
              <w:t>161.7</w:t>
            </w:r>
          </w:p>
        </w:tc>
        <w:tc>
          <w:tcPr>
            <w:tcW w:w="992" w:type="dxa"/>
            <w:tcBorders>
              <w:top w:val="nil"/>
              <w:left w:val="nil"/>
              <w:bottom w:val="nil"/>
              <w:right w:val="nil"/>
            </w:tcBorders>
            <w:shd w:val="clear" w:color="auto" w:fill="D9D9D9" w:themeFill="background1" w:themeFillShade="D9"/>
            <w:noWrap/>
            <w:vAlign w:val="center"/>
            <w:hideMark/>
          </w:tcPr>
          <w:p w14:paraId="0A5CA390" w14:textId="251E054C" w:rsidR="00C37031" w:rsidRPr="00412E44" w:rsidRDefault="00C37031" w:rsidP="00C37031">
            <w:pPr>
              <w:spacing w:after="0" w:line="240" w:lineRule="auto"/>
              <w:jc w:val="center"/>
              <w:rPr>
                <w:rFonts w:cs="Arial"/>
              </w:rPr>
            </w:pPr>
            <w:r w:rsidRPr="00412E44">
              <w:t>4.2</w:t>
            </w:r>
          </w:p>
        </w:tc>
        <w:tc>
          <w:tcPr>
            <w:tcW w:w="851" w:type="dxa"/>
            <w:tcBorders>
              <w:top w:val="nil"/>
              <w:left w:val="nil"/>
              <w:bottom w:val="nil"/>
              <w:right w:val="nil"/>
            </w:tcBorders>
            <w:shd w:val="clear" w:color="auto" w:fill="D9D9D9" w:themeFill="background1" w:themeFillShade="D9"/>
            <w:noWrap/>
            <w:vAlign w:val="center"/>
            <w:hideMark/>
          </w:tcPr>
          <w:p w14:paraId="1EFB8C5A" w14:textId="11D34AC4" w:rsidR="00C37031" w:rsidRPr="00412E44" w:rsidRDefault="00C37031" w:rsidP="00C37031">
            <w:pPr>
              <w:spacing w:after="0" w:line="240" w:lineRule="auto"/>
              <w:jc w:val="center"/>
              <w:rPr>
                <w:rFonts w:cs="Arial"/>
              </w:rPr>
            </w:pPr>
            <w:r w:rsidRPr="00412E44">
              <w:t>2.6</w:t>
            </w:r>
          </w:p>
        </w:tc>
        <w:tc>
          <w:tcPr>
            <w:tcW w:w="992" w:type="dxa"/>
            <w:tcBorders>
              <w:top w:val="nil"/>
              <w:left w:val="nil"/>
              <w:bottom w:val="nil"/>
              <w:right w:val="nil"/>
            </w:tcBorders>
            <w:shd w:val="clear" w:color="auto" w:fill="D9D9D9" w:themeFill="background1" w:themeFillShade="D9"/>
            <w:noWrap/>
            <w:vAlign w:val="center"/>
            <w:hideMark/>
          </w:tcPr>
          <w:p w14:paraId="334425A6" w14:textId="6E571E34" w:rsidR="00C37031" w:rsidRPr="00412E44" w:rsidRDefault="00C37031" w:rsidP="00C37031">
            <w:pPr>
              <w:spacing w:after="0" w:line="240" w:lineRule="auto"/>
              <w:jc w:val="center"/>
              <w:rPr>
                <w:rFonts w:cs="Arial"/>
              </w:rPr>
            </w:pPr>
            <w:r w:rsidRPr="00412E44">
              <w:t>16.9</w:t>
            </w:r>
          </w:p>
        </w:tc>
        <w:tc>
          <w:tcPr>
            <w:tcW w:w="992" w:type="dxa"/>
            <w:tcBorders>
              <w:top w:val="nil"/>
              <w:left w:val="nil"/>
              <w:bottom w:val="nil"/>
              <w:right w:val="nil"/>
            </w:tcBorders>
            <w:shd w:val="clear" w:color="auto" w:fill="D9D9D9" w:themeFill="background1" w:themeFillShade="D9"/>
            <w:noWrap/>
            <w:vAlign w:val="center"/>
            <w:hideMark/>
          </w:tcPr>
          <w:p w14:paraId="586519AF" w14:textId="5AA655FC" w:rsidR="00C37031" w:rsidRPr="00412E44" w:rsidRDefault="00C37031" w:rsidP="00C37031">
            <w:pPr>
              <w:spacing w:after="0" w:line="240" w:lineRule="auto"/>
              <w:jc w:val="center"/>
              <w:rPr>
                <w:rFonts w:cs="Arial"/>
              </w:rPr>
            </w:pPr>
            <w:r w:rsidRPr="00412E44">
              <w:t>11.4</w:t>
            </w:r>
          </w:p>
        </w:tc>
      </w:tr>
      <w:tr w:rsidR="00C37031" w:rsidRPr="00412E44" w14:paraId="01D285E2" w14:textId="77777777" w:rsidTr="006C23DB">
        <w:trPr>
          <w:trHeight w:val="300"/>
          <w:jc w:val="center"/>
        </w:trPr>
        <w:tc>
          <w:tcPr>
            <w:tcW w:w="3118" w:type="dxa"/>
            <w:tcBorders>
              <w:top w:val="nil"/>
              <w:left w:val="nil"/>
              <w:bottom w:val="nil"/>
              <w:right w:val="nil"/>
            </w:tcBorders>
            <w:shd w:val="clear" w:color="auto" w:fill="FFFFFF" w:themeFill="background1"/>
            <w:noWrap/>
            <w:vAlign w:val="center"/>
            <w:hideMark/>
          </w:tcPr>
          <w:p w14:paraId="79A25D66" w14:textId="77777777" w:rsidR="00C37031" w:rsidRPr="00412E44" w:rsidRDefault="00C37031" w:rsidP="00C37031">
            <w:pPr>
              <w:spacing w:after="0" w:line="240" w:lineRule="auto"/>
              <w:rPr>
                <w:rFonts w:cs="Arial"/>
              </w:rPr>
            </w:pPr>
            <w:r w:rsidRPr="00412E44">
              <w:rPr>
                <w:rFonts w:cs="Arial"/>
              </w:rPr>
              <w:t>Construction</w:t>
            </w:r>
          </w:p>
        </w:tc>
        <w:tc>
          <w:tcPr>
            <w:tcW w:w="1134" w:type="dxa"/>
            <w:tcBorders>
              <w:top w:val="nil"/>
              <w:left w:val="nil"/>
              <w:bottom w:val="nil"/>
              <w:right w:val="nil"/>
            </w:tcBorders>
            <w:shd w:val="clear" w:color="auto" w:fill="FFFFFF" w:themeFill="background1"/>
            <w:noWrap/>
            <w:vAlign w:val="center"/>
            <w:hideMark/>
          </w:tcPr>
          <w:p w14:paraId="64E5FC14" w14:textId="6725EB1B" w:rsidR="00C37031" w:rsidRPr="00412E44" w:rsidRDefault="00C37031" w:rsidP="00C37031">
            <w:pPr>
              <w:spacing w:after="0" w:line="240" w:lineRule="auto"/>
              <w:jc w:val="center"/>
              <w:rPr>
                <w:rFonts w:cs="Arial"/>
              </w:rPr>
            </w:pPr>
            <w:r w:rsidRPr="00412E44">
              <w:t>1,332.5*</w:t>
            </w:r>
          </w:p>
        </w:tc>
        <w:tc>
          <w:tcPr>
            <w:tcW w:w="1134" w:type="dxa"/>
            <w:tcBorders>
              <w:top w:val="nil"/>
              <w:left w:val="nil"/>
              <w:bottom w:val="nil"/>
              <w:right w:val="nil"/>
            </w:tcBorders>
            <w:shd w:val="clear" w:color="auto" w:fill="FFFFFF" w:themeFill="background1"/>
            <w:noWrap/>
            <w:vAlign w:val="center"/>
            <w:hideMark/>
          </w:tcPr>
          <w:p w14:paraId="66046600" w14:textId="444EB1AC" w:rsidR="00C37031" w:rsidRPr="00412E44" w:rsidRDefault="00C37031" w:rsidP="00C37031">
            <w:pPr>
              <w:spacing w:after="0" w:line="240" w:lineRule="auto"/>
              <w:jc w:val="center"/>
              <w:rPr>
                <w:rFonts w:cs="Arial"/>
              </w:rPr>
            </w:pPr>
            <w:r w:rsidRPr="00412E44">
              <w:t>1,296.2</w:t>
            </w:r>
          </w:p>
        </w:tc>
        <w:tc>
          <w:tcPr>
            <w:tcW w:w="992" w:type="dxa"/>
            <w:tcBorders>
              <w:top w:val="nil"/>
              <w:left w:val="nil"/>
              <w:bottom w:val="nil"/>
              <w:right w:val="nil"/>
            </w:tcBorders>
            <w:shd w:val="clear" w:color="auto" w:fill="FFFFFF" w:themeFill="background1"/>
            <w:noWrap/>
            <w:vAlign w:val="center"/>
            <w:hideMark/>
          </w:tcPr>
          <w:p w14:paraId="51CA0CEE" w14:textId="7E0C72AC" w:rsidR="00C37031" w:rsidRPr="00412E44" w:rsidRDefault="00C37031" w:rsidP="00C37031">
            <w:pPr>
              <w:spacing w:after="0" w:line="240" w:lineRule="auto"/>
              <w:jc w:val="center"/>
              <w:rPr>
                <w:rFonts w:cs="Arial"/>
              </w:rPr>
            </w:pPr>
            <w:r w:rsidRPr="00412E44">
              <w:t>36.3</w:t>
            </w:r>
          </w:p>
        </w:tc>
        <w:tc>
          <w:tcPr>
            <w:tcW w:w="851" w:type="dxa"/>
            <w:tcBorders>
              <w:top w:val="nil"/>
              <w:left w:val="nil"/>
              <w:bottom w:val="nil"/>
              <w:right w:val="nil"/>
            </w:tcBorders>
            <w:shd w:val="clear" w:color="auto" w:fill="FFFFFF" w:themeFill="background1"/>
            <w:noWrap/>
            <w:vAlign w:val="center"/>
            <w:hideMark/>
          </w:tcPr>
          <w:p w14:paraId="4F5ED4C3" w14:textId="70D572FE" w:rsidR="00C37031" w:rsidRPr="00412E44" w:rsidRDefault="00C37031" w:rsidP="00C37031">
            <w:pPr>
              <w:spacing w:after="0" w:line="240" w:lineRule="auto"/>
              <w:jc w:val="center"/>
              <w:rPr>
                <w:rFonts w:cs="Arial"/>
              </w:rPr>
            </w:pPr>
            <w:r w:rsidRPr="00412E44">
              <w:t>2.8</w:t>
            </w:r>
          </w:p>
        </w:tc>
        <w:tc>
          <w:tcPr>
            <w:tcW w:w="992" w:type="dxa"/>
            <w:tcBorders>
              <w:top w:val="nil"/>
              <w:left w:val="nil"/>
              <w:bottom w:val="nil"/>
              <w:right w:val="nil"/>
            </w:tcBorders>
            <w:shd w:val="clear" w:color="auto" w:fill="FFFFFF" w:themeFill="background1"/>
            <w:noWrap/>
            <w:vAlign w:val="center"/>
            <w:hideMark/>
          </w:tcPr>
          <w:p w14:paraId="04150F91" w14:textId="4AEF161A" w:rsidR="00C37031" w:rsidRPr="00412E44" w:rsidRDefault="00C37031" w:rsidP="00C37031">
            <w:pPr>
              <w:spacing w:after="0" w:line="240" w:lineRule="auto"/>
              <w:jc w:val="center"/>
              <w:rPr>
                <w:rFonts w:cs="Arial"/>
              </w:rPr>
            </w:pPr>
            <w:r w:rsidRPr="00412E44">
              <w:t>161.1</w:t>
            </w:r>
          </w:p>
        </w:tc>
        <w:tc>
          <w:tcPr>
            <w:tcW w:w="992" w:type="dxa"/>
            <w:tcBorders>
              <w:top w:val="nil"/>
              <w:left w:val="nil"/>
              <w:bottom w:val="nil"/>
              <w:right w:val="nil"/>
            </w:tcBorders>
            <w:shd w:val="clear" w:color="auto" w:fill="FFFFFF" w:themeFill="background1"/>
            <w:noWrap/>
            <w:vAlign w:val="center"/>
            <w:hideMark/>
          </w:tcPr>
          <w:p w14:paraId="3702CF2B" w14:textId="2D52A427" w:rsidR="00C37031" w:rsidRPr="00412E44" w:rsidRDefault="00C37031" w:rsidP="00C37031">
            <w:pPr>
              <w:spacing w:after="0" w:line="240" w:lineRule="auto"/>
              <w:jc w:val="center"/>
              <w:rPr>
                <w:rFonts w:cs="Arial"/>
              </w:rPr>
            </w:pPr>
            <w:r w:rsidRPr="00412E44">
              <w:t>13.8</w:t>
            </w:r>
          </w:p>
        </w:tc>
      </w:tr>
      <w:tr w:rsidR="00C37031" w:rsidRPr="00412E44" w14:paraId="4BFA604A" w14:textId="77777777" w:rsidTr="006C23DB">
        <w:trPr>
          <w:trHeight w:val="300"/>
          <w:jc w:val="center"/>
        </w:trPr>
        <w:tc>
          <w:tcPr>
            <w:tcW w:w="3118" w:type="dxa"/>
            <w:tcBorders>
              <w:top w:val="nil"/>
              <w:left w:val="nil"/>
              <w:bottom w:val="nil"/>
              <w:right w:val="nil"/>
            </w:tcBorders>
            <w:shd w:val="clear" w:color="auto" w:fill="D9D9D9" w:themeFill="background1" w:themeFillShade="D9"/>
            <w:noWrap/>
            <w:vAlign w:val="center"/>
            <w:hideMark/>
          </w:tcPr>
          <w:p w14:paraId="0466D9BD" w14:textId="77777777" w:rsidR="00C37031" w:rsidRPr="00412E44" w:rsidRDefault="00C37031" w:rsidP="00C37031">
            <w:pPr>
              <w:spacing w:after="0" w:line="240" w:lineRule="auto"/>
              <w:rPr>
                <w:rFonts w:cs="Arial"/>
              </w:rPr>
            </w:pPr>
            <w:r w:rsidRPr="00412E44">
              <w:rPr>
                <w:rFonts w:cs="Arial"/>
              </w:rPr>
              <w:t>Wholesale Trade</w:t>
            </w:r>
          </w:p>
        </w:tc>
        <w:tc>
          <w:tcPr>
            <w:tcW w:w="1134" w:type="dxa"/>
            <w:tcBorders>
              <w:top w:val="nil"/>
              <w:left w:val="nil"/>
              <w:bottom w:val="nil"/>
              <w:right w:val="nil"/>
            </w:tcBorders>
            <w:shd w:val="clear" w:color="auto" w:fill="D9D9D9" w:themeFill="background1" w:themeFillShade="D9"/>
            <w:noWrap/>
            <w:vAlign w:val="center"/>
            <w:hideMark/>
          </w:tcPr>
          <w:p w14:paraId="78BBE8B2" w14:textId="2A9F7EE5" w:rsidR="00C37031" w:rsidRPr="00412E44" w:rsidRDefault="00C37031" w:rsidP="00C37031">
            <w:pPr>
              <w:spacing w:after="0" w:line="240" w:lineRule="auto"/>
              <w:jc w:val="center"/>
              <w:rPr>
                <w:rFonts w:cs="Arial"/>
              </w:rPr>
            </w:pPr>
            <w:r w:rsidRPr="00412E44">
              <w:t>383.9</w:t>
            </w:r>
          </w:p>
        </w:tc>
        <w:tc>
          <w:tcPr>
            <w:tcW w:w="1134" w:type="dxa"/>
            <w:tcBorders>
              <w:top w:val="nil"/>
              <w:left w:val="nil"/>
              <w:bottom w:val="nil"/>
              <w:right w:val="nil"/>
            </w:tcBorders>
            <w:shd w:val="clear" w:color="auto" w:fill="D9D9D9" w:themeFill="background1" w:themeFillShade="D9"/>
            <w:noWrap/>
            <w:vAlign w:val="center"/>
            <w:hideMark/>
          </w:tcPr>
          <w:p w14:paraId="5BDAFEF9" w14:textId="31155CA5" w:rsidR="00C37031" w:rsidRPr="00412E44" w:rsidRDefault="00C37031" w:rsidP="00C37031">
            <w:pPr>
              <w:spacing w:after="0" w:line="240" w:lineRule="auto"/>
              <w:jc w:val="center"/>
              <w:rPr>
                <w:rFonts w:cs="Arial"/>
              </w:rPr>
            </w:pPr>
            <w:r w:rsidRPr="00412E44">
              <w:t>372.6</w:t>
            </w:r>
          </w:p>
        </w:tc>
        <w:tc>
          <w:tcPr>
            <w:tcW w:w="992" w:type="dxa"/>
            <w:tcBorders>
              <w:top w:val="nil"/>
              <w:left w:val="nil"/>
              <w:bottom w:val="nil"/>
              <w:right w:val="nil"/>
            </w:tcBorders>
            <w:shd w:val="clear" w:color="auto" w:fill="D9D9D9" w:themeFill="background1" w:themeFillShade="D9"/>
            <w:noWrap/>
            <w:vAlign w:val="center"/>
            <w:hideMark/>
          </w:tcPr>
          <w:p w14:paraId="7B746CFF" w14:textId="7CF2DD3B" w:rsidR="00C37031" w:rsidRPr="00412E44" w:rsidRDefault="00C37031" w:rsidP="00C37031">
            <w:pPr>
              <w:spacing w:after="0" w:line="240" w:lineRule="auto"/>
              <w:jc w:val="center"/>
              <w:rPr>
                <w:rFonts w:cs="Arial"/>
              </w:rPr>
            </w:pPr>
            <w:r w:rsidRPr="00412E44">
              <w:t>11.3</w:t>
            </w:r>
          </w:p>
        </w:tc>
        <w:tc>
          <w:tcPr>
            <w:tcW w:w="851" w:type="dxa"/>
            <w:tcBorders>
              <w:top w:val="nil"/>
              <w:left w:val="nil"/>
              <w:bottom w:val="nil"/>
              <w:right w:val="nil"/>
            </w:tcBorders>
            <w:shd w:val="clear" w:color="auto" w:fill="D9D9D9" w:themeFill="background1" w:themeFillShade="D9"/>
            <w:noWrap/>
            <w:vAlign w:val="center"/>
            <w:hideMark/>
          </w:tcPr>
          <w:p w14:paraId="3C866AF9" w14:textId="7BFEF1B6" w:rsidR="00C37031" w:rsidRPr="00412E44" w:rsidRDefault="00C37031" w:rsidP="00C37031">
            <w:pPr>
              <w:spacing w:after="0" w:line="240" w:lineRule="auto"/>
              <w:jc w:val="center"/>
              <w:rPr>
                <w:rFonts w:cs="Arial"/>
              </w:rPr>
            </w:pPr>
            <w:r w:rsidRPr="00412E44">
              <w:t>3.0</w:t>
            </w:r>
          </w:p>
        </w:tc>
        <w:tc>
          <w:tcPr>
            <w:tcW w:w="992" w:type="dxa"/>
            <w:tcBorders>
              <w:top w:val="nil"/>
              <w:left w:val="nil"/>
              <w:bottom w:val="nil"/>
              <w:right w:val="nil"/>
            </w:tcBorders>
            <w:shd w:val="clear" w:color="auto" w:fill="D9D9D9" w:themeFill="background1" w:themeFillShade="D9"/>
            <w:noWrap/>
            <w:vAlign w:val="center"/>
            <w:hideMark/>
          </w:tcPr>
          <w:p w14:paraId="0BC2A183" w14:textId="56DD4F99" w:rsidR="00C37031" w:rsidRPr="00412E44" w:rsidRDefault="00C37031" w:rsidP="00C37031">
            <w:pPr>
              <w:spacing w:after="0" w:line="240" w:lineRule="auto"/>
              <w:jc w:val="center"/>
              <w:rPr>
                <w:rFonts w:cs="Arial"/>
              </w:rPr>
            </w:pPr>
            <w:r w:rsidRPr="00412E44">
              <w:t>6.5</w:t>
            </w:r>
          </w:p>
        </w:tc>
        <w:tc>
          <w:tcPr>
            <w:tcW w:w="992" w:type="dxa"/>
            <w:tcBorders>
              <w:top w:val="nil"/>
              <w:left w:val="nil"/>
              <w:bottom w:val="nil"/>
              <w:right w:val="nil"/>
            </w:tcBorders>
            <w:shd w:val="clear" w:color="auto" w:fill="D9D9D9" w:themeFill="background1" w:themeFillShade="D9"/>
            <w:noWrap/>
            <w:vAlign w:val="center"/>
            <w:hideMark/>
          </w:tcPr>
          <w:p w14:paraId="44BAC3E7" w14:textId="51F82DA9" w:rsidR="00C37031" w:rsidRPr="00412E44" w:rsidRDefault="00C37031" w:rsidP="00C37031">
            <w:pPr>
              <w:spacing w:after="0" w:line="240" w:lineRule="auto"/>
              <w:jc w:val="center"/>
              <w:rPr>
                <w:rFonts w:cs="Arial"/>
              </w:rPr>
            </w:pPr>
            <w:r w:rsidRPr="00412E44">
              <w:t>1.7</w:t>
            </w:r>
          </w:p>
        </w:tc>
      </w:tr>
      <w:tr w:rsidR="00C37031" w:rsidRPr="00412E44" w14:paraId="0D48E913" w14:textId="77777777" w:rsidTr="006C23DB">
        <w:trPr>
          <w:trHeight w:val="300"/>
          <w:jc w:val="center"/>
        </w:trPr>
        <w:tc>
          <w:tcPr>
            <w:tcW w:w="3118" w:type="dxa"/>
            <w:tcBorders>
              <w:top w:val="nil"/>
              <w:left w:val="nil"/>
              <w:bottom w:val="nil"/>
              <w:right w:val="nil"/>
            </w:tcBorders>
            <w:shd w:val="clear" w:color="auto" w:fill="FFFFFF" w:themeFill="background1"/>
            <w:noWrap/>
            <w:vAlign w:val="center"/>
            <w:hideMark/>
          </w:tcPr>
          <w:p w14:paraId="5F4CDBE2" w14:textId="77777777" w:rsidR="00C37031" w:rsidRPr="00412E44" w:rsidRDefault="00C37031" w:rsidP="00C37031">
            <w:pPr>
              <w:spacing w:after="0" w:line="240" w:lineRule="auto"/>
              <w:rPr>
                <w:rFonts w:cs="Arial"/>
              </w:rPr>
            </w:pPr>
            <w:r w:rsidRPr="00412E44">
              <w:rPr>
                <w:rFonts w:cs="Arial"/>
              </w:rPr>
              <w:t>Retail Trade</w:t>
            </w:r>
          </w:p>
        </w:tc>
        <w:tc>
          <w:tcPr>
            <w:tcW w:w="1134" w:type="dxa"/>
            <w:tcBorders>
              <w:top w:val="nil"/>
              <w:left w:val="nil"/>
              <w:bottom w:val="nil"/>
              <w:right w:val="nil"/>
            </w:tcBorders>
            <w:shd w:val="clear" w:color="auto" w:fill="FFFFFF" w:themeFill="background1"/>
            <w:noWrap/>
            <w:vAlign w:val="center"/>
            <w:hideMark/>
          </w:tcPr>
          <w:p w14:paraId="229C679D" w14:textId="4B01511C" w:rsidR="00C37031" w:rsidRPr="00412E44" w:rsidRDefault="00C37031" w:rsidP="00C37031">
            <w:pPr>
              <w:spacing w:after="0" w:line="240" w:lineRule="auto"/>
              <w:jc w:val="center"/>
              <w:rPr>
                <w:rFonts w:cs="Arial"/>
              </w:rPr>
            </w:pPr>
            <w:r w:rsidRPr="00412E44">
              <w:t>1,338.1*</w:t>
            </w:r>
          </w:p>
        </w:tc>
        <w:tc>
          <w:tcPr>
            <w:tcW w:w="1134" w:type="dxa"/>
            <w:tcBorders>
              <w:top w:val="nil"/>
              <w:left w:val="nil"/>
              <w:bottom w:val="nil"/>
              <w:right w:val="nil"/>
            </w:tcBorders>
            <w:shd w:val="clear" w:color="auto" w:fill="FFFFFF" w:themeFill="background1"/>
            <w:noWrap/>
            <w:vAlign w:val="center"/>
            <w:hideMark/>
          </w:tcPr>
          <w:p w14:paraId="653FA4D6" w14:textId="439FDC7A" w:rsidR="00C37031" w:rsidRPr="00412E44" w:rsidRDefault="00C37031" w:rsidP="00C37031">
            <w:pPr>
              <w:spacing w:after="0" w:line="240" w:lineRule="auto"/>
              <w:jc w:val="center"/>
              <w:rPr>
                <w:rFonts w:cs="Arial"/>
              </w:rPr>
            </w:pPr>
            <w:r w:rsidRPr="00412E44">
              <w:t>1,332.4</w:t>
            </w:r>
          </w:p>
        </w:tc>
        <w:tc>
          <w:tcPr>
            <w:tcW w:w="992" w:type="dxa"/>
            <w:tcBorders>
              <w:top w:val="nil"/>
              <w:left w:val="nil"/>
              <w:bottom w:val="nil"/>
              <w:right w:val="nil"/>
            </w:tcBorders>
            <w:shd w:val="clear" w:color="auto" w:fill="FFFFFF" w:themeFill="background1"/>
            <w:noWrap/>
            <w:vAlign w:val="center"/>
            <w:hideMark/>
          </w:tcPr>
          <w:p w14:paraId="55A3856D" w14:textId="57C55C66" w:rsidR="00C37031" w:rsidRPr="00412E44" w:rsidRDefault="00C37031" w:rsidP="00C37031">
            <w:pPr>
              <w:spacing w:after="0" w:line="240" w:lineRule="auto"/>
              <w:jc w:val="center"/>
              <w:rPr>
                <w:rFonts w:cs="Arial"/>
              </w:rPr>
            </w:pPr>
            <w:r w:rsidRPr="00412E44">
              <w:t>5.6</w:t>
            </w:r>
          </w:p>
        </w:tc>
        <w:tc>
          <w:tcPr>
            <w:tcW w:w="851" w:type="dxa"/>
            <w:tcBorders>
              <w:top w:val="nil"/>
              <w:left w:val="nil"/>
              <w:bottom w:val="nil"/>
              <w:right w:val="nil"/>
            </w:tcBorders>
            <w:shd w:val="clear" w:color="auto" w:fill="FFFFFF" w:themeFill="background1"/>
            <w:noWrap/>
            <w:vAlign w:val="center"/>
            <w:hideMark/>
          </w:tcPr>
          <w:p w14:paraId="7D427EB6" w14:textId="678DB3BF" w:rsidR="00C37031" w:rsidRPr="00412E44" w:rsidRDefault="00C37031" w:rsidP="00C37031">
            <w:pPr>
              <w:spacing w:after="0" w:line="240" w:lineRule="auto"/>
              <w:jc w:val="center"/>
              <w:rPr>
                <w:rFonts w:cs="Arial"/>
              </w:rPr>
            </w:pPr>
            <w:r w:rsidRPr="00412E44">
              <w:t>0.4</w:t>
            </w:r>
          </w:p>
        </w:tc>
        <w:tc>
          <w:tcPr>
            <w:tcW w:w="992" w:type="dxa"/>
            <w:tcBorders>
              <w:top w:val="nil"/>
              <w:left w:val="nil"/>
              <w:bottom w:val="nil"/>
              <w:right w:val="nil"/>
            </w:tcBorders>
            <w:shd w:val="clear" w:color="auto" w:fill="FFFFFF" w:themeFill="background1"/>
            <w:noWrap/>
            <w:vAlign w:val="center"/>
            <w:hideMark/>
          </w:tcPr>
          <w:p w14:paraId="7B03FD55" w14:textId="1A6DD845" w:rsidR="00C37031" w:rsidRPr="00412E44" w:rsidRDefault="00C37031" w:rsidP="00C37031">
            <w:pPr>
              <w:spacing w:after="0" w:line="240" w:lineRule="auto"/>
              <w:jc w:val="center"/>
              <w:rPr>
                <w:rFonts w:cs="Arial"/>
              </w:rPr>
            </w:pPr>
            <w:r w:rsidRPr="00412E44">
              <w:t>72.1</w:t>
            </w:r>
          </w:p>
        </w:tc>
        <w:tc>
          <w:tcPr>
            <w:tcW w:w="992" w:type="dxa"/>
            <w:tcBorders>
              <w:top w:val="nil"/>
              <w:left w:val="nil"/>
              <w:bottom w:val="nil"/>
              <w:right w:val="nil"/>
            </w:tcBorders>
            <w:shd w:val="clear" w:color="auto" w:fill="FFFFFF" w:themeFill="background1"/>
            <w:noWrap/>
            <w:vAlign w:val="center"/>
            <w:hideMark/>
          </w:tcPr>
          <w:p w14:paraId="631A9166" w14:textId="60596D28" w:rsidR="00C37031" w:rsidRPr="00412E44" w:rsidRDefault="00C37031" w:rsidP="00C37031">
            <w:pPr>
              <w:spacing w:after="0" w:line="240" w:lineRule="auto"/>
              <w:jc w:val="center"/>
              <w:rPr>
                <w:rFonts w:cs="Arial"/>
              </w:rPr>
            </w:pPr>
            <w:r w:rsidRPr="00412E44">
              <w:t>5.7</w:t>
            </w:r>
          </w:p>
        </w:tc>
      </w:tr>
      <w:tr w:rsidR="00C37031" w:rsidRPr="00412E44" w14:paraId="33C95784" w14:textId="77777777" w:rsidTr="006C23DB">
        <w:trPr>
          <w:trHeight w:val="300"/>
          <w:jc w:val="center"/>
        </w:trPr>
        <w:tc>
          <w:tcPr>
            <w:tcW w:w="3118" w:type="dxa"/>
            <w:tcBorders>
              <w:top w:val="nil"/>
              <w:left w:val="nil"/>
              <w:bottom w:val="nil"/>
              <w:right w:val="nil"/>
            </w:tcBorders>
            <w:shd w:val="clear" w:color="auto" w:fill="D9D9D9" w:themeFill="background1" w:themeFillShade="D9"/>
            <w:noWrap/>
            <w:vAlign w:val="center"/>
            <w:hideMark/>
          </w:tcPr>
          <w:p w14:paraId="41222A69" w14:textId="77777777" w:rsidR="00C37031" w:rsidRPr="00412E44" w:rsidRDefault="00C37031" w:rsidP="00C37031">
            <w:pPr>
              <w:spacing w:after="0" w:line="240" w:lineRule="auto"/>
              <w:rPr>
                <w:rFonts w:cs="Arial"/>
              </w:rPr>
            </w:pPr>
            <w:r w:rsidRPr="00412E44">
              <w:rPr>
                <w:rFonts w:cs="Arial"/>
              </w:rPr>
              <w:t>Accommodation and Food Services</w:t>
            </w:r>
          </w:p>
        </w:tc>
        <w:tc>
          <w:tcPr>
            <w:tcW w:w="1134" w:type="dxa"/>
            <w:tcBorders>
              <w:top w:val="nil"/>
              <w:left w:val="nil"/>
              <w:bottom w:val="nil"/>
              <w:right w:val="nil"/>
            </w:tcBorders>
            <w:shd w:val="clear" w:color="auto" w:fill="D9D9D9" w:themeFill="background1" w:themeFillShade="D9"/>
            <w:noWrap/>
            <w:vAlign w:val="center"/>
            <w:hideMark/>
          </w:tcPr>
          <w:p w14:paraId="56C1D3F0" w14:textId="3CD58520" w:rsidR="00C37031" w:rsidRPr="00412E44" w:rsidRDefault="00C37031" w:rsidP="00C37031">
            <w:pPr>
              <w:spacing w:after="0" w:line="240" w:lineRule="auto"/>
              <w:jc w:val="center"/>
              <w:rPr>
                <w:rFonts w:cs="Arial"/>
              </w:rPr>
            </w:pPr>
            <w:r w:rsidRPr="00412E44">
              <w:t>913.2</w:t>
            </w:r>
          </w:p>
        </w:tc>
        <w:tc>
          <w:tcPr>
            <w:tcW w:w="1134" w:type="dxa"/>
            <w:tcBorders>
              <w:top w:val="nil"/>
              <w:left w:val="nil"/>
              <w:bottom w:val="nil"/>
              <w:right w:val="nil"/>
            </w:tcBorders>
            <w:shd w:val="clear" w:color="auto" w:fill="D9D9D9" w:themeFill="background1" w:themeFillShade="D9"/>
            <w:noWrap/>
            <w:vAlign w:val="center"/>
            <w:hideMark/>
          </w:tcPr>
          <w:p w14:paraId="64EC7733" w14:textId="304C4B5F" w:rsidR="00C37031" w:rsidRPr="00412E44" w:rsidRDefault="00C37031" w:rsidP="00C37031">
            <w:pPr>
              <w:spacing w:after="0" w:line="240" w:lineRule="auto"/>
              <w:jc w:val="center"/>
              <w:rPr>
                <w:rFonts w:cs="Arial"/>
              </w:rPr>
            </w:pPr>
            <w:r w:rsidRPr="00412E44">
              <w:t>931.3</w:t>
            </w:r>
          </w:p>
        </w:tc>
        <w:tc>
          <w:tcPr>
            <w:tcW w:w="992" w:type="dxa"/>
            <w:tcBorders>
              <w:top w:val="nil"/>
              <w:left w:val="nil"/>
              <w:bottom w:val="nil"/>
              <w:right w:val="nil"/>
            </w:tcBorders>
            <w:shd w:val="clear" w:color="auto" w:fill="D9D9D9" w:themeFill="background1" w:themeFillShade="D9"/>
            <w:noWrap/>
            <w:vAlign w:val="center"/>
            <w:hideMark/>
          </w:tcPr>
          <w:p w14:paraId="5EA5D7A3" w14:textId="29CC59CA" w:rsidR="00C37031" w:rsidRPr="00412E44" w:rsidRDefault="00C37031" w:rsidP="00C37031">
            <w:pPr>
              <w:spacing w:after="0" w:line="240" w:lineRule="auto"/>
              <w:jc w:val="center"/>
              <w:rPr>
                <w:rFonts w:cs="Arial"/>
              </w:rPr>
            </w:pPr>
            <w:r w:rsidRPr="00412E44">
              <w:t>-18.0</w:t>
            </w:r>
          </w:p>
        </w:tc>
        <w:tc>
          <w:tcPr>
            <w:tcW w:w="851" w:type="dxa"/>
            <w:tcBorders>
              <w:top w:val="nil"/>
              <w:left w:val="nil"/>
              <w:bottom w:val="nil"/>
              <w:right w:val="nil"/>
            </w:tcBorders>
            <w:shd w:val="clear" w:color="auto" w:fill="D9D9D9" w:themeFill="background1" w:themeFillShade="D9"/>
            <w:noWrap/>
            <w:vAlign w:val="center"/>
            <w:hideMark/>
          </w:tcPr>
          <w:p w14:paraId="1B4E6893" w14:textId="720E3397" w:rsidR="00C37031" w:rsidRPr="00412E44" w:rsidRDefault="00C37031" w:rsidP="00C37031">
            <w:pPr>
              <w:spacing w:after="0" w:line="240" w:lineRule="auto"/>
              <w:jc w:val="center"/>
              <w:rPr>
                <w:rFonts w:cs="Arial"/>
              </w:rPr>
            </w:pPr>
            <w:r w:rsidRPr="00412E44">
              <w:t>-1.9</w:t>
            </w:r>
          </w:p>
        </w:tc>
        <w:tc>
          <w:tcPr>
            <w:tcW w:w="992" w:type="dxa"/>
            <w:tcBorders>
              <w:top w:val="nil"/>
              <w:left w:val="nil"/>
              <w:bottom w:val="nil"/>
              <w:right w:val="nil"/>
            </w:tcBorders>
            <w:shd w:val="clear" w:color="auto" w:fill="D9D9D9" w:themeFill="background1" w:themeFillShade="D9"/>
            <w:noWrap/>
            <w:vAlign w:val="center"/>
            <w:hideMark/>
          </w:tcPr>
          <w:p w14:paraId="2A0E9982" w14:textId="53FBF87E" w:rsidR="00C37031" w:rsidRPr="00412E44" w:rsidRDefault="00C37031" w:rsidP="00C37031">
            <w:pPr>
              <w:spacing w:after="0" w:line="240" w:lineRule="auto"/>
              <w:jc w:val="center"/>
              <w:rPr>
                <w:rFonts w:cs="Arial"/>
              </w:rPr>
            </w:pPr>
            <w:r w:rsidRPr="00412E44">
              <w:t>19.9</w:t>
            </w:r>
          </w:p>
        </w:tc>
        <w:tc>
          <w:tcPr>
            <w:tcW w:w="992" w:type="dxa"/>
            <w:tcBorders>
              <w:top w:val="nil"/>
              <w:left w:val="nil"/>
              <w:bottom w:val="nil"/>
              <w:right w:val="nil"/>
            </w:tcBorders>
            <w:shd w:val="clear" w:color="auto" w:fill="D9D9D9" w:themeFill="background1" w:themeFillShade="D9"/>
            <w:noWrap/>
            <w:vAlign w:val="center"/>
            <w:hideMark/>
          </w:tcPr>
          <w:p w14:paraId="0D23DC5B" w14:textId="2B4F54B7" w:rsidR="00C37031" w:rsidRPr="00412E44" w:rsidRDefault="00C37031" w:rsidP="00C37031">
            <w:pPr>
              <w:spacing w:after="0" w:line="240" w:lineRule="auto"/>
              <w:jc w:val="center"/>
              <w:rPr>
                <w:rFonts w:cs="Arial"/>
              </w:rPr>
            </w:pPr>
            <w:r w:rsidRPr="00412E44">
              <w:t>2.2</w:t>
            </w:r>
          </w:p>
        </w:tc>
      </w:tr>
      <w:tr w:rsidR="00C37031" w:rsidRPr="00412E44" w14:paraId="2281BA3A" w14:textId="77777777" w:rsidTr="006C23DB">
        <w:trPr>
          <w:trHeight w:val="300"/>
          <w:jc w:val="center"/>
        </w:trPr>
        <w:tc>
          <w:tcPr>
            <w:tcW w:w="3118" w:type="dxa"/>
            <w:tcBorders>
              <w:top w:val="nil"/>
              <w:left w:val="nil"/>
              <w:bottom w:val="nil"/>
              <w:right w:val="nil"/>
            </w:tcBorders>
            <w:shd w:val="clear" w:color="auto" w:fill="FFFFFF" w:themeFill="background1"/>
            <w:noWrap/>
            <w:vAlign w:val="center"/>
            <w:hideMark/>
          </w:tcPr>
          <w:p w14:paraId="4E2F2F3B" w14:textId="77777777" w:rsidR="00C37031" w:rsidRPr="00412E44" w:rsidRDefault="00C37031" w:rsidP="00C37031">
            <w:pPr>
              <w:spacing w:after="0" w:line="240" w:lineRule="auto"/>
              <w:rPr>
                <w:rFonts w:cs="Arial"/>
              </w:rPr>
            </w:pPr>
            <w:r w:rsidRPr="00412E44">
              <w:rPr>
                <w:rFonts w:cs="Arial"/>
              </w:rPr>
              <w:t>Transport, Postal and Warehousing</w:t>
            </w:r>
          </w:p>
        </w:tc>
        <w:tc>
          <w:tcPr>
            <w:tcW w:w="1134" w:type="dxa"/>
            <w:tcBorders>
              <w:top w:val="nil"/>
              <w:left w:val="nil"/>
              <w:bottom w:val="nil"/>
              <w:right w:val="nil"/>
            </w:tcBorders>
            <w:shd w:val="clear" w:color="auto" w:fill="FFFFFF" w:themeFill="background1"/>
            <w:noWrap/>
            <w:vAlign w:val="center"/>
            <w:hideMark/>
          </w:tcPr>
          <w:p w14:paraId="0333C0D4" w14:textId="3099A6E7" w:rsidR="00C37031" w:rsidRPr="00412E44" w:rsidRDefault="00C37031" w:rsidP="00C37031">
            <w:pPr>
              <w:spacing w:after="0" w:line="240" w:lineRule="auto"/>
              <w:jc w:val="center"/>
              <w:rPr>
                <w:rFonts w:cs="Arial"/>
              </w:rPr>
            </w:pPr>
            <w:r w:rsidRPr="00412E44">
              <w:t>727.5*</w:t>
            </w:r>
          </w:p>
        </w:tc>
        <w:tc>
          <w:tcPr>
            <w:tcW w:w="1134" w:type="dxa"/>
            <w:tcBorders>
              <w:top w:val="nil"/>
              <w:left w:val="nil"/>
              <w:bottom w:val="nil"/>
              <w:right w:val="nil"/>
            </w:tcBorders>
            <w:shd w:val="clear" w:color="auto" w:fill="FFFFFF" w:themeFill="background1"/>
            <w:noWrap/>
            <w:vAlign w:val="center"/>
            <w:hideMark/>
          </w:tcPr>
          <w:p w14:paraId="7379490C" w14:textId="78496066" w:rsidR="00C37031" w:rsidRPr="00412E44" w:rsidRDefault="00C37031" w:rsidP="00C37031">
            <w:pPr>
              <w:spacing w:after="0" w:line="240" w:lineRule="auto"/>
              <w:jc w:val="center"/>
              <w:rPr>
                <w:rFonts w:cs="Arial"/>
              </w:rPr>
            </w:pPr>
            <w:r w:rsidRPr="00412E44">
              <w:t>708.1</w:t>
            </w:r>
          </w:p>
        </w:tc>
        <w:tc>
          <w:tcPr>
            <w:tcW w:w="992" w:type="dxa"/>
            <w:tcBorders>
              <w:top w:val="nil"/>
              <w:left w:val="nil"/>
              <w:bottom w:val="nil"/>
              <w:right w:val="nil"/>
            </w:tcBorders>
            <w:shd w:val="clear" w:color="auto" w:fill="FFFFFF" w:themeFill="background1"/>
            <w:noWrap/>
            <w:vAlign w:val="center"/>
            <w:hideMark/>
          </w:tcPr>
          <w:p w14:paraId="0EF44EDF" w14:textId="60DB66E6" w:rsidR="00C37031" w:rsidRPr="00412E44" w:rsidRDefault="00C37031" w:rsidP="00C37031">
            <w:pPr>
              <w:spacing w:after="0" w:line="240" w:lineRule="auto"/>
              <w:jc w:val="center"/>
              <w:rPr>
                <w:rFonts w:cs="Arial"/>
              </w:rPr>
            </w:pPr>
            <w:r w:rsidRPr="00412E44">
              <w:t>19.3</w:t>
            </w:r>
          </w:p>
        </w:tc>
        <w:tc>
          <w:tcPr>
            <w:tcW w:w="851" w:type="dxa"/>
            <w:tcBorders>
              <w:top w:val="nil"/>
              <w:left w:val="nil"/>
              <w:bottom w:val="nil"/>
              <w:right w:val="nil"/>
            </w:tcBorders>
            <w:shd w:val="clear" w:color="auto" w:fill="FFFFFF" w:themeFill="background1"/>
            <w:noWrap/>
            <w:vAlign w:val="center"/>
            <w:hideMark/>
          </w:tcPr>
          <w:p w14:paraId="4D826EA4" w14:textId="21C99888" w:rsidR="00C37031" w:rsidRPr="00412E44" w:rsidRDefault="00C37031" w:rsidP="00C37031">
            <w:pPr>
              <w:spacing w:after="0" w:line="240" w:lineRule="auto"/>
              <w:jc w:val="center"/>
              <w:rPr>
                <w:rFonts w:cs="Arial"/>
              </w:rPr>
            </w:pPr>
            <w:r w:rsidRPr="00412E44">
              <w:t>2.7</w:t>
            </w:r>
          </w:p>
        </w:tc>
        <w:tc>
          <w:tcPr>
            <w:tcW w:w="992" w:type="dxa"/>
            <w:tcBorders>
              <w:top w:val="nil"/>
              <w:left w:val="nil"/>
              <w:bottom w:val="nil"/>
              <w:right w:val="nil"/>
            </w:tcBorders>
            <w:shd w:val="clear" w:color="auto" w:fill="FFFFFF" w:themeFill="background1"/>
            <w:noWrap/>
            <w:vAlign w:val="center"/>
            <w:hideMark/>
          </w:tcPr>
          <w:p w14:paraId="1FDB7B2C" w14:textId="23692EC0" w:rsidR="00C37031" w:rsidRPr="00412E44" w:rsidRDefault="00C37031" w:rsidP="00C37031">
            <w:pPr>
              <w:spacing w:after="0" w:line="240" w:lineRule="auto"/>
              <w:jc w:val="center"/>
              <w:rPr>
                <w:rFonts w:cs="Arial"/>
              </w:rPr>
            </w:pPr>
            <w:r w:rsidRPr="00412E44">
              <w:t>76.7</w:t>
            </w:r>
          </w:p>
        </w:tc>
        <w:tc>
          <w:tcPr>
            <w:tcW w:w="992" w:type="dxa"/>
            <w:tcBorders>
              <w:top w:val="nil"/>
              <w:left w:val="nil"/>
              <w:bottom w:val="nil"/>
              <w:right w:val="nil"/>
            </w:tcBorders>
            <w:shd w:val="clear" w:color="auto" w:fill="FFFFFF" w:themeFill="background1"/>
            <w:noWrap/>
            <w:vAlign w:val="center"/>
            <w:hideMark/>
          </w:tcPr>
          <w:p w14:paraId="4211088C" w14:textId="6A4B1759" w:rsidR="00C37031" w:rsidRPr="00412E44" w:rsidRDefault="00C37031" w:rsidP="00C37031">
            <w:pPr>
              <w:spacing w:after="0" w:line="240" w:lineRule="auto"/>
              <w:jc w:val="center"/>
              <w:rPr>
                <w:rFonts w:cs="Arial"/>
              </w:rPr>
            </w:pPr>
            <w:r w:rsidRPr="00412E44">
              <w:t>11.8</w:t>
            </w:r>
          </w:p>
        </w:tc>
      </w:tr>
      <w:tr w:rsidR="00C37031" w:rsidRPr="00412E44" w14:paraId="3C1AD9AC" w14:textId="77777777" w:rsidTr="006C23DB">
        <w:trPr>
          <w:trHeight w:val="300"/>
          <w:jc w:val="center"/>
        </w:trPr>
        <w:tc>
          <w:tcPr>
            <w:tcW w:w="3118" w:type="dxa"/>
            <w:tcBorders>
              <w:top w:val="nil"/>
              <w:left w:val="nil"/>
              <w:bottom w:val="nil"/>
              <w:right w:val="nil"/>
            </w:tcBorders>
            <w:shd w:val="clear" w:color="auto" w:fill="D9D9D9" w:themeFill="background1" w:themeFillShade="D9"/>
            <w:noWrap/>
            <w:vAlign w:val="center"/>
            <w:hideMark/>
          </w:tcPr>
          <w:p w14:paraId="65D214F7" w14:textId="77777777" w:rsidR="00C37031" w:rsidRPr="00412E44" w:rsidRDefault="00C37031" w:rsidP="00C37031">
            <w:pPr>
              <w:spacing w:after="0" w:line="240" w:lineRule="auto"/>
              <w:rPr>
                <w:rFonts w:cs="Arial"/>
              </w:rPr>
            </w:pPr>
            <w:r w:rsidRPr="00412E44">
              <w:rPr>
                <w:rFonts w:cs="Arial"/>
              </w:rPr>
              <w:t>Information Media and Telecommunications</w:t>
            </w:r>
          </w:p>
        </w:tc>
        <w:tc>
          <w:tcPr>
            <w:tcW w:w="1134" w:type="dxa"/>
            <w:tcBorders>
              <w:top w:val="nil"/>
              <w:left w:val="nil"/>
              <w:bottom w:val="nil"/>
              <w:right w:val="nil"/>
            </w:tcBorders>
            <w:shd w:val="clear" w:color="auto" w:fill="D9D9D9" w:themeFill="background1" w:themeFillShade="D9"/>
            <w:noWrap/>
            <w:vAlign w:val="center"/>
            <w:hideMark/>
          </w:tcPr>
          <w:p w14:paraId="477B3606" w14:textId="68EE1762" w:rsidR="00C37031" w:rsidRPr="00412E44" w:rsidRDefault="00C37031" w:rsidP="00C37031">
            <w:pPr>
              <w:spacing w:after="0" w:line="240" w:lineRule="auto"/>
              <w:jc w:val="center"/>
              <w:rPr>
                <w:rFonts w:cs="Arial"/>
              </w:rPr>
            </w:pPr>
            <w:r w:rsidRPr="00412E44">
              <w:t>186.7</w:t>
            </w:r>
          </w:p>
        </w:tc>
        <w:tc>
          <w:tcPr>
            <w:tcW w:w="1134" w:type="dxa"/>
            <w:tcBorders>
              <w:top w:val="nil"/>
              <w:left w:val="nil"/>
              <w:bottom w:val="nil"/>
              <w:right w:val="nil"/>
            </w:tcBorders>
            <w:shd w:val="clear" w:color="auto" w:fill="D9D9D9" w:themeFill="background1" w:themeFillShade="D9"/>
            <w:noWrap/>
            <w:vAlign w:val="center"/>
            <w:hideMark/>
          </w:tcPr>
          <w:p w14:paraId="5CD46C67" w14:textId="5DB8B0B6" w:rsidR="00C37031" w:rsidRPr="00412E44" w:rsidRDefault="00C37031" w:rsidP="00C37031">
            <w:pPr>
              <w:spacing w:after="0" w:line="240" w:lineRule="auto"/>
              <w:jc w:val="center"/>
              <w:rPr>
                <w:rFonts w:cs="Arial"/>
              </w:rPr>
            </w:pPr>
            <w:r w:rsidRPr="00412E44">
              <w:t>188.9</w:t>
            </w:r>
          </w:p>
        </w:tc>
        <w:tc>
          <w:tcPr>
            <w:tcW w:w="992" w:type="dxa"/>
            <w:tcBorders>
              <w:top w:val="nil"/>
              <w:left w:val="nil"/>
              <w:bottom w:val="nil"/>
              <w:right w:val="nil"/>
            </w:tcBorders>
            <w:shd w:val="clear" w:color="auto" w:fill="D9D9D9" w:themeFill="background1" w:themeFillShade="D9"/>
            <w:noWrap/>
            <w:vAlign w:val="center"/>
            <w:hideMark/>
          </w:tcPr>
          <w:p w14:paraId="5C4F9EA8" w14:textId="3119B018" w:rsidR="00C37031" w:rsidRPr="00412E44" w:rsidRDefault="00C37031" w:rsidP="00C37031">
            <w:pPr>
              <w:spacing w:after="0" w:line="240" w:lineRule="auto"/>
              <w:jc w:val="center"/>
              <w:rPr>
                <w:rFonts w:cs="Arial"/>
              </w:rPr>
            </w:pPr>
            <w:r w:rsidRPr="00412E44">
              <w:t>-2.2</w:t>
            </w:r>
          </w:p>
        </w:tc>
        <w:tc>
          <w:tcPr>
            <w:tcW w:w="851" w:type="dxa"/>
            <w:tcBorders>
              <w:top w:val="nil"/>
              <w:left w:val="nil"/>
              <w:bottom w:val="nil"/>
              <w:right w:val="nil"/>
            </w:tcBorders>
            <w:shd w:val="clear" w:color="auto" w:fill="D9D9D9" w:themeFill="background1" w:themeFillShade="D9"/>
            <w:noWrap/>
            <w:vAlign w:val="center"/>
            <w:hideMark/>
          </w:tcPr>
          <w:p w14:paraId="75867ACE" w14:textId="33E987B8" w:rsidR="00C37031" w:rsidRPr="00412E44" w:rsidRDefault="00C37031" w:rsidP="00C37031">
            <w:pPr>
              <w:spacing w:after="0" w:line="240" w:lineRule="auto"/>
              <w:jc w:val="center"/>
              <w:rPr>
                <w:rFonts w:cs="Arial"/>
              </w:rPr>
            </w:pPr>
            <w:r w:rsidRPr="00412E44">
              <w:t>-1.2</w:t>
            </w:r>
          </w:p>
        </w:tc>
        <w:tc>
          <w:tcPr>
            <w:tcW w:w="992" w:type="dxa"/>
            <w:tcBorders>
              <w:top w:val="nil"/>
              <w:left w:val="nil"/>
              <w:bottom w:val="nil"/>
              <w:right w:val="nil"/>
            </w:tcBorders>
            <w:shd w:val="clear" w:color="auto" w:fill="D9D9D9" w:themeFill="background1" w:themeFillShade="D9"/>
            <w:noWrap/>
            <w:vAlign w:val="center"/>
            <w:hideMark/>
          </w:tcPr>
          <w:p w14:paraId="432220A1" w14:textId="5B26BA4A" w:rsidR="00C37031" w:rsidRPr="00412E44" w:rsidRDefault="00C37031" w:rsidP="00C37031">
            <w:pPr>
              <w:spacing w:after="0" w:line="240" w:lineRule="auto"/>
              <w:jc w:val="center"/>
              <w:rPr>
                <w:rFonts w:cs="Arial"/>
              </w:rPr>
            </w:pPr>
            <w:r w:rsidRPr="00412E44">
              <w:t>-17.7</w:t>
            </w:r>
          </w:p>
        </w:tc>
        <w:tc>
          <w:tcPr>
            <w:tcW w:w="992" w:type="dxa"/>
            <w:tcBorders>
              <w:top w:val="nil"/>
              <w:left w:val="nil"/>
              <w:bottom w:val="nil"/>
              <w:right w:val="nil"/>
            </w:tcBorders>
            <w:shd w:val="clear" w:color="auto" w:fill="D9D9D9" w:themeFill="background1" w:themeFillShade="D9"/>
            <w:noWrap/>
            <w:vAlign w:val="center"/>
            <w:hideMark/>
          </w:tcPr>
          <w:p w14:paraId="0F4A9AA1" w14:textId="72E0BA96" w:rsidR="00C37031" w:rsidRPr="00412E44" w:rsidRDefault="00C37031" w:rsidP="00C37031">
            <w:pPr>
              <w:spacing w:after="0" w:line="240" w:lineRule="auto"/>
              <w:jc w:val="center"/>
              <w:rPr>
                <w:rFonts w:cs="Arial"/>
              </w:rPr>
            </w:pPr>
            <w:r w:rsidRPr="00412E44">
              <w:t>-8.7</w:t>
            </w:r>
          </w:p>
        </w:tc>
      </w:tr>
      <w:tr w:rsidR="00C37031" w:rsidRPr="00412E44" w14:paraId="1538C1AC" w14:textId="77777777" w:rsidTr="006C23DB">
        <w:trPr>
          <w:trHeight w:val="300"/>
          <w:jc w:val="center"/>
        </w:trPr>
        <w:tc>
          <w:tcPr>
            <w:tcW w:w="3118" w:type="dxa"/>
            <w:tcBorders>
              <w:top w:val="nil"/>
              <w:left w:val="nil"/>
              <w:bottom w:val="nil"/>
              <w:right w:val="nil"/>
            </w:tcBorders>
            <w:shd w:val="clear" w:color="auto" w:fill="FFFFFF" w:themeFill="background1"/>
            <w:noWrap/>
            <w:vAlign w:val="center"/>
            <w:hideMark/>
          </w:tcPr>
          <w:p w14:paraId="6D1D6463" w14:textId="77777777" w:rsidR="00C37031" w:rsidRPr="00412E44" w:rsidRDefault="00C37031" w:rsidP="00C37031">
            <w:pPr>
              <w:spacing w:after="0" w:line="240" w:lineRule="auto"/>
              <w:rPr>
                <w:rFonts w:cs="Arial"/>
              </w:rPr>
            </w:pPr>
            <w:r w:rsidRPr="00412E44">
              <w:rPr>
                <w:rFonts w:cs="Arial"/>
              </w:rPr>
              <w:t>Financial and Insurance Services</w:t>
            </w:r>
          </w:p>
        </w:tc>
        <w:tc>
          <w:tcPr>
            <w:tcW w:w="1134" w:type="dxa"/>
            <w:tcBorders>
              <w:top w:val="nil"/>
              <w:left w:val="nil"/>
              <w:bottom w:val="nil"/>
              <w:right w:val="nil"/>
            </w:tcBorders>
            <w:shd w:val="clear" w:color="auto" w:fill="FFFFFF" w:themeFill="background1"/>
            <w:noWrap/>
            <w:vAlign w:val="center"/>
            <w:hideMark/>
          </w:tcPr>
          <w:p w14:paraId="1BA1200E" w14:textId="1C21A377" w:rsidR="00C37031" w:rsidRPr="00412E44" w:rsidRDefault="00C37031" w:rsidP="00C37031">
            <w:pPr>
              <w:spacing w:after="0" w:line="240" w:lineRule="auto"/>
              <w:jc w:val="center"/>
              <w:rPr>
                <w:rFonts w:cs="Arial"/>
              </w:rPr>
            </w:pPr>
            <w:r w:rsidRPr="00412E44">
              <w:t>544.5</w:t>
            </w:r>
          </w:p>
        </w:tc>
        <w:tc>
          <w:tcPr>
            <w:tcW w:w="1134" w:type="dxa"/>
            <w:tcBorders>
              <w:top w:val="nil"/>
              <w:left w:val="nil"/>
              <w:bottom w:val="nil"/>
              <w:right w:val="nil"/>
            </w:tcBorders>
            <w:shd w:val="clear" w:color="auto" w:fill="FFFFFF" w:themeFill="background1"/>
            <w:noWrap/>
            <w:vAlign w:val="center"/>
            <w:hideMark/>
          </w:tcPr>
          <w:p w14:paraId="0F5776C1" w14:textId="0A2606C7" w:rsidR="00C37031" w:rsidRPr="00412E44" w:rsidRDefault="00C37031" w:rsidP="00C37031">
            <w:pPr>
              <w:spacing w:after="0" w:line="240" w:lineRule="auto"/>
              <w:jc w:val="center"/>
              <w:rPr>
                <w:rFonts w:cs="Arial"/>
              </w:rPr>
            </w:pPr>
            <w:r w:rsidRPr="00412E44">
              <w:t>551.1</w:t>
            </w:r>
          </w:p>
        </w:tc>
        <w:tc>
          <w:tcPr>
            <w:tcW w:w="992" w:type="dxa"/>
            <w:tcBorders>
              <w:top w:val="nil"/>
              <w:left w:val="nil"/>
              <w:bottom w:val="nil"/>
              <w:right w:val="nil"/>
            </w:tcBorders>
            <w:shd w:val="clear" w:color="auto" w:fill="FFFFFF" w:themeFill="background1"/>
            <w:noWrap/>
            <w:vAlign w:val="center"/>
            <w:hideMark/>
          </w:tcPr>
          <w:p w14:paraId="29739066" w14:textId="4E07F9B6" w:rsidR="00C37031" w:rsidRPr="00412E44" w:rsidRDefault="00C37031" w:rsidP="00C37031">
            <w:pPr>
              <w:spacing w:after="0" w:line="240" w:lineRule="auto"/>
              <w:jc w:val="center"/>
              <w:rPr>
                <w:rFonts w:cs="Arial"/>
              </w:rPr>
            </w:pPr>
            <w:r w:rsidRPr="00412E44">
              <w:t>-6.6</w:t>
            </w:r>
          </w:p>
        </w:tc>
        <w:tc>
          <w:tcPr>
            <w:tcW w:w="851" w:type="dxa"/>
            <w:tcBorders>
              <w:top w:val="nil"/>
              <w:left w:val="nil"/>
              <w:bottom w:val="nil"/>
              <w:right w:val="nil"/>
            </w:tcBorders>
            <w:shd w:val="clear" w:color="auto" w:fill="FFFFFF" w:themeFill="background1"/>
            <w:noWrap/>
            <w:vAlign w:val="center"/>
            <w:hideMark/>
          </w:tcPr>
          <w:p w14:paraId="51775B11" w14:textId="5CC97D6A" w:rsidR="00C37031" w:rsidRPr="00412E44" w:rsidRDefault="00C37031" w:rsidP="00C37031">
            <w:pPr>
              <w:spacing w:after="0" w:line="240" w:lineRule="auto"/>
              <w:jc w:val="center"/>
              <w:rPr>
                <w:rFonts w:cs="Arial"/>
              </w:rPr>
            </w:pPr>
            <w:r w:rsidRPr="00412E44">
              <w:t>-1.2</w:t>
            </w:r>
          </w:p>
        </w:tc>
        <w:tc>
          <w:tcPr>
            <w:tcW w:w="992" w:type="dxa"/>
            <w:tcBorders>
              <w:top w:val="nil"/>
              <w:left w:val="nil"/>
              <w:bottom w:val="nil"/>
              <w:right w:val="nil"/>
            </w:tcBorders>
            <w:shd w:val="clear" w:color="auto" w:fill="FFFFFF" w:themeFill="background1"/>
            <w:noWrap/>
            <w:vAlign w:val="center"/>
            <w:hideMark/>
          </w:tcPr>
          <w:p w14:paraId="6AED75FD" w14:textId="18BA8451" w:rsidR="00C37031" w:rsidRPr="00412E44" w:rsidRDefault="00C37031" w:rsidP="00C37031">
            <w:pPr>
              <w:spacing w:after="0" w:line="240" w:lineRule="auto"/>
              <w:jc w:val="center"/>
              <w:rPr>
                <w:rFonts w:cs="Arial"/>
              </w:rPr>
            </w:pPr>
            <w:r w:rsidRPr="00412E44">
              <w:t>101.7</w:t>
            </w:r>
          </w:p>
        </w:tc>
        <w:tc>
          <w:tcPr>
            <w:tcW w:w="992" w:type="dxa"/>
            <w:tcBorders>
              <w:top w:val="nil"/>
              <w:left w:val="nil"/>
              <w:bottom w:val="nil"/>
              <w:right w:val="nil"/>
            </w:tcBorders>
            <w:shd w:val="clear" w:color="auto" w:fill="FFFFFF" w:themeFill="background1"/>
            <w:noWrap/>
            <w:vAlign w:val="center"/>
            <w:hideMark/>
          </w:tcPr>
          <w:p w14:paraId="32D44A72" w14:textId="3BB99EC8" w:rsidR="00C37031" w:rsidRPr="00412E44" w:rsidRDefault="00C37031" w:rsidP="00C37031">
            <w:pPr>
              <w:spacing w:after="0" w:line="240" w:lineRule="auto"/>
              <w:jc w:val="center"/>
              <w:rPr>
                <w:rFonts w:cs="Arial"/>
              </w:rPr>
            </w:pPr>
            <w:r w:rsidRPr="00412E44">
              <w:t>23.0</w:t>
            </w:r>
          </w:p>
        </w:tc>
      </w:tr>
      <w:tr w:rsidR="00C37031" w:rsidRPr="00412E44" w14:paraId="0DBFD090" w14:textId="77777777" w:rsidTr="006C23DB">
        <w:trPr>
          <w:trHeight w:val="300"/>
          <w:jc w:val="center"/>
        </w:trPr>
        <w:tc>
          <w:tcPr>
            <w:tcW w:w="3118" w:type="dxa"/>
            <w:tcBorders>
              <w:top w:val="nil"/>
              <w:left w:val="nil"/>
              <w:bottom w:val="nil"/>
              <w:right w:val="nil"/>
            </w:tcBorders>
            <w:shd w:val="clear" w:color="auto" w:fill="D9D9D9" w:themeFill="background1" w:themeFillShade="D9"/>
            <w:noWrap/>
            <w:vAlign w:val="center"/>
            <w:hideMark/>
          </w:tcPr>
          <w:p w14:paraId="3D6A972F" w14:textId="77777777" w:rsidR="00C37031" w:rsidRPr="00412E44" w:rsidRDefault="00C37031" w:rsidP="00C37031">
            <w:pPr>
              <w:spacing w:after="0" w:line="240" w:lineRule="auto"/>
              <w:rPr>
                <w:rFonts w:cs="Arial"/>
              </w:rPr>
            </w:pPr>
            <w:r w:rsidRPr="00412E44">
              <w:rPr>
                <w:rFonts w:cs="Arial"/>
              </w:rPr>
              <w:t>Rental, Hiring and Real Estate Services</w:t>
            </w:r>
          </w:p>
        </w:tc>
        <w:tc>
          <w:tcPr>
            <w:tcW w:w="1134" w:type="dxa"/>
            <w:tcBorders>
              <w:top w:val="nil"/>
              <w:left w:val="nil"/>
              <w:bottom w:val="nil"/>
              <w:right w:val="nil"/>
            </w:tcBorders>
            <w:shd w:val="clear" w:color="auto" w:fill="D9D9D9" w:themeFill="background1" w:themeFillShade="D9"/>
            <w:noWrap/>
            <w:vAlign w:val="center"/>
            <w:hideMark/>
          </w:tcPr>
          <w:p w14:paraId="3D36CCA7" w14:textId="24ECB56F" w:rsidR="00C37031" w:rsidRPr="00412E44" w:rsidRDefault="00C37031" w:rsidP="00C37031">
            <w:pPr>
              <w:spacing w:after="0" w:line="240" w:lineRule="auto"/>
              <w:jc w:val="center"/>
              <w:rPr>
                <w:rFonts w:cs="Arial"/>
              </w:rPr>
            </w:pPr>
            <w:r w:rsidRPr="00412E44">
              <w:t>219.2*</w:t>
            </w:r>
          </w:p>
        </w:tc>
        <w:tc>
          <w:tcPr>
            <w:tcW w:w="1134" w:type="dxa"/>
            <w:tcBorders>
              <w:top w:val="nil"/>
              <w:left w:val="nil"/>
              <w:bottom w:val="nil"/>
              <w:right w:val="nil"/>
            </w:tcBorders>
            <w:shd w:val="clear" w:color="auto" w:fill="D9D9D9" w:themeFill="background1" w:themeFillShade="D9"/>
            <w:noWrap/>
            <w:vAlign w:val="center"/>
            <w:hideMark/>
          </w:tcPr>
          <w:p w14:paraId="7A55EFB1" w14:textId="19E6C868" w:rsidR="00C37031" w:rsidRPr="00412E44" w:rsidRDefault="00C37031" w:rsidP="00C37031">
            <w:pPr>
              <w:spacing w:after="0" w:line="240" w:lineRule="auto"/>
              <w:jc w:val="center"/>
              <w:rPr>
                <w:rFonts w:cs="Arial"/>
              </w:rPr>
            </w:pPr>
            <w:r w:rsidRPr="00412E44">
              <w:t>218.8</w:t>
            </w:r>
          </w:p>
        </w:tc>
        <w:tc>
          <w:tcPr>
            <w:tcW w:w="992" w:type="dxa"/>
            <w:tcBorders>
              <w:top w:val="nil"/>
              <w:left w:val="nil"/>
              <w:bottom w:val="nil"/>
              <w:right w:val="nil"/>
            </w:tcBorders>
            <w:shd w:val="clear" w:color="auto" w:fill="D9D9D9" w:themeFill="background1" w:themeFillShade="D9"/>
            <w:noWrap/>
            <w:vAlign w:val="center"/>
            <w:hideMark/>
          </w:tcPr>
          <w:p w14:paraId="4DD94F03" w14:textId="18393534" w:rsidR="00C37031" w:rsidRPr="00412E44" w:rsidRDefault="00C37031" w:rsidP="00C37031">
            <w:pPr>
              <w:spacing w:after="0" w:line="240" w:lineRule="auto"/>
              <w:jc w:val="center"/>
              <w:rPr>
                <w:rFonts w:cs="Arial"/>
              </w:rPr>
            </w:pPr>
            <w:r w:rsidRPr="00412E44">
              <w:t>0.4</w:t>
            </w:r>
          </w:p>
        </w:tc>
        <w:tc>
          <w:tcPr>
            <w:tcW w:w="851" w:type="dxa"/>
            <w:tcBorders>
              <w:top w:val="nil"/>
              <w:left w:val="nil"/>
              <w:bottom w:val="nil"/>
              <w:right w:val="nil"/>
            </w:tcBorders>
            <w:shd w:val="clear" w:color="auto" w:fill="D9D9D9" w:themeFill="background1" w:themeFillShade="D9"/>
            <w:noWrap/>
            <w:vAlign w:val="center"/>
            <w:hideMark/>
          </w:tcPr>
          <w:p w14:paraId="24B90DB8" w14:textId="473E16FA" w:rsidR="00C37031" w:rsidRPr="00412E44" w:rsidRDefault="00C37031" w:rsidP="00C37031">
            <w:pPr>
              <w:spacing w:after="0" w:line="240" w:lineRule="auto"/>
              <w:jc w:val="center"/>
              <w:rPr>
                <w:rFonts w:cs="Arial"/>
              </w:rPr>
            </w:pPr>
            <w:r w:rsidRPr="00412E44">
              <w:t>0.2</w:t>
            </w:r>
          </w:p>
        </w:tc>
        <w:tc>
          <w:tcPr>
            <w:tcW w:w="992" w:type="dxa"/>
            <w:tcBorders>
              <w:top w:val="nil"/>
              <w:left w:val="nil"/>
              <w:bottom w:val="nil"/>
              <w:right w:val="nil"/>
            </w:tcBorders>
            <w:shd w:val="clear" w:color="auto" w:fill="D9D9D9" w:themeFill="background1" w:themeFillShade="D9"/>
            <w:noWrap/>
            <w:vAlign w:val="center"/>
            <w:hideMark/>
          </w:tcPr>
          <w:p w14:paraId="6A500756" w14:textId="24C8F561" w:rsidR="00C37031" w:rsidRPr="00412E44" w:rsidRDefault="00C37031" w:rsidP="00C37031">
            <w:pPr>
              <w:spacing w:after="0" w:line="240" w:lineRule="auto"/>
              <w:jc w:val="center"/>
              <w:rPr>
                <w:rFonts w:cs="Arial"/>
              </w:rPr>
            </w:pPr>
            <w:r w:rsidRPr="00412E44">
              <w:t>7.5</w:t>
            </w:r>
          </w:p>
        </w:tc>
        <w:tc>
          <w:tcPr>
            <w:tcW w:w="992" w:type="dxa"/>
            <w:tcBorders>
              <w:top w:val="nil"/>
              <w:left w:val="nil"/>
              <w:bottom w:val="nil"/>
              <w:right w:val="nil"/>
            </w:tcBorders>
            <w:shd w:val="clear" w:color="auto" w:fill="D9D9D9" w:themeFill="background1" w:themeFillShade="D9"/>
            <w:noWrap/>
            <w:vAlign w:val="center"/>
            <w:hideMark/>
          </w:tcPr>
          <w:p w14:paraId="1B3650A0" w14:textId="0A1F95D4" w:rsidR="00C37031" w:rsidRPr="00412E44" w:rsidRDefault="00C37031" w:rsidP="00C37031">
            <w:pPr>
              <w:spacing w:after="0" w:line="240" w:lineRule="auto"/>
              <w:jc w:val="center"/>
              <w:rPr>
                <w:rFonts w:cs="Arial"/>
              </w:rPr>
            </w:pPr>
            <w:r w:rsidRPr="00412E44">
              <w:t>3.5</w:t>
            </w:r>
          </w:p>
        </w:tc>
      </w:tr>
      <w:tr w:rsidR="00C37031" w:rsidRPr="00412E44" w14:paraId="6E3D56E3" w14:textId="77777777" w:rsidTr="006C23DB">
        <w:trPr>
          <w:trHeight w:val="300"/>
          <w:jc w:val="center"/>
        </w:trPr>
        <w:tc>
          <w:tcPr>
            <w:tcW w:w="3118" w:type="dxa"/>
            <w:tcBorders>
              <w:top w:val="nil"/>
              <w:left w:val="nil"/>
              <w:bottom w:val="nil"/>
              <w:right w:val="nil"/>
            </w:tcBorders>
            <w:shd w:val="clear" w:color="auto" w:fill="FFFFFF" w:themeFill="background1"/>
            <w:noWrap/>
            <w:vAlign w:val="center"/>
            <w:hideMark/>
          </w:tcPr>
          <w:p w14:paraId="12B0CDE7" w14:textId="77777777" w:rsidR="00C37031" w:rsidRPr="00412E44" w:rsidRDefault="00C37031" w:rsidP="00C37031">
            <w:pPr>
              <w:spacing w:after="0" w:line="240" w:lineRule="auto"/>
              <w:rPr>
                <w:rFonts w:cs="Arial"/>
              </w:rPr>
            </w:pPr>
            <w:r w:rsidRPr="00412E44">
              <w:rPr>
                <w:rFonts w:cs="Arial"/>
              </w:rPr>
              <w:t>Professional, Scientific and Technical Services</w:t>
            </w:r>
          </w:p>
        </w:tc>
        <w:tc>
          <w:tcPr>
            <w:tcW w:w="1134" w:type="dxa"/>
            <w:tcBorders>
              <w:top w:val="nil"/>
              <w:left w:val="nil"/>
              <w:bottom w:val="nil"/>
              <w:right w:val="nil"/>
            </w:tcBorders>
            <w:shd w:val="clear" w:color="auto" w:fill="FFFFFF" w:themeFill="background1"/>
            <w:noWrap/>
            <w:vAlign w:val="center"/>
            <w:hideMark/>
          </w:tcPr>
          <w:p w14:paraId="23D7C321" w14:textId="008E6359" w:rsidR="00C37031" w:rsidRPr="00412E44" w:rsidRDefault="00C37031" w:rsidP="00C37031">
            <w:pPr>
              <w:spacing w:after="0" w:line="240" w:lineRule="auto"/>
              <w:jc w:val="center"/>
              <w:rPr>
                <w:rFonts w:cs="Arial"/>
              </w:rPr>
            </w:pPr>
            <w:r w:rsidRPr="00412E44">
              <w:t>1,322.6*</w:t>
            </w:r>
          </w:p>
        </w:tc>
        <w:tc>
          <w:tcPr>
            <w:tcW w:w="1134" w:type="dxa"/>
            <w:tcBorders>
              <w:top w:val="nil"/>
              <w:left w:val="nil"/>
              <w:bottom w:val="nil"/>
              <w:right w:val="nil"/>
            </w:tcBorders>
            <w:shd w:val="clear" w:color="auto" w:fill="FFFFFF" w:themeFill="background1"/>
            <w:noWrap/>
            <w:vAlign w:val="center"/>
            <w:hideMark/>
          </w:tcPr>
          <w:p w14:paraId="276582E9" w14:textId="3EC840A1" w:rsidR="00C37031" w:rsidRPr="00412E44" w:rsidRDefault="00C37031" w:rsidP="00C37031">
            <w:pPr>
              <w:spacing w:after="0" w:line="240" w:lineRule="auto"/>
              <w:jc w:val="center"/>
              <w:rPr>
                <w:rFonts w:cs="Arial"/>
              </w:rPr>
            </w:pPr>
            <w:r w:rsidRPr="00412E44">
              <w:t>1,287.3</w:t>
            </w:r>
          </w:p>
        </w:tc>
        <w:tc>
          <w:tcPr>
            <w:tcW w:w="992" w:type="dxa"/>
            <w:tcBorders>
              <w:top w:val="nil"/>
              <w:left w:val="nil"/>
              <w:bottom w:val="nil"/>
              <w:right w:val="nil"/>
            </w:tcBorders>
            <w:shd w:val="clear" w:color="auto" w:fill="FFFFFF" w:themeFill="background1"/>
            <w:noWrap/>
            <w:vAlign w:val="center"/>
            <w:hideMark/>
          </w:tcPr>
          <w:p w14:paraId="7C5BE7C7" w14:textId="560A869A" w:rsidR="00C37031" w:rsidRPr="00412E44" w:rsidRDefault="00C37031" w:rsidP="00C37031">
            <w:pPr>
              <w:spacing w:after="0" w:line="240" w:lineRule="auto"/>
              <w:jc w:val="center"/>
              <w:rPr>
                <w:rFonts w:cs="Arial"/>
              </w:rPr>
            </w:pPr>
            <w:r w:rsidRPr="00412E44">
              <w:t>35.3</w:t>
            </w:r>
          </w:p>
        </w:tc>
        <w:tc>
          <w:tcPr>
            <w:tcW w:w="851" w:type="dxa"/>
            <w:tcBorders>
              <w:top w:val="nil"/>
              <w:left w:val="nil"/>
              <w:bottom w:val="nil"/>
              <w:right w:val="nil"/>
            </w:tcBorders>
            <w:shd w:val="clear" w:color="auto" w:fill="FFFFFF" w:themeFill="background1"/>
            <w:noWrap/>
            <w:vAlign w:val="center"/>
            <w:hideMark/>
          </w:tcPr>
          <w:p w14:paraId="6CD7B3E7" w14:textId="1B51EBC7" w:rsidR="00C37031" w:rsidRPr="00412E44" w:rsidRDefault="00C37031" w:rsidP="00C37031">
            <w:pPr>
              <w:spacing w:after="0" w:line="240" w:lineRule="auto"/>
              <w:jc w:val="center"/>
              <w:rPr>
                <w:rFonts w:cs="Arial"/>
              </w:rPr>
            </w:pPr>
            <w:r w:rsidRPr="00412E44">
              <w:t>2.7</w:t>
            </w:r>
          </w:p>
        </w:tc>
        <w:tc>
          <w:tcPr>
            <w:tcW w:w="992" w:type="dxa"/>
            <w:tcBorders>
              <w:top w:val="nil"/>
              <w:left w:val="nil"/>
              <w:bottom w:val="nil"/>
              <w:right w:val="nil"/>
            </w:tcBorders>
            <w:shd w:val="clear" w:color="auto" w:fill="FFFFFF" w:themeFill="background1"/>
            <w:noWrap/>
            <w:vAlign w:val="center"/>
            <w:hideMark/>
          </w:tcPr>
          <w:p w14:paraId="2A1D9370" w14:textId="0EBA8DC1" w:rsidR="00C37031" w:rsidRPr="00412E44" w:rsidRDefault="00C37031" w:rsidP="00C37031">
            <w:pPr>
              <w:spacing w:after="0" w:line="240" w:lineRule="auto"/>
              <w:jc w:val="center"/>
              <w:rPr>
                <w:rFonts w:cs="Arial"/>
              </w:rPr>
            </w:pPr>
            <w:r w:rsidRPr="00412E44">
              <w:t>220.6</w:t>
            </w:r>
          </w:p>
        </w:tc>
        <w:tc>
          <w:tcPr>
            <w:tcW w:w="992" w:type="dxa"/>
            <w:tcBorders>
              <w:top w:val="nil"/>
              <w:left w:val="nil"/>
              <w:bottom w:val="nil"/>
              <w:right w:val="nil"/>
            </w:tcBorders>
            <w:shd w:val="clear" w:color="auto" w:fill="FFFFFF" w:themeFill="background1"/>
            <w:noWrap/>
            <w:vAlign w:val="center"/>
            <w:hideMark/>
          </w:tcPr>
          <w:p w14:paraId="4BAE0687" w14:textId="274809AE" w:rsidR="00C37031" w:rsidRPr="00412E44" w:rsidRDefault="00C37031" w:rsidP="00C37031">
            <w:pPr>
              <w:spacing w:after="0" w:line="240" w:lineRule="auto"/>
              <w:jc w:val="center"/>
              <w:rPr>
                <w:rFonts w:cs="Arial"/>
              </w:rPr>
            </w:pPr>
            <w:r w:rsidRPr="00412E44">
              <w:t>20.0</w:t>
            </w:r>
          </w:p>
        </w:tc>
      </w:tr>
      <w:tr w:rsidR="00C37031" w:rsidRPr="00412E44" w14:paraId="33FBED3E" w14:textId="77777777" w:rsidTr="006C23DB">
        <w:trPr>
          <w:trHeight w:val="300"/>
          <w:jc w:val="center"/>
        </w:trPr>
        <w:tc>
          <w:tcPr>
            <w:tcW w:w="3118" w:type="dxa"/>
            <w:tcBorders>
              <w:top w:val="nil"/>
              <w:left w:val="nil"/>
              <w:bottom w:val="nil"/>
              <w:right w:val="nil"/>
            </w:tcBorders>
            <w:shd w:val="clear" w:color="auto" w:fill="D9D9D9" w:themeFill="background1" w:themeFillShade="D9"/>
            <w:noWrap/>
            <w:vAlign w:val="center"/>
            <w:hideMark/>
          </w:tcPr>
          <w:p w14:paraId="423B273E" w14:textId="77777777" w:rsidR="00C37031" w:rsidRPr="00412E44" w:rsidRDefault="00C37031" w:rsidP="00C37031">
            <w:pPr>
              <w:spacing w:after="0" w:line="240" w:lineRule="auto"/>
              <w:rPr>
                <w:rFonts w:cs="Arial"/>
              </w:rPr>
            </w:pPr>
            <w:r w:rsidRPr="00412E44">
              <w:rPr>
                <w:rFonts w:cs="Arial"/>
              </w:rPr>
              <w:t>Administrative and Support Services</w:t>
            </w:r>
          </w:p>
        </w:tc>
        <w:tc>
          <w:tcPr>
            <w:tcW w:w="1134" w:type="dxa"/>
            <w:tcBorders>
              <w:top w:val="nil"/>
              <w:left w:val="nil"/>
              <w:bottom w:val="nil"/>
              <w:right w:val="nil"/>
            </w:tcBorders>
            <w:shd w:val="clear" w:color="auto" w:fill="D9D9D9" w:themeFill="background1" w:themeFillShade="D9"/>
            <w:noWrap/>
            <w:vAlign w:val="center"/>
            <w:hideMark/>
          </w:tcPr>
          <w:p w14:paraId="725D5B33" w14:textId="7AE0020C" w:rsidR="00C37031" w:rsidRPr="00412E44" w:rsidRDefault="00C37031" w:rsidP="00C37031">
            <w:pPr>
              <w:spacing w:after="0" w:line="240" w:lineRule="auto"/>
              <w:jc w:val="center"/>
              <w:rPr>
                <w:rFonts w:cs="Arial"/>
              </w:rPr>
            </w:pPr>
            <w:r w:rsidRPr="00412E44">
              <w:t>419.7</w:t>
            </w:r>
          </w:p>
        </w:tc>
        <w:tc>
          <w:tcPr>
            <w:tcW w:w="1134" w:type="dxa"/>
            <w:tcBorders>
              <w:top w:val="nil"/>
              <w:left w:val="nil"/>
              <w:bottom w:val="nil"/>
              <w:right w:val="nil"/>
            </w:tcBorders>
            <w:shd w:val="clear" w:color="auto" w:fill="D9D9D9" w:themeFill="background1" w:themeFillShade="D9"/>
            <w:noWrap/>
            <w:vAlign w:val="center"/>
            <w:hideMark/>
          </w:tcPr>
          <w:p w14:paraId="0280A007" w14:textId="7CF7BF1B" w:rsidR="00C37031" w:rsidRPr="00412E44" w:rsidRDefault="00C37031" w:rsidP="00C37031">
            <w:pPr>
              <w:spacing w:after="0" w:line="240" w:lineRule="auto"/>
              <w:jc w:val="center"/>
              <w:rPr>
                <w:rFonts w:cs="Arial"/>
              </w:rPr>
            </w:pPr>
            <w:r w:rsidRPr="00412E44">
              <w:t>422.1</w:t>
            </w:r>
          </w:p>
        </w:tc>
        <w:tc>
          <w:tcPr>
            <w:tcW w:w="992" w:type="dxa"/>
            <w:tcBorders>
              <w:top w:val="nil"/>
              <w:left w:val="nil"/>
              <w:bottom w:val="nil"/>
              <w:right w:val="nil"/>
            </w:tcBorders>
            <w:shd w:val="clear" w:color="auto" w:fill="D9D9D9" w:themeFill="background1" w:themeFillShade="D9"/>
            <w:noWrap/>
            <w:vAlign w:val="center"/>
            <w:hideMark/>
          </w:tcPr>
          <w:p w14:paraId="1B87E09F" w14:textId="7E3B6718" w:rsidR="00C37031" w:rsidRPr="00412E44" w:rsidRDefault="00C37031" w:rsidP="00C37031">
            <w:pPr>
              <w:spacing w:after="0" w:line="240" w:lineRule="auto"/>
              <w:jc w:val="center"/>
              <w:rPr>
                <w:rFonts w:cs="Arial"/>
              </w:rPr>
            </w:pPr>
            <w:r w:rsidRPr="00412E44">
              <w:t>-2.4</w:t>
            </w:r>
          </w:p>
        </w:tc>
        <w:tc>
          <w:tcPr>
            <w:tcW w:w="851" w:type="dxa"/>
            <w:tcBorders>
              <w:top w:val="nil"/>
              <w:left w:val="nil"/>
              <w:bottom w:val="nil"/>
              <w:right w:val="nil"/>
            </w:tcBorders>
            <w:shd w:val="clear" w:color="auto" w:fill="D9D9D9" w:themeFill="background1" w:themeFillShade="D9"/>
            <w:noWrap/>
            <w:vAlign w:val="center"/>
            <w:hideMark/>
          </w:tcPr>
          <w:p w14:paraId="46C0F075" w14:textId="369330A0" w:rsidR="00C37031" w:rsidRPr="00412E44" w:rsidRDefault="00C37031" w:rsidP="00C37031">
            <w:pPr>
              <w:spacing w:after="0" w:line="240" w:lineRule="auto"/>
              <w:jc w:val="center"/>
              <w:rPr>
                <w:rFonts w:cs="Arial"/>
              </w:rPr>
            </w:pPr>
            <w:r w:rsidRPr="00412E44">
              <w:t>-0.6</w:t>
            </w:r>
          </w:p>
        </w:tc>
        <w:tc>
          <w:tcPr>
            <w:tcW w:w="992" w:type="dxa"/>
            <w:tcBorders>
              <w:top w:val="nil"/>
              <w:left w:val="nil"/>
              <w:bottom w:val="nil"/>
              <w:right w:val="nil"/>
            </w:tcBorders>
            <w:shd w:val="clear" w:color="auto" w:fill="D9D9D9" w:themeFill="background1" w:themeFillShade="D9"/>
            <w:noWrap/>
            <w:vAlign w:val="center"/>
            <w:hideMark/>
          </w:tcPr>
          <w:p w14:paraId="72D587ED" w14:textId="3FDFEF31" w:rsidR="00C37031" w:rsidRPr="00412E44" w:rsidRDefault="00C37031" w:rsidP="00C37031">
            <w:pPr>
              <w:spacing w:after="0" w:line="240" w:lineRule="auto"/>
              <w:jc w:val="center"/>
              <w:rPr>
                <w:rFonts w:cs="Arial"/>
              </w:rPr>
            </w:pPr>
            <w:r w:rsidRPr="00412E44">
              <w:t>-3.9</w:t>
            </w:r>
          </w:p>
        </w:tc>
        <w:tc>
          <w:tcPr>
            <w:tcW w:w="992" w:type="dxa"/>
            <w:tcBorders>
              <w:top w:val="nil"/>
              <w:left w:val="nil"/>
              <w:bottom w:val="nil"/>
              <w:right w:val="nil"/>
            </w:tcBorders>
            <w:shd w:val="clear" w:color="auto" w:fill="D9D9D9" w:themeFill="background1" w:themeFillShade="D9"/>
            <w:noWrap/>
            <w:vAlign w:val="center"/>
            <w:hideMark/>
          </w:tcPr>
          <w:p w14:paraId="04CC7D9F" w14:textId="3B5D40E1" w:rsidR="00C37031" w:rsidRPr="00412E44" w:rsidRDefault="00C37031" w:rsidP="00C37031">
            <w:pPr>
              <w:spacing w:after="0" w:line="240" w:lineRule="auto"/>
              <w:jc w:val="center"/>
              <w:rPr>
                <w:rFonts w:cs="Arial"/>
              </w:rPr>
            </w:pPr>
            <w:r w:rsidRPr="00412E44">
              <w:t>-0.9</w:t>
            </w:r>
          </w:p>
        </w:tc>
      </w:tr>
      <w:tr w:rsidR="00C37031" w:rsidRPr="00412E44" w14:paraId="4BE44ABF" w14:textId="77777777" w:rsidTr="006C23DB">
        <w:trPr>
          <w:trHeight w:val="300"/>
          <w:jc w:val="center"/>
        </w:trPr>
        <w:tc>
          <w:tcPr>
            <w:tcW w:w="3118" w:type="dxa"/>
            <w:tcBorders>
              <w:top w:val="nil"/>
              <w:left w:val="nil"/>
              <w:bottom w:val="nil"/>
              <w:right w:val="nil"/>
            </w:tcBorders>
            <w:shd w:val="clear" w:color="auto" w:fill="FFFFFF" w:themeFill="background1"/>
            <w:noWrap/>
            <w:vAlign w:val="center"/>
            <w:hideMark/>
          </w:tcPr>
          <w:p w14:paraId="62C92B01" w14:textId="77777777" w:rsidR="00C37031" w:rsidRPr="00412E44" w:rsidRDefault="00C37031" w:rsidP="00C37031">
            <w:pPr>
              <w:spacing w:after="0" w:line="240" w:lineRule="auto"/>
              <w:rPr>
                <w:rFonts w:cs="Arial"/>
              </w:rPr>
            </w:pPr>
            <w:r w:rsidRPr="00412E44">
              <w:rPr>
                <w:rFonts w:cs="Arial"/>
              </w:rPr>
              <w:t>Public Administration and Safety</w:t>
            </w:r>
          </w:p>
        </w:tc>
        <w:tc>
          <w:tcPr>
            <w:tcW w:w="1134" w:type="dxa"/>
            <w:tcBorders>
              <w:top w:val="nil"/>
              <w:left w:val="nil"/>
              <w:bottom w:val="nil"/>
              <w:right w:val="nil"/>
            </w:tcBorders>
            <w:shd w:val="clear" w:color="auto" w:fill="FFFFFF" w:themeFill="background1"/>
            <w:noWrap/>
            <w:vAlign w:val="center"/>
            <w:hideMark/>
          </w:tcPr>
          <w:p w14:paraId="5A83AA24" w14:textId="1AEAF6D8" w:rsidR="00C37031" w:rsidRPr="00412E44" w:rsidRDefault="00C37031" w:rsidP="00C37031">
            <w:pPr>
              <w:spacing w:after="0" w:line="240" w:lineRule="auto"/>
              <w:jc w:val="center"/>
              <w:rPr>
                <w:rFonts w:cs="Arial"/>
              </w:rPr>
            </w:pPr>
            <w:r w:rsidRPr="00412E44">
              <w:t>928.9*</w:t>
            </w:r>
          </w:p>
        </w:tc>
        <w:tc>
          <w:tcPr>
            <w:tcW w:w="1134" w:type="dxa"/>
            <w:tcBorders>
              <w:top w:val="nil"/>
              <w:left w:val="nil"/>
              <w:bottom w:val="nil"/>
              <w:right w:val="nil"/>
            </w:tcBorders>
            <w:shd w:val="clear" w:color="auto" w:fill="FFFFFF" w:themeFill="background1"/>
            <w:noWrap/>
            <w:vAlign w:val="center"/>
            <w:hideMark/>
          </w:tcPr>
          <w:p w14:paraId="08230CAF" w14:textId="4F77455A" w:rsidR="00C37031" w:rsidRPr="00412E44" w:rsidRDefault="00C37031" w:rsidP="00C37031">
            <w:pPr>
              <w:spacing w:after="0" w:line="240" w:lineRule="auto"/>
              <w:jc w:val="center"/>
              <w:rPr>
                <w:rFonts w:cs="Arial"/>
              </w:rPr>
            </w:pPr>
            <w:r w:rsidRPr="00412E44">
              <w:t>897.0</w:t>
            </w:r>
          </w:p>
        </w:tc>
        <w:tc>
          <w:tcPr>
            <w:tcW w:w="992" w:type="dxa"/>
            <w:tcBorders>
              <w:top w:val="nil"/>
              <w:left w:val="nil"/>
              <w:bottom w:val="nil"/>
              <w:right w:val="nil"/>
            </w:tcBorders>
            <w:shd w:val="clear" w:color="auto" w:fill="FFFFFF" w:themeFill="background1"/>
            <w:noWrap/>
            <w:vAlign w:val="center"/>
            <w:hideMark/>
          </w:tcPr>
          <w:p w14:paraId="43AA54BD" w14:textId="4BCA5065" w:rsidR="00C37031" w:rsidRPr="00412E44" w:rsidRDefault="00C37031" w:rsidP="00C37031">
            <w:pPr>
              <w:spacing w:after="0" w:line="240" w:lineRule="auto"/>
              <w:jc w:val="center"/>
              <w:rPr>
                <w:rFonts w:cs="Arial"/>
              </w:rPr>
            </w:pPr>
            <w:r w:rsidRPr="00412E44">
              <w:t>31.9</w:t>
            </w:r>
          </w:p>
        </w:tc>
        <w:tc>
          <w:tcPr>
            <w:tcW w:w="851" w:type="dxa"/>
            <w:tcBorders>
              <w:top w:val="nil"/>
              <w:left w:val="nil"/>
              <w:bottom w:val="nil"/>
              <w:right w:val="nil"/>
            </w:tcBorders>
            <w:shd w:val="clear" w:color="auto" w:fill="FFFFFF" w:themeFill="background1"/>
            <w:noWrap/>
            <w:vAlign w:val="center"/>
            <w:hideMark/>
          </w:tcPr>
          <w:p w14:paraId="7881B537" w14:textId="2C8DD8B5" w:rsidR="00C37031" w:rsidRPr="00412E44" w:rsidRDefault="00C37031" w:rsidP="00C37031">
            <w:pPr>
              <w:spacing w:after="0" w:line="240" w:lineRule="auto"/>
              <w:jc w:val="center"/>
              <w:rPr>
                <w:rFonts w:cs="Arial"/>
              </w:rPr>
            </w:pPr>
            <w:r w:rsidRPr="00412E44">
              <w:t>3.6</w:t>
            </w:r>
          </w:p>
        </w:tc>
        <w:tc>
          <w:tcPr>
            <w:tcW w:w="992" w:type="dxa"/>
            <w:tcBorders>
              <w:top w:val="nil"/>
              <w:left w:val="nil"/>
              <w:bottom w:val="nil"/>
              <w:right w:val="nil"/>
            </w:tcBorders>
            <w:shd w:val="clear" w:color="auto" w:fill="FFFFFF" w:themeFill="background1"/>
            <w:noWrap/>
            <w:vAlign w:val="center"/>
            <w:hideMark/>
          </w:tcPr>
          <w:p w14:paraId="23120807" w14:textId="4008ED56" w:rsidR="00C37031" w:rsidRPr="00412E44" w:rsidRDefault="00C37031" w:rsidP="00C37031">
            <w:pPr>
              <w:spacing w:after="0" w:line="240" w:lineRule="auto"/>
              <w:jc w:val="center"/>
              <w:rPr>
                <w:rFonts w:cs="Arial"/>
              </w:rPr>
            </w:pPr>
            <w:r w:rsidRPr="00412E44">
              <w:t>93.2</w:t>
            </w:r>
          </w:p>
        </w:tc>
        <w:tc>
          <w:tcPr>
            <w:tcW w:w="992" w:type="dxa"/>
            <w:tcBorders>
              <w:top w:val="nil"/>
              <w:left w:val="nil"/>
              <w:bottom w:val="nil"/>
              <w:right w:val="nil"/>
            </w:tcBorders>
            <w:shd w:val="clear" w:color="auto" w:fill="FFFFFF" w:themeFill="background1"/>
            <w:noWrap/>
            <w:vAlign w:val="center"/>
            <w:hideMark/>
          </w:tcPr>
          <w:p w14:paraId="05CAB090" w14:textId="7505A5B9" w:rsidR="00C37031" w:rsidRPr="00412E44" w:rsidRDefault="00C37031" w:rsidP="00C37031">
            <w:pPr>
              <w:spacing w:after="0" w:line="240" w:lineRule="auto"/>
              <w:jc w:val="center"/>
              <w:rPr>
                <w:rFonts w:cs="Arial"/>
              </w:rPr>
            </w:pPr>
            <w:r w:rsidRPr="00412E44">
              <w:t>11.1</w:t>
            </w:r>
          </w:p>
        </w:tc>
      </w:tr>
      <w:tr w:rsidR="00C37031" w:rsidRPr="00412E44" w14:paraId="2D511C8E" w14:textId="77777777" w:rsidTr="006C23DB">
        <w:trPr>
          <w:trHeight w:val="300"/>
          <w:jc w:val="center"/>
        </w:trPr>
        <w:tc>
          <w:tcPr>
            <w:tcW w:w="3118" w:type="dxa"/>
            <w:tcBorders>
              <w:top w:val="nil"/>
              <w:left w:val="nil"/>
              <w:bottom w:val="nil"/>
              <w:right w:val="nil"/>
            </w:tcBorders>
            <w:shd w:val="clear" w:color="auto" w:fill="D9D9D9" w:themeFill="background1" w:themeFillShade="D9"/>
            <w:noWrap/>
            <w:vAlign w:val="center"/>
            <w:hideMark/>
          </w:tcPr>
          <w:p w14:paraId="10145157" w14:textId="77777777" w:rsidR="00C37031" w:rsidRPr="00412E44" w:rsidRDefault="00C37031" w:rsidP="00C37031">
            <w:pPr>
              <w:spacing w:after="0" w:line="240" w:lineRule="auto"/>
              <w:rPr>
                <w:rFonts w:cs="Arial"/>
              </w:rPr>
            </w:pPr>
            <w:r w:rsidRPr="00412E44">
              <w:rPr>
                <w:rFonts w:cs="Arial"/>
              </w:rPr>
              <w:t>Education and Training</w:t>
            </w:r>
          </w:p>
        </w:tc>
        <w:tc>
          <w:tcPr>
            <w:tcW w:w="1134" w:type="dxa"/>
            <w:tcBorders>
              <w:top w:val="nil"/>
              <w:left w:val="nil"/>
              <w:bottom w:val="nil"/>
              <w:right w:val="nil"/>
            </w:tcBorders>
            <w:shd w:val="clear" w:color="auto" w:fill="D9D9D9" w:themeFill="background1" w:themeFillShade="D9"/>
            <w:noWrap/>
            <w:vAlign w:val="center"/>
            <w:hideMark/>
          </w:tcPr>
          <w:p w14:paraId="768122CF" w14:textId="297E0869" w:rsidR="00C37031" w:rsidRPr="00412E44" w:rsidRDefault="00C37031" w:rsidP="00C37031">
            <w:pPr>
              <w:spacing w:after="0" w:line="240" w:lineRule="auto"/>
              <w:jc w:val="center"/>
              <w:rPr>
                <w:rFonts w:cs="Arial"/>
              </w:rPr>
            </w:pPr>
            <w:r w:rsidRPr="00412E44">
              <w:t>1,200.9*</w:t>
            </w:r>
          </w:p>
        </w:tc>
        <w:tc>
          <w:tcPr>
            <w:tcW w:w="1134" w:type="dxa"/>
            <w:tcBorders>
              <w:top w:val="nil"/>
              <w:left w:val="nil"/>
              <w:bottom w:val="nil"/>
              <w:right w:val="nil"/>
            </w:tcBorders>
            <w:shd w:val="clear" w:color="auto" w:fill="D9D9D9" w:themeFill="background1" w:themeFillShade="D9"/>
            <w:noWrap/>
            <w:vAlign w:val="center"/>
            <w:hideMark/>
          </w:tcPr>
          <w:p w14:paraId="532165D8" w14:textId="489514FB" w:rsidR="00C37031" w:rsidRPr="00412E44" w:rsidRDefault="00C37031" w:rsidP="00C37031">
            <w:pPr>
              <w:spacing w:after="0" w:line="240" w:lineRule="auto"/>
              <w:jc w:val="center"/>
              <w:rPr>
                <w:rFonts w:cs="Arial"/>
              </w:rPr>
            </w:pPr>
            <w:r w:rsidRPr="00412E44">
              <w:t>1,149.0</w:t>
            </w:r>
          </w:p>
        </w:tc>
        <w:tc>
          <w:tcPr>
            <w:tcW w:w="992" w:type="dxa"/>
            <w:tcBorders>
              <w:top w:val="nil"/>
              <w:left w:val="nil"/>
              <w:bottom w:val="nil"/>
              <w:right w:val="nil"/>
            </w:tcBorders>
            <w:shd w:val="clear" w:color="auto" w:fill="D9D9D9" w:themeFill="background1" w:themeFillShade="D9"/>
            <w:noWrap/>
            <w:vAlign w:val="center"/>
            <w:hideMark/>
          </w:tcPr>
          <w:p w14:paraId="434CF90B" w14:textId="72426DD5" w:rsidR="00C37031" w:rsidRPr="00412E44" w:rsidRDefault="00C37031" w:rsidP="00C37031">
            <w:pPr>
              <w:spacing w:after="0" w:line="240" w:lineRule="auto"/>
              <w:jc w:val="center"/>
              <w:rPr>
                <w:rFonts w:cs="Arial"/>
              </w:rPr>
            </w:pPr>
            <w:r w:rsidRPr="00412E44">
              <w:t>51.9</w:t>
            </w:r>
          </w:p>
        </w:tc>
        <w:tc>
          <w:tcPr>
            <w:tcW w:w="851" w:type="dxa"/>
            <w:tcBorders>
              <w:top w:val="nil"/>
              <w:left w:val="nil"/>
              <w:bottom w:val="nil"/>
              <w:right w:val="nil"/>
            </w:tcBorders>
            <w:shd w:val="clear" w:color="auto" w:fill="D9D9D9" w:themeFill="background1" w:themeFillShade="D9"/>
            <w:noWrap/>
            <w:vAlign w:val="center"/>
            <w:hideMark/>
          </w:tcPr>
          <w:p w14:paraId="7AFAF236" w14:textId="37C0A7D8" w:rsidR="00C37031" w:rsidRPr="00412E44" w:rsidRDefault="00C37031" w:rsidP="00C37031">
            <w:pPr>
              <w:spacing w:after="0" w:line="240" w:lineRule="auto"/>
              <w:jc w:val="center"/>
              <w:rPr>
                <w:rFonts w:cs="Arial"/>
              </w:rPr>
            </w:pPr>
            <w:r w:rsidRPr="00412E44">
              <w:t>4.5</w:t>
            </w:r>
          </w:p>
        </w:tc>
        <w:tc>
          <w:tcPr>
            <w:tcW w:w="992" w:type="dxa"/>
            <w:tcBorders>
              <w:top w:val="nil"/>
              <w:left w:val="nil"/>
              <w:bottom w:val="nil"/>
              <w:right w:val="nil"/>
            </w:tcBorders>
            <w:shd w:val="clear" w:color="auto" w:fill="D9D9D9" w:themeFill="background1" w:themeFillShade="D9"/>
            <w:noWrap/>
            <w:vAlign w:val="center"/>
            <w:hideMark/>
          </w:tcPr>
          <w:p w14:paraId="082AEBF2" w14:textId="4A16AE5F" w:rsidR="00C37031" w:rsidRPr="00412E44" w:rsidRDefault="00C37031" w:rsidP="00C37031">
            <w:pPr>
              <w:spacing w:after="0" w:line="240" w:lineRule="auto"/>
              <w:jc w:val="center"/>
              <w:rPr>
                <w:rFonts w:cs="Arial"/>
              </w:rPr>
            </w:pPr>
            <w:r w:rsidRPr="00412E44">
              <w:t>163.4</w:t>
            </w:r>
          </w:p>
        </w:tc>
        <w:tc>
          <w:tcPr>
            <w:tcW w:w="992" w:type="dxa"/>
            <w:tcBorders>
              <w:top w:val="nil"/>
              <w:left w:val="nil"/>
              <w:bottom w:val="nil"/>
              <w:right w:val="nil"/>
            </w:tcBorders>
            <w:shd w:val="clear" w:color="auto" w:fill="D9D9D9" w:themeFill="background1" w:themeFillShade="D9"/>
            <w:noWrap/>
            <w:vAlign w:val="center"/>
            <w:hideMark/>
          </w:tcPr>
          <w:p w14:paraId="71AA4CCC" w14:textId="3814CC5D" w:rsidR="00C37031" w:rsidRPr="00412E44" w:rsidRDefault="00C37031" w:rsidP="00C37031">
            <w:pPr>
              <w:spacing w:after="0" w:line="240" w:lineRule="auto"/>
              <w:jc w:val="center"/>
              <w:rPr>
                <w:rFonts w:cs="Arial"/>
              </w:rPr>
            </w:pPr>
            <w:r w:rsidRPr="00412E44">
              <w:t>15.8</w:t>
            </w:r>
          </w:p>
        </w:tc>
      </w:tr>
      <w:tr w:rsidR="00C37031" w:rsidRPr="00412E44" w14:paraId="3F1B0093" w14:textId="77777777" w:rsidTr="006C23DB">
        <w:trPr>
          <w:trHeight w:val="300"/>
          <w:jc w:val="center"/>
        </w:trPr>
        <w:tc>
          <w:tcPr>
            <w:tcW w:w="3118" w:type="dxa"/>
            <w:tcBorders>
              <w:top w:val="nil"/>
              <w:left w:val="nil"/>
              <w:bottom w:val="nil"/>
              <w:right w:val="nil"/>
            </w:tcBorders>
            <w:shd w:val="clear" w:color="auto" w:fill="FFFFFF" w:themeFill="background1"/>
            <w:noWrap/>
            <w:vAlign w:val="center"/>
            <w:hideMark/>
          </w:tcPr>
          <w:p w14:paraId="1BC14389" w14:textId="77777777" w:rsidR="00C37031" w:rsidRPr="00412E44" w:rsidRDefault="00C37031" w:rsidP="00C37031">
            <w:pPr>
              <w:spacing w:after="0" w:line="240" w:lineRule="auto"/>
              <w:rPr>
                <w:rFonts w:cs="Arial"/>
              </w:rPr>
            </w:pPr>
            <w:r w:rsidRPr="00412E44">
              <w:rPr>
                <w:rFonts w:cs="Arial"/>
              </w:rPr>
              <w:t>Health Care and Social Assistance</w:t>
            </w:r>
          </w:p>
        </w:tc>
        <w:tc>
          <w:tcPr>
            <w:tcW w:w="1134" w:type="dxa"/>
            <w:tcBorders>
              <w:top w:val="nil"/>
              <w:left w:val="nil"/>
              <w:bottom w:val="nil"/>
              <w:right w:val="nil"/>
            </w:tcBorders>
            <w:shd w:val="clear" w:color="auto" w:fill="FFFFFF" w:themeFill="background1"/>
            <w:noWrap/>
            <w:vAlign w:val="center"/>
            <w:hideMark/>
          </w:tcPr>
          <w:p w14:paraId="6048B157" w14:textId="0507B867" w:rsidR="00C37031" w:rsidRPr="00412E44" w:rsidRDefault="00C37031" w:rsidP="00C37031">
            <w:pPr>
              <w:spacing w:after="0" w:line="240" w:lineRule="auto"/>
              <w:jc w:val="center"/>
              <w:rPr>
                <w:rFonts w:cs="Arial"/>
              </w:rPr>
            </w:pPr>
            <w:r w:rsidRPr="00412E44">
              <w:t>2,224.4*</w:t>
            </w:r>
          </w:p>
        </w:tc>
        <w:tc>
          <w:tcPr>
            <w:tcW w:w="1134" w:type="dxa"/>
            <w:tcBorders>
              <w:top w:val="nil"/>
              <w:left w:val="nil"/>
              <w:bottom w:val="nil"/>
              <w:right w:val="nil"/>
            </w:tcBorders>
            <w:shd w:val="clear" w:color="auto" w:fill="FFFFFF" w:themeFill="background1"/>
            <w:noWrap/>
            <w:vAlign w:val="center"/>
            <w:hideMark/>
          </w:tcPr>
          <w:p w14:paraId="5FC836E3" w14:textId="11495E9F" w:rsidR="00C37031" w:rsidRPr="00412E44" w:rsidRDefault="00C37031" w:rsidP="00C37031">
            <w:pPr>
              <w:spacing w:after="0" w:line="240" w:lineRule="auto"/>
              <w:jc w:val="center"/>
              <w:rPr>
                <w:rFonts w:cs="Arial"/>
              </w:rPr>
            </w:pPr>
            <w:r w:rsidRPr="00412E44">
              <w:t>2,116.4</w:t>
            </w:r>
          </w:p>
        </w:tc>
        <w:tc>
          <w:tcPr>
            <w:tcW w:w="992" w:type="dxa"/>
            <w:tcBorders>
              <w:top w:val="nil"/>
              <w:left w:val="nil"/>
              <w:bottom w:val="nil"/>
              <w:right w:val="nil"/>
            </w:tcBorders>
            <w:shd w:val="clear" w:color="auto" w:fill="FFFFFF" w:themeFill="background1"/>
            <w:noWrap/>
            <w:vAlign w:val="center"/>
            <w:hideMark/>
          </w:tcPr>
          <w:p w14:paraId="1EEE8BF7" w14:textId="4556ECF3" w:rsidR="00C37031" w:rsidRPr="00412E44" w:rsidRDefault="00C37031" w:rsidP="00C37031">
            <w:pPr>
              <w:spacing w:after="0" w:line="240" w:lineRule="auto"/>
              <w:jc w:val="center"/>
              <w:rPr>
                <w:rFonts w:cs="Arial"/>
              </w:rPr>
            </w:pPr>
            <w:r w:rsidRPr="00412E44">
              <w:t>108.0</w:t>
            </w:r>
          </w:p>
        </w:tc>
        <w:tc>
          <w:tcPr>
            <w:tcW w:w="851" w:type="dxa"/>
            <w:tcBorders>
              <w:top w:val="nil"/>
              <w:left w:val="nil"/>
              <w:bottom w:val="nil"/>
              <w:right w:val="nil"/>
            </w:tcBorders>
            <w:shd w:val="clear" w:color="auto" w:fill="FFFFFF" w:themeFill="background1"/>
            <w:noWrap/>
            <w:vAlign w:val="center"/>
            <w:hideMark/>
          </w:tcPr>
          <w:p w14:paraId="407C52FB" w14:textId="7CA45AEA" w:rsidR="00C37031" w:rsidRPr="00412E44" w:rsidRDefault="00C37031" w:rsidP="00C37031">
            <w:pPr>
              <w:spacing w:after="0" w:line="240" w:lineRule="auto"/>
              <w:jc w:val="center"/>
              <w:rPr>
                <w:rFonts w:cs="Arial"/>
              </w:rPr>
            </w:pPr>
            <w:r w:rsidRPr="00412E44">
              <w:t>5.1</w:t>
            </w:r>
          </w:p>
        </w:tc>
        <w:tc>
          <w:tcPr>
            <w:tcW w:w="992" w:type="dxa"/>
            <w:tcBorders>
              <w:top w:val="nil"/>
              <w:left w:val="nil"/>
              <w:bottom w:val="nil"/>
              <w:right w:val="nil"/>
            </w:tcBorders>
            <w:shd w:val="clear" w:color="auto" w:fill="FFFFFF" w:themeFill="background1"/>
            <w:noWrap/>
            <w:vAlign w:val="center"/>
            <w:hideMark/>
          </w:tcPr>
          <w:p w14:paraId="7C882F43" w14:textId="75269C09" w:rsidR="00C37031" w:rsidRPr="00412E44" w:rsidRDefault="00C37031" w:rsidP="00C37031">
            <w:pPr>
              <w:spacing w:after="0" w:line="240" w:lineRule="auto"/>
              <w:jc w:val="center"/>
              <w:rPr>
                <w:rFonts w:cs="Arial"/>
              </w:rPr>
            </w:pPr>
            <w:r w:rsidRPr="00412E44">
              <w:t>530.3</w:t>
            </w:r>
          </w:p>
        </w:tc>
        <w:tc>
          <w:tcPr>
            <w:tcW w:w="992" w:type="dxa"/>
            <w:tcBorders>
              <w:top w:val="nil"/>
              <w:left w:val="nil"/>
              <w:bottom w:val="nil"/>
              <w:right w:val="nil"/>
            </w:tcBorders>
            <w:shd w:val="clear" w:color="auto" w:fill="FFFFFF" w:themeFill="background1"/>
            <w:noWrap/>
            <w:vAlign w:val="center"/>
            <w:hideMark/>
          </w:tcPr>
          <w:p w14:paraId="0F8A1381" w14:textId="71F09A27" w:rsidR="00C37031" w:rsidRPr="00412E44" w:rsidRDefault="00C37031" w:rsidP="00C37031">
            <w:pPr>
              <w:spacing w:after="0" w:line="240" w:lineRule="auto"/>
              <w:jc w:val="center"/>
              <w:rPr>
                <w:rFonts w:cs="Arial"/>
              </w:rPr>
            </w:pPr>
            <w:r w:rsidRPr="00412E44">
              <w:t>31.3</w:t>
            </w:r>
          </w:p>
        </w:tc>
      </w:tr>
      <w:tr w:rsidR="00C37031" w:rsidRPr="00412E44" w14:paraId="7CEE77EA" w14:textId="77777777" w:rsidTr="006C23DB">
        <w:trPr>
          <w:trHeight w:val="300"/>
          <w:jc w:val="center"/>
        </w:trPr>
        <w:tc>
          <w:tcPr>
            <w:tcW w:w="3118" w:type="dxa"/>
            <w:tcBorders>
              <w:top w:val="nil"/>
              <w:left w:val="nil"/>
              <w:bottom w:val="nil"/>
              <w:right w:val="nil"/>
            </w:tcBorders>
            <w:shd w:val="clear" w:color="auto" w:fill="D9D9D9" w:themeFill="background1" w:themeFillShade="D9"/>
            <w:noWrap/>
            <w:vAlign w:val="center"/>
            <w:hideMark/>
          </w:tcPr>
          <w:p w14:paraId="09F1D089" w14:textId="77777777" w:rsidR="00C37031" w:rsidRPr="00412E44" w:rsidRDefault="00C37031" w:rsidP="00C37031">
            <w:pPr>
              <w:spacing w:after="0" w:line="240" w:lineRule="auto"/>
              <w:rPr>
                <w:rFonts w:cs="Arial"/>
              </w:rPr>
            </w:pPr>
            <w:r w:rsidRPr="00412E44">
              <w:rPr>
                <w:rFonts w:cs="Arial"/>
              </w:rPr>
              <w:t>Arts and Recreation Services</w:t>
            </w:r>
          </w:p>
        </w:tc>
        <w:tc>
          <w:tcPr>
            <w:tcW w:w="1134" w:type="dxa"/>
            <w:tcBorders>
              <w:top w:val="nil"/>
              <w:left w:val="nil"/>
              <w:bottom w:val="nil"/>
              <w:right w:val="nil"/>
            </w:tcBorders>
            <w:shd w:val="clear" w:color="auto" w:fill="D9D9D9" w:themeFill="background1" w:themeFillShade="D9"/>
            <w:noWrap/>
            <w:vAlign w:val="center"/>
            <w:hideMark/>
          </w:tcPr>
          <w:p w14:paraId="1CD9D60A" w14:textId="36853F8A" w:rsidR="00C37031" w:rsidRPr="00412E44" w:rsidRDefault="00C37031" w:rsidP="00C37031">
            <w:pPr>
              <w:spacing w:after="0" w:line="240" w:lineRule="auto"/>
              <w:jc w:val="center"/>
              <w:rPr>
                <w:rFonts w:cs="Arial"/>
              </w:rPr>
            </w:pPr>
            <w:r w:rsidRPr="00412E44">
              <w:t>257.0*</w:t>
            </w:r>
          </w:p>
        </w:tc>
        <w:tc>
          <w:tcPr>
            <w:tcW w:w="1134" w:type="dxa"/>
            <w:tcBorders>
              <w:top w:val="nil"/>
              <w:left w:val="nil"/>
              <w:bottom w:val="nil"/>
              <w:right w:val="nil"/>
            </w:tcBorders>
            <w:shd w:val="clear" w:color="auto" w:fill="D9D9D9" w:themeFill="background1" w:themeFillShade="D9"/>
            <w:noWrap/>
            <w:vAlign w:val="center"/>
            <w:hideMark/>
          </w:tcPr>
          <w:p w14:paraId="6BF4EEEF" w14:textId="1D04E13B" w:rsidR="00C37031" w:rsidRPr="00412E44" w:rsidRDefault="00C37031" w:rsidP="00C37031">
            <w:pPr>
              <w:spacing w:after="0" w:line="240" w:lineRule="auto"/>
              <w:jc w:val="center"/>
              <w:rPr>
                <w:rFonts w:cs="Arial"/>
              </w:rPr>
            </w:pPr>
            <w:r w:rsidRPr="00412E44">
              <w:t>247.0</w:t>
            </w:r>
          </w:p>
        </w:tc>
        <w:tc>
          <w:tcPr>
            <w:tcW w:w="992" w:type="dxa"/>
            <w:tcBorders>
              <w:top w:val="nil"/>
              <w:left w:val="nil"/>
              <w:bottom w:val="nil"/>
              <w:right w:val="nil"/>
            </w:tcBorders>
            <w:shd w:val="clear" w:color="auto" w:fill="D9D9D9" w:themeFill="background1" w:themeFillShade="D9"/>
            <w:noWrap/>
            <w:vAlign w:val="center"/>
            <w:hideMark/>
          </w:tcPr>
          <w:p w14:paraId="2E7F3498" w14:textId="67595CD7" w:rsidR="00C37031" w:rsidRPr="00412E44" w:rsidRDefault="00C37031" w:rsidP="00C37031">
            <w:pPr>
              <w:spacing w:after="0" w:line="240" w:lineRule="auto"/>
              <w:jc w:val="center"/>
              <w:rPr>
                <w:rFonts w:cs="Arial"/>
              </w:rPr>
            </w:pPr>
            <w:r w:rsidRPr="00412E44">
              <w:t>10.0</w:t>
            </w:r>
          </w:p>
        </w:tc>
        <w:tc>
          <w:tcPr>
            <w:tcW w:w="851" w:type="dxa"/>
            <w:tcBorders>
              <w:top w:val="nil"/>
              <w:left w:val="nil"/>
              <w:bottom w:val="nil"/>
              <w:right w:val="nil"/>
            </w:tcBorders>
            <w:shd w:val="clear" w:color="auto" w:fill="D9D9D9" w:themeFill="background1" w:themeFillShade="D9"/>
            <w:noWrap/>
            <w:vAlign w:val="center"/>
            <w:hideMark/>
          </w:tcPr>
          <w:p w14:paraId="6111891A" w14:textId="6ED20B93" w:rsidR="00C37031" w:rsidRPr="00412E44" w:rsidRDefault="00C37031" w:rsidP="00C37031">
            <w:pPr>
              <w:spacing w:after="0" w:line="240" w:lineRule="auto"/>
              <w:jc w:val="center"/>
              <w:rPr>
                <w:rFonts w:cs="Arial"/>
              </w:rPr>
            </w:pPr>
            <w:r w:rsidRPr="00412E44">
              <w:t>4.1</w:t>
            </w:r>
          </w:p>
        </w:tc>
        <w:tc>
          <w:tcPr>
            <w:tcW w:w="992" w:type="dxa"/>
            <w:tcBorders>
              <w:top w:val="nil"/>
              <w:left w:val="nil"/>
              <w:bottom w:val="nil"/>
              <w:right w:val="nil"/>
            </w:tcBorders>
            <w:shd w:val="clear" w:color="auto" w:fill="D9D9D9" w:themeFill="background1" w:themeFillShade="D9"/>
            <w:noWrap/>
            <w:vAlign w:val="center"/>
            <w:hideMark/>
          </w:tcPr>
          <w:p w14:paraId="78C59B22" w14:textId="6F53CF21" w:rsidR="00C37031" w:rsidRPr="00412E44" w:rsidRDefault="00C37031" w:rsidP="00C37031">
            <w:pPr>
              <w:spacing w:after="0" w:line="240" w:lineRule="auto"/>
              <w:jc w:val="center"/>
              <w:rPr>
                <w:rFonts w:cs="Arial"/>
              </w:rPr>
            </w:pPr>
            <w:r w:rsidRPr="00412E44">
              <w:t>17.0</w:t>
            </w:r>
          </w:p>
        </w:tc>
        <w:tc>
          <w:tcPr>
            <w:tcW w:w="992" w:type="dxa"/>
            <w:tcBorders>
              <w:top w:val="nil"/>
              <w:left w:val="nil"/>
              <w:bottom w:val="nil"/>
              <w:right w:val="nil"/>
            </w:tcBorders>
            <w:shd w:val="clear" w:color="auto" w:fill="D9D9D9" w:themeFill="background1" w:themeFillShade="D9"/>
            <w:noWrap/>
            <w:vAlign w:val="center"/>
            <w:hideMark/>
          </w:tcPr>
          <w:p w14:paraId="4FDD6EBF" w14:textId="54F1B170" w:rsidR="00C37031" w:rsidRPr="00412E44" w:rsidRDefault="00C37031" w:rsidP="00C37031">
            <w:pPr>
              <w:spacing w:after="0" w:line="240" w:lineRule="auto"/>
              <w:jc w:val="center"/>
              <w:rPr>
                <w:rFonts w:cs="Arial"/>
              </w:rPr>
            </w:pPr>
            <w:r w:rsidRPr="00412E44">
              <w:t>7.1</w:t>
            </w:r>
          </w:p>
        </w:tc>
      </w:tr>
      <w:tr w:rsidR="00C37031" w:rsidRPr="00412E44" w14:paraId="628F9909" w14:textId="77777777" w:rsidTr="006C23DB">
        <w:trPr>
          <w:trHeight w:val="300"/>
          <w:jc w:val="center"/>
        </w:trPr>
        <w:tc>
          <w:tcPr>
            <w:tcW w:w="3118" w:type="dxa"/>
            <w:tcBorders>
              <w:top w:val="nil"/>
              <w:left w:val="nil"/>
              <w:bottom w:val="nil"/>
              <w:right w:val="nil"/>
            </w:tcBorders>
            <w:shd w:val="clear" w:color="auto" w:fill="FFFFFF" w:themeFill="background1"/>
            <w:noWrap/>
            <w:vAlign w:val="center"/>
            <w:hideMark/>
          </w:tcPr>
          <w:p w14:paraId="637B46BD" w14:textId="77777777" w:rsidR="00C37031" w:rsidRPr="00412E44" w:rsidRDefault="00C37031" w:rsidP="00C37031">
            <w:pPr>
              <w:spacing w:after="0" w:line="240" w:lineRule="auto"/>
              <w:rPr>
                <w:rFonts w:cs="Arial"/>
              </w:rPr>
            </w:pPr>
            <w:r w:rsidRPr="00412E44">
              <w:rPr>
                <w:rFonts w:cs="Arial"/>
              </w:rPr>
              <w:t>Other Services</w:t>
            </w:r>
          </w:p>
        </w:tc>
        <w:tc>
          <w:tcPr>
            <w:tcW w:w="1134" w:type="dxa"/>
            <w:tcBorders>
              <w:top w:val="nil"/>
              <w:left w:val="nil"/>
              <w:bottom w:val="nil"/>
              <w:right w:val="nil"/>
            </w:tcBorders>
            <w:shd w:val="clear" w:color="auto" w:fill="FFFFFF" w:themeFill="background1"/>
            <w:noWrap/>
            <w:vAlign w:val="center"/>
            <w:hideMark/>
          </w:tcPr>
          <w:p w14:paraId="0B55AEE2" w14:textId="0F8F2F9C" w:rsidR="00C37031" w:rsidRPr="00412E44" w:rsidRDefault="00C37031" w:rsidP="00C37031">
            <w:pPr>
              <w:spacing w:after="0" w:line="240" w:lineRule="auto"/>
              <w:jc w:val="center"/>
              <w:rPr>
                <w:rFonts w:cs="Arial"/>
              </w:rPr>
            </w:pPr>
            <w:r w:rsidRPr="00412E44">
              <w:t>524.5</w:t>
            </w:r>
          </w:p>
        </w:tc>
        <w:tc>
          <w:tcPr>
            <w:tcW w:w="1134" w:type="dxa"/>
            <w:tcBorders>
              <w:top w:val="nil"/>
              <w:left w:val="nil"/>
              <w:bottom w:val="nil"/>
              <w:right w:val="nil"/>
            </w:tcBorders>
            <w:shd w:val="clear" w:color="auto" w:fill="FFFFFF" w:themeFill="background1"/>
            <w:noWrap/>
            <w:vAlign w:val="center"/>
            <w:hideMark/>
          </w:tcPr>
          <w:p w14:paraId="7122CEFE" w14:textId="506CECAA" w:rsidR="00C37031" w:rsidRPr="00412E44" w:rsidRDefault="00C37031" w:rsidP="00C37031">
            <w:pPr>
              <w:spacing w:after="0" w:line="240" w:lineRule="auto"/>
              <w:jc w:val="center"/>
              <w:rPr>
                <w:rFonts w:cs="Arial"/>
              </w:rPr>
            </w:pPr>
            <w:r w:rsidRPr="00412E44">
              <w:t>519.8</w:t>
            </w:r>
          </w:p>
        </w:tc>
        <w:tc>
          <w:tcPr>
            <w:tcW w:w="992" w:type="dxa"/>
            <w:tcBorders>
              <w:top w:val="nil"/>
              <w:left w:val="nil"/>
              <w:bottom w:val="nil"/>
              <w:right w:val="nil"/>
            </w:tcBorders>
            <w:shd w:val="clear" w:color="auto" w:fill="FFFFFF" w:themeFill="background1"/>
            <w:noWrap/>
            <w:vAlign w:val="center"/>
            <w:hideMark/>
          </w:tcPr>
          <w:p w14:paraId="5F6BDDA2" w14:textId="4EEC292F" w:rsidR="00C37031" w:rsidRPr="00412E44" w:rsidRDefault="00C37031" w:rsidP="00C37031">
            <w:pPr>
              <w:spacing w:after="0" w:line="240" w:lineRule="auto"/>
              <w:jc w:val="center"/>
              <w:rPr>
                <w:rFonts w:cs="Arial"/>
              </w:rPr>
            </w:pPr>
            <w:r w:rsidRPr="00412E44">
              <w:t>4.7</w:t>
            </w:r>
          </w:p>
        </w:tc>
        <w:tc>
          <w:tcPr>
            <w:tcW w:w="851" w:type="dxa"/>
            <w:tcBorders>
              <w:top w:val="nil"/>
              <w:left w:val="nil"/>
              <w:bottom w:val="nil"/>
              <w:right w:val="nil"/>
            </w:tcBorders>
            <w:shd w:val="clear" w:color="auto" w:fill="FFFFFF" w:themeFill="background1"/>
            <w:noWrap/>
            <w:vAlign w:val="center"/>
            <w:hideMark/>
          </w:tcPr>
          <w:p w14:paraId="48227754" w14:textId="4E99A02E" w:rsidR="00C37031" w:rsidRPr="00412E44" w:rsidRDefault="00C37031" w:rsidP="00C37031">
            <w:pPr>
              <w:spacing w:after="0" w:line="240" w:lineRule="auto"/>
              <w:jc w:val="center"/>
              <w:rPr>
                <w:rFonts w:cs="Arial"/>
              </w:rPr>
            </w:pPr>
            <w:r w:rsidRPr="00412E44">
              <w:t>0.9</w:t>
            </w:r>
          </w:p>
        </w:tc>
        <w:tc>
          <w:tcPr>
            <w:tcW w:w="992" w:type="dxa"/>
            <w:tcBorders>
              <w:top w:val="nil"/>
              <w:left w:val="nil"/>
              <w:bottom w:val="nil"/>
              <w:right w:val="nil"/>
            </w:tcBorders>
            <w:shd w:val="clear" w:color="auto" w:fill="FFFFFF" w:themeFill="background1"/>
            <w:noWrap/>
            <w:vAlign w:val="center"/>
            <w:hideMark/>
          </w:tcPr>
          <w:p w14:paraId="6D48A56F" w14:textId="5FDC28EE" w:rsidR="00C37031" w:rsidRPr="00412E44" w:rsidRDefault="00C37031" w:rsidP="00C37031">
            <w:pPr>
              <w:spacing w:after="0" w:line="240" w:lineRule="auto"/>
              <w:jc w:val="center"/>
              <w:rPr>
                <w:rFonts w:cs="Arial"/>
              </w:rPr>
            </w:pPr>
            <w:r w:rsidRPr="00412E44">
              <w:t>21.9</w:t>
            </w:r>
          </w:p>
        </w:tc>
        <w:tc>
          <w:tcPr>
            <w:tcW w:w="992" w:type="dxa"/>
            <w:tcBorders>
              <w:top w:val="nil"/>
              <w:left w:val="nil"/>
              <w:bottom w:val="nil"/>
              <w:right w:val="nil"/>
            </w:tcBorders>
            <w:shd w:val="clear" w:color="auto" w:fill="FFFFFF" w:themeFill="background1"/>
            <w:noWrap/>
            <w:vAlign w:val="center"/>
            <w:hideMark/>
          </w:tcPr>
          <w:p w14:paraId="16FF7DF3" w14:textId="567FA2F4" w:rsidR="00C37031" w:rsidRPr="00412E44" w:rsidRDefault="00C37031" w:rsidP="00C37031">
            <w:pPr>
              <w:spacing w:after="0" w:line="240" w:lineRule="auto"/>
              <w:jc w:val="center"/>
              <w:rPr>
                <w:rFonts w:cs="Arial"/>
              </w:rPr>
            </w:pPr>
            <w:r w:rsidRPr="00412E44">
              <w:t>4.4</w:t>
            </w:r>
          </w:p>
        </w:tc>
      </w:tr>
      <w:tr w:rsidR="00C37031" w:rsidRPr="00412E44" w14:paraId="51323641" w14:textId="77777777" w:rsidTr="006C23DB">
        <w:trPr>
          <w:trHeight w:val="345"/>
          <w:jc w:val="center"/>
        </w:trPr>
        <w:tc>
          <w:tcPr>
            <w:tcW w:w="3118" w:type="dxa"/>
            <w:tcBorders>
              <w:top w:val="nil"/>
              <w:left w:val="nil"/>
              <w:bottom w:val="single" w:sz="4" w:space="0" w:color="auto"/>
              <w:right w:val="nil"/>
            </w:tcBorders>
            <w:shd w:val="clear" w:color="auto" w:fill="D9D9D9" w:themeFill="background1" w:themeFillShade="D9"/>
            <w:noWrap/>
            <w:vAlign w:val="center"/>
            <w:hideMark/>
          </w:tcPr>
          <w:p w14:paraId="39EECC3B" w14:textId="77777777" w:rsidR="00C37031" w:rsidRPr="00412E44" w:rsidRDefault="00C37031" w:rsidP="00C37031">
            <w:pPr>
              <w:spacing w:after="0" w:line="240" w:lineRule="auto"/>
              <w:rPr>
                <w:rFonts w:cs="Arial"/>
                <w:b/>
                <w:bCs/>
              </w:rPr>
            </w:pPr>
            <w:r w:rsidRPr="00412E44">
              <w:rPr>
                <w:rFonts w:cs="Arial"/>
                <w:b/>
                <w:bCs/>
              </w:rPr>
              <w:t>TOTAL EMPLOYMENT</w:t>
            </w:r>
          </w:p>
        </w:tc>
        <w:tc>
          <w:tcPr>
            <w:tcW w:w="1134" w:type="dxa"/>
            <w:tcBorders>
              <w:top w:val="nil"/>
              <w:left w:val="nil"/>
              <w:bottom w:val="single" w:sz="4" w:space="0" w:color="auto"/>
              <w:right w:val="nil"/>
            </w:tcBorders>
            <w:shd w:val="clear" w:color="auto" w:fill="D9D9D9" w:themeFill="background1" w:themeFillShade="D9"/>
            <w:noWrap/>
            <w:vAlign w:val="center"/>
            <w:hideMark/>
          </w:tcPr>
          <w:p w14:paraId="191DC4BC" w14:textId="5379C18C" w:rsidR="00C37031" w:rsidRPr="00412E44" w:rsidRDefault="00C37031" w:rsidP="00C37031">
            <w:pPr>
              <w:spacing w:after="0" w:line="240" w:lineRule="auto"/>
              <w:jc w:val="center"/>
              <w:rPr>
                <w:rFonts w:cs="Arial"/>
                <w:b/>
                <w:bCs/>
              </w:rPr>
            </w:pPr>
            <w:r w:rsidRPr="00412E44">
              <w:rPr>
                <w:b/>
                <w:bCs/>
              </w:rPr>
              <w:t>14,307.6</w:t>
            </w:r>
          </w:p>
        </w:tc>
        <w:tc>
          <w:tcPr>
            <w:tcW w:w="1134" w:type="dxa"/>
            <w:tcBorders>
              <w:top w:val="nil"/>
              <w:left w:val="nil"/>
              <w:bottom w:val="single" w:sz="4" w:space="0" w:color="auto"/>
              <w:right w:val="nil"/>
            </w:tcBorders>
            <w:shd w:val="clear" w:color="auto" w:fill="D9D9D9" w:themeFill="background1" w:themeFillShade="D9"/>
            <w:noWrap/>
            <w:vAlign w:val="center"/>
            <w:hideMark/>
          </w:tcPr>
          <w:p w14:paraId="261116D9" w14:textId="68AEB551" w:rsidR="00C37031" w:rsidRPr="00412E44" w:rsidRDefault="00C37031" w:rsidP="00C37031">
            <w:pPr>
              <w:spacing w:after="0" w:line="240" w:lineRule="auto"/>
              <w:jc w:val="center"/>
              <w:rPr>
                <w:rFonts w:cs="Arial"/>
                <w:b/>
                <w:bCs/>
              </w:rPr>
            </w:pPr>
            <w:r w:rsidRPr="00412E44">
              <w:rPr>
                <w:b/>
                <w:bCs/>
              </w:rPr>
              <w:t>13,895.6</w:t>
            </w:r>
          </w:p>
        </w:tc>
        <w:tc>
          <w:tcPr>
            <w:tcW w:w="992" w:type="dxa"/>
            <w:tcBorders>
              <w:top w:val="nil"/>
              <w:left w:val="nil"/>
              <w:bottom w:val="single" w:sz="4" w:space="0" w:color="auto"/>
              <w:right w:val="nil"/>
            </w:tcBorders>
            <w:shd w:val="clear" w:color="auto" w:fill="D9D9D9" w:themeFill="background1" w:themeFillShade="D9"/>
            <w:noWrap/>
            <w:vAlign w:val="center"/>
            <w:hideMark/>
          </w:tcPr>
          <w:p w14:paraId="78A63F4C" w14:textId="664011E1" w:rsidR="00C37031" w:rsidRPr="00412E44" w:rsidRDefault="00C37031" w:rsidP="00C37031">
            <w:pPr>
              <w:spacing w:after="0" w:line="240" w:lineRule="auto"/>
              <w:jc w:val="center"/>
              <w:rPr>
                <w:rFonts w:cs="Arial"/>
                <w:b/>
                <w:bCs/>
              </w:rPr>
            </w:pPr>
            <w:r w:rsidRPr="00412E44">
              <w:rPr>
                <w:b/>
                <w:bCs/>
              </w:rPr>
              <w:t>412.1</w:t>
            </w:r>
          </w:p>
        </w:tc>
        <w:tc>
          <w:tcPr>
            <w:tcW w:w="851" w:type="dxa"/>
            <w:tcBorders>
              <w:top w:val="nil"/>
              <w:left w:val="nil"/>
              <w:bottom w:val="single" w:sz="4" w:space="0" w:color="auto"/>
              <w:right w:val="nil"/>
            </w:tcBorders>
            <w:shd w:val="clear" w:color="auto" w:fill="D9D9D9" w:themeFill="background1" w:themeFillShade="D9"/>
            <w:noWrap/>
            <w:vAlign w:val="center"/>
            <w:hideMark/>
          </w:tcPr>
          <w:p w14:paraId="1CD736DB" w14:textId="2E25239D" w:rsidR="00C37031" w:rsidRPr="00412E44" w:rsidRDefault="00C37031" w:rsidP="00C37031">
            <w:pPr>
              <w:spacing w:after="0" w:line="240" w:lineRule="auto"/>
              <w:jc w:val="center"/>
              <w:rPr>
                <w:rFonts w:cs="Arial"/>
                <w:b/>
                <w:bCs/>
              </w:rPr>
            </w:pPr>
            <w:r w:rsidRPr="00412E44">
              <w:rPr>
                <w:b/>
                <w:bCs/>
              </w:rPr>
              <w:t>3.0</w:t>
            </w:r>
          </w:p>
        </w:tc>
        <w:tc>
          <w:tcPr>
            <w:tcW w:w="992" w:type="dxa"/>
            <w:tcBorders>
              <w:top w:val="nil"/>
              <w:left w:val="nil"/>
              <w:bottom w:val="single" w:sz="4" w:space="0" w:color="auto"/>
              <w:right w:val="nil"/>
            </w:tcBorders>
            <w:shd w:val="clear" w:color="auto" w:fill="D9D9D9" w:themeFill="background1" w:themeFillShade="D9"/>
            <w:noWrap/>
            <w:vAlign w:val="center"/>
            <w:hideMark/>
          </w:tcPr>
          <w:p w14:paraId="076026EF" w14:textId="1CAE0BB4" w:rsidR="00C37031" w:rsidRPr="00412E44" w:rsidRDefault="00C37031" w:rsidP="00C37031">
            <w:pPr>
              <w:spacing w:after="0" w:line="240" w:lineRule="auto"/>
              <w:jc w:val="center"/>
              <w:rPr>
                <w:rFonts w:cs="Arial"/>
                <w:b/>
                <w:bCs/>
              </w:rPr>
            </w:pPr>
            <w:r w:rsidRPr="00412E44">
              <w:rPr>
                <w:b/>
                <w:bCs/>
              </w:rPr>
              <w:t>1,558.3</w:t>
            </w:r>
          </w:p>
        </w:tc>
        <w:tc>
          <w:tcPr>
            <w:tcW w:w="992" w:type="dxa"/>
            <w:tcBorders>
              <w:top w:val="nil"/>
              <w:left w:val="nil"/>
              <w:bottom w:val="single" w:sz="4" w:space="0" w:color="auto"/>
              <w:right w:val="nil"/>
            </w:tcBorders>
            <w:shd w:val="clear" w:color="auto" w:fill="D9D9D9" w:themeFill="background1" w:themeFillShade="D9"/>
            <w:noWrap/>
            <w:vAlign w:val="center"/>
            <w:hideMark/>
          </w:tcPr>
          <w:p w14:paraId="0EC25B38" w14:textId="135E1B67" w:rsidR="00C37031" w:rsidRPr="00412E44" w:rsidRDefault="00C37031" w:rsidP="00C37031">
            <w:pPr>
              <w:spacing w:after="0" w:line="240" w:lineRule="auto"/>
              <w:jc w:val="center"/>
              <w:rPr>
                <w:rFonts w:cs="Arial"/>
                <w:b/>
                <w:bCs/>
              </w:rPr>
            </w:pPr>
            <w:r w:rsidRPr="00412E44">
              <w:rPr>
                <w:b/>
                <w:bCs/>
              </w:rPr>
              <w:t>12.2</w:t>
            </w:r>
          </w:p>
        </w:tc>
      </w:tr>
    </w:tbl>
    <w:p w14:paraId="0E583D53" w14:textId="21319402" w:rsidR="00782901" w:rsidRPr="00412E44" w:rsidRDefault="00B64BCB" w:rsidP="00C36ADE">
      <w:pPr>
        <w:rPr>
          <w:rFonts w:cs="Arial"/>
          <w:sz w:val="18"/>
          <w:szCs w:val="18"/>
        </w:rPr>
      </w:pPr>
      <w:r w:rsidRPr="00412E44">
        <w:rPr>
          <w:rFonts w:cs="Arial"/>
          <w:sz w:val="18"/>
          <w:szCs w:val="18"/>
        </w:rPr>
        <w:t>*Denotes a record high</w:t>
      </w:r>
      <w:r w:rsidR="007C3B9D" w:rsidRPr="00412E44">
        <w:rPr>
          <w:rFonts w:cs="Arial"/>
          <w:sz w:val="18"/>
          <w:szCs w:val="18"/>
        </w:rPr>
        <w:t xml:space="preserve"> in the November quarter 2023.</w:t>
      </w:r>
    </w:p>
    <w:p w14:paraId="6A35473B" w14:textId="3083D5A7" w:rsidR="00782901" w:rsidRPr="00B93C08" w:rsidRDefault="00C37031" w:rsidP="005C6F00">
      <w:pPr>
        <w:rPr>
          <w:rFonts w:cs="Arial"/>
        </w:rPr>
      </w:pPr>
      <w:bookmarkStart w:id="61" w:name="_Hlk149734597"/>
      <w:r w:rsidRPr="00412E44">
        <w:rPr>
          <w:rFonts w:cs="Arial"/>
        </w:rPr>
        <w:t>Reflecting continued economic growth and a relatively tight labour market, employment in 11 of the 19 broad industry groups reached record highs in the February 2024 quarter</w:t>
      </w:r>
      <w:r w:rsidR="005C0AE0" w:rsidRPr="00412E44">
        <w:rPr>
          <w:rFonts w:cs="Arial"/>
        </w:rPr>
        <w:t xml:space="preserve"> (Table</w:t>
      </w:r>
      <w:r w:rsidRPr="00412E44">
        <w:rPr>
          <w:rFonts w:cs="Arial"/>
        </w:rPr>
        <w:t> </w:t>
      </w:r>
      <w:r w:rsidR="005C0AE0" w:rsidRPr="00412E44">
        <w:rPr>
          <w:rFonts w:cs="Arial"/>
        </w:rPr>
        <w:t>5)</w:t>
      </w:r>
      <w:r w:rsidR="00B64176" w:rsidRPr="00412E44">
        <w:rPr>
          <w:rFonts w:cs="Arial"/>
        </w:rPr>
        <w:t>.</w:t>
      </w:r>
      <w:r w:rsidR="00205C78" w:rsidRPr="00412E44">
        <w:rPr>
          <w:rStyle w:val="FootnoteReference"/>
          <w:rFonts w:cs="Arial"/>
        </w:rPr>
        <w:footnoteReference w:id="12"/>
      </w:r>
    </w:p>
    <w:p w14:paraId="4C1B7073" w14:textId="77777777" w:rsidR="005D7362" w:rsidRPr="00B93C08" w:rsidRDefault="005D7362" w:rsidP="005D7362">
      <w:pPr>
        <w:pStyle w:val="Heading3"/>
      </w:pPr>
      <w:bookmarkStart w:id="62" w:name="_Toc166140510"/>
      <w:bookmarkEnd w:id="61"/>
      <w:r w:rsidRPr="00B93C08">
        <w:t>Recruitment difficulty among industries</w:t>
      </w:r>
      <w:bookmarkEnd w:id="56"/>
      <w:bookmarkEnd w:id="57"/>
      <w:bookmarkEnd w:id="62"/>
    </w:p>
    <w:p w14:paraId="7FD84B27" w14:textId="373C7D06" w:rsidR="005D7362" w:rsidRPr="00B93C08" w:rsidRDefault="005F6425" w:rsidP="005D7362">
      <w:r w:rsidRPr="00412E44">
        <w:t xml:space="preserve">Over the year to the March quarter 2024, recruitment difficulty fell in all major industry divisions (Figure </w:t>
      </w:r>
      <w:r w:rsidR="00E479A1" w:rsidRPr="00412E44">
        <w:t>21</w:t>
      </w:r>
      <w:r w:rsidRPr="00412E44">
        <w:t xml:space="preserve">). Accommodation &amp; Food Services recorded the lowest difficulty rate at 36% for </w:t>
      </w:r>
      <w:r w:rsidRPr="00412E44">
        <w:lastRenderedPageBreak/>
        <w:t>the March quarter 2024 while Manufacturing recorded the highest at 61%. Employers in the Wholesale Trade industry experienced the greatest decrease in recruitment difficulty, down by 23 percentage points over the year, to 47% of recruiting employers. Most major industry divisions also experienced a decline in recruitment difficulty compared to the previous quarter, the only exception being the Retail Trade industry which experienced an increase of 5 percentage points to 52% in the March quarter 2024.</w:t>
      </w:r>
    </w:p>
    <w:p w14:paraId="769C489C" w14:textId="32E2ED59" w:rsidR="005D7362" w:rsidRPr="00800031" w:rsidRDefault="005F6425" w:rsidP="005D7362">
      <w:pPr>
        <w:pStyle w:val="ChartandTablelabel"/>
        <w:rPr>
          <w:lang w:val="en-AU"/>
        </w:rPr>
      </w:pPr>
      <w:r w:rsidRPr="00800031">
        <w:rPr>
          <w:lang w:val="en-AU"/>
        </w:rPr>
        <w:t xml:space="preserve">Figure </w:t>
      </w:r>
      <w:r w:rsidR="005526ED" w:rsidRPr="00800031">
        <w:rPr>
          <w:lang w:val="en-AU"/>
        </w:rPr>
        <w:t>21</w:t>
      </w:r>
      <w:r w:rsidRPr="00800031">
        <w:rPr>
          <w:lang w:val="en-AU"/>
        </w:rPr>
        <w:t>: Quarterly recruitment difficulty rate (proportion of recruiting employers) by industry, March quarter 2023 to March quarter 2024</w:t>
      </w:r>
    </w:p>
    <w:p w14:paraId="2A36452A" w14:textId="3EDB925E" w:rsidR="00390626" w:rsidRPr="00800031" w:rsidRDefault="005F6425" w:rsidP="005D7362">
      <w:pPr>
        <w:pStyle w:val="ChartandTablelabel"/>
        <w:rPr>
          <w:lang w:val="en-AU"/>
        </w:rPr>
      </w:pPr>
      <w:r w:rsidRPr="00800031">
        <w:rPr>
          <w:noProof/>
          <w:lang w:val="en-AU"/>
        </w:rPr>
        <w:drawing>
          <wp:inline distT="0" distB="0" distL="0" distR="0" wp14:anchorId="088AEF93" wp14:editId="406D4CAF">
            <wp:extent cx="5868000" cy="2800624"/>
            <wp:effectExtent l="0" t="0" r="0" b="0"/>
            <wp:docPr id="1831375108" name="Chart 1" descr="Figure 21 is a column chart showing the recruitment difficulty rate for 7 selected industries over between the March quarter 2023 and the March quarter 2024, namely, Manufacturing; Construction; Wholesale Trade; Retail Trade; Accommodation and Food Services; Professional, Scientific and Technical Services; and Health Care and Social Assistance. All industries recorded a decline in the rate of recruitment difficulty over the year.">
              <a:extLst xmlns:a="http://schemas.openxmlformats.org/drawingml/2006/main">
                <a:ext uri="{FF2B5EF4-FFF2-40B4-BE49-F238E27FC236}">
                  <a16:creationId xmlns:a16="http://schemas.microsoft.com/office/drawing/2014/main" id="{829A8E8E-D3BE-4811-AE19-FFD126CB78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6FDF6BD" w14:textId="5384DC80" w:rsidR="00AA1E53" w:rsidRPr="00B93C08" w:rsidRDefault="00372EC0" w:rsidP="00782901">
      <w:pPr>
        <w:pStyle w:val="Source"/>
      </w:pPr>
      <w:r w:rsidRPr="00800031">
        <w:t xml:space="preserve">Source: </w:t>
      </w:r>
      <w:r w:rsidR="00E26FD9" w:rsidRPr="00800031">
        <w:t>JSA</w:t>
      </w:r>
      <w:r w:rsidRPr="00800031">
        <w:t>, Recruitment Experiences and Outlook Survey, March 2024.</w:t>
      </w:r>
      <w:r w:rsidR="005D7362" w:rsidRPr="00800031">
        <w:br/>
      </w:r>
      <w:r w:rsidR="003B32CF">
        <w:t>*</w:t>
      </w:r>
      <w:r w:rsidR="005D7362" w:rsidRPr="00800031">
        <w:t>Interpret with caution due to low sample size.</w:t>
      </w:r>
      <w:bookmarkEnd w:id="58"/>
    </w:p>
    <w:p w14:paraId="67D59D83" w14:textId="79BE4C60" w:rsidR="008564DD" w:rsidRPr="00B93C08" w:rsidRDefault="0060097A" w:rsidP="006C23DB">
      <w:pPr>
        <w:pStyle w:val="Heading2"/>
        <w:spacing w:after="240"/>
      </w:pPr>
      <w:bookmarkStart w:id="63" w:name="_Toc151365194"/>
      <w:bookmarkStart w:id="64" w:name="_Toc166140511"/>
      <w:r w:rsidRPr="00B93C08">
        <w:t>S</w:t>
      </w:r>
      <w:r w:rsidR="008564DD" w:rsidRPr="00B93C08">
        <w:t>kill levels</w:t>
      </w:r>
      <w:bookmarkEnd w:id="63"/>
      <w:bookmarkEnd w:id="64"/>
    </w:p>
    <w:p w14:paraId="2048EC53" w14:textId="4BE20FA1" w:rsidR="009E76D6" w:rsidRPr="00412E44" w:rsidRDefault="009E76D6" w:rsidP="006C23DB">
      <w:pPr>
        <w:pStyle w:val="ChartandTablelabel"/>
        <w:rPr>
          <w:rFonts w:cs="Arial"/>
          <w:b w:val="0"/>
          <w:color w:val="auto"/>
          <w:sz w:val="22"/>
          <w:lang w:val="en-AU"/>
        </w:rPr>
      </w:pPr>
      <w:bookmarkStart w:id="65" w:name="_Toc151365195"/>
      <w:r w:rsidRPr="00412E44">
        <w:rPr>
          <w:rFonts w:cs="Arial"/>
          <w:b w:val="0"/>
          <w:color w:val="auto"/>
          <w:sz w:val="22"/>
          <w:lang w:val="en-AU"/>
        </w:rPr>
        <w:t xml:space="preserve">Employment increased in all </w:t>
      </w:r>
      <w:r w:rsidR="00F52872" w:rsidRPr="00412E44">
        <w:rPr>
          <w:rFonts w:cs="Arial"/>
          <w:b w:val="0"/>
          <w:color w:val="auto"/>
          <w:sz w:val="22"/>
          <w:lang w:val="en-AU"/>
        </w:rPr>
        <w:t>5</w:t>
      </w:r>
      <w:r w:rsidRPr="00412E44">
        <w:rPr>
          <w:rFonts w:cs="Arial"/>
          <w:b w:val="0"/>
          <w:color w:val="auto"/>
          <w:sz w:val="22"/>
          <w:lang w:val="en-AU"/>
        </w:rPr>
        <w:t xml:space="preserve"> Skill Level groups over the year to February 2024. Skill Level 4 occupations (commensurate with a Certificate III or II) recorded the largest increase in employment over the year (up by 166,200 or 5.0%). Skill Level 1 occupations (commensurate with a Bachelor Degree or higher) recorded the second largest increase (up by 160,700 or 3.3%), followed by Skill Level 2 occupations (commensurate with an Advanced Diploma or Diploma) (up by 48,600 or 2.9%), Skill Level 3 occupations (commensurate with a Certificate IV or III) (up by 17,200 or 0.8%), and Skill Level 5 occupations (commensurate with a Certificate I or secondary education) (up by 2,300 or 0.1%).</w:t>
      </w:r>
    </w:p>
    <w:p w14:paraId="37562321" w14:textId="07213708" w:rsidR="00782901" w:rsidRPr="00412E44" w:rsidRDefault="00782901" w:rsidP="006C23DB">
      <w:pPr>
        <w:pStyle w:val="ChartandTablelabel"/>
        <w:rPr>
          <w:lang w:val="en-AU"/>
        </w:rPr>
      </w:pPr>
      <w:r w:rsidRPr="00412E44">
        <w:rPr>
          <w:lang w:val="en-AU"/>
        </w:rPr>
        <w:lastRenderedPageBreak/>
        <w:t xml:space="preserve">Table </w:t>
      </w:r>
      <w:r w:rsidR="00572EC1" w:rsidRPr="00412E44">
        <w:rPr>
          <w:lang w:val="en-AU"/>
        </w:rPr>
        <w:t>6</w:t>
      </w:r>
      <w:r w:rsidRPr="00412E44">
        <w:rPr>
          <w:lang w:val="en-AU"/>
        </w:rPr>
        <w:t>: Employment by skill levels</w:t>
      </w:r>
      <w:r w:rsidRPr="00412E44">
        <w:rPr>
          <w:rStyle w:val="FootnoteReference"/>
          <w:lang w:val="en-AU"/>
        </w:rPr>
        <w:footnoteReference w:id="13"/>
      </w:r>
    </w:p>
    <w:tbl>
      <w:tblPr>
        <w:tblW w:w="8931" w:type="dxa"/>
        <w:tblLayout w:type="fixed"/>
        <w:tblLook w:val="04A0" w:firstRow="1" w:lastRow="0" w:firstColumn="1" w:lastColumn="0" w:noHBand="0" w:noVBand="1"/>
      </w:tblPr>
      <w:tblGrid>
        <w:gridCol w:w="2268"/>
        <w:gridCol w:w="1276"/>
        <w:gridCol w:w="1276"/>
        <w:gridCol w:w="992"/>
        <w:gridCol w:w="992"/>
        <w:gridCol w:w="1134"/>
        <w:gridCol w:w="993"/>
      </w:tblGrid>
      <w:tr w:rsidR="00782901" w:rsidRPr="00B93C08" w14:paraId="1F1CDF25" w14:textId="77777777" w:rsidTr="00B870BF">
        <w:trPr>
          <w:trHeight w:val="340"/>
        </w:trPr>
        <w:tc>
          <w:tcPr>
            <w:tcW w:w="2268" w:type="dxa"/>
            <w:vMerge w:val="restart"/>
            <w:shd w:val="clear" w:color="auto" w:fill="012749"/>
            <w:vAlign w:val="center"/>
          </w:tcPr>
          <w:p w14:paraId="7E8E751D" w14:textId="77777777" w:rsidR="00782901" w:rsidRPr="00785336" w:rsidRDefault="00782901">
            <w:pPr>
              <w:tabs>
                <w:tab w:val="left" w:pos="567"/>
              </w:tabs>
              <w:spacing w:after="0" w:line="22" w:lineRule="atLeast"/>
              <w:rPr>
                <w:rFonts w:eastAsia="Times New Roman" w:cs="Arial"/>
                <w:color w:val="FFFFFF"/>
                <w:sz w:val="19"/>
                <w:szCs w:val="19"/>
              </w:rPr>
            </w:pPr>
            <w:r w:rsidRPr="00785336">
              <w:rPr>
                <w:rFonts w:eastAsia="Times New Roman" w:cs="Arial"/>
                <w:color w:val="FFFFFF"/>
                <w:sz w:val="19"/>
                <w:szCs w:val="19"/>
              </w:rPr>
              <w:t>Skill Levels</w:t>
            </w:r>
          </w:p>
        </w:tc>
        <w:tc>
          <w:tcPr>
            <w:tcW w:w="2552" w:type="dxa"/>
            <w:gridSpan w:val="2"/>
            <w:tcBorders>
              <w:bottom w:val="single" w:sz="4" w:space="0" w:color="FFFFFF" w:themeColor="background1"/>
            </w:tcBorders>
            <w:shd w:val="clear" w:color="auto" w:fill="012749"/>
            <w:vAlign w:val="center"/>
          </w:tcPr>
          <w:p w14:paraId="3A2FC85B" w14:textId="16F457AA" w:rsidR="00782901" w:rsidRPr="00785336" w:rsidRDefault="001F7129">
            <w:pPr>
              <w:spacing w:after="0" w:line="22" w:lineRule="atLeast"/>
              <w:jc w:val="center"/>
              <w:rPr>
                <w:rFonts w:eastAsia="Times New Roman" w:cs="Arial"/>
                <w:sz w:val="19"/>
                <w:szCs w:val="19"/>
              </w:rPr>
            </w:pPr>
            <w:r w:rsidRPr="00785336">
              <w:rPr>
                <w:rFonts w:eastAsia="Times New Roman" w:cs="Arial"/>
                <w:sz w:val="19"/>
                <w:szCs w:val="19"/>
              </w:rPr>
              <w:t>Employment</w:t>
            </w:r>
          </w:p>
        </w:tc>
        <w:tc>
          <w:tcPr>
            <w:tcW w:w="1984" w:type="dxa"/>
            <w:gridSpan w:val="2"/>
            <w:vMerge w:val="restart"/>
            <w:shd w:val="clear" w:color="auto" w:fill="012749"/>
            <w:vAlign w:val="center"/>
          </w:tcPr>
          <w:p w14:paraId="56261769" w14:textId="0008DDF0" w:rsidR="00782901" w:rsidRPr="00785336" w:rsidRDefault="00782901">
            <w:pPr>
              <w:spacing w:after="0" w:line="22" w:lineRule="atLeast"/>
              <w:jc w:val="center"/>
              <w:rPr>
                <w:rFonts w:eastAsia="Times New Roman" w:cs="Arial"/>
                <w:color w:val="FFFFFF"/>
                <w:sz w:val="19"/>
                <w:szCs w:val="19"/>
              </w:rPr>
            </w:pPr>
            <w:r w:rsidRPr="00785336">
              <w:rPr>
                <w:rFonts w:eastAsia="Times New Roman" w:cs="Arial"/>
                <w:color w:val="FFFFFF"/>
                <w:sz w:val="19"/>
                <w:szCs w:val="19"/>
              </w:rPr>
              <w:t xml:space="preserve">Annual change to </w:t>
            </w:r>
            <w:r w:rsidR="009E76D6" w:rsidRPr="00785336">
              <w:rPr>
                <w:rFonts w:eastAsia="Times New Roman" w:cs="Arial"/>
                <w:color w:val="FFFFFF"/>
                <w:sz w:val="19"/>
                <w:szCs w:val="19"/>
              </w:rPr>
              <w:t>Feb</w:t>
            </w:r>
            <w:r w:rsidR="00DA6AA0" w:rsidRPr="00785336">
              <w:rPr>
                <w:rFonts w:eastAsia="Times New Roman" w:cs="Arial"/>
                <w:color w:val="FFFFFF"/>
                <w:sz w:val="19"/>
                <w:szCs w:val="19"/>
              </w:rPr>
              <w:t>-</w:t>
            </w:r>
            <w:r w:rsidRPr="00785336">
              <w:rPr>
                <w:rFonts w:eastAsia="Times New Roman" w:cs="Arial"/>
                <w:color w:val="FFFFFF"/>
                <w:sz w:val="19"/>
                <w:szCs w:val="19"/>
              </w:rPr>
              <w:t>2</w:t>
            </w:r>
            <w:r w:rsidR="009E76D6" w:rsidRPr="00785336">
              <w:rPr>
                <w:rFonts w:eastAsia="Times New Roman" w:cs="Arial"/>
                <w:color w:val="FFFFFF"/>
                <w:sz w:val="19"/>
                <w:szCs w:val="19"/>
              </w:rPr>
              <w:t>4</w:t>
            </w:r>
          </w:p>
        </w:tc>
        <w:tc>
          <w:tcPr>
            <w:tcW w:w="2127" w:type="dxa"/>
            <w:gridSpan w:val="2"/>
            <w:vMerge w:val="restart"/>
            <w:shd w:val="clear" w:color="auto" w:fill="012749"/>
            <w:vAlign w:val="center"/>
          </w:tcPr>
          <w:p w14:paraId="0E5CF482" w14:textId="24D0334C" w:rsidR="00782901" w:rsidRPr="00785336" w:rsidRDefault="00C716E5">
            <w:pPr>
              <w:spacing w:after="0" w:line="22" w:lineRule="atLeast"/>
              <w:jc w:val="center"/>
              <w:rPr>
                <w:rFonts w:eastAsia="Times New Roman" w:cs="Arial"/>
                <w:color w:val="FFFFFF"/>
                <w:sz w:val="19"/>
                <w:szCs w:val="19"/>
              </w:rPr>
            </w:pPr>
            <w:r w:rsidRPr="00785336">
              <w:rPr>
                <w:rFonts w:eastAsia="Times New Roman" w:cs="Arial"/>
                <w:color w:val="FFFFFF"/>
                <w:sz w:val="19"/>
                <w:szCs w:val="19"/>
              </w:rPr>
              <w:t>5</w:t>
            </w:r>
            <w:r w:rsidR="00782901" w:rsidRPr="00785336">
              <w:rPr>
                <w:rFonts w:eastAsia="Times New Roman" w:cs="Arial"/>
                <w:color w:val="FFFFFF"/>
                <w:sz w:val="19"/>
                <w:szCs w:val="19"/>
              </w:rPr>
              <w:t xml:space="preserve">-year change to </w:t>
            </w:r>
            <w:r w:rsidR="009E76D6" w:rsidRPr="00785336">
              <w:rPr>
                <w:rFonts w:eastAsia="Times New Roman" w:cs="Arial"/>
                <w:color w:val="FFFFFF"/>
                <w:sz w:val="19"/>
                <w:szCs w:val="19"/>
              </w:rPr>
              <w:t>Feb</w:t>
            </w:r>
            <w:r w:rsidR="00DA6AA0" w:rsidRPr="00785336">
              <w:rPr>
                <w:rFonts w:eastAsia="Times New Roman" w:cs="Arial"/>
                <w:color w:val="FFFFFF"/>
                <w:sz w:val="19"/>
                <w:szCs w:val="19"/>
              </w:rPr>
              <w:t>-</w:t>
            </w:r>
            <w:r w:rsidR="00782901" w:rsidRPr="00785336">
              <w:rPr>
                <w:rFonts w:eastAsia="Times New Roman" w:cs="Arial"/>
                <w:color w:val="FFFFFF"/>
                <w:sz w:val="19"/>
                <w:szCs w:val="19"/>
              </w:rPr>
              <w:t>2</w:t>
            </w:r>
            <w:r w:rsidR="009E76D6" w:rsidRPr="00785336">
              <w:rPr>
                <w:rFonts w:eastAsia="Times New Roman" w:cs="Arial"/>
                <w:color w:val="FFFFFF"/>
                <w:sz w:val="19"/>
                <w:szCs w:val="19"/>
              </w:rPr>
              <w:t>4</w:t>
            </w:r>
          </w:p>
        </w:tc>
      </w:tr>
      <w:tr w:rsidR="00782901" w:rsidRPr="00B93C08" w14:paraId="57CE7576" w14:textId="77777777" w:rsidTr="00B870BF">
        <w:trPr>
          <w:trHeight w:val="340"/>
        </w:trPr>
        <w:tc>
          <w:tcPr>
            <w:tcW w:w="2268" w:type="dxa"/>
            <w:vMerge/>
            <w:shd w:val="clear" w:color="auto" w:fill="012749"/>
            <w:vAlign w:val="center"/>
            <w:hideMark/>
          </w:tcPr>
          <w:p w14:paraId="31A93F98" w14:textId="77777777" w:rsidR="00782901" w:rsidRPr="00785336" w:rsidRDefault="00782901">
            <w:pPr>
              <w:tabs>
                <w:tab w:val="left" w:pos="567"/>
              </w:tabs>
              <w:spacing w:after="0" w:line="22" w:lineRule="atLeast"/>
              <w:rPr>
                <w:rFonts w:eastAsia="Times New Roman" w:cs="Arial"/>
                <w:color w:val="FFFFFF"/>
                <w:sz w:val="19"/>
                <w:szCs w:val="19"/>
                <w:lang w:eastAsia="en-AU"/>
              </w:rPr>
            </w:pPr>
          </w:p>
        </w:tc>
        <w:tc>
          <w:tcPr>
            <w:tcW w:w="1276" w:type="dxa"/>
            <w:tcBorders>
              <w:top w:val="single" w:sz="4" w:space="0" w:color="FFFFFF" w:themeColor="background1"/>
            </w:tcBorders>
            <w:shd w:val="clear" w:color="auto" w:fill="012749"/>
            <w:vAlign w:val="center"/>
            <w:hideMark/>
          </w:tcPr>
          <w:p w14:paraId="44F98A0D" w14:textId="6B8CB181" w:rsidR="00782901" w:rsidRPr="00785336" w:rsidRDefault="009E76D6" w:rsidP="003F3220">
            <w:pPr>
              <w:spacing w:after="0" w:line="22" w:lineRule="atLeast"/>
              <w:jc w:val="center"/>
              <w:rPr>
                <w:rFonts w:eastAsia="Times New Roman" w:cs="Arial"/>
                <w:sz w:val="19"/>
                <w:szCs w:val="19"/>
              </w:rPr>
            </w:pPr>
            <w:r w:rsidRPr="00785336">
              <w:rPr>
                <w:rFonts w:eastAsia="Times New Roman" w:cs="Arial"/>
                <w:sz w:val="19"/>
                <w:szCs w:val="19"/>
              </w:rPr>
              <w:t>Feb</w:t>
            </w:r>
            <w:r w:rsidR="00DA6AA0" w:rsidRPr="00785336">
              <w:rPr>
                <w:rFonts w:eastAsia="Times New Roman" w:cs="Arial"/>
                <w:sz w:val="19"/>
                <w:szCs w:val="19"/>
              </w:rPr>
              <w:t>-</w:t>
            </w:r>
            <w:r w:rsidR="00782901" w:rsidRPr="00785336">
              <w:rPr>
                <w:rFonts w:eastAsia="Times New Roman" w:cs="Arial"/>
                <w:sz w:val="19"/>
                <w:szCs w:val="19"/>
              </w:rPr>
              <w:t>2</w:t>
            </w:r>
            <w:r w:rsidRPr="00785336">
              <w:rPr>
                <w:rFonts w:eastAsia="Times New Roman" w:cs="Arial"/>
                <w:sz w:val="19"/>
                <w:szCs w:val="19"/>
              </w:rPr>
              <w:t>4</w:t>
            </w:r>
          </w:p>
        </w:tc>
        <w:tc>
          <w:tcPr>
            <w:tcW w:w="1276" w:type="dxa"/>
            <w:tcBorders>
              <w:top w:val="single" w:sz="4" w:space="0" w:color="FFFFFF" w:themeColor="background1"/>
            </w:tcBorders>
            <w:shd w:val="clear" w:color="auto" w:fill="012749"/>
            <w:vAlign w:val="center"/>
            <w:hideMark/>
          </w:tcPr>
          <w:p w14:paraId="3431FAC7" w14:textId="52C4D276" w:rsidR="00782901" w:rsidRPr="00785336" w:rsidRDefault="009E76D6" w:rsidP="003F3220">
            <w:pPr>
              <w:spacing w:after="0" w:line="22" w:lineRule="atLeast"/>
              <w:jc w:val="center"/>
              <w:rPr>
                <w:rFonts w:eastAsia="Times New Roman" w:cs="Arial"/>
                <w:sz w:val="19"/>
                <w:szCs w:val="19"/>
              </w:rPr>
            </w:pPr>
            <w:r w:rsidRPr="00785336">
              <w:rPr>
                <w:rFonts w:eastAsia="Times New Roman" w:cs="Arial"/>
                <w:sz w:val="19"/>
                <w:szCs w:val="19"/>
              </w:rPr>
              <w:t>Feb</w:t>
            </w:r>
            <w:r w:rsidR="00DA6AA0" w:rsidRPr="00785336">
              <w:rPr>
                <w:rFonts w:eastAsia="Times New Roman" w:cs="Arial"/>
                <w:sz w:val="19"/>
                <w:szCs w:val="19"/>
              </w:rPr>
              <w:t>-</w:t>
            </w:r>
            <w:r w:rsidR="00782901" w:rsidRPr="00785336">
              <w:rPr>
                <w:rFonts w:eastAsia="Times New Roman" w:cs="Arial"/>
                <w:sz w:val="19"/>
                <w:szCs w:val="19"/>
              </w:rPr>
              <w:t>2</w:t>
            </w:r>
            <w:r w:rsidRPr="00785336">
              <w:rPr>
                <w:rFonts w:eastAsia="Times New Roman" w:cs="Arial"/>
                <w:sz w:val="19"/>
                <w:szCs w:val="19"/>
              </w:rPr>
              <w:t>3</w:t>
            </w:r>
          </w:p>
        </w:tc>
        <w:tc>
          <w:tcPr>
            <w:tcW w:w="1984" w:type="dxa"/>
            <w:gridSpan w:val="2"/>
            <w:vMerge/>
            <w:shd w:val="clear" w:color="auto" w:fill="012749"/>
            <w:vAlign w:val="center"/>
            <w:hideMark/>
          </w:tcPr>
          <w:p w14:paraId="7C6E66E7" w14:textId="77777777" w:rsidR="00782901" w:rsidRPr="00785336" w:rsidRDefault="00782901">
            <w:pPr>
              <w:spacing w:after="0" w:line="22" w:lineRule="atLeast"/>
              <w:jc w:val="center"/>
              <w:rPr>
                <w:rFonts w:eastAsia="Times New Roman" w:cs="Arial"/>
                <w:color w:val="FFFFFF"/>
                <w:sz w:val="19"/>
                <w:szCs w:val="19"/>
                <w:lang w:eastAsia="en-AU"/>
              </w:rPr>
            </w:pPr>
          </w:p>
        </w:tc>
        <w:tc>
          <w:tcPr>
            <w:tcW w:w="2127" w:type="dxa"/>
            <w:gridSpan w:val="2"/>
            <w:vMerge/>
            <w:shd w:val="clear" w:color="auto" w:fill="012749"/>
            <w:vAlign w:val="center"/>
            <w:hideMark/>
          </w:tcPr>
          <w:p w14:paraId="326E981E" w14:textId="77777777" w:rsidR="00782901" w:rsidRPr="00785336" w:rsidRDefault="00782901" w:rsidP="003F3220">
            <w:pPr>
              <w:spacing w:after="0" w:line="22" w:lineRule="atLeast"/>
              <w:jc w:val="center"/>
              <w:rPr>
                <w:rFonts w:eastAsia="Times New Roman" w:cs="Arial"/>
                <w:color w:val="FFFFFF"/>
                <w:sz w:val="19"/>
                <w:szCs w:val="19"/>
                <w:lang w:eastAsia="en-AU"/>
              </w:rPr>
            </w:pPr>
          </w:p>
        </w:tc>
      </w:tr>
      <w:tr w:rsidR="00782901" w:rsidRPr="00B93C08" w14:paraId="01B184E2" w14:textId="77777777" w:rsidTr="00D55B7F">
        <w:trPr>
          <w:trHeight w:val="340"/>
        </w:trPr>
        <w:tc>
          <w:tcPr>
            <w:tcW w:w="2268" w:type="dxa"/>
            <w:vMerge/>
            <w:shd w:val="clear" w:color="auto" w:fill="012749"/>
            <w:vAlign w:val="center"/>
          </w:tcPr>
          <w:p w14:paraId="267D2369" w14:textId="77777777" w:rsidR="00782901" w:rsidRPr="00785336" w:rsidRDefault="00782901">
            <w:pPr>
              <w:tabs>
                <w:tab w:val="left" w:pos="567"/>
              </w:tabs>
              <w:spacing w:after="0" w:line="22" w:lineRule="atLeast"/>
              <w:rPr>
                <w:rFonts w:eastAsia="Times New Roman" w:cs="Arial"/>
                <w:color w:val="FFFFFF"/>
                <w:sz w:val="19"/>
                <w:szCs w:val="19"/>
              </w:rPr>
            </w:pPr>
          </w:p>
        </w:tc>
        <w:tc>
          <w:tcPr>
            <w:tcW w:w="1276" w:type="dxa"/>
            <w:shd w:val="clear" w:color="auto" w:fill="012749"/>
            <w:vAlign w:val="center"/>
          </w:tcPr>
          <w:p w14:paraId="29C42A12" w14:textId="77777777" w:rsidR="00782901" w:rsidRPr="00785336" w:rsidRDefault="00782901" w:rsidP="003F3220">
            <w:pPr>
              <w:spacing w:after="0" w:line="22" w:lineRule="atLeast"/>
              <w:jc w:val="center"/>
              <w:rPr>
                <w:rFonts w:eastAsia="Times New Roman" w:cs="Arial"/>
                <w:sz w:val="19"/>
                <w:szCs w:val="19"/>
              </w:rPr>
            </w:pPr>
            <w:r w:rsidRPr="00785336">
              <w:rPr>
                <w:rFonts w:eastAsia="Times New Roman" w:cs="Arial"/>
                <w:sz w:val="19"/>
                <w:szCs w:val="19"/>
              </w:rPr>
              <w:t>(‘000)</w:t>
            </w:r>
          </w:p>
        </w:tc>
        <w:tc>
          <w:tcPr>
            <w:tcW w:w="1276" w:type="dxa"/>
            <w:shd w:val="clear" w:color="auto" w:fill="012749"/>
            <w:vAlign w:val="center"/>
          </w:tcPr>
          <w:p w14:paraId="658EAD7C" w14:textId="77777777" w:rsidR="00782901" w:rsidRPr="00785336" w:rsidRDefault="00782901" w:rsidP="003F3220">
            <w:pPr>
              <w:spacing w:after="0" w:line="22" w:lineRule="atLeast"/>
              <w:jc w:val="center"/>
              <w:rPr>
                <w:rFonts w:eastAsia="Times New Roman" w:cs="Arial"/>
                <w:sz w:val="19"/>
                <w:szCs w:val="19"/>
              </w:rPr>
            </w:pPr>
            <w:r w:rsidRPr="00785336">
              <w:rPr>
                <w:rFonts w:eastAsia="Times New Roman" w:cs="Arial"/>
                <w:sz w:val="19"/>
                <w:szCs w:val="19"/>
              </w:rPr>
              <w:t>(‘000)</w:t>
            </w:r>
          </w:p>
        </w:tc>
        <w:tc>
          <w:tcPr>
            <w:tcW w:w="992" w:type="dxa"/>
            <w:shd w:val="clear" w:color="auto" w:fill="012749"/>
            <w:vAlign w:val="center"/>
          </w:tcPr>
          <w:p w14:paraId="2DA249B0" w14:textId="77777777" w:rsidR="00782901" w:rsidRPr="00785336" w:rsidRDefault="00782901" w:rsidP="003F3220">
            <w:pPr>
              <w:spacing w:after="0" w:line="22" w:lineRule="atLeast"/>
              <w:jc w:val="center"/>
              <w:rPr>
                <w:rFonts w:eastAsia="Times New Roman" w:cs="Arial"/>
                <w:color w:val="FFFFFF"/>
                <w:sz w:val="19"/>
                <w:szCs w:val="19"/>
              </w:rPr>
            </w:pPr>
            <w:r w:rsidRPr="00785336">
              <w:rPr>
                <w:rFonts w:eastAsia="Times New Roman" w:cs="Arial"/>
                <w:color w:val="FFFFFF"/>
                <w:sz w:val="19"/>
                <w:szCs w:val="19"/>
              </w:rPr>
              <w:t>(‘000)</w:t>
            </w:r>
          </w:p>
        </w:tc>
        <w:tc>
          <w:tcPr>
            <w:tcW w:w="992" w:type="dxa"/>
            <w:shd w:val="clear" w:color="auto" w:fill="012749"/>
            <w:vAlign w:val="center"/>
          </w:tcPr>
          <w:p w14:paraId="45F19E08" w14:textId="77777777" w:rsidR="00782901" w:rsidRPr="00785336" w:rsidRDefault="00782901" w:rsidP="003F3220">
            <w:pPr>
              <w:spacing w:after="0" w:line="22" w:lineRule="atLeast"/>
              <w:jc w:val="center"/>
              <w:rPr>
                <w:rFonts w:eastAsia="Times New Roman" w:cs="Arial"/>
                <w:color w:val="FFFFFF"/>
                <w:sz w:val="19"/>
                <w:szCs w:val="19"/>
              </w:rPr>
            </w:pPr>
            <w:r w:rsidRPr="00785336">
              <w:rPr>
                <w:rFonts w:eastAsia="Times New Roman" w:cs="Arial"/>
                <w:color w:val="FFFFFF"/>
                <w:sz w:val="19"/>
                <w:szCs w:val="19"/>
              </w:rPr>
              <w:t>(%)</w:t>
            </w:r>
          </w:p>
        </w:tc>
        <w:tc>
          <w:tcPr>
            <w:tcW w:w="1134" w:type="dxa"/>
            <w:shd w:val="clear" w:color="auto" w:fill="012749"/>
            <w:vAlign w:val="center"/>
          </w:tcPr>
          <w:p w14:paraId="6148827A" w14:textId="77777777" w:rsidR="00782901" w:rsidRPr="00785336" w:rsidRDefault="00782901" w:rsidP="003F3220">
            <w:pPr>
              <w:spacing w:after="0" w:line="22" w:lineRule="atLeast"/>
              <w:jc w:val="center"/>
              <w:rPr>
                <w:rFonts w:eastAsia="Times New Roman" w:cs="Arial"/>
                <w:color w:val="FFFFFF"/>
                <w:sz w:val="19"/>
                <w:szCs w:val="19"/>
              </w:rPr>
            </w:pPr>
            <w:r w:rsidRPr="00785336">
              <w:rPr>
                <w:rFonts w:eastAsia="Times New Roman" w:cs="Arial"/>
                <w:color w:val="FFFFFF"/>
                <w:sz w:val="19"/>
                <w:szCs w:val="19"/>
              </w:rPr>
              <w:t>(‘000)</w:t>
            </w:r>
          </w:p>
        </w:tc>
        <w:tc>
          <w:tcPr>
            <w:tcW w:w="993" w:type="dxa"/>
            <w:shd w:val="clear" w:color="auto" w:fill="012749"/>
            <w:vAlign w:val="center"/>
          </w:tcPr>
          <w:p w14:paraId="35C27FE7" w14:textId="77777777" w:rsidR="00782901" w:rsidRPr="00785336" w:rsidRDefault="00782901" w:rsidP="003F3220">
            <w:pPr>
              <w:spacing w:after="0" w:line="22" w:lineRule="atLeast"/>
              <w:jc w:val="center"/>
              <w:rPr>
                <w:rFonts w:eastAsia="Times New Roman" w:cs="Arial"/>
                <w:color w:val="FFFFFF"/>
                <w:sz w:val="19"/>
                <w:szCs w:val="19"/>
              </w:rPr>
            </w:pPr>
            <w:r w:rsidRPr="00785336">
              <w:rPr>
                <w:rFonts w:eastAsia="Times New Roman" w:cs="Arial"/>
                <w:color w:val="FFFFFF"/>
                <w:sz w:val="19"/>
                <w:szCs w:val="19"/>
              </w:rPr>
              <w:t>(%)</w:t>
            </w:r>
          </w:p>
        </w:tc>
      </w:tr>
      <w:tr w:rsidR="009E76D6" w:rsidRPr="00B93C08" w14:paraId="6BE2C40C" w14:textId="77777777" w:rsidTr="006C23DB">
        <w:trPr>
          <w:trHeight w:val="290"/>
        </w:trPr>
        <w:tc>
          <w:tcPr>
            <w:tcW w:w="2268" w:type="dxa"/>
            <w:tcBorders>
              <w:top w:val="nil"/>
              <w:left w:val="nil"/>
              <w:bottom w:val="nil"/>
              <w:right w:val="nil"/>
            </w:tcBorders>
            <w:shd w:val="clear" w:color="auto" w:fill="FFFFFF" w:themeFill="background1"/>
            <w:noWrap/>
            <w:vAlign w:val="center"/>
            <w:hideMark/>
          </w:tcPr>
          <w:p w14:paraId="12437BEA" w14:textId="77777777" w:rsidR="009E76D6" w:rsidRPr="00412E44" w:rsidRDefault="009E76D6" w:rsidP="009E76D6">
            <w:pPr>
              <w:spacing w:after="0" w:line="22" w:lineRule="atLeast"/>
              <w:rPr>
                <w:rFonts w:eastAsia="Times New Roman" w:cs="Arial"/>
                <w:color w:val="000000"/>
                <w:sz w:val="20"/>
                <w:szCs w:val="20"/>
                <w:lang w:eastAsia="en-AU"/>
              </w:rPr>
            </w:pPr>
            <w:r w:rsidRPr="00412E44">
              <w:rPr>
                <w:rFonts w:cs="Arial"/>
                <w:color w:val="000000"/>
                <w:sz w:val="20"/>
                <w:szCs w:val="20"/>
              </w:rPr>
              <w:t>Skill Level 1 Occupations</w:t>
            </w:r>
          </w:p>
        </w:tc>
        <w:tc>
          <w:tcPr>
            <w:tcW w:w="1276" w:type="dxa"/>
            <w:tcBorders>
              <w:top w:val="nil"/>
              <w:left w:val="nil"/>
              <w:bottom w:val="nil"/>
              <w:right w:val="nil"/>
            </w:tcBorders>
            <w:shd w:val="clear" w:color="auto" w:fill="FFFFFF" w:themeFill="background1"/>
            <w:noWrap/>
            <w:vAlign w:val="center"/>
            <w:hideMark/>
          </w:tcPr>
          <w:p w14:paraId="41F58120" w14:textId="6210AB8F" w:rsidR="009E76D6" w:rsidRPr="00412E44" w:rsidRDefault="009E76D6" w:rsidP="009E76D6">
            <w:pPr>
              <w:spacing w:after="0" w:line="22" w:lineRule="atLeast"/>
              <w:jc w:val="center"/>
              <w:rPr>
                <w:rFonts w:eastAsia="Times New Roman" w:cs="Arial"/>
                <w:color w:val="000000"/>
                <w:sz w:val="20"/>
                <w:szCs w:val="20"/>
                <w:lang w:eastAsia="en-AU"/>
              </w:rPr>
            </w:pPr>
            <w:r w:rsidRPr="00412E44">
              <w:t>4,971.6</w:t>
            </w:r>
          </w:p>
        </w:tc>
        <w:tc>
          <w:tcPr>
            <w:tcW w:w="1276" w:type="dxa"/>
            <w:tcBorders>
              <w:top w:val="nil"/>
              <w:left w:val="nil"/>
              <w:bottom w:val="nil"/>
              <w:right w:val="nil"/>
            </w:tcBorders>
            <w:shd w:val="clear" w:color="auto" w:fill="FFFFFF" w:themeFill="background1"/>
            <w:noWrap/>
            <w:vAlign w:val="center"/>
            <w:hideMark/>
          </w:tcPr>
          <w:p w14:paraId="02676D30" w14:textId="70D71588" w:rsidR="009E76D6" w:rsidRPr="00412E44" w:rsidRDefault="009E76D6" w:rsidP="009E76D6">
            <w:pPr>
              <w:spacing w:after="0" w:line="22" w:lineRule="atLeast"/>
              <w:jc w:val="center"/>
              <w:rPr>
                <w:rFonts w:eastAsia="Times New Roman" w:cs="Arial"/>
                <w:sz w:val="20"/>
                <w:szCs w:val="20"/>
              </w:rPr>
            </w:pPr>
            <w:r w:rsidRPr="00412E44">
              <w:t>4,810.9</w:t>
            </w:r>
          </w:p>
        </w:tc>
        <w:tc>
          <w:tcPr>
            <w:tcW w:w="992" w:type="dxa"/>
            <w:tcBorders>
              <w:top w:val="nil"/>
              <w:left w:val="nil"/>
              <w:bottom w:val="nil"/>
              <w:right w:val="nil"/>
            </w:tcBorders>
            <w:shd w:val="clear" w:color="auto" w:fill="FFFFFF" w:themeFill="background1"/>
            <w:noWrap/>
            <w:vAlign w:val="center"/>
            <w:hideMark/>
          </w:tcPr>
          <w:p w14:paraId="54D485A1" w14:textId="799AA5F3" w:rsidR="009E76D6" w:rsidRPr="00412E44" w:rsidRDefault="009E76D6" w:rsidP="009E76D6">
            <w:pPr>
              <w:spacing w:after="0" w:line="22" w:lineRule="atLeast"/>
              <w:jc w:val="center"/>
              <w:rPr>
                <w:rFonts w:eastAsia="Times New Roman" w:cs="Arial"/>
                <w:sz w:val="20"/>
                <w:szCs w:val="20"/>
              </w:rPr>
            </w:pPr>
            <w:r w:rsidRPr="00412E44">
              <w:t>160.7</w:t>
            </w:r>
          </w:p>
        </w:tc>
        <w:tc>
          <w:tcPr>
            <w:tcW w:w="992" w:type="dxa"/>
            <w:tcBorders>
              <w:top w:val="nil"/>
              <w:left w:val="nil"/>
              <w:bottom w:val="nil"/>
              <w:right w:val="nil"/>
            </w:tcBorders>
            <w:shd w:val="clear" w:color="auto" w:fill="FFFFFF" w:themeFill="background1"/>
            <w:noWrap/>
            <w:vAlign w:val="center"/>
            <w:hideMark/>
          </w:tcPr>
          <w:p w14:paraId="78175E5C" w14:textId="11E33CAE" w:rsidR="009E76D6" w:rsidRPr="00412E44" w:rsidRDefault="009E76D6" w:rsidP="009E76D6">
            <w:pPr>
              <w:spacing w:after="0" w:line="22" w:lineRule="atLeast"/>
              <w:jc w:val="center"/>
              <w:rPr>
                <w:rFonts w:eastAsia="Times New Roman" w:cs="Arial"/>
                <w:sz w:val="20"/>
                <w:szCs w:val="20"/>
              </w:rPr>
            </w:pPr>
            <w:r w:rsidRPr="00412E44">
              <w:t>3.3</w:t>
            </w:r>
          </w:p>
        </w:tc>
        <w:tc>
          <w:tcPr>
            <w:tcW w:w="1134" w:type="dxa"/>
            <w:tcBorders>
              <w:top w:val="nil"/>
              <w:left w:val="nil"/>
              <w:bottom w:val="nil"/>
              <w:right w:val="nil"/>
            </w:tcBorders>
            <w:shd w:val="clear" w:color="auto" w:fill="FFFFFF" w:themeFill="background1"/>
            <w:noWrap/>
            <w:vAlign w:val="center"/>
            <w:hideMark/>
          </w:tcPr>
          <w:p w14:paraId="338BDD58" w14:textId="4CA4D81E" w:rsidR="009E76D6" w:rsidRPr="00412E44" w:rsidRDefault="009E76D6" w:rsidP="009E76D6">
            <w:pPr>
              <w:spacing w:after="0" w:line="22" w:lineRule="atLeast"/>
              <w:jc w:val="center"/>
              <w:rPr>
                <w:rFonts w:eastAsia="Times New Roman" w:cs="Arial"/>
                <w:sz w:val="20"/>
                <w:szCs w:val="20"/>
              </w:rPr>
            </w:pPr>
            <w:r w:rsidRPr="00412E44">
              <w:t>932.6</w:t>
            </w:r>
          </w:p>
        </w:tc>
        <w:tc>
          <w:tcPr>
            <w:tcW w:w="993" w:type="dxa"/>
            <w:tcBorders>
              <w:top w:val="nil"/>
              <w:left w:val="nil"/>
              <w:bottom w:val="nil"/>
              <w:right w:val="nil"/>
            </w:tcBorders>
            <w:shd w:val="clear" w:color="auto" w:fill="FFFFFF" w:themeFill="background1"/>
            <w:noWrap/>
            <w:vAlign w:val="center"/>
            <w:hideMark/>
          </w:tcPr>
          <w:p w14:paraId="17B73E6E" w14:textId="0CED0E84" w:rsidR="009E76D6" w:rsidRPr="00412E44" w:rsidRDefault="009E76D6" w:rsidP="009E76D6">
            <w:pPr>
              <w:spacing w:after="0" w:line="22" w:lineRule="atLeast"/>
              <w:jc w:val="center"/>
              <w:rPr>
                <w:rFonts w:eastAsia="Times New Roman" w:cs="Arial"/>
                <w:sz w:val="20"/>
                <w:szCs w:val="20"/>
              </w:rPr>
            </w:pPr>
            <w:r w:rsidRPr="00412E44">
              <w:t>23.1</w:t>
            </w:r>
          </w:p>
        </w:tc>
      </w:tr>
      <w:tr w:rsidR="009E76D6" w:rsidRPr="00B93C08" w14:paraId="0D8444DF" w14:textId="77777777" w:rsidTr="006C23DB">
        <w:trPr>
          <w:trHeight w:val="290"/>
        </w:trPr>
        <w:tc>
          <w:tcPr>
            <w:tcW w:w="2268" w:type="dxa"/>
            <w:tcBorders>
              <w:top w:val="nil"/>
              <w:left w:val="nil"/>
              <w:bottom w:val="nil"/>
              <w:right w:val="nil"/>
            </w:tcBorders>
            <w:shd w:val="clear" w:color="auto" w:fill="D9D9D9" w:themeFill="background1" w:themeFillShade="D9"/>
            <w:noWrap/>
            <w:vAlign w:val="center"/>
            <w:hideMark/>
          </w:tcPr>
          <w:p w14:paraId="7587E223" w14:textId="77777777" w:rsidR="009E76D6" w:rsidRPr="00412E44" w:rsidRDefault="009E76D6" w:rsidP="009E76D6">
            <w:pPr>
              <w:spacing w:after="0" w:line="22" w:lineRule="atLeast"/>
              <w:rPr>
                <w:rFonts w:eastAsia="Times New Roman" w:cs="Arial"/>
                <w:color w:val="000000"/>
                <w:sz w:val="20"/>
                <w:szCs w:val="20"/>
                <w:lang w:eastAsia="en-AU"/>
              </w:rPr>
            </w:pPr>
            <w:r w:rsidRPr="00412E44">
              <w:rPr>
                <w:rFonts w:cs="Arial"/>
                <w:color w:val="000000"/>
                <w:sz w:val="20"/>
                <w:szCs w:val="20"/>
              </w:rPr>
              <w:t>Skill Level 2 Occupations</w:t>
            </w:r>
          </w:p>
        </w:tc>
        <w:tc>
          <w:tcPr>
            <w:tcW w:w="1276" w:type="dxa"/>
            <w:tcBorders>
              <w:top w:val="nil"/>
              <w:left w:val="nil"/>
              <w:bottom w:val="nil"/>
              <w:right w:val="nil"/>
            </w:tcBorders>
            <w:shd w:val="clear" w:color="auto" w:fill="D9D9D9" w:themeFill="background1" w:themeFillShade="D9"/>
            <w:noWrap/>
            <w:vAlign w:val="center"/>
            <w:hideMark/>
          </w:tcPr>
          <w:p w14:paraId="78FB5A90" w14:textId="6487F049" w:rsidR="009E76D6" w:rsidRPr="00412E44" w:rsidRDefault="009E76D6" w:rsidP="009E76D6">
            <w:pPr>
              <w:spacing w:after="0" w:line="22" w:lineRule="atLeast"/>
              <w:jc w:val="center"/>
              <w:rPr>
                <w:rFonts w:eastAsia="Times New Roman" w:cs="Arial"/>
                <w:sz w:val="20"/>
                <w:szCs w:val="20"/>
              </w:rPr>
            </w:pPr>
            <w:r w:rsidRPr="00412E44">
              <w:t>1,749.1</w:t>
            </w:r>
          </w:p>
        </w:tc>
        <w:tc>
          <w:tcPr>
            <w:tcW w:w="1276" w:type="dxa"/>
            <w:tcBorders>
              <w:top w:val="nil"/>
              <w:left w:val="nil"/>
              <w:bottom w:val="nil"/>
              <w:right w:val="nil"/>
            </w:tcBorders>
            <w:shd w:val="clear" w:color="auto" w:fill="D9D9D9" w:themeFill="background1" w:themeFillShade="D9"/>
            <w:noWrap/>
            <w:vAlign w:val="center"/>
            <w:hideMark/>
          </w:tcPr>
          <w:p w14:paraId="5DCE3E45" w14:textId="57F0D2B6" w:rsidR="009E76D6" w:rsidRPr="00412E44" w:rsidRDefault="009E76D6" w:rsidP="009E76D6">
            <w:pPr>
              <w:spacing w:after="0" w:line="22" w:lineRule="atLeast"/>
              <w:jc w:val="center"/>
              <w:rPr>
                <w:rFonts w:eastAsia="Times New Roman" w:cs="Arial"/>
                <w:sz w:val="20"/>
                <w:szCs w:val="20"/>
              </w:rPr>
            </w:pPr>
            <w:r w:rsidRPr="00412E44">
              <w:t>1,700.5</w:t>
            </w:r>
          </w:p>
        </w:tc>
        <w:tc>
          <w:tcPr>
            <w:tcW w:w="992" w:type="dxa"/>
            <w:tcBorders>
              <w:top w:val="nil"/>
              <w:left w:val="nil"/>
              <w:bottom w:val="nil"/>
              <w:right w:val="nil"/>
            </w:tcBorders>
            <w:shd w:val="clear" w:color="auto" w:fill="D9D9D9" w:themeFill="background1" w:themeFillShade="D9"/>
            <w:noWrap/>
            <w:vAlign w:val="center"/>
            <w:hideMark/>
          </w:tcPr>
          <w:p w14:paraId="4C37D5ED" w14:textId="72EAE8C2" w:rsidR="009E76D6" w:rsidRPr="00412E44" w:rsidRDefault="009E76D6" w:rsidP="009E76D6">
            <w:pPr>
              <w:spacing w:after="0" w:line="22" w:lineRule="atLeast"/>
              <w:jc w:val="center"/>
              <w:rPr>
                <w:rFonts w:eastAsia="Times New Roman" w:cs="Arial"/>
                <w:sz w:val="20"/>
                <w:szCs w:val="20"/>
              </w:rPr>
            </w:pPr>
            <w:r w:rsidRPr="00412E44">
              <w:t>48.6</w:t>
            </w:r>
          </w:p>
        </w:tc>
        <w:tc>
          <w:tcPr>
            <w:tcW w:w="992" w:type="dxa"/>
            <w:tcBorders>
              <w:top w:val="nil"/>
              <w:left w:val="nil"/>
              <w:bottom w:val="nil"/>
              <w:right w:val="nil"/>
            </w:tcBorders>
            <w:shd w:val="clear" w:color="auto" w:fill="D9D9D9" w:themeFill="background1" w:themeFillShade="D9"/>
            <w:noWrap/>
            <w:vAlign w:val="center"/>
            <w:hideMark/>
          </w:tcPr>
          <w:p w14:paraId="1516BE6A" w14:textId="77499D2A" w:rsidR="009E76D6" w:rsidRPr="00412E44" w:rsidRDefault="009E76D6" w:rsidP="009E76D6">
            <w:pPr>
              <w:spacing w:after="0" w:line="22" w:lineRule="atLeast"/>
              <w:jc w:val="center"/>
              <w:rPr>
                <w:rFonts w:eastAsia="Times New Roman" w:cs="Arial"/>
                <w:sz w:val="20"/>
                <w:szCs w:val="20"/>
              </w:rPr>
            </w:pPr>
            <w:r w:rsidRPr="00412E44">
              <w:t>2.9</w:t>
            </w:r>
          </w:p>
        </w:tc>
        <w:tc>
          <w:tcPr>
            <w:tcW w:w="1134" w:type="dxa"/>
            <w:tcBorders>
              <w:top w:val="nil"/>
              <w:left w:val="nil"/>
              <w:bottom w:val="nil"/>
              <w:right w:val="nil"/>
            </w:tcBorders>
            <w:shd w:val="clear" w:color="auto" w:fill="D9D9D9" w:themeFill="background1" w:themeFillShade="D9"/>
            <w:noWrap/>
            <w:vAlign w:val="center"/>
            <w:hideMark/>
          </w:tcPr>
          <w:p w14:paraId="2493AFC4" w14:textId="6F18514E" w:rsidR="009E76D6" w:rsidRPr="00412E44" w:rsidRDefault="009E76D6" w:rsidP="009E76D6">
            <w:pPr>
              <w:spacing w:after="0" w:line="22" w:lineRule="atLeast"/>
              <w:jc w:val="center"/>
              <w:rPr>
                <w:rFonts w:eastAsia="Times New Roman" w:cs="Arial"/>
                <w:sz w:val="20"/>
                <w:szCs w:val="20"/>
              </w:rPr>
            </w:pPr>
            <w:r w:rsidRPr="00412E44">
              <w:t>176.9</w:t>
            </w:r>
          </w:p>
        </w:tc>
        <w:tc>
          <w:tcPr>
            <w:tcW w:w="993" w:type="dxa"/>
            <w:tcBorders>
              <w:top w:val="nil"/>
              <w:left w:val="nil"/>
              <w:bottom w:val="nil"/>
              <w:right w:val="nil"/>
            </w:tcBorders>
            <w:shd w:val="clear" w:color="auto" w:fill="D9D9D9" w:themeFill="background1" w:themeFillShade="D9"/>
            <w:noWrap/>
            <w:vAlign w:val="center"/>
            <w:hideMark/>
          </w:tcPr>
          <w:p w14:paraId="50CAC213" w14:textId="36BCCFE2" w:rsidR="009E76D6" w:rsidRPr="00412E44" w:rsidRDefault="009E76D6" w:rsidP="009E76D6">
            <w:pPr>
              <w:spacing w:after="0" w:line="22" w:lineRule="atLeast"/>
              <w:jc w:val="center"/>
              <w:rPr>
                <w:rFonts w:eastAsia="Times New Roman" w:cs="Arial"/>
                <w:sz w:val="20"/>
                <w:szCs w:val="20"/>
              </w:rPr>
            </w:pPr>
            <w:r w:rsidRPr="00412E44">
              <w:t>11.2</w:t>
            </w:r>
          </w:p>
        </w:tc>
      </w:tr>
      <w:tr w:rsidR="009E76D6" w:rsidRPr="00B93C08" w14:paraId="28D242D2" w14:textId="77777777" w:rsidTr="006C23DB">
        <w:trPr>
          <w:trHeight w:val="290"/>
        </w:trPr>
        <w:tc>
          <w:tcPr>
            <w:tcW w:w="2268" w:type="dxa"/>
            <w:tcBorders>
              <w:top w:val="nil"/>
              <w:left w:val="nil"/>
              <w:bottom w:val="nil"/>
              <w:right w:val="nil"/>
            </w:tcBorders>
            <w:shd w:val="clear" w:color="auto" w:fill="FFFFFF" w:themeFill="background1"/>
            <w:noWrap/>
            <w:vAlign w:val="center"/>
            <w:hideMark/>
          </w:tcPr>
          <w:p w14:paraId="2652DD0E" w14:textId="77777777" w:rsidR="009E76D6" w:rsidRPr="00412E44" w:rsidRDefault="009E76D6" w:rsidP="009E76D6">
            <w:pPr>
              <w:spacing w:after="0" w:line="22" w:lineRule="atLeast"/>
              <w:rPr>
                <w:rFonts w:eastAsia="Times New Roman" w:cs="Arial"/>
                <w:color w:val="000000"/>
                <w:sz w:val="20"/>
                <w:szCs w:val="20"/>
                <w:lang w:eastAsia="en-AU"/>
              </w:rPr>
            </w:pPr>
            <w:r w:rsidRPr="00412E44">
              <w:rPr>
                <w:rFonts w:cs="Arial"/>
                <w:color w:val="000000"/>
                <w:sz w:val="20"/>
                <w:szCs w:val="20"/>
              </w:rPr>
              <w:t>Skill Level 3 Occupations</w:t>
            </w:r>
          </w:p>
        </w:tc>
        <w:tc>
          <w:tcPr>
            <w:tcW w:w="1276" w:type="dxa"/>
            <w:tcBorders>
              <w:top w:val="nil"/>
              <w:left w:val="nil"/>
              <w:bottom w:val="nil"/>
              <w:right w:val="nil"/>
            </w:tcBorders>
            <w:shd w:val="clear" w:color="auto" w:fill="FFFFFF" w:themeFill="background1"/>
            <w:noWrap/>
            <w:vAlign w:val="center"/>
            <w:hideMark/>
          </w:tcPr>
          <w:p w14:paraId="53F724D9" w14:textId="3896260B" w:rsidR="009E76D6" w:rsidRPr="00412E44" w:rsidRDefault="009E76D6" w:rsidP="009E76D6">
            <w:pPr>
              <w:spacing w:after="0" w:line="22" w:lineRule="atLeast"/>
              <w:jc w:val="center"/>
              <w:rPr>
                <w:rFonts w:eastAsia="Times New Roman" w:cs="Arial"/>
                <w:sz w:val="20"/>
                <w:szCs w:val="20"/>
              </w:rPr>
            </w:pPr>
            <w:r w:rsidRPr="00412E44">
              <w:t>2,081.5</w:t>
            </w:r>
          </w:p>
        </w:tc>
        <w:tc>
          <w:tcPr>
            <w:tcW w:w="1276" w:type="dxa"/>
            <w:tcBorders>
              <w:top w:val="nil"/>
              <w:left w:val="nil"/>
              <w:bottom w:val="nil"/>
              <w:right w:val="nil"/>
            </w:tcBorders>
            <w:shd w:val="clear" w:color="auto" w:fill="FFFFFF" w:themeFill="background1"/>
            <w:noWrap/>
            <w:vAlign w:val="center"/>
            <w:hideMark/>
          </w:tcPr>
          <w:p w14:paraId="4B4D6C9A" w14:textId="39DDA9AA" w:rsidR="009E76D6" w:rsidRPr="00412E44" w:rsidRDefault="009E76D6" w:rsidP="009E76D6">
            <w:pPr>
              <w:spacing w:after="0" w:line="22" w:lineRule="atLeast"/>
              <w:jc w:val="center"/>
              <w:rPr>
                <w:rFonts w:eastAsia="Times New Roman" w:cs="Arial"/>
                <w:sz w:val="20"/>
                <w:szCs w:val="20"/>
              </w:rPr>
            </w:pPr>
            <w:r w:rsidRPr="00412E44">
              <w:t>2,064.3</w:t>
            </w:r>
          </w:p>
        </w:tc>
        <w:tc>
          <w:tcPr>
            <w:tcW w:w="992" w:type="dxa"/>
            <w:tcBorders>
              <w:top w:val="nil"/>
              <w:left w:val="nil"/>
              <w:bottom w:val="nil"/>
              <w:right w:val="nil"/>
            </w:tcBorders>
            <w:shd w:val="clear" w:color="auto" w:fill="FFFFFF" w:themeFill="background1"/>
            <w:noWrap/>
            <w:vAlign w:val="center"/>
            <w:hideMark/>
          </w:tcPr>
          <w:p w14:paraId="744C2CA1" w14:textId="50D23E0D" w:rsidR="009E76D6" w:rsidRPr="00412E44" w:rsidRDefault="009E76D6" w:rsidP="009E76D6">
            <w:pPr>
              <w:spacing w:after="0" w:line="22" w:lineRule="atLeast"/>
              <w:jc w:val="center"/>
              <w:rPr>
                <w:rFonts w:eastAsia="Times New Roman" w:cs="Arial"/>
                <w:sz w:val="20"/>
                <w:szCs w:val="20"/>
              </w:rPr>
            </w:pPr>
            <w:r w:rsidRPr="00412E44">
              <w:t>17.2</w:t>
            </w:r>
          </w:p>
        </w:tc>
        <w:tc>
          <w:tcPr>
            <w:tcW w:w="992" w:type="dxa"/>
            <w:tcBorders>
              <w:top w:val="nil"/>
              <w:left w:val="nil"/>
              <w:bottom w:val="nil"/>
              <w:right w:val="nil"/>
            </w:tcBorders>
            <w:shd w:val="clear" w:color="auto" w:fill="FFFFFF" w:themeFill="background1"/>
            <w:noWrap/>
            <w:vAlign w:val="center"/>
            <w:hideMark/>
          </w:tcPr>
          <w:p w14:paraId="295910C7" w14:textId="11DF61C3" w:rsidR="009E76D6" w:rsidRPr="00412E44" w:rsidRDefault="009E76D6" w:rsidP="009E76D6">
            <w:pPr>
              <w:spacing w:after="0" w:line="22" w:lineRule="atLeast"/>
              <w:jc w:val="center"/>
              <w:rPr>
                <w:rFonts w:eastAsia="Times New Roman" w:cs="Arial"/>
                <w:sz w:val="20"/>
                <w:szCs w:val="20"/>
              </w:rPr>
            </w:pPr>
            <w:r w:rsidRPr="00412E44">
              <w:t>0.8</w:t>
            </w:r>
          </w:p>
        </w:tc>
        <w:tc>
          <w:tcPr>
            <w:tcW w:w="1134" w:type="dxa"/>
            <w:tcBorders>
              <w:top w:val="nil"/>
              <w:left w:val="nil"/>
              <w:bottom w:val="nil"/>
              <w:right w:val="nil"/>
            </w:tcBorders>
            <w:shd w:val="clear" w:color="auto" w:fill="FFFFFF" w:themeFill="background1"/>
            <w:noWrap/>
            <w:vAlign w:val="center"/>
            <w:hideMark/>
          </w:tcPr>
          <w:p w14:paraId="58E57889" w14:textId="0558CEB9" w:rsidR="009E76D6" w:rsidRPr="00412E44" w:rsidRDefault="009E76D6" w:rsidP="009E76D6">
            <w:pPr>
              <w:spacing w:after="0" w:line="22" w:lineRule="atLeast"/>
              <w:jc w:val="center"/>
              <w:rPr>
                <w:rFonts w:eastAsia="Times New Roman" w:cs="Arial"/>
                <w:sz w:val="20"/>
                <w:szCs w:val="20"/>
              </w:rPr>
            </w:pPr>
            <w:r w:rsidRPr="00412E44">
              <w:t>71.9</w:t>
            </w:r>
          </w:p>
        </w:tc>
        <w:tc>
          <w:tcPr>
            <w:tcW w:w="993" w:type="dxa"/>
            <w:tcBorders>
              <w:top w:val="nil"/>
              <w:left w:val="nil"/>
              <w:bottom w:val="nil"/>
              <w:right w:val="nil"/>
            </w:tcBorders>
            <w:shd w:val="clear" w:color="auto" w:fill="FFFFFF" w:themeFill="background1"/>
            <w:noWrap/>
            <w:vAlign w:val="center"/>
            <w:hideMark/>
          </w:tcPr>
          <w:p w14:paraId="764DFC3A" w14:textId="6B01E406" w:rsidR="009E76D6" w:rsidRPr="00412E44" w:rsidRDefault="009E76D6" w:rsidP="009E76D6">
            <w:pPr>
              <w:spacing w:after="0" w:line="22" w:lineRule="atLeast"/>
              <w:jc w:val="center"/>
              <w:rPr>
                <w:rFonts w:eastAsia="Times New Roman" w:cs="Arial"/>
                <w:sz w:val="20"/>
                <w:szCs w:val="20"/>
              </w:rPr>
            </w:pPr>
            <w:r w:rsidRPr="00412E44">
              <w:t>3.6</w:t>
            </w:r>
          </w:p>
        </w:tc>
      </w:tr>
      <w:tr w:rsidR="009E76D6" w:rsidRPr="00B93C08" w14:paraId="1B36777D" w14:textId="77777777" w:rsidTr="006C23DB">
        <w:trPr>
          <w:trHeight w:val="290"/>
        </w:trPr>
        <w:tc>
          <w:tcPr>
            <w:tcW w:w="2268" w:type="dxa"/>
            <w:tcBorders>
              <w:top w:val="nil"/>
              <w:left w:val="nil"/>
              <w:bottom w:val="nil"/>
              <w:right w:val="nil"/>
            </w:tcBorders>
            <w:shd w:val="clear" w:color="auto" w:fill="D9D9D9" w:themeFill="background1" w:themeFillShade="D9"/>
            <w:noWrap/>
            <w:vAlign w:val="center"/>
            <w:hideMark/>
          </w:tcPr>
          <w:p w14:paraId="255A2E9C" w14:textId="77777777" w:rsidR="009E76D6" w:rsidRPr="00412E44" w:rsidRDefault="009E76D6" w:rsidP="009E76D6">
            <w:pPr>
              <w:spacing w:after="0" w:line="22" w:lineRule="atLeast"/>
              <w:rPr>
                <w:rFonts w:eastAsia="Times New Roman" w:cs="Arial"/>
                <w:color w:val="000000"/>
                <w:sz w:val="20"/>
                <w:szCs w:val="20"/>
                <w:lang w:eastAsia="en-AU"/>
              </w:rPr>
            </w:pPr>
            <w:r w:rsidRPr="00412E44">
              <w:rPr>
                <w:rFonts w:cs="Arial"/>
                <w:color w:val="000000"/>
                <w:sz w:val="20"/>
                <w:szCs w:val="20"/>
              </w:rPr>
              <w:t>Skill Level 4 Occupations</w:t>
            </w:r>
          </w:p>
        </w:tc>
        <w:tc>
          <w:tcPr>
            <w:tcW w:w="1276" w:type="dxa"/>
            <w:tcBorders>
              <w:top w:val="nil"/>
              <w:left w:val="nil"/>
              <w:bottom w:val="nil"/>
              <w:right w:val="nil"/>
            </w:tcBorders>
            <w:shd w:val="clear" w:color="auto" w:fill="D9D9D9" w:themeFill="background1" w:themeFillShade="D9"/>
            <w:noWrap/>
            <w:vAlign w:val="center"/>
            <w:hideMark/>
          </w:tcPr>
          <w:p w14:paraId="0FBAD29E" w14:textId="028CB0D7" w:rsidR="009E76D6" w:rsidRPr="00412E44" w:rsidRDefault="009E76D6" w:rsidP="009E76D6">
            <w:pPr>
              <w:spacing w:after="0" w:line="22" w:lineRule="atLeast"/>
              <w:jc w:val="center"/>
              <w:rPr>
                <w:rFonts w:eastAsia="Times New Roman" w:cs="Arial"/>
                <w:sz w:val="20"/>
                <w:szCs w:val="20"/>
              </w:rPr>
            </w:pPr>
            <w:r w:rsidRPr="00412E44">
              <w:t>3,487.9</w:t>
            </w:r>
          </w:p>
        </w:tc>
        <w:tc>
          <w:tcPr>
            <w:tcW w:w="1276" w:type="dxa"/>
            <w:tcBorders>
              <w:top w:val="nil"/>
              <w:left w:val="nil"/>
              <w:bottom w:val="nil"/>
              <w:right w:val="nil"/>
            </w:tcBorders>
            <w:shd w:val="clear" w:color="auto" w:fill="D9D9D9" w:themeFill="background1" w:themeFillShade="D9"/>
            <w:noWrap/>
            <w:vAlign w:val="center"/>
            <w:hideMark/>
          </w:tcPr>
          <w:p w14:paraId="0D2EB6DE" w14:textId="51CB6B2D" w:rsidR="009E76D6" w:rsidRPr="00412E44" w:rsidRDefault="009E76D6" w:rsidP="009E76D6">
            <w:pPr>
              <w:spacing w:after="0" w:line="22" w:lineRule="atLeast"/>
              <w:jc w:val="center"/>
              <w:rPr>
                <w:rFonts w:eastAsia="Times New Roman" w:cs="Arial"/>
                <w:sz w:val="20"/>
                <w:szCs w:val="20"/>
              </w:rPr>
            </w:pPr>
            <w:r w:rsidRPr="00412E44">
              <w:t>3,321.8</w:t>
            </w:r>
          </w:p>
        </w:tc>
        <w:tc>
          <w:tcPr>
            <w:tcW w:w="992" w:type="dxa"/>
            <w:tcBorders>
              <w:top w:val="nil"/>
              <w:left w:val="nil"/>
              <w:bottom w:val="nil"/>
              <w:right w:val="nil"/>
            </w:tcBorders>
            <w:shd w:val="clear" w:color="auto" w:fill="D9D9D9" w:themeFill="background1" w:themeFillShade="D9"/>
            <w:noWrap/>
            <w:vAlign w:val="center"/>
            <w:hideMark/>
          </w:tcPr>
          <w:p w14:paraId="542A105B" w14:textId="167532BB" w:rsidR="009E76D6" w:rsidRPr="00412E44" w:rsidRDefault="009E76D6" w:rsidP="009E76D6">
            <w:pPr>
              <w:spacing w:after="0" w:line="22" w:lineRule="atLeast"/>
              <w:jc w:val="center"/>
              <w:rPr>
                <w:rFonts w:eastAsia="Times New Roman" w:cs="Arial"/>
                <w:sz w:val="20"/>
                <w:szCs w:val="20"/>
              </w:rPr>
            </w:pPr>
            <w:r w:rsidRPr="00412E44">
              <w:t>166.2</w:t>
            </w:r>
          </w:p>
        </w:tc>
        <w:tc>
          <w:tcPr>
            <w:tcW w:w="992" w:type="dxa"/>
            <w:tcBorders>
              <w:top w:val="nil"/>
              <w:left w:val="nil"/>
              <w:bottom w:val="nil"/>
              <w:right w:val="nil"/>
            </w:tcBorders>
            <w:shd w:val="clear" w:color="auto" w:fill="D9D9D9" w:themeFill="background1" w:themeFillShade="D9"/>
            <w:noWrap/>
            <w:vAlign w:val="center"/>
            <w:hideMark/>
          </w:tcPr>
          <w:p w14:paraId="6CC24541" w14:textId="7D5FA161" w:rsidR="009E76D6" w:rsidRPr="00412E44" w:rsidRDefault="009E76D6" w:rsidP="009E76D6">
            <w:pPr>
              <w:spacing w:after="0" w:line="22" w:lineRule="atLeast"/>
              <w:jc w:val="center"/>
              <w:rPr>
                <w:rFonts w:eastAsia="Times New Roman" w:cs="Arial"/>
                <w:sz w:val="20"/>
                <w:szCs w:val="20"/>
              </w:rPr>
            </w:pPr>
            <w:r w:rsidRPr="00412E44">
              <w:t>5.0</w:t>
            </w:r>
          </w:p>
        </w:tc>
        <w:tc>
          <w:tcPr>
            <w:tcW w:w="1134" w:type="dxa"/>
            <w:tcBorders>
              <w:top w:val="nil"/>
              <w:left w:val="nil"/>
              <w:bottom w:val="nil"/>
              <w:right w:val="nil"/>
            </w:tcBorders>
            <w:shd w:val="clear" w:color="auto" w:fill="D9D9D9" w:themeFill="background1" w:themeFillShade="D9"/>
            <w:noWrap/>
            <w:vAlign w:val="center"/>
            <w:hideMark/>
          </w:tcPr>
          <w:p w14:paraId="73E7B26A" w14:textId="30D78C49" w:rsidR="009E76D6" w:rsidRPr="00412E44" w:rsidRDefault="009E76D6" w:rsidP="009E76D6">
            <w:pPr>
              <w:spacing w:after="0" w:line="22" w:lineRule="atLeast"/>
              <w:jc w:val="center"/>
              <w:rPr>
                <w:rFonts w:eastAsia="Times New Roman" w:cs="Arial"/>
                <w:sz w:val="20"/>
                <w:szCs w:val="20"/>
              </w:rPr>
            </w:pPr>
            <w:r w:rsidRPr="00412E44">
              <w:t>356.3</w:t>
            </w:r>
          </w:p>
        </w:tc>
        <w:tc>
          <w:tcPr>
            <w:tcW w:w="993" w:type="dxa"/>
            <w:tcBorders>
              <w:top w:val="nil"/>
              <w:left w:val="nil"/>
              <w:bottom w:val="nil"/>
              <w:right w:val="nil"/>
            </w:tcBorders>
            <w:shd w:val="clear" w:color="auto" w:fill="D9D9D9" w:themeFill="background1" w:themeFillShade="D9"/>
            <w:noWrap/>
            <w:vAlign w:val="center"/>
            <w:hideMark/>
          </w:tcPr>
          <w:p w14:paraId="1AB48A9D" w14:textId="68629F77" w:rsidR="009E76D6" w:rsidRPr="00412E44" w:rsidRDefault="009E76D6" w:rsidP="009E76D6">
            <w:pPr>
              <w:spacing w:after="0" w:line="22" w:lineRule="atLeast"/>
              <w:jc w:val="center"/>
              <w:rPr>
                <w:rFonts w:eastAsia="Times New Roman" w:cs="Arial"/>
                <w:sz w:val="20"/>
                <w:szCs w:val="20"/>
              </w:rPr>
            </w:pPr>
            <w:r w:rsidRPr="00412E44">
              <w:t>11.4</w:t>
            </w:r>
          </w:p>
        </w:tc>
      </w:tr>
      <w:tr w:rsidR="009E76D6" w:rsidRPr="00B93C08" w14:paraId="327A81E7" w14:textId="77777777" w:rsidTr="006C23DB">
        <w:trPr>
          <w:trHeight w:val="290"/>
        </w:trPr>
        <w:tc>
          <w:tcPr>
            <w:tcW w:w="2268" w:type="dxa"/>
            <w:tcBorders>
              <w:top w:val="nil"/>
              <w:left w:val="nil"/>
              <w:right w:val="nil"/>
            </w:tcBorders>
            <w:shd w:val="clear" w:color="auto" w:fill="FFFFFF" w:themeFill="background1"/>
            <w:noWrap/>
            <w:vAlign w:val="center"/>
            <w:hideMark/>
          </w:tcPr>
          <w:p w14:paraId="1392B0B5" w14:textId="77777777" w:rsidR="009E76D6" w:rsidRPr="00412E44" w:rsidRDefault="009E76D6" w:rsidP="009E76D6">
            <w:pPr>
              <w:spacing w:after="0" w:line="22" w:lineRule="atLeast"/>
              <w:rPr>
                <w:rFonts w:eastAsia="Times New Roman" w:cs="Arial"/>
                <w:color w:val="000000"/>
                <w:sz w:val="20"/>
                <w:szCs w:val="20"/>
                <w:lang w:eastAsia="en-AU"/>
              </w:rPr>
            </w:pPr>
            <w:r w:rsidRPr="00412E44">
              <w:rPr>
                <w:rFonts w:cs="Arial"/>
                <w:color w:val="000000"/>
                <w:sz w:val="20"/>
                <w:szCs w:val="20"/>
              </w:rPr>
              <w:t>Skill Level 5 Occupations</w:t>
            </w:r>
          </w:p>
        </w:tc>
        <w:tc>
          <w:tcPr>
            <w:tcW w:w="1276" w:type="dxa"/>
            <w:tcBorders>
              <w:top w:val="nil"/>
              <w:left w:val="nil"/>
              <w:right w:val="nil"/>
            </w:tcBorders>
            <w:shd w:val="clear" w:color="auto" w:fill="FFFFFF" w:themeFill="background1"/>
            <w:noWrap/>
            <w:vAlign w:val="center"/>
            <w:hideMark/>
          </w:tcPr>
          <w:p w14:paraId="7D91CF5D" w14:textId="6C4B2851" w:rsidR="009E76D6" w:rsidRPr="00412E44" w:rsidRDefault="009E76D6" w:rsidP="009E76D6">
            <w:pPr>
              <w:spacing w:after="0" w:line="22" w:lineRule="atLeast"/>
              <w:jc w:val="center"/>
              <w:rPr>
                <w:rFonts w:eastAsia="Times New Roman" w:cs="Arial"/>
                <w:sz w:val="20"/>
                <w:szCs w:val="20"/>
              </w:rPr>
            </w:pPr>
            <w:r w:rsidRPr="00412E44">
              <w:t>2,001.9</w:t>
            </w:r>
          </w:p>
        </w:tc>
        <w:tc>
          <w:tcPr>
            <w:tcW w:w="1276" w:type="dxa"/>
            <w:tcBorders>
              <w:top w:val="nil"/>
              <w:left w:val="nil"/>
              <w:right w:val="nil"/>
            </w:tcBorders>
            <w:shd w:val="clear" w:color="auto" w:fill="FFFFFF" w:themeFill="background1"/>
            <w:noWrap/>
            <w:vAlign w:val="center"/>
            <w:hideMark/>
          </w:tcPr>
          <w:p w14:paraId="5DCD2B27" w14:textId="07375184" w:rsidR="009E76D6" w:rsidRPr="00412E44" w:rsidRDefault="009E76D6" w:rsidP="009E76D6">
            <w:pPr>
              <w:spacing w:after="0" w:line="22" w:lineRule="atLeast"/>
              <w:jc w:val="center"/>
              <w:rPr>
                <w:rFonts w:eastAsia="Times New Roman" w:cs="Arial"/>
                <w:sz w:val="20"/>
                <w:szCs w:val="20"/>
              </w:rPr>
            </w:pPr>
            <w:r w:rsidRPr="00412E44">
              <w:t>1,999.6</w:t>
            </w:r>
          </w:p>
        </w:tc>
        <w:tc>
          <w:tcPr>
            <w:tcW w:w="992" w:type="dxa"/>
            <w:tcBorders>
              <w:top w:val="nil"/>
              <w:left w:val="nil"/>
              <w:right w:val="nil"/>
            </w:tcBorders>
            <w:shd w:val="clear" w:color="auto" w:fill="FFFFFF" w:themeFill="background1"/>
            <w:noWrap/>
            <w:vAlign w:val="center"/>
            <w:hideMark/>
          </w:tcPr>
          <w:p w14:paraId="22FD677D" w14:textId="38FA2F0A" w:rsidR="009E76D6" w:rsidRPr="00412E44" w:rsidRDefault="009E76D6" w:rsidP="009E76D6">
            <w:pPr>
              <w:spacing w:after="0" w:line="22" w:lineRule="atLeast"/>
              <w:jc w:val="center"/>
              <w:rPr>
                <w:rFonts w:eastAsia="Times New Roman" w:cs="Arial"/>
                <w:sz w:val="20"/>
                <w:szCs w:val="20"/>
              </w:rPr>
            </w:pPr>
            <w:r w:rsidRPr="00412E44">
              <w:t>2.3</w:t>
            </w:r>
          </w:p>
        </w:tc>
        <w:tc>
          <w:tcPr>
            <w:tcW w:w="992" w:type="dxa"/>
            <w:tcBorders>
              <w:top w:val="nil"/>
              <w:left w:val="nil"/>
              <w:right w:val="nil"/>
            </w:tcBorders>
            <w:shd w:val="clear" w:color="auto" w:fill="FFFFFF" w:themeFill="background1"/>
            <w:noWrap/>
            <w:vAlign w:val="center"/>
            <w:hideMark/>
          </w:tcPr>
          <w:p w14:paraId="6E77E499" w14:textId="0FDE8FF7" w:rsidR="009E76D6" w:rsidRPr="00412E44" w:rsidRDefault="009E76D6" w:rsidP="009E76D6">
            <w:pPr>
              <w:spacing w:after="0" w:line="22" w:lineRule="atLeast"/>
              <w:jc w:val="center"/>
              <w:rPr>
                <w:rFonts w:eastAsia="Times New Roman" w:cs="Arial"/>
                <w:sz w:val="20"/>
                <w:szCs w:val="20"/>
              </w:rPr>
            </w:pPr>
            <w:r w:rsidRPr="00412E44">
              <w:t>0.1</w:t>
            </w:r>
          </w:p>
        </w:tc>
        <w:tc>
          <w:tcPr>
            <w:tcW w:w="1134" w:type="dxa"/>
            <w:tcBorders>
              <w:top w:val="nil"/>
              <w:left w:val="nil"/>
              <w:right w:val="nil"/>
            </w:tcBorders>
            <w:shd w:val="clear" w:color="auto" w:fill="FFFFFF" w:themeFill="background1"/>
            <w:noWrap/>
            <w:vAlign w:val="center"/>
            <w:hideMark/>
          </w:tcPr>
          <w:p w14:paraId="0889B8A6" w14:textId="52B98F45" w:rsidR="009E76D6" w:rsidRPr="00412E44" w:rsidRDefault="009E76D6" w:rsidP="009E76D6">
            <w:pPr>
              <w:spacing w:after="0" w:line="22" w:lineRule="atLeast"/>
              <w:jc w:val="center"/>
              <w:rPr>
                <w:rFonts w:eastAsia="Times New Roman" w:cs="Arial"/>
                <w:sz w:val="20"/>
                <w:szCs w:val="20"/>
              </w:rPr>
            </w:pPr>
            <w:r w:rsidRPr="00412E44">
              <w:t>4.2</w:t>
            </w:r>
          </w:p>
        </w:tc>
        <w:tc>
          <w:tcPr>
            <w:tcW w:w="993" w:type="dxa"/>
            <w:tcBorders>
              <w:top w:val="nil"/>
              <w:left w:val="nil"/>
              <w:right w:val="nil"/>
            </w:tcBorders>
            <w:shd w:val="clear" w:color="auto" w:fill="FFFFFF" w:themeFill="background1"/>
            <w:noWrap/>
            <w:vAlign w:val="center"/>
            <w:hideMark/>
          </w:tcPr>
          <w:p w14:paraId="267D5D8C" w14:textId="0A58E66B" w:rsidR="009E76D6" w:rsidRPr="00412E44" w:rsidRDefault="009E76D6" w:rsidP="009E76D6">
            <w:pPr>
              <w:spacing w:after="0" w:line="22" w:lineRule="atLeast"/>
              <w:jc w:val="center"/>
              <w:rPr>
                <w:rFonts w:eastAsia="Times New Roman" w:cs="Arial"/>
                <w:sz w:val="20"/>
                <w:szCs w:val="20"/>
              </w:rPr>
            </w:pPr>
            <w:r w:rsidRPr="00412E44">
              <w:t>0.2</w:t>
            </w:r>
          </w:p>
        </w:tc>
      </w:tr>
      <w:tr w:rsidR="009E76D6" w:rsidRPr="00B93C08" w14:paraId="53D0F314" w14:textId="77777777" w:rsidTr="006C23DB">
        <w:trPr>
          <w:trHeight w:val="349"/>
        </w:trPr>
        <w:tc>
          <w:tcPr>
            <w:tcW w:w="2268" w:type="dxa"/>
            <w:tcBorders>
              <w:top w:val="nil"/>
              <w:left w:val="nil"/>
              <w:bottom w:val="single" w:sz="4" w:space="0" w:color="auto"/>
              <w:right w:val="nil"/>
            </w:tcBorders>
            <w:shd w:val="clear" w:color="auto" w:fill="D9D9D9" w:themeFill="background1" w:themeFillShade="D9"/>
            <w:noWrap/>
            <w:vAlign w:val="center"/>
          </w:tcPr>
          <w:p w14:paraId="20D63DAE" w14:textId="77777777" w:rsidR="009E76D6" w:rsidRPr="00412E44" w:rsidRDefault="009E76D6" w:rsidP="009E76D6">
            <w:pPr>
              <w:spacing w:after="0" w:line="22" w:lineRule="atLeast"/>
              <w:rPr>
                <w:rFonts w:cs="Arial"/>
                <w:color w:val="000000"/>
                <w:sz w:val="20"/>
                <w:szCs w:val="20"/>
              </w:rPr>
            </w:pPr>
            <w:r w:rsidRPr="00412E44">
              <w:rPr>
                <w:rFonts w:cs="Arial"/>
                <w:b/>
                <w:bCs/>
                <w:sz w:val="20"/>
                <w:szCs w:val="20"/>
              </w:rPr>
              <w:t>TOTAL EMPLOYMENT</w:t>
            </w:r>
          </w:p>
        </w:tc>
        <w:tc>
          <w:tcPr>
            <w:tcW w:w="1276" w:type="dxa"/>
            <w:tcBorders>
              <w:top w:val="nil"/>
              <w:left w:val="nil"/>
              <w:bottom w:val="single" w:sz="4" w:space="0" w:color="auto"/>
              <w:right w:val="nil"/>
            </w:tcBorders>
            <w:shd w:val="clear" w:color="auto" w:fill="D9D9D9" w:themeFill="background1" w:themeFillShade="D9"/>
            <w:noWrap/>
            <w:vAlign w:val="center"/>
          </w:tcPr>
          <w:p w14:paraId="56090FFB" w14:textId="13EA8B8F" w:rsidR="009E76D6" w:rsidRPr="00412E44" w:rsidRDefault="009E76D6" w:rsidP="009E76D6">
            <w:pPr>
              <w:spacing w:after="0" w:line="22" w:lineRule="atLeast"/>
              <w:jc w:val="center"/>
              <w:rPr>
                <w:rFonts w:eastAsia="Times New Roman" w:cs="Arial"/>
                <w:b/>
                <w:bCs/>
                <w:sz w:val="20"/>
                <w:szCs w:val="20"/>
              </w:rPr>
            </w:pPr>
            <w:r w:rsidRPr="00412E44">
              <w:rPr>
                <w:b/>
                <w:bCs/>
              </w:rPr>
              <w:t>14,307.6</w:t>
            </w:r>
          </w:p>
        </w:tc>
        <w:tc>
          <w:tcPr>
            <w:tcW w:w="1276" w:type="dxa"/>
            <w:tcBorders>
              <w:top w:val="nil"/>
              <w:left w:val="nil"/>
              <w:bottom w:val="single" w:sz="4" w:space="0" w:color="auto"/>
              <w:right w:val="nil"/>
            </w:tcBorders>
            <w:shd w:val="clear" w:color="auto" w:fill="D9D9D9" w:themeFill="background1" w:themeFillShade="D9"/>
            <w:noWrap/>
            <w:vAlign w:val="center"/>
          </w:tcPr>
          <w:p w14:paraId="34B6ECDF" w14:textId="09C774E9" w:rsidR="009E76D6" w:rsidRPr="00412E44" w:rsidRDefault="009E76D6" w:rsidP="009E76D6">
            <w:pPr>
              <w:spacing w:after="0" w:line="22" w:lineRule="atLeast"/>
              <w:jc w:val="center"/>
              <w:rPr>
                <w:rFonts w:eastAsia="Times New Roman" w:cs="Arial"/>
                <w:b/>
                <w:bCs/>
                <w:sz w:val="20"/>
                <w:szCs w:val="20"/>
              </w:rPr>
            </w:pPr>
            <w:r w:rsidRPr="00412E44">
              <w:rPr>
                <w:b/>
                <w:bCs/>
              </w:rPr>
              <w:t>13,895.6</w:t>
            </w:r>
          </w:p>
        </w:tc>
        <w:tc>
          <w:tcPr>
            <w:tcW w:w="992" w:type="dxa"/>
            <w:tcBorders>
              <w:top w:val="nil"/>
              <w:left w:val="nil"/>
              <w:bottom w:val="single" w:sz="4" w:space="0" w:color="auto"/>
              <w:right w:val="nil"/>
            </w:tcBorders>
            <w:shd w:val="clear" w:color="auto" w:fill="D9D9D9" w:themeFill="background1" w:themeFillShade="D9"/>
            <w:noWrap/>
            <w:vAlign w:val="center"/>
          </w:tcPr>
          <w:p w14:paraId="68A9F4EF" w14:textId="05890287" w:rsidR="009E76D6" w:rsidRPr="00412E44" w:rsidRDefault="009E76D6" w:rsidP="009E76D6">
            <w:pPr>
              <w:spacing w:after="0" w:line="22" w:lineRule="atLeast"/>
              <w:jc w:val="center"/>
              <w:rPr>
                <w:rFonts w:eastAsia="Times New Roman" w:cs="Arial"/>
                <w:b/>
                <w:bCs/>
                <w:sz w:val="20"/>
                <w:szCs w:val="20"/>
              </w:rPr>
            </w:pPr>
            <w:r w:rsidRPr="00412E44">
              <w:rPr>
                <w:b/>
                <w:bCs/>
              </w:rPr>
              <w:t>412.1</w:t>
            </w:r>
          </w:p>
        </w:tc>
        <w:tc>
          <w:tcPr>
            <w:tcW w:w="992" w:type="dxa"/>
            <w:tcBorders>
              <w:top w:val="nil"/>
              <w:left w:val="nil"/>
              <w:bottom w:val="single" w:sz="4" w:space="0" w:color="auto"/>
              <w:right w:val="nil"/>
            </w:tcBorders>
            <w:shd w:val="clear" w:color="auto" w:fill="D9D9D9" w:themeFill="background1" w:themeFillShade="D9"/>
            <w:noWrap/>
            <w:vAlign w:val="center"/>
          </w:tcPr>
          <w:p w14:paraId="5B26716E" w14:textId="5427A2A1" w:rsidR="009E76D6" w:rsidRPr="00412E44" w:rsidRDefault="009E76D6" w:rsidP="009E76D6">
            <w:pPr>
              <w:spacing w:after="0" w:line="22" w:lineRule="atLeast"/>
              <w:jc w:val="center"/>
              <w:rPr>
                <w:rFonts w:eastAsia="Times New Roman" w:cs="Arial"/>
                <w:b/>
                <w:bCs/>
                <w:sz w:val="20"/>
                <w:szCs w:val="20"/>
              </w:rPr>
            </w:pPr>
            <w:r w:rsidRPr="00412E44">
              <w:rPr>
                <w:b/>
                <w:bCs/>
              </w:rPr>
              <w:t>3.0</w:t>
            </w:r>
          </w:p>
        </w:tc>
        <w:tc>
          <w:tcPr>
            <w:tcW w:w="1134" w:type="dxa"/>
            <w:tcBorders>
              <w:top w:val="nil"/>
              <w:left w:val="nil"/>
              <w:bottom w:val="single" w:sz="4" w:space="0" w:color="auto"/>
              <w:right w:val="nil"/>
            </w:tcBorders>
            <w:shd w:val="clear" w:color="auto" w:fill="D9D9D9" w:themeFill="background1" w:themeFillShade="D9"/>
            <w:noWrap/>
            <w:vAlign w:val="center"/>
          </w:tcPr>
          <w:p w14:paraId="6CDA656C" w14:textId="2908E46E" w:rsidR="009E76D6" w:rsidRPr="00412E44" w:rsidRDefault="009E76D6" w:rsidP="009E76D6">
            <w:pPr>
              <w:spacing w:after="0" w:line="22" w:lineRule="atLeast"/>
              <w:jc w:val="center"/>
              <w:rPr>
                <w:rFonts w:eastAsia="Times New Roman" w:cs="Arial"/>
                <w:b/>
                <w:bCs/>
                <w:sz w:val="20"/>
                <w:szCs w:val="20"/>
              </w:rPr>
            </w:pPr>
            <w:r w:rsidRPr="00412E44">
              <w:rPr>
                <w:b/>
                <w:bCs/>
              </w:rPr>
              <w:t>1,558.3</w:t>
            </w:r>
          </w:p>
        </w:tc>
        <w:tc>
          <w:tcPr>
            <w:tcW w:w="993" w:type="dxa"/>
            <w:tcBorders>
              <w:top w:val="nil"/>
              <w:left w:val="nil"/>
              <w:bottom w:val="single" w:sz="4" w:space="0" w:color="auto"/>
              <w:right w:val="nil"/>
            </w:tcBorders>
            <w:shd w:val="clear" w:color="auto" w:fill="D9D9D9" w:themeFill="background1" w:themeFillShade="D9"/>
            <w:noWrap/>
            <w:vAlign w:val="center"/>
          </w:tcPr>
          <w:p w14:paraId="1171BF9F" w14:textId="311FCD68" w:rsidR="009E76D6" w:rsidRPr="00412E44" w:rsidRDefault="009E76D6" w:rsidP="009E76D6">
            <w:pPr>
              <w:spacing w:after="0" w:line="22" w:lineRule="atLeast"/>
              <w:jc w:val="center"/>
              <w:rPr>
                <w:rFonts w:eastAsia="Times New Roman" w:cs="Arial"/>
                <w:b/>
                <w:bCs/>
                <w:sz w:val="20"/>
                <w:szCs w:val="20"/>
              </w:rPr>
            </w:pPr>
            <w:r w:rsidRPr="00412E44">
              <w:rPr>
                <w:b/>
                <w:bCs/>
              </w:rPr>
              <w:t>12.2</w:t>
            </w:r>
          </w:p>
        </w:tc>
      </w:tr>
    </w:tbl>
    <w:p w14:paraId="120A2893" w14:textId="056FA2AE" w:rsidR="00782901" w:rsidRPr="00412E44" w:rsidRDefault="009E76D6" w:rsidP="008B2B83">
      <w:pPr>
        <w:rPr>
          <w:rFonts w:cs="Arial"/>
        </w:rPr>
      </w:pPr>
      <w:r w:rsidRPr="00412E44">
        <w:rPr>
          <w:rFonts w:cs="Arial"/>
        </w:rPr>
        <w:t xml:space="preserve">The shift towards higher skill levels in recent years is a continuation of a long-term trend, as the workforce has become more highly educated and employment has transitioned towards services-based industries. Over the </w:t>
      </w:r>
      <w:r w:rsidR="00F52872" w:rsidRPr="00412E44">
        <w:rPr>
          <w:rFonts w:cs="Arial"/>
        </w:rPr>
        <w:t>5</w:t>
      </w:r>
      <w:r w:rsidRPr="00412E44">
        <w:rPr>
          <w:rFonts w:cs="Arial"/>
        </w:rPr>
        <w:t xml:space="preserve"> years to February 2024, the share of total employment accounted for by Skill Level 1 occupations increased by 3.1 percentage points to 34.7% in February 2024, while the share of total employment accounted for by Skill Level 5 occupations fell by 1.7 percentage points to 14.0%.</w:t>
      </w:r>
    </w:p>
    <w:p w14:paraId="21272117" w14:textId="2EC733DC" w:rsidR="005D7362" w:rsidRPr="00B93C08" w:rsidRDefault="00372EC0" w:rsidP="008B2B83">
      <w:r w:rsidRPr="00412E44">
        <w:t>In addition, Figures 2</w:t>
      </w:r>
      <w:r w:rsidR="005526ED" w:rsidRPr="00412E44">
        <w:t>2</w:t>
      </w:r>
      <w:r w:rsidRPr="00412E44">
        <w:t xml:space="preserve"> and 2</w:t>
      </w:r>
      <w:r w:rsidR="005526ED" w:rsidRPr="00412E44">
        <w:t>3</w:t>
      </w:r>
      <w:r w:rsidRPr="00412E44">
        <w:t xml:space="preserve"> show that, in March 2024, more employers had difficulty recruiting for higher skilled occupations (62% for Skill Level 1 to 3 occupations) than for lower skilled occupations (39% for Skill Level 4 and 5 occupations). The recruitment difficulty experienced by employers filling lower skilled vacancies fell by 18 percentage points over the year, to the lowest rate since March 2021. In comparison, there was a </w:t>
      </w:r>
      <w:proofErr w:type="gramStart"/>
      <w:r w:rsidRPr="00412E44">
        <w:t>10 percentage</w:t>
      </w:r>
      <w:proofErr w:type="gramEnd"/>
      <w:r w:rsidRPr="00412E44">
        <w:t xml:space="preserve"> point reduction in difficulty experienced by employers recruiting for higher skilled jobs over the same period.</w:t>
      </w:r>
    </w:p>
    <w:p w14:paraId="64E7FA23" w14:textId="2058DD36" w:rsidR="005D7362" w:rsidRPr="00EA67AF" w:rsidRDefault="00372EC0" w:rsidP="008B3975">
      <w:pPr>
        <w:pStyle w:val="ChartandTablelabel"/>
        <w:keepNext/>
        <w:keepLines/>
        <w:rPr>
          <w:rFonts w:asciiTheme="minorHAnsi" w:hAnsiTheme="minorHAnsi"/>
          <w:lang w:val="en-AU"/>
        </w:rPr>
      </w:pPr>
      <w:r w:rsidRPr="00EA67AF">
        <w:rPr>
          <w:rFonts w:asciiTheme="minorHAnsi" w:hAnsiTheme="minorHAnsi"/>
          <w:lang w:val="en-AU"/>
        </w:rPr>
        <w:lastRenderedPageBreak/>
        <w:t>Figure 2</w:t>
      </w:r>
      <w:r w:rsidR="005526ED" w:rsidRPr="00EA67AF">
        <w:rPr>
          <w:rFonts w:asciiTheme="minorHAnsi" w:hAnsiTheme="minorHAnsi"/>
          <w:lang w:val="en-AU"/>
        </w:rPr>
        <w:t>2</w:t>
      </w:r>
      <w:r w:rsidRPr="00EA67AF">
        <w:rPr>
          <w:rFonts w:asciiTheme="minorHAnsi" w:hAnsiTheme="minorHAnsi"/>
          <w:lang w:val="en-AU"/>
        </w:rPr>
        <w:t xml:space="preserve">: </w:t>
      </w:r>
      <w:bookmarkStart w:id="66" w:name="_Hlk164757427"/>
      <w:r w:rsidRPr="00EA67AF">
        <w:rPr>
          <w:rFonts w:asciiTheme="minorHAnsi" w:hAnsiTheme="minorHAnsi"/>
          <w:lang w:val="en-AU"/>
        </w:rPr>
        <w:t>Monthly recruitment difficulty rate and Internet Vacancy Index job advertisements, higher skill level occupations, December 2020 to March 2024</w:t>
      </w:r>
      <w:bookmarkEnd w:id="66"/>
    </w:p>
    <w:p w14:paraId="3273F9B1" w14:textId="1F5727E0" w:rsidR="005D7362" w:rsidRPr="00EA67AF" w:rsidRDefault="008852A3" w:rsidP="008B3975">
      <w:pPr>
        <w:pStyle w:val="ChartandTablelabel"/>
        <w:keepNext/>
        <w:keepLines/>
        <w:rPr>
          <w:lang w:val="en-AU"/>
        </w:rPr>
      </w:pPr>
      <w:r w:rsidRPr="00EA67AF">
        <w:rPr>
          <w:noProof/>
          <w:lang w:val="en-AU"/>
        </w:rPr>
        <w:drawing>
          <wp:inline distT="0" distB="0" distL="0" distR="0" wp14:anchorId="0EEE89D5" wp14:editId="7E02C60B">
            <wp:extent cx="5716800" cy="2577600"/>
            <wp:effectExtent l="0" t="0" r="0" b="0"/>
            <wp:docPr id="81630661" name="Chart 1" descr="Figure 22 is a 2-line time series chart showing recruitment difficulty rate and Internet Vacancy Index job advertisements for higher skilled occupations from December 2020 to March 2024. Employers generally had more difficulty recruiting for higher skilled occupations.">
              <a:extLst xmlns:a="http://schemas.openxmlformats.org/drawingml/2006/main">
                <a:ext uri="{FF2B5EF4-FFF2-40B4-BE49-F238E27FC236}">
                  <a16:creationId xmlns:a16="http://schemas.microsoft.com/office/drawing/2014/main" id="{F3AC0CE5-D5BB-40EE-883E-CA74C9054A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D6225F1" w14:textId="44A10CB2" w:rsidR="008852A3" w:rsidRPr="00EA67AF" w:rsidRDefault="008852A3" w:rsidP="008B3975">
      <w:pPr>
        <w:pStyle w:val="ChartandTablelabel"/>
        <w:keepNext/>
        <w:keepLines/>
        <w:rPr>
          <w:lang w:val="en-AU"/>
        </w:rPr>
      </w:pPr>
      <w:r w:rsidRPr="00EA67AF">
        <w:rPr>
          <w:rFonts w:asciiTheme="minorHAnsi" w:hAnsiTheme="minorHAnsi"/>
          <w:lang w:val="en-AU"/>
        </w:rPr>
        <w:t>Figure 2</w:t>
      </w:r>
      <w:r w:rsidR="005526ED" w:rsidRPr="00EA67AF">
        <w:rPr>
          <w:rFonts w:asciiTheme="minorHAnsi" w:hAnsiTheme="minorHAnsi"/>
          <w:lang w:val="en-AU"/>
        </w:rPr>
        <w:t>3</w:t>
      </w:r>
      <w:r w:rsidRPr="00EA67AF">
        <w:rPr>
          <w:rFonts w:asciiTheme="minorHAnsi" w:hAnsiTheme="minorHAnsi"/>
          <w:lang w:val="en-AU"/>
        </w:rPr>
        <w:t xml:space="preserve">: </w:t>
      </w:r>
      <w:bookmarkStart w:id="67" w:name="_Hlk164757459"/>
      <w:r w:rsidRPr="00EA67AF">
        <w:rPr>
          <w:rFonts w:asciiTheme="minorHAnsi" w:hAnsiTheme="minorHAnsi"/>
          <w:lang w:val="en-AU"/>
        </w:rPr>
        <w:t>Monthly recruitment difficulty rate and Internet Vacancy Index job advertisements, lower skill level occupations, December 2020 to March 2024</w:t>
      </w:r>
      <w:bookmarkEnd w:id="67"/>
    </w:p>
    <w:p w14:paraId="263EC123" w14:textId="59674444" w:rsidR="005D7362" w:rsidRPr="00EA67AF" w:rsidRDefault="008852A3" w:rsidP="00EA67AF">
      <w:pPr>
        <w:pStyle w:val="ChartandTablelabel"/>
        <w:spacing w:after="0"/>
        <w:rPr>
          <w:lang w:val="en-AU"/>
        </w:rPr>
      </w:pPr>
      <w:r w:rsidRPr="00EA67AF">
        <w:rPr>
          <w:noProof/>
          <w:lang w:val="en-AU"/>
        </w:rPr>
        <w:drawing>
          <wp:inline distT="0" distB="0" distL="0" distR="0" wp14:anchorId="69B2C8CE" wp14:editId="52B99673">
            <wp:extent cx="5706000" cy="2577600"/>
            <wp:effectExtent l="0" t="0" r="0" b="0"/>
            <wp:docPr id="732326447" name="Chart 1" descr="Figure 23 is a 2-line time series chart showing recruitment difficulty rate and Internet Vacancy Index job advertisements for lower skilled occupations from December 2020 to March 2024. Job advertisements and recruitment difficulty have generally declined since mid-2022 for lower skilled occupations.">
              <a:extLst xmlns:a="http://schemas.openxmlformats.org/drawingml/2006/main">
                <a:ext uri="{FF2B5EF4-FFF2-40B4-BE49-F238E27FC236}">
                  <a16:creationId xmlns:a16="http://schemas.microsoft.com/office/drawing/2014/main" id="{7F57656B-B8FE-421D-9CEC-E1EAC92A57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0841A47" w14:textId="2811E2FB" w:rsidR="005D7362" w:rsidRPr="00B93C08" w:rsidRDefault="008852A3" w:rsidP="00EA67AF">
      <w:pPr>
        <w:pStyle w:val="Source"/>
        <w:spacing w:before="0"/>
      </w:pPr>
      <w:r w:rsidRPr="00EA67AF">
        <w:t xml:space="preserve">Source: </w:t>
      </w:r>
      <w:r w:rsidR="00E26FD9" w:rsidRPr="00EA67AF">
        <w:t>JSA</w:t>
      </w:r>
      <w:r w:rsidRPr="00EA67AF">
        <w:t xml:space="preserve">, Recruitment Experiences and Outlook Survey, March 2024; </w:t>
      </w:r>
      <w:r w:rsidR="00E26FD9" w:rsidRPr="00EA67AF">
        <w:t>JSA</w:t>
      </w:r>
      <w:r w:rsidRPr="00EA67AF">
        <w:t>, Internet Vacancy Index, March 2024.</w:t>
      </w:r>
      <w:r w:rsidR="005D7362" w:rsidRPr="00EA67AF">
        <w:t xml:space="preserve"> </w:t>
      </w:r>
      <w:r w:rsidR="005D7362" w:rsidRPr="00EA67AF">
        <w:br/>
        <w:t xml:space="preserve">Note: Disaggregated data are not </w:t>
      </w:r>
      <w:r w:rsidR="0069601C" w:rsidRPr="00EA67AF">
        <w:t xml:space="preserve">published </w:t>
      </w:r>
      <w:r w:rsidR="005D7362" w:rsidRPr="00EA67AF">
        <w:t>in January of each year</w:t>
      </w:r>
      <w:r w:rsidR="0069601C" w:rsidRPr="00EA67AF">
        <w:t xml:space="preserve">. Accordingly, </w:t>
      </w:r>
      <w:r w:rsidR="005D7362" w:rsidRPr="00EA67AF">
        <w:t>relevant data points have been joined by a dotted line.</w:t>
      </w:r>
    </w:p>
    <w:p w14:paraId="72AE7595" w14:textId="64CB75AF" w:rsidR="008564DD" w:rsidRPr="00B93C08" w:rsidRDefault="008564DD" w:rsidP="00320647">
      <w:pPr>
        <w:pStyle w:val="Heading2"/>
        <w:rPr>
          <w:highlight w:val="yellow"/>
        </w:rPr>
      </w:pPr>
      <w:bookmarkStart w:id="68" w:name="_Toc166140512"/>
      <w:r w:rsidRPr="00B93C08">
        <w:t>Occupational breakdown</w:t>
      </w:r>
      <w:bookmarkEnd w:id="65"/>
      <w:bookmarkEnd w:id="68"/>
    </w:p>
    <w:p w14:paraId="32F3C8F7" w14:textId="656F3BF0" w:rsidR="0002774C" w:rsidRPr="00EA67AF" w:rsidRDefault="0002774C" w:rsidP="008B2B83">
      <w:pPr>
        <w:rPr>
          <w:rFonts w:cs="Arial"/>
        </w:rPr>
      </w:pPr>
      <w:bookmarkStart w:id="69" w:name="_Toc151365197"/>
      <w:bookmarkStart w:id="70" w:name="_Toc152324314"/>
      <w:bookmarkStart w:id="71" w:name="_Toc151365198"/>
      <w:r w:rsidRPr="00EA67AF">
        <w:rPr>
          <w:rFonts w:cs="Arial"/>
        </w:rPr>
        <w:t xml:space="preserve">Employment increased </w:t>
      </w:r>
      <w:bookmarkStart w:id="72" w:name="_Hlk147225274"/>
      <w:r w:rsidRPr="00EA67AF">
        <w:rPr>
          <w:rFonts w:cs="Arial"/>
        </w:rPr>
        <w:t xml:space="preserve">in all </w:t>
      </w:r>
      <w:r w:rsidR="0069601C" w:rsidRPr="00EA67AF">
        <w:rPr>
          <w:rFonts w:cs="Arial"/>
        </w:rPr>
        <w:t xml:space="preserve">8 </w:t>
      </w:r>
      <w:r w:rsidRPr="00EA67AF">
        <w:rPr>
          <w:rFonts w:cs="Arial"/>
        </w:rPr>
        <w:t xml:space="preserve">major </w:t>
      </w:r>
      <w:r w:rsidRPr="00EA67AF">
        <w:rPr>
          <w:rFonts w:cs="Arial"/>
          <w:color w:val="000000"/>
          <w:lang w:eastAsia="en-AU"/>
        </w:rPr>
        <w:t>occupation groups</w:t>
      </w:r>
      <w:bookmarkEnd w:id="72"/>
      <w:r w:rsidRPr="00EA67AF">
        <w:rPr>
          <w:rFonts w:cs="Arial"/>
        </w:rPr>
        <w:t xml:space="preserve"> over </w:t>
      </w:r>
      <w:r w:rsidR="00560D6D" w:rsidRPr="00EA67AF">
        <w:rPr>
          <w:rFonts w:cs="Arial"/>
        </w:rPr>
        <w:t xml:space="preserve">the </w:t>
      </w:r>
      <w:r w:rsidRPr="00EA67AF">
        <w:rPr>
          <w:rFonts w:cs="Arial"/>
          <w:i/>
          <w:iCs/>
        </w:rPr>
        <w:t>year</w:t>
      </w:r>
      <w:r w:rsidR="00560D6D" w:rsidRPr="00EA67AF">
        <w:rPr>
          <w:rFonts w:cs="Arial"/>
        </w:rPr>
        <w:t xml:space="preserve"> to </w:t>
      </w:r>
      <w:r w:rsidR="009E76D6" w:rsidRPr="00EA67AF">
        <w:rPr>
          <w:rFonts w:cs="Arial"/>
        </w:rPr>
        <w:t>February 2024</w:t>
      </w:r>
      <w:r w:rsidR="00AF4AAE" w:rsidRPr="00EA67AF">
        <w:rPr>
          <w:rFonts w:cs="Arial"/>
        </w:rPr>
        <w:t>.</w:t>
      </w:r>
      <w:r w:rsidR="0085432B" w:rsidRPr="00EA67AF">
        <w:rPr>
          <w:rFonts w:cs="Arial"/>
        </w:rPr>
        <w:t xml:space="preserve"> Over the 5 years to </w:t>
      </w:r>
      <w:r w:rsidR="009E76D6" w:rsidRPr="00EA67AF">
        <w:rPr>
          <w:rFonts w:cs="Arial"/>
        </w:rPr>
        <w:t>February 2024</w:t>
      </w:r>
      <w:r w:rsidR="002E0725" w:rsidRPr="00EA67AF">
        <w:rPr>
          <w:rFonts w:cs="Arial"/>
        </w:rPr>
        <w:t>, however,</w:t>
      </w:r>
      <w:r w:rsidRPr="00EA67AF">
        <w:rPr>
          <w:rFonts w:cs="Arial"/>
        </w:rPr>
        <w:t xml:space="preserve"> employment </w:t>
      </w:r>
      <w:r w:rsidR="00560D6D" w:rsidRPr="00EA67AF">
        <w:rPr>
          <w:rFonts w:cs="Arial"/>
        </w:rPr>
        <w:t xml:space="preserve">rose </w:t>
      </w:r>
      <w:r w:rsidRPr="00EA67AF">
        <w:rPr>
          <w:rFonts w:cs="Arial"/>
        </w:rPr>
        <w:t xml:space="preserve">in </w:t>
      </w:r>
      <w:r w:rsidR="0069601C" w:rsidRPr="00EA67AF">
        <w:rPr>
          <w:rFonts w:cs="Arial"/>
        </w:rPr>
        <w:t xml:space="preserve">7 </w:t>
      </w:r>
      <w:r w:rsidRPr="00EA67AF">
        <w:rPr>
          <w:rFonts w:cs="Arial"/>
        </w:rPr>
        <w:t>major occupation groups and declin</w:t>
      </w:r>
      <w:r w:rsidR="00E00E15" w:rsidRPr="00EA67AF">
        <w:rPr>
          <w:rFonts w:cs="Arial"/>
        </w:rPr>
        <w:t>ed</w:t>
      </w:r>
      <w:r w:rsidRPr="00EA67AF">
        <w:rPr>
          <w:rFonts w:cs="Arial"/>
        </w:rPr>
        <w:t xml:space="preserve"> in one</w:t>
      </w:r>
      <w:r w:rsidR="00F66617" w:rsidRPr="00EA67AF">
        <w:rPr>
          <w:rFonts w:cs="Arial"/>
        </w:rPr>
        <w:t xml:space="preserve"> (Table 7)</w:t>
      </w:r>
      <w:r w:rsidRPr="00EA67AF">
        <w:rPr>
          <w:rFonts w:cs="Arial"/>
        </w:rPr>
        <w:t>.</w:t>
      </w:r>
      <w:r w:rsidR="00016FF5" w:rsidRPr="00EA67AF">
        <w:rPr>
          <w:rFonts w:cs="Arial"/>
        </w:rPr>
        <w:t xml:space="preserve"> </w:t>
      </w:r>
    </w:p>
    <w:p w14:paraId="4D717995" w14:textId="071AEB86" w:rsidR="0002774C" w:rsidRPr="00EA67AF" w:rsidRDefault="0002774C" w:rsidP="008B2B83">
      <w:pPr>
        <w:rPr>
          <w:rFonts w:cs="Arial"/>
        </w:rPr>
      </w:pPr>
      <w:r w:rsidRPr="00EA67AF">
        <w:rPr>
          <w:rFonts w:cs="Arial"/>
        </w:rPr>
        <w:lastRenderedPageBreak/>
        <w:t xml:space="preserve">Over the year to </w:t>
      </w:r>
      <w:r w:rsidR="009E76D6" w:rsidRPr="00EA67AF">
        <w:rPr>
          <w:rFonts w:cs="Arial"/>
        </w:rPr>
        <w:t>February 2024</w:t>
      </w:r>
      <w:r w:rsidRPr="00EA67AF">
        <w:rPr>
          <w:rFonts w:cs="Arial"/>
        </w:rPr>
        <w:t>:</w:t>
      </w:r>
    </w:p>
    <w:p w14:paraId="7041B5ED" w14:textId="4EBE19FE" w:rsidR="00BF380D" w:rsidRPr="00EA67AF" w:rsidRDefault="009E76D6" w:rsidP="008B2B83">
      <w:pPr>
        <w:pStyle w:val="ListParagraph"/>
        <w:numPr>
          <w:ilvl w:val="0"/>
          <w:numId w:val="30"/>
        </w:numPr>
        <w:ind w:left="714" w:hanging="357"/>
        <w:rPr>
          <w:rFonts w:cs="Arial"/>
        </w:rPr>
      </w:pPr>
      <w:r w:rsidRPr="00EA67AF">
        <w:rPr>
          <w:rFonts w:cs="Arial"/>
          <w:color w:val="000000"/>
          <w:lang w:eastAsia="en-AU"/>
        </w:rPr>
        <w:t>The largest increases in employment were recorded for Professionals (up by 152,500 or 4.2%), Clerical and Administrative Workers (up by 86,600 or 4.8%), and Community and Personal Services Workers (up by 84,100 or 5.5%).</w:t>
      </w:r>
    </w:p>
    <w:p w14:paraId="097F0801" w14:textId="2B9A4CF8" w:rsidR="0002774C" w:rsidRPr="00EA67AF" w:rsidRDefault="0002774C" w:rsidP="008B2B83">
      <w:pPr>
        <w:rPr>
          <w:rFonts w:cs="Arial"/>
        </w:rPr>
      </w:pPr>
      <w:r w:rsidRPr="00EA67AF">
        <w:rPr>
          <w:rFonts w:cs="Arial"/>
        </w:rPr>
        <w:t xml:space="preserve">Over the </w:t>
      </w:r>
      <w:r w:rsidR="00C716E5" w:rsidRPr="00EA67AF">
        <w:rPr>
          <w:rFonts w:cs="Arial"/>
        </w:rPr>
        <w:t>5</w:t>
      </w:r>
      <w:r w:rsidRPr="00EA67AF">
        <w:rPr>
          <w:rFonts w:cs="Arial"/>
        </w:rPr>
        <w:t xml:space="preserve"> years to </w:t>
      </w:r>
      <w:r w:rsidR="009E76D6" w:rsidRPr="00EA67AF">
        <w:rPr>
          <w:rFonts w:cs="Arial"/>
        </w:rPr>
        <w:t>February 2024</w:t>
      </w:r>
      <w:r w:rsidRPr="00EA67AF">
        <w:rPr>
          <w:rFonts w:cs="Arial"/>
        </w:rPr>
        <w:t>:</w:t>
      </w:r>
    </w:p>
    <w:p w14:paraId="6962C702" w14:textId="3BE29D4E" w:rsidR="0002774C" w:rsidRPr="00EA67AF" w:rsidRDefault="00205C78" w:rsidP="008B2B83">
      <w:pPr>
        <w:pStyle w:val="ListParagraph"/>
        <w:numPr>
          <w:ilvl w:val="0"/>
          <w:numId w:val="31"/>
        </w:numPr>
        <w:ind w:left="714" w:hanging="357"/>
        <w:rPr>
          <w:rFonts w:cs="Arial"/>
        </w:rPr>
      </w:pPr>
      <w:r w:rsidRPr="00EA67AF">
        <w:rPr>
          <w:rFonts w:cs="Arial"/>
        </w:rPr>
        <w:t>The largest increases in employment were recorded for Professionals (up by 696,300 or 22.7%), Managers (up by 290,000 or 18.9%), and Community and Personal Service Workers (up by 257,200 or 18.8%).</w:t>
      </w:r>
    </w:p>
    <w:p w14:paraId="0D797DDB" w14:textId="7AE341F9" w:rsidR="0002774C" w:rsidRPr="00EA67AF" w:rsidRDefault="0002774C" w:rsidP="00811F14">
      <w:pPr>
        <w:pStyle w:val="ChartandTablelabel"/>
        <w:rPr>
          <w:vertAlign w:val="superscript"/>
          <w:lang w:val="en-AU"/>
        </w:rPr>
      </w:pPr>
      <w:r w:rsidRPr="00EA67AF">
        <w:rPr>
          <w:lang w:val="en-AU"/>
        </w:rPr>
        <w:t xml:space="preserve">Table </w:t>
      </w:r>
      <w:r w:rsidR="00572EC1" w:rsidRPr="00EA67AF">
        <w:rPr>
          <w:lang w:val="en-AU"/>
        </w:rPr>
        <w:t>7</w:t>
      </w:r>
      <w:r w:rsidRPr="00EA67AF">
        <w:rPr>
          <w:lang w:val="en-AU"/>
        </w:rPr>
        <w:t>: Employment by major occupation group</w:t>
      </w:r>
      <w:r w:rsidRPr="00EA67AF">
        <w:rPr>
          <w:vertAlign w:val="superscript"/>
          <w:lang w:val="en-AU"/>
        </w:rPr>
        <w:footnoteReference w:id="14"/>
      </w:r>
    </w:p>
    <w:tbl>
      <w:tblPr>
        <w:tblW w:w="9356" w:type="dxa"/>
        <w:tblLayout w:type="fixed"/>
        <w:tblLook w:val="04A0" w:firstRow="1" w:lastRow="0" w:firstColumn="1" w:lastColumn="0" w:noHBand="0" w:noVBand="1"/>
      </w:tblPr>
      <w:tblGrid>
        <w:gridCol w:w="2694"/>
        <w:gridCol w:w="1275"/>
        <w:gridCol w:w="1276"/>
        <w:gridCol w:w="992"/>
        <w:gridCol w:w="993"/>
        <w:gridCol w:w="1134"/>
        <w:gridCol w:w="992"/>
      </w:tblGrid>
      <w:tr w:rsidR="0002774C" w:rsidRPr="00B93C08" w14:paraId="694170F9" w14:textId="77777777" w:rsidTr="00B870BF">
        <w:trPr>
          <w:trHeight w:val="340"/>
        </w:trPr>
        <w:tc>
          <w:tcPr>
            <w:tcW w:w="2694" w:type="dxa"/>
            <w:vMerge w:val="restart"/>
            <w:shd w:val="clear" w:color="auto" w:fill="012749"/>
            <w:vAlign w:val="center"/>
          </w:tcPr>
          <w:p w14:paraId="08DE0424" w14:textId="77777777" w:rsidR="0002774C" w:rsidRPr="00785336" w:rsidRDefault="0002774C">
            <w:pPr>
              <w:tabs>
                <w:tab w:val="left" w:pos="567"/>
              </w:tabs>
              <w:spacing w:after="0" w:line="240" w:lineRule="auto"/>
              <w:rPr>
                <w:rFonts w:eastAsia="Times New Roman" w:cs="Arial"/>
                <w:color w:val="FFFFFF"/>
                <w:sz w:val="19"/>
                <w:szCs w:val="19"/>
                <w:lang w:eastAsia="en-AU"/>
              </w:rPr>
            </w:pPr>
            <w:r w:rsidRPr="00785336">
              <w:rPr>
                <w:rFonts w:eastAsia="Times New Roman" w:cs="Arial"/>
                <w:color w:val="FFFFFF"/>
                <w:sz w:val="19"/>
                <w:szCs w:val="19"/>
                <w:lang w:eastAsia="en-AU"/>
              </w:rPr>
              <w:t>Occupation</w:t>
            </w:r>
          </w:p>
        </w:tc>
        <w:tc>
          <w:tcPr>
            <w:tcW w:w="2551" w:type="dxa"/>
            <w:gridSpan w:val="2"/>
            <w:tcBorders>
              <w:bottom w:val="single" w:sz="4" w:space="0" w:color="FFFFFF" w:themeColor="background1"/>
            </w:tcBorders>
            <w:shd w:val="clear" w:color="auto" w:fill="012749"/>
            <w:vAlign w:val="center"/>
          </w:tcPr>
          <w:p w14:paraId="48519ACA" w14:textId="7B66EA5C" w:rsidR="0002774C" w:rsidRPr="00785336" w:rsidRDefault="001F7129" w:rsidP="00896449">
            <w:pPr>
              <w:spacing w:after="0" w:line="240" w:lineRule="auto"/>
              <w:jc w:val="center"/>
              <w:rPr>
                <w:rFonts w:eastAsia="Times New Roman" w:cs="Arial"/>
                <w:color w:val="FFFFFF"/>
                <w:sz w:val="19"/>
                <w:szCs w:val="19"/>
              </w:rPr>
            </w:pPr>
            <w:r w:rsidRPr="00785336">
              <w:rPr>
                <w:rFonts w:eastAsia="Times New Roman" w:cs="Arial"/>
                <w:color w:val="FFFFFF"/>
                <w:sz w:val="19"/>
                <w:szCs w:val="19"/>
              </w:rPr>
              <w:t>Employment</w:t>
            </w:r>
          </w:p>
        </w:tc>
        <w:tc>
          <w:tcPr>
            <w:tcW w:w="1985" w:type="dxa"/>
            <w:gridSpan w:val="2"/>
            <w:vMerge w:val="restart"/>
            <w:shd w:val="clear" w:color="auto" w:fill="012749"/>
            <w:vAlign w:val="center"/>
          </w:tcPr>
          <w:p w14:paraId="7DAC1CAF" w14:textId="52E48D13" w:rsidR="0002774C" w:rsidRPr="00785336" w:rsidRDefault="0002774C" w:rsidP="00896449">
            <w:pPr>
              <w:spacing w:after="0" w:line="240" w:lineRule="auto"/>
              <w:jc w:val="center"/>
              <w:rPr>
                <w:rFonts w:eastAsia="Times New Roman" w:cs="Arial"/>
                <w:color w:val="FFFFFF"/>
                <w:sz w:val="19"/>
                <w:szCs w:val="19"/>
                <w:lang w:eastAsia="en-AU"/>
              </w:rPr>
            </w:pPr>
            <w:r w:rsidRPr="00785336">
              <w:rPr>
                <w:rFonts w:eastAsia="Times New Roman" w:cs="Arial"/>
                <w:color w:val="FFFFFF"/>
                <w:sz w:val="19"/>
                <w:szCs w:val="19"/>
                <w:lang w:eastAsia="en-AU"/>
              </w:rPr>
              <w:t xml:space="preserve">Annual change to </w:t>
            </w:r>
            <w:r w:rsidR="00205C78" w:rsidRPr="00785336">
              <w:rPr>
                <w:rFonts w:eastAsia="Times New Roman" w:cs="Arial"/>
                <w:color w:val="FFFFFF"/>
                <w:sz w:val="19"/>
                <w:szCs w:val="19"/>
                <w:lang w:eastAsia="en-AU"/>
              </w:rPr>
              <w:t>Feb</w:t>
            </w:r>
            <w:r w:rsidR="000D664C" w:rsidRPr="00785336">
              <w:rPr>
                <w:rFonts w:eastAsia="Times New Roman" w:cs="Arial"/>
                <w:color w:val="FFFFFF"/>
                <w:sz w:val="19"/>
                <w:szCs w:val="19"/>
                <w:lang w:eastAsia="en-AU"/>
              </w:rPr>
              <w:t>-</w:t>
            </w:r>
            <w:r w:rsidRPr="00785336">
              <w:rPr>
                <w:rFonts w:eastAsia="Times New Roman" w:cs="Arial"/>
                <w:color w:val="FFFFFF"/>
                <w:sz w:val="19"/>
                <w:szCs w:val="19"/>
                <w:lang w:eastAsia="en-AU"/>
              </w:rPr>
              <w:t>2</w:t>
            </w:r>
            <w:r w:rsidR="00205C78" w:rsidRPr="00785336">
              <w:rPr>
                <w:rFonts w:eastAsia="Times New Roman" w:cs="Arial"/>
                <w:color w:val="FFFFFF"/>
                <w:sz w:val="19"/>
                <w:szCs w:val="19"/>
                <w:lang w:eastAsia="en-AU"/>
              </w:rPr>
              <w:t>4</w:t>
            </w:r>
          </w:p>
        </w:tc>
        <w:tc>
          <w:tcPr>
            <w:tcW w:w="2126" w:type="dxa"/>
            <w:gridSpan w:val="2"/>
            <w:vMerge w:val="restart"/>
            <w:shd w:val="clear" w:color="auto" w:fill="012749"/>
            <w:vAlign w:val="center"/>
          </w:tcPr>
          <w:p w14:paraId="4ED55597" w14:textId="6A9140D0" w:rsidR="0002774C" w:rsidRPr="00785336" w:rsidRDefault="00C716E5" w:rsidP="00896449">
            <w:pPr>
              <w:spacing w:after="0" w:line="240" w:lineRule="auto"/>
              <w:jc w:val="center"/>
              <w:rPr>
                <w:rFonts w:eastAsia="Times New Roman" w:cs="Arial"/>
                <w:color w:val="FFFFFF"/>
                <w:sz w:val="19"/>
                <w:szCs w:val="19"/>
                <w:lang w:eastAsia="en-AU"/>
              </w:rPr>
            </w:pPr>
            <w:r w:rsidRPr="00785336">
              <w:rPr>
                <w:rFonts w:eastAsia="Times New Roman" w:cs="Arial"/>
                <w:color w:val="FFFFFF"/>
                <w:sz w:val="19"/>
                <w:szCs w:val="19"/>
                <w:lang w:eastAsia="en-AU"/>
              </w:rPr>
              <w:t>5</w:t>
            </w:r>
            <w:r w:rsidR="0002774C" w:rsidRPr="00785336">
              <w:rPr>
                <w:rFonts w:eastAsia="Times New Roman" w:cs="Arial"/>
                <w:color w:val="FFFFFF"/>
                <w:sz w:val="19"/>
                <w:szCs w:val="19"/>
                <w:lang w:eastAsia="en-AU"/>
              </w:rPr>
              <w:t xml:space="preserve">-year change to </w:t>
            </w:r>
            <w:r w:rsidR="00205C78" w:rsidRPr="00785336">
              <w:rPr>
                <w:rFonts w:eastAsia="Times New Roman" w:cs="Arial"/>
                <w:color w:val="FFFFFF"/>
                <w:sz w:val="19"/>
                <w:szCs w:val="19"/>
                <w:lang w:eastAsia="en-AU"/>
              </w:rPr>
              <w:t>Feb</w:t>
            </w:r>
            <w:r w:rsidR="00727779" w:rsidRPr="00785336">
              <w:rPr>
                <w:rFonts w:eastAsia="Times New Roman" w:cs="Arial"/>
                <w:color w:val="FFFFFF"/>
                <w:sz w:val="19"/>
                <w:szCs w:val="19"/>
                <w:lang w:eastAsia="en-AU"/>
              </w:rPr>
              <w:t>-</w:t>
            </w:r>
            <w:r w:rsidR="0002774C" w:rsidRPr="00785336">
              <w:rPr>
                <w:rFonts w:eastAsia="Times New Roman" w:cs="Arial"/>
                <w:color w:val="FFFFFF"/>
                <w:sz w:val="19"/>
                <w:szCs w:val="19"/>
                <w:lang w:eastAsia="en-AU"/>
              </w:rPr>
              <w:t>2</w:t>
            </w:r>
            <w:r w:rsidR="00205C78" w:rsidRPr="00785336">
              <w:rPr>
                <w:rFonts w:eastAsia="Times New Roman" w:cs="Arial"/>
                <w:color w:val="FFFFFF"/>
                <w:sz w:val="19"/>
                <w:szCs w:val="19"/>
                <w:lang w:eastAsia="en-AU"/>
              </w:rPr>
              <w:t>4</w:t>
            </w:r>
          </w:p>
        </w:tc>
      </w:tr>
      <w:tr w:rsidR="0002774C" w:rsidRPr="00B93C08" w14:paraId="1434C87F" w14:textId="77777777" w:rsidTr="00B870BF">
        <w:trPr>
          <w:trHeight w:val="340"/>
        </w:trPr>
        <w:tc>
          <w:tcPr>
            <w:tcW w:w="2694" w:type="dxa"/>
            <w:vMerge/>
            <w:shd w:val="clear" w:color="auto" w:fill="012749"/>
            <w:vAlign w:val="center"/>
            <w:hideMark/>
          </w:tcPr>
          <w:p w14:paraId="0E97E89C" w14:textId="77777777" w:rsidR="0002774C" w:rsidRPr="00785336" w:rsidRDefault="0002774C">
            <w:pPr>
              <w:tabs>
                <w:tab w:val="left" w:pos="567"/>
              </w:tabs>
              <w:spacing w:after="0" w:line="240" w:lineRule="auto"/>
              <w:rPr>
                <w:rFonts w:eastAsia="Times New Roman" w:cs="Arial"/>
                <w:color w:val="FFFFFF"/>
                <w:sz w:val="19"/>
                <w:szCs w:val="19"/>
                <w:lang w:eastAsia="en-AU"/>
              </w:rPr>
            </w:pPr>
          </w:p>
        </w:tc>
        <w:tc>
          <w:tcPr>
            <w:tcW w:w="1275" w:type="dxa"/>
            <w:tcBorders>
              <w:top w:val="single" w:sz="4" w:space="0" w:color="FFFFFF" w:themeColor="background1"/>
            </w:tcBorders>
            <w:shd w:val="clear" w:color="auto" w:fill="012749"/>
            <w:vAlign w:val="center"/>
            <w:hideMark/>
          </w:tcPr>
          <w:p w14:paraId="74C36E94" w14:textId="5BACD6AD" w:rsidR="0002774C" w:rsidRPr="00785336" w:rsidRDefault="00205C78" w:rsidP="00896449">
            <w:pPr>
              <w:spacing w:after="0" w:line="240" w:lineRule="auto"/>
              <w:jc w:val="center"/>
              <w:rPr>
                <w:rFonts w:eastAsia="Times New Roman" w:cs="Arial"/>
                <w:color w:val="FFFFFF"/>
                <w:sz w:val="19"/>
                <w:szCs w:val="19"/>
                <w:lang w:eastAsia="en-AU"/>
              </w:rPr>
            </w:pPr>
            <w:r w:rsidRPr="00785336">
              <w:rPr>
                <w:rFonts w:eastAsia="Times New Roman" w:cs="Arial"/>
                <w:color w:val="FFFFFF"/>
                <w:sz w:val="19"/>
                <w:szCs w:val="19"/>
              </w:rPr>
              <w:t>Feb</w:t>
            </w:r>
            <w:r w:rsidR="00D57518" w:rsidRPr="00785336">
              <w:rPr>
                <w:rFonts w:eastAsia="Times New Roman" w:cs="Arial"/>
                <w:color w:val="FFFFFF"/>
                <w:sz w:val="19"/>
                <w:szCs w:val="19"/>
              </w:rPr>
              <w:t>-</w:t>
            </w:r>
            <w:r w:rsidR="0002774C" w:rsidRPr="00785336">
              <w:rPr>
                <w:rFonts w:eastAsia="Times New Roman" w:cs="Arial"/>
                <w:color w:val="FFFFFF"/>
                <w:sz w:val="19"/>
                <w:szCs w:val="19"/>
              </w:rPr>
              <w:t>2</w:t>
            </w:r>
            <w:r w:rsidRPr="00785336">
              <w:rPr>
                <w:rFonts w:eastAsia="Times New Roman" w:cs="Arial"/>
                <w:color w:val="FFFFFF"/>
                <w:sz w:val="19"/>
                <w:szCs w:val="19"/>
              </w:rPr>
              <w:t>4</w:t>
            </w:r>
          </w:p>
        </w:tc>
        <w:tc>
          <w:tcPr>
            <w:tcW w:w="1276" w:type="dxa"/>
            <w:tcBorders>
              <w:top w:val="single" w:sz="4" w:space="0" w:color="FFFFFF" w:themeColor="background1"/>
            </w:tcBorders>
            <w:shd w:val="clear" w:color="auto" w:fill="012749"/>
            <w:vAlign w:val="center"/>
            <w:hideMark/>
          </w:tcPr>
          <w:p w14:paraId="08760FAB" w14:textId="3BAE6982" w:rsidR="0002774C" w:rsidRPr="00785336" w:rsidRDefault="00205C78" w:rsidP="00896449">
            <w:pPr>
              <w:spacing w:after="0" w:line="240" w:lineRule="auto"/>
              <w:jc w:val="center"/>
              <w:rPr>
                <w:rFonts w:ascii="Calibri" w:eastAsia="Times New Roman" w:hAnsi="Calibri" w:cs="Calibri"/>
                <w:color w:val="FFFFFF"/>
                <w:sz w:val="19"/>
                <w:szCs w:val="19"/>
                <w:lang w:eastAsia="en-AU"/>
              </w:rPr>
            </w:pPr>
            <w:r w:rsidRPr="00785336">
              <w:rPr>
                <w:rFonts w:eastAsia="Times New Roman" w:cs="Arial"/>
                <w:color w:val="FFFFFF"/>
                <w:sz w:val="19"/>
                <w:szCs w:val="19"/>
              </w:rPr>
              <w:t>Feb</w:t>
            </w:r>
            <w:r w:rsidR="00D57518" w:rsidRPr="00785336">
              <w:rPr>
                <w:rFonts w:eastAsia="Times New Roman" w:cs="Arial"/>
                <w:color w:val="FFFFFF"/>
                <w:sz w:val="19"/>
                <w:szCs w:val="19"/>
              </w:rPr>
              <w:t>-</w:t>
            </w:r>
            <w:r w:rsidR="0002774C" w:rsidRPr="00785336">
              <w:rPr>
                <w:rFonts w:eastAsia="Times New Roman" w:cs="Arial"/>
                <w:color w:val="FFFFFF"/>
                <w:sz w:val="19"/>
                <w:szCs w:val="19"/>
              </w:rPr>
              <w:t>2</w:t>
            </w:r>
            <w:r w:rsidRPr="00785336">
              <w:rPr>
                <w:rFonts w:eastAsia="Times New Roman" w:cs="Arial"/>
                <w:color w:val="FFFFFF"/>
                <w:sz w:val="19"/>
                <w:szCs w:val="19"/>
              </w:rPr>
              <w:t>3</w:t>
            </w:r>
          </w:p>
        </w:tc>
        <w:tc>
          <w:tcPr>
            <w:tcW w:w="1985" w:type="dxa"/>
            <w:gridSpan w:val="2"/>
            <w:vMerge/>
            <w:shd w:val="clear" w:color="auto" w:fill="012749"/>
            <w:vAlign w:val="center"/>
            <w:hideMark/>
          </w:tcPr>
          <w:p w14:paraId="3443B5D0" w14:textId="77777777" w:rsidR="0002774C" w:rsidRPr="00785336" w:rsidRDefault="0002774C" w:rsidP="00896449">
            <w:pPr>
              <w:spacing w:after="0" w:line="240" w:lineRule="auto"/>
              <w:jc w:val="center"/>
              <w:rPr>
                <w:rFonts w:eastAsia="Times New Roman" w:cs="Arial"/>
                <w:color w:val="FFFFFF"/>
                <w:sz w:val="19"/>
                <w:szCs w:val="19"/>
                <w:lang w:eastAsia="en-AU"/>
              </w:rPr>
            </w:pPr>
          </w:p>
        </w:tc>
        <w:tc>
          <w:tcPr>
            <w:tcW w:w="2126" w:type="dxa"/>
            <w:gridSpan w:val="2"/>
            <w:vMerge/>
            <w:shd w:val="clear" w:color="auto" w:fill="012749"/>
            <w:vAlign w:val="center"/>
            <w:hideMark/>
          </w:tcPr>
          <w:p w14:paraId="24A2CA3A" w14:textId="77777777" w:rsidR="0002774C" w:rsidRPr="00785336" w:rsidRDefault="0002774C" w:rsidP="00896449">
            <w:pPr>
              <w:spacing w:after="0" w:line="240" w:lineRule="auto"/>
              <w:jc w:val="center"/>
              <w:rPr>
                <w:rFonts w:eastAsia="Times New Roman" w:cs="Arial"/>
                <w:color w:val="FFFFFF"/>
                <w:sz w:val="19"/>
                <w:szCs w:val="19"/>
                <w:lang w:eastAsia="en-AU"/>
              </w:rPr>
            </w:pPr>
          </w:p>
        </w:tc>
      </w:tr>
      <w:tr w:rsidR="0002774C" w:rsidRPr="00B93C08" w14:paraId="06F2627D" w14:textId="77777777" w:rsidTr="00B065C1">
        <w:trPr>
          <w:trHeight w:val="340"/>
        </w:trPr>
        <w:tc>
          <w:tcPr>
            <w:tcW w:w="2694" w:type="dxa"/>
            <w:vMerge/>
            <w:shd w:val="clear" w:color="auto" w:fill="012749"/>
            <w:vAlign w:val="center"/>
          </w:tcPr>
          <w:p w14:paraId="47FC772B" w14:textId="77777777" w:rsidR="0002774C" w:rsidRPr="00785336" w:rsidRDefault="0002774C">
            <w:pPr>
              <w:tabs>
                <w:tab w:val="left" w:pos="567"/>
              </w:tabs>
              <w:spacing w:after="0" w:line="240" w:lineRule="auto"/>
              <w:rPr>
                <w:rFonts w:eastAsia="Times New Roman" w:cs="Arial"/>
                <w:color w:val="FFFFFF"/>
                <w:sz w:val="19"/>
                <w:szCs w:val="19"/>
                <w:lang w:eastAsia="en-AU"/>
              </w:rPr>
            </w:pPr>
          </w:p>
        </w:tc>
        <w:tc>
          <w:tcPr>
            <w:tcW w:w="1275" w:type="dxa"/>
            <w:shd w:val="clear" w:color="auto" w:fill="012749"/>
            <w:vAlign w:val="center"/>
          </w:tcPr>
          <w:p w14:paraId="3B748DF4" w14:textId="77777777" w:rsidR="0002774C" w:rsidRPr="00785336" w:rsidRDefault="0002774C" w:rsidP="00896449">
            <w:pPr>
              <w:spacing w:after="0" w:line="240" w:lineRule="auto"/>
              <w:jc w:val="center"/>
              <w:rPr>
                <w:rFonts w:eastAsia="Times New Roman" w:cs="Arial"/>
                <w:color w:val="FFFFFF"/>
                <w:sz w:val="19"/>
                <w:szCs w:val="19"/>
              </w:rPr>
            </w:pPr>
            <w:r w:rsidRPr="00785336">
              <w:rPr>
                <w:rFonts w:eastAsia="Times New Roman" w:cs="Arial"/>
                <w:color w:val="FFFFFF"/>
                <w:sz w:val="19"/>
                <w:szCs w:val="19"/>
              </w:rPr>
              <w:t>(‘000)</w:t>
            </w:r>
          </w:p>
        </w:tc>
        <w:tc>
          <w:tcPr>
            <w:tcW w:w="1276" w:type="dxa"/>
            <w:shd w:val="clear" w:color="auto" w:fill="012749"/>
            <w:vAlign w:val="center"/>
          </w:tcPr>
          <w:p w14:paraId="0176A19C" w14:textId="77777777" w:rsidR="0002774C" w:rsidRPr="00785336" w:rsidRDefault="0002774C" w:rsidP="00896449">
            <w:pPr>
              <w:spacing w:after="0" w:line="240" w:lineRule="auto"/>
              <w:jc w:val="center"/>
              <w:rPr>
                <w:rFonts w:eastAsia="Times New Roman" w:cs="Arial"/>
                <w:color w:val="FFFFFF"/>
                <w:sz w:val="19"/>
                <w:szCs w:val="19"/>
              </w:rPr>
            </w:pPr>
            <w:r w:rsidRPr="00785336">
              <w:rPr>
                <w:rFonts w:eastAsia="Times New Roman" w:cs="Arial"/>
                <w:color w:val="FFFFFF"/>
                <w:sz w:val="19"/>
                <w:szCs w:val="19"/>
              </w:rPr>
              <w:t>(‘000)</w:t>
            </w:r>
          </w:p>
        </w:tc>
        <w:tc>
          <w:tcPr>
            <w:tcW w:w="992" w:type="dxa"/>
            <w:shd w:val="clear" w:color="auto" w:fill="012749"/>
            <w:vAlign w:val="center"/>
          </w:tcPr>
          <w:p w14:paraId="3F229A97" w14:textId="77777777" w:rsidR="0002774C" w:rsidRPr="00785336" w:rsidRDefault="0002774C" w:rsidP="00896449">
            <w:pPr>
              <w:spacing w:after="0" w:line="240" w:lineRule="auto"/>
              <w:jc w:val="center"/>
              <w:rPr>
                <w:rFonts w:eastAsia="Times New Roman" w:cs="Arial"/>
                <w:color w:val="FFFFFF"/>
                <w:sz w:val="19"/>
                <w:szCs w:val="19"/>
                <w:lang w:eastAsia="en-AU"/>
              </w:rPr>
            </w:pPr>
            <w:r w:rsidRPr="00785336">
              <w:rPr>
                <w:rFonts w:eastAsia="Times New Roman" w:cs="Arial"/>
                <w:color w:val="FFFFFF"/>
                <w:sz w:val="19"/>
                <w:szCs w:val="19"/>
                <w:lang w:eastAsia="en-AU"/>
              </w:rPr>
              <w:t>(‘000)</w:t>
            </w:r>
          </w:p>
        </w:tc>
        <w:tc>
          <w:tcPr>
            <w:tcW w:w="993" w:type="dxa"/>
            <w:shd w:val="clear" w:color="auto" w:fill="012749"/>
            <w:vAlign w:val="center"/>
          </w:tcPr>
          <w:p w14:paraId="2D91602F" w14:textId="77777777" w:rsidR="0002774C" w:rsidRPr="00785336" w:rsidRDefault="0002774C" w:rsidP="00896449">
            <w:pPr>
              <w:spacing w:after="0" w:line="240" w:lineRule="auto"/>
              <w:jc w:val="center"/>
              <w:rPr>
                <w:rFonts w:eastAsia="Times New Roman" w:cs="Arial"/>
                <w:color w:val="FFFFFF"/>
                <w:sz w:val="19"/>
                <w:szCs w:val="19"/>
                <w:lang w:eastAsia="en-AU"/>
              </w:rPr>
            </w:pPr>
            <w:r w:rsidRPr="00785336">
              <w:rPr>
                <w:rFonts w:eastAsia="Times New Roman" w:cs="Arial"/>
                <w:color w:val="FFFFFF"/>
                <w:sz w:val="19"/>
                <w:szCs w:val="19"/>
                <w:lang w:eastAsia="en-AU"/>
              </w:rPr>
              <w:t>(%)</w:t>
            </w:r>
          </w:p>
        </w:tc>
        <w:tc>
          <w:tcPr>
            <w:tcW w:w="1134" w:type="dxa"/>
            <w:shd w:val="clear" w:color="auto" w:fill="012749"/>
            <w:vAlign w:val="center"/>
          </w:tcPr>
          <w:p w14:paraId="3D23BB66" w14:textId="77777777" w:rsidR="0002774C" w:rsidRPr="00785336" w:rsidRDefault="0002774C" w:rsidP="00896449">
            <w:pPr>
              <w:spacing w:after="0" w:line="240" w:lineRule="auto"/>
              <w:jc w:val="center"/>
              <w:rPr>
                <w:rFonts w:eastAsia="Times New Roman" w:cs="Arial"/>
                <w:color w:val="FFFFFF"/>
                <w:sz w:val="19"/>
                <w:szCs w:val="19"/>
                <w:lang w:eastAsia="en-AU"/>
              </w:rPr>
            </w:pPr>
            <w:r w:rsidRPr="00785336">
              <w:rPr>
                <w:rFonts w:eastAsia="Times New Roman" w:cs="Arial"/>
                <w:color w:val="FFFFFF"/>
                <w:sz w:val="19"/>
                <w:szCs w:val="19"/>
                <w:lang w:eastAsia="en-AU"/>
              </w:rPr>
              <w:t>(‘000)</w:t>
            </w:r>
          </w:p>
        </w:tc>
        <w:tc>
          <w:tcPr>
            <w:tcW w:w="992" w:type="dxa"/>
            <w:shd w:val="clear" w:color="auto" w:fill="012749"/>
            <w:vAlign w:val="center"/>
          </w:tcPr>
          <w:p w14:paraId="1ED9071B" w14:textId="77777777" w:rsidR="0002774C" w:rsidRPr="00785336" w:rsidRDefault="0002774C" w:rsidP="00896449">
            <w:pPr>
              <w:spacing w:after="0" w:line="240" w:lineRule="auto"/>
              <w:jc w:val="center"/>
              <w:rPr>
                <w:rFonts w:eastAsia="Times New Roman" w:cs="Arial"/>
                <w:color w:val="FFFFFF"/>
                <w:sz w:val="19"/>
                <w:szCs w:val="19"/>
                <w:lang w:eastAsia="en-AU"/>
              </w:rPr>
            </w:pPr>
            <w:r w:rsidRPr="00785336">
              <w:rPr>
                <w:rFonts w:eastAsia="Times New Roman" w:cs="Arial"/>
                <w:color w:val="FFFFFF"/>
                <w:sz w:val="19"/>
                <w:szCs w:val="19"/>
                <w:lang w:eastAsia="en-AU"/>
              </w:rPr>
              <w:t>(%)</w:t>
            </w:r>
          </w:p>
        </w:tc>
      </w:tr>
      <w:tr w:rsidR="00205C78" w:rsidRPr="00B93C08" w14:paraId="22B00509" w14:textId="77777777" w:rsidTr="00F24939">
        <w:trPr>
          <w:trHeight w:val="278"/>
        </w:trPr>
        <w:tc>
          <w:tcPr>
            <w:tcW w:w="2694" w:type="dxa"/>
            <w:tcBorders>
              <w:top w:val="nil"/>
              <w:left w:val="nil"/>
              <w:bottom w:val="nil"/>
              <w:right w:val="nil"/>
            </w:tcBorders>
            <w:shd w:val="clear" w:color="auto" w:fill="FFFFFF" w:themeFill="background1"/>
            <w:noWrap/>
            <w:vAlign w:val="center"/>
            <w:hideMark/>
          </w:tcPr>
          <w:p w14:paraId="1BB91A6C" w14:textId="77777777" w:rsidR="00205C78" w:rsidRPr="00EA67AF" w:rsidRDefault="00205C78" w:rsidP="00205C78">
            <w:pPr>
              <w:spacing w:after="0" w:line="240" w:lineRule="auto"/>
              <w:rPr>
                <w:rFonts w:eastAsia="Times New Roman" w:cs="Arial"/>
                <w:color w:val="000000"/>
                <w:sz w:val="20"/>
                <w:szCs w:val="20"/>
                <w:lang w:eastAsia="en-AU"/>
              </w:rPr>
            </w:pPr>
            <w:r w:rsidRPr="00EA67AF">
              <w:rPr>
                <w:rFonts w:cs="Arial"/>
                <w:color w:val="000000"/>
                <w:sz w:val="20"/>
                <w:szCs w:val="20"/>
              </w:rPr>
              <w:t>Managers</w:t>
            </w:r>
          </w:p>
        </w:tc>
        <w:tc>
          <w:tcPr>
            <w:tcW w:w="1275" w:type="dxa"/>
            <w:tcBorders>
              <w:top w:val="nil"/>
              <w:left w:val="nil"/>
              <w:bottom w:val="nil"/>
              <w:right w:val="nil"/>
            </w:tcBorders>
            <w:shd w:val="clear" w:color="auto" w:fill="FFFFFF" w:themeFill="background1"/>
            <w:noWrap/>
            <w:vAlign w:val="center"/>
            <w:hideMark/>
          </w:tcPr>
          <w:p w14:paraId="27375FE0" w14:textId="2DBF88F1" w:rsidR="00205C78" w:rsidRPr="00EA67AF" w:rsidRDefault="00205C78" w:rsidP="00205C78">
            <w:pPr>
              <w:spacing w:after="0" w:line="240" w:lineRule="auto"/>
              <w:jc w:val="center"/>
              <w:rPr>
                <w:rFonts w:eastAsia="Times New Roman" w:cs="Arial"/>
                <w:sz w:val="20"/>
                <w:szCs w:val="20"/>
              </w:rPr>
            </w:pPr>
            <w:r w:rsidRPr="00EA67AF">
              <w:t>1,823.8</w:t>
            </w:r>
          </w:p>
        </w:tc>
        <w:tc>
          <w:tcPr>
            <w:tcW w:w="1276" w:type="dxa"/>
            <w:tcBorders>
              <w:top w:val="nil"/>
              <w:left w:val="nil"/>
              <w:bottom w:val="nil"/>
              <w:right w:val="nil"/>
            </w:tcBorders>
            <w:shd w:val="clear" w:color="auto" w:fill="FFFFFF" w:themeFill="background1"/>
            <w:noWrap/>
            <w:vAlign w:val="center"/>
            <w:hideMark/>
          </w:tcPr>
          <w:p w14:paraId="1265E886" w14:textId="07122247" w:rsidR="00205C78" w:rsidRPr="00EA67AF" w:rsidRDefault="00205C78" w:rsidP="00205C78">
            <w:pPr>
              <w:spacing w:after="0" w:line="240" w:lineRule="auto"/>
              <w:jc w:val="center"/>
              <w:rPr>
                <w:rFonts w:eastAsia="Times New Roman" w:cs="Arial"/>
                <w:sz w:val="20"/>
                <w:szCs w:val="20"/>
              </w:rPr>
            </w:pPr>
            <w:r w:rsidRPr="00EA67AF">
              <w:t>1,822.8</w:t>
            </w:r>
          </w:p>
        </w:tc>
        <w:tc>
          <w:tcPr>
            <w:tcW w:w="992" w:type="dxa"/>
            <w:tcBorders>
              <w:top w:val="nil"/>
              <w:left w:val="nil"/>
              <w:bottom w:val="nil"/>
              <w:right w:val="nil"/>
            </w:tcBorders>
            <w:shd w:val="clear" w:color="auto" w:fill="FFFFFF" w:themeFill="background1"/>
            <w:noWrap/>
            <w:vAlign w:val="center"/>
            <w:hideMark/>
          </w:tcPr>
          <w:p w14:paraId="6A960F7B" w14:textId="3756DB4D" w:rsidR="00205C78" w:rsidRPr="00EA67AF" w:rsidRDefault="00205C78" w:rsidP="00205C78">
            <w:pPr>
              <w:spacing w:after="0" w:line="240" w:lineRule="auto"/>
              <w:jc w:val="center"/>
              <w:rPr>
                <w:rFonts w:eastAsia="Times New Roman" w:cs="Arial"/>
                <w:sz w:val="20"/>
                <w:szCs w:val="20"/>
              </w:rPr>
            </w:pPr>
            <w:r w:rsidRPr="00EA67AF">
              <w:t>1.1</w:t>
            </w:r>
          </w:p>
        </w:tc>
        <w:tc>
          <w:tcPr>
            <w:tcW w:w="993" w:type="dxa"/>
            <w:tcBorders>
              <w:top w:val="nil"/>
              <w:left w:val="nil"/>
              <w:bottom w:val="nil"/>
              <w:right w:val="nil"/>
            </w:tcBorders>
            <w:shd w:val="clear" w:color="auto" w:fill="FFFFFF" w:themeFill="background1"/>
            <w:noWrap/>
            <w:vAlign w:val="center"/>
            <w:hideMark/>
          </w:tcPr>
          <w:p w14:paraId="19DCC15F" w14:textId="0759213C" w:rsidR="00205C78" w:rsidRPr="00EA67AF" w:rsidRDefault="00205C78" w:rsidP="00205C78">
            <w:pPr>
              <w:spacing w:after="0" w:line="240" w:lineRule="auto"/>
              <w:jc w:val="center"/>
              <w:rPr>
                <w:rFonts w:eastAsia="Times New Roman" w:cs="Arial"/>
                <w:sz w:val="20"/>
                <w:szCs w:val="20"/>
              </w:rPr>
            </w:pPr>
            <w:r w:rsidRPr="00EA67AF">
              <w:t>0.1</w:t>
            </w:r>
          </w:p>
        </w:tc>
        <w:tc>
          <w:tcPr>
            <w:tcW w:w="1134" w:type="dxa"/>
            <w:tcBorders>
              <w:top w:val="nil"/>
              <w:left w:val="nil"/>
              <w:bottom w:val="nil"/>
              <w:right w:val="nil"/>
            </w:tcBorders>
            <w:shd w:val="clear" w:color="auto" w:fill="FFFFFF" w:themeFill="background1"/>
            <w:noWrap/>
            <w:vAlign w:val="center"/>
            <w:hideMark/>
          </w:tcPr>
          <w:p w14:paraId="44F30B44" w14:textId="592C80E8" w:rsidR="00205C78" w:rsidRPr="00EA67AF" w:rsidRDefault="00205C78" w:rsidP="00205C78">
            <w:pPr>
              <w:spacing w:after="0" w:line="240" w:lineRule="auto"/>
              <w:jc w:val="center"/>
              <w:rPr>
                <w:rFonts w:eastAsia="Times New Roman" w:cs="Arial"/>
                <w:sz w:val="20"/>
                <w:szCs w:val="20"/>
              </w:rPr>
            </w:pPr>
            <w:r w:rsidRPr="00EA67AF">
              <w:t>290.0</w:t>
            </w:r>
          </w:p>
        </w:tc>
        <w:tc>
          <w:tcPr>
            <w:tcW w:w="992" w:type="dxa"/>
            <w:tcBorders>
              <w:top w:val="nil"/>
              <w:left w:val="nil"/>
              <w:bottom w:val="nil"/>
              <w:right w:val="nil"/>
            </w:tcBorders>
            <w:shd w:val="clear" w:color="auto" w:fill="FFFFFF" w:themeFill="background1"/>
            <w:noWrap/>
            <w:vAlign w:val="center"/>
            <w:hideMark/>
          </w:tcPr>
          <w:p w14:paraId="3B03FA8F" w14:textId="6BBE02D6" w:rsidR="00205C78" w:rsidRPr="00EA67AF" w:rsidRDefault="00205C78" w:rsidP="00205C78">
            <w:pPr>
              <w:spacing w:after="0" w:line="240" w:lineRule="auto"/>
              <w:jc w:val="center"/>
              <w:rPr>
                <w:rFonts w:eastAsia="Times New Roman" w:cs="Arial"/>
                <w:sz w:val="20"/>
                <w:szCs w:val="20"/>
              </w:rPr>
            </w:pPr>
            <w:r w:rsidRPr="00EA67AF">
              <w:t>18.9</w:t>
            </w:r>
          </w:p>
        </w:tc>
      </w:tr>
      <w:tr w:rsidR="00205C78" w:rsidRPr="00B93C08" w14:paraId="6BE39DD5" w14:textId="77777777" w:rsidTr="00F24939">
        <w:trPr>
          <w:trHeight w:val="278"/>
        </w:trPr>
        <w:tc>
          <w:tcPr>
            <w:tcW w:w="2694" w:type="dxa"/>
            <w:tcBorders>
              <w:top w:val="nil"/>
              <w:left w:val="nil"/>
              <w:bottom w:val="nil"/>
              <w:right w:val="nil"/>
            </w:tcBorders>
            <w:shd w:val="clear" w:color="auto" w:fill="D9D9D9" w:themeFill="background1" w:themeFillShade="D9"/>
            <w:noWrap/>
            <w:vAlign w:val="center"/>
            <w:hideMark/>
          </w:tcPr>
          <w:p w14:paraId="55BDEFE0" w14:textId="77777777" w:rsidR="00205C78" w:rsidRPr="00EA67AF" w:rsidRDefault="00205C78" w:rsidP="00205C78">
            <w:pPr>
              <w:spacing w:after="0" w:line="240" w:lineRule="auto"/>
              <w:rPr>
                <w:rFonts w:eastAsia="Times New Roman" w:cs="Arial"/>
                <w:color w:val="000000"/>
                <w:sz w:val="20"/>
                <w:szCs w:val="20"/>
                <w:lang w:eastAsia="en-AU"/>
              </w:rPr>
            </w:pPr>
            <w:r w:rsidRPr="00EA67AF">
              <w:rPr>
                <w:rFonts w:cs="Arial"/>
                <w:color w:val="000000"/>
                <w:sz w:val="20"/>
                <w:szCs w:val="20"/>
              </w:rPr>
              <w:t>Professionals</w:t>
            </w:r>
          </w:p>
        </w:tc>
        <w:tc>
          <w:tcPr>
            <w:tcW w:w="1275" w:type="dxa"/>
            <w:tcBorders>
              <w:top w:val="nil"/>
              <w:left w:val="nil"/>
              <w:bottom w:val="nil"/>
              <w:right w:val="nil"/>
            </w:tcBorders>
            <w:shd w:val="clear" w:color="auto" w:fill="D9D9D9" w:themeFill="background1" w:themeFillShade="D9"/>
            <w:noWrap/>
            <w:vAlign w:val="center"/>
            <w:hideMark/>
          </w:tcPr>
          <w:p w14:paraId="72A85AC2" w14:textId="03EBCC46" w:rsidR="00205C78" w:rsidRPr="00EA67AF" w:rsidRDefault="00205C78" w:rsidP="00205C78">
            <w:pPr>
              <w:spacing w:after="0" w:line="240" w:lineRule="auto"/>
              <w:jc w:val="center"/>
              <w:rPr>
                <w:rFonts w:eastAsia="Times New Roman" w:cs="Arial"/>
                <w:sz w:val="20"/>
                <w:szCs w:val="20"/>
              </w:rPr>
            </w:pPr>
            <w:r w:rsidRPr="00EA67AF">
              <w:t>3,766.3</w:t>
            </w:r>
          </w:p>
        </w:tc>
        <w:tc>
          <w:tcPr>
            <w:tcW w:w="1276" w:type="dxa"/>
            <w:tcBorders>
              <w:top w:val="nil"/>
              <w:left w:val="nil"/>
              <w:bottom w:val="nil"/>
              <w:right w:val="nil"/>
            </w:tcBorders>
            <w:shd w:val="clear" w:color="auto" w:fill="D9D9D9" w:themeFill="background1" w:themeFillShade="D9"/>
            <w:noWrap/>
            <w:vAlign w:val="center"/>
            <w:hideMark/>
          </w:tcPr>
          <w:p w14:paraId="3FAEC461" w14:textId="4391D9E6" w:rsidR="00205C78" w:rsidRPr="00EA67AF" w:rsidRDefault="00205C78" w:rsidP="00205C78">
            <w:pPr>
              <w:spacing w:after="0" w:line="240" w:lineRule="auto"/>
              <w:jc w:val="center"/>
              <w:rPr>
                <w:rFonts w:eastAsia="Times New Roman" w:cs="Arial"/>
                <w:sz w:val="20"/>
                <w:szCs w:val="20"/>
              </w:rPr>
            </w:pPr>
            <w:r w:rsidRPr="00EA67AF">
              <w:t>3,613.8</w:t>
            </w:r>
          </w:p>
        </w:tc>
        <w:tc>
          <w:tcPr>
            <w:tcW w:w="992" w:type="dxa"/>
            <w:tcBorders>
              <w:top w:val="nil"/>
              <w:left w:val="nil"/>
              <w:bottom w:val="nil"/>
              <w:right w:val="nil"/>
            </w:tcBorders>
            <w:shd w:val="clear" w:color="auto" w:fill="D9D9D9" w:themeFill="background1" w:themeFillShade="D9"/>
            <w:noWrap/>
            <w:vAlign w:val="center"/>
            <w:hideMark/>
          </w:tcPr>
          <w:p w14:paraId="2EB0997A" w14:textId="231641D9" w:rsidR="00205C78" w:rsidRPr="00EA67AF" w:rsidRDefault="00205C78" w:rsidP="00205C78">
            <w:pPr>
              <w:spacing w:after="0" w:line="240" w:lineRule="auto"/>
              <w:jc w:val="center"/>
              <w:rPr>
                <w:rFonts w:eastAsia="Times New Roman" w:cs="Arial"/>
                <w:sz w:val="20"/>
                <w:szCs w:val="20"/>
              </w:rPr>
            </w:pPr>
            <w:r w:rsidRPr="00EA67AF">
              <w:t>152.5</w:t>
            </w:r>
          </w:p>
        </w:tc>
        <w:tc>
          <w:tcPr>
            <w:tcW w:w="993" w:type="dxa"/>
            <w:tcBorders>
              <w:top w:val="nil"/>
              <w:left w:val="nil"/>
              <w:bottom w:val="nil"/>
              <w:right w:val="nil"/>
            </w:tcBorders>
            <w:shd w:val="clear" w:color="auto" w:fill="D9D9D9" w:themeFill="background1" w:themeFillShade="D9"/>
            <w:noWrap/>
            <w:vAlign w:val="center"/>
            <w:hideMark/>
          </w:tcPr>
          <w:p w14:paraId="47FCA7CD" w14:textId="2D822463" w:rsidR="00205C78" w:rsidRPr="00EA67AF" w:rsidRDefault="00205C78" w:rsidP="00205C78">
            <w:pPr>
              <w:spacing w:after="0" w:line="240" w:lineRule="auto"/>
              <w:jc w:val="center"/>
              <w:rPr>
                <w:rFonts w:eastAsia="Times New Roman" w:cs="Arial"/>
                <w:sz w:val="20"/>
                <w:szCs w:val="20"/>
              </w:rPr>
            </w:pPr>
            <w:r w:rsidRPr="00EA67AF">
              <w:t>4.2</w:t>
            </w:r>
          </w:p>
        </w:tc>
        <w:tc>
          <w:tcPr>
            <w:tcW w:w="1134" w:type="dxa"/>
            <w:tcBorders>
              <w:top w:val="nil"/>
              <w:left w:val="nil"/>
              <w:bottom w:val="nil"/>
              <w:right w:val="nil"/>
            </w:tcBorders>
            <w:shd w:val="clear" w:color="auto" w:fill="D9D9D9" w:themeFill="background1" w:themeFillShade="D9"/>
            <w:noWrap/>
            <w:vAlign w:val="center"/>
            <w:hideMark/>
          </w:tcPr>
          <w:p w14:paraId="42BE2C14" w14:textId="37BDB823" w:rsidR="00205C78" w:rsidRPr="00EA67AF" w:rsidRDefault="00205C78" w:rsidP="00205C78">
            <w:pPr>
              <w:spacing w:after="0" w:line="240" w:lineRule="auto"/>
              <w:jc w:val="center"/>
              <w:rPr>
                <w:rFonts w:eastAsia="Times New Roman" w:cs="Arial"/>
                <w:sz w:val="20"/>
                <w:szCs w:val="20"/>
              </w:rPr>
            </w:pPr>
            <w:r w:rsidRPr="00EA67AF">
              <w:t>696.3</w:t>
            </w:r>
          </w:p>
        </w:tc>
        <w:tc>
          <w:tcPr>
            <w:tcW w:w="992" w:type="dxa"/>
            <w:tcBorders>
              <w:top w:val="nil"/>
              <w:left w:val="nil"/>
              <w:bottom w:val="nil"/>
              <w:right w:val="nil"/>
            </w:tcBorders>
            <w:shd w:val="clear" w:color="auto" w:fill="D9D9D9" w:themeFill="background1" w:themeFillShade="D9"/>
            <w:noWrap/>
            <w:vAlign w:val="center"/>
            <w:hideMark/>
          </w:tcPr>
          <w:p w14:paraId="14ADD57B" w14:textId="3985F220" w:rsidR="00205C78" w:rsidRPr="00EA67AF" w:rsidRDefault="00205C78" w:rsidP="00205C78">
            <w:pPr>
              <w:spacing w:after="0" w:line="240" w:lineRule="auto"/>
              <w:jc w:val="center"/>
              <w:rPr>
                <w:rFonts w:eastAsia="Times New Roman" w:cs="Arial"/>
                <w:sz w:val="20"/>
                <w:szCs w:val="20"/>
              </w:rPr>
            </w:pPr>
            <w:r w:rsidRPr="00EA67AF">
              <w:t>22.7</w:t>
            </w:r>
          </w:p>
        </w:tc>
      </w:tr>
      <w:tr w:rsidR="00205C78" w:rsidRPr="00B93C08" w14:paraId="2664E98C" w14:textId="77777777" w:rsidTr="00F24939">
        <w:trPr>
          <w:trHeight w:val="278"/>
        </w:trPr>
        <w:tc>
          <w:tcPr>
            <w:tcW w:w="2694" w:type="dxa"/>
            <w:tcBorders>
              <w:top w:val="nil"/>
              <w:left w:val="nil"/>
              <w:bottom w:val="nil"/>
              <w:right w:val="nil"/>
            </w:tcBorders>
            <w:shd w:val="clear" w:color="auto" w:fill="FFFFFF" w:themeFill="background1"/>
            <w:noWrap/>
            <w:vAlign w:val="center"/>
            <w:hideMark/>
          </w:tcPr>
          <w:p w14:paraId="162ADF87" w14:textId="77777777" w:rsidR="00205C78" w:rsidRPr="00EA67AF" w:rsidRDefault="00205C78" w:rsidP="00205C78">
            <w:pPr>
              <w:spacing w:after="0" w:line="240" w:lineRule="auto"/>
              <w:rPr>
                <w:rFonts w:eastAsia="Times New Roman" w:cs="Arial"/>
                <w:color w:val="000000"/>
                <w:sz w:val="20"/>
                <w:szCs w:val="20"/>
                <w:lang w:eastAsia="en-AU"/>
              </w:rPr>
            </w:pPr>
            <w:r w:rsidRPr="00EA67AF">
              <w:rPr>
                <w:rFonts w:cs="Arial"/>
                <w:color w:val="000000"/>
                <w:sz w:val="20"/>
                <w:szCs w:val="20"/>
              </w:rPr>
              <w:t>Technicians and Trades Workers</w:t>
            </w:r>
          </w:p>
        </w:tc>
        <w:tc>
          <w:tcPr>
            <w:tcW w:w="1275" w:type="dxa"/>
            <w:tcBorders>
              <w:top w:val="nil"/>
              <w:left w:val="nil"/>
              <w:bottom w:val="nil"/>
              <w:right w:val="nil"/>
            </w:tcBorders>
            <w:shd w:val="clear" w:color="auto" w:fill="FFFFFF" w:themeFill="background1"/>
            <w:noWrap/>
            <w:vAlign w:val="center"/>
            <w:hideMark/>
          </w:tcPr>
          <w:p w14:paraId="05CE0E4C" w14:textId="2A78DE4D" w:rsidR="00205C78" w:rsidRPr="00EA67AF" w:rsidRDefault="00205C78" w:rsidP="00205C78">
            <w:pPr>
              <w:spacing w:after="0" w:line="240" w:lineRule="auto"/>
              <w:jc w:val="center"/>
              <w:rPr>
                <w:rFonts w:eastAsia="Times New Roman" w:cs="Arial"/>
                <w:sz w:val="20"/>
                <w:szCs w:val="20"/>
              </w:rPr>
            </w:pPr>
            <w:r w:rsidRPr="00EA67AF">
              <w:t>1,919.3</w:t>
            </w:r>
          </w:p>
        </w:tc>
        <w:tc>
          <w:tcPr>
            <w:tcW w:w="1276" w:type="dxa"/>
            <w:tcBorders>
              <w:top w:val="nil"/>
              <w:left w:val="nil"/>
              <w:bottom w:val="nil"/>
              <w:right w:val="nil"/>
            </w:tcBorders>
            <w:shd w:val="clear" w:color="auto" w:fill="FFFFFF" w:themeFill="background1"/>
            <w:noWrap/>
            <w:vAlign w:val="center"/>
            <w:hideMark/>
          </w:tcPr>
          <w:p w14:paraId="4D071B54" w14:textId="46755A08" w:rsidR="00205C78" w:rsidRPr="00EA67AF" w:rsidRDefault="00205C78" w:rsidP="00205C78">
            <w:pPr>
              <w:spacing w:after="0" w:line="240" w:lineRule="auto"/>
              <w:jc w:val="center"/>
              <w:rPr>
                <w:rFonts w:eastAsia="Times New Roman" w:cs="Arial"/>
                <w:sz w:val="20"/>
                <w:szCs w:val="20"/>
              </w:rPr>
            </w:pPr>
            <w:r w:rsidRPr="00EA67AF">
              <w:t>1,893.2</w:t>
            </w:r>
          </w:p>
        </w:tc>
        <w:tc>
          <w:tcPr>
            <w:tcW w:w="992" w:type="dxa"/>
            <w:tcBorders>
              <w:top w:val="nil"/>
              <w:left w:val="nil"/>
              <w:bottom w:val="nil"/>
              <w:right w:val="nil"/>
            </w:tcBorders>
            <w:shd w:val="clear" w:color="auto" w:fill="FFFFFF" w:themeFill="background1"/>
            <w:noWrap/>
            <w:vAlign w:val="center"/>
            <w:hideMark/>
          </w:tcPr>
          <w:p w14:paraId="24B03551" w14:textId="1F3D0719" w:rsidR="00205C78" w:rsidRPr="00EA67AF" w:rsidRDefault="00205C78" w:rsidP="00205C78">
            <w:pPr>
              <w:spacing w:after="0" w:line="240" w:lineRule="auto"/>
              <w:jc w:val="center"/>
              <w:rPr>
                <w:rFonts w:eastAsia="Times New Roman" w:cs="Arial"/>
                <w:sz w:val="20"/>
                <w:szCs w:val="20"/>
              </w:rPr>
            </w:pPr>
            <w:r w:rsidRPr="00EA67AF">
              <w:t>26.2</w:t>
            </w:r>
          </w:p>
        </w:tc>
        <w:tc>
          <w:tcPr>
            <w:tcW w:w="993" w:type="dxa"/>
            <w:tcBorders>
              <w:top w:val="nil"/>
              <w:left w:val="nil"/>
              <w:bottom w:val="nil"/>
              <w:right w:val="nil"/>
            </w:tcBorders>
            <w:shd w:val="clear" w:color="auto" w:fill="FFFFFF" w:themeFill="background1"/>
            <w:noWrap/>
            <w:vAlign w:val="center"/>
            <w:hideMark/>
          </w:tcPr>
          <w:p w14:paraId="16FA2910" w14:textId="30E35430" w:rsidR="00205C78" w:rsidRPr="00EA67AF" w:rsidRDefault="00205C78" w:rsidP="00205C78">
            <w:pPr>
              <w:spacing w:after="0" w:line="240" w:lineRule="auto"/>
              <w:jc w:val="center"/>
              <w:rPr>
                <w:rFonts w:eastAsia="Times New Roman" w:cs="Arial"/>
                <w:sz w:val="20"/>
                <w:szCs w:val="20"/>
              </w:rPr>
            </w:pPr>
            <w:r w:rsidRPr="00EA67AF">
              <w:t>1.4</w:t>
            </w:r>
          </w:p>
        </w:tc>
        <w:tc>
          <w:tcPr>
            <w:tcW w:w="1134" w:type="dxa"/>
            <w:tcBorders>
              <w:top w:val="nil"/>
              <w:left w:val="nil"/>
              <w:bottom w:val="nil"/>
              <w:right w:val="nil"/>
            </w:tcBorders>
            <w:shd w:val="clear" w:color="auto" w:fill="FFFFFF" w:themeFill="background1"/>
            <w:noWrap/>
            <w:vAlign w:val="center"/>
            <w:hideMark/>
          </w:tcPr>
          <w:p w14:paraId="16060CFA" w14:textId="4E997E6F" w:rsidR="00205C78" w:rsidRPr="00EA67AF" w:rsidRDefault="00205C78" w:rsidP="00205C78">
            <w:pPr>
              <w:spacing w:after="0" w:line="240" w:lineRule="auto"/>
              <w:jc w:val="center"/>
              <w:rPr>
                <w:rFonts w:eastAsia="Times New Roman" w:cs="Arial"/>
                <w:sz w:val="20"/>
                <w:szCs w:val="20"/>
              </w:rPr>
            </w:pPr>
            <w:r w:rsidRPr="00EA67AF">
              <w:t>108.8</w:t>
            </w:r>
          </w:p>
        </w:tc>
        <w:tc>
          <w:tcPr>
            <w:tcW w:w="992" w:type="dxa"/>
            <w:tcBorders>
              <w:top w:val="nil"/>
              <w:left w:val="nil"/>
              <w:bottom w:val="nil"/>
              <w:right w:val="nil"/>
            </w:tcBorders>
            <w:shd w:val="clear" w:color="auto" w:fill="FFFFFF" w:themeFill="background1"/>
            <w:noWrap/>
            <w:vAlign w:val="center"/>
            <w:hideMark/>
          </w:tcPr>
          <w:p w14:paraId="012C9536" w14:textId="5F1CFE0A" w:rsidR="00205C78" w:rsidRPr="00EA67AF" w:rsidRDefault="00205C78" w:rsidP="00205C78">
            <w:pPr>
              <w:spacing w:after="0" w:line="240" w:lineRule="auto"/>
              <w:jc w:val="center"/>
              <w:rPr>
                <w:rFonts w:eastAsia="Times New Roman" w:cs="Arial"/>
                <w:sz w:val="20"/>
                <w:szCs w:val="20"/>
              </w:rPr>
            </w:pPr>
            <w:r w:rsidRPr="00EA67AF">
              <w:t>6.0</w:t>
            </w:r>
          </w:p>
        </w:tc>
      </w:tr>
      <w:tr w:rsidR="00205C78" w:rsidRPr="00B93C08" w14:paraId="4AFA9DC9" w14:textId="77777777" w:rsidTr="00F24939">
        <w:trPr>
          <w:trHeight w:val="278"/>
        </w:trPr>
        <w:tc>
          <w:tcPr>
            <w:tcW w:w="2694" w:type="dxa"/>
            <w:tcBorders>
              <w:top w:val="nil"/>
              <w:left w:val="nil"/>
              <w:bottom w:val="nil"/>
              <w:right w:val="nil"/>
            </w:tcBorders>
            <w:shd w:val="clear" w:color="auto" w:fill="D9D9D9" w:themeFill="background1" w:themeFillShade="D9"/>
            <w:noWrap/>
            <w:vAlign w:val="center"/>
            <w:hideMark/>
          </w:tcPr>
          <w:p w14:paraId="08606ACB" w14:textId="77777777" w:rsidR="00205C78" w:rsidRPr="00EA67AF" w:rsidRDefault="00205C78" w:rsidP="00205C78">
            <w:pPr>
              <w:spacing w:after="0" w:line="240" w:lineRule="auto"/>
              <w:rPr>
                <w:rFonts w:eastAsia="Times New Roman" w:cs="Arial"/>
                <w:color w:val="000000"/>
                <w:sz w:val="20"/>
                <w:szCs w:val="20"/>
                <w:lang w:eastAsia="en-AU"/>
              </w:rPr>
            </w:pPr>
            <w:r w:rsidRPr="00EA67AF">
              <w:rPr>
                <w:rFonts w:cs="Arial"/>
                <w:color w:val="000000"/>
                <w:sz w:val="20"/>
                <w:szCs w:val="20"/>
              </w:rPr>
              <w:t>Community and Personal Service Workers</w:t>
            </w:r>
          </w:p>
        </w:tc>
        <w:tc>
          <w:tcPr>
            <w:tcW w:w="1275" w:type="dxa"/>
            <w:tcBorders>
              <w:top w:val="nil"/>
              <w:left w:val="nil"/>
              <w:bottom w:val="nil"/>
              <w:right w:val="nil"/>
            </w:tcBorders>
            <w:shd w:val="clear" w:color="auto" w:fill="D9D9D9" w:themeFill="background1" w:themeFillShade="D9"/>
            <w:noWrap/>
            <w:vAlign w:val="center"/>
            <w:hideMark/>
          </w:tcPr>
          <w:p w14:paraId="75ED9EEF" w14:textId="2CFEFB24" w:rsidR="00205C78" w:rsidRPr="00EA67AF" w:rsidRDefault="00205C78" w:rsidP="00205C78">
            <w:pPr>
              <w:spacing w:after="0" w:line="240" w:lineRule="auto"/>
              <w:jc w:val="center"/>
              <w:rPr>
                <w:rFonts w:eastAsia="Times New Roman" w:cs="Arial"/>
                <w:sz w:val="20"/>
                <w:szCs w:val="20"/>
              </w:rPr>
            </w:pPr>
            <w:r w:rsidRPr="00EA67AF">
              <w:t>1,626.9</w:t>
            </w:r>
          </w:p>
        </w:tc>
        <w:tc>
          <w:tcPr>
            <w:tcW w:w="1276" w:type="dxa"/>
            <w:tcBorders>
              <w:top w:val="nil"/>
              <w:left w:val="nil"/>
              <w:bottom w:val="nil"/>
              <w:right w:val="nil"/>
            </w:tcBorders>
            <w:shd w:val="clear" w:color="auto" w:fill="D9D9D9" w:themeFill="background1" w:themeFillShade="D9"/>
            <w:noWrap/>
            <w:vAlign w:val="center"/>
            <w:hideMark/>
          </w:tcPr>
          <w:p w14:paraId="37F72D53" w14:textId="7C19BDF9" w:rsidR="00205C78" w:rsidRPr="00EA67AF" w:rsidRDefault="00205C78" w:rsidP="00205C78">
            <w:pPr>
              <w:spacing w:after="0" w:line="240" w:lineRule="auto"/>
              <w:jc w:val="center"/>
              <w:rPr>
                <w:rFonts w:eastAsia="Times New Roman" w:cs="Arial"/>
                <w:sz w:val="20"/>
                <w:szCs w:val="20"/>
              </w:rPr>
            </w:pPr>
            <w:r w:rsidRPr="00EA67AF">
              <w:t>1,542.8</w:t>
            </w:r>
          </w:p>
        </w:tc>
        <w:tc>
          <w:tcPr>
            <w:tcW w:w="992" w:type="dxa"/>
            <w:tcBorders>
              <w:top w:val="nil"/>
              <w:left w:val="nil"/>
              <w:bottom w:val="nil"/>
              <w:right w:val="nil"/>
            </w:tcBorders>
            <w:shd w:val="clear" w:color="auto" w:fill="D9D9D9" w:themeFill="background1" w:themeFillShade="D9"/>
            <w:noWrap/>
            <w:vAlign w:val="center"/>
            <w:hideMark/>
          </w:tcPr>
          <w:p w14:paraId="20929A01" w14:textId="69254D77" w:rsidR="00205C78" w:rsidRPr="00EA67AF" w:rsidRDefault="00205C78" w:rsidP="00205C78">
            <w:pPr>
              <w:spacing w:after="0" w:line="240" w:lineRule="auto"/>
              <w:jc w:val="center"/>
              <w:rPr>
                <w:rFonts w:eastAsia="Times New Roman" w:cs="Arial"/>
                <w:sz w:val="20"/>
                <w:szCs w:val="20"/>
              </w:rPr>
            </w:pPr>
            <w:r w:rsidRPr="00EA67AF">
              <w:t>84.1</w:t>
            </w:r>
          </w:p>
        </w:tc>
        <w:tc>
          <w:tcPr>
            <w:tcW w:w="993" w:type="dxa"/>
            <w:tcBorders>
              <w:top w:val="nil"/>
              <w:left w:val="nil"/>
              <w:bottom w:val="nil"/>
              <w:right w:val="nil"/>
            </w:tcBorders>
            <w:shd w:val="clear" w:color="auto" w:fill="D9D9D9" w:themeFill="background1" w:themeFillShade="D9"/>
            <w:noWrap/>
            <w:vAlign w:val="center"/>
            <w:hideMark/>
          </w:tcPr>
          <w:p w14:paraId="332ACB77" w14:textId="120358AB" w:rsidR="00205C78" w:rsidRPr="00EA67AF" w:rsidRDefault="00205C78" w:rsidP="00205C78">
            <w:pPr>
              <w:spacing w:after="0" w:line="240" w:lineRule="auto"/>
              <w:jc w:val="center"/>
              <w:rPr>
                <w:rFonts w:eastAsia="Times New Roman" w:cs="Arial"/>
                <w:sz w:val="20"/>
                <w:szCs w:val="20"/>
              </w:rPr>
            </w:pPr>
            <w:r w:rsidRPr="00EA67AF">
              <w:t>5.5</w:t>
            </w:r>
          </w:p>
        </w:tc>
        <w:tc>
          <w:tcPr>
            <w:tcW w:w="1134" w:type="dxa"/>
            <w:tcBorders>
              <w:top w:val="nil"/>
              <w:left w:val="nil"/>
              <w:bottom w:val="nil"/>
              <w:right w:val="nil"/>
            </w:tcBorders>
            <w:shd w:val="clear" w:color="auto" w:fill="D9D9D9" w:themeFill="background1" w:themeFillShade="D9"/>
            <w:noWrap/>
            <w:vAlign w:val="center"/>
            <w:hideMark/>
          </w:tcPr>
          <w:p w14:paraId="0BCC696D" w14:textId="6F55A318" w:rsidR="00205C78" w:rsidRPr="00EA67AF" w:rsidRDefault="00205C78" w:rsidP="00205C78">
            <w:pPr>
              <w:spacing w:after="0" w:line="240" w:lineRule="auto"/>
              <w:jc w:val="center"/>
              <w:rPr>
                <w:rFonts w:eastAsia="Times New Roman" w:cs="Arial"/>
                <w:sz w:val="20"/>
                <w:szCs w:val="20"/>
              </w:rPr>
            </w:pPr>
            <w:r w:rsidRPr="00EA67AF">
              <w:t>257.2</w:t>
            </w:r>
          </w:p>
        </w:tc>
        <w:tc>
          <w:tcPr>
            <w:tcW w:w="992" w:type="dxa"/>
            <w:tcBorders>
              <w:top w:val="nil"/>
              <w:left w:val="nil"/>
              <w:bottom w:val="nil"/>
              <w:right w:val="nil"/>
            </w:tcBorders>
            <w:shd w:val="clear" w:color="auto" w:fill="D9D9D9" w:themeFill="background1" w:themeFillShade="D9"/>
            <w:noWrap/>
            <w:vAlign w:val="center"/>
            <w:hideMark/>
          </w:tcPr>
          <w:p w14:paraId="3BF5423B" w14:textId="2414083F" w:rsidR="00205C78" w:rsidRPr="00EA67AF" w:rsidRDefault="00205C78" w:rsidP="00205C78">
            <w:pPr>
              <w:spacing w:after="0" w:line="240" w:lineRule="auto"/>
              <w:jc w:val="center"/>
              <w:rPr>
                <w:rFonts w:eastAsia="Times New Roman" w:cs="Arial"/>
                <w:sz w:val="20"/>
                <w:szCs w:val="20"/>
              </w:rPr>
            </w:pPr>
            <w:r w:rsidRPr="00EA67AF">
              <w:t>18.8</w:t>
            </w:r>
          </w:p>
        </w:tc>
      </w:tr>
      <w:tr w:rsidR="00205C78" w:rsidRPr="00B93C08" w14:paraId="7A37F7D6" w14:textId="77777777" w:rsidTr="00F24939">
        <w:trPr>
          <w:trHeight w:val="278"/>
        </w:trPr>
        <w:tc>
          <w:tcPr>
            <w:tcW w:w="2694" w:type="dxa"/>
            <w:tcBorders>
              <w:top w:val="nil"/>
              <w:left w:val="nil"/>
              <w:bottom w:val="nil"/>
              <w:right w:val="nil"/>
            </w:tcBorders>
            <w:shd w:val="clear" w:color="auto" w:fill="FFFFFF" w:themeFill="background1"/>
            <w:noWrap/>
            <w:vAlign w:val="center"/>
            <w:hideMark/>
          </w:tcPr>
          <w:p w14:paraId="0B840562" w14:textId="77777777" w:rsidR="00205C78" w:rsidRPr="00EA67AF" w:rsidRDefault="00205C78" w:rsidP="00205C78">
            <w:pPr>
              <w:spacing w:after="0" w:line="240" w:lineRule="auto"/>
              <w:rPr>
                <w:rFonts w:eastAsia="Times New Roman" w:cs="Arial"/>
                <w:color w:val="000000"/>
                <w:sz w:val="20"/>
                <w:szCs w:val="20"/>
                <w:lang w:eastAsia="en-AU"/>
              </w:rPr>
            </w:pPr>
            <w:r w:rsidRPr="00EA67AF">
              <w:rPr>
                <w:rFonts w:cs="Arial"/>
                <w:color w:val="000000"/>
                <w:sz w:val="20"/>
                <w:szCs w:val="20"/>
              </w:rPr>
              <w:t>Clerical and Administrative Workers</w:t>
            </w:r>
          </w:p>
        </w:tc>
        <w:tc>
          <w:tcPr>
            <w:tcW w:w="1275" w:type="dxa"/>
            <w:tcBorders>
              <w:top w:val="nil"/>
              <w:left w:val="nil"/>
              <w:bottom w:val="nil"/>
              <w:right w:val="nil"/>
            </w:tcBorders>
            <w:shd w:val="clear" w:color="auto" w:fill="FFFFFF" w:themeFill="background1"/>
            <w:noWrap/>
            <w:vAlign w:val="center"/>
            <w:hideMark/>
          </w:tcPr>
          <w:p w14:paraId="62CF4083" w14:textId="543699E4" w:rsidR="00205C78" w:rsidRPr="00EA67AF" w:rsidRDefault="00205C78" w:rsidP="00205C78">
            <w:pPr>
              <w:spacing w:after="0" w:line="240" w:lineRule="auto"/>
              <w:jc w:val="center"/>
              <w:rPr>
                <w:rFonts w:eastAsia="Times New Roman" w:cs="Arial"/>
                <w:sz w:val="20"/>
                <w:szCs w:val="20"/>
              </w:rPr>
            </w:pPr>
            <w:r w:rsidRPr="00EA67AF">
              <w:t>1,884.9</w:t>
            </w:r>
          </w:p>
        </w:tc>
        <w:tc>
          <w:tcPr>
            <w:tcW w:w="1276" w:type="dxa"/>
            <w:tcBorders>
              <w:top w:val="nil"/>
              <w:left w:val="nil"/>
              <w:bottom w:val="nil"/>
              <w:right w:val="nil"/>
            </w:tcBorders>
            <w:shd w:val="clear" w:color="auto" w:fill="FFFFFF" w:themeFill="background1"/>
            <w:noWrap/>
            <w:vAlign w:val="center"/>
            <w:hideMark/>
          </w:tcPr>
          <w:p w14:paraId="43EADF78" w14:textId="0D38492E" w:rsidR="00205C78" w:rsidRPr="00EA67AF" w:rsidRDefault="00205C78" w:rsidP="00205C78">
            <w:pPr>
              <w:spacing w:after="0" w:line="240" w:lineRule="auto"/>
              <w:jc w:val="center"/>
              <w:rPr>
                <w:rFonts w:eastAsia="Times New Roman" w:cs="Arial"/>
                <w:sz w:val="20"/>
                <w:szCs w:val="20"/>
              </w:rPr>
            </w:pPr>
            <w:r w:rsidRPr="00EA67AF">
              <w:t>1,798.3</w:t>
            </w:r>
          </w:p>
        </w:tc>
        <w:tc>
          <w:tcPr>
            <w:tcW w:w="992" w:type="dxa"/>
            <w:tcBorders>
              <w:top w:val="nil"/>
              <w:left w:val="nil"/>
              <w:bottom w:val="nil"/>
              <w:right w:val="nil"/>
            </w:tcBorders>
            <w:shd w:val="clear" w:color="auto" w:fill="FFFFFF" w:themeFill="background1"/>
            <w:noWrap/>
            <w:vAlign w:val="center"/>
            <w:hideMark/>
          </w:tcPr>
          <w:p w14:paraId="248BDE6E" w14:textId="42149260" w:rsidR="00205C78" w:rsidRPr="00EA67AF" w:rsidRDefault="00205C78" w:rsidP="00205C78">
            <w:pPr>
              <w:spacing w:after="0" w:line="240" w:lineRule="auto"/>
              <w:jc w:val="center"/>
              <w:rPr>
                <w:rFonts w:eastAsia="Times New Roman" w:cs="Arial"/>
                <w:sz w:val="20"/>
                <w:szCs w:val="20"/>
              </w:rPr>
            </w:pPr>
            <w:r w:rsidRPr="00EA67AF">
              <w:t>86.6</w:t>
            </w:r>
          </w:p>
        </w:tc>
        <w:tc>
          <w:tcPr>
            <w:tcW w:w="993" w:type="dxa"/>
            <w:tcBorders>
              <w:top w:val="nil"/>
              <w:left w:val="nil"/>
              <w:bottom w:val="nil"/>
              <w:right w:val="nil"/>
            </w:tcBorders>
            <w:shd w:val="clear" w:color="auto" w:fill="FFFFFF" w:themeFill="background1"/>
            <w:noWrap/>
            <w:vAlign w:val="center"/>
            <w:hideMark/>
          </w:tcPr>
          <w:p w14:paraId="24E0E1A7" w14:textId="7CA9A5E3" w:rsidR="00205C78" w:rsidRPr="00EA67AF" w:rsidRDefault="00205C78" w:rsidP="00205C78">
            <w:pPr>
              <w:spacing w:after="0" w:line="240" w:lineRule="auto"/>
              <w:jc w:val="center"/>
              <w:rPr>
                <w:rFonts w:eastAsia="Times New Roman" w:cs="Arial"/>
                <w:sz w:val="20"/>
                <w:szCs w:val="20"/>
              </w:rPr>
            </w:pPr>
            <w:r w:rsidRPr="00EA67AF">
              <w:t>4.8</w:t>
            </w:r>
          </w:p>
        </w:tc>
        <w:tc>
          <w:tcPr>
            <w:tcW w:w="1134" w:type="dxa"/>
            <w:tcBorders>
              <w:top w:val="nil"/>
              <w:left w:val="nil"/>
              <w:bottom w:val="nil"/>
              <w:right w:val="nil"/>
            </w:tcBorders>
            <w:shd w:val="clear" w:color="auto" w:fill="FFFFFF" w:themeFill="background1"/>
            <w:noWrap/>
            <w:vAlign w:val="center"/>
            <w:hideMark/>
          </w:tcPr>
          <w:p w14:paraId="623D8647" w14:textId="2D303CFA" w:rsidR="00205C78" w:rsidRPr="00EA67AF" w:rsidRDefault="00205C78" w:rsidP="00205C78">
            <w:pPr>
              <w:spacing w:after="0" w:line="240" w:lineRule="auto"/>
              <w:jc w:val="center"/>
              <w:rPr>
                <w:rFonts w:eastAsia="Times New Roman" w:cs="Arial"/>
                <w:sz w:val="20"/>
                <w:szCs w:val="20"/>
              </w:rPr>
            </w:pPr>
            <w:r w:rsidRPr="00EA67AF">
              <w:t>121.5</w:t>
            </w:r>
          </w:p>
        </w:tc>
        <w:tc>
          <w:tcPr>
            <w:tcW w:w="992" w:type="dxa"/>
            <w:tcBorders>
              <w:top w:val="nil"/>
              <w:left w:val="nil"/>
              <w:bottom w:val="nil"/>
              <w:right w:val="nil"/>
            </w:tcBorders>
            <w:shd w:val="clear" w:color="auto" w:fill="FFFFFF" w:themeFill="background1"/>
            <w:noWrap/>
            <w:vAlign w:val="center"/>
            <w:hideMark/>
          </w:tcPr>
          <w:p w14:paraId="6D553DFD" w14:textId="4B3CA1D2" w:rsidR="00205C78" w:rsidRPr="00EA67AF" w:rsidRDefault="00205C78" w:rsidP="00205C78">
            <w:pPr>
              <w:spacing w:after="0" w:line="240" w:lineRule="auto"/>
              <w:jc w:val="center"/>
              <w:rPr>
                <w:rFonts w:eastAsia="Times New Roman" w:cs="Arial"/>
                <w:sz w:val="20"/>
                <w:szCs w:val="20"/>
              </w:rPr>
            </w:pPr>
            <w:r w:rsidRPr="00EA67AF">
              <w:t>6.9</w:t>
            </w:r>
          </w:p>
        </w:tc>
      </w:tr>
      <w:tr w:rsidR="00205C78" w:rsidRPr="00B93C08" w14:paraId="6591F055" w14:textId="77777777" w:rsidTr="00F24939">
        <w:trPr>
          <w:trHeight w:val="278"/>
        </w:trPr>
        <w:tc>
          <w:tcPr>
            <w:tcW w:w="2694" w:type="dxa"/>
            <w:tcBorders>
              <w:top w:val="nil"/>
              <w:left w:val="nil"/>
              <w:bottom w:val="nil"/>
              <w:right w:val="nil"/>
            </w:tcBorders>
            <w:shd w:val="clear" w:color="auto" w:fill="D9D9D9" w:themeFill="background1" w:themeFillShade="D9"/>
            <w:noWrap/>
            <w:vAlign w:val="center"/>
            <w:hideMark/>
          </w:tcPr>
          <w:p w14:paraId="502BC05B" w14:textId="77777777" w:rsidR="00205C78" w:rsidRPr="00EA67AF" w:rsidRDefault="00205C78" w:rsidP="00205C78">
            <w:pPr>
              <w:spacing w:after="0" w:line="240" w:lineRule="auto"/>
              <w:rPr>
                <w:rFonts w:eastAsia="Times New Roman" w:cs="Arial"/>
                <w:color w:val="000000"/>
                <w:sz w:val="20"/>
                <w:szCs w:val="20"/>
                <w:lang w:eastAsia="en-AU"/>
              </w:rPr>
            </w:pPr>
            <w:r w:rsidRPr="00EA67AF">
              <w:rPr>
                <w:rFonts w:cs="Arial"/>
                <w:color w:val="000000"/>
                <w:sz w:val="20"/>
                <w:szCs w:val="20"/>
              </w:rPr>
              <w:t>Sales Workers</w:t>
            </w:r>
          </w:p>
        </w:tc>
        <w:tc>
          <w:tcPr>
            <w:tcW w:w="1275" w:type="dxa"/>
            <w:tcBorders>
              <w:top w:val="nil"/>
              <w:left w:val="nil"/>
              <w:bottom w:val="nil"/>
              <w:right w:val="nil"/>
            </w:tcBorders>
            <w:shd w:val="clear" w:color="auto" w:fill="D9D9D9" w:themeFill="background1" w:themeFillShade="D9"/>
            <w:noWrap/>
            <w:vAlign w:val="center"/>
            <w:hideMark/>
          </w:tcPr>
          <w:p w14:paraId="397F4763" w14:textId="059AB676" w:rsidR="00205C78" w:rsidRPr="00EA67AF" w:rsidRDefault="00205C78" w:rsidP="00205C78">
            <w:pPr>
              <w:spacing w:after="0" w:line="240" w:lineRule="auto"/>
              <w:jc w:val="center"/>
              <w:rPr>
                <w:rFonts w:eastAsia="Times New Roman" w:cs="Arial"/>
                <w:sz w:val="20"/>
                <w:szCs w:val="20"/>
              </w:rPr>
            </w:pPr>
            <w:r w:rsidRPr="00EA67AF">
              <w:t>1,113.6</w:t>
            </w:r>
          </w:p>
        </w:tc>
        <w:tc>
          <w:tcPr>
            <w:tcW w:w="1276" w:type="dxa"/>
            <w:tcBorders>
              <w:top w:val="nil"/>
              <w:left w:val="nil"/>
              <w:bottom w:val="nil"/>
              <w:right w:val="nil"/>
            </w:tcBorders>
            <w:shd w:val="clear" w:color="auto" w:fill="D9D9D9" w:themeFill="background1" w:themeFillShade="D9"/>
            <w:noWrap/>
            <w:vAlign w:val="center"/>
            <w:hideMark/>
          </w:tcPr>
          <w:p w14:paraId="62E2831E" w14:textId="61EAF19A" w:rsidR="00205C78" w:rsidRPr="00EA67AF" w:rsidRDefault="00205C78" w:rsidP="00205C78">
            <w:pPr>
              <w:spacing w:after="0" w:line="240" w:lineRule="auto"/>
              <w:jc w:val="center"/>
              <w:rPr>
                <w:rFonts w:eastAsia="Times New Roman" w:cs="Arial"/>
                <w:sz w:val="20"/>
                <w:szCs w:val="20"/>
              </w:rPr>
            </w:pPr>
            <w:r w:rsidRPr="00EA67AF">
              <w:t>1,113.2</w:t>
            </w:r>
          </w:p>
        </w:tc>
        <w:tc>
          <w:tcPr>
            <w:tcW w:w="992" w:type="dxa"/>
            <w:tcBorders>
              <w:top w:val="nil"/>
              <w:left w:val="nil"/>
              <w:bottom w:val="nil"/>
              <w:right w:val="nil"/>
            </w:tcBorders>
            <w:shd w:val="clear" w:color="auto" w:fill="D9D9D9" w:themeFill="background1" w:themeFillShade="D9"/>
            <w:noWrap/>
            <w:vAlign w:val="center"/>
            <w:hideMark/>
          </w:tcPr>
          <w:p w14:paraId="26CD1428" w14:textId="74A15676" w:rsidR="00205C78" w:rsidRPr="00EA67AF" w:rsidRDefault="00205C78" w:rsidP="00205C78">
            <w:pPr>
              <w:spacing w:after="0" w:line="240" w:lineRule="auto"/>
              <w:jc w:val="center"/>
              <w:rPr>
                <w:rFonts w:eastAsia="Times New Roman" w:cs="Arial"/>
                <w:sz w:val="20"/>
                <w:szCs w:val="20"/>
              </w:rPr>
            </w:pPr>
            <w:r w:rsidRPr="00EA67AF">
              <w:t>0.4</w:t>
            </w:r>
          </w:p>
        </w:tc>
        <w:tc>
          <w:tcPr>
            <w:tcW w:w="993" w:type="dxa"/>
            <w:tcBorders>
              <w:top w:val="nil"/>
              <w:left w:val="nil"/>
              <w:bottom w:val="nil"/>
              <w:right w:val="nil"/>
            </w:tcBorders>
            <w:shd w:val="clear" w:color="auto" w:fill="D9D9D9" w:themeFill="background1" w:themeFillShade="D9"/>
            <w:noWrap/>
            <w:vAlign w:val="center"/>
            <w:hideMark/>
          </w:tcPr>
          <w:p w14:paraId="248AF87B" w14:textId="5809CEF2" w:rsidR="00205C78" w:rsidRPr="00EA67AF" w:rsidRDefault="00205C78" w:rsidP="00205C78">
            <w:pPr>
              <w:spacing w:after="0" w:line="240" w:lineRule="auto"/>
              <w:jc w:val="center"/>
              <w:rPr>
                <w:rFonts w:eastAsia="Times New Roman" w:cs="Arial"/>
                <w:sz w:val="20"/>
                <w:szCs w:val="20"/>
              </w:rPr>
            </w:pPr>
            <w:r w:rsidRPr="00EA67AF">
              <w:t>0.0</w:t>
            </w:r>
          </w:p>
        </w:tc>
        <w:tc>
          <w:tcPr>
            <w:tcW w:w="1134" w:type="dxa"/>
            <w:tcBorders>
              <w:top w:val="nil"/>
              <w:left w:val="nil"/>
              <w:bottom w:val="nil"/>
              <w:right w:val="nil"/>
            </w:tcBorders>
            <w:shd w:val="clear" w:color="auto" w:fill="D9D9D9" w:themeFill="background1" w:themeFillShade="D9"/>
            <w:noWrap/>
            <w:vAlign w:val="center"/>
            <w:hideMark/>
          </w:tcPr>
          <w:p w14:paraId="026B5822" w14:textId="5784E8DA" w:rsidR="00205C78" w:rsidRPr="00EA67AF" w:rsidRDefault="00205C78" w:rsidP="00205C78">
            <w:pPr>
              <w:spacing w:after="0" w:line="240" w:lineRule="auto"/>
              <w:jc w:val="center"/>
              <w:rPr>
                <w:rFonts w:eastAsia="Times New Roman" w:cs="Arial"/>
                <w:sz w:val="20"/>
                <w:szCs w:val="20"/>
              </w:rPr>
            </w:pPr>
            <w:r w:rsidRPr="00EA67AF">
              <w:t>7.8</w:t>
            </w:r>
          </w:p>
        </w:tc>
        <w:tc>
          <w:tcPr>
            <w:tcW w:w="992" w:type="dxa"/>
            <w:tcBorders>
              <w:top w:val="nil"/>
              <w:left w:val="nil"/>
              <w:bottom w:val="nil"/>
              <w:right w:val="nil"/>
            </w:tcBorders>
            <w:shd w:val="clear" w:color="auto" w:fill="D9D9D9" w:themeFill="background1" w:themeFillShade="D9"/>
            <w:noWrap/>
            <w:vAlign w:val="center"/>
            <w:hideMark/>
          </w:tcPr>
          <w:p w14:paraId="6B20D4D5" w14:textId="29BB722B" w:rsidR="00205C78" w:rsidRPr="00EA67AF" w:rsidRDefault="00205C78" w:rsidP="00205C78">
            <w:pPr>
              <w:spacing w:after="0" w:line="240" w:lineRule="auto"/>
              <w:jc w:val="center"/>
              <w:rPr>
                <w:rFonts w:eastAsia="Times New Roman" w:cs="Arial"/>
                <w:sz w:val="20"/>
                <w:szCs w:val="20"/>
              </w:rPr>
            </w:pPr>
            <w:r w:rsidRPr="00EA67AF">
              <w:t>0.7</w:t>
            </w:r>
          </w:p>
        </w:tc>
      </w:tr>
      <w:tr w:rsidR="00205C78" w:rsidRPr="00B93C08" w14:paraId="3E328294" w14:textId="77777777" w:rsidTr="00F24939">
        <w:trPr>
          <w:trHeight w:val="278"/>
        </w:trPr>
        <w:tc>
          <w:tcPr>
            <w:tcW w:w="2694" w:type="dxa"/>
            <w:tcBorders>
              <w:top w:val="nil"/>
              <w:left w:val="nil"/>
              <w:bottom w:val="nil"/>
              <w:right w:val="nil"/>
            </w:tcBorders>
            <w:shd w:val="clear" w:color="auto" w:fill="FFFFFF" w:themeFill="background1"/>
            <w:noWrap/>
            <w:vAlign w:val="center"/>
            <w:hideMark/>
          </w:tcPr>
          <w:p w14:paraId="2ABDCE83" w14:textId="77777777" w:rsidR="00205C78" w:rsidRPr="00EA67AF" w:rsidRDefault="00205C78" w:rsidP="00205C78">
            <w:pPr>
              <w:spacing w:after="0" w:line="240" w:lineRule="auto"/>
              <w:rPr>
                <w:rFonts w:eastAsia="Times New Roman" w:cs="Arial"/>
                <w:color w:val="000000"/>
                <w:sz w:val="20"/>
                <w:szCs w:val="20"/>
                <w:lang w:eastAsia="en-AU"/>
              </w:rPr>
            </w:pPr>
            <w:r w:rsidRPr="00EA67AF">
              <w:rPr>
                <w:rFonts w:cs="Arial"/>
                <w:color w:val="000000"/>
                <w:sz w:val="20"/>
                <w:szCs w:val="20"/>
              </w:rPr>
              <w:t>Machinery Operators and Drivers</w:t>
            </w:r>
          </w:p>
        </w:tc>
        <w:tc>
          <w:tcPr>
            <w:tcW w:w="1275" w:type="dxa"/>
            <w:tcBorders>
              <w:top w:val="nil"/>
              <w:left w:val="nil"/>
              <w:bottom w:val="nil"/>
              <w:right w:val="nil"/>
            </w:tcBorders>
            <w:shd w:val="clear" w:color="auto" w:fill="FFFFFF" w:themeFill="background1"/>
            <w:noWrap/>
            <w:vAlign w:val="center"/>
            <w:hideMark/>
          </w:tcPr>
          <w:p w14:paraId="4EA84511" w14:textId="0279CE7A" w:rsidR="00205C78" w:rsidRPr="00EA67AF" w:rsidRDefault="00205C78" w:rsidP="00205C78">
            <w:pPr>
              <w:spacing w:after="0" w:line="240" w:lineRule="auto"/>
              <w:jc w:val="center"/>
              <w:rPr>
                <w:rFonts w:eastAsia="Times New Roman" w:cs="Arial"/>
                <w:sz w:val="20"/>
                <w:szCs w:val="20"/>
              </w:rPr>
            </w:pPr>
            <w:r w:rsidRPr="00EA67AF">
              <w:t>916.7</w:t>
            </w:r>
          </w:p>
        </w:tc>
        <w:tc>
          <w:tcPr>
            <w:tcW w:w="1276" w:type="dxa"/>
            <w:tcBorders>
              <w:top w:val="nil"/>
              <w:left w:val="nil"/>
              <w:bottom w:val="nil"/>
              <w:right w:val="nil"/>
            </w:tcBorders>
            <w:shd w:val="clear" w:color="auto" w:fill="FFFFFF" w:themeFill="background1"/>
            <w:noWrap/>
            <w:vAlign w:val="center"/>
            <w:hideMark/>
          </w:tcPr>
          <w:p w14:paraId="286E6FF9" w14:textId="1DDAA2A2" w:rsidR="00205C78" w:rsidRPr="00EA67AF" w:rsidRDefault="00205C78" w:rsidP="00205C78">
            <w:pPr>
              <w:spacing w:after="0" w:line="240" w:lineRule="auto"/>
              <w:jc w:val="center"/>
              <w:rPr>
                <w:rFonts w:eastAsia="Times New Roman" w:cs="Arial"/>
                <w:sz w:val="20"/>
                <w:szCs w:val="20"/>
              </w:rPr>
            </w:pPr>
            <w:r w:rsidRPr="00EA67AF">
              <w:t>891.8</w:t>
            </w:r>
          </w:p>
        </w:tc>
        <w:tc>
          <w:tcPr>
            <w:tcW w:w="992" w:type="dxa"/>
            <w:tcBorders>
              <w:top w:val="nil"/>
              <w:left w:val="nil"/>
              <w:bottom w:val="nil"/>
              <w:right w:val="nil"/>
            </w:tcBorders>
            <w:shd w:val="clear" w:color="auto" w:fill="FFFFFF" w:themeFill="background1"/>
            <w:noWrap/>
            <w:vAlign w:val="center"/>
            <w:hideMark/>
          </w:tcPr>
          <w:p w14:paraId="2FCA7248" w14:textId="2F45F0E7" w:rsidR="00205C78" w:rsidRPr="00EA67AF" w:rsidRDefault="00205C78" w:rsidP="00205C78">
            <w:pPr>
              <w:spacing w:after="0" w:line="240" w:lineRule="auto"/>
              <w:jc w:val="center"/>
              <w:rPr>
                <w:rFonts w:eastAsia="Times New Roman" w:cs="Arial"/>
                <w:sz w:val="20"/>
                <w:szCs w:val="20"/>
              </w:rPr>
            </w:pPr>
            <w:r w:rsidRPr="00EA67AF">
              <w:t>24.9</w:t>
            </w:r>
          </w:p>
        </w:tc>
        <w:tc>
          <w:tcPr>
            <w:tcW w:w="993" w:type="dxa"/>
            <w:tcBorders>
              <w:top w:val="nil"/>
              <w:left w:val="nil"/>
              <w:bottom w:val="nil"/>
              <w:right w:val="nil"/>
            </w:tcBorders>
            <w:shd w:val="clear" w:color="auto" w:fill="FFFFFF" w:themeFill="background1"/>
            <w:noWrap/>
            <w:vAlign w:val="center"/>
            <w:hideMark/>
          </w:tcPr>
          <w:p w14:paraId="048F114C" w14:textId="53461C06" w:rsidR="00205C78" w:rsidRPr="00EA67AF" w:rsidRDefault="00205C78" w:rsidP="00205C78">
            <w:pPr>
              <w:spacing w:after="0" w:line="240" w:lineRule="auto"/>
              <w:jc w:val="center"/>
              <w:rPr>
                <w:rFonts w:eastAsia="Times New Roman" w:cs="Arial"/>
                <w:sz w:val="20"/>
                <w:szCs w:val="20"/>
              </w:rPr>
            </w:pPr>
            <w:r w:rsidRPr="00EA67AF">
              <w:t>2.8</w:t>
            </w:r>
          </w:p>
        </w:tc>
        <w:tc>
          <w:tcPr>
            <w:tcW w:w="1134" w:type="dxa"/>
            <w:tcBorders>
              <w:top w:val="nil"/>
              <w:left w:val="nil"/>
              <w:bottom w:val="nil"/>
              <w:right w:val="nil"/>
            </w:tcBorders>
            <w:shd w:val="clear" w:color="auto" w:fill="FFFFFF" w:themeFill="background1"/>
            <w:noWrap/>
            <w:vAlign w:val="center"/>
            <w:hideMark/>
          </w:tcPr>
          <w:p w14:paraId="7F973B9D" w14:textId="03C85C09" w:rsidR="00205C78" w:rsidRPr="00EA67AF" w:rsidRDefault="00205C78" w:rsidP="00205C78">
            <w:pPr>
              <w:spacing w:after="0" w:line="240" w:lineRule="auto"/>
              <w:jc w:val="center"/>
              <w:rPr>
                <w:rFonts w:eastAsia="Times New Roman" w:cs="Arial"/>
                <w:sz w:val="20"/>
                <w:szCs w:val="20"/>
              </w:rPr>
            </w:pPr>
            <w:r w:rsidRPr="00EA67AF">
              <w:t>52.0</w:t>
            </w:r>
          </w:p>
        </w:tc>
        <w:tc>
          <w:tcPr>
            <w:tcW w:w="992" w:type="dxa"/>
            <w:tcBorders>
              <w:top w:val="nil"/>
              <w:left w:val="nil"/>
              <w:bottom w:val="nil"/>
              <w:right w:val="nil"/>
            </w:tcBorders>
            <w:shd w:val="clear" w:color="auto" w:fill="FFFFFF" w:themeFill="background1"/>
            <w:noWrap/>
            <w:vAlign w:val="center"/>
            <w:hideMark/>
          </w:tcPr>
          <w:p w14:paraId="67D70047" w14:textId="0A540B13" w:rsidR="00205C78" w:rsidRPr="00EA67AF" w:rsidRDefault="00205C78" w:rsidP="00205C78">
            <w:pPr>
              <w:spacing w:after="0" w:line="240" w:lineRule="auto"/>
              <w:jc w:val="center"/>
              <w:rPr>
                <w:rFonts w:eastAsia="Times New Roman" w:cs="Arial"/>
                <w:sz w:val="20"/>
                <w:szCs w:val="20"/>
              </w:rPr>
            </w:pPr>
            <w:r w:rsidRPr="00EA67AF">
              <w:t>6.0</w:t>
            </w:r>
          </w:p>
        </w:tc>
      </w:tr>
      <w:tr w:rsidR="00205C78" w:rsidRPr="00B93C08" w14:paraId="3C5E062B" w14:textId="77777777" w:rsidTr="00F24939">
        <w:trPr>
          <w:trHeight w:val="278"/>
        </w:trPr>
        <w:tc>
          <w:tcPr>
            <w:tcW w:w="2694" w:type="dxa"/>
            <w:tcBorders>
              <w:top w:val="nil"/>
              <w:left w:val="nil"/>
              <w:right w:val="nil"/>
            </w:tcBorders>
            <w:shd w:val="clear" w:color="auto" w:fill="D9D9D9" w:themeFill="background1" w:themeFillShade="D9"/>
            <w:noWrap/>
            <w:vAlign w:val="center"/>
            <w:hideMark/>
          </w:tcPr>
          <w:p w14:paraId="32C838FD" w14:textId="77777777" w:rsidR="00205C78" w:rsidRPr="00EA67AF" w:rsidRDefault="00205C78" w:rsidP="00205C78">
            <w:pPr>
              <w:spacing w:after="0" w:line="240" w:lineRule="auto"/>
              <w:rPr>
                <w:rFonts w:eastAsia="Times New Roman" w:cs="Arial"/>
                <w:color w:val="000000"/>
                <w:sz w:val="20"/>
                <w:szCs w:val="20"/>
                <w:lang w:eastAsia="en-AU"/>
              </w:rPr>
            </w:pPr>
            <w:r w:rsidRPr="00EA67AF">
              <w:rPr>
                <w:rFonts w:cs="Arial"/>
                <w:color w:val="000000"/>
                <w:sz w:val="20"/>
                <w:szCs w:val="20"/>
              </w:rPr>
              <w:t>Labourers</w:t>
            </w:r>
          </w:p>
        </w:tc>
        <w:tc>
          <w:tcPr>
            <w:tcW w:w="1275" w:type="dxa"/>
            <w:tcBorders>
              <w:top w:val="nil"/>
              <w:left w:val="nil"/>
              <w:right w:val="nil"/>
            </w:tcBorders>
            <w:shd w:val="clear" w:color="auto" w:fill="D9D9D9" w:themeFill="background1" w:themeFillShade="D9"/>
            <w:noWrap/>
            <w:vAlign w:val="center"/>
            <w:hideMark/>
          </w:tcPr>
          <w:p w14:paraId="463F17DA" w14:textId="1D066A01" w:rsidR="00205C78" w:rsidRPr="00EA67AF" w:rsidRDefault="00205C78" w:rsidP="00205C78">
            <w:pPr>
              <w:spacing w:after="0" w:line="240" w:lineRule="auto"/>
              <w:jc w:val="center"/>
              <w:rPr>
                <w:rFonts w:eastAsia="Times New Roman" w:cs="Arial"/>
                <w:sz w:val="20"/>
                <w:szCs w:val="20"/>
              </w:rPr>
            </w:pPr>
            <w:r w:rsidRPr="00EA67AF">
              <w:t>1,207.7</w:t>
            </w:r>
          </w:p>
        </w:tc>
        <w:tc>
          <w:tcPr>
            <w:tcW w:w="1276" w:type="dxa"/>
            <w:tcBorders>
              <w:top w:val="nil"/>
              <w:left w:val="nil"/>
              <w:right w:val="nil"/>
            </w:tcBorders>
            <w:shd w:val="clear" w:color="auto" w:fill="D9D9D9" w:themeFill="background1" w:themeFillShade="D9"/>
            <w:noWrap/>
            <w:vAlign w:val="center"/>
            <w:hideMark/>
          </w:tcPr>
          <w:p w14:paraId="7D82ED25" w14:textId="77CE456F" w:rsidR="00205C78" w:rsidRPr="00EA67AF" w:rsidRDefault="00205C78" w:rsidP="00205C78">
            <w:pPr>
              <w:spacing w:after="0" w:line="240" w:lineRule="auto"/>
              <w:jc w:val="center"/>
              <w:rPr>
                <w:rFonts w:eastAsia="Times New Roman" w:cs="Arial"/>
                <w:sz w:val="20"/>
                <w:szCs w:val="20"/>
              </w:rPr>
            </w:pPr>
            <w:r w:rsidRPr="00EA67AF">
              <w:t>1,205.4</w:t>
            </w:r>
          </w:p>
        </w:tc>
        <w:tc>
          <w:tcPr>
            <w:tcW w:w="992" w:type="dxa"/>
            <w:tcBorders>
              <w:top w:val="nil"/>
              <w:left w:val="nil"/>
              <w:right w:val="nil"/>
            </w:tcBorders>
            <w:shd w:val="clear" w:color="auto" w:fill="D9D9D9" w:themeFill="background1" w:themeFillShade="D9"/>
            <w:noWrap/>
            <w:vAlign w:val="center"/>
            <w:hideMark/>
          </w:tcPr>
          <w:p w14:paraId="22D09450" w14:textId="2C0D5F73" w:rsidR="00205C78" w:rsidRPr="00EA67AF" w:rsidRDefault="00205C78" w:rsidP="00205C78">
            <w:pPr>
              <w:spacing w:after="0" w:line="240" w:lineRule="auto"/>
              <w:jc w:val="center"/>
              <w:rPr>
                <w:rFonts w:eastAsia="Times New Roman" w:cs="Arial"/>
                <w:sz w:val="20"/>
                <w:szCs w:val="20"/>
              </w:rPr>
            </w:pPr>
            <w:r w:rsidRPr="00EA67AF">
              <w:t>2.3</w:t>
            </w:r>
          </w:p>
        </w:tc>
        <w:tc>
          <w:tcPr>
            <w:tcW w:w="993" w:type="dxa"/>
            <w:tcBorders>
              <w:top w:val="nil"/>
              <w:left w:val="nil"/>
              <w:right w:val="nil"/>
            </w:tcBorders>
            <w:shd w:val="clear" w:color="auto" w:fill="D9D9D9" w:themeFill="background1" w:themeFillShade="D9"/>
            <w:noWrap/>
            <w:vAlign w:val="center"/>
            <w:hideMark/>
          </w:tcPr>
          <w:p w14:paraId="36D67BE2" w14:textId="404074B0" w:rsidR="00205C78" w:rsidRPr="00EA67AF" w:rsidRDefault="00205C78" w:rsidP="00205C78">
            <w:pPr>
              <w:spacing w:after="0" w:line="240" w:lineRule="auto"/>
              <w:jc w:val="center"/>
              <w:rPr>
                <w:rFonts w:eastAsia="Times New Roman" w:cs="Arial"/>
                <w:sz w:val="20"/>
                <w:szCs w:val="20"/>
              </w:rPr>
            </w:pPr>
            <w:r w:rsidRPr="00EA67AF">
              <w:t>0.2</w:t>
            </w:r>
          </w:p>
        </w:tc>
        <w:tc>
          <w:tcPr>
            <w:tcW w:w="1134" w:type="dxa"/>
            <w:tcBorders>
              <w:top w:val="nil"/>
              <w:left w:val="nil"/>
              <w:right w:val="nil"/>
            </w:tcBorders>
            <w:shd w:val="clear" w:color="auto" w:fill="D9D9D9" w:themeFill="background1" w:themeFillShade="D9"/>
            <w:noWrap/>
            <w:vAlign w:val="center"/>
            <w:hideMark/>
          </w:tcPr>
          <w:p w14:paraId="5D5B5721" w14:textId="5CC0E840" w:rsidR="00205C78" w:rsidRPr="00EA67AF" w:rsidRDefault="00205C78" w:rsidP="00205C78">
            <w:pPr>
              <w:spacing w:after="0" w:line="240" w:lineRule="auto"/>
              <w:jc w:val="center"/>
              <w:rPr>
                <w:rFonts w:eastAsia="Times New Roman" w:cs="Arial"/>
                <w:sz w:val="20"/>
                <w:szCs w:val="20"/>
              </w:rPr>
            </w:pPr>
            <w:r w:rsidRPr="00EA67AF">
              <w:t>-10.0</w:t>
            </w:r>
          </w:p>
        </w:tc>
        <w:tc>
          <w:tcPr>
            <w:tcW w:w="992" w:type="dxa"/>
            <w:tcBorders>
              <w:top w:val="nil"/>
              <w:left w:val="nil"/>
              <w:right w:val="nil"/>
            </w:tcBorders>
            <w:shd w:val="clear" w:color="auto" w:fill="D9D9D9" w:themeFill="background1" w:themeFillShade="D9"/>
            <w:noWrap/>
            <w:vAlign w:val="center"/>
            <w:hideMark/>
          </w:tcPr>
          <w:p w14:paraId="142A7883" w14:textId="217E6DB5" w:rsidR="00205C78" w:rsidRPr="00EA67AF" w:rsidRDefault="00205C78" w:rsidP="00205C78">
            <w:pPr>
              <w:spacing w:after="0" w:line="240" w:lineRule="auto"/>
              <w:jc w:val="center"/>
              <w:rPr>
                <w:rFonts w:eastAsia="Times New Roman" w:cs="Arial"/>
                <w:sz w:val="20"/>
                <w:szCs w:val="20"/>
              </w:rPr>
            </w:pPr>
            <w:r w:rsidRPr="00EA67AF">
              <w:t>-0.8</w:t>
            </w:r>
          </w:p>
        </w:tc>
      </w:tr>
      <w:tr w:rsidR="00205C78" w:rsidRPr="00B93C08" w14:paraId="009CEA64" w14:textId="77777777" w:rsidTr="00F24939">
        <w:trPr>
          <w:trHeight w:val="299"/>
        </w:trPr>
        <w:tc>
          <w:tcPr>
            <w:tcW w:w="2694" w:type="dxa"/>
            <w:tcBorders>
              <w:top w:val="nil"/>
              <w:left w:val="nil"/>
              <w:bottom w:val="single" w:sz="4" w:space="0" w:color="auto"/>
              <w:right w:val="nil"/>
            </w:tcBorders>
            <w:shd w:val="clear" w:color="auto" w:fill="FFFFFF" w:themeFill="background1"/>
            <w:noWrap/>
            <w:vAlign w:val="center"/>
          </w:tcPr>
          <w:p w14:paraId="7E1F6B85" w14:textId="77777777" w:rsidR="00205C78" w:rsidRPr="00EA67AF" w:rsidRDefault="00205C78" w:rsidP="00205C78">
            <w:pPr>
              <w:spacing w:after="0" w:line="240" w:lineRule="auto"/>
              <w:rPr>
                <w:rFonts w:cs="Arial"/>
                <w:color w:val="000000"/>
                <w:sz w:val="20"/>
                <w:szCs w:val="20"/>
              </w:rPr>
            </w:pPr>
            <w:r w:rsidRPr="00EA67AF">
              <w:rPr>
                <w:rFonts w:cs="Arial"/>
                <w:b/>
                <w:bCs/>
                <w:sz w:val="20"/>
                <w:szCs w:val="20"/>
              </w:rPr>
              <w:t>TOTAL EMPLOYMENT</w:t>
            </w:r>
          </w:p>
        </w:tc>
        <w:tc>
          <w:tcPr>
            <w:tcW w:w="1275" w:type="dxa"/>
            <w:tcBorders>
              <w:top w:val="nil"/>
              <w:left w:val="nil"/>
              <w:bottom w:val="single" w:sz="4" w:space="0" w:color="auto"/>
              <w:right w:val="nil"/>
            </w:tcBorders>
            <w:shd w:val="clear" w:color="auto" w:fill="FFFFFF" w:themeFill="background1"/>
            <w:noWrap/>
            <w:vAlign w:val="center"/>
          </w:tcPr>
          <w:p w14:paraId="166CCD99" w14:textId="57A1A4D8" w:rsidR="00205C78" w:rsidRPr="00EA67AF" w:rsidRDefault="00205C78" w:rsidP="00205C78">
            <w:pPr>
              <w:spacing w:after="0" w:line="240" w:lineRule="auto"/>
              <w:jc w:val="center"/>
              <w:rPr>
                <w:rFonts w:eastAsia="Times New Roman" w:cs="Arial"/>
                <w:b/>
                <w:bCs/>
                <w:sz w:val="20"/>
                <w:szCs w:val="20"/>
              </w:rPr>
            </w:pPr>
            <w:r w:rsidRPr="00EA67AF">
              <w:rPr>
                <w:b/>
                <w:bCs/>
              </w:rPr>
              <w:t>14,307.6</w:t>
            </w:r>
          </w:p>
        </w:tc>
        <w:tc>
          <w:tcPr>
            <w:tcW w:w="1276" w:type="dxa"/>
            <w:tcBorders>
              <w:top w:val="nil"/>
              <w:left w:val="nil"/>
              <w:bottom w:val="single" w:sz="4" w:space="0" w:color="auto"/>
              <w:right w:val="nil"/>
            </w:tcBorders>
            <w:shd w:val="clear" w:color="auto" w:fill="FFFFFF" w:themeFill="background1"/>
            <w:noWrap/>
            <w:vAlign w:val="center"/>
          </w:tcPr>
          <w:p w14:paraId="671818DB" w14:textId="35461129" w:rsidR="00205C78" w:rsidRPr="00EA67AF" w:rsidRDefault="00205C78" w:rsidP="00205C78">
            <w:pPr>
              <w:spacing w:after="0" w:line="240" w:lineRule="auto"/>
              <w:jc w:val="center"/>
              <w:rPr>
                <w:rFonts w:eastAsia="Times New Roman" w:cs="Arial"/>
                <w:b/>
                <w:bCs/>
                <w:sz w:val="20"/>
                <w:szCs w:val="20"/>
              </w:rPr>
            </w:pPr>
            <w:r w:rsidRPr="00EA67AF">
              <w:rPr>
                <w:b/>
                <w:bCs/>
              </w:rPr>
              <w:t>13,895.6</w:t>
            </w:r>
          </w:p>
        </w:tc>
        <w:tc>
          <w:tcPr>
            <w:tcW w:w="992" w:type="dxa"/>
            <w:tcBorders>
              <w:top w:val="nil"/>
              <w:left w:val="nil"/>
              <w:bottom w:val="single" w:sz="4" w:space="0" w:color="auto"/>
              <w:right w:val="nil"/>
            </w:tcBorders>
            <w:shd w:val="clear" w:color="auto" w:fill="FFFFFF" w:themeFill="background1"/>
            <w:noWrap/>
            <w:vAlign w:val="center"/>
          </w:tcPr>
          <w:p w14:paraId="227E8531" w14:textId="7D2EC12D" w:rsidR="00205C78" w:rsidRPr="00EA67AF" w:rsidRDefault="00205C78" w:rsidP="00205C78">
            <w:pPr>
              <w:spacing w:after="0" w:line="240" w:lineRule="auto"/>
              <w:jc w:val="center"/>
              <w:rPr>
                <w:rFonts w:eastAsia="Times New Roman" w:cs="Arial"/>
                <w:b/>
                <w:bCs/>
                <w:sz w:val="20"/>
                <w:szCs w:val="20"/>
              </w:rPr>
            </w:pPr>
            <w:r w:rsidRPr="00EA67AF">
              <w:rPr>
                <w:b/>
                <w:bCs/>
              </w:rPr>
              <w:t>412.1</w:t>
            </w:r>
          </w:p>
        </w:tc>
        <w:tc>
          <w:tcPr>
            <w:tcW w:w="993" w:type="dxa"/>
            <w:tcBorders>
              <w:top w:val="nil"/>
              <w:left w:val="nil"/>
              <w:bottom w:val="single" w:sz="4" w:space="0" w:color="auto"/>
              <w:right w:val="nil"/>
            </w:tcBorders>
            <w:shd w:val="clear" w:color="auto" w:fill="FFFFFF" w:themeFill="background1"/>
            <w:noWrap/>
            <w:vAlign w:val="center"/>
          </w:tcPr>
          <w:p w14:paraId="6AC87766" w14:textId="2D163D93" w:rsidR="00205C78" w:rsidRPr="00EA67AF" w:rsidRDefault="00205C78" w:rsidP="00205C78">
            <w:pPr>
              <w:spacing w:after="0" w:line="240" w:lineRule="auto"/>
              <w:jc w:val="center"/>
              <w:rPr>
                <w:rFonts w:eastAsia="Times New Roman" w:cs="Arial"/>
                <w:b/>
                <w:bCs/>
                <w:sz w:val="20"/>
                <w:szCs w:val="20"/>
              </w:rPr>
            </w:pPr>
            <w:r w:rsidRPr="00EA67AF">
              <w:rPr>
                <w:b/>
                <w:bCs/>
              </w:rPr>
              <w:t>3.0</w:t>
            </w:r>
          </w:p>
        </w:tc>
        <w:tc>
          <w:tcPr>
            <w:tcW w:w="1134" w:type="dxa"/>
            <w:tcBorders>
              <w:top w:val="nil"/>
              <w:left w:val="nil"/>
              <w:bottom w:val="single" w:sz="4" w:space="0" w:color="auto"/>
              <w:right w:val="nil"/>
            </w:tcBorders>
            <w:shd w:val="clear" w:color="auto" w:fill="FFFFFF" w:themeFill="background1"/>
            <w:noWrap/>
            <w:vAlign w:val="center"/>
          </w:tcPr>
          <w:p w14:paraId="279972A7" w14:textId="75E0BE23" w:rsidR="00205C78" w:rsidRPr="00EA67AF" w:rsidRDefault="00205C78" w:rsidP="00205C78">
            <w:pPr>
              <w:spacing w:after="0" w:line="240" w:lineRule="auto"/>
              <w:jc w:val="center"/>
              <w:rPr>
                <w:rFonts w:eastAsia="Times New Roman" w:cs="Arial"/>
                <w:b/>
                <w:bCs/>
                <w:sz w:val="20"/>
                <w:szCs w:val="20"/>
              </w:rPr>
            </w:pPr>
            <w:r w:rsidRPr="00EA67AF">
              <w:rPr>
                <w:b/>
                <w:bCs/>
              </w:rPr>
              <w:t>1,558.3</w:t>
            </w:r>
          </w:p>
        </w:tc>
        <w:tc>
          <w:tcPr>
            <w:tcW w:w="992" w:type="dxa"/>
            <w:tcBorders>
              <w:top w:val="nil"/>
              <w:left w:val="nil"/>
              <w:bottom w:val="single" w:sz="4" w:space="0" w:color="auto"/>
              <w:right w:val="nil"/>
            </w:tcBorders>
            <w:shd w:val="clear" w:color="auto" w:fill="FFFFFF" w:themeFill="background1"/>
            <w:noWrap/>
            <w:vAlign w:val="center"/>
          </w:tcPr>
          <w:p w14:paraId="44D0280A" w14:textId="5EFF7CE0" w:rsidR="00205C78" w:rsidRPr="00EA67AF" w:rsidRDefault="00205C78" w:rsidP="00205C78">
            <w:pPr>
              <w:spacing w:after="0" w:line="240" w:lineRule="auto"/>
              <w:jc w:val="center"/>
              <w:rPr>
                <w:rFonts w:eastAsia="Times New Roman" w:cs="Arial"/>
                <w:b/>
                <w:bCs/>
                <w:sz w:val="20"/>
                <w:szCs w:val="20"/>
              </w:rPr>
            </w:pPr>
            <w:r w:rsidRPr="00EA67AF">
              <w:rPr>
                <w:b/>
                <w:bCs/>
              </w:rPr>
              <w:t>12.2</w:t>
            </w:r>
          </w:p>
        </w:tc>
      </w:tr>
    </w:tbl>
    <w:p w14:paraId="14828832" w14:textId="074B71A2" w:rsidR="003815A2" w:rsidRPr="00B93C08" w:rsidRDefault="003815A2" w:rsidP="003815A2">
      <w:pPr>
        <w:pStyle w:val="Heading3"/>
      </w:pPr>
      <w:bookmarkStart w:id="73" w:name="_Toc151365196"/>
      <w:bookmarkStart w:id="74" w:name="_Toc152324313"/>
      <w:bookmarkStart w:id="75" w:name="_Toc166140513"/>
      <w:bookmarkStart w:id="76" w:name="_Toc148899378"/>
      <w:r w:rsidRPr="00B93C08">
        <w:t>Internet vacancies</w:t>
      </w:r>
      <w:bookmarkEnd w:id="73"/>
      <w:bookmarkEnd w:id="74"/>
      <w:r w:rsidR="00DF7437" w:rsidRPr="00B93C08">
        <w:t xml:space="preserve"> by occupation</w:t>
      </w:r>
      <w:bookmarkEnd w:id="75"/>
    </w:p>
    <w:p w14:paraId="7EFB1BAE" w14:textId="75EA7903" w:rsidR="00DF54C7" w:rsidRPr="00EA67AF" w:rsidRDefault="003815A2" w:rsidP="005F19C5">
      <w:r w:rsidRPr="00EA67AF">
        <w:t xml:space="preserve">Over the </w:t>
      </w:r>
      <w:r w:rsidR="00645B60" w:rsidRPr="00EA67AF">
        <w:t>3</w:t>
      </w:r>
      <w:r w:rsidR="008202B5" w:rsidRPr="00EA67AF">
        <w:t xml:space="preserve"> months</w:t>
      </w:r>
      <w:r w:rsidRPr="00EA67AF">
        <w:t xml:space="preserve"> to </w:t>
      </w:r>
      <w:r w:rsidR="00DF54C7" w:rsidRPr="00EA67AF">
        <w:t>March</w:t>
      </w:r>
      <w:r w:rsidRPr="00EA67AF">
        <w:t xml:space="preserve"> 202</w:t>
      </w:r>
      <w:r w:rsidR="00DF54C7" w:rsidRPr="00EA67AF">
        <w:t>4</w:t>
      </w:r>
      <w:r w:rsidRPr="00EA67AF">
        <w:t xml:space="preserve">, recruitment activity decreased across </w:t>
      </w:r>
      <w:r w:rsidR="00DF54C7" w:rsidRPr="00EA67AF">
        <w:t xml:space="preserve">almost </w:t>
      </w:r>
      <w:r w:rsidRPr="00EA67AF">
        <w:t xml:space="preserve">all </w:t>
      </w:r>
      <w:r w:rsidR="00D0402D" w:rsidRPr="00EA67AF">
        <w:t>m</w:t>
      </w:r>
      <w:r w:rsidRPr="00EA67AF">
        <w:t xml:space="preserve">ajor </w:t>
      </w:r>
      <w:r w:rsidR="00D0402D" w:rsidRPr="00EA67AF">
        <w:t>o</w:t>
      </w:r>
      <w:r w:rsidRPr="00EA67AF">
        <w:t xml:space="preserve">ccupation groups. </w:t>
      </w:r>
      <w:r w:rsidR="00DF54C7" w:rsidRPr="00EA67AF">
        <w:t>Vacancies</w:t>
      </w:r>
      <w:r w:rsidR="006108F9" w:rsidRPr="00EA67AF">
        <w:t xml:space="preserve"> for </w:t>
      </w:r>
      <w:r w:rsidR="00DF54C7" w:rsidRPr="00EA67AF">
        <w:t>Sales Workers</w:t>
      </w:r>
      <w:r w:rsidR="006108F9" w:rsidRPr="00EA67AF">
        <w:t xml:space="preserve"> was the lone increase over the quarter (up by 0.5%).</w:t>
      </w:r>
    </w:p>
    <w:p w14:paraId="6EAF9584" w14:textId="02BC902C" w:rsidR="003815A2" w:rsidRPr="00EA67AF" w:rsidRDefault="006108F9" w:rsidP="005F19C5">
      <w:r w:rsidRPr="00EA67AF">
        <w:t>Professionals and Technicians and Trades Workers</w:t>
      </w:r>
      <w:r w:rsidR="003815A2" w:rsidRPr="00EA67AF">
        <w:t xml:space="preserve"> recorded </w:t>
      </w:r>
      <w:r w:rsidR="00B15815" w:rsidRPr="00EA67AF">
        <w:t xml:space="preserve">the largest </w:t>
      </w:r>
      <w:r w:rsidR="003815A2" w:rsidRPr="00EA67AF">
        <w:t>decreases</w:t>
      </w:r>
      <w:r w:rsidR="00562FA1" w:rsidRPr="00EA67AF">
        <w:t xml:space="preserve"> </w:t>
      </w:r>
      <w:r w:rsidR="003815A2" w:rsidRPr="00EA67AF">
        <w:t>in internet vacancies over the quarter (down by 7.</w:t>
      </w:r>
      <w:r w:rsidRPr="00EA67AF">
        <w:t>0</w:t>
      </w:r>
      <w:r w:rsidR="003815A2" w:rsidRPr="00EA67AF">
        <w:t xml:space="preserve">% and </w:t>
      </w:r>
      <w:r w:rsidRPr="00EA67AF">
        <w:t>6</w:t>
      </w:r>
      <w:r w:rsidR="003815A2" w:rsidRPr="00EA67AF">
        <w:t>.</w:t>
      </w:r>
      <w:r w:rsidRPr="00EA67AF">
        <w:t>7</w:t>
      </w:r>
      <w:r w:rsidR="003815A2" w:rsidRPr="00EA67AF">
        <w:t xml:space="preserve">% respectively). The declines recorded among </w:t>
      </w:r>
      <w:r w:rsidRPr="00EA67AF">
        <w:t xml:space="preserve">Community and Personal Service Workers and Machinery Operators and Drivers </w:t>
      </w:r>
      <w:r w:rsidR="003815A2" w:rsidRPr="00EA67AF">
        <w:t xml:space="preserve">were </w:t>
      </w:r>
      <w:r w:rsidR="003815A2" w:rsidRPr="00EA67AF">
        <w:lastRenderedPageBreak/>
        <w:t xml:space="preserve">somewhat </w:t>
      </w:r>
      <w:r w:rsidR="008202B5" w:rsidRPr="00EA67AF">
        <w:t>smaller</w:t>
      </w:r>
      <w:r w:rsidR="003815A2" w:rsidRPr="00EA67AF">
        <w:t xml:space="preserve"> (down by 3.</w:t>
      </w:r>
      <w:r w:rsidRPr="00EA67AF">
        <w:t>9</w:t>
      </w:r>
      <w:r w:rsidR="003815A2" w:rsidRPr="00EA67AF">
        <w:t>% and 3.</w:t>
      </w:r>
      <w:r w:rsidRPr="00EA67AF">
        <w:t>7</w:t>
      </w:r>
      <w:r w:rsidR="003815A2" w:rsidRPr="00EA67AF">
        <w:t>%)</w:t>
      </w:r>
      <w:r w:rsidRPr="00EA67AF">
        <w:t>.</w:t>
      </w:r>
      <w:r w:rsidR="003815A2" w:rsidRPr="00EA67AF">
        <w:t xml:space="preserve"> </w:t>
      </w:r>
      <w:r w:rsidRPr="00EA67AF">
        <w:t>D</w:t>
      </w:r>
      <w:r w:rsidR="003815A2" w:rsidRPr="00EA67AF">
        <w:t xml:space="preserve">emand for </w:t>
      </w:r>
      <w:r w:rsidRPr="00EA67AF">
        <w:t>Managers</w:t>
      </w:r>
      <w:r w:rsidR="003815A2" w:rsidRPr="00EA67AF">
        <w:t>,</w:t>
      </w:r>
      <w:r w:rsidRPr="00EA67AF">
        <w:t xml:space="preserve"> Labourers and Clerical and Administrative Workers</w:t>
      </w:r>
      <w:r w:rsidR="003815A2" w:rsidRPr="00EA67AF">
        <w:t xml:space="preserve"> </w:t>
      </w:r>
      <w:r w:rsidRPr="00EA67AF">
        <w:t>recorded the smallest declines</w:t>
      </w:r>
      <w:r w:rsidR="003815A2" w:rsidRPr="00EA67AF">
        <w:t xml:space="preserve"> over the quarter (</w:t>
      </w:r>
      <w:r w:rsidR="008202B5" w:rsidRPr="00EA67AF">
        <w:t xml:space="preserve">with vacancies in </w:t>
      </w:r>
      <w:r w:rsidR="008C4442" w:rsidRPr="00EA67AF">
        <w:t xml:space="preserve">those occupations </w:t>
      </w:r>
      <w:r w:rsidR="003815A2" w:rsidRPr="00EA67AF">
        <w:t>down by 1.</w:t>
      </w:r>
      <w:r w:rsidRPr="00EA67AF">
        <w:t>7</w:t>
      </w:r>
      <w:r w:rsidR="003815A2" w:rsidRPr="00EA67AF">
        <w:t>%, 1.</w:t>
      </w:r>
      <w:r w:rsidRPr="00EA67AF">
        <w:t>3</w:t>
      </w:r>
      <w:r w:rsidR="003815A2" w:rsidRPr="00EA67AF">
        <w:t xml:space="preserve">% and </w:t>
      </w:r>
      <w:r w:rsidRPr="00EA67AF">
        <w:t>0</w:t>
      </w:r>
      <w:r w:rsidR="003815A2" w:rsidRPr="00EA67AF">
        <w:t>.</w:t>
      </w:r>
      <w:r w:rsidRPr="00EA67AF">
        <w:t>4</w:t>
      </w:r>
      <w:r w:rsidR="003815A2" w:rsidRPr="00EA67AF">
        <w:t>%</w:t>
      </w:r>
      <w:r w:rsidR="00234638" w:rsidRPr="00EA67AF">
        <w:t xml:space="preserve"> respectively</w:t>
      </w:r>
      <w:r w:rsidR="003815A2" w:rsidRPr="00EA67AF">
        <w:t>)</w:t>
      </w:r>
      <w:r w:rsidR="00665F1E" w:rsidRPr="00EA67AF">
        <w:t xml:space="preserve"> – see Table </w:t>
      </w:r>
      <w:r w:rsidR="00963248" w:rsidRPr="00EA67AF">
        <w:t>8</w:t>
      </w:r>
      <w:r w:rsidR="003815A2" w:rsidRPr="00EA67AF">
        <w:t>.</w:t>
      </w:r>
    </w:p>
    <w:p w14:paraId="6107E15C" w14:textId="127E03CD" w:rsidR="003815A2" w:rsidRPr="00EA67AF" w:rsidRDefault="003815A2" w:rsidP="005F19C5">
      <w:r w:rsidRPr="00EA67AF">
        <w:t xml:space="preserve">Despite the </w:t>
      </w:r>
      <w:r w:rsidR="005626E8" w:rsidRPr="00EA67AF">
        <w:t>decline</w:t>
      </w:r>
      <w:r w:rsidRPr="00EA67AF">
        <w:t xml:space="preserve"> over the quarter, vacancies remain at relatively high levels</w:t>
      </w:r>
      <w:r w:rsidR="00F74C39" w:rsidRPr="00EA67AF">
        <w:t xml:space="preserve"> at the national level</w:t>
      </w:r>
      <w:r w:rsidRPr="00EA67AF">
        <w:t xml:space="preserve">. As </w:t>
      </w:r>
      <w:r w:rsidR="0039087B" w:rsidRPr="00EA67AF">
        <w:t>at</w:t>
      </w:r>
      <w:r w:rsidRPr="00EA67AF">
        <w:t xml:space="preserve"> </w:t>
      </w:r>
      <w:r w:rsidR="006108F9" w:rsidRPr="00EA67AF">
        <w:t>March</w:t>
      </w:r>
      <w:r w:rsidRPr="00EA67AF">
        <w:t xml:space="preserve"> 202</w:t>
      </w:r>
      <w:r w:rsidR="006108F9" w:rsidRPr="00EA67AF">
        <w:t>4</w:t>
      </w:r>
      <w:r w:rsidRPr="00EA67AF">
        <w:t>, the number of internet advertisements captured by the</w:t>
      </w:r>
      <w:r w:rsidR="007D3D70" w:rsidRPr="00EA67AF">
        <w:t xml:space="preserve"> Internet Vacancy Index (</w:t>
      </w:r>
      <w:r w:rsidRPr="00EA67AF">
        <w:t>IVI</w:t>
      </w:r>
      <w:r w:rsidR="007D3D70" w:rsidRPr="00EA67AF">
        <w:t>)</w:t>
      </w:r>
      <w:r w:rsidRPr="00EA67AF">
        <w:t xml:space="preserve"> remains at</w:t>
      </w:r>
      <w:r w:rsidR="0039087B" w:rsidRPr="00EA67AF">
        <w:t xml:space="preserve"> a</w:t>
      </w:r>
      <w:r w:rsidRPr="00EA67AF">
        <w:t xml:space="preserve"> level not seen in Australia since prior to the Global Financial Crisis </w:t>
      </w:r>
      <w:r w:rsidR="0039087B" w:rsidRPr="00EA67AF">
        <w:t>in</w:t>
      </w:r>
      <w:r w:rsidRPr="00EA67AF">
        <w:t xml:space="preserve"> 2008.</w:t>
      </w:r>
    </w:p>
    <w:p w14:paraId="065D82BB" w14:textId="3451149A" w:rsidR="003815A2" w:rsidRPr="00EA67AF" w:rsidRDefault="003815A2" w:rsidP="005F19C5">
      <w:r w:rsidRPr="00EA67AF">
        <w:t xml:space="preserve">The </w:t>
      </w:r>
      <w:r w:rsidR="006108F9" w:rsidRPr="00EA67AF">
        <w:t>February</w:t>
      </w:r>
      <w:r w:rsidRPr="00EA67AF">
        <w:t xml:space="preserve"> occupational IVI vacancy ratio indicates a softening </w:t>
      </w:r>
      <w:r w:rsidR="0039087B" w:rsidRPr="00EA67AF">
        <w:t xml:space="preserve">in, </w:t>
      </w:r>
      <w:r w:rsidRPr="00EA67AF">
        <w:t>and narrowing of</w:t>
      </w:r>
      <w:r w:rsidR="0039087B" w:rsidRPr="00EA67AF">
        <w:t>,</w:t>
      </w:r>
      <w:r w:rsidRPr="00EA67AF">
        <w:t xml:space="preserve"> demand relative to employment</w:t>
      </w:r>
      <w:r w:rsidR="0039087B" w:rsidRPr="00EA67AF">
        <w:t>,</w:t>
      </w:r>
      <w:r w:rsidRPr="00EA67AF">
        <w:t xml:space="preserve"> with only Professionals, Technicians and Trades Workers, and Clerical and Administrative Workers recording values above the all-occupation average for </w:t>
      </w:r>
      <w:r w:rsidR="006108F9" w:rsidRPr="00EA67AF">
        <w:t xml:space="preserve">March </w:t>
      </w:r>
      <w:r w:rsidRPr="00EA67AF">
        <w:t>202</w:t>
      </w:r>
      <w:r w:rsidR="006108F9" w:rsidRPr="00EA67AF">
        <w:t>4</w:t>
      </w:r>
      <w:r w:rsidRPr="00EA67AF">
        <w:t xml:space="preserve"> (1.</w:t>
      </w:r>
      <w:r w:rsidR="0083617B" w:rsidRPr="00EA67AF">
        <w:t>7</w:t>
      </w:r>
      <w:r w:rsidRPr="00EA67AF">
        <w:t>%). The IVI vacancy rate remains high</w:t>
      </w:r>
      <w:r w:rsidR="005D5F26" w:rsidRPr="00EA67AF">
        <w:t xml:space="preserve"> and is </w:t>
      </w:r>
      <w:r w:rsidRPr="00EA67AF">
        <w:t>well above the recent low of 0.5% recorded in April 2020</w:t>
      </w:r>
      <w:r w:rsidR="0063153F" w:rsidRPr="00EA67AF">
        <w:t>. It also remains</w:t>
      </w:r>
      <w:r w:rsidRPr="00EA67AF">
        <w:t xml:space="preserve"> above the average recorded over the decade preceding the pandemic (1.5%).</w:t>
      </w:r>
    </w:p>
    <w:p w14:paraId="4C6D0085" w14:textId="2AC6DFBF" w:rsidR="003815A2" w:rsidRPr="00EA67AF" w:rsidRDefault="003815A2" w:rsidP="00B065C1">
      <w:pPr>
        <w:pStyle w:val="ChartandTablelabel"/>
        <w:keepNext/>
        <w:keepLines/>
        <w:rPr>
          <w:rFonts w:asciiTheme="minorHAnsi" w:hAnsiTheme="minorHAnsi"/>
          <w:lang w:val="en-AU"/>
        </w:rPr>
      </w:pPr>
      <w:r w:rsidRPr="00EA67AF">
        <w:rPr>
          <w:rFonts w:asciiTheme="minorHAnsi" w:hAnsiTheme="minorHAnsi"/>
          <w:lang w:val="en-AU"/>
        </w:rPr>
        <w:t xml:space="preserve">Table </w:t>
      </w:r>
      <w:r w:rsidR="00572EC1" w:rsidRPr="00EA67AF">
        <w:rPr>
          <w:rFonts w:asciiTheme="minorHAnsi" w:hAnsiTheme="minorHAnsi"/>
          <w:lang w:val="en-AU"/>
        </w:rPr>
        <w:t>8</w:t>
      </w:r>
      <w:r w:rsidRPr="00EA67AF">
        <w:rPr>
          <w:rFonts w:asciiTheme="minorHAnsi" w:hAnsiTheme="minorHAnsi"/>
          <w:lang w:val="en-AU"/>
        </w:rPr>
        <w:t>:</w:t>
      </w:r>
      <w:r w:rsidRPr="00EA67AF">
        <w:rPr>
          <w:lang w:val="en-AU"/>
        </w:rPr>
        <w:t xml:space="preserve"> </w:t>
      </w:r>
      <w:r w:rsidRPr="00EA67AF">
        <w:rPr>
          <w:rFonts w:asciiTheme="minorHAnsi" w:hAnsiTheme="minorHAnsi"/>
          <w:lang w:val="en-AU"/>
        </w:rPr>
        <w:t xml:space="preserve">Change in internet advertisements, and IVI vacancy ratios, for </w:t>
      </w:r>
      <w:r w:rsidR="003F3E9D" w:rsidRPr="00EA67AF">
        <w:rPr>
          <w:rFonts w:asciiTheme="minorHAnsi" w:hAnsiTheme="minorHAnsi"/>
          <w:lang w:val="en-AU"/>
        </w:rPr>
        <w:t>m</w:t>
      </w:r>
      <w:r w:rsidRPr="00EA67AF">
        <w:rPr>
          <w:rFonts w:asciiTheme="minorHAnsi" w:hAnsiTheme="minorHAnsi"/>
          <w:lang w:val="en-AU"/>
        </w:rPr>
        <w:t xml:space="preserve">ajor </w:t>
      </w:r>
      <w:r w:rsidR="003F3E9D" w:rsidRPr="00EA67AF">
        <w:rPr>
          <w:rFonts w:asciiTheme="minorHAnsi" w:hAnsiTheme="minorHAnsi"/>
          <w:lang w:val="en-AU"/>
        </w:rPr>
        <w:t>o</w:t>
      </w:r>
      <w:r w:rsidRPr="00EA67AF">
        <w:rPr>
          <w:rFonts w:asciiTheme="minorHAnsi" w:hAnsiTheme="minorHAnsi"/>
          <w:lang w:val="en-AU"/>
        </w:rPr>
        <w:t xml:space="preserve">ccupation </w:t>
      </w:r>
      <w:r w:rsidR="003F3E9D" w:rsidRPr="00EA67AF">
        <w:rPr>
          <w:rFonts w:asciiTheme="minorHAnsi" w:hAnsiTheme="minorHAnsi"/>
          <w:lang w:val="en-AU"/>
        </w:rPr>
        <w:t>g</w:t>
      </w:r>
      <w:r w:rsidRPr="00EA67AF">
        <w:rPr>
          <w:rFonts w:asciiTheme="minorHAnsi" w:hAnsiTheme="minorHAnsi"/>
          <w:lang w:val="en-AU"/>
        </w:rPr>
        <w:t>roups (online job advertisements as a proportion of employment)</w:t>
      </w:r>
      <w:r w:rsidR="00CD16CB" w:rsidRPr="00EA67AF">
        <w:rPr>
          <w:rStyle w:val="FootnoteReference"/>
          <w:rFonts w:asciiTheme="minorHAnsi" w:hAnsiTheme="minorHAnsi"/>
          <w:lang w:val="en-AU"/>
        </w:rPr>
        <w:footnoteReference w:id="15"/>
      </w:r>
    </w:p>
    <w:tbl>
      <w:tblPr>
        <w:tblStyle w:val="JSATable2"/>
        <w:tblW w:w="8981" w:type="dxa"/>
        <w:tblLayout w:type="fixed"/>
        <w:tblLook w:val="04A0" w:firstRow="1" w:lastRow="0" w:firstColumn="1" w:lastColumn="0" w:noHBand="0" w:noVBand="1"/>
      </w:tblPr>
      <w:tblGrid>
        <w:gridCol w:w="3828"/>
        <w:gridCol w:w="1087"/>
        <w:gridCol w:w="1121"/>
        <w:gridCol w:w="1121"/>
        <w:gridCol w:w="1824"/>
      </w:tblGrid>
      <w:tr w:rsidR="003815A2" w:rsidRPr="00EA67AF" w14:paraId="6CF87887" w14:textId="77777777" w:rsidTr="003D60F2">
        <w:trPr>
          <w:cnfStyle w:val="100000000000" w:firstRow="1" w:lastRow="0" w:firstColumn="0" w:lastColumn="0" w:oddVBand="0" w:evenVBand="0" w:oddHBand="0" w:evenHBand="0" w:firstRowFirstColumn="0" w:firstRowLastColumn="0" w:lastRowFirstColumn="0" w:lastRowLastColumn="0"/>
          <w:trHeight w:val="118"/>
        </w:trPr>
        <w:tc>
          <w:tcPr>
            <w:tcW w:w="3828" w:type="dxa"/>
            <w:shd w:val="clear" w:color="auto" w:fill="012749"/>
            <w:vAlign w:val="center"/>
          </w:tcPr>
          <w:p w14:paraId="0CB9DE30" w14:textId="77777777" w:rsidR="003815A2" w:rsidRPr="00785336" w:rsidRDefault="003815A2" w:rsidP="00B065C1">
            <w:pPr>
              <w:keepNext/>
              <w:keepLines/>
              <w:rPr>
                <w:bCs/>
                <w:sz w:val="19"/>
                <w:szCs w:val="19"/>
              </w:rPr>
            </w:pPr>
          </w:p>
        </w:tc>
        <w:tc>
          <w:tcPr>
            <w:tcW w:w="1087" w:type="dxa"/>
            <w:shd w:val="clear" w:color="auto" w:fill="012749"/>
            <w:vAlign w:val="center"/>
          </w:tcPr>
          <w:p w14:paraId="5B3AFB10" w14:textId="5D7B517F" w:rsidR="00E60CA3" w:rsidRPr="00EA67AF" w:rsidRDefault="0083617B" w:rsidP="00B065C1">
            <w:pPr>
              <w:keepNext/>
              <w:keepLines/>
              <w:jc w:val="center"/>
              <w:rPr>
                <w:bCs/>
                <w:sz w:val="19"/>
                <w:szCs w:val="19"/>
              </w:rPr>
            </w:pPr>
            <w:r w:rsidRPr="00EA67AF">
              <w:rPr>
                <w:bCs/>
                <w:sz w:val="19"/>
                <w:szCs w:val="19"/>
              </w:rPr>
              <w:t>Mar</w:t>
            </w:r>
            <w:r w:rsidR="003D60F2" w:rsidRPr="00EA67AF">
              <w:rPr>
                <w:bCs/>
                <w:sz w:val="19"/>
                <w:szCs w:val="19"/>
              </w:rPr>
              <w:t>-</w:t>
            </w:r>
            <w:r w:rsidR="003815A2" w:rsidRPr="00EA67AF">
              <w:rPr>
                <w:bCs/>
                <w:sz w:val="19"/>
                <w:szCs w:val="19"/>
              </w:rPr>
              <w:t>23</w:t>
            </w:r>
          </w:p>
          <w:p w14:paraId="518D922E" w14:textId="5C252612" w:rsidR="003815A2" w:rsidRPr="00EA67AF" w:rsidRDefault="00E60CA3" w:rsidP="00B065C1">
            <w:pPr>
              <w:keepNext/>
              <w:keepLines/>
              <w:jc w:val="center"/>
              <w:rPr>
                <w:bCs/>
                <w:sz w:val="19"/>
                <w:szCs w:val="19"/>
              </w:rPr>
            </w:pPr>
            <w:r w:rsidRPr="00EA67AF">
              <w:rPr>
                <w:bCs/>
                <w:sz w:val="19"/>
                <w:szCs w:val="19"/>
              </w:rPr>
              <w:t>(no.)</w:t>
            </w:r>
            <w:r w:rsidR="003815A2" w:rsidRPr="00EA67AF">
              <w:rPr>
                <w:bCs/>
                <w:sz w:val="19"/>
                <w:szCs w:val="19"/>
              </w:rPr>
              <w:t xml:space="preserve"> </w:t>
            </w:r>
          </w:p>
        </w:tc>
        <w:tc>
          <w:tcPr>
            <w:tcW w:w="1121" w:type="dxa"/>
            <w:shd w:val="clear" w:color="auto" w:fill="012749"/>
            <w:vAlign w:val="center"/>
          </w:tcPr>
          <w:p w14:paraId="3F2DD823" w14:textId="184D3E09" w:rsidR="00E60CA3" w:rsidRPr="00EA67AF" w:rsidRDefault="003815A2" w:rsidP="00B870BF">
            <w:pPr>
              <w:keepNext/>
              <w:keepLines/>
              <w:jc w:val="center"/>
              <w:rPr>
                <w:rFonts w:cs="Arial"/>
                <w:bCs/>
                <w:sz w:val="19"/>
                <w:szCs w:val="19"/>
              </w:rPr>
            </w:pPr>
            <w:r w:rsidRPr="00EA67AF">
              <w:rPr>
                <w:rFonts w:cs="Arial"/>
                <w:bCs/>
                <w:sz w:val="19"/>
                <w:szCs w:val="19"/>
              </w:rPr>
              <w:t xml:space="preserve">Quarterly change </w:t>
            </w:r>
            <w:r w:rsidR="00E60CA3" w:rsidRPr="00EA67AF">
              <w:rPr>
                <w:rFonts w:cs="Arial"/>
                <w:bCs/>
                <w:sz w:val="19"/>
                <w:szCs w:val="19"/>
              </w:rPr>
              <w:t>(no.)</w:t>
            </w:r>
          </w:p>
        </w:tc>
        <w:tc>
          <w:tcPr>
            <w:tcW w:w="1121" w:type="dxa"/>
            <w:shd w:val="clear" w:color="auto" w:fill="012749"/>
            <w:vAlign w:val="center"/>
          </w:tcPr>
          <w:p w14:paraId="5CC97FFE" w14:textId="77777777" w:rsidR="003815A2" w:rsidRPr="00EA67AF" w:rsidRDefault="003815A2" w:rsidP="00B065C1">
            <w:pPr>
              <w:keepNext/>
              <w:keepLines/>
              <w:jc w:val="center"/>
              <w:rPr>
                <w:rFonts w:asciiTheme="minorHAnsi" w:hAnsiTheme="minorHAnsi"/>
                <w:bCs/>
                <w:color w:val="auto"/>
                <w:sz w:val="19"/>
                <w:szCs w:val="19"/>
              </w:rPr>
            </w:pPr>
            <w:r w:rsidRPr="00EA67AF">
              <w:rPr>
                <w:rFonts w:cs="Arial"/>
                <w:bCs/>
                <w:sz w:val="19"/>
                <w:szCs w:val="19"/>
              </w:rPr>
              <w:t xml:space="preserve">Quarterly change </w:t>
            </w:r>
            <w:r w:rsidRPr="00EA67AF">
              <w:rPr>
                <w:rFonts w:cs="Arial"/>
                <w:bCs/>
                <w:sz w:val="19"/>
                <w:szCs w:val="19"/>
              </w:rPr>
              <w:br/>
              <w:t>(%)</w:t>
            </w:r>
          </w:p>
        </w:tc>
        <w:tc>
          <w:tcPr>
            <w:tcW w:w="1824" w:type="dxa"/>
            <w:shd w:val="clear" w:color="auto" w:fill="012749"/>
            <w:vAlign w:val="center"/>
          </w:tcPr>
          <w:p w14:paraId="394025D7" w14:textId="1AF817D9" w:rsidR="003815A2" w:rsidRPr="00EA67AF" w:rsidRDefault="003815A2" w:rsidP="00B065C1">
            <w:pPr>
              <w:keepNext/>
              <w:keepLines/>
              <w:jc w:val="center"/>
              <w:rPr>
                <w:bCs/>
                <w:sz w:val="19"/>
                <w:szCs w:val="19"/>
              </w:rPr>
            </w:pPr>
            <w:r w:rsidRPr="00EA67AF">
              <w:rPr>
                <w:bCs/>
                <w:sz w:val="19"/>
                <w:szCs w:val="19"/>
              </w:rPr>
              <w:t xml:space="preserve">IVI vacancy ratio </w:t>
            </w:r>
            <w:r w:rsidRPr="00EA67AF">
              <w:rPr>
                <w:bCs/>
                <w:sz w:val="19"/>
                <w:szCs w:val="19"/>
              </w:rPr>
              <w:br/>
            </w:r>
            <w:r w:rsidR="0083617B" w:rsidRPr="00EA67AF">
              <w:rPr>
                <w:bCs/>
                <w:sz w:val="19"/>
                <w:szCs w:val="19"/>
              </w:rPr>
              <w:t>Feb</w:t>
            </w:r>
            <w:r w:rsidR="003D60F2" w:rsidRPr="00EA67AF">
              <w:rPr>
                <w:bCs/>
                <w:sz w:val="19"/>
                <w:szCs w:val="19"/>
              </w:rPr>
              <w:t>-</w:t>
            </w:r>
            <w:r w:rsidRPr="00EA67AF">
              <w:rPr>
                <w:bCs/>
                <w:sz w:val="19"/>
                <w:szCs w:val="19"/>
              </w:rPr>
              <w:t>2</w:t>
            </w:r>
            <w:r w:rsidR="0083617B" w:rsidRPr="00EA67AF">
              <w:rPr>
                <w:bCs/>
                <w:sz w:val="19"/>
                <w:szCs w:val="19"/>
              </w:rPr>
              <w:t>4</w:t>
            </w:r>
            <w:r w:rsidRPr="00EA67AF">
              <w:rPr>
                <w:bCs/>
                <w:sz w:val="19"/>
                <w:szCs w:val="19"/>
              </w:rPr>
              <w:t xml:space="preserve"> </w:t>
            </w:r>
            <w:r w:rsidRPr="00EA67AF">
              <w:rPr>
                <w:bCs/>
                <w:sz w:val="19"/>
                <w:szCs w:val="19"/>
              </w:rPr>
              <w:br/>
              <w:t>(%)</w:t>
            </w:r>
          </w:p>
        </w:tc>
      </w:tr>
      <w:tr w:rsidR="00DF54C7" w:rsidRPr="00EA67AF" w14:paraId="4C92F3C7" w14:textId="77777777" w:rsidTr="00DF54C7">
        <w:trPr>
          <w:trHeight w:val="118"/>
        </w:trPr>
        <w:tc>
          <w:tcPr>
            <w:tcW w:w="3828" w:type="dxa"/>
            <w:vAlign w:val="center"/>
          </w:tcPr>
          <w:p w14:paraId="1334C191" w14:textId="77777777" w:rsidR="00DF54C7" w:rsidRPr="00EA67AF" w:rsidRDefault="00DF54C7" w:rsidP="00DF54C7">
            <w:pPr>
              <w:keepNext/>
              <w:keepLines/>
              <w:spacing w:before="100" w:beforeAutospacing="1" w:afterAutospacing="1"/>
              <w:rPr>
                <w:sz w:val="20"/>
                <w:szCs w:val="20"/>
              </w:rPr>
            </w:pPr>
            <w:r w:rsidRPr="00EA67AF">
              <w:rPr>
                <w:sz w:val="20"/>
                <w:szCs w:val="20"/>
                <w:lang w:eastAsia="en-AU"/>
              </w:rPr>
              <w:t>Managers</w:t>
            </w:r>
          </w:p>
        </w:tc>
        <w:tc>
          <w:tcPr>
            <w:tcW w:w="1087" w:type="dxa"/>
            <w:vAlign w:val="center"/>
          </w:tcPr>
          <w:p w14:paraId="69F28827" w14:textId="77777777" w:rsidR="00DF54C7" w:rsidRPr="00EA67AF" w:rsidRDefault="00DF54C7" w:rsidP="00DF54C7">
            <w:pPr>
              <w:keepNext/>
              <w:keepLines/>
              <w:spacing w:before="100" w:beforeAutospacing="1" w:afterAutospacing="1"/>
              <w:jc w:val="center"/>
              <w:rPr>
                <w:sz w:val="20"/>
                <w:szCs w:val="20"/>
              </w:rPr>
            </w:pPr>
            <w:r w:rsidRPr="00EA67AF">
              <w:rPr>
                <w:sz w:val="20"/>
                <w:szCs w:val="20"/>
              </w:rPr>
              <w:t>29,300</w:t>
            </w:r>
          </w:p>
        </w:tc>
        <w:tc>
          <w:tcPr>
            <w:tcW w:w="1121" w:type="dxa"/>
            <w:vAlign w:val="center"/>
          </w:tcPr>
          <w:p w14:paraId="185E2E04" w14:textId="564B5694" w:rsidR="00DF54C7" w:rsidRPr="00EA67AF" w:rsidRDefault="00DF54C7" w:rsidP="00DF54C7">
            <w:pPr>
              <w:keepNext/>
              <w:keepLines/>
              <w:spacing w:before="100" w:beforeAutospacing="1" w:afterAutospacing="1"/>
              <w:jc w:val="center"/>
              <w:rPr>
                <w:sz w:val="20"/>
                <w:szCs w:val="20"/>
              </w:rPr>
            </w:pPr>
            <w:r w:rsidRPr="00EA67AF">
              <w:rPr>
                <w:sz w:val="20"/>
                <w:szCs w:val="20"/>
              </w:rPr>
              <w:t>-500</w:t>
            </w:r>
          </w:p>
        </w:tc>
        <w:tc>
          <w:tcPr>
            <w:tcW w:w="1121" w:type="dxa"/>
            <w:vAlign w:val="center"/>
          </w:tcPr>
          <w:p w14:paraId="70180DDE" w14:textId="0332A86E" w:rsidR="00DF54C7" w:rsidRPr="00EA67AF" w:rsidRDefault="00DF54C7" w:rsidP="00DF54C7">
            <w:pPr>
              <w:keepNext/>
              <w:keepLines/>
              <w:spacing w:before="100" w:beforeAutospacing="1" w:afterAutospacing="1"/>
              <w:jc w:val="center"/>
              <w:rPr>
                <w:sz w:val="20"/>
                <w:szCs w:val="20"/>
              </w:rPr>
            </w:pPr>
            <w:r w:rsidRPr="00EA67AF">
              <w:rPr>
                <w:sz w:val="20"/>
                <w:szCs w:val="20"/>
              </w:rPr>
              <w:t>-1.7%</w:t>
            </w:r>
          </w:p>
        </w:tc>
        <w:tc>
          <w:tcPr>
            <w:tcW w:w="1824" w:type="dxa"/>
            <w:vAlign w:val="center"/>
          </w:tcPr>
          <w:p w14:paraId="65D8E340" w14:textId="544E5897" w:rsidR="00DF54C7" w:rsidRPr="00EA67AF" w:rsidRDefault="00DF54C7" w:rsidP="00DF54C7">
            <w:pPr>
              <w:keepNext/>
              <w:keepLines/>
              <w:spacing w:before="100" w:beforeAutospacing="1" w:afterAutospacing="1"/>
              <w:jc w:val="center"/>
              <w:rPr>
                <w:sz w:val="20"/>
                <w:szCs w:val="20"/>
              </w:rPr>
            </w:pPr>
            <w:r w:rsidRPr="00EA67AF">
              <w:rPr>
                <w:sz w:val="20"/>
                <w:szCs w:val="20"/>
              </w:rPr>
              <w:t>1.6%</w:t>
            </w:r>
          </w:p>
        </w:tc>
      </w:tr>
      <w:tr w:rsidR="00DF54C7" w:rsidRPr="00EA67AF" w14:paraId="6B595A75" w14:textId="77777777" w:rsidTr="00DF54C7">
        <w:trPr>
          <w:cnfStyle w:val="000000010000" w:firstRow="0" w:lastRow="0" w:firstColumn="0" w:lastColumn="0" w:oddVBand="0" w:evenVBand="0" w:oddHBand="0" w:evenHBand="1" w:firstRowFirstColumn="0" w:firstRowLastColumn="0" w:lastRowFirstColumn="0" w:lastRowLastColumn="0"/>
          <w:trHeight w:val="122"/>
        </w:trPr>
        <w:tc>
          <w:tcPr>
            <w:tcW w:w="3828" w:type="dxa"/>
            <w:vAlign w:val="center"/>
          </w:tcPr>
          <w:p w14:paraId="3C9EF7DA" w14:textId="77777777" w:rsidR="00DF54C7" w:rsidRPr="00EA67AF" w:rsidRDefault="00DF54C7" w:rsidP="00DF54C7">
            <w:pPr>
              <w:keepNext/>
              <w:keepLines/>
              <w:spacing w:before="100" w:beforeAutospacing="1" w:afterAutospacing="1"/>
              <w:rPr>
                <w:sz w:val="20"/>
                <w:szCs w:val="20"/>
              </w:rPr>
            </w:pPr>
            <w:r w:rsidRPr="00EA67AF">
              <w:rPr>
                <w:sz w:val="20"/>
                <w:szCs w:val="20"/>
                <w:lang w:eastAsia="en-AU"/>
              </w:rPr>
              <w:t>Professionals</w:t>
            </w:r>
          </w:p>
        </w:tc>
        <w:tc>
          <w:tcPr>
            <w:tcW w:w="1087" w:type="dxa"/>
            <w:vAlign w:val="center"/>
          </w:tcPr>
          <w:p w14:paraId="399748E0" w14:textId="77777777" w:rsidR="00DF54C7" w:rsidRPr="00EA67AF" w:rsidRDefault="00DF54C7" w:rsidP="00DF54C7">
            <w:pPr>
              <w:keepNext/>
              <w:keepLines/>
              <w:spacing w:before="100" w:beforeAutospacing="1" w:afterAutospacing="1"/>
              <w:jc w:val="center"/>
              <w:rPr>
                <w:sz w:val="20"/>
                <w:szCs w:val="20"/>
              </w:rPr>
            </w:pPr>
            <w:r w:rsidRPr="00EA67AF">
              <w:rPr>
                <w:sz w:val="20"/>
                <w:szCs w:val="20"/>
              </w:rPr>
              <w:t>78,200</w:t>
            </w:r>
          </w:p>
        </w:tc>
        <w:tc>
          <w:tcPr>
            <w:tcW w:w="1121" w:type="dxa"/>
            <w:vAlign w:val="center"/>
          </w:tcPr>
          <w:p w14:paraId="7BD39BAD" w14:textId="23454768" w:rsidR="00DF54C7" w:rsidRPr="00EA67AF" w:rsidRDefault="00DF54C7" w:rsidP="00DF54C7">
            <w:pPr>
              <w:keepNext/>
              <w:keepLines/>
              <w:spacing w:before="100" w:beforeAutospacing="1" w:afterAutospacing="1"/>
              <w:jc w:val="center"/>
              <w:rPr>
                <w:sz w:val="20"/>
                <w:szCs w:val="20"/>
              </w:rPr>
            </w:pPr>
            <w:r w:rsidRPr="00EA67AF">
              <w:rPr>
                <w:sz w:val="20"/>
                <w:szCs w:val="20"/>
              </w:rPr>
              <w:t>-5,400</w:t>
            </w:r>
          </w:p>
        </w:tc>
        <w:tc>
          <w:tcPr>
            <w:tcW w:w="1121" w:type="dxa"/>
            <w:vAlign w:val="center"/>
          </w:tcPr>
          <w:p w14:paraId="0008480B" w14:textId="0AA213D0" w:rsidR="00DF54C7" w:rsidRPr="00EA67AF" w:rsidRDefault="00DF54C7" w:rsidP="00DF54C7">
            <w:pPr>
              <w:keepNext/>
              <w:keepLines/>
              <w:spacing w:before="100" w:beforeAutospacing="1" w:afterAutospacing="1"/>
              <w:jc w:val="center"/>
              <w:rPr>
                <w:sz w:val="20"/>
                <w:szCs w:val="20"/>
              </w:rPr>
            </w:pPr>
            <w:r w:rsidRPr="00EA67AF">
              <w:rPr>
                <w:sz w:val="20"/>
                <w:szCs w:val="20"/>
              </w:rPr>
              <w:t>-7.0%</w:t>
            </w:r>
          </w:p>
        </w:tc>
        <w:tc>
          <w:tcPr>
            <w:tcW w:w="1824" w:type="dxa"/>
            <w:vAlign w:val="center"/>
          </w:tcPr>
          <w:p w14:paraId="58C07BC7" w14:textId="6EACE549" w:rsidR="00DF54C7" w:rsidRPr="00EA67AF" w:rsidRDefault="00DF54C7" w:rsidP="00DF54C7">
            <w:pPr>
              <w:keepNext/>
              <w:keepLines/>
              <w:spacing w:before="100" w:beforeAutospacing="1" w:afterAutospacing="1"/>
              <w:jc w:val="center"/>
              <w:rPr>
                <w:sz w:val="20"/>
                <w:szCs w:val="20"/>
              </w:rPr>
            </w:pPr>
            <w:r w:rsidRPr="00EA67AF">
              <w:rPr>
                <w:sz w:val="20"/>
                <w:szCs w:val="20"/>
              </w:rPr>
              <w:t>1.9%</w:t>
            </w:r>
          </w:p>
        </w:tc>
      </w:tr>
      <w:tr w:rsidR="00DF54C7" w:rsidRPr="00EA67AF" w14:paraId="5DDC3584" w14:textId="77777777" w:rsidTr="00DF54C7">
        <w:trPr>
          <w:trHeight w:val="302"/>
        </w:trPr>
        <w:tc>
          <w:tcPr>
            <w:tcW w:w="3828" w:type="dxa"/>
            <w:vAlign w:val="center"/>
          </w:tcPr>
          <w:p w14:paraId="5DF027D3" w14:textId="77777777" w:rsidR="00DF54C7" w:rsidRPr="00EA67AF" w:rsidRDefault="00DF54C7" w:rsidP="00DF54C7">
            <w:pPr>
              <w:keepNext/>
              <w:keepLines/>
              <w:spacing w:before="100" w:beforeAutospacing="1" w:afterAutospacing="1"/>
              <w:rPr>
                <w:sz w:val="20"/>
                <w:szCs w:val="20"/>
              </w:rPr>
            </w:pPr>
            <w:r w:rsidRPr="00EA67AF">
              <w:rPr>
                <w:sz w:val="20"/>
                <w:szCs w:val="20"/>
                <w:lang w:eastAsia="en-AU"/>
              </w:rPr>
              <w:t>Technicians and Trades Workers</w:t>
            </w:r>
          </w:p>
        </w:tc>
        <w:tc>
          <w:tcPr>
            <w:tcW w:w="1087" w:type="dxa"/>
            <w:vAlign w:val="center"/>
          </w:tcPr>
          <w:p w14:paraId="6134A417" w14:textId="77777777" w:rsidR="00DF54C7" w:rsidRPr="00EA67AF" w:rsidRDefault="00DF54C7" w:rsidP="00DF54C7">
            <w:pPr>
              <w:keepNext/>
              <w:keepLines/>
              <w:spacing w:before="100" w:beforeAutospacing="1" w:afterAutospacing="1"/>
              <w:jc w:val="center"/>
              <w:rPr>
                <w:sz w:val="20"/>
                <w:szCs w:val="20"/>
              </w:rPr>
            </w:pPr>
            <w:r w:rsidRPr="00EA67AF">
              <w:rPr>
                <w:sz w:val="20"/>
                <w:szCs w:val="20"/>
              </w:rPr>
              <w:t>36,600</w:t>
            </w:r>
          </w:p>
        </w:tc>
        <w:tc>
          <w:tcPr>
            <w:tcW w:w="1121" w:type="dxa"/>
            <w:vAlign w:val="center"/>
          </w:tcPr>
          <w:p w14:paraId="3B87E969" w14:textId="33D119E1" w:rsidR="00DF54C7" w:rsidRPr="00EA67AF" w:rsidRDefault="00DF54C7" w:rsidP="00DF54C7">
            <w:pPr>
              <w:keepNext/>
              <w:keepLines/>
              <w:spacing w:before="100" w:beforeAutospacing="1" w:afterAutospacing="1"/>
              <w:jc w:val="center"/>
              <w:rPr>
                <w:sz w:val="20"/>
                <w:szCs w:val="20"/>
              </w:rPr>
            </w:pPr>
            <w:r w:rsidRPr="00EA67AF">
              <w:rPr>
                <w:sz w:val="20"/>
                <w:szCs w:val="20"/>
              </w:rPr>
              <w:t>-2,400</w:t>
            </w:r>
          </w:p>
        </w:tc>
        <w:tc>
          <w:tcPr>
            <w:tcW w:w="1121" w:type="dxa"/>
            <w:vAlign w:val="center"/>
          </w:tcPr>
          <w:p w14:paraId="68123FED" w14:textId="2D180B85" w:rsidR="00DF54C7" w:rsidRPr="00EA67AF" w:rsidRDefault="00DF54C7" w:rsidP="00DF54C7">
            <w:pPr>
              <w:keepNext/>
              <w:keepLines/>
              <w:spacing w:before="100" w:beforeAutospacing="1" w:afterAutospacing="1"/>
              <w:jc w:val="center"/>
              <w:rPr>
                <w:sz w:val="20"/>
                <w:szCs w:val="20"/>
              </w:rPr>
            </w:pPr>
            <w:r w:rsidRPr="00EA67AF">
              <w:rPr>
                <w:sz w:val="20"/>
                <w:szCs w:val="20"/>
              </w:rPr>
              <w:t>-6.7%</w:t>
            </w:r>
          </w:p>
        </w:tc>
        <w:tc>
          <w:tcPr>
            <w:tcW w:w="1824" w:type="dxa"/>
            <w:vAlign w:val="center"/>
          </w:tcPr>
          <w:p w14:paraId="1F2B5EAF" w14:textId="65967006" w:rsidR="00DF54C7" w:rsidRPr="00EA67AF" w:rsidRDefault="00DF54C7" w:rsidP="00DF54C7">
            <w:pPr>
              <w:keepNext/>
              <w:keepLines/>
              <w:spacing w:before="100" w:beforeAutospacing="1" w:afterAutospacing="1"/>
              <w:jc w:val="center"/>
              <w:rPr>
                <w:sz w:val="20"/>
                <w:szCs w:val="20"/>
              </w:rPr>
            </w:pPr>
            <w:r w:rsidRPr="00EA67AF">
              <w:rPr>
                <w:sz w:val="20"/>
                <w:szCs w:val="20"/>
              </w:rPr>
              <w:t>1.8%</w:t>
            </w:r>
          </w:p>
        </w:tc>
      </w:tr>
      <w:tr w:rsidR="00DF54C7" w:rsidRPr="00EA67AF" w14:paraId="10D5BB92" w14:textId="77777777" w:rsidTr="00DF54C7">
        <w:trPr>
          <w:cnfStyle w:val="000000010000" w:firstRow="0" w:lastRow="0" w:firstColumn="0" w:lastColumn="0" w:oddVBand="0" w:evenVBand="0" w:oddHBand="0" w:evenHBand="1" w:firstRowFirstColumn="0" w:firstRowLastColumn="0" w:lastRowFirstColumn="0" w:lastRowLastColumn="0"/>
          <w:trHeight w:val="393"/>
        </w:trPr>
        <w:tc>
          <w:tcPr>
            <w:tcW w:w="3828" w:type="dxa"/>
            <w:vAlign w:val="center"/>
          </w:tcPr>
          <w:p w14:paraId="63FDEFE7" w14:textId="77777777" w:rsidR="00DF54C7" w:rsidRPr="00EA67AF" w:rsidRDefault="00DF54C7" w:rsidP="00DF54C7">
            <w:pPr>
              <w:keepNext/>
              <w:keepLines/>
              <w:spacing w:before="100" w:beforeAutospacing="1" w:afterAutospacing="1"/>
              <w:rPr>
                <w:sz w:val="20"/>
                <w:szCs w:val="20"/>
              </w:rPr>
            </w:pPr>
            <w:r w:rsidRPr="00EA67AF">
              <w:rPr>
                <w:sz w:val="20"/>
                <w:szCs w:val="20"/>
                <w:lang w:eastAsia="en-AU"/>
              </w:rPr>
              <w:t>Community and Personal Service Workers</w:t>
            </w:r>
          </w:p>
        </w:tc>
        <w:tc>
          <w:tcPr>
            <w:tcW w:w="1087" w:type="dxa"/>
            <w:vAlign w:val="center"/>
          </w:tcPr>
          <w:p w14:paraId="1FE960CA" w14:textId="77777777" w:rsidR="00DF54C7" w:rsidRPr="00EA67AF" w:rsidRDefault="00DF54C7" w:rsidP="00DF54C7">
            <w:pPr>
              <w:keepNext/>
              <w:keepLines/>
              <w:spacing w:before="100" w:beforeAutospacing="1" w:afterAutospacing="1"/>
              <w:jc w:val="center"/>
              <w:rPr>
                <w:sz w:val="20"/>
                <w:szCs w:val="20"/>
              </w:rPr>
            </w:pPr>
            <w:r w:rsidRPr="00EA67AF">
              <w:rPr>
                <w:sz w:val="20"/>
                <w:szCs w:val="20"/>
              </w:rPr>
              <w:t>29,700</w:t>
            </w:r>
          </w:p>
        </w:tc>
        <w:tc>
          <w:tcPr>
            <w:tcW w:w="1121" w:type="dxa"/>
            <w:vAlign w:val="center"/>
          </w:tcPr>
          <w:p w14:paraId="5732E020" w14:textId="5263B609" w:rsidR="00DF54C7" w:rsidRPr="00EA67AF" w:rsidRDefault="00DF54C7" w:rsidP="00DF54C7">
            <w:pPr>
              <w:keepNext/>
              <w:keepLines/>
              <w:spacing w:before="100" w:beforeAutospacing="1" w:afterAutospacing="1"/>
              <w:jc w:val="center"/>
              <w:rPr>
                <w:sz w:val="20"/>
                <w:szCs w:val="20"/>
              </w:rPr>
            </w:pPr>
            <w:r w:rsidRPr="00EA67AF">
              <w:rPr>
                <w:sz w:val="20"/>
                <w:szCs w:val="20"/>
              </w:rPr>
              <w:t>-1,100</w:t>
            </w:r>
          </w:p>
        </w:tc>
        <w:tc>
          <w:tcPr>
            <w:tcW w:w="1121" w:type="dxa"/>
            <w:vAlign w:val="center"/>
          </w:tcPr>
          <w:p w14:paraId="55CD150C" w14:textId="2E18D8D2" w:rsidR="00DF54C7" w:rsidRPr="00EA67AF" w:rsidRDefault="00DF54C7" w:rsidP="00DF54C7">
            <w:pPr>
              <w:keepNext/>
              <w:keepLines/>
              <w:spacing w:before="100" w:beforeAutospacing="1" w:afterAutospacing="1"/>
              <w:jc w:val="center"/>
              <w:rPr>
                <w:sz w:val="20"/>
                <w:szCs w:val="20"/>
              </w:rPr>
            </w:pPr>
            <w:r w:rsidRPr="00EA67AF">
              <w:rPr>
                <w:sz w:val="20"/>
                <w:szCs w:val="20"/>
              </w:rPr>
              <w:t>-3.9%</w:t>
            </w:r>
          </w:p>
        </w:tc>
        <w:tc>
          <w:tcPr>
            <w:tcW w:w="1824" w:type="dxa"/>
            <w:vAlign w:val="center"/>
          </w:tcPr>
          <w:p w14:paraId="37AD5D01" w14:textId="61B58F4F" w:rsidR="00DF54C7" w:rsidRPr="00EA67AF" w:rsidRDefault="00DF54C7" w:rsidP="00DF54C7">
            <w:pPr>
              <w:keepNext/>
              <w:keepLines/>
              <w:spacing w:before="100" w:beforeAutospacing="1" w:afterAutospacing="1"/>
              <w:jc w:val="center"/>
              <w:rPr>
                <w:sz w:val="20"/>
                <w:szCs w:val="20"/>
              </w:rPr>
            </w:pPr>
            <w:r w:rsidRPr="00EA67AF">
              <w:rPr>
                <w:sz w:val="20"/>
                <w:szCs w:val="20"/>
              </w:rPr>
              <w:t>1.6%</w:t>
            </w:r>
          </w:p>
        </w:tc>
      </w:tr>
      <w:tr w:rsidR="00DF54C7" w:rsidRPr="00EA67AF" w14:paraId="7EBDA269" w14:textId="77777777" w:rsidTr="00DF54C7">
        <w:trPr>
          <w:trHeight w:val="306"/>
        </w:trPr>
        <w:tc>
          <w:tcPr>
            <w:tcW w:w="3828" w:type="dxa"/>
            <w:vAlign w:val="center"/>
          </w:tcPr>
          <w:p w14:paraId="72897919" w14:textId="77777777" w:rsidR="00DF54C7" w:rsidRPr="00EA67AF" w:rsidRDefault="00DF54C7" w:rsidP="00DF54C7">
            <w:pPr>
              <w:keepNext/>
              <w:keepLines/>
              <w:spacing w:before="100" w:beforeAutospacing="1" w:afterAutospacing="1"/>
              <w:rPr>
                <w:sz w:val="20"/>
                <w:szCs w:val="20"/>
              </w:rPr>
            </w:pPr>
            <w:r w:rsidRPr="00EA67AF">
              <w:rPr>
                <w:sz w:val="20"/>
                <w:szCs w:val="20"/>
                <w:lang w:eastAsia="en-AU"/>
              </w:rPr>
              <w:t>Clerical and Administrative Workers</w:t>
            </w:r>
          </w:p>
        </w:tc>
        <w:tc>
          <w:tcPr>
            <w:tcW w:w="1087" w:type="dxa"/>
            <w:vAlign w:val="center"/>
          </w:tcPr>
          <w:p w14:paraId="1EF7A29B" w14:textId="77777777" w:rsidR="00DF54C7" w:rsidRPr="00EA67AF" w:rsidRDefault="00DF54C7" w:rsidP="00DF54C7">
            <w:pPr>
              <w:keepNext/>
              <w:keepLines/>
              <w:spacing w:before="100" w:beforeAutospacing="1" w:afterAutospacing="1"/>
              <w:jc w:val="center"/>
              <w:rPr>
                <w:sz w:val="20"/>
                <w:szCs w:val="20"/>
              </w:rPr>
            </w:pPr>
            <w:r w:rsidRPr="00EA67AF">
              <w:rPr>
                <w:sz w:val="20"/>
                <w:szCs w:val="20"/>
              </w:rPr>
              <w:t>38,600</w:t>
            </w:r>
          </w:p>
        </w:tc>
        <w:tc>
          <w:tcPr>
            <w:tcW w:w="1121" w:type="dxa"/>
            <w:vAlign w:val="center"/>
          </w:tcPr>
          <w:p w14:paraId="1D25C4CA" w14:textId="77DA8FF2" w:rsidR="00DF54C7" w:rsidRPr="00EA67AF" w:rsidRDefault="00DF54C7" w:rsidP="00DF54C7">
            <w:pPr>
              <w:keepNext/>
              <w:keepLines/>
              <w:spacing w:before="100" w:beforeAutospacing="1" w:afterAutospacing="1"/>
              <w:jc w:val="center"/>
              <w:rPr>
                <w:sz w:val="20"/>
                <w:szCs w:val="20"/>
              </w:rPr>
            </w:pPr>
            <w:r w:rsidRPr="00EA67AF">
              <w:rPr>
                <w:sz w:val="20"/>
                <w:szCs w:val="20"/>
              </w:rPr>
              <w:t>-150</w:t>
            </w:r>
          </w:p>
        </w:tc>
        <w:tc>
          <w:tcPr>
            <w:tcW w:w="1121" w:type="dxa"/>
            <w:vAlign w:val="center"/>
          </w:tcPr>
          <w:p w14:paraId="4CFB40DD" w14:textId="3CF2A0F3" w:rsidR="00DF54C7" w:rsidRPr="00EA67AF" w:rsidRDefault="00DF54C7" w:rsidP="00DF54C7">
            <w:pPr>
              <w:keepNext/>
              <w:keepLines/>
              <w:spacing w:before="100" w:beforeAutospacing="1" w:afterAutospacing="1"/>
              <w:jc w:val="center"/>
              <w:rPr>
                <w:sz w:val="20"/>
                <w:szCs w:val="20"/>
              </w:rPr>
            </w:pPr>
            <w:r w:rsidRPr="00EA67AF">
              <w:rPr>
                <w:sz w:val="20"/>
                <w:szCs w:val="20"/>
              </w:rPr>
              <w:t>-0.4%</w:t>
            </w:r>
          </w:p>
        </w:tc>
        <w:tc>
          <w:tcPr>
            <w:tcW w:w="1824" w:type="dxa"/>
            <w:vAlign w:val="center"/>
          </w:tcPr>
          <w:p w14:paraId="5DF44310" w14:textId="121FE260" w:rsidR="00DF54C7" w:rsidRPr="00EA67AF" w:rsidRDefault="00DF54C7" w:rsidP="00DF54C7">
            <w:pPr>
              <w:keepNext/>
              <w:keepLines/>
              <w:spacing w:before="100" w:beforeAutospacing="1" w:afterAutospacing="1"/>
              <w:jc w:val="center"/>
              <w:rPr>
                <w:sz w:val="20"/>
                <w:szCs w:val="20"/>
              </w:rPr>
            </w:pPr>
            <w:r w:rsidRPr="00EA67AF">
              <w:rPr>
                <w:sz w:val="20"/>
                <w:szCs w:val="20"/>
              </w:rPr>
              <w:t>2.0%</w:t>
            </w:r>
          </w:p>
        </w:tc>
      </w:tr>
      <w:tr w:rsidR="00DF54C7" w:rsidRPr="00EA67AF" w14:paraId="71DEFE0A" w14:textId="77777777" w:rsidTr="00DF54C7">
        <w:trPr>
          <w:cnfStyle w:val="000000010000" w:firstRow="0" w:lastRow="0" w:firstColumn="0" w:lastColumn="0" w:oddVBand="0" w:evenVBand="0" w:oddHBand="0" w:evenHBand="1" w:firstRowFirstColumn="0" w:firstRowLastColumn="0" w:lastRowFirstColumn="0" w:lastRowLastColumn="0"/>
          <w:trHeight w:val="208"/>
        </w:trPr>
        <w:tc>
          <w:tcPr>
            <w:tcW w:w="3828" w:type="dxa"/>
            <w:vAlign w:val="center"/>
          </w:tcPr>
          <w:p w14:paraId="4C0CA209" w14:textId="77777777" w:rsidR="00DF54C7" w:rsidRPr="00EA67AF" w:rsidRDefault="00DF54C7" w:rsidP="00DF54C7">
            <w:pPr>
              <w:keepNext/>
              <w:keepLines/>
              <w:spacing w:before="100" w:beforeAutospacing="1" w:afterAutospacing="1"/>
              <w:rPr>
                <w:sz w:val="20"/>
                <w:szCs w:val="20"/>
              </w:rPr>
            </w:pPr>
            <w:r w:rsidRPr="00EA67AF">
              <w:rPr>
                <w:sz w:val="20"/>
                <w:szCs w:val="20"/>
                <w:lang w:eastAsia="en-AU"/>
              </w:rPr>
              <w:t>Sales Workers</w:t>
            </w:r>
          </w:p>
        </w:tc>
        <w:tc>
          <w:tcPr>
            <w:tcW w:w="1087" w:type="dxa"/>
            <w:vAlign w:val="center"/>
          </w:tcPr>
          <w:p w14:paraId="1BB111E8" w14:textId="77777777" w:rsidR="00DF54C7" w:rsidRPr="00EA67AF" w:rsidRDefault="00DF54C7" w:rsidP="00DF54C7">
            <w:pPr>
              <w:keepNext/>
              <w:keepLines/>
              <w:spacing w:before="100" w:beforeAutospacing="1" w:afterAutospacing="1"/>
              <w:jc w:val="center"/>
              <w:rPr>
                <w:sz w:val="20"/>
                <w:szCs w:val="20"/>
              </w:rPr>
            </w:pPr>
            <w:r w:rsidRPr="00EA67AF">
              <w:rPr>
                <w:sz w:val="20"/>
                <w:szCs w:val="20"/>
              </w:rPr>
              <w:t>19,100</w:t>
            </w:r>
          </w:p>
        </w:tc>
        <w:tc>
          <w:tcPr>
            <w:tcW w:w="1121" w:type="dxa"/>
            <w:vAlign w:val="center"/>
          </w:tcPr>
          <w:p w14:paraId="7308B490" w14:textId="72D7B018" w:rsidR="00DF54C7" w:rsidRPr="00EA67AF" w:rsidRDefault="00DF54C7" w:rsidP="00DF54C7">
            <w:pPr>
              <w:keepNext/>
              <w:keepLines/>
              <w:spacing w:before="100" w:beforeAutospacing="1" w:afterAutospacing="1"/>
              <w:jc w:val="center"/>
              <w:rPr>
                <w:sz w:val="20"/>
                <w:szCs w:val="20"/>
              </w:rPr>
            </w:pPr>
            <w:r w:rsidRPr="00EA67AF">
              <w:rPr>
                <w:sz w:val="20"/>
                <w:szCs w:val="20"/>
              </w:rPr>
              <w:t>90</w:t>
            </w:r>
          </w:p>
        </w:tc>
        <w:tc>
          <w:tcPr>
            <w:tcW w:w="1121" w:type="dxa"/>
            <w:vAlign w:val="center"/>
          </w:tcPr>
          <w:p w14:paraId="3003FCDD" w14:textId="24B1DB77" w:rsidR="00DF54C7" w:rsidRPr="00EA67AF" w:rsidRDefault="00DF54C7" w:rsidP="00DF54C7">
            <w:pPr>
              <w:keepNext/>
              <w:keepLines/>
              <w:spacing w:before="100" w:beforeAutospacing="1" w:afterAutospacing="1"/>
              <w:jc w:val="center"/>
              <w:rPr>
                <w:sz w:val="20"/>
                <w:szCs w:val="20"/>
              </w:rPr>
            </w:pPr>
            <w:r w:rsidRPr="00EA67AF">
              <w:rPr>
                <w:sz w:val="20"/>
                <w:szCs w:val="20"/>
              </w:rPr>
              <w:t>0.5%</w:t>
            </w:r>
          </w:p>
        </w:tc>
        <w:tc>
          <w:tcPr>
            <w:tcW w:w="1824" w:type="dxa"/>
            <w:vAlign w:val="center"/>
          </w:tcPr>
          <w:p w14:paraId="24086A33" w14:textId="5C2EBD55" w:rsidR="00DF54C7" w:rsidRPr="00EA67AF" w:rsidRDefault="00DF54C7" w:rsidP="00DF54C7">
            <w:pPr>
              <w:keepNext/>
              <w:keepLines/>
              <w:spacing w:before="100" w:beforeAutospacing="1" w:afterAutospacing="1"/>
              <w:jc w:val="center"/>
              <w:rPr>
                <w:sz w:val="20"/>
                <w:szCs w:val="20"/>
              </w:rPr>
            </w:pPr>
            <w:r w:rsidRPr="00EA67AF">
              <w:rPr>
                <w:sz w:val="20"/>
                <w:szCs w:val="20"/>
              </w:rPr>
              <w:t>1.7%</w:t>
            </w:r>
          </w:p>
        </w:tc>
      </w:tr>
      <w:tr w:rsidR="00DF54C7" w:rsidRPr="00EA67AF" w14:paraId="32DA0402" w14:textId="77777777" w:rsidTr="00DF54C7">
        <w:trPr>
          <w:trHeight w:val="306"/>
        </w:trPr>
        <w:tc>
          <w:tcPr>
            <w:tcW w:w="3828" w:type="dxa"/>
            <w:vAlign w:val="center"/>
          </w:tcPr>
          <w:p w14:paraId="12C4CBD5" w14:textId="77777777" w:rsidR="00DF54C7" w:rsidRPr="00EA67AF" w:rsidRDefault="00DF54C7" w:rsidP="00DF54C7">
            <w:pPr>
              <w:keepNext/>
              <w:keepLines/>
              <w:spacing w:before="100" w:beforeAutospacing="1" w:afterAutospacing="1"/>
              <w:rPr>
                <w:sz w:val="20"/>
                <w:szCs w:val="20"/>
              </w:rPr>
            </w:pPr>
            <w:r w:rsidRPr="00EA67AF">
              <w:rPr>
                <w:sz w:val="20"/>
                <w:szCs w:val="20"/>
                <w:lang w:eastAsia="en-AU"/>
              </w:rPr>
              <w:t>Machinery Operators and Drivers</w:t>
            </w:r>
          </w:p>
        </w:tc>
        <w:tc>
          <w:tcPr>
            <w:tcW w:w="1087" w:type="dxa"/>
            <w:vAlign w:val="center"/>
          </w:tcPr>
          <w:p w14:paraId="22CC6A25" w14:textId="77777777" w:rsidR="00DF54C7" w:rsidRPr="00EA67AF" w:rsidRDefault="00DF54C7" w:rsidP="00DF54C7">
            <w:pPr>
              <w:keepNext/>
              <w:keepLines/>
              <w:spacing w:before="100" w:beforeAutospacing="1" w:afterAutospacing="1"/>
              <w:jc w:val="center"/>
              <w:rPr>
                <w:sz w:val="20"/>
                <w:szCs w:val="20"/>
              </w:rPr>
            </w:pPr>
            <w:r w:rsidRPr="00EA67AF">
              <w:rPr>
                <w:sz w:val="20"/>
                <w:szCs w:val="20"/>
              </w:rPr>
              <w:t>13,900</w:t>
            </w:r>
          </w:p>
        </w:tc>
        <w:tc>
          <w:tcPr>
            <w:tcW w:w="1121" w:type="dxa"/>
            <w:vAlign w:val="center"/>
          </w:tcPr>
          <w:p w14:paraId="1710D706" w14:textId="578B7F41" w:rsidR="00DF54C7" w:rsidRPr="00EA67AF" w:rsidRDefault="00DF54C7" w:rsidP="00DF54C7">
            <w:pPr>
              <w:keepNext/>
              <w:keepLines/>
              <w:spacing w:before="100" w:beforeAutospacing="1" w:afterAutospacing="1"/>
              <w:jc w:val="center"/>
              <w:rPr>
                <w:sz w:val="20"/>
                <w:szCs w:val="20"/>
              </w:rPr>
            </w:pPr>
            <w:r w:rsidRPr="00EA67AF">
              <w:rPr>
                <w:sz w:val="20"/>
                <w:szCs w:val="20"/>
              </w:rPr>
              <w:t>-510</w:t>
            </w:r>
          </w:p>
        </w:tc>
        <w:tc>
          <w:tcPr>
            <w:tcW w:w="1121" w:type="dxa"/>
            <w:vAlign w:val="center"/>
          </w:tcPr>
          <w:p w14:paraId="7C15C2E3" w14:textId="00C62C4D" w:rsidR="00DF54C7" w:rsidRPr="00EA67AF" w:rsidRDefault="00DF54C7" w:rsidP="00DF54C7">
            <w:pPr>
              <w:keepNext/>
              <w:keepLines/>
              <w:spacing w:before="100" w:beforeAutospacing="1" w:afterAutospacing="1"/>
              <w:jc w:val="center"/>
              <w:rPr>
                <w:sz w:val="20"/>
                <w:szCs w:val="20"/>
              </w:rPr>
            </w:pPr>
            <w:r w:rsidRPr="00EA67AF">
              <w:rPr>
                <w:sz w:val="20"/>
                <w:szCs w:val="20"/>
              </w:rPr>
              <w:t>-3.7%</w:t>
            </w:r>
          </w:p>
        </w:tc>
        <w:tc>
          <w:tcPr>
            <w:tcW w:w="1824" w:type="dxa"/>
            <w:vAlign w:val="center"/>
          </w:tcPr>
          <w:p w14:paraId="69E28A21" w14:textId="25B6BEB9" w:rsidR="00DF54C7" w:rsidRPr="00EA67AF" w:rsidRDefault="00DF54C7" w:rsidP="00DF54C7">
            <w:pPr>
              <w:keepNext/>
              <w:keepLines/>
              <w:spacing w:before="100" w:beforeAutospacing="1" w:afterAutospacing="1"/>
              <w:jc w:val="center"/>
              <w:rPr>
                <w:sz w:val="20"/>
                <w:szCs w:val="20"/>
              </w:rPr>
            </w:pPr>
            <w:r w:rsidRPr="00EA67AF">
              <w:rPr>
                <w:sz w:val="20"/>
                <w:szCs w:val="20"/>
              </w:rPr>
              <w:t>1.4%</w:t>
            </w:r>
          </w:p>
        </w:tc>
      </w:tr>
      <w:tr w:rsidR="00DF54C7" w:rsidRPr="00EA67AF" w14:paraId="06C5FFE0" w14:textId="77777777" w:rsidTr="00DF54C7">
        <w:trPr>
          <w:cnfStyle w:val="000000010000" w:firstRow="0" w:lastRow="0" w:firstColumn="0" w:lastColumn="0" w:oddVBand="0" w:evenVBand="0" w:oddHBand="0" w:evenHBand="1" w:firstRowFirstColumn="0" w:firstRowLastColumn="0" w:lastRowFirstColumn="0" w:lastRowLastColumn="0"/>
          <w:trHeight w:val="115"/>
        </w:trPr>
        <w:tc>
          <w:tcPr>
            <w:tcW w:w="3828" w:type="dxa"/>
            <w:tcBorders>
              <w:bottom w:val="nil"/>
            </w:tcBorders>
            <w:vAlign w:val="center"/>
          </w:tcPr>
          <w:p w14:paraId="70D88968" w14:textId="77777777" w:rsidR="00DF54C7" w:rsidRPr="00EA67AF" w:rsidRDefault="00DF54C7" w:rsidP="00DF54C7">
            <w:pPr>
              <w:keepNext/>
              <w:keepLines/>
              <w:spacing w:before="100" w:beforeAutospacing="1" w:afterAutospacing="1"/>
              <w:rPr>
                <w:sz w:val="20"/>
                <w:szCs w:val="20"/>
                <w:lang w:eastAsia="en-AU"/>
              </w:rPr>
            </w:pPr>
            <w:r w:rsidRPr="00EA67AF">
              <w:rPr>
                <w:sz w:val="20"/>
                <w:szCs w:val="20"/>
                <w:lang w:eastAsia="en-AU"/>
              </w:rPr>
              <w:t>Labourers</w:t>
            </w:r>
          </w:p>
        </w:tc>
        <w:tc>
          <w:tcPr>
            <w:tcW w:w="1087" w:type="dxa"/>
            <w:tcBorders>
              <w:bottom w:val="nil"/>
            </w:tcBorders>
            <w:vAlign w:val="center"/>
          </w:tcPr>
          <w:p w14:paraId="3E1C3BF7" w14:textId="77777777" w:rsidR="00DF54C7" w:rsidRPr="00EA67AF" w:rsidRDefault="00DF54C7" w:rsidP="00DF54C7">
            <w:pPr>
              <w:keepNext/>
              <w:keepLines/>
              <w:spacing w:before="100" w:beforeAutospacing="1" w:afterAutospacing="1"/>
              <w:jc w:val="center"/>
              <w:rPr>
                <w:sz w:val="20"/>
                <w:szCs w:val="20"/>
              </w:rPr>
            </w:pPr>
            <w:r w:rsidRPr="00EA67AF">
              <w:rPr>
                <w:sz w:val="20"/>
                <w:szCs w:val="20"/>
              </w:rPr>
              <w:t>15,200</w:t>
            </w:r>
          </w:p>
        </w:tc>
        <w:tc>
          <w:tcPr>
            <w:tcW w:w="1121" w:type="dxa"/>
            <w:tcBorders>
              <w:bottom w:val="nil"/>
            </w:tcBorders>
            <w:vAlign w:val="center"/>
          </w:tcPr>
          <w:p w14:paraId="5C353CD5" w14:textId="1D9DC83E" w:rsidR="00DF54C7" w:rsidRPr="00EA67AF" w:rsidRDefault="00DF54C7" w:rsidP="00DF54C7">
            <w:pPr>
              <w:keepNext/>
              <w:keepLines/>
              <w:spacing w:before="100" w:beforeAutospacing="1" w:afterAutospacing="1"/>
              <w:jc w:val="center"/>
              <w:rPr>
                <w:sz w:val="20"/>
                <w:szCs w:val="20"/>
              </w:rPr>
            </w:pPr>
            <w:r w:rsidRPr="00EA67AF">
              <w:rPr>
                <w:sz w:val="20"/>
                <w:szCs w:val="20"/>
              </w:rPr>
              <w:t>-200</w:t>
            </w:r>
          </w:p>
        </w:tc>
        <w:tc>
          <w:tcPr>
            <w:tcW w:w="1121" w:type="dxa"/>
            <w:tcBorders>
              <w:bottom w:val="nil"/>
            </w:tcBorders>
            <w:vAlign w:val="center"/>
          </w:tcPr>
          <w:p w14:paraId="016BA9E0" w14:textId="495F6A57" w:rsidR="00DF54C7" w:rsidRPr="00EA67AF" w:rsidRDefault="00DF54C7" w:rsidP="00DF54C7">
            <w:pPr>
              <w:keepNext/>
              <w:keepLines/>
              <w:spacing w:before="100" w:beforeAutospacing="1" w:afterAutospacing="1"/>
              <w:jc w:val="center"/>
              <w:rPr>
                <w:sz w:val="20"/>
                <w:szCs w:val="20"/>
              </w:rPr>
            </w:pPr>
            <w:r w:rsidRPr="00EA67AF">
              <w:rPr>
                <w:sz w:val="20"/>
                <w:szCs w:val="20"/>
              </w:rPr>
              <w:t>-1.3%</w:t>
            </w:r>
          </w:p>
        </w:tc>
        <w:tc>
          <w:tcPr>
            <w:tcW w:w="1824" w:type="dxa"/>
            <w:tcBorders>
              <w:bottom w:val="nil"/>
            </w:tcBorders>
            <w:vAlign w:val="center"/>
          </w:tcPr>
          <w:p w14:paraId="1A609878" w14:textId="458D87FB" w:rsidR="00DF54C7" w:rsidRPr="00EA67AF" w:rsidRDefault="00DF54C7" w:rsidP="00DF54C7">
            <w:pPr>
              <w:keepNext/>
              <w:keepLines/>
              <w:spacing w:before="100" w:beforeAutospacing="1" w:afterAutospacing="1"/>
              <w:jc w:val="center"/>
              <w:rPr>
                <w:sz w:val="20"/>
                <w:szCs w:val="20"/>
              </w:rPr>
            </w:pPr>
            <w:r w:rsidRPr="00EA67AF">
              <w:rPr>
                <w:sz w:val="20"/>
                <w:szCs w:val="20"/>
              </w:rPr>
              <w:t>1.2%</w:t>
            </w:r>
          </w:p>
        </w:tc>
      </w:tr>
      <w:tr w:rsidR="003815A2" w:rsidRPr="00EA67AF" w14:paraId="540AF25E" w14:textId="77777777" w:rsidTr="00DF54C7">
        <w:trPr>
          <w:trHeight w:val="132"/>
        </w:trPr>
        <w:tc>
          <w:tcPr>
            <w:tcW w:w="3828" w:type="dxa"/>
            <w:tcBorders>
              <w:bottom w:val="single" w:sz="4" w:space="0" w:color="auto"/>
            </w:tcBorders>
            <w:vAlign w:val="center"/>
          </w:tcPr>
          <w:p w14:paraId="74F5EFE7" w14:textId="77777777" w:rsidR="003815A2" w:rsidRPr="00EA67AF" w:rsidRDefault="003815A2" w:rsidP="00B065C1">
            <w:pPr>
              <w:keepNext/>
              <w:keepLines/>
              <w:spacing w:before="100" w:beforeAutospacing="1" w:afterAutospacing="1"/>
              <w:rPr>
                <w:b/>
                <w:bCs/>
                <w:sz w:val="20"/>
                <w:szCs w:val="20"/>
                <w:lang w:eastAsia="en-AU"/>
              </w:rPr>
            </w:pPr>
            <w:r w:rsidRPr="00EA67AF">
              <w:rPr>
                <w:b/>
                <w:bCs/>
                <w:sz w:val="20"/>
                <w:szCs w:val="20"/>
                <w:lang w:eastAsia="en-AU"/>
              </w:rPr>
              <w:t>ALL OCCUPATIONS</w:t>
            </w:r>
          </w:p>
        </w:tc>
        <w:tc>
          <w:tcPr>
            <w:tcW w:w="1087" w:type="dxa"/>
            <w:tcBorders>
              <w:bottom w:val="single" w:sz="4" w:space="0" w:color="auto"/>
            </w:tcBorders>
            <w:vAlign w:val="center"/>
          </w:tcPr>
          <w:p w14:paraId="1A0169F8" w14:textId="1BBEE28A" w:rsidR="003815A2" w:rsidRPr="00EA67AF" w:rsidRDefault="003815A2" w:rsidP="00DF54C7">
            <w:pPr>
              <w:keepNext/>
              <w:keepLines/>
              <w:spacing w:before="100" w:beforeAutospacing="1" w:afterAutospacing="1"/>
              <w:jc w:val="center"/>
              <w:rPr>
                <w:b/>
                <w:bCs/>
                <w:sz w:val="20"/>
                <w:szCs w:val="20"/>
              </w:rPr>
            </w:pPr>
            <w:r w:rsidRPr="00EA67AF">
              <w:rPr>
                <w:b/>
                <w:bCs/>
                <w:sz w:val="20"/>
                <w:szCs w:val="20"/>
              </w:rPr>
              <w:t>2</w:t>
            </w:r>
            <w:r w:rsidR="0083617B" w:rsidRPr="00EA67AF">
              <w:rPr>
                <w:b/>
                <w:bCs/>
                <w:sz w:val="20"/>
                <w:szCs w:val="20"/>
              </w:rPr>
              <w:t>49</w:t>
            </w:r>
            <w:r w:rsidRPr="00EA67AF">
              <w:rPr>
                <w:b/>
                <w:bCs/>
                <w:sz w:val="20"/>
                <w:szCs w:val="20"/>
              </w:rPr>
              <w:t>,</w:t>
            </w:r>
            <w:r w:rsidR="0083617B" w:rsidRPr="00EA67AF">
              <w:rPr>
                <w:b/>
                <w:bCs/>
                <w:sz w:val="20"/>
                <w:szCs w:val="20"/>
              </w:rPr>
              <w:t>0</w:t>
            </w:r>
            <w:r w:rsidRPr="00EA67AF">
              <w:rPr>
                <w:b/>
                <w:bCs/>
                <w:sz w:val="20"/>
                <w:szCs w:val="20"/>
              </w:rPr>
              <w:t>00</w:t>
            </w:r>
          </w:p>
        </w:tc>
        <w:tc>
          <w:tcPr>
            <w:tcW w:w="1121" w:type="dxa"/>
            <w:tcBorders>
              <w:bottom w:val="single" w:sz="4" w:space="0" w:color="auto"/>
            </w:tcBorders>
            <w:vAlign w:val="center"/>
          </w:tcPr>
          <w:p w14:paraId="434B0052" w14:textId="7DFF153C" w:rsidR="003815A2" w:rsidRPr="00EA67AF" w:rsidRDefault="003815A2" w:rsidP="00DF54C7">
            <w:pPr>
              <w:keepNext/>
              <w:keepLines/>
              <w:spacing w:before="100" w:beforeAutospacing="1" w:afterAutospacing="1"/>
              <w:jc w:val="center"/>
              <w:rPr>
                <w:b/>
                <w:bCs/>
                <w:sz w:val="20"/>
                <w:szCs w:val="20"/>
              </w:rPr>
            </w:pPr>
            <w:r w:rsidRPr="00EA67AF">
              <w:rPr>
                <w:b/>
                <w:bCs/>
                <w:sz w:val="20"/>
                <w:szCs w:val="20"/>
              </w:rPr>
              <w:t>-</w:t>
            </w:r>
            <w:r w:rsidR="0083617B" w:rsidRPr="00EA67AF">
              <w:rPr>
                <w:b/>
                <w:bCs/>
                <w:sz w:val="20"/>
                <w:szCs w:val="20"/>
              </w:rPr>
              <w:t>10</w:t>
            </w:r>
            <w:r w:rsidRPr="00EA67AF">
              <w:rPr>
                <w:b/>
                <w:bCs/>
                <w:sz w:val="20"/>
                <w:szCs w:val="20"/>
              </w:rPr>
              <w:t>,</w:t>
            </w:r>
            <w:r w:rsidR="0083617B" w:rsidRPr="00EA67AF">
              <w:rPr>
                <w:b/>
                <w:bCs/>
                <w:sz w:val="20"/>
                <w:szCs w:val="20"/>
              </w:rPr>
              <w:t>6</w:t>
            </w:r>
            <w:r w:rsidRPr="00EA67AF">
              <w:rPr>
                <w:b/>
                <w:bCs/>
                <w:sz w:val="20"/>
                <w:szCs w:val="20"/>
              </w:rPr>
              <w:t>00</w:t>
            </w:r>
          </w:p>
        </w:tc>
        <w:tc>
          <w:tcPr>
            <w:tcW w:w="1121" w:type="dxa"/>
            <w:tcBorders>
              <w:bottom w:val="single" w:sz="4" w:space="0" w:color="auto"/>
            </w:tcBorders>
            <w:vAlign w:val="center"/>
          </w:tcPr>
          <w:p w14:paraId="2F583098" w14:textId="27C9C3BD" w:rsidR="003815A2" w:rsidRPr="00EA67AF" w:rsidRDefault="003815A2" w:rsidP="00DF54C7">
            <w:pPr>
              <w:keepNext/>
              <w:keepLines/>
              <w:spacing w:before="100" w:beforeAutospacing="1" w:afterAutospacing="1"/>
              <w:jc w:val="center"/>
              <w:rPr>
                <w:b/>
                <w:bCs/>
                <w:sz w:val="20"/>
                <w:szCs w:val="20"/>
              </w:rPr>
            </w:pPr>
            <w:r w:rsidRPr="00EA67AF">
              <w:rPr>
                <w:b/>
                <w:bCs/>
                <w:sz w:val="20"/>
                <w:szCs w:val="20"/>
              </w:rPr>
              <w:t>-</w:t>
            </w:r>
            <w:r w:rsidR="0083617B" w:rsidRPr="00EA67AF">
              <w:rPr>
                <w:b/>
                <w:bCs/>
                <w:sz w:val="20"/>
                <w:szCs w:val="20"/>
              </w:rPr>
              <w:t>4</w:t>
            </w:r>
            <w:r w:rsidRPr="00EA67AF">
              <w:rPr>
                <w:b/>
                <w:bCs/>
                <w:sz w:val="20"/>
                <w:szCs w:val="20"/>
              </w:rPr>
              <w:t>.</w:t>
            </w:r>
            <w:r w:rsidR="0083617B" w:rsidRPr="00EA67AF">
              <w:rPr>
                <w:b/>
                <w:bCs/>
                <w:sz w:val="20"/>
                <w:szCs w:val="20"/>
              </w:rPr>
              <w:t>1</w:t>
            </w:r>
            <w:r w:rsidRPr="00EA67AF">
              <w:rPr>
                <w:b/>
                <w:bCs/>
                <w:sz w:val="20"/>
                <w:szCs w:val="20"/>
              </w:rPr>
              <w:t>%</w:t>
            </w:r>
          </w:p>
        </w:tc>
        <w:tc>
          <w:tcPr>
            <w:tcW w:w="1824" w:type="dxa"/>
            <w:tcBorders>
              <w:bottom w:val="single" w:sz="4" w:space="0" w:color="auto"/>
            </w:tcBorders>
            <w:vAlign w:val="center"/>
          </w:tcPr>
          <w:p w14:paraId="654CF2C9" w14:textId="027382B8" w:rsidR="003815A2" w:rsidRPr="00EA67AF" w:rsidRDefault="003815A2" w:rsidP="00DF54C7">
            <w:pPr>
              <w:keepNext/>
              <w:keepLines/>
              <w:spacing w:before="100" w:beforeAutospacing="1" w:afterAutospacing="1"/>
              <w:jc w:val="center"/>
              <w:rPr>
                <w:b/>
                <w:bCs/>
                <w:sz w:val="20"/>
                <w:szCs w:val="20"/>
              </w:rPr>
            </w:pPr>
            <w:r w:rsidRPr="00EA67AF">
              <w:rPr>
                <w:b/>
                <w:bCs/>
                <w:sz w:val="20"/>
                <w:szCs w:val="20"/>
              </w:rPr>
              <w:t>1.</w:t>
            </w:r>
            <w:r w:rsidR="0083617B" w:rsidRPr="00EA67AF">
              <w:rPr>
                <w:b/>
                <w:bCs/>
                <w:sz w:val="20"/>
                <w:szCs w:val="20"/>
              </w:rPr>
              <w:t>7</w:t>
            </w:r>
            <w:r w:rsidRPr="00EA67AF">
              <w:rPr>
                <w:b/>
                <w:bCs/>
                <w:sz w:val="20"/>
                <w:szCs w:val="20"/>
              </w:rPr>
              <w:t xml:space="preserve">% </w:t>
            </w:r>
            <w:r w:rsidRPr="00EA67AF">
              <w:rPr>
                <w:b/>
                <w:bCs/>
                <w:i/>
                <w:iCs/>
                <w:sz w:val="18"/>
                <w:szCs w:val="18"/>
              </w:rPr>
              <w:t>(</w:t>
            </w:r>
            <w:r w:rsidR="0083617B" w:rsidRPr="00EA67AF">
              <w:rPr>
                <w:b/>
                <w:bCs/>
                <w:i/>
                <w:iCs/>
                <w:sz w:val="18"/>
                <w:szCs w:val="18"/>
              </w:rPr>
              <w:t>Mar</w:t>
            </w:r>
            <w:r w:rsidR="0053215B" w:rsidRPr="00EA67AF">
              <w:rPr>
                <w:b/>
                <w:bCs/>
                <w:i/>
                <w:iCs/>
                <w:sz w:val="18"/>
                <w:szCs w:val="18"/>
              </w:rPr>
              <w:t>-</w:t>
            </w:r>
            <w:r w:rsidRPr="00EA67AF">
              <w:rPr>
                <w:b/>
                <w:bCs/>
                <w:i/>
                <w:iCs/>
                <w:sz w:val="18"/>
                <w:szCs w:val="18"/>
              </w:rPr>
              <w:t>2</w:t>
            </w:r>
            <w:r w:rsidR="0083617B" w:rsidRPr="00EA67AF">
              <w:rPr>
                <w:b/>
                <w:bCs/>
                <w:i/>
                <w:iCs/>
                <w:sz w:val="18"/>
                <w:szCs w:val="18"/>
              </w:rPr>
              <w:t>4</w:t>
            </w:r>
            <w:r w:rsidRPr="00EA67AF">
              <w:rPr>
                <w:b/>
                <w:bCs/>
                <w:i/>
                <w:iCs/>
                <w:sz w:val="18"/>
                <w:szCs w:val="18"/>
              </w:rPr>
              <w:t>)</w:t>
            </w:r>
          </w:p>
        </w:tc>
      </w:tr>
    </w:tbl>
    <w:p w14:paraId="2B16608B" w14:textId="094F8CD0" w:rsidR="003815A2" w:rsidRPr="00B93C08" w:rsidRDefault="003815A2" w:rsidP="00EA67AF">
      <w:pPr>
        <w:pStyle w:val="Source"/>
        <w:keepNext/>
        <w:keepLines/>
        <w:spacing w:before="0"/>
      </w:pPr>
      <w:r w:rsidRPr="00EA67AF">
        <w:t>Source: ABS, Labour Force</w:t>
      </w:r>
      <w:r w:rsidR="0042089A" w:rsidRPr="00EA67AF">
        <w:t>,</w:t>
      </w:r>
      <w:r w:rsidRPr="00EA67AF">
        <w:t xml:space="preserve"> Australia</w:t>
      </w:r>
      <w:r w:rsidR="0042089A" w:rsidRPr="00EA67AF">
        <w:t>,</w:t>
      </w:r>
      <w:r w:rsidRPr="00EA67AF">
        <w:t xml:space="preserve"> Detailed, </w:t>
      </w:r>
      <w:r w:rsidR="00DF54C7" w:rsidRPr="00EA67AF">
        <w:t>February</w:t>
      </w:r>
      <w:r w:rsidRPr="00EA67AF">
        <w:t xml:space="preserve"> 202</w:t>
      </w:r>
      <w:r w:rsidR="00DF54C7" w:rsidRPr="00EA67AF">
        <w:t>4</w:t>
      </w:r>
      <w:r w:rsidRPr="00EA67AF">
        <w:t>, original data; ABS, Labour Force</w:t>
      </w:r>
      <w:r w:rsidR="0042089A" w:rsidRPr="00EA67AF">
        <w:t>,</w:t>
      </w:r>
      <w:r w:rsidRPr="00EA67AF">
        <w:t xml:space="preserve"> Australia, </w:t>
      </w:r>
      <w:r w:rsidR="00DF54C7" w:rsidRPr="00EA67AF">
        <w:t>March</w:t>
      </w:r>
      <w:r w:rsidRPr="00EA67AF">
        <w:t xml:space="preserve"> 202</w:t>
      </w:r>
      <w:r w:rsidR="00DF54C7" w:rsidRPr="00EA67AF">
        <w:t>4</w:t>
      </w:r>
      <w:r w:rsidRPr="00EA67AF">
        <w:t xml:space="preserve">, seasonally adjusted data; </w:t>
      </w:r>
      <w:r w:rsidR="00E26FD9" w:rsidRPr="00EA67AF">
        <w:t>JSA</w:t>
      </w:r>
      <w:r w:rsidRPr="00EA67AF">
        <w:t xml:space="preserve">, Internet Vacancy Index, </w:t>
      </w:r>
      <w:r w:rsidR="00DF54C7" w:rsidRPr="00EA67AF">
        <w:t>March</w:t>
      </w:r>
      <w:r w:rsidRPr="00EA67AF">
        <w:t xml:space="preserve"> 202</w:t>
      </w:r>
      <w:r w:rsidR="00DF54C7" w:rsidRPr="00EA67AF">
        <w:t>4</w:t>
      </w:r>
      <w:r w:rsidRPr="00EA67AF">
        <w:t>, seasonally adjusted data.</w:t>
      </w:r>
    </w:p>
    <w:p w14:paraId="744F58A6" w14:textId="4220F468" w:rsidR="00253EE4" w:rsidRPr="00B93C08" w:rsidRDefault="00253EE4" w:rsidP="00253EE4">
      <w:pPr>
        <w:pStyle w:val="Heading3"/>
      </w:pPr>
      <w:bookmarkStart w:id="77" w:name="_Toc166140514"/>
      <w:r w:rsidRPr="00B93C08">
        <w:t>Recruitment difficulty</w:t>
      </w:r>
      <w:r w:rsidR="00DF7437" w:rsidRPr="00B93C08">
        <w:t xml:space="preserve"> by occupation</w:t>
      </w:r>
      <w:bookmarkEnd w:id="77"/>
    </w:p>
    <w:p w14:paraId="793FB6CD" w14:textId="001A8662" w:rsidR="00DD6B3B" w:rsidRPr="00EA67AF" w:rsidRDefault="00DD6B3B" w:rsidP="00DD6B3B">
      <w:pPr>
        <w:pStyle w:val="ChartandTablelabel"/>
        <w:spacing w:after="100" w:line="264" w:lineRule="auto"/>
        <w:rPr>
          <w:rFonts w:asciiTheme="minorHAnsi" w:hAnsiTheme="minorHAnsi"/>
          <w:b w:val="0"/>
          <w:color w:val="auto"/>
          <w:sz w:val="22"/>
          <w:lang w:val="en-AU"/>
        </w:rPr>
      </w:pPr>
      <w:r w:rsidRPr="00EA67AF">
        <w:rPr>
          <w:rFonts w:asciiTheme="minorHAnsi" w:hAnsiTheme="minorHAnsi"/>
          <w:b w:val="0"/>
          <w:color w:val="auto"/>
          <w:sz w:val="22"/>
          <w:lang w:val="en-AU"/>
        </w:rPr>
        <w:t>The recruitment difficulty experienced by employers looking to fill different occupations fell across most categories between March quarter 2023 and March quarter 2024 (Figure 2</w:t>
      </w:r>
      <w:r w:rsidR="00E479A1" w:rsidRPr="00EA67AF">
        <w:rPr>
          <w:rFonts w:asciiTheme="minorHAnsi" w:hAnsiTheme="minorHAnsi"/>
          <w:b w:val="0"/>
          <w:color w:val="auto"/>
          <w:sz w:val="22"/>
          <w:lang w:val="en-AU"/>
        </w:rPr>
        <w:t>4</w:t>
      </w:r>
      <w:r w:rsidRPr="00EA67AF">
        <w:rPr>
          <w:rFonts w:asciiTheme="minorHAnsi" w:hAnsiTheme="minorHAnsi"/>
          <w:b w:val="0"/>
          <w:color w:val="auto"/>
          <w:sz w:val="22"/>
          <w:lang w:val="en-AU"/>
        </w:rPr>
        <w:t xml:space="preserve">). Technicians </w:t>
      </w:r>
      <w:r w:rsidRPr="00EA67AF">
        <w:rPr>
          <w:rFonts w:asciiTheme="minorHAnsi" w:hAnsiTheme="minorHAnsi"/>
          <w:b w:val="0"/>
          <w:color w:val="auto"/>
          <w:sz w:val="22"/>
          <w:lang w:val="en-AU"/>
        </w:rPr>
        <w:lastRenderedPageBreak/>
        <w:t>and Trade Workers was the only occupation group to experience an increase in recruitment difficulty over the year to March 2024, rising by 2 percentage points to 71%.</w:t>
      </w:r>
    </w:p>
    <w:p w14:paraId="1C54C046" w14:textId="77777777" w:rsidR="00DD6B3B" w:rsidRPr="00EA67AF" w:rsidRDefault="00DD6B3B" w:rsidP="00DD6B3B">
      <w:pPr>
        <w:pStyle w:val="ChartandTablelabel"/>
        <w:spacing w:after="100" w:line="264" w:lineRule="auto"/>
        <w:rPr>
          <w:rFonts w:asciiTheme="minorHAnsi" w:hAnsiTheme="minorHAnsi"/>
          <w:b w:val="0"/>
          <w:color w:val="auto"/>
          <w:sz w:val="22"/>
          <w:lang w:val="en-AU"/>
        </w:rPr>
      </w:pPr>
      <w:r w:rsidRPr="00EA67AF">
        <w:rPr>
          <w:rFonts w:asciiTheme="minorHAnsi" w:hAnsiTheme="minorHAnsi"/>
          <w:b w:val="0"/>
          <w:color w:val="auto"/>
          <w:sz w:val="22"/>
          <w:lang w:val="en-AU"/>
        </w:rPr>
        <w:t xml:space="preserve">The largest decrease in recruitment difficulty over the year to the March quarter 2024 was experienced by employers seeking Labourers (down 23 percentage points to 38%) followed by employers seeking Clerical and Administrative Workers (down 19 percentage points to 33%). </w:t>
      </w:r>
    </w:p>
    <w:p w14:paraId="7A61032F" w14:textId="77777777" w:rsidR="00DD6B3B" w:rsidRPr="00EA67AF" w:rsidRDefault="00DD6B3B" w:rsidP="00DD6B3B">
      <w:pPr>
        <w:pStyle w:val="ChartandTablelabel"/>
        <w:spacing w:after="100" w:line="264" w:lineRule="auto"/>
        <w:rPr>
          <w:rFonts w:asciiTheme="minorHAnsi" w:hAnsiTheme="minorHAnsi"/>
          <w:b w:val="0"/>
          <w:color w:val="auto"/>
          <w:sz w:val="22"/>
          <w:lang w:val="en-AU"/>
        </w:rPr>
      </w:pPr>
      <w:r w:rsidRPr="00EA67AF">
        <w:rPr>
          <w:rFonts w:asciiTheme="minorHAnsi" w:hAnsiTheme="minorHAnsi"/>
          <w:b w:val="0"/>
          <w:color w:val="auto"/>
          <w:sz w:val="22"/>
          <w:lang w:val="en-AU"/>
        </w:rPr>
        <w:t xml:space="preserve">Recruitment of Technicians and Trades Workers continues to be challenging with 71% of employers </w:t>
      </w:r>
      <w:proofErr w:type="gramStart"/>
      <w:r w:rsidRPr="00EA67AF">
        <w:rPr>
          <w:rFonts w:asciiTheme="minorHAnsi" w:hAnsiTheme="minorHAnsi"/>
          <w:b w:val="0"/>
          <w:color w:val="auto"/>
          <w:sz w:val="22"/>
          <w:lang w:val="en-AU"/>
        </w:rPr>
        <w:t>experiencing difficulty</w:t>
      </w:r>
      <w:proofErr w:type="gramEnd"/>
      <w:r w:rsidRPr="00EA67AF">
        <w:rPr>
          <w:rFonts w:asciiTheme="minorHAnsi" w:hAnsiTheme="minorHAnsi"/>
          <w:b w:val="0"/>
          <w:color w:val="auto"/>
          <w:sz w:val="22"/>
          <w:lang w:val="en-AU"/>
        </w:rPr>
        <w:t xml:space="preserve"> in the March quarter 2024 — the highest across all occupations. Historically, employers advertising for Technicians and Trades Workers would experience the highest recruitment difficulty across all major occupation groups and is still the case for the March quarter 2024. The occupation group experiencing the lowest level of recruitment difficulty was Clerical and Administrative Workers at 33%.</w:t>
      </w:r>
    </w:p>
    <w:p w14:paraId="567B858C" w14:textId="77777777" w:rsidR="00DD6B3B" w:rsidRPr="00B93C08" w:rsidRDefault="00DD6B3B">
      <w:pPr>
        <w:spacing w:after="160" w:line="259" w:lineRule="auto"/>
        <w:rPr>
          <w:rFonts w:asciiTheme="minorHAnsi" w:hAnsiTheme="minorHAnsi"/>
          <w:b/>
          <w:color w:val="000000" w:themeColor="text1"/>
          <w:sz w:val="20"/>
          <w:highlight w:val="yellow"/>
        </w:rPr>
      </w:pPr>
      <w:r w:rsidRPr="00B93C08">
        <w:rPr>
          <w:rFonts w:asciiTheme="minorHAnsi" w:hAnsiTheme="minorHAnsi"/>
          <w:highlight w:val="yellow"/>
        </w:rPr>
        <w:br w:type="page"/>
      </w:r>
    </w:p>
    <w:p w14:paraId="75778CE3" w14:textId="374D4354" w:rsidR="00253EE4" w:rsidRPr="00575B04" w:rsidRDefault="00DD6B3B" w:rsidP="00DD6B3B">
      <w:pPr>
        <w:pStyle w:val="ChartandTablelabel"/>
        <w:spacing w:after="100" w:line="264" w:lineRule="auto"/>
        <w:rPr>
          <w:rFonts w:asciiTheme="minorHAnsi" w:hAnsiTheme="minorHAnsi"/>
          <w:lang w:val="en-AU"/>
        </w:rPr>
      </w:pPr>
      <w:r w:rsidRPr="00575B04">
        <w:rPr>
          <w:rFonts w:asciiTheme="minorHAnsi" w:hAnsiTheme="minorHAnsi"/>
          <w:lang w:val="en-AU"/>
        </w:rPr>
        <w:lastRenderedPageBreak/>
        <w:t>Figure 2</w:t>
      </w:r>
      <w:r w:rsidR="005526ED" w:rsidRPr="00575B04">
        <w:rPr>
          <w:rFonts w:asciiTheme="minorHAnsi" w:hAnsiTheme="minorHAnsi"/>
          <w:lang w:val="en-AU"/>
        </w:rPr>
        <w:t>4</w:t>
      </w:r>
      <w:r w:rsidRPr="00575B04">
        <w:rPr>
          <w:rFonts w:asciiTheme="minorHAnsi" w:hAnsiTheme="minorHAnsi"/>
          <w:lang w:val="en-AU"/>
        </w:rPr>
        <w:t>: Quarterly recruitment difficulty rate (proportion of recruiting employers) by major occupation group, March quarter 2023 to March quarter 2024</w:t>
      </w:r>
    </w:p>
    <w:p w14:paraId="7A19EA5F" w14:textId="62A89B46" w:rsidR="00B05B40" w:rsidRPr="00575B04" w:rsidRDefault="00DD6B3B" w:rsidP="00EA67AF">
      <w:pPr>
        <w:pStyle w:val="ChartandTablelabel"/>
        <w:keepNext/>
        <w:spacing w:after="0"/>
        <w:rPr>
          <w:lang w:val="en-AU"/>
        </w:rPr>
      </w:pPr>
      <w:r w:rsidRPr="00575B04">
        <w:rPr>
          <w:noProof/>
          <w:lang w:val="en-AU"/>
        </w:rPr>
        <w:drawing>
          <wp:inline distT="0" distB="0" distL="0" distR="0" wp14:anchorId="7959C9C8" wp14:editId="2AD419DB">
            <wp:extent cx="5731510" cy="2800800"/>
            <wp:effectExtent l="0" t="0" r="2540" b="0"/>
            <wp:docPr id="298831420" name="Chart 1" descr="Figure 24 is a column chart showing recruitment difficulty rates for 7 main occupation groups, excluding Managers, from the March quarter 2023 to the March quarter 2024. All occupation groups, except for Technicians &amp; Trades Workers, recorded a fall in the rate of recruitment difficulty over the year.">
              <a:extLst xmlns:a="http://schemas.openxmlformats.org/drawingml/2006/main">
                <a:ext uri="{FF2B5EF4-FFF2-40B4-BE49-F238E27FC236}">
                  <a16:creationId xmlns:a16="http://schemas.microsoft.com/office/drawing/2014/main" id="{C1BF40E4-0BD8-484E-849F-B7604B16B0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97839D4" w14:textId="6D1100A8" w:rsidR="00253EE4" w:rsidRPr="00B93C08" w:rsidRDefault="00DD6B3B" w:rsidP="00EA67AF">
      <w:pPr>
        <w:pStyle w:val="Source"/>
        <w:spacing w:before="0"/>
        <w:rPr>
          <w:rStyle w:val="normaltextrun"/>
        </w:rPr>
      </w:pPr>
      <w:r w:rsidRPr="00575B04">
        <w:t xml:space="preserve">Source: </w:t>
      </w:r>
      <w:r w:rsidR="00E26FD9" w:rsidRPr="00575B04">
        <w:t>JSA</w:t>
      </w:r>
      <w:r w:rsidRPr="00575B04">
        <w:t>, Recruitment Experiences and Outlook Survey, March 2024.</w:t>
      </w:r>
    </w:p>
    <w:p w14:paraId="0AD02053" w14:textId="77777777" w:rsidR="00260207" w:rsidRPr="00B93C08" w:rsidRDefault="00260207">
      <w:pPr>
        <w:spacing w:after="160" w:line="259" w:lineRule="auto"/>
        <w:rPr>
          <w:rFonts w:eastAsiaTheme="majorEastAsia" w:cstheme="majorBidi"/>
          <w:b/>
          <w:sz w:val="32"/>
          <w:szCs w:val="26"/>
        </w:rPr>
      </w:pPr>
      <w:r w:rsidRPr="00B93C08">
        <w:br w:type="page"/>
      </w:r>
    </w:p>
    <w:bookmarkStart w:id="78" w:name="_Toc151365204"/>
    <w:bookmarkStart w:id="79" w:name="_Toc152324321"/>
    <w:bookmarkStart w:id="80" w:name="_Toc166140515"/>
    <w:bookmarkEnd w:id="69"/>
    <w:bookmarkEnd w:id="70"/>
    <w:bookmarkEnd w:id="71"/>
    <w:bookmarkEnd w:id="76"/>
    <w:p w14:paraId="51C8CE1C" w14:textId="1425EE98" w:rsidR="003815A2" w:rsidRPr="00B93C08" w:rsidRDefault="00260207" w:rsidP="004D11CB">
      <w:pPr>
        <w:pStyle w:val="Heading2"/>
      </w:pPr>
      <w:r w:rsidRPr="00B93C08">
        <w:rPr>
          <w:noProof/>
          <w:color w:val="2B579A"/>
          <w:shd w:val="clear" w:color="auto" w:fill="E6E6E6"/>
          <w14:ligatures w14:val="standard"/>
          <w14:numForm w14:val="lining"/>
          <w14:numSpacing w14:val="proportional"/>
        </w:rPr>
        <w:lastRenderedPageBreak/>
        <mc:AlternateContent>
          <mc:Choice Requires="wpg">
            <w:drawing>
              <wp:anchor distT="0" distB="0" distL="114300" distR="114300" simplePos="0" relativeHeight="251677696" behindDoc="1" locked="0" layoutInCell="1" allowOverlap="1" wp14:anchorId="3F5AB706" wp14:editId="1B7E58DB">
                <wp:simplePos x="0" y="0"/>
                <wp:positionH relativeFrom="margin">
                  <wp:posOffset>-327546</wp:posOffset>
                </wp:positionH>
                <wp:positionV relativeFrom="page">
                  <wp:posOffset>627797</wp:posOffset>
                </wp:positionV>
                <wp:extent cx="6388589" cy="7062716"/>
                <wp:effectExtent l="0" t="0" r="0" b="5080"/>
                <wp:wrapNone/>
                <wp:docPr id="407028653" name="Group 4070286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88589" cy="7062716"/>
                          <a:chOff x="0" y="0"/>
                          <a:chExt cx="5577937" cy="3722400"/>
                        </a:xfrm>
                      </wpg:grpSpPr>
                      <wps:wsp>
                        <wps:cNvPr id="1373675626" name="Rectangle 1373675626">
                          <a:extLst>
                            <a:ext uri="{C183D7F6-B498-43B3-948B-1728B52AA6E4}">
                              <adec:decorative xmlns:adec="http://schemas.microsoft.com/office/drawing/2017/decorative" val="1"/>
                            </a:ext>
                          </a:extLst>
                        </wps:cNvPr>
                        <wps:cNvSpPr/>
                        <wps:spPr>
                          <a:xfrm>
                            <a:off x="0" y="0"/>
                            <a:ext cx="5577937" cy="3721100"/>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rgbClr r="0" g="0" b="0"/>
                          </a:effectRef>
                          <a:fontRef idx="minor">
                            <a:schemeClr val="lt1"/>
                          </a:fontRef>
                        </wps:style>
                        <wps:txbx>
                          <w:txbxContent>
                            <w:p w14:paraId="3792509F" w14:textId="77777777" w:rsidR="00260207" w:rsidRPr="00B93C08" w:rsidRDefault="00260207" w:rsidP="00260207">
                              <w:pPr>
                                <w:pStyle w:val="Bodycopy"/>
                                <w:spacing w:before="160" w:after="0" w:line="276" w:lineRule="auto"/>
                                <w:rPr>
                                  <w14:numForm w14:val="lining"/>
                                  <w14:numSpacing w14:val="proportional"/>
                                </w:rPr>
                              </w:pPr>
                            </w:p>
                          </w:txbxContent>
                        </wps:txbx>
                        <wps:bodyPr spcFirstLastPara="0" wrap="square" lIns="288000" tIns="108000" rIns="144000" bIns="108000" anchor="t">
                          <a:noAutofit/>
                        </wps:bodyPr>
                      </wps:wsp>
                      <wps:wsp>
                        <wps:cNvPr id="1916986810" name="Rectangle 1916986810"/>
                        <wps:cNvSpPr/>
                        <wps:spPr>
                          <a:xfrm>
                            <a:off x="0" y="0"/>
                            <a:ext cx="133350" cy="3722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F5AB706" id="Group 407028653" o:spid="_x0000_s1045" alt="&quot;&quot;" style="position:absolute;margin-left:-25.8pt;margin-top:49.45pt;width:503.05pt;height:556.1pt;z-index:-251638784;mso-position-horizontal-relative:margin;mso-position-vertical-relative:page" coordsize="55779,37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">
                <v:rect id="Rectangle 1373675626" o:spid="_x0000_s1046" alt="&quot;&quot;" style="position:absolute;width:55779;height:37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" fillcolor="#f2f2f2 [3052]" stroked="f" strokeweight="1pt">
                  <v:textbox inset="8mm,3mm,4mm,3mm">
                    <w:txbxContent>
                      <w:p w14:paraId="3792509F" w14:textId="77777777" w:rsidR="00260207" w:rsidRPr="00B93C08" w:rsidRDefault="00260207" w:rsidP="00260207">
                        <w:pPr>
                          <w:pStyle w:val="Bodycopy"/>
                          <w:spacing w:before="160" w:after="0" w:line="276" w:lineRule="auto"/>
                          <w:rPr>
                            <w14:numForm w14:val="lining"/>
                            <w14:numSpacing w14:val="proportional"/>
                          </w:rPr>
                        </w:pPr>
                      </w:p>
                    </w:txbxContent>
                  </v:textbox>
                </v:rect>
                <v:rect id="Rectangle 1916986810" o:spid="_x0000_s1047" style="position:absolute;width:1333;height:37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" fillcolor="#d2de5a [3214]" stroked="f" strokeweight="1pt"/>
                <w10:wrap anchorx="margin" anchory="page"/>
              </v:group>
            </w:pict>
          </mc:Fallback>
        </mc:AlternateContent>
      </w:r>
      <w:r w:rsidR="003815A2" w:rsidRPr="00B93C08">
        <w:t xml:space="preserve">In focus: </w:t>
      </w:r>
      <w:bookmarkEnd w:id="78"/>
      <w:bookmarkEnd w:id="79"/>
      <w:r w:rsidR="00E113D8" w:rsidRPr="00B93C08">
        <w:t xml:space="preserve">BLACK, </w:t>
      </w:r>
      <w:proofErr w:type="gramStart"/>
      <w:r w:rsidR="00E113D8" w:rsidRPr="00B93C08">
        <w:t>WHITE</w:t>
      </w:r>
      <w:proofErr w:type="gramEnd"/>
      <w:r w:rsidR="00E113D8" w:rsidRPr="00B93C08">
        <w:t xml:space="preserve"> and RED ALL OVER</w:t>
      </w:r>
      <w:r w:rsidR="00B51941" w:rsidRPr="00B93C08">
        <w:t xml:space="preserve"> -</w:t>
      </w:r>
      <w:r w:rsidR="00E113D8" w:rsidRPr="00B93C08">
        <w:t xml:space="preserve"> The tipping point for Journalists and Other Writers</w:t>
      </w:r>
      <w:bookmarkEnd w:id="80"/>
    </w:p>
    <w:p w14:paraId="1DC0770E" w14:textId="08027F0F" w:rsidR="004D11CB" w:rsidRPr="00B93C08" w:rsidRDefault="004D11CB" w:rsidP="004D11CB">
      <w:r w:rsidRPr="00B93C08">
        <w:t>Journalism and the news media sector have faced successive disruptions in recent years. Digital technology’s upending of the advertising-driven business model is now coupled with the uncertain role of artificial intelligence, following the recent proliferation of large language models and their deployment in newsrooms.</w:t>
      </w:r>
      <w:r w:rsidRPr="00B93C08">
        <w:rPr>
          <w:rStyle w:val="FootnoteReference"/>
        </w:rPr>
        <w:footnoteReference w:id="16"/>
      </w:r>
      <w:r w:rsidRPr="00B93C08">
        <w:t xml:space="preserve"> Recognising the potential for dramatic change in this sector, </w:t>
      </w:r>
      <w:r w:rsidR="00FA6FF6" w:rsidRPr="00B93C08">
        <w:t>Jobs and Skills Australia analysed labour market conditions for</w:t>
      </w:r>
      <w:r w:rsidRPr="00B93C08">
        <w:t xml:space="preserve"> Journalists and Other Writers, with this occupation covering journalists, copywriters, and editors across both print (physical and online media), radio and television.</w:t>
      </w:r>
      <w:r w:rsidRPr="00B93C08">
        <w:rPr>
          <w:rStyle w:val="FootnoteReference"/>
        </w:rPr>
        <w:footnoteReference w:id="17"/>
      </w:r>
      <w:r w:rsidR="00FA6FF6" w:rsidRPr="00B93C08">
        <w:t xml:space="preserve"> This occupation appears to be at the apex of a tipping point as the sector grapples with a maelstrom of disruption.</w:t>
      </w:r>
    </w:p>
    <w:p w14:paraId="540DFFB5" w14:textId="10F0F162" w:rsidR="00AB3E0A" w:rsidRPr="00B93C08" w:rsidRDefault="00FA6FF6" w:rsidP="004D11CB">
      <w:r w:rsidRPr="00B93C08">
        <w:t xml:space="preserve">Vacancy numbers for Journalists and Other Writers remain at relatively high levels. Over the </w:t>
      </w:r>
      <w:r w:rsidR="00F52872" w:rsidRPr="00B93C08">
        <w:t>5</w:t>
      </w:r>
      <w:r w:rsidRPr="00B93C08">
        <w:t xml:space="preserve"> years to February 2024, internet vacancies have increased by 47.5% (compared with a 39.4% increase for all occupations).</w:t>
      </w:r>
      <w:r w:rsidRPr="00B93C08">
        <w:rPr>
          <w:rStyle w:val="FootnoteReference"/>
        </w:rPr>
        <w:footnoteReference w:id="18"/>
      </w:r>
      <w:r w:rsidR="00AB3E0A" w:rsidRPr="00B93C08">
        <w:t xml:space="preserve"> Since the series high recorded in March 2023 however, internet vacancies have declined by 31.0% (compared with a 21.7% decline for all occupations). This drop in demand has yet to be reflected in the occupation’s employment numbers.</w:t>
      </w:r>
    </w:p>
    <w:p w14:paraId="4779D485" w14:textId="3B2B7500" w:rsidR="005E756C" w:rsidRPr="00B93C08" w:rsidRDefault="005E756C" w:rsidP="004D11CB">
      <w:r w:rsidRPr="00B93C08">
        <w:t>The number of Journalists and Other Writers employed in Australia was stable over the February quarter, growing by 0.6% to around 25,000.</w:t>
      </w:r>
      <w:r w:rsidRPr="00B93C08">
        <w:rPr>
          <w:rStyle w:val="FootnoteReference"/>
        </w:rPr>
        <w:footnoteReference w:id="19"/>
      </w:r>
      <w:r w:rsidRPr="00B93C08">
        <w:t xml:space="preserve"> This is consistent with recent trends for the occupation, with employment remaining relatively unchanged </w:t>
      </w:r>
      <w:r w:rsidR="00F245EF" w:rsidRPr="00B93C08">
        <w:t>over</w:t>
      </w:r>
      <w:r w:rsidRPr="00B93C08">
        <w:t xml:space="preserve"> the past decade, increasing by just 1.6% over this period.</w:t>
      </w:r>
      <w:r w:rsidRPr="00B93C08">
        <w:rPr>
          <w:rStyle w:val="FootnoteReference"/>
        </w:rPr>
        <w:footnoteReference w:id="20"/>
      </w:r>
    </w:p>
    <w:p w14:paraId="7FDEB964" w14:textId="03531BAE" w:rsidR="00D412CC" w:rsidRPr="00B93C08" w:rsidRDefault="00D412CC" w:rsidP="004D11CB">
      <w:r w:rsidRPr="00B93C08">
        <w:t>Employment data showing innocuous stability for a sector experiencing successive disruptions may mask more concerning dynamics. Administrative occupation mobility data indicates a</w:t>
      </w:r>
      <w:r w:rsidR="00F245EF" w:rsidRPr="00B93C08">
        <w:t xml:space="preserve"> negative</w:t>
      </w:r>
      <w:r w:rsidRPr="00B93C08">
        <w:t xml:space="preserve"> net average annual inflow (-1.0%) of workers into Journalists and Other Writer occupations between 2011 and 2020, with the last substantial annual net inflow occurring in the 2011-12 financial year.</w:t>
      </w:r>
      <w:r w:rsidRPr="00B93C08">
        <w:rPr>
          <w:rStyle w:val="FootnoteReference"/>
        </w:rPr>
        <w:footnoteReference w:id="21"/>
      </w:r>
      <w:r w:rsidRPr="00B93C08">
        <w:t xml:space="preserve"> The bulk of the outflows have come from the subcategory of Print Journalist.</w:t>
      </w:r>
      <w:r w:rsidRPr="00B93C08">
        <w:rPr>
          <w:rStyle w:val="FootnoteReference"/>
        </w:rPr>
        <w:footnoteReference w:id="22"/>
      </w:r>
      <w:r w:rsidRPr="00B93C08">
        <w:t xml:space="preserve"> </w:t>
      </w:r>
      <w:r w:rsidRPr="00B93C08">
        <w:lastRenderedPageBreak/>
        <w:t>This indicates that, since 2011-12, outflows of journalists from the profession have been greater than inflow, though data is not currently available covering the post</w:t>
      </w:r>
      <w:r w:rsidR="0015291E" w:rsidRPr="00B93C08">
        <w:t>-</w:t>
      </w:r>
      <w:r w:rsidR="000F2DD4" w:rsidRPr="00B93C08">
        <w:t>pandemic period.</w:t>
      </w:r>
    </w:p>
    <w:p w14:paraId="50D4077D" w14:textId="77777777" w:rsidR="000F2DD4" w:rsidRPr="00B93C08" w:rsidRDefault="000F2DD4" w:rsidP="000F2DD4">
      <w:r w:rsidRPr="00B93C08">
        <w:t>Media organisations are responding to the upheavals. Highly publicised redundancies occurred at major Australian media organisations during 2023. News Corp Australia reportedly made 200 workers redundant amid the organisation’s worldwide personnel reduction.</w:t>
      </w:r>
      <w:r w:rsidRPr="00B93C08">
        <w:rPr>
          <w:rStyle w:val="FootnoteReference"/>
        </w:rPr>
        <w:footnoteReference w:id="23"/>
      </w:r>
      <w:r w:rsidRPr="00B93C08">
        <w:t xml:space="preserve"> Also, the Australian Broadcasting Corporation made 120 roles redundant.</w:t>
      </w:r>
      <w:r w:rsidRPr="00B93C08">
        <w:rPr>
          <w:rStyle w:val="FootnoteReference"/>
        </w:rPr>
        <w:footnoteReference w:id="24"/>
      </w:r>
      <w:r w:rsidRPr="00B93C08">
        <w:t xml:space="preserve"> Technological advancements are also being utilised as a cost saving measure. News Corp Australia’s executive chair revealed in August 2023 that the media giant has been producing a staggering 3,000 news articles a week through generative artificial intelligence.</w:t>
      </w:r>
      <w:r w:rsidRPr="00B93C08">
        <w:rPr>
          <w:rStyle w:val="FootnoteReference"/>
        </w:rPr>
        <w:footnoteReference w:id="25"/>
      </w:r>
      <w:r w:rsidRPr="00B93C08">
        <w:t xml:space="preserve"> Since </w:t>
      </w:r>
    </w:p>
    <w:p w14:paraId="60A22E47" w14:textId="77777777" w:rsidR="000F2DD4" w:rsidRPr="00B93C08" w:rsidRDefault="000F2DD4" w:rsidP="000F2DD4"/>
    <w:p w14:paraId="6178669E" w14:textId="48B2E219" w:rsidR="000F2DD4" w:rsidRPr="00B93C08" w:rsidRDefault="000F2DD4" w:rsidP="000F2DD4">
      <w:r w:rsidRPr="00B93C08">
        <w:rPr>
          <w:noProof/>
          <w:color w:val="2B579A"/>
          <w:shd w:val="clear" w:color="auto" w:fill="E6E6E6"/>
          <w14:ligatures w14:val="standard"/>
          <w14:numForm w14:val="lining"/>
          <w14:numSpacing w14:val="proportional"/>
        </w:rPr>
        <mc:AlternateContent>
          <mc:Choice Requires="wpg">
            <w:drawing>
              <wp:anchor distT="0" distB="0" distL="114300" distR="114300" simplePos="0" relativeHeight="251687936" behindDoc="1" locked="0" layoutInCell="1" allowOverlap="1" wp14:anchorId="163C7616" wp14:editId="4BF75C6F">
                <wp:simplePos x="0" y="0"/>
                <wp:positionH relativeFrom="margin">
                  <wp:posOffset>-318052</wp:posOffset>
                </wp:positionH>
                <wp:positionV relativeFrom="page">
                  <wp:posOffset>811032</wp:posOffset>
                </wp:positionV>
                <wp:extent cx="6388100" cy="3649649"/>
                <wp:effectExtent l="0" t="0" r="0" b="8255"/>
                <wp:wrapNone/>
                <wp:docPr id="2098032726" name="Group 20980327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88100" cy="3649649"/>
                          <a:chOff x="0" y="0"/>
                          <a:chExt cx="5577937" cy="3722400"/>
                        </a:xfrm>
                      </wpg:grpSpPr>
                      <wps:wsp>
                        <wps:cNvPr id="24264473" name="Rectangle 24264473">
                          <a:extLst>
                            <a:ext uri="{C183D7F6-B498-43B3-948B-1728B52AA6E4}">
                              <adec:decorative xmlns:adec="http://schemas.microsoft.com/office/drawing/2017/decorative" val="1"/>
                            </a:ext>
                          </a:extLst>
                        </wps:cNvPr>
                        <wps:cNvSpPr/>
                        <wps:spPr>
                          <a:xfrm>
                            <a:off x="0" y="0"/>
                            <a:ext cx="5577937" cy="3721100"/>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rgbClr r="0" g="0" b="0"/>
                          </a:effectRef>
                          <a:fontRef idx="minor">
                            <a:schemeClr val="lt1"/>
                          </a:fontRef>
                        </wps:style>
                        <wps:txbx>
                          <w:txbxContent>
                            <w:p w14:paraId="1A427F0D" w14:textId="77777777" w:rsidR="000F2DD4" w:rsidRPr="00B93C08" w:rsidRDefault="000F2DD4" w:rsidP="000F2DD4">
                              <w:pPr>
                                <w:pStyle w:val="Bodycopy"/>
                                <w:spacing w:before="160" w:after="0" w:line="276" w:lineRule="auto"/>
                                <w:rPr>
                                  <w14:numForm w14:val="lining"/>
                                  <w14:numSpacing w14:val="proportional"/>
                                </w:rPr>
                              </w:pPr>
                            </w:p>
                          </w:txbxContent>
                        </wps:txbx>
                        <wps:bodyPr spcFirstLastPara="0" wrap="square" lIns="288000" tIns="108000" rIns="144000" bIns="108000" anchor="t">
                          <a:noAutofit/>
                        </wps:bodyPr>
                      </wps:wsp>
                      <wps:wsp>
                        <wps:cNvPr id="8968037" name="Rectangle 8968037"/>
                        <wps:cNvSpPr/>
                        <wps:spPr>
                          <a:xfrm>
                            <a:off x="0" y="0"/>
                            <a:ext cx="133350" cy="3722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3C7616" id="Group 2098032726" o:spid="_x0000_s1048" alt="&quot;&quot;" style="position:absolute;margin-left:-25.05pt;margin-top:63.85pt;width:503pt;height:287.35pt;z-index:-251628544;mso-position-horizontal-relative:margin;mso-position-vertical-relative:page" coordsize="55779,37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">
                <v:rect id="Rectangle 24264473" o:spid="_x0000_s1049" alt="&quot;&quot;" style="position:absolute;width:55779;height:37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" fillcolor="#f2f2f2 [3052]" stroked="f" strokeweight="1pt">
                  <v:textbox inset="8mm,3mm,4mm,3mm">
                    <w:txbxContent>
                      <w:p w14:paraId="1A427F0D" w14:textId="77777777" w:rsidR="000F2DD4" w:rsidRPr="00B93C08" w:rsidRDefault="000F2DD4" w:rsidP="000F2DD4">
                        <w:pPr>
                          <w:pStyle w:val="Bodycopy"/>
                          <w:spacing w:before="160" w:after="0" w:line="276" w:lineRule="auto"/>
                          <w:rPr>
                            <w14:numForm w14:val="lining"/>
                            <w14:numSpacing w14:val="proportional"/>
                          </w:rPr>
                        </w:pPr>
                      </w:p>
                    </w:txbxContent>
                  </v:textbox>
                </v:rect>
                <v:rect id="Rectangle 8968037" o:spid="_x0000_s1050" style="position:absolute;width:1333;height:37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" fillcolor="#d2de5a [3214]" stroked="f" strokeweight="1pt"/>
                <w10:wrap anchorx="margin" anchory="page"/>
              </v:group>
            </w:pict>
          </mc:Fallback>
        </mc:AlternateContent>
      </w:r>
    </w:p>
    <w:p w14:paraId="68A8E795" w14:textId="50041BFF" w:rsidR="000F2DD4" w:rsidRPr="00B93C08" w:rsidRDefault="000F2DD4" w:rsidP="000F2DD4">
      <w:r w:rsidRPr="00B93C08">
        <w:t>these revelations, almost 5% of job advertisements for Journalists and Other Writers have included references to using these technologies.</w:t>
      </w:r>
      <w:r w:rsidRPr="00B93C08">
        <w:rPr>
          <w:rStyle w:val="FootnoteReference"/>
        </w:rPr>
        <w:footnoteReference w:id="26"/>
      </w:r>
    </w:p>
    <w:p w14:paraId="1FB767FA" w14:textId="096FBE90" w:rsidR="000F2DD4" w:rsidRPr="00B93C08" w:rsidRDefault="000F2DD4" w:rsidP="000F2DD4">
      <w:r w:rsidRPr="00B93C08">
        <w:t xml:space="preserve">Perhaps indicative of the increase in precarious employment reported elsewhere, self-employment in this occupation is increasing. In 2021, almost one in </w:t>
      </w:r>
      <w:r w:rsidR="00F52872" w:rsidRPr="00B93C08">
        <w:t>five</w:t>
      </w:r>
      <w:r w:rsidRPr="00B93C08">
        <w:t xml:space="preserve"> Journalists and Other Writers indicated they were self-employed (an increase of around </w:t>
      </w:r>
      <w:r w:rsidR="00F52872" w:rsidRPr="00B93C08">
        <w:t>3</w:t>
      </w:r>
      <w:r w:rsidRPr="00B93C08">
        <w:t xml:space="preserve"> percentage points compared to 2016).</w:t>
      </w:r>
      <w:r w:rsidRPr="00B93C08">
        <w:rPr>
          <w:rStyle w:val="FootnoteReference"/>
          <w:shd w:val="clear" w:color="auto" w:fill="FFFFFF"/>
        </w:rPr>
        <w:t xml:space="preserve"> </w:t>
      </w:r>
      <w:r w:rsidRPr="00B93C08">
        <w:rPr>
          <w:rStyle w:val="FootnoteReference"/>
          <w:shd w:val="clear" w:color="auto" w:fill="FFFFFF"/>
        </w:rPr>
        <w:footnoteReference w:id="27"/>
      </w:r>
    </w:p>
    <w:p w14:paraId="7B7CA371" w14:textId="24C4A71C" w:rsidR="00B63B49" w:rsidRPr="00B93C08" w:rsidRDefault="000F2DD4" w:rsidP="000F2DD4">
      <w:pPr>
        <w:rPr>
          <w:rFonts w:eastAsiaTheme="majorEastAsia" w:cstheme="majorBidi"/>
          <w:b/>
          <w:color w:val="4B0885" w:themeColor="text2"/>
          <w:sz w:val="56"/>
          <w:szCs w:val="32"/>
        </w:rPr>
      </w:pPr>
      <w:r w:rsidRPr="00B93C08">
        <w:t xml:space="preserve">This labour market presently represents the intersection of disruptive innovation and changing consumer habits. The consequences of these shifts are important due to the sector’s critical role for the wellbeing of Australian society and communities. </w:t>
      </w:r>
      <w:bookmarkStart w:id="81" w:name="_Hlk166138965"/>
      <w:r w:rsidR="0086086D">
        <w:t>The apparent torpor in this segment of the labour market has enriched others.</w:t>
      </w:r>
      <w:r w:rsidR="001C2FA8">
        <w:rPr>
          <w:rStyle w:val="FootnoteReference"/>
        </w:rPr>
        <w:footnoteReference w:id="28"/>
      </w:r>
      <w:r w:rsidR="0086086D">
        <w:t xml:space="preserve"> This is evident, for example, in the robust employment growth among Public Relations Professionals and their managers.</w:t>
      </w:r>
      <w:r w:rsidR="001C2FA8">
        <w:rPr>
          <w:rStyle w:val="FootnoteReference"/>
        </w:rPr>
        <w:footnoteReference w:id="29"/>
      </w:r>
      <w:r w:rsidR="0086086D">
        <w:t xml:space="preserve"> However, such occupations </w:t>
      </w:r>
      <w:r w:rsidR="0086086D">
        <w:lastRenderedPageBreak/>
        <w:t>provide a different type of social value.</w:t>
      </w:r>
      <w:bookmarkEnd w:id="81"/>
      <w:r w:rsidR="0086086D">
        <w:t xml:space="preserve"> </w:t>
      </w:r>
      <w:r w:rsidRPr="00B93C08">
        <w:t>Some new technologies appear potentially facilitative to th</w:t>
      </w:r>
      <w:r w:rsidR="000533DF">
        <w:t>e news media’s</w:t>
      </w:r>
      <w:r w:rsidRPr="00B93C08">
        <w:t xml:space="preserve"> indispensable work. However, it remains to be seen whether the way it </w:t>
      </w:r>
      <w:proofErr w:type="gramStart"/>
      <w:r w:rsidRPr="00B93C08">
        <w:t>is deployed aids journalists</w:t>
      </w:r>
      <w:proofErr w:type="gramEnd"/>
      <w:r w:rsidRPr="00B93C08">
        <w:t xml:space="preserve"> to deliver the value Australians have come to expect and for which they have shown a readiness to pay.</w:t>
      </w:r>
      <w:r w:rsidRPr="00B93C08">
        <w:rPr>
          <w:rStyle w:val="FootnoteReference"/>
        </w:rPr>
        <w:footnoteReference w:id="30"/>
      </w:r>
      <w:r w:rsidRPr="00B93C08">
        <w:t xml:space="preserve"> With softening economic conditions forecasted for 2024 and the uptake of new generative tools in newsrooms proceeding rapidly here and internationally, </w:t>
      </w:r>
      <w:bookmarkStart w:id="82" w:name="_Toc151365205"/>
      <w:r w:rsidRPr="00B93C08">
        <w:t>2024 may see a tipping point for this occupation.</w:t>
      </w:r>
      <w:r w:rsidR="00B63B49" w:rsidRPr="00B93C08">
        <w:br w:type="page"/>
      </w:r>
    </w:p>
    <w:p w14:paraId="5FF63556" w14:textId="547DDC63" w:rsidR="008564DD" w:rsidRPr="00B93C08" w:rsidRDefault="008564DD" w:rsidP="00320647">
      <w:pPr>
        <w:pStyle w:val="Heading1"/>
      </w:pPr>
      <w:bookmarkStart w:id="83" w:name="_Toc166140516"/>
      <w:r w:rsidRPr="00B93C08">
        <w:lastRenderedPageBreak/>
        <w:t>Jobs and Skills Australia resources</w:t>
      </w:r>
      <w:bookmarkStart w:id="84" w:name="_Hlk150771271"/>
      <w:bookmarkEnd w:id="82"/>
      <w:bookmarkEnd w:id="83"/>
    </w:p>
    <w:p w14:paraId="036902CE" w14:textId="09AC911E" w:rsidR="008564DD" w:rsidRPr="00B93C08" w:rsidRDefault="008564DD" w:rsidP="00320647">
      <w:r w:rsidRPr="00B93C08">
        <w:t xml:space="preserve">Key data, resources and reports can be found on the </w:t>
      </w:r>
      <w:r w:rsidR="00397229" w:rsidRPr="00B93C08">
        <w:t xml:space="preserve">Jobs and Skills Australia </w:t>
      </w:r>
      <w:r w:rsidRPr="00B93C08">
        <w:t xml:space="preserve">website: </w:t>
      </w:r>
      <w:hyperlink r:id="rId48" w:history="1">
        <w:r w:rsidRPr="00B93C08">
          <w:rPr>
            <w:rStyle w:val="Hyperlink"/>
          </w:rPr>
          <w:t>https://www.jobsandskills.gov.au/</w:t>
        </w:r>
      </w:hyperlink>
    </w:p>
    <w:p w14:paraId="6E9D5527" w14:textId="77777777" w:rsidR="008564DD" w:rsidRPr="00B93C08" w:rsidRDefault="008564DD" w:rsidP="00320647"/>
    <w:tbl>
      <w:tblPr>
        <w:tblStyle w:val="JSATable1"/>
        <w:tblW w:w="9006" w:type="dxa"/>
        <w:tblLayout w:type="fixed"/>
        <w:tblLook w:val="0020" w:firstRow="1" w:lastRow="0" w:firstColumn="0" w:lastColumn="0" w:noHBand="0" w:noVBand="0"/>
      </w:tblPr>
      <w:tblGrid>
        <w:gridCol w:w="5529"/>
        <w:gridCol w:w="3477"/>
      </w:tblGrid>
      <w:tr w:rsidR="008564DD" w:rsidRPr="00B93C08" w14:paraId="0DFB3118" w14:textId="77777777">
        <w:trPr>
          <w:cnfStyle w:val="100000000000" w:firstRow="1" w:lastRow="0" w:firstColumn="0" w:lastColumn="0" w:oddVBand="0" w:evenVBand="0" w:oddHBand="0" w:evenHBand="0" w:firstRowFirstColumn="0" w:firstRowLastColumn="0" w:lastRowFirstColumn="0" w:lastRowLastColumn="0"/>
          <w:trHeight w:val="400"/>
        </w:trPr>
        <w:tc>
          <w:tcPr>
            <w:tcW w:w="5529" w:type="dxa"/>
            <w:shd w:val="clear" w:color="auto" w:fill="012749"/>
            <w:vAlign w:val="center"/>
          </w:tcPr>
          <w:p w14:paraId="24D89B7A" w14:textId="77777777" w:rsidR="008564DD" w:rsidRPr="00B93C08" w:rsidRDefault="008564DD" w:rsidP="00320647">
            <w:pPr>
              <w:spacing w:before="100"/>
              <w:rPr>
                <w:b/>
                <w:bCs/>
                <w:sz w:val="20"/>
                <w:szCs w:val="20"/>
              </w:rPr>
            </w:pPr>
            <w:r w:rsidRPr="00B93C08">
              <w:rPr>
                <w:b/>
                <w:bCs/>
                <w:sz w:val="20"/>
                <w:szCs w:val="20"/>
              </w:rPr>
              <w:t>Resource</w:t>
            </w:r>
          </w:p>
        </w:tc>
        <w:tc>
          <w:tcPr>
            <w:tcW w:w="3477" w:type="dxa"/>
            <w:shd w:val="clear" w:color="auto" w:fill="012749"/>
            <w:vAlign w:val="center"/>
          </w:tcPr>
          <w:p w14:paraId="24D156C9" w14:textId="77777777" w:rsidR="008564DD" w:rsidRPr="00B93C08" w:rsidRDefault="008564DD" w:rsidP="00320647">
            <w:pPr>
              <w:spacing w:before="100"/>
              <w:rPr>
                <w:b/>
                <w:bCs/>
                <w:sz w:val="20"/>
                <w:szCs w:val="20"/>
              </w:rPr>
            </w:pPr>
            <w:r w:rsidRPr="00B93C08">
              <w:rPr>
                <w:b/>
                <w:bCs/>
                <w:sz w:val="20"/>
                <w:szCs w:val="20"/>
              </w:rPr>
              <w:t>Publication notes</w:t>
            </w:r>
          </w:p>
        </w:tc>
      </w:tr>
      <w:tr w:rsidR="008564DD" w:rsidRPr="00B93C08" w14:paraId="089DD4E6" w14:textId="77777777">
        <w:trPr>
          <w:trHeight w:val="400"/>
        </w:trPr>
        <w:tc>
          <w:tcPr>
            <w:tcW w:w="5529" w:type="dxa"/>
            <w:vAlign w:val="center"/>
          </w:tcPr>
          <w:p w14:paraId="7897118C" w14:textId="77777777" w:rsidR="008564DD" w:rsidRPr="00B93C08" w:rsidRDefault="000E58F3" w:rsidP="00320647">
            <w:pPr>
              <w:rPr>
                <w:sz w:val="20"/>
                <w:szCs w:val="20"/>
              </w:rPr>
            </w:pPr>
            <w:hyperlink r:id="rId49" w:history="1">
              <w:r w:rsidR="008564DD" w:rsidRPr="00B93C08">
                <w:rPr>
                  <w:rStyle w:val="Hyperlink"/>
                  <w:sz w:val="20"/>
                  <w:szCs w:val="20"/>
                </w:rPr>
                <w:t>Internet Vacancy Index</w:t>
              </w:r>
            </w:hyperlink>
            <w:r w:rsidR="008564DD" w:rsidRPr="00B93C08">
              <w:rPr>
                <w:sz w:val="20"/>
                <w:szCs w:val="20"/>
              </w:rPr>
              <w:t xml:space="preserve"> </w:t>
            </w:r>
          </w:p>
          <w:p w14:paraId="56893207" w14:textId="77777777" w:rsidR="008564DD" w:rsidRPr="00B93C08" w:rsidRDefault="008564DD" w:rsidP="00320647">
            <w:pPr>
              <w:rPr>
                <w:sz w:val="20"/>
                <w:szCs w:val="20"/>
              </w:rPr>
            </w:pPr>
            <w:r w:rsidRPr="00B93C08">
              <w:rPr>
                <w:sz w:val="20"/>
                <w:szCs w:val="20"/>
              </w:rPr>
              <w:t>The Internet Vacancy Index (IVI) is a monthly count of online job advertisements compiled by Jobs and Skills Australia.</w:t>
            </w:r>
          </w:p>
        </w:tc>
        <w:tc>
          <w:tcPr>
            <w:tcW w:w="3477" w:type="dxa"/>
            <w:vAlign w:val="center"/>
          </w:tcPr>
          <w:p w14:paraId="68510E48" w14:textId="77777777" w:rsidR="008564DD" w:rsidRPr="00B93C08" w:rsidRDefault="008564DD" w:rsidP="00320647">
            <w:pPr>
              <w:rPr>
                <w:sz w:val="20"/>
                <w:szCs w:val="20"/>
              </w:rPr>
            </w:pPr>
            <w:r w:rsidRPr="00B93C08">
              <w:rPr>
                <w:sz w:val="20"/>
                <w:szCs w:val="20"/>
              </w:rPr>
              <w:t>The Vacancy Report is published on the third Wednesday of the month.</w:t>
            </w:r>
          </w:p>
        </w:tc>
      </w:tr>
      <w:tr w:rsidR="008564DD" w:rsidRPr="00B93C08" w14:paraId="11DCC66E" w14:textId="77777777">
        <w:trPr>
          <w:cnfStyle w:val="000000010000" w:firstRow="0" w:lastRow="0" w:firstColumn="0" w:lastColumn="0" w:oddVBand="0" w:evenVBand="0" w:oddHBand="0" w:evenHBand="1" w:firstRowFirstColumn="0" w:firstRowLastColumn="0" w:lastRowFirstColumn="0" w:lastRowLastColumn="0"/>
          <w:trHeight w:val="400"/>
        </w:trPr>
        <w:tc>
          <w:tcPr>
            <w:tcW w:w="5529" w:type="dxa"/>
            <w:vAlign w:val="center"/>
          </w:tcPr>
          <w:p w14:paraId="29FD2EE2" w14:textId="77777777" w:rsidR="008564DD" w:rsidRPr="00B93C08" w:rsidRDefault="000E58F3" w:rsidP="00320647">
            <w:pPr>
              <w:rPr>
                <w:sz w:val="20"/>
                <w:szCs w:val="20"/>
              </w:rPr>
            </w:pPr>
            <w:hyperlink r:id="rId50" w:history="1">
              <w:r w:rsidR="008564DD" w:rsidRPr="00B93C08">
                <w:rPr>
                  <w:rStyle w:val="Hyperlink"/>
                  <w:sz w:val="20"/>
                  <w:szCs w:val="20"/>
                </w:rPr>
                <w:t>Recruitment Experiences and Outlook Survey</w:t>
              </w:r>
            </w:hyperlink>
          </w:p>
          <w:p w14:paraId="70FC57D6" w14:textId="77777777" w:rsidR="008564DD" w:rsidRPr="00B93C08" w:rsidRDefault="008564DD" w:rsidP="00320647">
            <w:pPr>
              <w:rPr>
                <w:sz w:val="20"/>
                <w:szCs w:val="20"/>
              </w:rPr>
            </w:pPr>
            <w:r w:rsidRPr="00B93C08">
              <w:rPr>
                <w:sz w:val="20"/>
                <w:szCs w:val="20"/>
              </w:rPr>
              <w:t>Survey of at least 1000 employers each month to find out about their experience when recruiting staff.</w:t>
            </w:r>
          </w:p>
        </w:tc>
        <w:tc>
          <w:tcPr>
            <w:tcW w:w="3477" w:type="dxa"/>
            <w:vAlign w:val="center"/>
          </w:tcPr>
          <w:p w14:paraId="1BC28E60" w14:textId="77777777" w:rsidR="008564DD" w:rsidRPr="00B93C08" w:rsidRDefault="008564DD" w:rsidP="00320647">
            <w:pPr>
              <w:rPr>
                <w:sz w:val="20"/>
                <w:szCs w:val="20"/>
              </w:rPr>
            </w:pPr>
            <w:r w:rsidRPr="00B93C08">
              <w:rPr>
                <w:sz w:val="20"/>
                <w:szCs w:val="20"/>
              </w:rPr>
              <w:t>The Recruitment Insights Report is published on the third Tuesday of the month, while regular special topic Spotlight reports are also published monthly.</w:t>
            </w:r>
          </w:p>
        </w:tc>
      </w:tr>
      <w:tr w:rsidR="008564DD" w:rsidRPr="00B93C08" w14:paraId="29B9FE96" w14:textId="77777777">
        <w:trPr>
          <w:trHeight w:val="400"/>
        </w:trPr>
        <w:tc>
          <w:tcPr>
            <w:tcW w:w="5529" w:type="dxa"/>
            <w:vAlign w:val="center"/>
          </w:tcPr>
          <w:p w14:paraId="5DB51D5C" w14:textId="77777777" w:rsidR="008564DD" w:rsidRPr="00B93C08" w:rsidRDefault="000E58F3" w:rsidP="00320647">
            <w:pPr>
              <w:rPr>
                <w:sz w:val="20"/>
                <w:szCs w:val="20"/>
              </w:rPr>
            </w:pPr>
            <w:hyperlink r:id="rId51" w:history="1">
              <w:r w:rsidR="008564DD" w:rsidRPr="00B93C08">
                <w:rPr>
                  <w:rStyle w:val="Hyperlink"/>
                  <w:sz w:val="20"/>
                  <w:szCs w:val="20"/>
                </w:rPr>
                <w:t>Skill Shortages Analysis</w:t>
              </w:r>
            </w:hyperlink>
          </w:p>
          <w:p w14:paraId="0834437E" w14:textId="77777777" w:rsidR="008564DD" w:rsidRPr="00B93C08" w:rsidRDefault="008564DD" w:rsidP="00320647">
            <w:pPr>
              <w:rPr>
                <w:sz w:val="20"/>
                <w:szCs w:val="20"/>
              </w:rPr>
            </w:pPr>
            <w:r w:rsidRPr="00B93C08">
              <w:rPr>
                <w:sz w:val="20"/>
                <w:szCs w:val="20"/>
              </w:rPr>
              <w:t>Skills shortage analysis including the annual Skills Priority List (SPL) and reports on Skills Shortages.</w:t>
            </w:r>
          </w:p>
        </w:tc>
        <w:tc>
          <w:tcPr>
            <w:tcW w:w="3477" w:type="dxa"/>
            <w:vAlign w:val="center"/>
          </w:tcPr>
          <w:p w14:paraId="580DEFEB" w14:textId="77777777" w:rsidR="008564DD" w:rsidRPr="00B93C08" w:rsidRDefault="008564DD" w:rsidP="00320647">
            <w:pPr>
              <w:rPr>
                <w:sz w:val="20"/>
                <w:szCs w:val="20"/>
              </w:rPr>
            </w:pPr>
            <w:r w:rsidRPr="00B93C08">
              <w:rPr>
                <w:sz w:val="20"/>
                <w:szCs w:val="20"/>
              </w:rPr>
              <w:t>The SPL is released annually (around September), while the Skills Shortage Quarterly provides quarterly insights.</w:t>
            </w:r>
          </w:p>
        </w:tc>
      </w:tr>
      <w:tr w:rsidR="008564DD" w:rsidRPr="00B93C08" w14:paraId="4AD17AAB" w14:textId="77777777">
        <w:trPr>
          <w:cnfStyle w:val="000000010000" w:firstRow="0" w:lastRow="0" w:firstColumn="0" w:lastColumn="0" w:oddVBand="0" w:evenVBand="0" w:oddHBand="0" w:evenHBand="1" w:firstRowFirstColumn="0" w:firstRowLastColumn="0" w:lastRowFirstColumn="0" w:lastRowLastColumn="0"/>
          <w:trHeight w:val="415"/>
        </w:trPr>
        <w:tc>
          <w:tcPr>
            <w:tcW w:w="5529" w:type="dxa"/>
            <w:vAlign w:val="center"/>
          </w:tcPr>
          <w:p w14:paraId="5F688FC4" w14:textId="77777777" w:rsidR="008564DD" w:rsidRPr="00B93C08" w:rsidRDefault="008564DD" w:rsidP="00320647">
            <w:pPr>
              <w:rPr>
                <w:rStyle w:val="Hyperlink"/>
                <w:sz w:val="20"/>
                <w:szCs w:val="20"/>
              </w:rPr>
            </w:pPr>
            <w:r w:rsidRPr="00B93C08">
              <w:rPr>
                <w:sz w:val="20"/>
                <w:szCs w:val="20"/>
              </w:rPr>
              <w:fldChar w:fldCharType="begin"/>
            </w:r>
            <w:r w:rsidRPr="00B93C08">
              <w:rPr>
                <w:sz w:val="20"/>
                <w:szCs w:val="20"/>
              </w:rPr>
              <w:instrText>HYPERLINK "https://www.jobsandskills.gov.au/data/small-area-labour-markets"</w:instrText>
            </w:r>
            <w:r w:rsidRPr="00B93C08">
              <w:rPr>
                <w:sz w:val="20"/>
                <w:szCs w:val="20"/>
              </w:rPr>
            </w:r>
            <w:r w:rsidRPr="00B93C08">
              <w:rPr>
                <w:sz w:val="20"/>
                <w:szCs w:val="20"/>
              </w:rPr>
              <w:fldChar w:fldCharType="separate"/>
            </w:r>
            <w:r w:rsidRPr="00B93C08">
              <w:rPr>
                <w:rStyle w:val="Hyperlink"/>
                <w:sz w:val="20"/>
                <w:szCs w:val="20"/>
              </w:rPr>
              <w:t>Small Area Labour Markets (SALM)</w:t>
            </w:r>
          </w:p>
          <w:p w14:paraId="496032C9" w14:textId="0E10A304" w:rsidR="008564DD" w:rsidRPr="00B93C08" w:rsidRDefault="008564DD" w:rsidP="00320647">
            <w:pPr>
              <w:rPr>
                <w:sz w:val="20"/>
                <w:szCs w:val="20"/>
              </w:rPr>
            </w:pPr>
            <w:r w:rsidRPr="00B93C08">
              <w:rPr>
                <w:sz w:val="20"/>
                <w:szCs w:val="20"/>
              </w:rPr>
              <w:fldChar w:fldCharType="end"/>
            </w:r>
            <w:r w:rsidRPr="00B93C08">
              <w:rPr>
                <w:sz w:val="20"/>
                <w:szCs w:val="20"/>
              </w:rPr>
              <w:t>Estimates of unemployment and the unemployment rate at the Statistical Area Level 2 (SA2) and Local Government Area (LGA) level</w:t>
            </w:r>
            <w:r w:rsidR="00BF1248" w:rsidRPr="00B93C08">
              <w:rPr>
                <w:sz w:val="20"/>
                <w:szCs w:val="20"/>
              </w:rPr>
              <w:t>.</w:t>
            </w:r>
          </w:p>
        </w:tc>
        <w:tc>
          <w:tcPr>
            <w:tcW w:w="3477" w:type="dxa"/>
            <w:vAlign w:val="center"/>
          </w:tcPr>
          <w:p w14:paraId="0A892808" w14:textId="77777777" w:rsidR="008564DD" w:rsidRPr="00B93C08" w:rsidRDefault="008564DD" w:rsidP="00320647">
            <w:pPr>
              <w:rPr>
                <w:sz w:val="20"/>
                <w:szCs w:val="20"/>
              </w:rPr>
            </w:pPr>
            <w:r w:rsidRPr="00B93C08">
              <w:rPr>
                <w:sz w:val="20"/>
                <w:szCs w:val="20"/>
              </w:rPr>
              <w:t>SALM data are released quarterly.</w:t>
            </w:r>
          </w:p>
        </w:tc>
      </w:tr>
      <w:tr w:rsidR="005A31CD" w:rsidRPr="00B93C08" w14:paraId="6502D338" w14:textId="77777777">
        <w:trPr>
          <w:trHeight w:val="400"/>
        </w:trPr>
        <w:tc>
          <w:tcPr>
            <w:tcW w:w="5529" w:type="dxa"/>
            <w:vAlign w:val="center"/>
          </w:tcPr>
          <w:p w14:paraId="45220276" w14:textId="77777777" w:rsidR="005A31CD" w:rsidRPr="00B93C08" w:rsidRDefault="000E58F3" w:rsidP="005A31CD">
            <w:pPr>
              <w:rPr>
                <w:sz w:val="20"/>
                <w:szCs w:val="20"/>
              </w:rPr>
            </w:pPr>
            <w:hyperlink r:id="rId52" w:history="1">
              <w:r w:rsidR="005A31CD" w:rsidRPr="00B93C08">
                <w:rPr>
                  <w:rStyle w:val="Hyperlink"/>
                  <w:sz w:val="20"/>
                  <w:szCs w:val="20"/>
                </w:rPr>
                <w:t>Jobs and Skills Atlas</w:t>
              </w:r>
            </w:hyperlink>
          </w:p>
          <w:p w14:paraId="1CFC67E4" w14:textId="44C54D1F" w:rsidR="005A31CD" w:rsidRPr="00B93C08" w:rsidRDefault="005A31CD" w:rsidP="005A31CD">
            <w:pPr>
              <w:rPr>
                <w:sz w:val="20"/>
                <w:szCs w:val="20"/>
              </w:rPr>
            </w:pPr>
            <w:r w:rsidRPr="00B93C08">
              <w:rPr>
                <w:sz w:val="20"/>
                <w:szCs w:val="20"/>
              </w:rPr>
              <w:t xml:space="preserve">Provides an overview of the labour market at national, </w:t>
            </w:r>
            <w:proofErr w:type="gramStart"/>
            <w:r w:rsidRPr="00B93C08">
              <w:rPr>
                <w:sz w:val="20"/>
                <w:szCs w:val="20"/>
              </w:rPr>
              <w:t>state</w:t>
            </w:r>
            <w:proofErr w:type="gramEnd"/>
            <w:r w:rsidRPr="00B93C08">
              <w:rPr>
                <w:sz w:val="20"/>
                <w:szCs w:val="20"/>
              </w:rPr>
              <w:t xml:space="preserve"> and regional level by occupations, skills and industries.</w:t>
            </w:r>
          </w:p>
        </w:tc>
        <w:tc>
          <w:tcPr>
            <w:tcW w:w="3477" w:type="dxa"/>
            <w:vAlign w:val="center"/>
          </w:tcPr>
          <w:p w14:paraId="1A2A54C5" w14:textId="602C7973" w:rsidR="005A31CD" w:rsidRPr="00B93C08" w:rsidRDefault="005A31CD" w:rsidP="005A31CD">
            <w:pPr>
              <w:rPr>
                <w:sz w:val="20"/>
                <w:szCs w:val="20"/>
              </w:rPr>
            </w:pPr>
            <w:r w:rsidRPr="00B93C08">
              <w:rPr>
                <w:sz w:val="20"/>
                <w:szCs w:val="20"/>
              </w:rPr>
              <w:t>Atlas will be updated with the data for the previous month, by the last Friday of every month.</w:t>
            </w:r>
          </w:p>
        </w:tc>
      </w:tr>
      <w:tr w:rsidR="005A31CD" w:rsidRPr="00B93C08" w14:paraId="0A7916E8" w14:textId="77777777">
        <w:trPr>
          <w:cnfStyle w:val="000000010000" w:firstRow="0" w:lastRow="0" w:firstColumn="0" w:lastColumn="0" w:oddVBand="0" w:evenVBand="0" w:oddHBand="0" w:evenHBand="1" w:firstRowFirstColumn="0" w:firstRowLastColumn="0" w:lastRowFirstColumn="0" w:lastRowLastColumn="0"/>
          <w:trHeight w:val="400"/>
        </w:trPr>
        <w:tc>
          <w:tcPr>
            <w:tcW w:w="5529" w:type="dxa"/>
            <w:vAlign w:val="center"/>
          </w:tcPr>
          <w:p w14:paraId="253C0CCB" w14:textId="77777777" w:rsidR="005A31CD" w:rsidRPr="00B93C08" w:rsidRDefault="000E58F3" w:rsidP="005A31CD">
            <w:pPr>
              <w:rPr>
                <w:sz w:val="20"/>
                <w:szCs w:val="20"/>
              </w:rPr>
            </w:pPr>
            <w:hyperlink r:id="rId53" w:history="1">
              <w:r w:rsidR="005A31CD" w:rsidRPr="00B93C08">
                <w:rPr>
                  <w:rStyle w:val="Hyperlink"/>
                  <w:sz w:val="20"/>
                  <w:szCs w:val="20"/>
                </w:rPr>
                <w:t>Employment Region Dashboards and Profile</w:t>
              </w:r>
            </w:hyperlink>
          </w:p>
          <w:p w14:paraId="6E2B8925" w14:textId="0BC37D53" w:rsidR="005A31CD" w:rsidRPr="00B93C08" w:rsidRDefault="005A31CD" w:rsidP="005A31CD">
            <w:pPr>
              <w:rPr>
                <w:sz w:val="20"/>
                <w:szCs w:val="20"/>
              </w:rPr>
            </w:pPr>
            <w:r w:rsidRPr="00B93C08">
              <w:rPr>
                <w:sz w:val="20"/>
                <w:szCs w:val="20"/>
              </w:rPr>
              <w:t>Monthly Labour Market Dashboards, Recruitment Trends and Employer Needs Profiles, and Industry Profiles.</w:t>
            </w:r>
          </w:p>
        </w:tc>
        <w:tc>
          <w:tcPr>
            <w:tcW w:w="3477" w:type="dxa"/>
            <w:vAlign w:val="center"/>
          </w:tcPr>
          <w:p w14:paraId="173940D6" w14:textId="13122982" w:rsidR="005A31CD" w:rsidRPr="00B93C08" w:rsidRDefault="005A31CD" w:rsidP="005A31CD">
            <w:pPr>
              <w:rPr>
                <w:sz w:val="20"/>
                <w:szCs w:val="20"/>
              </w:rPr>
            </w:pPr>
          </w:p>
        </w:tc>
      </w:tr>
      <w:tr w:rsidR="005A31CD" w:rsidRPr="00B93C08" w14:paraId="7D81A47F" w14:textId="77777777">
        <w:trPr>
          <w:trHeight w:val="400"/>
        </w:trPr>
        <w:tc>
          <w:tcPr>
            <w:tcW w:w="5529" w:type="dxa"/>
            <w:vAlign w:val="center"/>
          </w:tcPr>
          <w:p w14:paraId="65AB87C1" w14:textId="77777777" w:rsidR="005A31CD" w:rsidRPr="00B93C08" w:rsidRDefault="000E58F3" w:rsidP="005A31CD">
            <w:pPr>
              <w:rPr>
                <w:sz w:val="20"/>
                <w:szCs w:val="20"/>
              </w:rPr>
            </w:pPr>
            <w:hyperlink r:id="rId54" w:history="1">
              <w:r w:rsidR="005A31CD" w:rsidRPr="00B93C08">
                <w:rPr>
                  <w:rStyle w:val="Hyperlink"/>
                  <w:sz w:val="20"/>
                  <w:szCs w:val="20"/>
                </w:rPr>
                <w:t>Nowcast of Employment Region and Occupation (NERO)</w:t>
              </w:r>
            </w:hyperlink>
          </w:p>
          <w:p w14:paraId="0D659C0B" w14:textId="0083F692" w:rsidR="005A31CD" w:rsidRPr="00B93C08" w:rsidRDefault="005A31CD" w:rsidP="005A31CD">
            <w:pPr>
              <w:rPr>
                <w:sz w:val="20"/>
                <w:szCs w:val="20"/>
              </w:rPr>
            </w:pPr>
            <w:r w:rsidRPr="00B93C08">
              <w:rPr>
                <w:sz w:val="20"/>
                <w:szCs w:val="20"/>
              </w:rPr>
              <w:t>Experimental dataset providing information on employment in 355 occupations across 88 regions in Australia.</w:t>
            </w:r>
          </w:p>
        </w:tc>
        <w:tc>
          <w:tcPr>
            <w:tcW w:w="3477" w:type="dxa"/>
            <w:vAlign w:val="center"/>
          </w:tcPr>
          <w:p w14:paraId="0E20058D" w14:textId="6196F164" w:rsidR="005A31CD" w:rsidRPr="00B93C08" w:rsidRDefault="005A31CD" w:rsidP="005A31CD">
            <w:pPr>
              <w:rPr>
                <w:sz w:val="20"/>
                <w:szCs w:val="20"/>
              </w:rPr>
            </w:pPr>
            <w:r w:rsidRPr="00B93C08">
              <w:rPr>
                <w:sz w:val="20"/>
                <w:szCs w:val="20"/>
              </w:rPr>
              <w:t>NERO data will be updated monthly.</w:t>
            </w:r>
          </w:p>
        </w:tc>
      </w:tr>
      <w:tr w:rsidR="005A31CD" w:rsidRPr="00B93C08" w14:paraId="0B39D896" w14:textId="77777777" w:rsidTr="00C96860">
        <w:trPr>
          <w:cnfStyle w:val="000000010000" w:firstRow="0" w:lastRow="0" w:firstColumn="0" w:lastColumn="0" w:oddVBand="0" w:evenVBand="0" w:oddHBand="0" w:evenHBand="1" w:firstRowFirstColumn="0" w:firstRowLastColumn="0" w:lastRowFirstColumn="0" w:lastRowLastColumn="0"/>
          <w:trHeight w:val="400"/>
        </w:trPr>
        <w:tc>
          <w:tcPr>
            <w:tcW w:w="5529" w:type="dxa"/>
            <w:tcBorders>
              <w:bottom w:val="nil"/>
            </w:tcBorders>
            <w:vAlign w:val="center"/>
          </w:tcPr>
          <w:p w14:paraId="76B76590" w14:textId="77777777" w:rsidR="005A31CD" w:rsidRPr="00B93C08" w:rsidRDefault="005A31CD" w:rsidP="005A31CD">
            <w:pPr>
              <w:rPr>
                <w:color w:val="013D73" w:themeColor="accent3" w:themeTint="E6"/>
                <w:sz w:val="20"/>
                <w:szCs w:val="20"/>
                <w:u w:val="single"/>
              </w:rPr>
            </w:pPr>
            <w:r w:rsidRPr="00B93C08">
              <w:rPr>
                <w:color w:val="013D73" w:themeColor="accent3" w:themeTint="E6"/>
                <w:sz w:val="20"/>
                <w:szCs w:val="20"/>
                <w:u w:val="single"/>
              </w:rPr>
              <w:t>International Labour Market Update</w:t>
            </w:r>
          </w:p>
          <w:p w14:paraId="531B2F51" w14:textId="74C0419E" w:rsidR="005A31CD" w:rsidRPr="00B93C08" w:rsidRDefault="005A31CD" w:rsidP="005A31CD">
            <w:pPr>
              <w:rPr>
                <w:sz w:val="20"/>
                <w:szCs w:val="20"/>
              </w:rPr>
            </w:pPr>
            <w:r w:rsidRPr="00B93C08">
              <w:rPr>
                <w:sz w:val="20"/>
                <w:szCs w:val="20"/>
              </w:rPr>
              <w:t>Provides key labour market data for Australia and selected overseas countries and country groups.</w:t>
            </w:r>
          </w:p>
        </w:tc>
        <w:tc>
          <w:tcPr>
            <w:tcW w:w="3477" w:type="dxa"/>
            <w:tcBorders>
              <w:bottom w:val="nil"/>
            </w:tcBorders>
            <w:vAlign w:val="center"/>
          </w:tcPr>
          <w:p w14:paraId="54F30CAB" w14:textId="0EA2316E" w:rsidR="005A31CD" w:rsidRPr="00B93C08" w:rsidRDefault="005A31CD" w:rsidP="005A31CD">
            <w:pPr>
              <w:rPr>
                <w:sz w:val="20"/>
                <w:szCs w:val="20"/>
              </w:rPr>
            </w:pPr>
            <w:r w:rsidRPr="00B93C08">
              <w:rPr>
                <w:sz w:val="20"/>
                <w:szCs w:val="20"/>
              </w:rPr>
              <w:t xml:space="preserve">The </w:t>
            </w:r>
            <w:hyperlink r:id="rId55" w:history="1">
              <w:r>
                <w:rPr>
                  <w:rStyle w:val="Hyperlink"/>
                  <w:sz w:val="20"/>
                  <w:szCs w:val="20"/>
                </w:rPr>
                <w:t>February</w:t>
              </w:r>
              <w:r w:rsidRPr="00B93C08">
                <w:rPr>
                  <w:rStyle w:val="Hyperlink"/>
                  <w:sz w:val="20"/>
                  <w:szCs w:val="20"/>
                </w:rPr>
                <w:t xml:space="preserve"> 202</w:t>
              </w:r>
              <w:r>
                <w:rPr>
                  <w:rStyle w:val="Hyperlink"/>
                  <w:sz w:val="20"/>
                  <w:szCs w:val="20"/>
                </w:rPr>
                <w:t>4</w:t>
              </w:r>
              <w:r w:rsidRPr="00B93C08">
                <w:rPr>
                  <w:rStyle w:val="Hyperlink"/>
                  <w:sz w:val="20"/>
                  <w:szCs w:val="20"/>
                </w:rPr>
                <w:t xml:space="preserve"> report</w:t>
              </w:r>
            </w:hyperlink>
            <w:r w:rsidRPr="00B93C08">
              <w:rPr>
                <w:sz w:val="20"/>
                <w:szCs w:val="20"/>
              </w:rPr>
              <w:t xml:space="preserve"> is currently available.</w:t>
            </w:r>
          </w:p>
        </w:tc>
      </w:tr>
      <w:tr w:rsidR="008564DD" w:rsidRPr="00B93C08" w14:paraId="415F6873" w14:textId="77777777" w:rsidTr="00C96860">
        <w:trPr>
          <w:trHeight w:val="400"/>
        </w:trPr>
        <w:tc>
          <w:tcPr>
            <w:tcW w:w="5529" w:type="dxa"/>
            <w:tcBorders>
              <w:bottom w:val="nil"/>
            </w:tcBorders>
            <w:vAlign w:val="center"/>
          </w:tcPr>
          <w:p w14:paraId="5D5EA332" w14:textId="03B3F1DB" w:rsidR="008564DD" w:rsidRPr="00B93C08" w:rsidRDefault="008564DD" w:rsidP="00320647">
            <w:pPr>
              <w:rPr>
                <w:sz w:val="20"/>
                <w:szCs w:val="20"/>
              </w:rPr>
            </w:pPr>
          </w:p>
        </w:tc>
        <w:tc>
          <w:tcPr>
            <w:tcW w:w="3477" w:type="dxa"/>
            <w:tcBorders>
              <w:bottom w:val="nil"/>
            </w:tcBorders>
            <w:vAlign w:val="center"/>
          </w:tcPr>
          <w:p w14:paraId="12A79081" w14:textId="4B0BFDB4" w:rsidR="008564DD" w:rsidRPr="00B93C08" w:rsidRDefault="008564DD" w:rsidP="00320647">
            <w:pPr>
              <w:rPr>
                <w:sz w:val="20"/>
                <w:szCs w:val="20"/>
              </w:rPr>
            </w:pPr>
          </w:p>
        </w:tc>
      </w:tr>
    </w:tbl>
    <w:p w14:paraId="2832C9E3" w14:textId="62678F58" w:rsidR="00B11937" w:rsidRPr="00B11937" w:rsidRDefault="00B11937" w:rsidP="008F2021">
      <w:pPr>
        <w:spacing w:after="160" w:line="259" w:lineRule="auto"/>
      </w:pPr>
      <w:bookmarkStart w:id="85" w:name="_Appendix"/>
      <w:bookmarkStart w:id="86" w:name="_Appendix_A"/>
      <w:bookmarkEnd w:id="0"/>
      <w:bookmarkEnd w:id="1"/>
      <w:bookmarkEnd w:id="84"/>
      <w:bookmarkEnd w:id="85"/>
      <w:bookmarkEnd w:id="86"/>
    </w:p>
    <w:sectPr w:rsidR="00B11937" w:rsidRPr="00B11937" w:rsidSect="00385EA9">
      <w:pgSz w:w="11906" w:h="16838"/>
      <w:pgMar w:top="1276" w:right="1440" w:bottom="1134" w:left="1440" w:header="0" w:footer="539"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C3617" w14:textId="77777777" w:rsidR="00385EA9" w:rsidRPr="00B93C08" w:rsidRDefault="00385EA9" w:rsidP="008C0056">
      <w:r w:rsidRPr="00B93C08">
        <w:separator/>
      </w:r>
    </w:p>
  </w:endnote>
  <w:endnote w:type="continuationSeparator" w:id="0">
    <w:p w14:paraId="764A70DF" w14:textId="77777777" w:rsidR="00385EA9" w:rsidRPr="00B93C08" w:rsidRDefault="00385EA9" w:rsidP="008C0056">
      <w:r w:rsidRPr="00B93C08">
        <w:continuationSeparator/>
      </w:r>
    </w:p>
  </w:endnote>
  <w:endnote w:type="continuationNotice" w:id="1">
    <w:p w14:paraId="42A2ADFD" w14:textId="77777777" w:rsidR="00385EA9" w:rsidRPr="00B93C08" w:rsidRDefault="00385EA9" w:rsidP="008C0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w:altName w:val="Arial"/>
    <w:charset w:val="00"/>
    <w:family w:val="swiss"/>
    <w:pitch w:val="variable"/>
    <w:sig w:usb0="0000028F" w:usb1="00000002"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2DCE7" w14:textId="7F1AB8AE" w:rsidR="00EF07E1" w:rsidRPr="00B93C08" w:rsidRDefault="00EF07E1">
    <w:pPr>
      <w:pStyle w:val="Footer"/>
      <w:jc w:val="right"/>
    </w:pPr>
    <w:r w:rsidRPr="00B93C08">
      <w:t xml:space="preserve">Jobs and Skills Australia – Labour Market Update </w:t>
    </w:r>
    <w:r w:rsidRPr="00B93C08">
      <w:tab/>
    </w:r>
    <w:sdt>
      <w:sdtPr>
        <w:id w:val="-651369144"/>
        <w:docPartObj>
          <w:docPartGallery w:val="Page Numbers (Bottom of Page)"/>
          <w:docPartUnique/>
        </w:docPartObj>
      </w:sdtPr>
      <w:sdtEndPr/>
      <w:sdtContent>
        <w:r w:rsidRPr="00B93C08">
          <w:fldChar w:fldCharType="begin"/>
        </w:r>
        <w:r w:rsidRPr="00B93C08">
          <w:instrText xml:space="preserve"> PAGE   \* MERGEFORMAT </w:instrText>
        </w:r>
        <w:r w:rsidRPr="00B93C08">
          <w:fldChar w:fldCharType="separate"/>
        </w:r>
        <w:r w:rsidRPr="00B93C08">
          <w:t>2</w:t>
        </w:r>
        <w:r w:rsidRPr="00B93C08">
          <w:fldChar w:fldCharType="end"/>
        </w:r>
      </w:sdtContent>
    </w:sdt>
  </w:p>
  <w:p w14:paraId="1DE9E510" w14:textId="0EE98292" w:rsidR="003708C1" w:rsidRPr="00B93C08" w:rsidRDefault="003708C1" w:rsidP="009915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76AB269" w:rsidRPr="00B93C08" w14:paraId="20DF6BD7" w14:textId="77777777" w:rsidTr="576AB269">
      <w:trPr>
        <w:trHeight w:val="300"/>
      </w:trPr>
      <w:tc>
        <w:tcPr>
          <w:tcW w:w="3005" w:type="dxa"/>
        </w:tcPr>
        <w:p w14:paraId="023A381E" w14:textId="2E603919" w:rsidR="576AB269" w:rsidRPr="00B93C08" w:rsidRDefault="576AB269" w:rsidP="576AB269">
          <w:pPr>
            <w:pStyle w:val="Header"/>
            <w:ind w:left="-115"/>
          </w:pPr>
        </w:p>
      </w:tc>
      <w:tc>
        <w:tcPr>
          <w:tcW w:w="3005" w:type="dxa"/>
        </w:tcPr>
        <w:p w14:paraId="4AB0E096" w14:textId="1E1D98F6" w:rsidR="576AB269" w:rsidRPr="00B93C08" w:rsidRDefault="576AB269" w:rsidP="576AB269">
          <w:pPr>
            <w:pStyle w:val="Header"/>
            <w:jc w:val="center"/>
          </w:pPr>
        </w:p>
      </w:tc>
      <w:tc>
        <w:tcPr>
          <w:tcW w:w="3005" w:type="dxa"/>
        </w:tcPr>
        <w:p w14:paraId="2548FA19" w14:textId="4BA48CB4" w:rsidR="576AB269" w:rsidRPr="00B93C08" w:rsidRDefault="576AB269" w:rsidP="576AB269">
          <w:pPr>
            <w:pStyle w:val="Header"/>
            <w:ind w:right="-115"/>
            <w:jc w:val="right"/>
          </w:pPr>
        </w:p>
      </w:tc>
    </w:tr>
  </w:tbl>
  <w:p w14:paraId="486D0428" w14:textId="4AFBFF1C" w:rsidR="002042EF" w:rsidRPr="00B93C08" w:rsidRDefault="002042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E4E2" w14:textId="3B4D010B" w:rsidR="006A35A8" w:rsidRPr="00B93C08" w:rsidRDefault="006A35A8" w:rsidP="00700171">
    <w:pPr>
      <w:pStyle w:val="Footer"/>
      <w:jc w:val="right"/>
    </w:pPr>
    <w:r w:rsidRPr="00B93C08">
      <w:t xml:space="preserve">Jobs and Skills Australia – Labour Market Update  </w:t>
    </w:r>
    <w:r w:rsidR="0042089A" w:rsidRPr="00B93C08">
      <w:t xml:space="preserve"> </w:t>
    </w:r>
    <w:r w:rsidRPr="00B93C08">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6669" w14:textId="74F5D205" w:rsidR="00144A81" w:rsidRPr="00B93C08" w:rsidRDefault="009F6602">
    <w:pPr>
      <w:pStyle w:val="Footer"/>
      <w:jc w:val="right"/>
    </w:pPr>
    <w:r w:rsidRPr="00B93C08">
      <w:t xml:space="preserve">Jobs and Skills Australia – Labour Market Update   </w:t>
    </w:r>
    <w:r w:rsidRPr="00B93C08">
      <w:tab/>
    </w:r>
    <w:sdt>
      <w:sdtPr>
        <w:id w:val="799421543"/>
        <w:docPartObj>
          <w:docPartGallery w:val="Page Numbers (Bottom of Page)"/>
          <w:docPartUnique/>
        </w:docPartObj>
      </w:sdtPr>
      <w:sdtEndPr/>
      <w:sdtContent>
        <w:r w:rsidR="00144A81" w:rsidRPr="00B93C08">
          <w:fldChar w:fldCharType="begin"/>
        </w:r>
        <w:r w:rsidR="00144A81" w:rsidRPr="00B93C08">
          <w:instrText xml:space="preserve"> PAGE   \* MERGEFORMAT </w:instrText>
        </w:r>
        <w:r w:rsidR="00144A81" w:rsidRPr="00B93C08">
          <w:fldChar w:fldCharType="separate"/>
        </w:r>
        <w:r w:rsidR="00144A81" w:rsidRPr="00B93C08">
          <w:t>2</w:t>
        </w:r>
        <w:r w:rsidR="00144A81" w:rsidRPr="00B93C08">
          <w:fldChar w:fldCharType="end"/>
        </w:r>
      </w:sdtContent>
    </w:sdt>
  </w:p>
  <w:p w14:paraId="111650F1" w14:textId="173791BB" w:rsidR="576AB269" w:rsidRPr="00B93C08" w:rsidRDefault="576AB269" w:rsidP="0070017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E62C8" w14:textId="1FF9D73D" w:rsidR="00385EA9" w:rsidRPr="00B93C08" w:rsidRDefault="00385EA9" w:rsidP="008C0056"/>
  </w:footnote>
  <w:footnote w:type="continuationSeparator" w:id="0">
    <w:p w14:paraId="34390F9A" w14:textId="77777777" w:rsidR="00385EA9" w:rsidRPr="00B93C08" w:rsidRDefault="00385EA9" w:rsidP="008C0056">
      <w:r w:rsidRPr="00B93C08">
        <w:continuationSeparator/>
      </w:r>
    </w:p>
  </w:footnote>
  <w:footnote w:type="continuationNotice" w:id="1">
    <w:p w14:paraId="1D4E9BD1" w14:textId="77777777" w:rsidR="00385EA9" w:rsidRPr="00B93C08" w:rsidRDefault="00385EA9" w:rsidP="008C0056"/>
  </w:footnote>
  <w:footnote w:id="2">
    <w:p w14:paraId="50E8ABC1" w14:textId="5690AFA1" w:rsidR="00E10CBD" w:rsidRPr="00B93C08" w:rsidRDefault="00E10CBD" w:rsidP="00E10CBD">
      <w:pPr>
        <w:pStyle w:val="FootnoteText"/>
        <w:rPr>
          <w:sz w:val="18"/>
          <w:szCs w:val="18"/>
        </w:rPr>
      </w:pPr>
      <w:r w:rsidRPr="00B93C08">
        <w:rPr>
          <w:rStyle w:val="FootnoteReference"/>
          <w:sz w:val="18"/>
          <w:szCs w:val="18"/>
        </w:rPr>
        <w:footnoteRef/>
      </w:r>
      <w:r w:rsidRPr="00B93C08">
        <w:rPr>
          <w:sz w:val="18"/>
          <w:szCs w:val="18"/>
        </w:rPr>
        <w:t xml:space="preserve"> Note that in this report, </w:t>
      </w:r>
      <w:r w:rsidR="007A2C37" w:rsidRPr="00B93C08">
        <w:rPr>
          <w:sz w:val="18"/>
          <w:szCs w:val="18"/>
        </w:rPr>
        <w:t>Jobs and Skills Australia</w:t>
      </w:r>
      <w:r w:rsidR="003665A4" w:rsidRPr="00B93C08">
        <w:rPr>
          <w:sz w:val="18"/>
          <w:szCs w:val="18"/>
        </w:rPr>
        <w:t xml:space="preserve"> has</w:t>
      </w:r>
      <w:r w:rsidRPr="00B93C08">
        <w:rPr>
          <w:sz w:val="18"/>
          <w:szCs w:val="18"/>
        </w:rPr>
        <w:t xml:space="preserve"> updated </w:t>
      </w:r>
      <w:r w:rsidR="00EC16C7" w:rsidRPr="00B93C08">
        <w:rPr>
          <w:sz w:val="18"/>
          <w:szCs w:val="18"/>
        </w:rPr>
        <w:t>the</w:t>
      </w:r>
      <w:r w:rsidRPr="00B93C08">
        <w:rPr>
          <w:sz w:val="18"/>
          <w:szCs w:val="18"/>
        </w:rPr>
        <w:t xml:space="preserve"> methodology in calculating the fill rate and other metrics</w:t>
      </w:r>
      <w:r w:rsidR="00935B29" w:rsidRPr="00B93C08">
        <w:rPr>
          <w:sz w:val="18"/>
          <w:szCs w:val="18"/>
        </w:rPr>
        <w:t>,</w:t>
      </w:r>
      <w:r w:rsidRPr="00B93C08">
        <w:rPr>
          <w:sz w:val="18"/>
          <w:szCs w:val="18"/>
        </w:rPr>
        <w:t xml:space="preserve"> such as applicants, qualified applicants and suitable applicants per vacancy. </w:t>
      </w:r>
      <w:r w:rsidR="00935B29" w:rsidRPr="00B93C08">
        <w:rPr>
          <w:sz w:val="18"/>
          <w:szCs w:val="18"/>
        </w:rPr>
        <w:t>J</w:t>
      </w:r>
      <w:r w:rsidR="00763F94" w:rsidRPr="00B93C08">
        <w:rPr>
          <w:sz w:val="18"/>
          <w:szCs w:val="18"/>
        </w:rPr>
        <w:t>obs and Skills Australia</w:t>
      </w:r>
      <w:r w:rsidR="00935B29" w:rsidRPr="00B93C08">
        <w:rPr>
          <w:sz w:val="18"/>
          <w:szCs w:val="18"/>
        </w:rPr>
        <w:t xml:space="preserve"> is</w:t>
      </w:r>
      <w:r w:rsidRPr="00B93C08">
        <w:rPr>
          <w:sz w:val="18"/>
          <w:szCs w:val="18"/>
        </w:rPr>
        <w:t xml:space="preserve"> now using a rolling annual period of 12 months leading to the latest quarter</w:t>
      </w:r>
      <w:r w:rsidR="00EC16C7" w:rsidRPr="00B93C08">
        <w:rPr>
          <w:sz w:val="18"/>
          <w:szCs w:val="18"/>
        </w:rPr>
        <w:t>,</w:t>
      </w:r>
      <w:r w:rsidRPr="00B93C08">
        <w:rPr>
          <w:sz w:val="18"/>
          <w:szCs w:val="18"/>
        </w:rPr>
        <w:t xml:space="preserve"> instead of using the latest quarter itself. This change has been made to eliminate the impact of data volatility attributable to SERA sampling, where concentrations of sampling</w:t>
      </w:r>
      <w:r w:rsidR="00EC16C7" w:rsidRPr="00B93C08">
        <w:rPr>
          <w:sz w:val="18"/>
          <w:szCs w:val="18"/>
        </w:rPr>
        <w:t>,</w:t>
      </w:r>
      <w:r w:rsidRPr="00B93C08">
        <w:rPr>
          <w:sz w:val="18"/>
          <w:szCs w:val="18"/>
        </w:rPr>
        <w:t xml:space="preserve"> with respect to different occupational major groups</w:t>
      </w:r>
      <w:r w:rsidR="00EC16C7" w:rsidRPr="00B93C08">
        <w:rPr>
          <w:sz w:val="18"/>
          <w:szCs w:val="18"/>
        </w:rPr>
        <w:t>,</w:t>
      </w:r>
      <w:r w:rsidRPr="00B93C08">
        <w:rPr>
          <w:sz w:val="18"/>
          <w:szCs w:val="18"/>
        </w:rPr>
        <w:t xml:space="preserve"> can occur at different times of the year.</w:t>
      </w:r>
    </w:p>
  </w:footnote>
  <w:footnote w:id="3">
    <w:p w14:paraId="44F44901" w14:textId="77777777" w:rsidR="00982238" w:rsidRPr="00B93C08" w:rsidRDefault="00982238" w:rsidP="00982238">
      <w:pPr>
        <w:pStyle w:val="FootnoteText"/>
        <w:rPr>
          <w:rFonts w:asciiTheme="minorHAnsi" w:hAnsiTheme="minorHAnsi" w:cstheme="minorHAnsi"/>
          <w:sz w:val="18"/>
          <w:szCs w:val="18"/>
        </w:rPr>
      </w:pPr>
      <w:r w:rsidRPr="00B93C08">
        <w:rPr>
          <w:rStyle w:val="FootnoteReference"/>
        </w:rPr>
        <w:footnoteRef/>
      </w:r>
      <w:r w:rsidRPr="00B93C08">
        <w:t xml:space="preserve"> </w:t>
      </w:r>
      <w:r w:rsidRPr="00B93C08">
        <w:rPr>
          <w:rFonts w:asciiTheme="minorHAnsi" w:hAnsiTheme="minorHAnsi" w:cstheme="minorHAnsi"/>
          <w:sz w:val="18"/>
          <w:szCs w:val="18"/>
        </w:rPr>
        <w:t>The analysis uses SERA fill rates at the 4-digit ANZSCO level from September 2006 to June 2023, and Census data over each of the 5-year Census periods from 2006 to 2021 to determine the gender splits. The gender splits are used for the years after each census year until the next Census is available. For example, the gender split for the years 2006 to 2010 uses the 2006 Census, 2011 to 2015 using the 2011 Census and so on. The SERA data is aggregated over each of the 5-year period.</w:t>
      </w:r>
    </w:p>
  </w:footnote>
  <w:footnote w:id="4">
    <w:p w14:paraId="6AA176F7" w14:textId="1B94B8AF" w:rsidR="00982238" w:rsidRPr="00B93C08" w:rsidRDefault="00982238" w:rsidP="00982238">
      <w:pPr>
        <w:pStyle w:val="FootnoteText"/>
        <w:rPr>
          <w:rFonts w:asciiTheme="minorHAnsi" w:hAnsiTheme="minorHAnsi" w:cstheme="minorHAnsi"/>
          <w:sz w:val="18"/>
          <w:szCs w:val="18"/>
        </w:rPr>
      </w:pPr>
      <w:r w:rsidRPr="00B93C08">
        <w:rPr>
          <w:rStyle w:val="FootnoteReference"/>
          <w:rFonts w:asciiTheme="minorHAnsi" w:hAnsiTheme="minorHAnsi" w:cstheme="minorHAnsi"/>
          <w:sz w:val="18"/>
          <w:szCs w:val="18"/>
        </w:rPr>
        <w:footnoteRef/>
      </w:r>
      <w:r w:rsidRPr="00B93C08">
        <w:rPr>
          <w:rFonts w:asciiTheme="minorHAnsi" w:hAnsiTheme="minorHAnsi" w:cstheme="minorHAnsi"/>
          <w:sz w:val="18"/>
          <w:szCs w:val="18"/>
        </w:rPr>
        <w:t xml:space="preserve"> The inequality metric is measured by one minus entropy. Entropy is a concept commonly associated with a state or disorder, randomness or uncertainty. Taking each gender as a distinct state, entropy returns the value of 1 for a 50-50 split (perfect disorder) between males and females but 0 for a 100-0 split (perfectly ordered) for either males or females. To get the required form, 1 minus entropy is taken. It functions like a Gini index but is more sensitive to higher proportions on either end</w:t>
      </w:r>
      <w:r w:rsidR="00F31C73" w:rsidRPr="00B93C08">
        <w:rPr>
          <w:rFonts w:asciiTheme="minorHAnsi" w:hAnsiTheme="minorHAnsi" w:cstheme="minorHAnsi"/>
          <w:sz w:val="18"/>
          <w:szCs w:val="18"/>
        </w:rPr>
        <w:t xml:space="preserve">; The formula for gender inequality is: </w:t>
      </w:r>
      <m:oMath>
        <m:r>
          <w:rPr>
            <w:rFonts w:ascii="Cambria Math" w:hAnsi="Cambria Math" w:cstheme="minorHAnsi"/>
            <w:sz w:val="18"/>
            <w:szCs w:val="18"/>
          </w:rPr>
          <m:t>Gender Inequality= 1+ male proportion</m:t>
        </m:r>
        <m:r>
          <w:rPr>
            <w:rFonts w:ascii="Cambria Math" w:eastAsiaTheme="minorEastAsia" w:hAnsi="Cambria Math" w:cstheme="minorHAnsi"/>
            <w:sz w:val="18"/>
            <w:szCs w:val="18"/>
          </w:rPr>
          <m:t>*</m:t>
        </m:r>
        <m:sSub>
          <m:sSubPr>
            <m:ctrlPr>
              <w:rPr>
                <w:rFonts w:ascii="Cambria Math" w:eastAsiaTheme="minorEastAsia" w:hAnsi="Cambria Math" w:cstheme="minorHAnsi"/>
                <w:i/>
                <w:sz w:val="18"/>
                <w:szCs w:val="18"/>
              </w:rPr>
            </m:ctrlPr>
          </m:sSubPr>
          <m:e>
            <m:r>
              <w:rPr>
                <w:rFonts w:ascii="Cambria Math" w:eastAsiaTheme="minorEastAsia" w:hAnsi="Cambria Math" w:cstheme="minorHAnsi"/>
                <w:sz w:val="18"/>
                <w:szCs w:val="18"/>
              </w:rPr>
              <m:t>log</m:t>
            </m:r>
          </m:e>
          <m:sub>
            <m:r>
              <w:rPr>
                <w:rFonts w:ascii="Cambria Math" w:eastAsiaTheme="minorEastAsia" w:hAnsi="Cambria Math" w:cstheme="minorHAnsi"/>
                <w:sz w:val="18"/>
                <w:szCs w:val="18"/>
              </w:rPr>
              <m:t>2</m:t>
            </m:r>
          </m:sub>
        </m:sSub>
        <m:d>
          <m:dPr>
            <m:ctrlPr>
              <w:rPr>
                <w:rFonts w:ascii="Cambria Math" w:eastAsiaTheme="minorEastAsia" w:hAnsi="Cambria Math" w:cstheme="minorHAnsi"/>
                <w:i/>
                <w:sz w:val="18"/>
                <w:szCs w:val="18"/>
              </w:rPr>
            </m:ctrlPr>
          </m:dPr>
          <m:e>
            <m:r>
              <w:rPr>
                <w:rFonts w:ascii="Cambria Math" w:hAnsi="Cambria Math" w:cstheme="minorHAnsi"/>
                <w:sz w:val="18"/>
                <w:szCs w:val="18"/>
              </w:rPr>
              <m:t>male proportion</m:t>
            </m:r>
          </m:e>
        </m:d>
        <m:r>
          <w:rPr>
            <w:rFonts w:ascii="Cambria Math" w:eastAsiaTheme="minorEastAsia" w:hAnsi="Cambria Math" w:cstheme="minorHAnsi"/>
            <w:sz w:val="18"/>
            <w:szCs w:val="18"/>
          </w:rPr>
          <m:t>+fe</m:t>
        </m:r>
        <m:r>
          <w:rPr>
            <w:rFonts w:ascii="Cambria Math" w:hAnsi="Cambria Math" w:cstheme="minorHAnsi"/>
            <w:sz w:val="18"/>
            <w:szCs w:val="18"/>
          </w:rPr>
          <m:t>male proportion</m:t>
        </m:r>
        <m:r>
          <w:rPr>
            <w:rFonts w:ascii="Cambria Math" w:eastAsiaTheme="minorEastAsia" w:hAnsi="Cambria Math" w:cstheme="minorHAnsi"/>
            <w:sz w:val="18"/>
            <w:szCs w:val="18"/>
          </w:rPr>
          <m:t>*</m:t>
        </m:r>
        <m:sSub>
          <m:sSubPr>
            <m:ctrlPr>
              <w:rPr>
                <w:rFonts w:ascii="Cambria Math" w:eastAsiaTheme="minorEastAsia" w:hAnsi="Cambria Math" w:cstheme="minorHAnsi"/>
                <w:i/>
                <w:sz w:val="18"/>
                <w:szCs w:val="18"/>
              </w:rPr>
            </m:ctrlPr>
          </m:sSubPr>
          <m:e>
            <m:r>
              <w:rPr>
                <w:rFonts w:ascii="Cambria Math" w:eastAsiaTheme="minorEastAsia" w:hAnsi="Cambria Math" w:cstheme="minorHAnsi"/>
                <w:sz w:val="18"/>
                <w:szCs w:val="18"/>
              </w:rPr>
              <m:t>log</m:t>
            </m:r>
          </m:e>
          <m:sub>
            <m:r>
              <w:rPr>
                <w:rFonts w:ascii="Cambria Math" w:eastAsiaTheme="minorEastAsia" w:hAnsi="Cambria Math" w:cstheme="minorHAnsi"/>
                <w:sz w:val="18"/>
                <w:szCs w:val="18"/>
              </w:rPr>
              <m:t>2</m:t>
            </m:r>
          </m:sub>
        </m:sSub>
        <m:d>
          <m:dPr>
            <m:ctrlPr>
              <w:rPr>
                <w:rFonts w:ascii="Cambria Math" w:eastAsiaTheme="minorEastAsia" w:hAnsi="Cambria Math" w:cstheme="minorHAnsi"/>
                <w:i/>
                <w:sz w:val="18"/>
                <w:szCs w:val="18"/>
              </w:rPr>
            </m:ctrlPr>
          </m:dPr>
          <m:e>
            <m:r>
              <w:rPr>
                <w:rFonts w:ascii="Cambria Math" w:hAnsi="Cambria Math" w:cstheme="minorHAnsi"/>
                <w:sz w:val="18"/>
                <w:szCs w:val="18"/>
              </w:rPr>
              <m:t>female proportion</m:t>
            </m:r>
          </m:e>
        </m:d>
      </m:oMath>
      <w:r w:rsidR="00F31C73" w:rsidRPr="00B93C08">
        <w:rPr>
          <w:rFonts w:asciiTheme="minorHAnsi" w:eastAsiaTheme="minorEastAsia" w:hAnsiTheme="minorHAnsi" w:cstheme="minorHAnsi"/>
          <w:sz w:val="18"/>
          <w:szCs w:val="18"/>
        </w:rPr>
        <w:t>. Using a logarithm with base 2 results in the required functional form.</w:t>
      </w:r>
    </w:p>
  </w:footnote>
  <w:footnote w:id="5">
    <w:p w14:paraId="6D3D6BDA" w14:textId="4DEE02FD" w:rsidR="002B6E60" w:rsidRPr="009C2085" w:rsidRDefault="002B6E60" w:rsidP="002B6E60">
      <w:pPr>
        <w:pStyle w:val="FootnoteText"/>
        <w:rPr>
          <w:sz w:val="18"/>
          <w:szCs w:val="18"/>
        </w:rPr>
      </w:pPr>
      <w:r w:rsidRPr="009C2085">
        <w:rPr>
          <w:rStyle w:val="FootnoteReference"/>
          <w:sz w:val="18"/>
          <w:szCs w:val="18"/>
        </w:rPr>
        <w:footnoteRef/>
      </w:r>
      <w:r w:rsidRPr="009C2085">
        <w:rPr>
          <w:sz w:val="18"/>
          <w:szCs w:val="18"/>
        </w:rPr>
        <w:t xml:space="preserve"> Please note that more detailed data show that employment increased by 0.045% over the March quarter 2024.</w:t>
      </w:r>
    </w:p>
  </w:footnote>
  <w:footnote w:id="6">
    <w:p w14:paraId="56EE3F72" w14:textId="77777777" w:rsidR="001E6EAD" w:rsidRPr="00B93C08" w:rsidRDefault="001E6EAD" w:rsidP="001E6EAD">
      <w:pPr>
        <w:pStyle w:val="FootnoteText"/>
      </w:pPr>
      <w:r w:rsidRPr="00B93C08">
        <w:rPr>
          <w:rStyle w:val="FootnoteReference"/>
        </w:rPr>
        <w:footnoteRef/>
      </w:r>
      <w:r w:rsidRPr="00B93C08">
        <w:t xml:space="preserve"> </w:t>
      </w:r>
      <w:r w:rsidRPr="00B93C08">
        <w:rPr>
          <w:rFonts w:eastAsia="Times New Roman"/>
          <w:sz w:val="18"/>
          <w:szCs w:val="18"/>
        </w:rPr>
        <w:t>The RLMI, a composite indicator, brings together several partial indicators of spare labour market capacity to assess a region’s (SA4) current labour market strength, relative to the national average. A strong labour market is characterised by a high rate of employment, where employment opportunities are extended to all who want them.</w:t>
      </w:r>
    </w:p>
  </w:footnote>
  <w:footnote w:id="7">
    <w:p w14:paraId="19F43AA6" w14:textId="77777777" w:rsidR="007D1E2F" w:rsidRPr="00B93C08" w:rsidRDefault="007D1E2F" w:rsidP="007D1E2F">
      <w:pPr>
        <w:pStyle w:val="FootnoteText"/>
        <w:rPr>
          <w:sz w:val="18"/>
          <w:szCs w:val="18"/>
        </w:rPr>
      </w:pPr>
      <w:r w:rsidRPr="00B93C08">
        <w:rPr>
          <w:rStyle w:val="FootnoteReference"/>
        </w:rPr>
        <w:footnoteRef/>
      </w:r>
      <w:r w:rsidRPr="00B93C08">
        <w:t xml:space="preserve"> </w:t>
      </w:r>
      <w:r w:rsidRPr="00B93C08">
        <w:rPr>
          <w:sz w:val="18"/>
          <w:szCs w:val="18"/>
        </w:rPr>
        <w:t xml:space="preserve">RBA, </w:t>
      </w:r>
      <w:hyperlink r:id="rId1" w:history="1">
        <w:r w:rsidRPr="00B93C08">
          <w:rPr>
            <w:rStyle w:val="Hyperlink"/>
            <w:i/>
            <w:iCs/>
            <w:sz w:val="18"/>
            <w:szCs w:val="18"/>
          </w:rPr>
          <w:t>Regional Variation in Economic Conditions</w:t>
        </w:r>
      </w:hyperlink>
      <w:r w:rsidRPr="00B93C08">
        <w:rPr>
          <w:sz w:val="18"/>
          <w:szCs w:val="18"/>
        </w:rPr>
        <w:t>, 2020, accessed April 2024.</w:t>
      </w:r>
    </w:p>
  </w:footnote>
  <w:footnote w:id="8">
    <w:p w14:paraId="497AB571" w14:textId="77777777" w:rsidR="007D1E2F" w:rsidRPr="00B93C08" w:rsidRDefault="007D1E2F" w:rsidP="007D1E2F">
      <w:pPr>
        <w:pStyle w:val="FootnoteText"/>
      </w:pPr>
      <w:r w:rsidRPr="00B93C08">
        <w:rPr>
          <w:rStyle w:val="FootnoteReference"/>
        </w:rPr>
        <w:footnoteRef/>
      </w:r>
      <w:r w:rsidRPr="00B93C08">
        <w:t xml:space="preserve"> </w:t>
      </w:r>
      <w:r w:rsidRPr="00B93C08">
        <w:rPr>
          <w:sz w:val="18"/>
          <w:szCs w:val="18"/>
        </w:rPr>
        <w:t>F</w:t>
      </w:r>
      <w:r w:rsidRPr="00B93C08">
        <w:rPr>
          <w:rFonts w:eastAsia="Arial" w:cs="Arial"/>
          <w:sz w:val="18"/>
          <w:szCs w:val="18"/>
        </w:rPr>
        <w:t>ossil-fuel related groups which will decline and transform substantially as a result of decarbonisation.</w:t>
      </w:r>
    </w:p>
  </w:footnote>
  <w:footnote w:id="9">
    <w:p w14:paraId="038F804E" w14:textId="77777777" w:rsidR="007D1E2F" w:rsidRPr="00B93C08" w:rsidRDefault="007D1E2F" w:rsidP="007D1E2F">
      <w:pPr>
        <w:pStyle w:val="FootnoteText"/>
        <w:rPr>
          <w:sz w:val="18"/>
          <w:szCs w:val="18"/>
        </w:rPr>
      </w:pPr>
      <w:r w:rsidRPr="00B93C08">
        <w:rPr>
          <w:rStyle w:val="FootnoteReference"/>
        </w:rPr>
        <w:footnoteRef/>
      </w:r>
      <w:r w:rsidRPr="00B93C08">
        <w:t xml:space="preserve"> </w:t>
      </w:r>
      <w:r w:rsidRPr="00B93C08">
        <w:rPr>
          <w:sz w:val="18"/>
          <w:szCs w:val="18"/>
        </w:rPr>
        <w:t xml:space="preserve">JSA, </w:t>
      </w:r>
      <w:hyperlink r:id="rId2" w:history="1">
        <w:r w:rsidRPr="00B93C08">
          <w:rPr>
            <w:rStyle w:val="Hyperlink"/>
            <w:i/>
            <w:iCs/>
            <w:sz w:val="18"/>
            <w:szCs w:val="18"/>
          </w:rPr>
          <w:t>Clean Energy Capacity Study</w:t>
        </w:r>
      </w:hyperlink>
      <w:r w:rsidRPr="00B93C08">
        <w:rPr>
          <w:sz w:val="18"/>
          <w:szCs w:val="18"/>
        </w:rPr>
        <w:t xml:space="preserve">, 2023. </w:t>
      </w:r>
    </w:p>
  </w:footnote>
  <w:footnote w:id="10">
    <w:p w14:paraId="3339D20E" w14:textId="77777777" w:rsidR="007D1E2F" w:rsidRPr="00B93C08" w:rsidRDefault="007D1E2F" w:rsidP="007D1E2F">
      <w:pPr>
        <w:pStyle w:val="FootnoteText"/>
        <w:rPr>
          <w:sz w:val="18"/>
          <w:szCs w:val="18"/>
        </w:rPr>
      </w:pPr>
      <w:r w:rsidRPr="00B93C08">
        <w:rPr>
          <w:rStyle w:val="FootnoteReference"/>
        </w:rPr>
        <w:footnoteRef/>
      </w:r>
      <w:r w:rsidRPr="00B93C08">
        <w:t xml:space="preserve"> </w:t>
      </w:r>
      <w:r w:rsidRPr="00B93C08">
        <w:rPr>
          <w:sz w:val="18"/>
          <w:szCs w:val="18"/>
        </w:rPr>
        <w:t xml:space="preserve">The vacancy ratio measures the share of online job ads as a proportion of employment.  </w:t>
      </w:r>
    </w:p>
  </w:footnote>
  <w:footnote w:id="11">
    <w:p w14:paraId="1FA6BD0C" w14:textId="437BF6C1" w:rsidR="00782901" w:rsidRPr="00B93C08" w:rsidRDefault="00782901" w:rsidP="00782901">
      <w:pPr>
        <w:pStyle w:val="FootnoteText"/>
        <w:rPr>
          <w:sz w:val="18"/>
          <w:szCs w:val="18"/>
        </w:rPr>
      </w:pPr>
      <w:r w:rsidRPr="00B93C08">
        <w:rPr>
          <w:rStyle w:val="FootnoteReference"/>
          <w:sz w:val="18"/>
          <w:szCs w:val="18"/>
        </w:rPr>
        <w:footnoteRef/>
      </w:r>
      <w:r w:rsidRPr="00B93C08">
        <w:rPr>
          <w:sz w:val="18"/>
          <w:szCs w:val="18"/>
        </w:rPr>
        <w:t xml:space="preserve"> </w:t>
      </w:r>
      <w:bookmarkStart w:id="60" w:name="_Hlk148598097"/>
      <w:r w:rsidRPr="00B93C08">
        <w:rPr>
          <w:rFonts w:cs="Arial"/>
          <w:sz w:val="18"/>
          <w:szCs w:val="18"/>
        </w:rPr>
        <w:t>Industry</w:t>
      </w:r>
      <w:r w:rsidR="007B5616" w:rsidRPr="00B93C08">
        <w:rPr>
          <w:rFonts w:cs="Arial"/>
          <w:sz w:val="18"/>
          <w:szCs w:val="18"/>
        </w:rPr>
        <w:t xml:space="preserve"> employment</w:t>
      </w:r>
      <w:r w:rsidRPr="00B93C08">
        <w:rPr>
          <w:rFonts w:cs="Arial"/>
          <w:sz w:val="18"/>
          <w:szCs w:val="18"/>
        </w:rPr>
        <w:t xml:space="preserve"> data are trended by </w:t>
      </w:r>
      <w:r w:rsidR="00E125DF" w:rsidRPr="00B93C08">
        <w:rPr>
          <w:rFonts w:cs="Arial"/>
          <w:sz w:val="18"/>
          <w:szCs w:val="18"/>
        </w:rPr>
        <w:t>JSA</w:t>
      </w:r>
      <w:r w:rsidR="008244E0" w:rsidRPr="00B93C08">
        <w:rPr>
          <w:rFonts w:cs="Arial"/>
          <w:sz w:val="18"/>
          <w:szCs w:val="18"/>
        </w:rPr>
        <w:t>, while t</w:t>
      </w:r>
      <w:r w:rsidRPr="00B93C08">
        <w:rPr>
          <w:rFonts w:cs="Arial"/>
          <w:sz w:val="18"/>
          <w:szCs w:val="18"/>
        </w:rPr>
        <w:t xml:space="preserve">otal employment data are trended by the ABS. </w:t>
      </w:r>
      <w:r w:rsidR="00E125DF" w:rsidRPr="00B93C08">
        <w:rPr>
          <w:rFonts w:cs="Arial"/>
          <w:sz w:val="18"/>
          <w:szCs w:val="18"/>
        </w:rPr>
        <w:t>JSA</w:t>
      </w:r>
      <w:r w:rsidR="008244E0" w:rsidRPr="00B93C08">
        <w:rPr>
          <w:rFonts w:cs="Arial"/>
          <w:sz w:val="18"/>
          <w:szCs w:val="18"/>
        </w:rPr>
        <w:t xml:space="preserve"> </w:t>
      </w:r>
      <w:r w:rsidRPr="00B93C08">
        <w:rPr>
          <w:rFonts w:cs="Arial"/>
          <w:sz w:val="18"/>
          <w:szCs w:val="18"/>
        </w:rPr>
        <w:t xml:space="preserve">and </w:t>
      </w:r>
      <w:r w:rsidR="00D7028E" w:rsidRPr="00B93C08">
        <w:rPr>
          <w:rFonts w:cs="Arial"/>
          <w:sz w:val="18"/>
          <w:szCs w:val="18"/>
        </w:rPr>
        <w:t xml:space="preserve">the </w:t>
      </w:r>
      <w:r w:rsidRPr="00B93C08">
        <w:rPr>
          <w:rFonts w:cs="Arial"/>
          <w:sz w:val="18"/>
          <w:szCs w:val="18"/>
        </w:rPr>
        <w:t>ABS</w:t>
      </w:r>
      <w:r w:rsidR="007B5616" w:rsidRPr="00B93C08">
        <w:rPr>
          <w:rFonts w:cs="Arial"/>
          <w:sz w:val="18"/>
          <w:szCs w:val="18"/>
        </w:rPr>
        <w:t xml:space="preserve"> use</w:t>
      </w:r>
      <w:r w:rsidRPr="00B93C08">
        <w:rPr>
          <w:rFonts w:cs="Arial"/>
          <w:sz w:val="18"/>
          <w:szCs w:val="18"/>
        </w:rPr>
        <w:t xml:space="preserve"> </w:t>
      </w:r>
      <w:r w:rsidR="007B5616" w:rsidRPr="00B93C08">
        <w:rPr>
          <w:rFonts w:cs="Arial"/>
          <w:sz w:val="18"/>
          <w:szCs w:val="18"/>
        </w:rPr>
        <w:t xml:space="preserve">different </w:t>
      </w:r>
      <w:r w:rsidRPr="00B93C08">
        <w:rPr>
          <w:rFonts w:cs="Arial"/>
          <w:sz w:val="18"/>
          <w:szCs w:val="18"/>
        </w:rPr>
        <w:t>trending methodologies, and industry</w:t>
      </w:r>
      <w:r w:rsidR="007B5616" w:rsidRPr="00B93C08">
        <w:rPr>
          <w:rFonts w:cs="Arial"/>
          <w:sz w:val="18"/>
          <w:szCs w:val="18"/>
        </w:rPr>
        <w:t xml:space="preserve"> employment</w:t>
      </w:r>
      <w:r w:rsidRPr="00B93C08">
        <w:rPr>
          <w:rFonts w:cs="Arial"/>
          <w:sz w:val="18"/>
          <w:szCs w:val="18"/>
        </w:rPr>
        <w:t xml:space="preserve"> data do not sum to total employment figures.</w:t>
      </w:r>
      <w:bookmarkEnd w:id="60"/>
    </w:p>
  </w:footnote>
  <w:footnote w:id="12">
    <w:p w14:paraId="642C8605" w14:textId="77777777" w:rsidR="00205C78" w:rsidRPr="00B93C08" w:rsidRDefault="00205C78" w:rsidP="00205C78">
      <w:pPr>
        <w:pStyle w:val="FootnoteText"/>
      </w:pPr>
      <w:r w:rsidRPr="00B93C08">
        <w:rPr>
          <w:rStyle w:val="FootnoteReference"/>
        </w:rPr>
        <w:footnoteRef/>
      </w:r>
      <w:r w:rsidRPr="00B93C08">
        <w:t xml:space="preserve"> </w:t>
      </w:r>
      <w:r w:rsidRPr="00B93C08">
        <w:rPr>
          <w:rFonts w:cs="Arial"/>
          <w:sz w:val="18"/>
          <w:szCs w:val="18"/>
        </w:rPr>
        <w:t>JSA trended quarterly industry employment data are available for the August 1986 quarter onwards.</w:t>
      </w:r>
    </w:p>
  </w:footnote>
  <w:footnote w:id="13">
    <w:p w14:paraId="2AC34EDE" w14:textId="0B5F2BFF" w:rsidR="00782901" w:rsidRPr="00B93C08" w:rsidRDefault="00782901" w:rsidP="00782901">
      <w:pPr>
        <w:pStyle w:val="FootnoteText"/>
        <w:rPr>
          <w:sz w:val="18"/>
          <w:szCs w:val="18"/>
        </w:rPr>
      </w:pPr>
      <w:r w:rsidRPr="00B93C08">
        <w:rPr>
          <w:rStyle w:val="FootnoteReference"/>
          <w:sz w:val="18"/>
          <w:szCs w:val="18"/>
        </w:rPr>
        <w:footnoteRef/>
      </w:r>
      <w:r w:rsidRPr="00B93C08">
        <w:rPr>
          <w:sz w:val="18"/>
          <w:szCs w:val="18"/>
        </w:rPr>
        <w:t xml:space="preserve"> </w:t>
      </w:r>
      <w:r w:rsidRPr="00B93C08">
        <w:rPr>
          <w:rFonts w:cs="Arial"/>
          <w:sz w:val="18"/>
          <w:szCs w:val="18"/>
        </w:rPr>
        <w:t xml:space="preserve">Skill Level data are trended by </w:t>
      </w:r>
      <w:r w:rsidR="004C7A30" w:rsidRPr="00B93C08">
        <w:rPr>
          <w:rFonts w:cs="Arial"/>
          <w:sz w:val="18"/>
          <w:szCs w:val="18"/>
        </w:rPr>
        <w:t>Jobs and Skills Australia</w:t>
      </w:r>
      <w:r w:rsidRPr="00B93C08">
        <w:rPr>
          <w:rFonts w:cs="Arial"/>
          <w:sz w:val="18"/>
          <w:szCs w:val="18"/>
        </w:rPr>
        <w:t xml:space="preserve">. Total employment data are trended by the ABS. </w:t>
      </w:r>
      <w:r w:rsidR="004C7A30" w:rsidRPr="00B93C08">
        <w:rPr>
          <w:rFonts w:cs="Arial"/>
          <w:sz w:val="18"/>
          <w:szCs w:val="18"/>
        </w:rPr>
        <w:t xml:space="preserve">Jobs and Skills Australia </w:t>
      </w:r>
      <w:r w:rsidRPr="00B93C08">
        <w:rPr>
          <w:rFonts w:cs="Arial"/>
          <w:sz w:val="18"/>
          <w:szCs w:val="18"/>
        </w:rPr>
        <w:t>and ABS</w:t>
      </w:r>
      <w:r w:rsidR="004C7A30" w:rsidRPr="00B93C08">
        <w:rPr>
          <w:rFonts w:cs="Arial"/>
          <w:sz w:val="18"/>
          <w:szCs w:val="18"/>
        </w:rPr>
        <w:t xml:space="preserve"> use different</w:t>
      </w:r>
      <w:r w:rsidRPr="00B93C08">
        <w:rPr>
          <w:rFonts w:cs="Arial"/>
          <w:sz w:val="18"/>
          <w:szCs w:val="18"/>
        </w:rPr>
        <w:t xml:space="preserve"> trending methodologies, and Skill Level data do not sum to total employment figures.</w:t>
      </w:r>
    </w:p>
  </w:footnote>
  <w:footnote w:id="14">
    <w:p w14:paraId="4A6D3C44" w14:textId="2B6E0414" w:rsidR="0002774C" w:rsidRPr="00B93C08" w:rsidRDefault="0002774C" w:rsidP="0002774C">
      <w:pPr>
        <w:pStyle w:val="FootnoteText"/>
        <w:rPr>
          <w:sz w:val="18"/>
          <w:szCs w:val="18"/>
        </w:rPr>
      </w:pPr>
      <w:r w:rsidRPr="00B93C08">
        <w:rPr>
          <w:rStyle w:val="FootnoteReference"/>
          <w:sz w:val="18"/>
          <w:szCs w:val="18"/>
        </w:rPr>
        <w:footnoteRef/>
      </w:r>
      <w:r w:rsidRPr="00B93C08">
        <w:rPr>
          <w:sz w:val="18"/>
          <w:szCs w:val="18"/>
        </w:rPr>
        <w:t xml:space="preserve"> </w:t>
      </w:r>
      <w:r w:rsidRPr="00B93C08">
        <w:rPr>
          <w:rFonts w:cs="Arial"/>
          <w:sz w:val="18"/>
          <w:szCs w:val="18"/>
        </w:rPr>
        <w:t xml:space="preserve">Occupation group data are trended by </w:t>
      </w:r>
      <w:r w:rsidR="00FD56A7" w:rsidRPr="00B93C08">
        <w:rPr>
          <w:rFonts w:cs="Arial"/>
          <w:sz w:val="18"/>
          <w:szCs w:val="18"/>
        </w:rPr>
        <w:t>Jobs and Skills Australia</w:t>
      </w:r>
      <w:r w:rsidRPr="00B93C08">
        <w:rPr>
          <w:rFonts w:cs="Arial"/>
          <w:sz w:val="18"/>
          <w:szCs w:val="18"/>
        </w:rPr>
        <w:t xml:space="preserve">. Total employment data are trended by the ABS. </w:t>
      </w:r>
      <w:r w:rsidR="00FD56A7" w:rsidRPr="00B93C08">
        <w:rPr>
          <w:rFonts w:cs="Arial"/>
          <w:sz w:val="18"/>
          <w:szCs w:val="18"/>
        </w:rPr>
        <w:t xml:space="preserve">Jobs and Skills Australia </w:t>
      </w:r>
      <w:r w:rsidRPr="00B93C08">
        <w:rPr>
          <w:rFonts w:cs="Arial"/>
          <w:sz w:val="18"/>
          <w:szCs w:val="18"/>
        </w:rPr>
        <w:t>and ABS</w:t>
      </w:r>
      <w:r w:rsidR="00FD56A7" w:rsidRPr="00B93C08">
        <w:rPr>
          <w:rFonts w:cs="Arial"/>
          <w:sz w:val="18"/>
          <w:szCs w:val="18"/>
        </w:rPr>
        <w:t xml:space="preserve"> use</w:t>
      </w:r>
      <w:r w:rsidRPr="00B93C08">
        <w:rPr>
          <w:rFonts w:cs="Arial"/>
          <w:sz w:val="18"/>
          <w:szCs w:val="18"/>
        </w:rPr>
        <w:t xml:space="preserve"> trending methodologies, and occupation group data do not sum to total employment figures.</w:t>
      </w:r>
    </w:p>
  </w:footnote>
  <w:footnote w:id="15">
    <w:p w14:paraId="2A827A5B" w14:textId="3189BD7F" w:rsidR="00CD16CB" w:rsidRPr="00B93C08" w:rsidRDefault="00CD16CB">
      <w:pPr>
        <w:pStyle w:val="FootnoteText"/>
      </w:pPr>
      <w:r w:rsidRPr="00B93C08">
        <w:rPr>
          <w:rStyle w:val="FootnoteReference"/>
          <w:sz w:val="18"/>
          <w:szCs w:val="18"/>
        </w:rPr>
        <w:footnoteRef/>
      </w:r>
      <w:r w:rsidRPr="00B93C08">
        <w:rPr>
          <w:sz w:val="18"/>
          <w:szCs w:val="18"/>
        </w:rPr>
        <w:t xml:space="preserve"> Online job advertisements can be slightly biased towards higher skilled positions. Employers with lower skilled vacancies </w:t>
      </w:r>
      <w:r w:rsidR="00D03139" w:rsidRPr="00B93C08">
        <w:rPr>
          <w:sz w:val="18"/>
          <w:szCs w:val="18"/>
        </w:rPr>
        <w:t xml:space="preserve">are more likely to </w:t>
      </w:r>
      <w:r w:rsidRPr="00B93C08">
        <w:rPr>
          <w:sz w:val="18"/>
          <w:szCs w:val="18"/>
        </w:rPr>
        <w:t>use informal recruitment methods</w:t>
      </w:r>
      <w:r w:rsidR="00D03139" w:rsidRPr="00B93C08">
        <w:rPr>
          <w:sz w:val="18"/>
          <w:szCs w:val="18"/>
        </w:rPr>
        <w:t>,</w:t>
      </w:r>
      <w:r w:rsidRPr="00B93C08">
        <w:rPr>
          <w:sz w:val="18"/>
          <w:szCs w:val="18"/>
        </w:rPr>
        <w:t xml:space="preserve"> </w:t>
      </w:r>
      <w:r w:rsidR="00D03139" w:rsidRPr="00B93C08">
        <w:rPr>
          <w:sz w:val="18"/>
          <w:szCs w:val="18"/>
        </w:rPr>
        <w:t>such as</w:t>
      </w:r>
      <w:r w:rsidRPr="00B93C08">
        <w:rPr>
          <w:sz w:val="18"/>
          <w:szCs w:val="18"/>
        </w:rPr>
        <w:t xml:space="preserve"> social media or word of mouth.</w:t>
      </w:r>
    </w:p>
  </w:footnote>
  <w:footnote w:id="16">
    <w:p w14:paraId="34BEA266" w14:textId="77777777" w:rsidR="004D11CB" w:rsidRPr="00B93C08" w:rsidRDefault="004D11CB" w:rsidP="004D11CB">
      <w:pPr>
        <w:pStyle w:val="FootnoteText"/>
        <w:rPr>
          <w:sz w:val="18"/>
          <w:szCs w:val="18"/>
        </w:rPr>
      </w:pPr>
      <w:r w:rsidRPr="00B93C08">
        <w:rPr>
          <w:rStyle w:val="FootnoteReference"/>
          <w:sz w:val="18"/>
          <w:szCs w:val="18"/>
        </w:rPr>
        <w:footnoteRef/>
      </w:r>
      <w:r w:rsidRPr="00B93C08">
        <w:rPr>
          <w:sz w:val="18"/>
          <w:szCs w:val="18"/>
        </w:rPr>
        <w:t xml:space="preserve"> L Taylor, ‘</w:t>
      </w:r>
      <w:hyperlink r:id="rId3" w:history="1">
        <w:r w:rsidRPr="00B93C08">
          <w:rPr>
            <w:rStyle w:val="Hyperlink"/>
            <w:sz w:val="18"/>
            <w:szCs w:val="18"/>
          </w:rPr>
          <w:t>News Corp using AI to produce 3,000 Australian local news stories a week</w:t>
        </w:r>
      </w:hyperlink>
      <w:r w:rsidRPr="00B93C08">
        <w:rPr>
          <w:sz w:val="18"/>
          <w:szCs w:val="18"/>
        </w:rPr>
        <w:t xml:space="preserve">’, </w:t>
      </w:r>
      <w:r w:rsidRPr="00B93C08">
        <w:rPr>
          <w:i/>
          <w:iCs/>
          <w:sz w:val="18"/>
          <w:szCs w:val="18"/>
        </w:rPr>
        <w:t>The Guardian Australia</w:t>
      </w:r>
      <w:r w:rsidRPr="00B93C08">
        <w:rPr>
          <w:sz w:val="18"/>
          <w:szCs w:val="18"/>
        </w:rPr>
        <w:t>, 1 August 2023.</w:t>
      </w:r>
    </w:p>
  </w:footnote>
  <w:footnote w:id="17">
    <w:p w14:paraId="5CD82899" w14:textId="11D764AE" w:rsidR="004D11CB" w:rsidRPr="00B93C08" w:rsidRDefault="004D11CB">
      <w:pPr>
        <w:pStyle w:val="FootnoteText"/>
        <w:rPr>
          <w:sz w:val="18"/>
          <w:szCs w:val="18"/>
        </w:rPr>
      </w:pPr>
      <w:r w:rsidRPr="00B93C08">
        <w:rPr>
          <w:rStyle w:val="FootnoteReference"/>
          <w:sz w:val="18"/>
          <w:szCs w:val="18"/>
        </w:rPr>
        <w:footnoteRef/>
      </w:r>
      <w:r w:rsidRPr="00B93C08">
        <w:rPr>
          <w:sz w:val="18"/>
          <w:szCs w:val="18"/>
        </w:rPr>
        <w:t xml:space="preserve"> Please note, authors, television presenters or talk back radio hosts are categorised elsewhere in the Australian and New Zealand Standard Classification of Occupations and are not covered in this analysis.</w:t>
      </w:r>
    </w:p>
  </w:footnote>
  <w:footnote w:id="18">
    <w:p w14:paraId="72A17307" w14:textId="38AC55B0" w:rsidR="00FA6FF6" w:rsidRPr="00B93C08" w:rsidRDefault="00FA6FF6">
      <w:pPr>
        <w:pStyle w:val="FootnoteText"/>
        <w:rPr>
          <w:sz w:val="18"/>
          <w:szCs w:val="18"/>
        </w:rPr>
      </w:pPr>
      <w:r w:rsidRPr="00B93C08">
        <w:rPr>
          <w:rStyle w:val="FootnoteReference"/>
          <w:sz w:val="18"/>
          <w:szCs w:val="18"/>
        </w:rPr>
        <w:footnoteRef/>
      </w:r>
      <w:r w:rsidRPr="00B93C08">
        <w:rPr>
          <w:sz w:val="18"/>
          <w:szCs w:val="18"/>
        </w:rPr>
        <w:t xml:space="preserve"> Jobs and Skills Australia (JSA), ‘</w:t>
      </w:r>
      <w:hyperlink r:id="rId4" w:history="1">
        <w:r w:rsidRPr="00B93C08">
          <w:rPr>
            <w:rStyle w:val="Hyperlink"/>
            <w:sz w:val="18"/>
            <w:szCs w:val="18"/>
          </w:rPr>
          <w:t>Internet Vacancy Index</w:t>
        </w:r>
      </w:hyperlink>
      <w:r w:rsidRPr="00B93C08">
        <w:rPr>
          <w:sz w:val="18"/>
          <w:szCs w:val="18"/>
        </w:rPr>
        <w:t xml:space="preserve">’, </w:t>
      </w:r>
      <w:r w:rsidR="00F52872" w:rsidRPr="00B93C08">
        <w:rPr>
          <w:sz w:val="18"/>
          <w:szCs w:val="18"/>
        </w:rPr>
        <w:t>3</w:t>
      </w:r>
      <w:r w:rsidRPr="00B93C08">
        <w:rPr>
          <w:sz w:val="18"/>
          <w:szCs w:val="18"/>
        </w:rPr>
        <w:t>-month averaged data, February 2023.</w:t>
      </w:r>
    </w:p>
  </w:footnote>
  <w:footnote w:id="19">
    <w:p w14:paraId="503EB340" w14:textId="03089869" w:rsidR="005E756C" w:rsidRPr="00B93C08" w:rsidRDefault="005E756C">
      <w:pPr>
        <w:pStyle w:val="FootnoteText"/>
        <w:rPr>
          <w:sz w:val="18"/>
          <w:szCs w:val="18"/>
        </w:rPr>
      </w:pPr>
      <w:r w:rsidRPr="00B93C08">
        <w:rPr>
          <w:rStyle w:val="FootnoteReference"/>
          <w:sz w:val="18"/>
          <w:szCs w:val="18"/>
        </w:rPr>
        <w:footnoteRef/>
      </w:r>
      <w:r w:rsidRPr="00B93C08">
        <w:rPr>
          <w:sz w:val="18"/>
          <w:szCs w:val="18"/>
        </w:rPr>
        <w:t xml:space="preserve"> ABS, ‘Labour Force</w:t>
      </w:r>
      <w:r w:rsidR="0042089A" w:rsidRPr="00B93C08">
        <w:rPr>
          <w:sz w:val="18"/>
          <w:szCs w:val="18"/>
        </w:rPr>
        <w:t>,</w:t>
      </w:r>
      <w:r w:rsidRPr="00B93C08">
        <w:rPr>
          <w:sz w:val="18"/>
          <w:szCs w:val="18"/>
        </w:rPr>
        <w:t xml:space="preserve"> </w:t>
      </w:r>
      <w:r w:rsidR="0042089A" w:rsidRPr="00B93C08">
        <w:rPr>
          <w:sz w:val="18"/>
          <w:szCs w:val="18"/>
        </w:rPr>
        <w:t>Australia</w:t>
      </w:r>
      <w:r w:rsidRPr="00B93C08">
        <w:rPr>
          <w:sz w:val="18"/>
          <w:szCs w:val="18"/>
        </w:rPr>
        <w:t>, Detailed’, February 2024, trend data by Jobs and Skills Australia.</w:t>
      </w:r>
    </w:p>
  </w:footnote>
  <w:footnote w:id="20">
    <w:p w14:paraId="4F899D00" w14:textId="0933BE13" w:rsidR="005E756C" w:rsidRPr="00B93C08" w:rsidRDefault="005E756C">
      <w:pPr>
        <w:pStyle w:val="FootnoteText"/>
        <w:rPr>
          <w:sz w:val="18"/>
          <w:szCs w:val="18"/>
        </w:rPr>
      </w:pPr>
      <w:r w:rsidRPr="00B93C08">
        <w:rPr>
          <w:rStyle w:val="FootnoteReference"/>
          <w:sz w:val="18"/>
          <w:szCs w:val="18"/>
        </w:rPr>
        <w:footnoteRef/>
      </w:r>
      <w:r w:rsidRPr="00B93C08">
        <w:rPr>
          <w:sz w:val="18"/>
          <w:szCs w:val="18"/>
        </w:rPr>
        <w:t xml:space="preserve"> ABS, ‘Labour Force</w:t>
      </w:r>
      <w:r w:rsidR="0042089A" w:rsidRPr="00B93C08">
        <w:rPr>
          <w:sz w:val="18"/>
          <w:szCs w:val="18"/>
        </w:rPr>
        <w:t>,</w:t>
      </w:r>
      <w:r w:rsidRPr="00B93C08">
        <w:rPr>
          <w:sz w:val="18"/>
          <w:szCs w:val="18"/>
        </w:rPr>
        <w:t xml:space="preserve"> </w:t>
      </w:r>
      <w:r w:rsidR="0042089A" w:rsidRPr="00B93C08">
        <w:rPr>
          <w:sz w:val="18"/>
          <w:szCs w:val="18"/>
        </w:rPr>
        <w:t>Australia</w:t>
      </w:r>
      <w:r w:rsidRPr="00B93C08">
        <w:rPr>
          <w:sz w:val="18"/>
          <w:szCs w:val="18"/>
        </w:rPr>
        <w:t>, Detailed’, February 2024, trend data by Jobs and Skills Australia.</w:t>
      </w:r>
    </w:p>
  </w:footnote>
  <w:footnote w:id="21">
    <w:p w14:paraId="7F79DD8B" w14:textId="04E16EB8" w:rsidR="00D412CC" w:rsidRPr="00B93C08" w:rsidRDefault="00D412CC">
      <w:pPr>
        <w:pStyle w:val="FootnoteText"/>
        <w:rPr>
          <w:sz w:val="18"/>
          <w:szCs w:val="18"/>
        </w:rPr>
      </w:pPr>
      <w:r w:rsidRPr="00B93C08">
        <w:rPr>
          <w:rStyle w:val="FootnoteReference"/>
          <w:sz w:val="18"/>
          <w:szCs w:val="18"/>
        </w:rPr>
        <w:footnoteRef/>
      </w:r>
      <w:r w:rsidRPr="00B93C08">
        <w:rPr>
          <w:sz w:val="18"/>
          <w:szCs w:val="18"/>
        </w:rPr>
        <w:t xml:space="preserve"> JSA, ‘</w:t>
      </w:r>
      <w:hyperlink r:id="rId5" w:history="1">
        <w:r w:rsidRPr="00B93C08">
          <w:rPr>
            <w:rStyle w:val="Hyperlink"/>
            <w:sz w:val="18"/>
            <w:szCs w:val="18"/>
          </w:rPr>
          <w:t>Data on Occupation Mobility</w:t>
        </w:r>
      </w:hyperlink>
      <w:r w:rsidRPr="00B93C08">
        <w:rPr>
          <w:sz w:val="18"/>
          <w:szCs w:val="18"/>
        </w:rPr>
        <w:t>’, 2023.</w:t>
      </w:r>
    </w:p>
  </w:footnote>
  <w:footnote w:id="22">
    <w:p w14:paraId="3A51F63B" w14:textId="3AA7A6A2" w:rsidR="00D412CC" w:rsidRPr="00B93C08" w:rsidRDefault="00D412CC">
      <w:pPr>
        <w:pStyle w:val="FootnoteText"/>
        <w:rPr>
          <w:sz w:val="18"/>
          <w:szCs w:val="18"/>
        </w:rPr>
      </w:pPr>
      <w:r w:rsidRPr="00B93C08">
        <w:rPr>
          <w:rStyle w:val="FootnoteReference"/>
          <w:sz w:val="18"/>
          <w:szCs w:val="18"/>
        </w:rPr>
        <w:footnoteRef/>
      </w:r>
      <w:r w:rsidRPr="00B93C08">
        <w:rPr>
          <w:sz w:val="18"/>
          <w:szCs w:val="18"/>
        </w:rPr>
        <w:t xml:space="preserve"> JSA, ‘Data on Occupation Mobility’.</w:t>
      </w:r>
    </w:p>
  </w:footnote>
  <w:footnote w:id="23">
    <w:p w14:paraId="37078086" w14:textId="77777777" w:rsidR="000F2DD4" w:rsidRPr="00B93C08" w:rsidRDefault="000F2DD4" w:rsidP="000F2DD4">
      <w:pPr>
        <w:pStyle w:val="FootnoteText"/>
        <w:rPr>
          <w:sz w:val="18"/>
          <w:szCs w:val="18"/>
        </w:rPr>
      </w:pPr>
      <w:r w:rsidRPr="00B93C08">
        <w:rPr>
          <w:rStyle w:val="FootnoteReference"/>
          <w:sz w:val="18"/>
          <w:szCs w:val="18"/>
        </w:rPr>
        <w:footnoteRef/>
      </w:r>
      <w:r w:rsidRPr="00B93C08">
        <w:rPr>
          <w:sz w:val="18"/>
          <w:szCs w:val="18"/>
        </w:rPr>
        <w:t xml:space="preserve"> S Buckingham-Jones, ‘</w:t>
      </w:r>
      <w:hyperlink r:id="rId6" w:history="1">
        <w:r w:rsidRPr="00B93C08">
          <w:rPr>
            <w:rStyle w:val="Hyperlink"/>
            <w:sz w:val="18"/>
            <w:szCs w:val="18"/>
          </w:rPr>
          <w:t>Up to 200 jobs likely to go at News Corp amid strategy shift</w:t>
        </w:r>
      </w:hyperlink>
      <w:r w:rsidRPr="00B93C08">
        <w:rPr>
          <w:sz w:val="18"/>
          <w:szCs w:val="18"/>
        </w:rPr>
        <w:t xml:space="preserve">’, </w:t>
      </w:r>
      <w:r w:rsidRPr="00B93C08">
        <w:rPr>
          <w:i/>
          <w:iCs/>
          <w:sz w:val="18"/>
          <w:szCs w:val="18"/>
        </w:rPr>
        <w:t>The Australian Financial Review</w:t>
      </w:r>
      <w:r w:rsidRPr="00B93C08">
        <w:rPr>
          <w:sz w:val="18"/>
          <w:szCs w:val="18"/>
        </w:rPr>
        <w:t>, 13 March 2023.</w:t>
      </w:r>
    </w:p>
  </w:footnote>
  <w:footnote w:id="24">
    <w:p w14:paraId="35DA6CCC" w14:textId="77777777" w:rsidR="000F2DD4" w:rsidRPr="00B93C08" w:rsidRDefault="000F2DD4" w:rsidP="000F2DD4">
      <w:pPr>
        <w:pStyle w:val="FootnoteText"/>
        <w:rPr>
          <w:sz w:val="18"/>
          <w:szCs w:val="18"/>
        </w:rPr>
      </w:pPr>
      <w:r w:rsidRPr="00B93C08">
        <w:rPr>
          <w:rStyle w:val="FootnoteReference"/>
          <w:sz w:val="18"/>
          <w:szCs w:val="18"/>
        </w:rPr>
        <w:footnoteRef/>
      </w:r>
      <w:r w:rsidRPr="00B93C08">
        <w:rPr>
          <w:sz w:val="18"/>
          <w:szCs w:val="18"/>
        </w:rPr>
        <w:t xml:space="preserve"> Australian Broadcasting Corporation, ‘</w:t>
      </w:r>
      <w:hyperlink r:id="rId7" w:history="1">
        <w:r w:rsidRPr="00B93C08">
          <w:rPr>
            <w:rStyle w:val="Hyperlink"/>
            <w:sz w:val="18"/>
            <w:szCs w:val="18"/>
          </w:rPr>
          <w:t>ABC to cut 120 jobs as major changes are announced</w:t>
        </w:r>
      </w:hyperlink>
      <w:r w:rsidRPr="00B93C08">
        <w:rPr>
          <w:sz w:val="18"/>
          <w:szCs w:val="18"/>
        </w:rPr>
        <w:t xml:space="preserve">’, </w:t>
      </w:r>
      <w:r w:rsidRPr="00B93C08">
        <w:rPr>
          <w:i/>
          <w:iCs/>
          <w:sz w:val="18"/>
          <w:szCs w:val="18"/>
        </w:rPr>
        <w:t>ABC News</w:t>
      </w:r>
      <w:r w:rsidRPr="00B93C08">
        <w:rPr>
          <w:sz w:val="18"/>
          <w:szCs w:val="18"/>
        </w:rPr>
        <w:t>, 16 June 2023.</w:t>
      </w:r>
    </w:p>
  </w:footnote>
  <w:footnote w:id="25">
    <w:p w14:paraId="178C98F7" w14:textId="77777777" w:rsidR="000F2DD4" w:rsidRPr="00B93C08" w:rsidRDefault="000F2DD4" w:rsidP="000F2DD4">
      <w:pPr>
        <w:pStyle w:val="FootnoteText"/>
        <w:rPr>
          <w:sz w:val="18"/>
          <w:szCs w:val="18"/>
        </w:rPr>
      </w:pPr>
      <w:r w:rsidRPr="00B93C08">
        <w:rPr>
          <w:rStyle w:val="FootnoteReference"/>
          <w:sz w:val="18"/>
          <w:szCs w:val="18"/>
        </w:rPr>
        <w:footnoteRef/>
      </w:r>
      <w:r w:rsidRPr="00B93C08">
        <w:rPr>
          <w:sz w:val="18"/>
          <w:szCs w:val="18"/>
        </w:rPr>
        <w:t xml:space="preserve"> L Taylor, ‘News Corp using AI to produce 3,000 Australian local news stories a week’.</w:t>
      </w:r>
    </w:p>
  </w:footnote>
  <w:footnote w:id="26">
    <w:p w14:paraId="07D500D1" w14:textId="77777777" w:rsidR="000F2DD4" w:rsidRPr="00B93C08" w:rsidRDefault="000F2DD4" w:rsidP="000F2DD4">
      <w:pPr>
        <w:pStyle w:val="FootnoteText"/>
        <w:rPr>
          <w:sz w:val="18"/>
          <w:szCs w:val="18"/>
        </w:rPr>
      </w:pPr>
      <w:r w:rsidRPr="00B93C08">
        <w:rPr>
          <w:rStyle w:val="FootnoteReference"/>
        </w:rPr>
        <w:footnoteRef/>
      </w:r>
      <w:r w:rsidRPr="00B93C08">
        <w:t xml:space="preserve"> </w:t>
      </w:r>
      <w:r w:rsidRPr="00B93C08">
        <w:rPr>
          <w:sz w:val="18"/>
          <w:szCs w:val="18"/>
        </w:rPr>
        <w:t>Lightcast, ‘Australian Online Job Advertisements Data’, 2024.</w:t>
      </w:r>
    </w:p>
  </w:footnote>
  <w:footnote w:id="27">
    <w:p w14:paraId="68DCE526" w14:textId="5ACA567D" w:rsidR="000F2DD4" w:rsidRPr="00B93C08" w:rsidRDefault="000F2DD4" w:rsidP="000F2DD4">
      <w:pPr>
        <w:pStyle w:val="FootnoteText"/>
        <w:rPr>
          <w:sz w:val="18"/>
          <w:szCs w:val="18"/>
        </w:rPr>
      </w:pPr>
      <w:r w:rsidRPr="00B93C08">
        <w:rPr>
          <w:rStyle w:val="FootnoteReference"/>
          <w:sz w:val="18"/>
          <w:szCs w:val="18"/>
        </w:rPr>
        <w:footnoteRef/>
      </w:r>
      <w:r w:rsidRPr="00B93C08">
        <w:rPr>
          <w:sz w:val="18"/>
          <w:szCs w:val="18"/>
        </w:rPr>
        <w:t xml:space="preserve"> ABS, ‘</w:t>
      </w:r>
      <w:hyperlink r:id="rId8" w:history="1">
        <w:r w:rsidRPr="00B93C08">
          <w:rPr>
            <w:rStyle w:val="Hyperlink"/>
            <w:sz w:val="18"/>
            <w:szCs w:val="18"/>
          </w:rPr>
          <w:t>Journalists and Other Writers (OCCP) by Status in Employment (SIEMP) 2016 and 2021</w:t>
        </w:r>
      </w:hyperlink>
      <w:r w:rsidRPr="00B93C08">
        <w:rPr>
          <w:sz w:val="18"/>
          <w:szCs w:val="18"/>
        </w:rPr>
        <w:t xml:space="preserve">’ [Census </w:t>
      </w:r>
      <w:r w:rsidR="00C92D1A" w:rsidRPr="00B93C08">
        <w:rPr>
          <w:sz w:val="18"/>
          <w:szCs w:val="18"/>
        </w:rPr>
        <w:t xml:space="preserve">of Population and Housing, </w:t>
      </w:r>
      <w:r w:rsidRPr="00B93C08">
        <w:rPr>
          <w:sz w:val="18"/>
          <w:szCs w:val="18"/>
        </w:rPr>
        <w:t>TableBuilder], 2021; N Dawson, S Molitorisz, MA Rizoiu and P Fray, ‘</w:t>
      </w:r>
      <w:hyperlink r:id="rId9" w:history="1">
        <w:r w:rsidRPr="00B93C08">
          <w:rPr>
            <w:rStyle w:val="Hyperlink"/>
            <w:sz w:val="18"/>
            <w:szCs w:val="18"/>
          </w:rPr>
          <w:t>Layoffs, inequity and COVID-19: A longitudinal study of the journalism jobs crisis in Australia from 2012 to 2020</w:t>
        </w:r>
      </w:hyperlink>
      <w:r w:rsidRPr="00B93C08">
        <w:rPr>
          <w:sz w:val="18"/>
          <w:szCs w:val="18"/>
        </w:rPr>
        <w:t xml:space="preserve">’, </w:t>
      </w:r>
      <w:r w:rsidRPr="001C2FA8">
        <w:rPr>
          <w:i/>
          <w:iCs/>
          <w:sz w:val="18"/>
          <w:szCs w:val="18"/>
        </w:rPr>
        <w:t>Journalism</w:t>
      </w:r>
      <w:r w:rsidRPr="00B93C08">
        <w:rPr>
          <w:sz w:val="18"/>
          <w:szCs w:val="18"/>
        </w:rPr>
        <w:t>, 2023, 24(3), 531-559, doi: 10.1177/1464884921996286.</w:t>
      </w:r>
    </w:p>
  </w:footnote>
  <w:footnote w:id="28">
    <w:p w14:paraId="7E7C35BD" w14:textId="4E615438" w:rsidR="001C2FA8" w:rsidRDefault="001C2FA8">
      <w:pPr>
        <w:pStyle w:val="FootnoteText"/>
      </w:pPr>
      <w:r>
        <w:rPr>
          <w:rStyle w:val="FootnoteReference"/>
        </w:rPr>
        <w:footnoteRef/>
      </w:r>
      <w:r>
        <w:t xml:space="preserve"> </w:t>
      </w:r>
      <w:r w:rsidRPr="00B93C08">
        <w:rPr>
          <w:sz w:val="18"/>
          <w:szCs w:val="18"/>
        </w:rPr>
        <w:t xml:space="preserve">Dawson, </w:t>
      </w:r>
      <w:r>
        <w:rPr>
          <w:sz w:val="18"/>
          <w:szCs w:val="18"/>
        </w:rPr>
        <w:t>et al.</w:t>
      </w:r>
      <w:r w:rsidRPr="00B93C08">
        <w:rPr>
          <w:sz w:val="18"/>
          <w:szCs w:val="18"/>
        </w:rPr>
        <w:t>, ‘</w:t>
      </w:r>
      <w:r w:rsidRPr="001C2FA8">
        <w:rPr>
          <w:sz w:val="18"/>
          <w:szCs w:val="18"/>
        </w:rPr>
        <w:t>Layoffs, inequity and COVID-19: A longitudinal study of the journalism jobs crisis in Australia from 2012 to 2020</w:t>
      </w:r>
      <w:r w:rsidRPr="00B93C08">
        <w:rPr>
          <w:sz w:val="18"/>
          <w:szCs w:val="18"/>
        </w:rPr>
        <w:t>’</w:t>
      </w:r>
      <w:r>
        <w:rPr>
          <w:sz w:val="18"/>
          <w:szCs w:val="18"/>
        </w:rPr>
        <w:t>.</w:t>
      </w:r>
    </w:p>
  </w:footnote>
  <w:footnote w:id="29">
    <w:p w14:paraId="534C3B3C" w14:textId="013167BF" w:rsidR="001C2FA8" w:rsidRDefault="001C2FA8">
      <w:pPr>
        <w:pStyle w:val="FootnoteText"/>
      </w:pPr>
      <w:r>
        <w:rPr>
          <w:rStyle w:val="FootnoteReference"/>
        </w:rPr>
        <w:footnoteRef/>
      </w:r>
      <w:r>
        <w:t xml:space="preserve"> </w:t>
      </w:r>
      <w:r w:rsidRPr="00B93C08">
        <w:rPr>
          <w:sz w:val="18"/>
          <w:szCs w:val="18"/>
        </w:rPr>
        <w:t>ABS, ‘Labour Force, Australia, Detailed’, February 2024, trend data by Jobs and Skills Australia.</w:t>
      </w:r>
    </w:p>
  </w:footnote>
  <w:footnote w:id="30">
    <w:p w14:paraId="365DB5E0" w14:textId="77777777" w:rsidR="000F2DD4" w:rsidRPr="00B93C08" w:rsidRDefault="000F2DD4" w:rsidP="00BB31D6">
      <w:pPr>
        <w:pStyle w:val="FootnoteText"/>
        <w:rPr>
          <w:sz w:val="18"/>
          <w:szCs w:val="18"/>
        </w:rPr>
      </w:pPr>
      <w:r w:rsidRPr="00B93C08">
        <w:rPr>
          <w:rStyle w:val="FootnoteReference"/>
          <w:sz w:val="18"/>
          <w:szCs w:val="18"/>
        </w:rPr>
        <w:footnoteRef/>
      </w:r>
      <w:r w:rsidRPr="00B93C08">
        <w:rPr>
          <w:sz w:val="18"/>
          <w:szCs w:val="18"/>
        </w:rPr>
        <w:t xml:space="preserve"> S </w:t>
      </w:r>
      <w:r w:rsidRPr="00B93C08">
        <w:rPr>
          <w:sz w:val="18"/>
          <w:szCs w:val="18"/>
          <w:shd w:val="clear" w:color="auto" w:fill="FFFFFF"/>
        </w:rPr>
        <w:t>Park, K McGuinness, C Fisher, J Lee, K McCallum, X Cai, M Chatskin, L Mardjianto and P Yao, ‘</w:t>
      </w:r>
      <w:hyperlink r:id="rId10" w:history="1">
        <w:r w:rsidRPr="00B93C08">
          <w:rPr>
            <w:rStyle w:val="Hyperlink"/>
            <w:sz w:val="18"/>
            <w:szCs w:val="18"/>
            <w:shd w:val="clear" w:color="auto" w:fill="FFFFFF"/>
          </w:rPr>
          <w:t>Digital News Report: Australia 2023</w:t>
        </w:r>
      </w:hyperlink>
      <w:r w:rsidRPr="00B93C08">
        <w:rPr>
          <w:sz w:val="18"/>
          <w:szCs w:val="18"/>
          <w:shd w:val="clear" w:color="auto" w:fill="FFFFFF"/>
        </w:rPr>
        <w:t xml:space="preserve">’, News and Media Research Centre, University of Canberra, 2023, </w:t>
      </w:r>
      <w:r w:rsidRPr="00B93C08">
        <w:rPr>
          <w:sz w:val="18"/>
          <w:szCs w:val="18"/>
        </w:rPr>
        <w:t>doi: 10.25916/v0mt-9k87.</w:t>
      </w:r>
    </w:p>
    <w:p w14:paraId="44172E50" w14:textId="77777777" w:rsidR="000F2DD4" w:rsidRDefault="000F2DD4" w:rsidP="000F2DD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76AB269" w:rsidRPr="00B93C08" w14:paraId="5A712252" w14:textId="77777777" w:rsidTr="576AB269">
      <w:trPr>
        <w:trHeight w:val="300"/>
      </w:trPr>
      <w:tc>
        <w:tcPr>
          <w:tcW w:w="3005" w:type="dxa"/>
        </w:tcPr>
        <w:p w14:paraId="4D4D91D2" w14:textId="6A42D6FB" w:rsidR="576AB269" w:rsidRPr="00B93C08" w:rsidRDefault="576AB269" w:rsidP="576AB269">
          <w:pPr>
            <w:pStyle w:val="Header"/>
            <w:ind w:left="-115"/>
          </w:pPr>
        </w:p>
      </w:tc>
      <w:tc>
        <w:tcPr>
          <w:tcW w:w="3005" w:type="dxa"/>
        </w:tcPr>
        <w:p w14:paraId="51609BDA" w14:textId="0A0C651B" w:rsidR="576AB269" w:rsidRPr="00B93C08" w:rsidRDefault="576AB269" w:rsidP="576AB269">
          <w:pPr>
            <w:pStyle w:val="Header"/>
            <w:jc w:val="center"/>
          </w:pPr>
        </w:p>
      </w:tc>
      <w:tc>
        <w:tcPr>
          <w:tcW w:w="3005" w:type="dxa"/>
        </w:tcPr>
        <w:p w14:paraId="1E653625" w14:textId="30193F51" w:rsidR="576AB269" w:rsidRPr="00B93C08" w:rsidRDefault="576AB269" w:rsidP="576AB269">
          <w:pPr>
            <w:pStyle w:val="Header"/>
            <w:ind w:right="-115"/>
            <w:jc w:val="right"/>
          </w:pPr>
        </w:p>
      </w:tc>
    </w:tr>
  </w:tbl>
  <w:p w14:paraId="3730D40E" w14:textId="1FC5D652" w:rsidR="576AB269" w:rsidRPr="00B93C08" w:rsidRDefault="576AB269" w:rsidP="576AB2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76AB269" w:rsidRPr="00B93C08" w14:paraId="06EBD6A4" w14:textId="77777777" w:rsidTr="576AB269">
      <w:trPr>
        <w:trHeight w:val="300"/>
      </w:trPr>
      <w:tc>
        <w:tcPr>
          <w:tcW w:w="3005" w:type="dxa"/>
        </w:tcPr>
        <w:p w14:paraId="6FA94443" w14:textId="074FC6DD" w:rsidR="576AB269" w:rsidRPr="00B93C08" w:rsidRDefault="576AB269" w:rsidP="576AB269">
          <w:pPr>
            <w:pStyle w:val="Header"/>
            <w:ind w:left="-115"/>
          </w:pPr>
        </w:p>
      </w:tc>
      <w:tc>
        <w:tcPr>
          <w:tcW w:w="3005" w:type="dxa"/>
        </w:tcPr>
        <w:p w14:paraId="30F5AC60" w14:textId="2B5DCB08" w:rsidR="576AB269" w:rsidRPr="00B93C08" w:rsidRDefault="576AB269" w:rsidP="576AB269">
          <w:pPr>
            <w:pStyle w:val="Header"/>
            <w:jc w:val="center"/>
          </w:pPr>
        </w:p>
      </w:tc>
      <w:tc>
        <w:tcPr>
          <w:tcW w:w="3005" w:type="dxa"/>
        </w:tcPr>
        <w:p w14:paraId="2EAF1768" w14:textId="027CFF36" w:rsidR="576AB269" w:rsidRPr="00B93C08" w:rsidRDefault="576AB269" w:rsidP="576AB269">
          <w:pPr>
            <w:pStyle w:val="Header"/>
            <w:ind w:right="-115"/>
            <w:jc w:val="right"/>
          </w:pPr>
        </w:p>
      </w:tc>
    </w:tr>
  </w:tbl>
  <w:p w14:paraId="0532DD90" w14:textId="67F12944" w:rsidR="576AB269" w:rsidRPr="00B93C08" w:rsidRDefault="576AB269" w:rsidP="576AB2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6FDD3" w14:textId="77777777" w:rsidR="006A35A8" w:rsidRPr="00B93C08" w:rsidRDefault="006A35A8" w:rsidP="007001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A35A8" w:rsidRPr="00B93C08" w14:paraId="0374925C" w14:textId="77777777" w:rsidTr="576AB269">
      <w:trPr>
        <w:trHeight w:val="300"/>
      </w:trPr>
      <w:tc>
        <w:tcPr>
          <w:tcW w:w="3005" w:type="dxa"/>
        </w:tcPr>
        <w:p w14:paraId="5955B751" w14:textId="77777777" w:rsidR="006A35A8" w:rsidRPr="00B93C08" w:rsidRDefault="006A35A8" w:rsidP="576AB269">
          <w:pPr>
            <w:pStyle w:val="Header"/>
            <w:ind w:left="-115"/>
          </w:pPr>
        </w:p>
      </w:tc>
      <w:tc>
        <w:tcPr>
          <w:tcW w:w="3005" w:type="dxa"/>
        </w:tcPr>
        <w:p w14:paraId="486672B8" w14:textId="77777777" w:rsidR="006A35A8" w:rsidRPr="00B93C08" w:rsidRDefault="006A35A8" w:rsidP="576AB269">
          <w:pPr>
            <w:pStyle w:val="Header"/>
            <w:jc w:val="center"/>
          </w:pPr>
        </w:p>
      </w:tc>
      <w:tc>
        <w:tcPr>
          <w:tcW w:w="3005" w:type="dxa"/>
        </w:tcPr>
        <w:p w14:paraId="1D4BE3F3" w14:textId="77777777" w:rsidR="006A35A8" w:rsidRPr="00B93C08" w:rsidRDefault="006A35A8" w:rsidP="576AB269">
          <w:pPr>
            <w:pStyle w:val="Header"/>
            <w:ind w:right="-115"/>
            <w:jc w:val="right"/>
          </w:pPr>
        </w:p>
      </w:tc>
    </w:tr>
  </w:tbl>
  <w:p w14:paraId="2A1F85ED" w14:textId="77777777" w:rsidR="006A35A8" w:rsidRPr="00B93C08" w:rsidRDefault="006A35A8" w:rsidP="00AA2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53316" w14:textId="7EFB1D91" w:rsidR="576AB269" w:rsidRPr="00B93C08" w:rsidRDefault="576AB269" w:rsidP="007001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76AB269" w:rsidRPr="00B93C08" w14:paraId="5C2BE72E" w14:textId="77777777" w:rsidTr="576AB269">
      <w:trPr>
        <w:trHeight w:val="300"/>
      </w:trPr>
      <w:tc>
        <w:tcPr>
          <w:tcW w:w="3005" w:type="dxa"/>
        </w:tcPr>
        <w:p w14:paraId="5860EF61" w14:textId="59D9ABBB" w:rsidR="576AB269" w:rsidRPr="00B93C08" w:rsidRDefault="576AB269" w:rsidP="576AB269">
          <w:pPr>
            <w:pStyle w:val="Header"/>
            <w:ind w:left="-115"/>
          </w:pPr>
        </w:p>
      </w:tc>
      <w:tc>
        <w:tcPr>
          <w:tcW w:w="3005" w:type="dxa"/>
        </w:tcPr>
        <w:p w14:paraId="51FE75E4" w14:textId="5B3E34E1" w:rsidR="576AB269" w:rsidRPr="00B93C08" w:rsidRDefault="576AB269" w:rsidP="576AB269">
          <w:pPr>
            <w:pStyle w:val="Header"/>
            <w:jc w:val="center"/>
          </w:pPr>
        </w:p>
      </w:tc>
      <w:tc>
        <w:tcPr>
          <w:tcW w:w="3005" w:type="dxa"/>
        </w:tcPr>
        <w:p w14:paraId="3298DFA3" w14:textId="0F46A30B" w:rsidR="576AB269" w:rsidRPr="00B93C08" w:rsidRDefault="576AB269" w:rsidP="576AB269">
          <w:pPr>
            <w:pStyle w:val="Header"/>
            <w:ind w:right="-115"/>
            <w:jc w:val="right"/>
          </w:pPr>
        </w:p>
      </w:tc>
    </w:tr>
  </w:tbl>
  <w:p w14:paraId="6EDC3CA4" w14:textId="3BF3ECCB" w:rsidR="576AB269" w:rsidRPr="00B93C08" w:rsidRDefault="576AB269" w:rsidP="00AA2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0ABC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6EA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E459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52D8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2A15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3DF2DE40"/>
    <w:lvl w:ilvl="0">
      <w:start w:val="1"/>
      <w:numFmt w:val="decimal"/>
      <w:lvlText w:val="%1."/>
      <w:lvlJc w:val="left"/>
      <w:pPr>
        <w:tabs>
          <w:tab w:val="num" w:pos="360"/>
        </w:tabs>
        <w:ind w:left="360" w:hanging="360"/>
      </w:pPr>
    </w:lvl>
  </w:abstractNum>
  <w:abstractNum w:abstractNumId="6" w15:restartNumberingAfterBreak="0">
    <w:nsid w:val="05E853D5"/>
    <w:multiLevelType w:val="hybridMultilevel"/>
    <w:tmpl w:val="2D1605AC"/>
    <w:lvl w:ilvl="0" w:tplc="05A013E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7C163D"/>
    <w:multiLevelType w:val="hybridMultilevel"/>
    <w:tmpl w:val="594C2E34"/>
    <w:lvl w:ilvl="0" w:tplc="0C090001">
      <w:start w:val="1"/>
      <w:numFmt w:val="bullet"/>
      <w:lvlText w:val=""/>
      <w:lvlJc w:val="left"/>
      <w:pPr>
        <w:ind w:left="720" w:hanging="360"/>
      </w:pPr>
      <w:rPr>
        <w:rFonts w:ascii="Symbol" w:hAnsi="Symbol" w:hint="default"/>
      </w:rPr>
    </w:lvl>
    <w:lvl w:ilvl="1" w:tplc="70D2A66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4471B6"/>
    <w:multiLevelType w:val="multilevel"/>
    <w:tmpl w:val="F692C438"/>
    <w:lvl w:ilvl="0">
      <w:start w:val="1"/>
      <w:numFmt w:val="none"/>
      <w:suff w:val="space"/>
      <w:lvlText w:val="Source:"/>
      <w:lvlJc w:val="left"/>
      <w:pPr>
        <w:ind w:left="6181" w:hanging="51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Text w:val=""/>
      <w:lvlJc w:val="left"/>
      <w:pPr>
        <w:ind w:left="579" w:hanging="360"/>
      </w:pPr>
      <w:rPr>
        <w:rFonts w:hint="default"/>
      </w:rPr>
    </w:lvl>
    <w:lvl w:ilvl="2">
      <w:start w:val="1"/>
      <w:numFmt w:val="none"/>
      <w:lvlText w:val=""/>
      <w:lvlJc w:val="left"/>
      <w:pPr>
        <w:ind w:left="939" w:hanging="360"/>
      </w:pPr>
      <w:rPr>
        <w:rFonts w:hint="default"/>
      </w:rPr>
    </w:lvl>
    <w:lvl w:ilvl="3">
      <w:start w:val="1"/>
      <w:numFmt w:val="none"/>
      <w:lvlText w:val=""/>
      <w:lvlJc w:val="left"/>
      <w:pPr>
        <w:ind w:left="1299" w:hanging="360"/>
      </w:pPr>
      <w:rPr>
        <w:rFonts w:hint="default"/>
      </w:rPr>
    </w:lvl>
    <w:lvl w:ilvl="4">
      <w:start w:val="1"/>
      <w:numFmt w:val="none"/>
      <w:lvlText w:val=""/>
      <w:lvlJc w:val="left"/>
      <w:pPr>
        <w:ind w:left="1659" w:hanging="360"/>
      </w:pPr>
      <w:rPr>
        <w:rFonts w:hint="default"/>
      </w:rPr>
    </w:lvl>
    <w:lvl w:ilvl="5">
      <w:start w:val="1"/>
      <w:numFmt w:val="none"/>
      <w:lvlText w:val=""/>
      <w:lvlJc w:val="left"/>
      <w:pPr>
        <w:ind w:left="2019" w:hanging="360"/>
      </w:pPr>
      <w:rPr>
        <w:rFonts w:hint="default"/>
      </w:rPr>
    </w:lvl>
    <w:lvl w:ilvl="6">
      <w:start w:val="1"/>
      <w:numFmt w:val="none"/>
      <w:lvlText w:val=""/>
      <w:lvlJc w:val="left"/>
      <w:pPr>
        <w:ind w:left="2379" w:hanging="360"/>
      </w:pPr>
      <w:rPr>
        <w:rFonts w:hint="default"/>
      </w:rPr>
    </w:lvl>
    <w:lvl w:ilvl="7">
      <w:start w:val="1"/>
      <w:numFmt w:val="none"/>
      <w:lvlText w:val=""/>
      <w:lvlJc w:val="left"/>
      <w:pPr>
        <w:ind w:left="2739" w:hanging="360"/>
      </w:pPr>
      <w:rPr>
        <w:rFonts w:hint="default"/>
      </w:rPr>
    </w:lvl>
    <w:lvl w:ilvl="8">
      <w:start w:val="1"/>
      <w:numFmt w:val="none"/>
      <w:lvlText w:val=""/>
      <w:lvlJc w:val="left"/>
      <w:pPr>
        <w:ind w:left="3099" w:hanging="360"/>
      </w:pPr>
      <w:rPr>
        <w:rFonts w:hint="default"/>
      </w:rPr>
    </w:lvl>
  </w:abstractNum>
  <w:abstractNum w:abstractNumId="9" w15:restartNumberingAfterBreak="0">
    <w:nsid w:val="15F80B16"/>
    <w:multiLevelType w:val="hybridMultilevel"/>
    <w:tmpl w:val="F85EB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A96197"/>
    <w:multiLevelType w:val="hybridMultilevel"/>
    <w:tmpl w:val="309672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D585F53"/>
    <w:multiLevelType w:val="multilevel"/>
    <w:tmpl w:val="A3E88540"/>
    <w:name w:val="ListBullets"/>
    <w:lvl w:ilvl="0">
      <w:start w:val="1"/>
      <w:numFmt w:val="bullet"/>
      <w:pStyle w:val="List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Arial" w:hAnsi="Arial" w:hint="default"/>
        <w:color w:val="auto"/>
      </w:rPr>
    </w:lvl>
    <w:lvl w:ilvl="2">
      <w:start w:val="1"/>
      <w:numFmt w:val="bullet"/>
      <w:pStyle w:val="ListBullet3"/>
      <w:lvlText w:val="○"/>
      <w:lvlJc w:val="left"/>
      <w:pPr>
        <w:ind w:left="1020" w:hanging="340"/>
      </w:pPr>
      <w:rPr>
        <w:rFonts w:ascii="Times New Roman" w:hAnsi="Times New Roman" w:cs="Times New Roman" w:hint="default"/>
        <w:color w:val="auto"/>
      </w:rPr>
    </w:lvl>
    <w:lvl w:ilvl="3">
      <w:start w:val="1"/>
      <w:numFmt w:val="bullet"/>
      <w:pStyle w:val="ListBullet4"/>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12" w15:restartNumberingAfterBreak="0">
    <w:nsid w:val="1DB15375"/>
    <w:multiLevelType w:val="hybridMultilevel"/>
    <w:tmpl w:val="D5942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E53D4C"/>
    <w:multiLevelType w:val="hybridMultilevel"/>
    <w:tmpl w:val="87B2248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7D85117"/>
    <w:multiLevelType w:val="hybridMultilevel"/>
    <w:tmpl w:val="3D4AC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2D4D92"/>
    <w:multiLevelType w:val="hybridMultilevel"/>
    <w:tmpl w:val="4C54A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667452"/>
    <w:multiLevelType w:val="multilevel"/>
    <w:tmpl w:val="873ED2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36FE67D6"/>
    <w:multiLevelType w:val="hybridMultilevel"/>
    <w:tmpl w:val="8398055E"/>
    <w:name w:val="ListBullets2"/>
    <w:lvl w:ilvl="0" w:tplc="0ED8DFAE">
      <w:start w:val="1"/>
      <w:numFmt w:val="bullet"/>
      <w:lvlText w:val="–"/>
      <w:lvlJc w:val="left"/>
      <w:pPr>
        <w:ind w:left="1060" w:hanging="360"/>
      </w:pPr>
      <w:rPr>
        <w:rFonts w:ascii="Arial Nova" w:hAnsi="Arial Nova"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8" w15:restartNumberingAfterBreak="0">
    <w:nsid w:val="376F56A1"/>
    <w:multiLevelType w:val="multilevel"/>
    <w:tmpl w:val="285CD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D60483A"/>
    <w:multiLevelType w:val="hybridMultilevel"/>
    <w:tmpl w:val="4AB44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517D03"/>
    <w:multiLevelType w:val="hybridMultilevel"/>
    <w:tmpl w:val="43961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F71802"/>
    <w:multiLevelType w:val="hybridMultilevel"/>
    <w:tmpl w:val="66EA9E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4CD4332C"/>
    <w:multiLevelType w:val="hybridMultilevel"/>
    <w:tmpl w:val="9C285B0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4656947"/>
    <w:multiLevelType w:val="hybridMultilevel"/>
    <w:tmpl w:val="1E2E1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DA5BBA"/>
    <w:multiLevelType w:val="hybridMultilevel"/>
    <w:tmpl w:val="58EEF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DC3035"/>
    <w:multiLevelType w:val="hybridMultilevel"/>
    <w:tmpl w:val="3B8A8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8D1832"/>
    <w:multiLevelType w:val="hybridMultilevel"/>
    <w:tmpl w:val="85AED898"/>
    <w:lvl w:ilvl="0" w:tplc="F1ACFF8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1D6ED4"/>
    <w:multiLevelType w:val="hybridMultilevel"/>
    <w:tmpl w:val="7C80D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3C1AA9"/>
    <w:multiLevelType w:val="hybridMultilevel"/>
    <w:tmpl w:val="E22AF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EB691B"/>
    <w:multiLevelType w:val="multilevel"/>
    <w:tmpl w:val="2362D8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1A80D02"/>
    <w:multiLevelType w:val="hybridMultilevel"/>
    <w:tmpl w:val="158ABB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8AC2224"/>
    <w:multiLevelType w:val="hybridMultilevel"/>
    <w:tmpl w:val="1436D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B2B0659"/>
    <w:multiLevelType w:val="multilevel"/>
    <w:tmpl w:val="5CDE43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337269666">
    <w:abstractNumId w:val="32"/>
  </w:num>
  <w:num w:numId="2" w16cid:durableId="1668050683">
    <w:abstractNumId w:val="18"/>
  </w:num>
  <w:num w:numId="3" w16cid:durableId="1683042470">
    <w:abstractNumId w:val="7"/>
  </w:num>
  <w:num w:numId="4" w16cid:durableId="133523604">
    <w:abstractNumId w:val="29"/>
  </w:num>
  <w:num w:numId="5" w16cid:durableId="1994024302">
    <w:abstractNumId w:val="30"/>
  </w:num>
  <w:num w:numId="6" w16cid:durableId="1358852113">
    <w:abstractNumId w:val="16"/>
  </w:num>
  <w:num w:numId="7" w16cid:durableId="2047246184">
    <w:abstractNumId w:val="11"/>
  </w:num>
  <w:num w:numId="8" w16cid:durableId="1985233239">
    <w:abstractNumId w:val="4"/>
  </w:num>
  <w:num w:numId="9" w16cid:durableId="2105372984">
    <w:abstractNumId w:val="5"/>
  </w:num>
  <w:num w:numId="10" w16cid:durableId="935869809">
    <w:abstractNumId w:val="3"/>
  </w:num>
  <w:num w:numId="11" w16cid:durableId="1109662273">
    <w:abstractNumId w:val="2"/>
  </w:num>
  <w:num w:numId="12" w16cid:durableId="2049716342">
    <w:abstractNumId w:val="1"/>
  </w:num>
  <w:num w:numId="13" w16cid:durableId="1578317811">
    <w:abstractNumId w:val="0"/>
  </w:num>
  <w:num w:numId="14" w16cid:durableId="1127550344">
    <w:abstractNumId w:val="14"/>
  </w:num>
  <w:num w:numId="15" w16cid:durableId="406730085">
    <w:abstractNumId w:val="10"/>
  </w:num>
  <w:num w:numId="16" w16cid:durableId="685862663">
    <w:abstractNumId w:val="8"/>
  </w:num>
  <w:num w:numId="17" w16cid:durableId="1151747917">
    <w:abstractNumId w:val="26"/>
  </w:num>
  <w:num w:numId="18" w16cid:durableId="494801638">
    <w:abstractNumId w:val="6"/>
  </w:num>
  <w:num w:numId="19" w16cid:durableId="82335018">
    <w:abstractNumId w:val="25"/>
  </w:num>
  <w:num w:numId="20" w16cid:durableId="953828657">
    <w:abstractNumId w:val="27"/>
  </w:num>
  <w:num w:numId="21" w16cid:durableId="493378795">
    <w:abstractNumId w:val="22"/>
  </w:num>
  <w:num w:numId="22" w16cid:durableId="843546532">
    <w:abstractNumId w:val="31"/>
  </w:num>
  <w:num w:numId="23" w16cid:durableId="469253812">
    <w:abstractNumId w:val="23"/>
  </w:num>
  <w:num w:numId="24" w16cid:durableId="1546521493">
    <w:abstractNumId w:val="24"/>
  </w:num>
  <w:num w:numId="25" w16cid:durableId="1429614832">
    <w:abstractNumId w:val="15"/>
  </w:num>
  <w:num w:numId="26" w16cid:durableId="1711489178">
    <w:abstractNumId w:val="12"/>
  </w:num>
  <w:num w:numId="27" w16cid:durableId="1292439955">
    <w:abstractNumId w:val="28"/>
  </w:num>
  <w:num w:numId="28" w16cid:durableId="1456095594">
    <w:abstractNumId w:val="17"/>
  </w:num>
  <w:num w:numId="29" w16cid:durableId="288627563">
    <w:abstractNumId w:val="21"/>
  </w:num>
  <w:num w:numId="30" w16cid:durableId="2139909993">
    <w:abstractNumId w:val="13"/>
  </w:num>
  <w:num w:numId="31" w16cid:durableId="1445273578">
    <w:abstractNumId w:val="20"/>
  </w:num>
  <w:num w:numId="32" w16cid:durableId="1426419323">
    <w:abstractNumId w:val="19"/>
  </w:num>
  <w:num w:numId="33" w16cid:durableId="9332459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01FD"/>
    <w:rsid w:val="00001192"/>
    <w:rsid w:val="00001F7B"/>
    <w:rsid w:val="000023F8"/>
    <w:rsid w:val="00002C2C"/>
    <w:rsid w:val="0000367C"/>
    <w:rsid w:val="0000368A"/>
    <w:rsid w:val="00003E8E"/>
    <w:rsid w:val="00004321"/>
    <w:rsid w:val="00004BB9"/>
    <w:rsid w:val="000053E0"/>
    <w:rsid w:val="00006254"/>
    <w:rsid w:val="000067B6"/>
    <w:rsid w:val="00011CE7"/>
    <w:rsid w:val="00014BD0"/>
    <w:rsid w:val="0001634B"/>
    <w:rsid w:val="00016FF5"/>
    <w:rsid w:val="00017D3D"/>
    <w:rsid w:val="000213C2"/>
    <w:rsid w:val="0002203C"/>
    <w:rsid w:val="00023EB1"/>
    <w:rsid w:val="0002530D"/>
    <w:rsid w:val="00025763"/>
    <w:rsid w:val="0002590E"/>
    <w:rsid w:val="00025BD0"/>
    <w:rsid w:val="000261A3"/>
    <w:rsid w:val="00027225"/>
    <w:rsid w:val="0002771F"/>
    <w:rsid w:val="0002774C"/>
    <w:rsid w:val="00027AD9"/>
    <w:rsid w:val="00027E86"/>
    <w:rsid w:val="000302F9"/>
    <w:rsid w:val="00030805"/>
    <w:rsid w:val="000321B9"/>
    <w:rsid w:val="000328E3"/>
    <w:rsid w:val="0003316F"/>
    <w:rsid w:val="00035962"/>
    <w:rsid w:val="00035EEC"/>
    <w:rsid w:val="00037978"/>
    <w:rsid w:val="00037EB9"/>
    <w:rsid w:val="000404CE"/>
    <w:rsid w:val="0004076D"/>
    <w:rsid w:val="0004100D"/>
    <w:rsid w:val="00041073"/>
    <w:rsid w:val="0004149A"/>
    <w:rsid w:val="0004185E"/>
    <w:rsid w:val="00042611"/>
    <w:rsid w:val="00043B55"/>
    <w:rsid w:val="00045718"/>
    <w:rsid w:val="00045A55"/>
    <w:rsid w:val="00046180"/>
    <w:rsid w:val="000474FB"/>
    <w:rsid w:val="0004777A"/>
    <w:rsid w:val="0005038E"/>
    <w:rsid w:val="00051004"/>
    <w:rsid w:val="00051CBE"/>
    <w:rsid w:val="00052913"/>
    <w:rsid w:val="0005295F"/>
    <w:rsid w:val="00052B25"/>
    <w:rsid w:val="00052BFD"/>
    <w:rsid w:val="000533DF"/>
    <w:rsid w:val="000546EF"/>
    <w:rsid w:val="0005518A"/>
    <w:rsid w:val="00055B68"/>
    <w:rsid w:val="000572BD"/>
    <w:rsid w:val="000574ED"/>
    <w:rsid w:val="0005788D"/>
    <w:rsid w:val="00057C7D"/>
    <w:rsid w:val="000605BA"/>
    <w:rsid w:val="00060B9E"/>
    <w:rsid w:val="000617F3"/>
    <w:rsid w:val="00061D89"/>
    <w:rsid w:val="00062D05"/>
    <w:rsid w:val="00064A0C"/>
    <w:rsid w:val="00064F80"/>
    <w:rsid w:val="00065240"/>
    <w:rsid w:val="000653C1"/>
    <w:rsid w:val="000660E1"/>
    <w:rsid w:val="0006644E"/>
    <w:rsid w:val="00066EA4"/>
    <w:rsid w:val="00067984"/>
    <w:rsid w:val="000703F9"/>
    <w:rsid w:val="00070F74"/>
    <w:rsid w:val="00071649"/>
    <w:rsid w:val="00072484"/>
    <w:rsid w:val="00072997"/>
    <w:rsid w:val="0007364B"/>
    <w:rsid w:val="000739B1"/>
    <w:rsid w:val="00074E67"/>
    <w:rsid w:val="00075878"/>
    <w:rsid w:val="00077BD0"/>
    <w:rsid w:val="00081C7F"/>
    <w:rsid w:val="00081F8F"/>
    <w:rsid w:val="0008205A"/>
    <w:rsid w:val="00083162"/>
    <w:rsid w:val="00083E4C"/>
    <w:rsid w:val="00083ECB"/>
    <w:rsid w:val="00085C41"/>
    <w:rsid w:val="000906FB"/>
    <w:rsid w:val="00090727"/>
    <w:rsid w:val="00090729"/>
    <w:rsid w:val="00090DED"/>
    <w:rsid w:val="000912F6"/>
    <w:rsid w:val="00091396"/>
    <w:rsid w:val="0009143D"/>
    <w:rsid w:val="000927AC"/>
    <w:rsid w:val="00093B48"/>
    <w:rsid w:val="00095E11"/>
    <w:rsid w:val="000961CC"/>
    <w:rsid w:val="0009752F"/>
    <w:rsid w:val="000A0F1E"/>
    <w:rsid w:val="000A11D4"/>
    <w:rsid w:val="000A145A"/>
    <w:rsid w:val="000A3EED"/>
    <w:rsid w:val="000A46CB"/>
    <w:rsid w:val="000A567A"/>
    <w:rsid w:val="000A5864"/>
    <w:rsid w:val="000A5EB9"/>
    <w:rsid w:val="000A6047"/>
    <w:rsid w:val="000A6A22"/>
    <w:rsid w:val="000A6A3E"/>
    <w:rsid w:val="000A6D86"/>
    <w:rsid w:val="000A725B"/>
    <w:rsid w:val="000A782B"/>
    <w:rsid w:val="000A7989"/>
    <w:rsid w:val="000A7F1E"/>
    <w:rsid w:val="000B0980"/>
    <w:rsid w:val="000B09B5"/>
    <w:rsid w:val="000B1B1A"/>
    <w:rsid w:val="000B1FAA"/>
    <w:rsid w:val="000B21F0"/>
    <w:rsid w:val="000B2A2B"/>
    <w:rsid w:val="000B2E68"/>
    <w:rsid w:val="000B336E"/>
    <w:rsid w:val="000B37C3"/>
    <w:rsid w:val="000B3B88"/>
    <w:rsid w:val="000B4F7D"/>
    <w:rsid w:val="000B5634"/>
    <w:rsid w:val="000B624A"/>
    <w:rsid w:val="000B6324"/>
    <w:rsid w:val="000B7BB5"/>
    <w:rsid w:val="000C0BA2"/>
    <w:rsid w:val="000C2444"/>
    <w:rsid w:val="000C3933"/>
    <w:rsid w:val="000C3A97"/>
    <w:rsid w:val="000C48C1"/>
    <w:rsid w:val="000C5A8D"/>
    <w:rsid w:val="000C5AB4"/>
    <w:rsid w:val="000C7B76"/>
    <w:rsid w:val="000C7E9B"/>
    <w:rsid w:val="000D140C"/>
    <w:rsid w:val="000D1801"/>
    <w:rsid w:val="000D29D1"/>
    <w:rsid w:val="000D3A0F"/>
    <w:rsid w:val="000D3F99"/>
    <w:rsid w:val="000D4135"/>
    <w:rsid w:val="000D442D"/>
    <w:rsid w:val="000D4A99"/>
    <w:rsid w:val="000D536D"/>
    <w:rsid w:val="000D5FCE"/>
    <w:rsid w:val="000D6253"/>
    <w:rsid w:val="000D664C"/>
    <w:rsid w:val="000D6745"/>
    <w:rsid w:val="000E0343"/>
    <w:rsid w:val="000E20E1"/>
    <w:rsid w:val="000E22CC"/>
    <w:rsid w:val="000E38BA"/>
    <w:rsid w:val="000E4512"/>
    <w:rsid w:val="000E58F3"/>
    <w:rsid w:val="000E61D5"/>
    <w:rsid w:val="000E67FE"/>
    <w:rsid w:val="000E7042"/>
    <w:rsid w:val="000E7349"/>
    <w:rsid w:val="000F0017"/>
    <w:rsid w:val="000F064C"/>
    <w:rsid w:val="000F1B9D"/>
    <w:rsid w:val="000F2BBD"/>
    <w:rsid w:val="000F2DD4"/>
    <w:rsid w:val="000F70BC"/>
    <w:rsid w:val="000F79D4"/>
    <w:rsid w:val="000F7F28"/>
    <w:rsid w:val="00100E73"/>
    <w:rsid w:val="00100F08"/>
    <w:rsid w:val="001010A8"/>
    <w:rsid w:val="00101673"/>
    <w:rsid w:val="00101902"/>
    <w:rsid w:val="00101A39"/>
    <w:rsid w:val="00101FBF"/>
    <w:rsid w:val="0010434D"/>
    <w:rsid w:val="00105B51"/>
    <w:rsid w:val="00106421"/>
    <w:rsid w:val="001067C6"/>
    <w:rsid w:val="00107A6D"/>
    <w:rsid w:val="00107D60"/>
    <w:rsid w:val="00110423"/>
    <w:rsid w:val="0011167B"/>
    <w:rsid w:val="00111BA2"/>
    <w:rsid w:val="001134ED"/>
    <w:rsid w:val="001136C3"/>
    <w:rsid w:val="00114379"/>
    <w:rsid w:val="001201D3"/>
    <w:rsid w:val="00120AF5"/>
    <w:rsid w:val="00120E7B"/>
    <w:rsid w:val="00122072"/>
    <w:rsid w:val="001238BE"/>
    <w:rsid w:val="00123DFA"/>
    <w:rsid w:val="00124AF5"/>
    <w:rsid w:val="00124D9E"/>
    <w:rsid w:val="00124FB6"/>
    <w:rsid w:val="0012569F"/>
    <w:rsid w:val="00125B16"/>
    <w:rsid w:val="00125C36"/>
    <w:rsid w:val="001271DD"/>
    <w:rsid w:val="00127BEB"/>
    <w:rsid w:val="001305F9"/>
    <w:rsid w:val="001306D6"/>
    <w:rsid w:val="00131196"/>
    <w:rsid w:val="0013138A"/>
    <w:rsid w:val="0013173F"/>
    <w:rsid w:val="00131E99"/>
    <w:rsid w:val="001324A9"/>
    <w:rsid w:val="001329B4"/>
    <w:rsid w:val="0013428E"/>
    <w:rsid w:val="001344B4"/>
    <w:rsid w:val="00134E37"/>
    <w:rsid w:val="001358D6"/>
    <w:rsid w:val="00135D47"/>
    <w:rsid w:val="001374CA"/>
    <w:rsid w:val="00137A23"/>
    <w:rsid w:val="00137C0D"/>
    <w:rsid w:val="0014064C"/>
    <w:rsid w:val="001428BE"/>
    <w:rsid w:val="00142B55"/>
    <w:rsid w:val="00142EAC"/>
    <w:rsid w:val="00143208"/>
    <w:rsid w:val="001432B7"/>
    <w:rsid w:val="00144A81"/>
    <w:rsid w:val="00144B78"/>
    <w:rsid w:val="00144BDF"/>
    <w:rsid w:val="001454FD"/>
    <w:rsid w:val="0014764E"/>
    <w:rsid w:val="00147D7F"/>
    <w:rsid w:val="001512BC"/>
    <w:rsid w:val="001514AD"/>
    <w:rsid w:val="001516BF"/>
    <w:rsid w:val="0015291E"/>
    <w:rsid w:val="00152B4B"/>
    <w:rsid w:val="001534EA"/>
    <w:rsid w:val="001572C7"/>
    <w:rsid w:val="00160105"/>
    <w:rsid w:val="0016199F"/>
    <w:rsid w:val="00161B71"/>
    <w:rsid w:val="00161FAC"/>
    <w:rsid w:val="0016277F"/>
    <w:rsid w:val="0016376F"/>
    <w:rsid w:val="00164614"/>
    <w:rsid w:val="001652F2"/>
    <w:rsid w:val="00165F87"/>
    <w:rsid w:val="00171BFE"/>
    <w:rsid w:val="00172CA7"/>
    <w:rsid w:val="00172D77"/>
    <w:rsid w:val="00172DC0"/>
    <w:rsid w:val="001739CB"/>
    <w:rsid w:val="0017574A"/>
    <w:rsid w:val="00175C80"/>
    <w:rsid w:val="00177C46"/>
    <w:rsid w:val="001805A7"/>
    <w:rsid w:val="00182244"/>
    <w:rsid w:val="0018397D"/>
    <w:rsid w:val="0018426A"/>
    <w:rsid w:val="00185F75"/>
    <w:rsid w:val="001867EC"/>
    <w:rsid w:val="00186BF8"/>
    <w:rsid w:val="00186DC1"/>
    <w:rsid w:val="00186DFB"/>
    <w:rsid w:val="00190AD7"/>
    <w:rsid w:val="00191BE4"/>
    <w:rsid w:val="00192BED"/>
    <w:rsid w:val="00193439"/>
    <w:rsid w:val="00193487"/>
    <w:rsid w:val="001950A3"/>
    <w:rsid w:val="001954EC"/>
    <w:rsid w:val="00196E5E"/>
    <w:rsid w:val="00196FEA"/>
    <w:rsid w:val="00197B6B"/>
    <w:rsid w:val="001A22A8"/>
    <w:rsid w:val="001A28F8"/>
    <w:rsid w:val="001A36C8"/>
    <w:rsid w:val="001A38A7"/>
    <w:rsid w:val="001A3E45"/>
    <w:rsid w:val="001A5003"/>
    <w:rsid w:val="001A63CD"/>
    <w:rsid w:val="001A7548"/>
    <w:rsid w:val="001B0E02"/>
    <w:rsid w:val="001B1F8B"/>
    <w:rsid w:val="001B2009"/>
    <w:rsid w:val="001B4199"/>
    <w:rsid w:val="001B7035"/>
    <w:rsid w:val="001B7F1C"/>
    <w:rsid w:val="001C0CB2"/>
    <w:rsid w:val="001C0D18"/>
    <w:rsid w:val="001C258B"/>
    <w:rsid w:val="001C2CA9"/>
    <w:rsid w:val="001C2CAC"/>
    <w:rsid w:val="001C2E60"/>
    <w:rsid w:val="001C2FA8"/>
    <w:rsid w:val="001C381D"/>
    <w:rsid w:val="001C5DC2"/>
    <w:rsid w:val="001C6BA8"/>
    <w:rsid w:val="001C6D03"/>
    <w:rsid w:val="001C6F9B"/>
    <w:rsid w:val="001C763A"/>
    <w:rsid w:val="001D0943"/>
    <w:rsid w:val="001D1FB6"/>
    <w:rsid w:val="001D3129"/>
    <w:rsid w:val="001D3D1B"/>
    <w:rsid w:val="001D54C3"/>
    <w:rsid w:val="001D6859"/>
    <w:rsid w:val="001E3FE2"/>
    <w:rsid w:val="001E4423"/>
    <w:rsid w:val="001E58C4"/>
    <w:rsid w:val="001E6EAD"/>
    <w:rsid w:val="001E7AB4"/>
    <w:rsid w:val="001F09FA"/>
    <w:rsid w:val="001F0FD8"/>
    <w:rsid w:val="001F164E"/>
    <w:rsid w:val="001F1CC6"/>
    <w:rsid w:val="001F23B8"/>
    <w:rsid w:val="001F2868"/>
    <w:rsid w:val="001F31BB"/>
    <w:rsid w:val="001F343E"/>
    <w:rsid w:val="001F36D6"/>
    <w:rsid w:val="001F3FE0"/>
    <w:rsid w:val="001F4E83"/>
    <w:rsid w:val="001F59D3"/>
    <w:rsid w:val="001F6330"/>
    <w:rsid w:val="001F66DE"/>
    <w:rsid w:val="001F6F55"/>
    <w:rsid w:val="001F7129"/>
    <w:rsid w:val="00200091"/>
    <w:rsid w:val="00201984"/>
    <w:rsid w:val="0020380E"/>
    <w:rsid w:val="002042EF"/>
    <w:rsid w:val="002048B8"/>
    <w:rsid w:val="00204A8F"/>
    <w:rsid w:val="0020549A"/>
    <w:rsid w:val="00205C78"/>
    <w:rsid w:val="00205E0A"/>
    <w:rsid w:val="00206249"/>
    <w:rsid w:val="00210285"/>
    <w:rsid w:val="00211170"/>
    <w:rsid w:val="00212537"/>
    <w:rsid w:val="0021359D"/>
    <w:rsid w:val="00213D03"/>
    <w:rsid w:val="002148C8"/>
    <w:rsid w:val="00214B5E"/>
    <w:rsid w:val="00215CF2"/>
    <w:rsid w:val="00216DAE"/>
    <w:rsid w:val="00221AF9"/>
    <w:rsid w:val="00221B31"/>
    <w:rsid w:val="002229E4"/>
    <w:rsid w:val="002235C2"/>
    <w:rsid w:val="00227450"/>
    <w:rsid w:val="002276A6"/>
    <w:rsid w:val="002303FF"/>
    <w:rsid w:val="0023178F"/>
    <w:rsid w:val="00233A75"/>
    <w:rsid w:val="00234070"/>
    <w:rsid w:val="002345F0"/>
    <w:rsid w:val="00234638"/>
    <w:rsid w:val="002357C4"/>
    <w:rsid w:val="0023611D"/>
    <w:rsid w:val="002372B6"/>
    <w:rsid w:val="00237847"/>
    <w:rsid w:val="00237A04"/>
    <w:rsid w:val="00240855"/>
    <w:rsid w:val="00242593"/>
    <w:rsid w:val="002432A9"/>
    <w:rsid w:val="0024392D"/>
    <w:rsid w:val="002442F6"/>
    <w:rsid w:val="002444B6"/>
    <w:rsid w:val="00244550"/>
    <w:rsid w:val="00245B1F"/>
    <w:rsid w:val="0024602A"/>
    <w:rsid w:val="002460CF"/>
    <w:rsid w:val="002475E0"/>
    <w:rsid w:val="002479F3"/>
    <w:rsid w:val="0025056F"/>
    <w:rsid w:val="00253774"/>
    <w:rsid w:val="00253EE4"/>
    <w:rsid w:val="002572E5"/>
    <w:rsid w:val="002578EC"/>
    <w:rsid w:val="00257BC9"/>
    <w:rsid w:val="00260207"/>
    <w:rsid w:val="00260D01"/>
    <w:rsid w:val="0026109E"/>
    <w:rsid w:val="00261697"/>
    <w:rsid w:val="002618DF"/>
    <w:rsid w:val="00261D00"/>
    <w:rsid w:val="00261DC8"/>
    <w:rsid w:val="002633D9"/>
    <w:rsid w:val="002642DC"/>
    <w:rsid w:val="002647D4"/>
    <w:rsid w:val="00264AF2"/>
    <w:rsid w:val="0026530D"/>
    <w:rsid w:val="00265C55"/>
    <w:rsid w:val="00266F4D"/>
    <w:rsid w:val="00272316"/>
    <w:rsid w:val="00273992"/>
    <w:rsid w:val="00273F7D"/>
    <w:rsid w:val="002743A1"/>
    <w:rsid w:val="00274D00"/>
    <w:rsid w:val="00275413"/>
    <w:rsid w:val="00275B7D"/>
    <w:rsid w:val="00275E2B"/>
    <w:rsid w:val="0027745E"/>
    <w:rsid w:val="00280224"/>
    <w:rsid w:val="00280AC6"/>
    <w:rsid w:val="00281AED"/>
    <w:rsid w:val="002820BA"/>
    <w:rsid w:val="002824C3"/>
    <w:rsid w:val="00283872"/>
    <w:rsid w:val="00283A4B"/>
    <w:rsid w:val="0028519D"/>
    <w:rsid w:val="0028574B"/>
    <w:rsid w:val="002859FE"/>
    <w:rsid w:val="00286850"/>
    <w:rsid w:val="00286F99"/>
    <w:rsid w:val="00287583"/>
    <w:rsid w:val="00287FFA"/>
    <w:rsid w:val="002911D5"/>
    <w:rsid w:val="002927DB"/>
    <w:rsid w:val="002950ED"/>
    <w:rsid w:val="0029519F"/>
    <w:rsid w:val="00295B5F"/>
    <w:rsid w:val="00296166"/>
    <w:rsid w:val="0029732E"/>
    <w:rsid w:val="002A02A9"/>
    <w:rsid w:val="002A0D9B"/>
    <w:rsid w:val="002A1392"/>
    <w:rsid w:val="002A29EB"/>
    <w:rsid w:val="002A3293"/>
    <w:rsid w:val="002A383A"/>
    <w:rsid w:val="002A3906"/>
    <w:rsid w:val="002A3EED"/>
    <w:rsid w:val="002A4B17"/>
    <w:rsid w:val="002A5D69"/>
    <w:rsid w:val="002A6396"/>
    <w:rsid w:val="002A66BD"/>
    <w:rsid w:val="002A70F3"/>
    <w:rsid w:val="002A7A53"/>
    <w:rsid w:val="002B1266"/>
    <w:rsid w:val="002B23FA"/>
    <w:rsid w:val="002B43A5"/>
    <w:rsid w:val="002B4A69"/>
    <w:rsid w:val="002B56AD"/>
    <w:rsid w:val="002B6075"/>
    <w:rsid w:val="002B64D2"/>
    <w:rsid w:val="002B6E60"/>
    <w:rsid w:val="002B7021"/>
    <w:rsid w:val="002B7450"/>
    <w:rsid w:val="002B7F7A"/>
    <w:rsid w:val="002C0F9C"/>
    <w:rsid w:val="002C1BB0"/>
    <w:rsid w:val="002C1DC2"/>
    <w:rsid w:val="002C30E8"/>
    <w:rsid w:val="002C35F6"/>
    <w:rsid w:val="002C3D9A"/>
    <w:rsid w:val="002C3DF7"/>
    <w:rsid w:val="002C3F2F"/>
    <w:rsid w:val="002C4AE2"/>
    <w:rsid w:val="002C6458"/>
    <w:rsid w:val="002C6AE6"/>
    <w:rsid w:val="002C7E5A"/>
    <w:rsid w:val="002D1054"/>
    <w:rsid w:val="002D424F"/>
    <w:rsid w:val="002D509B"/>
    <w:rsid w:val="002D5C6A"/>
    <w:rsid w:val="002D68E2"/>
    <w:rsid w:val="002D7C93"/>
    <w:rsid w:val="002E0725"/>
    <w:rsid w:val="002E07AE"/>
    <w:rsid w:val="002E0E18"/>
    <w:rsid w:val="002E122F"/>
    <w:rsid w:val="002E2897"/>
    <w:rsid w:val="002E2A25"/>
    <w:rsid w:val="002E3615"/>
    <w:rsid w:val="002E41E4"/>
    <w:rsid w:val="002E4B4B"/>
    <w:rsid w:val="002E5B03"/>
    <w:rsid w:val="002E6598"/>
    <w:rsid w:val="002E6E2F"/>
    <w:rsid w:val="002E7418"/>
    <w:rsid w:val="002E75F5"/>
    <w:rsid w:val="002F1081"/>
    <w:rsid w:val="002F28A9"/>
    <w:rsid w:val="002F2CA7"/>
    <w:rsid w:val="002F3274"/>
    <w:rsid w:val="002F3B4C"/>
    <w:rsid w:val="002F3EB5"/>
    <w:rsid w:val="002F5690"/>
    <w:rsid w:val="002F5F31"/>
    <w:rsid w:val="002F60F2"/>
    <w:rsid w:val="002F69D9"/>
    <w:rsid w:val="002F6E23"/>
    <w:rsid w:val="00300482"/>
    <w:rsid w:val="00302C37"/>
    <w:rsid w:val="0030336C"/>
    <w:rsid w:val="00303B31"/>
    <w:rsid w:val="00305A5B"/>
    <w:rsid w:val="003060CC"/>
    <w:rsid w:val="00306575"/>
    <w:rsid w:val="00306C0E"/>
    <w:rsid w:val="00306E9C"/>
    <w:rsid w:val="00307FAF"/>
    <w:rsid w:val="0031092F"/>
    <w:rsid w:val="00310C4F"/>
    <w:rsid w:val="00310CA1"/>
    <w:rsid w:val="00311A00"/>
    <w:rsid w:val="003122CC"/>
    <w:rsid w:val="00312614"/>
    <w:rsid w:val="0031264A"/>
    <w:rsid w:val="00312B27"/>
    <w:rsid w:val="00313B29"/>
    <w:rsid w:val="00314E27"/>
    <w:rsid w:val="00317895"/>
    <w:rsid w:val="00320354"/>
    <w:rsid w:val="00320647"/>
    <w:rsid w:val="00321335"/>
    <w:rsid w:val="003216FF"/>
    <w:rsid w:val="003219FD"/>
    <w:rsid w:val="003223F7"/>
    <w:rsid w:val="0032250A"/>
    <w:rsid w:val="003227A5"/>
    <w:rsid w:val="00323858"/>
    <w:rsid w:val="00323B9A"/>
    <w:rsid w:val="00323DDD"/>
    <w:rsid w:val="00324FD1"/>
    <w:rsid w:val="003260B8"/>
    <w:rsid w:val="00327936"/>
    <w:rsid w:val="00327AB4"/>
    <w:rsid w:val="00330881"/>
    <w:rsid w:val="00330C37"/>
    <w:rsid w:val="00331B2F"/>
    <w:rsid w:val="00331B9A"/>
    <w:rsid w:val="00332098"/>
    <w:rsid w:val="00332FCD"/>
    <w:rsid w:val="003331F8"/>
    <w:rsid w:val="0033349F"/>
    <w:rsid w:val="0033489F"/>
    <w:rsid w:val="003359E3"/>
    <w:rsid w:val="00336590"/>
    <w:rsid w:val="00336FC6"/>
    <w:rsid w:val="0033752C"/>
    <w:rsid w:val="00341DB5"/>
    <w:rsid w:val="00342BCE"/>
    <w:rsid w:val="0034466A"/>
    <w:rsid w:val="00345412"/>
    <w:rsid w:val="00345B38"/>
    <w:rsid w:val="0034679A"/>
    <w:rsid w:val="00347CB0"/>
    <w:rsid w:val="00350AF2"/>
    <w:rsid w:val="0035131B"/>
    <w:rsid w:val="00351CDA"/>
    <w:rsid w:val="00352077"/>
    <w:rsid w:val="00353093"/>
    <w:rsid w:val="00353D2C"/>
    <w:rsid w:val="003547D2"/>
    <w:rsid w:val="00355692"/>
    <w:rsid w:val="00355E59"/>
    <w:rsid w:val="00356FFB"/>
    <w:rsid w:val="0035714A"/>
    <w:rsid w:val="00357240"/>
    <w:rsid w:val="00357CFD"/>
    <w:rsid w:val="00360994"/>
    <w:rsid w:val="00361842"/>
    <w:rsid w:val="00362338"/>
    <w:rsid w:val="00362A2C"/>
    <w:rsid w:val="00363500"/>
    <w:rsid w:val="0036458D"/>
    <w:rsid w:val="003653C1"/>
    <w:rsid w:val="003665A4"/>
    <w:rsid w:val="00366776"/>
    <w:rsid w:val="0036688F"/>
    <w:rsid w:val="00366923"/>
    <w:rsid w:val="00366A9D"/>
    <w:rsid w:val="00367196"/>
    <w:rsid w:val="00367718"/>
    <w:rsid w:val="00367895"/>
    <w:rsid w:val="003708C1"/>
    <w:rsid w:val="003713BB"/>
    <w:rsid w:val="00372EC0"/>
    <w:rsid w:val="00374E1D"/>
    <w:rsid w:val="00375501"/>
    <w:rsid w:val="00376171"/>
    <w:rsid w:val="00380884"/>
    <w:rsid w:val="00380EA3"/>
    <w:rsid w:val="003815A2"/>
    <w:rsid w:val="00382236"/>
    <w:rsid w:val="00382AB0"/>
    <w:rsid w:val="00385788"/>
    <w:rsid w:val="00385ABF"/>
    <w:rsid w:val="00385EA9"/>
    <w:rsid w:val="0039018F"/>
    <w:rsid w:val="00390421"/>
    <w:rsid w:val="00390626"/>
    <w:rsid w:val="0039087B"/>
    <w:rsid w:val="00390F0F"/>
    <w:rsid w:val="0039115D"/>
    <w:rsid w:val="00391CF4"/>
    <w:rsid w:val="003926FD"/>
    <w:rsid w:val="00392C71"/>
    <w:rsid w:val="00392ED2"/>
    <w:rsid w:val="00394424"/>
    <w:rsid w:val="00394B95"/>
    <w:rsid w:val="00394F4F"/>
    <w:rsid w:val="003956E3"/>
    <w:rsid w:val="00397229"/>
    <w:rsid w:val="00397261"/>
    <w:rsid w:val="00397AB5"/>
    <w:rsid w:val="003A0C76"/>
    <w:rsid w:val="003A2337"/>
    <w:rsid w:val="003A2824"/>
    <w:rsid w:val="003A300F"/>
    <w:rsid w:val="003A44CA"/>
    <w:rsid w:val="003A4E44"/>
    <w:rsid w:val="003A6C49"/>
    <w:rsid w:val="003A70A2"/>
    <w:rsid w:val="003B08D1"/>
    <w:rsid w:val="003B248E"/>
    <w:rsid w:val="003B283A"/>
    <w:rsid w:val="003B32CF"/>
    <w:rsid w:val="003B33D7"/>
    <w:rsid w:val="003B3656"/>
    <w:rsid w:val="003B365A"/>
    <w:rsid w:val="003B3822"/>
    <w:rsid w:val="003B474F"/>
    <w:rsid w:val="003B4858"/>
    <w:rsid w:val="003B5178"/>
    <w:rsid w:val="003B7921"/>
    <w:rsid w:val="003C065F"/>
    <w:rsid w:val="003C0817"/>
    <w:rsid w:val="003C1AFC"/>
    <w:rsid w:val="003C48A1"/>
    <w:rsid w:val="003C4FAE"/>
    <w:rsid w:val="003C5804"/>
    <w:rsid w:val="003C5879"/>
    <w:rsid w:val="003D1CCF"/>
    <w:rsid w:val="003D2E0B"/>
    <w:rsid w:val="003D48E5"/>
    <w:rsid w:val="003D60F2"/>
    <w:rsid w:val="003D6BCC"/>
    <w:rsid w:val="003D6E7E"/>
    <w:rsid w:val="003D6EE6"/>
    <w:rsid w:val="003D710D"/>
    <w:rsid w:val="003E0796"/>
    <w:rsid w:val="003E0B46"/>
    <w:rsid w:val="003E0B70"/>
    <w:rsid w:val="003E3395"/>
    <w:rsid w:val="003E36D4"/>
    <w:rsid w:val="003E3A01"/>
    <w:rsid w:val="003E4C2A"/>
    <w:rsid w:val="003E5919"/>
    <w:rsid w:val="003E5F1E"/>
    <w:rsid w:val="003E68BB"/>
    <w:rsid w:val="003E694D"/>
    <w:rsid w:val="003F01A1"/>
    <w:rsid w:val="003F3220"/>
    <w:rsid w:val="003F3E9D"/>
    <w:rsid w:val="003F47B5"/>
    <w:rsid w:val="003F5C34"/>
    <w:rsid w:val="003F61E3"/>
    <w:rsid w:val="00400CA9"/>
    <w:rsid w:val="00400EBC"/>
    <w:rsid w:val="004011AA"/>
    <w:rsid w:val="00402EB4"/>
    <w:rsid w:val="00403469"/>
    <w:rsid w:val="00404A17"/>
    <w:rsid w:val="004053EF"/>
    <w:rsid w:val="00407282"/>
    <w:rsid w:val="00407BAF"/>
    <w:rsid w:val="0041009B"/>
    <w:rsid w:val="004107B4"/>
    <w:rsid w:val="0041180B"/>
    <w:rsid w:val="004126E6"/>
    <w:rsid w:val="00412BCD"/>
    <w:rsid w:val="00412E44"/>
    <w:rsid w:val="00413451"/>
    <w:rsid w:val="00414A4A"/>
    <w:rsid w:val="00416B3B"/>
    <w:rsid w:val="00417E5A"/>
    <w:rsid w:val="0042089A"/>
    <w:rsid w:val="004209A7"/>
    <w:rsid w:val="00420F08"/>
    <w:rsid w:val="00422AD4"/>
    <w:rsid w:val="00422D3A"/>
    <w:rsid w:val="00423F48"/>
    <w:rsid w:val="0042410C"/>
    <w:rsid w:val="00425087"/>
    <w:rsid w:val="00425089"/>
    <w:rsid w:val="0042635E"/>
    <w:rsid w:val="00427C56"/>
    <w:rsid w:val="00430942"/>
    <w:rsid w:val="00430951"/>
    <w:rsid w:val="00431BE4"/>
    <w:rsid w:val="00431BFC"/>
    <w:rsid w:val="00432763"/>
    <w:rsid w:val="00432824"/>
    <w:rsid w:val="0043285E"/>
    <w:rsid w:val="004335DE"/>
    <w:rsid w:val="00433BF2"/>
    <w:rsid w:val="00433C6A"/>
    <w:rsid w:val="00434F4C"/>
    <w:rsid w:val="00435338"/>
    <w:rsid w:val="004366C6"/>
    <w:rsid w:val="00440C82"/>
    <w:rsid w:val="00442B57"/>
    <w:rsid w:val="00442D79"/>
    <w:rsid w:val="0044310C"/>
    <w:rsid w:val="00443381"/>
    <w:rsid w:val="004440ED"/>
    <w:rsid w:val="004450C1"/>
    <w:rsid w:val="00445390"/>
    <w:rsid w:val="00445F75"/>
    <w:rsid w:val="00446B12"/>
    <w:rsid w:val="0044708F"/>
    <w:rsid w:val="004470D7"/>
    <w:rsid w:val="004475D5"/>
    <w:rsid w:val="00447745"/>
    <w:rsid w:val="00447D33"/>
    <w:rsid w:val="004502ED"/>
    <w:rsid w:val="00452BC6"/>
    <w:rsid w:val="00453D1F"/>
    <w:rsid w:val="0045591F"/>
    <w:rsid w:val="00455AE1"/>
    <w:rsid w:val="00456871"/>
    <w:rsid w:val="0046001A"/>
    <w:rsid w:val="00464C1F"/>
    <w:rsid w:val="00465736"/>
    <w:rsid w:val="0046633F"/>
    <w:rsid w:val="0046743A"/>
    <w:rsid w:val="00470274"/>
    <w:rsid w:val="004707C8"/>
    <w:rsid w:val="00471D8C"/>
    <w:rsid w:val="00471E3B"/>
    <w:rsid w:val="00472C7E"/>
    <w:rsid w:val="00473179"/>
    <w:rsid w:val="00475502"/>
    <w:rsid w:val="00475AEE"/>
    <w:rsid w:val="00476F8E"/>
    <w:rsid w:val="004773D3"/>
    <w:rsid w:val="00477701"/>
    <w:rsid w:val="00477D16"/>
    <w:rsid w:val="00480553"/>
    <w:rsid w:val="00480836"/>
    <w:rsid w:val="0048142D"/>
    <w:rsid w:val="00481795"/>
    <w:rsid w:val="0048202C"/>
    <w:rsid w:val="00484CBF"/>
    <w:rsid w:val="00486A1A"/>
    <w:rsid w:val="00486B43"/>
    <w:rsid w:val="004875A3"/>
    <w:rsid w:val="00491388"/>
    <w:rsid w:val="00493300"/>
    <w:rsid w:val="0049366D"/>
    <w:rsid w:val="00493D4B"/>
    <w:rsid w:val="004959E6"/>
    <w:rsid w:val="0049673A"/>
    <w:rsid w:val="00497134"/>
    <w:rsid w:val="00497625"/>
    <w:rsid w:val="004A01D1"/>
    <w:rsid w:val="004A3921"/>
    <w:rsid w:val="004A3F06"/>
    <w:rsid w:val="004A5F0F"/>
    <w:rsid w:val="004A64C8"/>
    <w:rsid w:val="004A6D9D"/>
    <w:rsid w:val="004A77E7"/>
    <w:rsid w:val="004B105D"/>
    <w:rsid w:val="004B1170"/>
    <w:rsid w:val="004B1850"/>
    <w:rsid w:val="004B1DAA"/>
    <w:rsid w:val="004B2130"/>
    <w:rsid w:val="004B3B13"/>
    <w:rsid w:val="004B4790"/>
    <w:rsid w:val="004B49E8"/>
    <w:rsid w:val="004B4AA9"/>
    <w:rsid w:val="004B4AEB"/>
    <w:rsid w:val="004B53CC"/>
    <w:rsid w:val="004B53F6"/>
    <w:rsid w:val="004B5B1D"/>
    <w:rsid w:val="004B79E1"/>
    <w:rsid w:val="004B7F12"/>
    <w:rsid w:val="004C0C42"/>
    <w:rsid w:val="004C2AF6"/>
    <w:rsid w:val="004C2C38"/>
    <w:rsid w:val="004C2E39"/>
    <w:rsid w:val="004C3858"/>
    <w:rsid w:val="004C3B5D"/>
    <w:rsid w:val="004C43A6"/>
    <w:rsid w:val="004C542A"/>
    <w:rsid w:val="004C6D8D"/>
    <w:rsid w:val="004C6F22"/>
    <w:rsid w:val="004C705B"/>
    <w:rsid w:val="004C76C2"/>
    <w:rsid w:val="004C7A30"/>
    <w:rsid w:val="004C7C96"/>
    <w:rsid w:val="004D0B8A"/>
    <w:rsid w:val="004D0BB1"/>
    <w:rsid w:val="004D0F14"/>
    <w:rsid w:val="004D11CB"/>
    <w:rsid w:val="004D22A5"/>
    <w:rsid w:val="004D2C10"/>
    <w:rsid w:val="004D3224"/>
    <w:rsid w:val="004D3A08"/>
    <w:rsid w:val="004D5999"/>
    <w:rsid w:val="004D71DA"/>
    <w:rsid w:val="004D734E"/>
    <w:rsid w:val="004D767B"/>
    <w:rsid w:val="004E014B"/>
    <w:rsid w:val="004E02C8"/>
    <w:rsid w:val="004E0B1B"/>
    <w:rsid w:val="004E0B8B"/>
    <w:rsid w:val="004E1552"/>
    <w:rsid w:val="004E1BD3"/>
    <w:rsid w:val="004E2C7F"/>
    <w:rsid w:val="004E2DA2"/>
    <w:rsid w:val="004E319C"/>
    <w:rsid w:val="004E3B79"/>
    <w:rsid w:val="004E494A"/>
    <w:rsid w:val="004E7A57"/>
    <w:rsid w:val="004F1343"/>
    <w:rsid w:val="004F1838"/>
    <w:rsid w:val="004F1A17"/>
    <w:rsid w:val="004F1B34"/>
    <w:rsid w:val="004F2369"/>
    <w:rsid w:val="004F35A7"/>
    <w:rsid w:val="004F3F87"/>
    <w:rsid w:val="004F4D8A"/>
    <w:rsid w:val="004F6674"/>
    <w:rsid w:val="004F76E0"/>
    <w:rsid w:val="004F7C51"/>
    <w:rsid w:val="005000A4"/>
    <w:rsid w:val="00501044"/>
    <w:rsid w:val="005019A4"/>
    <w:rsid w:val="00501BFC"/>
    <w:rsid w:val="00502409"/>
    <w:rsid w:val="005037F6"/>
    <w:rsid w:val="00503A4C"/>
    <w:rsid w:val="00503BF5"/>
    <w:rsid w:val="005040A4"/>
    <w:rsid w:val="00506058"/>
    <w:rsid w:val="00506CD7"/>
    <w:rsid w:val="00506D4F"/>
    <w:rsid w:val="00507FA8"/>
    <w:rsid w:val="00510703"/>
    <w:rsid w:val="0051093E"/>
    <w:rsid w:val="005109B7"/>
    <w:rsid w:val="005115FE"/>
    <w:rsid w:val="00511D50"/>
    <w:rsid w:val="005121B8"/>
    <w:rsid w:val="00512D1C"/>
    <w:rsid w:val="00513C51"/>
    <w:rsid w:val="00513C8F"/>
    <w:rsid w:val="0051422F"/>
    <w:rsid w:val="0051507F"/>
    <w:rsid w:val="00516D33"/>
    <w:rsid w:val="00517E9E"/>
    <w:rsid w:val="00521951"/>
    <w:rsid w:val="00521D8F"/>
    <w:rsid w:val="00521EC2"/>
    <w:rsid w:val="005231E1"/>
    <w:rsid w:val="005272E3"/>
    <w:rsid w:val="00527EA7"/>
    <w:rsid w:val="00531431"/>
    <w:rsid w:val="00531F4E"/>
    <w:rsid w:val="0053215B"/>
    <w:rsid w:val="005325E4"/>
    <w:rsid w:val="00532929"/>
    <w:rsid w:val="00532A21"/>
    <w:rsid w:val="00532DFB"/>
    <w:rsid w:val="0053327D"/>
    <w:rsid w:val="0053591A"/>
    <w:rsid w:val="00535B0D"/>
    <w:rsid w:val="005368BD"/>
    <w:rsid w:val="00536BFE"/>
    <w:rsid w:val="00537410"/>
    <w:rsid w:val="0054058C"/>
    <w:rsid w:val="005407EA"/>
    <w:rsid w:val="005411A8"/>
    <w:rsid w:val="00541426"/>
    <w:rsid w:val="00542A29"/>
    <w:rsid w:val="00543CC5"/>
    <w:rsid w:val="00543D06"/>
    <w:rsid w:val="00543D8A"/>
    <w:rsid w:val="005442F5"/>
    <w:rsid w:val="00544539"/>
    <w:rsid w:val="005446B5"/>
    <w:rsid w:val="0054491C"/>
    <w:rsid w:val="00544B0E"/>
    <w:rsid w:val="0054588A"/>
    <w:rsid w:val="00545A91"/>
    <w:rsid w:val="0054686B"/>
    <w:rsid w:val="00546BB7"/>
    <w:rsid w:val="005526ED"/>
    <w:rsid w:val="00553339"/>
    <w:rsid w:val="005533B5"/>
    <w:rsid w:val="0055460E"/>
    <w:rsid w:val="0055472E"/>
    <w:rsid w:val="005552A1"/>
    <w:rsid w:val="00555A1A"/>
    <w:rsid w:val="00555D49"/>
    <w:rsid w:val="005563FA"/>
    <w:rsid w:val="00557045"/>
    <w:rsid w:val="00557111"/>
    <w:rsid w:val="0055755B"/>
    <w:rsid w:val="00560D6D"/>
    <w:rsid w:val="00560EC8"/>
    <w:rsid w:val="00562218"/>
    <w:rsid w:val="005626E8"/>
    <w:rsid w:val="00562A81"/>
    <w:rsid w:val="00562FA1"/>
    <w:rsid w:val="00563589"/>
    <w:rsid w:val="005660CE"/>
    <w:rsid w:val="00567362"/>
    <w:rsid w:val="00567E50"/>
    <w:rsid w:val="00570D51"/>
    <w:rsid w:val="0057143D"/>
    <w:rsid w:val="0057149C"/>
    <w:rsid w:val="0057157F"/>
    <w:rsid w:val="00572133"/>
    <w:rsid w:val="00572EC1"/>
    <w:rsid w:val="00575224"/>
    <w:rsid w:val="0057532C"/>
    <w:rsid w:val="00575B04"/>
    <w:rsid w:val="005765BB"/>
    <w:rsid w:val="00576F4D"/>
    <w:rsid w:val="0058083A"/>
    <w:rsid w:val="00580EE2"/>
    <w:rsid w:val="00581C8A"/>
    <w:rsid w:val="0058344F"/>
    <w:rsid w:val="005836A2"/>
    <w:rsid w:val="00584E9E"/>
    <w:rsid w:val="00585E32"/>
    <w:rsid w:val="00585FD9"/>
    <w:rsid w:val="00587991"/>
    <w:rsid w:val="00587FA4"/>
    <w:rsid w:val="00591013"/>
    <w:rsid w:val="005918E2"/>
    <w:rsid w:val="00591E0F"/>
    <w:rsid w:val="005924EC"/>
    <w:rsid w:val="00592584"/>
    <w:rsid w:val="00593BBE"/>
    <w:rsid w:val="00593F0D"/>
    <w:rsid w:val="005946B7"/>
    <w:rsid w:val="005947DE"/>
    <w:rsid w:val="005964AC"/>
    <w:rsid w:val="00596F1C"/>
    <w:rsid w:val="0059755A"/>
    <w:rsid w:val="00597EF7"/>
    <w:rsid w:val="005A013F"/>
    <w:rsid w:val="005A0B81"/>
    <w:rsid w:val="005A1EA3"/>
    <w:rsid w:val="005A23E4"/>
    <w:rsid w:val="005A2642"/>
    <w:rsid w:val="005A2862"/>
    <w:rsid w:val="005A31CD"/>
    <w:rsid w:val="005A3CCD"/>
    <w:rsid w:val="005A3CEB"/>
    <w:rsid w:val="005A400D"/>
    <w:rsid w:val="005A572C"/>
    <w:rsid w:val="005A5BB7"/>
    <w:rsid w:val="005A60CD"/>
    <w:rsid w:val="005A6843"/>
    <w:rsid w:val="005B1406"/>
    <w:rsid w:val="005B2318"/>
    <w:rsid w:val="005B40A1"/>
    <w:rsid w:val="005B4ED1"/>
    <w:rsid w:val="005B5A7A"/>
    <w:rsid w:val="005B60AC"/>
    <w:rsid w:val="005B677D"/>
    <w:rsid w:val="005B7D3D"/>
    <w:rsid w:val="005C024D"/>
    <w:rsid w:val="005C088D"/>
    <w:rsid w:val="005C0AE0"/>
    <w:rsid w:val="005C1000"/>
    <w:rsid w:val="005C155B"/>
    <w:rsid w:val="005C199D"/>
    <w:rsid w:val="005C1B97"/>
    <w:rsid w:val="005C20A4"/>
    <w:rsid w:val="005C2B80"/>
    <w:rsid w:val="005C5774"/>
    <w:rsid w:val="005C5BF0"/>
    <w:rsid w:val="005C6471"/>
    <w:rsid w:val="005C6997"/>
    <w:rsid w:val="005C6DDD"/>
    <w:rsid w:val="005C6F00"/>
    <w:rsid w:val="005D0924"/>
    <w:rsid w:val="005D1BDD"/>
    <w:rsid w:val="005D21FF"/>
    <w:rsid w:val="005D467D"/>
    <w:rsid w:val="005D47A2"/>
    <w:rsid w:val="005D4AE5"/>
    <w:rsid w:val="005D4AEC"/>
    <w:rsid w:val="005D4FA5"/>
    <w:rsid w:val="005D56D9"/>
    <w:rsid w:val="005D5F26"/>
    <w:rsid w:val="005D5F8E"/>
    <w:rsid w:val="005D7362"/>
    <w:rsid w:val="005E18D8"/>
    <w:rsid w:val="005E235C"/>
    <w:rsid w:val="005E28F4"/>
    <w:rsid w:val="005E2DDD"/>
    <w:rsid w:val="005E382B"/>
    <w:rsid w:val="005E3BE0"/>
    <w:rsid w:val="005E4224"/>
    <w:rsid w:val="005E61BA"/>
    <w:rsid w:val="005E756C"/>
    <w:rsid w:val="005E76C5"/>
    <w:rsid w:val="005F0932"/>
    <w:rsid w:val="005F0CE3"/>
    <w:rsid w:val="005F0E95"/>
    <w:rsid w:val="005F12C1"/>
    <w:rsid w:val="005F19C5"/>
    <w:rsid w:val="005F1E8D"/>
    <w:rsid w:val="005F230D"/>
    <w:rsid w:val="005F40B2"/>
    <w:rsid w:val="005F593C"/>
    <w:rsid w:val="005F6157"/>
    <w:rsid w:val="005F6425"/>
    <w:rsid w:val="005F78CC"/>
    <w:rsid w:val="0060097A"/>
    <w:rsid w:val="006029D6"/>
    <w:rsid w:val="0060642F"/>
    <w:rsid w:val="006066C4"/>
    <w:rsid w:val="00606F4C"/>
    <w:rsid w:val="00610576"/>
    <w:rsid w:val="006108F9"/>
    <w:rsid w:val="006109D8"/>
    <w:rsid w:val="0061197D"/>
    <w:rsid w:val="00611F29"/>
    <w:rsid w:val="006143AB"/>
    <w:rsid w:val="006155BA"/>
    <w:rsid w:val="00620AA5"/>
    <w:rsid w:val="00624E78"/>
    <w:rsid w:val="00625D7D"/>
    <w:rsid w:val="006308D9"/>
    <w:rsid w:val="0063153F"/>
    <w:rsid w:val="00631632"/>
    <w:rsid w:val="00633FAB"/>
    <w:rsid w:val="00635255"/>
    <w:rsid w:val="00635E70"/>
    <w:rsid w:val="0063675C"/>
    <w:rsid w:val="0064002D"/>
    <w:rsid w:val="00640B5A"/>
    <w:rsid w:val="006423DF"/>
    <w:rsid w:val="00642435"/>
    <w:rsid w:val="00642A76"/>
    <w:rsid w:val="00642A9A"/>
    <w:rsid w:val="006439F2"/>
    <w:rsid w:val="00643A9E"/>
    <w:rsid w:val="00643EC4"/>
    <w:rsid w:val="006450CF"/>
    <w:rsid w:val="00645B60"/>
    <w:rsid w:val="00645EDE"/>
    <w:rsid w:val="00653D94"/>
    <w:rsid w:val="00655093"/>
    <w:rsid w:val="00655BCA"/>
    <w:rsid w:val="006606E0"/>
    <w:rsid w:val="006638A4"/>
    <w:rsid w:val="0066466C"/>
    <w:rsid w:val="00664A1B"/>
    <w:rsid w:val="00664E89"/>
    <w:rsid w:val="00665978"/>
    <w:rsid w:val="00665F1E"/>
    <w:rsid w:val="0066685D"/>
    <w:rsid w:val="00666A4A"/>
    <w:rsid w:val="006670A4"/>
    <w:rsid w:val="006705B2"/>
    <w:rsid w:val="006705DE"/>
    <w:rsid w:val="0067101D"/>
    <w:rsid w:val="00671065"/>
    <w:rsid w:val="006722D2"/>
    <w:rsid w:val="00674A9F"/>
    <w:rsid w:val="00674E1A"/>
    <w:rsid w:val="00677034"/>
    <w:rsid w:val="00677C4F"/>
    <w:rsid w:val="0068039B"/>
    <w:rsid w:val="0068093C"/>
    <w:rsid w:val="00681DE1"/>
    <w:rsid w:val="006834C3"/>
    <w:rsid w:val="00683B29"/>
    <w:rsid w:val="00683F58"/>
    <w:rsid w:val="006842BD"/>
    <w:rsid w:val="006848F5"/>
    <w:rsid w:val="00684A76"/>
    <w:rsid w:val="00686362"/>
    <w:rsid w:val="00686865"/>
    <w:rsid w:val="00686A0D"/>
    <w:rsid w:val="00686D0B"/>
    <w:rsid w:val="00687340"/>
    <w:rsid w:val="006874CE"/>
    <w:rsid w:val="00690245"/>
    <w:rsid w:val="00690328"/>
    <w:rsid w:val="00692B1E"/>
    <w:rsid w:val="00692E9C"/>
    <w:rsid w:val="00693BA4"/>
    <w:rsid w:val="00693BDF"/>
    <w:rsid w:val="00693E00"/>
    <w:rsid w:val="006951C5"/>
    <w:rsid w:val="0069592A"/>
    <w:rsid w:val="0069601C"/>
    <w:rsid w:val="006960B3"/>
    <w:rsid w:val="006A0A3E"/>
    <w:rsid w:val="006A1D28"/>
    <w:rsid w:val="006A22F7"/>
    <w:rsid w:val="006A35A8"/>
    <w:rsid w:val="006A3EA6"/>
    <w:rsid w:val="006A5278"/>
    <w:rsid w:val="006A613B"/>
    <w:rsid w:val="006A6B02"/>
    <w:rsid w:val="006B0411"/>
    <w:rsid w:val="006B074D"/>
    <w:rsid w:val="006B0BF2"/>
    <w:rsid w:val="006B0DE5"/>
    <w:rsid w:val="006B115F"/>
    <w:rsid w:val="006B239B"/>
    <w:rsid w:val="006B3C57"/>
    <w:rsid w:val="006B3C58"/>
    <w:rsid w:val="006B54A1"/>
    <w:rsid w:val="006B6C94"/>
    <w:rsid w:val="006B7B1E"/>
    <w:rsid w:val="006C035B"/>
    <w:rsid w:val="006C06BF"/>
    <w:rsid w:val="006C23DB"/>
    <w:rsid w:val="006C262B"/>
    <w:rsid w:val="006C282B"/>
    <w:rsid w:val="006C39CB"/>
    <w:rsid w:val="006C749D"/>
    <w:rsid w:val="006C7C10"/>
    <w:rsid w:val="006C7CEC"/>
    <w:rsid w:val="006D00BF"/>
    <w:rsid w:val="006D2345"/>
    <w:rsid w:val="006D26DF"/>
    <w:rsid w:val="006D3281"/>
    <w:rsid w:val="006D3491"/>
    <w:rsid w:val="006D35D3"/>
    <w:rsid w:val="006D396A"/>
    <w:rsid w:val="006D4C66"/>
    <w:rsid w:val="006D5D05"/>
    <w:rsid w:val="006D5DDC"/>
    <w:rsid w:val="006E031A"/>
    <w:rsid w:val="006E0426"/>
    <w:rsid w:val="006E0BCD"/>
    <w:rsid w:val="006E1136"/>
    <w:rsid w:val="006E1695"/>
    <w:rsid w:val="006E1898"/>
    <w:rsid w:val="006E3196"/>
    <w:rsid w:val="006E3DD9"/>
    <w:rsid w:val="006E4473"/>
    <w:rsid w:val="006E5B3F"/>
    <w:rsid w:val="006E62D4"/>
    <w:rsid w:val="006E662E"/>
    <w:rsid w:val="006E6CAD"/>
    <w:rsid w:val="006E70CC"/>
    <w:rsid w:val="006F0A73"/>
    <w:rsid w:val="006F1D88"/>
    <w:rsid w:val="006F277F"/>
    <w:rsid w:val="006F2E4A"/>
    <w:rsid w:val="006F4552"/>
    <w:rsid w:val="006F458D"/>
    <w:rsid w:val="006F4828"/>
    <w:rsid w:val="006F553D"/>
    <w:rsid w:val="006F582D"/>
    <w:rsid w:val="006F64E1"/>
    <w:rsid w:val="006F747E"/>
    <w:rsid w:val="006F7520"/>
    <w:rsid w:val="00700171"/>
    <w:rsid w:val="00700832"/>
    <w:rsid w:val="00702CB5"/>
    <w:rsid w:val="00703260"/>
    <w:rsid w:val="0070367A"/>
    <w:rsid w:val="00704C8B"/>
    <w:rsid w:val="00705B64"/>
    <w:rsid w:val="00706431"/>
    <w:rsid w:val="007074D0"/>
    <w:rsid w:val="007106C2"/>
    <w:rsid w:val="00710C88"/>
    <w:rsid w:val="00710DAA"/>
    <w:rsid w:val="007117F1"/>
    <w:rsid w:val="007119BB"/>
    <w:rsid w:val="00711D10"/>
    <w:rsid w:val="00713528"/>
    <w:rsid w:val="00713EA6"/>
    <w:rsid w:val="00714CDE"/>
    <w:rsid w:val="00714EB7"/>
    <w:rsid w:val="0071509B"/>
    <w:rsid w:val="00715139"/>
    <w:rsid w:val="00715621"/>
    <w:rsid w:val="00716534"/>
    <w:rsid w:val="00716608"/>
    <w:rsid w:val="00716A1A"/>
    <w:rsid w:val="00716CD1"/>
    <w:rsid w:val="00717636"/>
    <w:rsid w:val="007177A7"/>
    <w:rsid w:val="007202DB"/>
    <w:rsid w:val="007214C5"/>
    <w:rsid w:val="0072298B"/>
    <w:rsid w:val="0072384B"/>
    <w:rsid w:val="007242DC"/>
    <w:rsid w:val="0072490C"/>
    <w:rsid w:val="00724B9B"/>
    <w:rsid w:val="00725DE0"/>
    <w:rsid w:val="0072616C"/>
    <w:rsid w:val="00727342"/>
    <w:rsid w:val="00727779"/>
    <w:rsid w:val="00731F7F"/>
    <w:rsid w:val="007325E2"/>
    <w:rsid w:val="0073381F"/>
    <w:rsid w:val="00733895"/>
    <w:rsid w:val="007342C3"/>
    <w:rsid w:val="00734832"/>
    <w:rsid w:val="00734ACA"/>
    <w:rsid w:val="0073513A"/>
    <w:rsid w:val="007371B3"/>
    <w:rsid w:val="007374F9"/>
    <w:rsid w:val="007379EA"/>
    <w:rsid w:val="00741040"/>
    <w:rsid w:val="00742679"/>
    <w:rsid w:val="00743AD6"/>
    <w:rsid w:val="00743F3F"/>
    <w:rsid w:val="00744E11"/>
    <w:rsid w:val="00744FBD"/>
    <w:rsid w:val="00746042"/>
    <w:rsid w:val="00746366"/>
    <w:rsid w:val="007467A9"/>
    <w:rsid w:val="00746A43"/>
    <w:rsid w:val="007534C4"/>
    <w:rsid w:val="00753A85"/>
    <w:rsid w:val="00753B7B"/>
    <w:rsid w:val="007547AE"/>
    <w:rsid w:val="00754981"/>
    <w:rsid w:val="00754AB9"/>
    <w:rsid w:val="00755610"/>
    <w:rsid w:val="007563E2"/>
    <w:rsid w:val="007607ED"/>
    <w:rsid w:val="00761274"/>
    <w:rsid w:val="007636D1"/>
    <w:rsid w:val="00763F94"/>
    <w:rsid w:val="007669C8"/>
    <w:rsid w:val="0076748C"/>
    <w:rsid w:val="00767C3A"/>
    <w:rsid w:val="007707B5"/>
    <w:rsid w:val="00770EB2"/>
    <w:rsid w:val="007723B0"/>
    <w:rsid w:val="00774182"/>
    <w:rsid w:val="007748E7"/>
    <w:rsid w:val="00775B3B"/>
    <w:rsid w:val="0078011F"/>
    <w:rsid w:val="0078042F"/>
    <w:rsid w:val="00781721"/>
    <w:rsid w:val="00782490"/>
    <w:rsid w:val="00782901"/>
    <w:rsid w:val="00783E7C"/>
    <w:rsid w:val="0078486C"/>
    <w:rsid w:val="007848E0"/>
    <w:rsid w:val="00784DDA"/>
    <w:rsid w:val="00785336"/>
    <w:rsid w:val="007866FA"/>
    <w:rsid w:val="00787B7F"/>
    <w:rsid w:val="00790024"/>
    <w:rsid w:val="00790E82"/>
    <w:rsid w:val="00791464"/>
    <w:rsid w:val="007926D6"/>
    <w:rsid w:val="00792D78"/>
    <w:rsid w:val="00792E1F"/>
    <w:rsid w:val="00793624"/>
    <w:rsid w:val="00793BD4"/>
    <w:rsid w:val="0079523F"/>
    <w:rsid w:val="00796D72"/>
    <w:rsid w:val="007973DC"/>
    <w:rsid w:val="007A033E"/>
    <w:rsid w:val="007A06B7"/>
    <w:rsid w:val="007A0E4B"/>
    <w:rsid w:val="007A1CA7"/>
    <w:rsid w:val="007A2C37"/>
    <w:rsid w:val="007A2FA7"/>
    <w:rsid w:val="007A3F61"/>
    <w:rsid w:val="007A4AF5"/>
    <w:rsid w:val="007A53D9"/>
    <w:rsid w:val="007A5668"/>
    <w:rsid w:val="007A57E2"/>
    <w:rsid w:val="007A650F"/>
    <w:rsid w:val="007A7572"/>
    <w:rsid w:val="007B027F"/>
    <w:rsid w:val="007B0BEA"/>
    <w:rsid w:val="007B0EC1"/>
    <w:rsid w:val="007B100A"/>
    <w:rsid w:val="007B21A5"/>
    <w:rsid w:val="007B2AD6"/>
    <w:rsid w:val="007B3938"/>
    <w:rsid w:val="007B5616"/>
    <w:rsid w:val="007B69B9"/>
    <w:rsid w:val="007B6CA4"/>
    <w:rsid w:val="007B7BB1"/>
    <w:rsid w:val="007C101B"/>
    <w:rsid w:val="007C3B9D"/>
    <w:rsid w:val="007C3CD7"/>
    <w:rsid w:val="007C4C8A"/>
    <w:rsid w:val="007C6AEC"/>
    <w:rsid w:val="007C72DA"/>
    <w:rsid w:val="007D1020"/>
    <w:rsid w:val="007D1224"/>
    <w:rsid w:val="007D1E2F"/>
    <w:rsid w:val="007D3D70"/>
    <w:rsid w:val="007D4B55"/>
    <w:rsid w:val="007D4ED8"/>
    <w:rsid w:val="007D6BAE"/>
    <w:rsid w:val="007D7196"/>
    <w:rsid w:val="007D71F6"/>
    <w:rsid w:val="007D728E"/>
    <w:rsid w:val="007D7823"/>
    <w:rsid w:val="007D799D"/>
    <w:rsid w:val="007E3585"/>
    <w:rsid w:val="007E4430"/>
    <w:rsid w:val="007E6795"/>
    <w:rsid w:val="007F30D5"/>
    <w:rsid w:val="007F4056"/>
    <w:rsid w:val="007F577B"/>
    <w:rsid w:val="007F5B3F"/>
    <w:rsid w:val="007F72D6"/>
    <w:rsid w:val="007F74D4"/>
    <w:rsid w:val="007F7DBD"/>
    <w:rsid w:val="00800031"/>
    <w:rsid w:val="00800070"/>
    <w:rsid w:val="00800F52"/>
    <w:rsid w:val="008013AD"/>
    <w:rsid w:val="00802F0D"/>
    <w:rsid w:val="008033CE"/>
    <w:rsid w:val="00803C36"/>
    <w:rsid w:val="00804E5E"/>
    <w:rsid w:val="008107C4"/>
    <w:rsid w:val="0081136A"/>
    <w:rsid w:val="008118C5"/>
    <w:rsid w:val="00811B37"/>
    <w:rsid w:val="00811F14"/>
    <w:rsid w:val="00812282"/>
    <w:rsid w:val="00813727"/>
    <w:rsid w:val="008138D5"/>
    <w:rsid w:val="00814D30"/>
    <w:rsid w:val="00815CED"/>
    <w:rsid w:val="00815D3C"/>
    <w:rsid w:val="008169DA"/>
    <w:rsid w:val="00816C16"/>
    <w:rsid w:val="00816EFD"/>
    <w:rsid w:val="00817EBB"/>
    <w:rsid w:val="008202B5"/>
    <w:rsid w:val="008206FF"/>
    <w:rsid w:val="00821C71"/>
    <w:rsid w:val="00821E66"/>
    <w:rsid w:val="0082295F"/>
    <w:rsid w:val="008244E0"/>
    <w:rsid w:val="00824BAE"/>
    <w:rsid w:val="008256F5"/>
    <w:rsid w:val="00825D30"/>
    <w:rsid w:val="008266DA"/>
    <w:rsid w:val="00826B1A"/>
    <w:rsid w:val="00827F74"/>
    <w:rsid w:val="00830B98"/>
    <w:rsid w:val="008313BC"/>
    <w:rsid w:val="00832BD0"/>
    <w:rsid w:val="00833067"/>
    <w:rsid w:val="00833ED8"/>
    <w:rsid w:val="0083449D"/>
    <w:rsid w:val="00835287"/>
    <w:rsid w:val="00835B04"/>
    <w:rsid w:val="00835CF2"/>
    <w:rsid w:val="0083617B"/>
    <w:rsid w:val="00836CFE"/>
    <w:rsid w:val="00837E12"/>
    <w:rsid w:val="00837EDC"/>
    <w:rsid w:val="0084033C"/>
    <w:rsid w:val="00840685"/>
    <w:rsid w:val="00840DAA"/>
    <w:rsid w:val="0084197B"/>
    <w:rsid w:val="00841AB8"/>
    <w:rsid w:val="0084274C"/>
    <w:rsid w:val="008436B3"/>
    <w:rsid w:val="00845380"/>
    <w:rsid w:val="008456C7"/>
    <w:rsid w:val="008465F6"/>
    <w:rsid w:val="00846D95"/>
    <w:rsid w:val="0084740A"/>
    <w:rsid w:val="00850399"/>
    <w:rsid w:val="00850AEC"/>
    <w:rsid w:val="00851692"/>
    <w:rsid w:val="00852E9E"/>
    <w:rsid w:val="008536BA"/>
    <w:rsid w:val="00853711"/>
    <w:rsid w:val="0085432B"/>
    <w:rsid w:val="00855539"/>
    <w:rsid w:val="00855944"/>
    <w:rsid w:val="008564DD"/>
    <w:rsid w:val="00856E9D"/>
    <w:rsid w:val="008573F5"/>
    <w:rsid w:val="00857878"/>
    <w:rsid w:val="00857E1B"/>
    <w:rsid w:val="0086086D"/>
    <w:rsid w:val="008617E4"/>
    <w:rsid w:val="0086229F"/>
    <w:rsid w:val="0086232A"/>
    <w:rsid w:val="0086235F"/>
    <w:rsid w:val="00862836"/>
    <w:rsid w:val="00863266"/>
    <w:rsid w:val="008634C2"/>
    <w:rsid w:val="00864EEA"/>
    <w:rsid w:val="008652DF"/>
    <w:rsid w:val="00865E4F"/>
    <w:rsid w:val="00866663"/>
    <w:rsid w:val="00867E32"/>
    <w:rsid w:val="008700CA"/>
    <w:rsid w:val="008700E0"/>
    <w:rsid w:val="008709ED"/>
    <w:rsid w:val="00871768"/>
    <w:rsid w:val="00871B54"/>
    <w:rsid w:val="00872D63"/>
    <w:rsid w:val="00873BE7"/>
    <w:rsid w:val="00873CAF"/>
    <w:rsid w:val="00873EDE"/>
    <w:rsid w:val="008754A2"/>
    <w:rsid w:val="008764A8"/>
    <w:rsid w:val="0087706C"/>
    <w:rsid w:val="00877AC3"/>
    <w:rsid w:val="00881D77"/>
    <w:rsid w:val="008821EB"/>
    <w:rsid w:val="0088237E"/>
    <w:rsid w:val="0088265E"/>
    <w:rsid w:val="00883FF4"/>
    <w:rsid w:val="00884940"/>
    <w:rsid w:val="008852A3"/>
    <w:rsid w:val="00886A15"/>
    <w:rsid w:val="00890B9A"/>
    <w:rsid w:val="00892EE8"/>
    <w:rsid w:val="00894C84"/>
    <w:rsid w:val="00894F93"/>
    <w:rsid w:val="00896300"/>
    <w:rsid w:val="008963F5"/>
    <w:rsid w:val="00896449"/>
    <w:rsid w:val="00896B39"/>
    <w:rsid w:val="00896BF2"/>
    <w:rsid w:val="00896C08"/>
    <w:rsid w:val="00897B04"/>
    <w:rsid w:val="008A0441"/>
    <w:rsid w:val="008A05DD"/>
    <w:rsid w:val="008A069A"/>
    <w:rsid w:val="008A0F2F"/>
    <w:rsid w:val="008A1079"/>
    <w:rsid w:val="008A1A48"/>
    <w:rsid w:val="008A1CAE"/>
    <w:rsid w:val="008A3174"/>
    <w:rsid w:val="008A36EB"/>
    <w:rsid w:val="008A3AFB"/>
    <w:rsid w:val="008A53D1"/>
    <w:rsid w:val="008A545C"/>
    <w:rsid w:val="008A5627"/>
    <w:rsid w:val="008A61E3"/>
    <w:rsid w:val="008A6964"/>
    <w:rsid w:val="008A7A4A"/>
    <w:rsid w:val="008B0B0E"/>
    <w:rsid w:val="008B297F"/>
    <w:rsid w:val="008B2B83"/>
    <w:rsid w:val="008B2C74"/>
    <w:rsid w:val="008B3975"/>
    <w:rsid w:val="008B3E8F"/>
    <w:rsid w:val="008B40C2"/>
    <w:rsid w:val="008B4599"/>
    <w:rsid w:val="008B5314"/>
    <w:rsid w:val="008B7755"/>
    <w:rsid w:val="008C0056"/>
    <w:rsid w:val="008C0F80"/>
    <w:rsid w:val="008C10AE"/>
    <w:rsid w:val="008C164C"/>
    <w:rsid w:val="008C1913"/>
    <w:rsid w:val="008C1B2A"/>
    <w:rsid w:val="008C21E1"/>
    <w:rsid w:val="008C31B7"/>
    <w:rsid w:val="008C3AAD"/>
    <w:rsid w:val="008C4442"/>
    <w:rsid w:val="008C5AD3"/>
    <w:rsid w:val="008C659D"/>
    <w:rsid w:val="008C7E0B"/>
    <w:rsid w:val="008C7F97"/>
    <w:rsid w:val="008D0531"/>
    <w:rsid w:val="008D09A1"/>
    <w:rsid w:val="008D22D2"/>
    <w:rsid w:val="008D31B1"/>
    <w:rsid w:val="008D35A4"/>
    <w:rsid w:val="008D6363"/>
    <w:rsid w:val="008D74DE"/>
    <w:rsid w:val="008D7655"/>
    <w:rsid w:val="008D76F6"/>
    <w:rsid w:val="008E07D4"/>
    <w:rsid w:val="008E0E18"/>
    <w:rsid w:val="008E0EB5"/>
    <w:rsid w:val="008E1A6E"/>
    <w:rsid w:val="008E26A5"/>
    <w:rsid w:val="008E2AE6"/>
    <w:rsid w:val="008E391B"/>
    <w:rsid w:val="008E3BEE"/>
    <w:rsid w:val="008E425D"/>
    <w:rsid w:val="008E42F4"/>
    <w:rsid w:val="008E4548"/>
    <w:rsid w:val="008E4F06"/>
    <w:rsid w:val="008E6152"/>
    <w:rsid w:val="008E6160"/>
    <w:rsid w:val="008F006C"/>
    <w:rsid w:val="008F0A36"/>
    <w:rsid w:val="008F2021"/>
    <w:rsid w:val="008F2F17"/>
    <w:rsid w:val="008F2F5C"/>
    <w:rsid w:val="008F3BBC"/>
    <w:rsid w:val="008F3C82"/>
    <w:rsid w:val="008F47E3"/>
    <w:rsid w:val="008F4E06"/>
    <w:rsid w:val="008F5797"/>
    <w:rsid w:val="008F5D4D"/>
    <w:rsid w:val="008F5DC5"/>
    <w:rsid w:val="008F6C23"/>
    <w:rsid w:val="008F7319"/>
    <w:rsid w:val="0090140D"/>
    <w:rsid w:val="009040E9"/>
    <w:rsid w:val="009044C6"/>
    <w:rsid w:val="00904728"/>
    <w:rsid w:val="00904878"/>
    <w:rsid w:val="00905BAF"/>
    <w:rsid w:val="00906054"/>
    <w:rsid w:val="009062AE"/>
    <w:rsid w:val="00906786"/>
    <w:rsid w:val="00907900"/>
    <w:rsid w:val="0090798B"/>
    <w:rsid w:val="0091158A"/>
    <w:rsid w:val="00912419"/>
    <w:rsid w:val="00913C98"/>
    <w:rsid w:val="00914362"/>
    <w:rsid w:val="009146EE"/>
    <w:rsid w:val="00914E87"/>
    <w:rsid w:val="00914F76"/>
    <w:rsid w:val="009159F5"/>
    <w:rsid w:val="00915E2D"/>
    <w:rsid w:val="00915F80"/>
    <w:rsid w:val="00915FDF"/>
    <w:rsid w:val="009166CF"/>
    <w:rsid w:val="00917652"/>
    <w:rsid w:val="0092016D"/>
    <w:rsid w:val="00921395"/>
    <w:rsid w:val="00922743"/>
    <w:rsid w:val="009229CD"/>
    <w:rsid w:val="00923B0D"/>
    <w:rsid w:val="0092478E"/>
    <w:rsid w:val="009248A1"/>
    <w:rsid w:val="00926232"/>
    <w:rsid w:val="0093086E"/>
    <w:rsid w:val="00933264"/>
    <w:rsid w:val="0093383F"/>
    <w:rsid w:val="00933CB6"/>
    <w:rsid w:val="00935B29"/>
    <w:rsid w:val="00936CDA"/>
    <w:rsid w:val="00936FE0"/>
    <w:rsid w:val="0093799A"/>
    <w:rsid w:val="00937A11"/>
    <w:rsid w:val="00937A41"/>
    <w:rsid w:val="00937DE8"/>
    <w:rsid w:val="00940B34"/>
    <w:rsid w:val="009417A3"/>
    <w:rsid w:val="009417F7"/>
    <w:rsid w:val="009426F3"/>
    <w:rsid w:val="009427FD"/>
    <w:rsid w:val="009435CA"/>
    <w:rsid w:val="009452D5"/>
    <w:rsid w:val="00946D13"/>
    <w:rsid w:val="0094774F"/>
    <w:rsid w:val="009511BC"/>
    <w:rsid w:val="00952161"/>
    <w:rsid w:val="009529C5"/>
    <w:rsid w:val="009562E5"/>
    <w:rsid w:val="009567FE"/>
    <w:rsid w:val="009574F6"/>
    <w:rsid w:val="00960625"/>
    <w:rsid w:val="00960C47"/>
    <w:rsid w:val="00960D94"/>
    <w:rsid w:val="00963248"/>
    <w:rsid w:val="00963C9F"/>
    <w:rsid w:val="00963CE4"/>
    <w:rsid w:val="00963F49"/>
    <w:rsid w:val="0096517C"/>
    <w:rsid w:val="00966619"/>
    <w:rsid w:val="00970592"/>
    <w:rsid w:val="00972F2B"/>
    <w:rsid w:val="00973117"/>
    <w:rsid w:val="009731A8"/>
    <w:rsid w:val="00973360"/>
    <w:rsid w:val="00973AC4"/>
    <w:rsid w:val="009745AB"/>
    <w:rsid w:val="0098032E"/>
    <w:rsid w:val="00980FEE"/>
    <w:rsid w:val="0098102D"/>
    <w:rsid w:val="00981233"/>
    <w:rsid w:val="00981DC2"/>
    <w:rsid w:val="00982238"/>
    <w:rsid w:val="00982B4B"/>
    <w:rsid w:val="00984460"/>
    <w:rsid w:val="009858C3"/>
    <w:rsid w:val="00990BA4"/>
    <w:rsid w:val="00991526"/>
    <w:rsid w:val="00991B8D"/>
    <w:rsid w:val="00991DED"/>
    <w:rsid w:val="00992171"/>
    <w:rsid w:val="0099278B"/>
    <w:rsid w:val="00992BC2"/>
    <w:rsid w:val="00992D83"/>
    <w:rsid w:val="00995FCA"/>
    <w:rsid w:val="00997F6C"/>
    <w:rsid w:val="009A0E76"/>
    <w:rsid w:val="009A1A26"/>
    <w:rsid w:val="009A308E"/>
    <w:rsid w:val="009A3112"/>
    <w:rsid w:val="009A383B"/>
    <w:rsid w:val="009A3EA7"/>
    <w:rsid w:val="009A55B7"/>
    <w:rsid w:val="009A595F"/>
    <w:rsid w:val="009A5BC4"/>
    <w:rsid w:val="009A6183"/>
    <w:rsid w:val="009A638D"/>
    <w:rsid w:val="009A761E"/>
    <w:rsid w:val="009A7E05"/>
    <w:rsid w:val="009B08F0"/>
    <w:rsid w:val="009B0BC5"/>
    <w:rsid w:val="009B1D8E"/>
    <w:rsid w:val="009B1F0B"/>
    <w:rsid w:val="009B25D0"/>
    <w:rsid w:val="009B2FB2"/>
    <w:rsid w:val="009B3324"/>
    <w:rsid w:val="009B34AC"/>
    <w:rsid w:val="009B4D95"/>
    <w:rsid w:val="009B5DE4"/>
    <w:rsid w:val="009B6137"/>
    <w:rsid w:val="009B662F"/>
    <w:rsid w:val="009B67E7"/>
    <w:rsid w:val="009B6CB5"/>
    <w:rsid w:val="009C0265"/>
    <w:rsid w:val="009C1169"/>
    <w:rsid w:val="009C1C65"/>
    <w:rsid w:val="009C2085"/>
    <w:rsid w:val="009C2644"/>
    <w:rsid w:val="009C2680"/>
    <w:rsid w:val="009C26E6"/>
    <w:rsid w:val="009C3139"/>
    <w:rsid w:val="009C3B54"/>
    <w:rsid w:val="009C3CB0"/>
    <w:rsid w:val="009C4CA6"/>
    <w:rsid w:val="009C4D0B"/>
    <w:rsid w:val="009C4E4C"/>
    <w:rsid w:val="009C56D1"/>
    <w:rsid w:val="009C6412"/>
    <w:rsid w:val="009C68F4"/>
    <w:rsid w:val="009C7DD9"/>
    <w:rsid w:val="009D0F35"/>
    <w:rsid w:val="009D1538"/>
    <w:rsid w:val="009D18C2"/>
    <w:rsid w:val="009D2182"/>
    <w:rsid w:val="009D2196"/>
    <w:rsid w:val="009D4524"/>
    <w:rsid w:val="009D5A22"/>
    <w:rsid w:val="009D5A36"/>
    <w:rsid w:val="009D6892"/>
    <w:rsid w:val="009D6B5A"/>
    <w:rsid w:val="009E0B25"/>
    <w:rsid w:val="009E1401"/>
    <w:rsid w:val="009E31B0"/>
    <w:rsid w:val="009E34D5"/>
    <w:rsid w:val="009E4054"/>
    <w:rsid w:val="009E585D"/>
    <w:rsid w:val="009E76D6"/>
    <w:rsid w:val="009F18D9"/>
    <w:rsid w:val="009F1DB1"/>
    <w:rsid w:val="009F2C2D"/>
    <w:rsid w:val="009F2C93"/>
    <w:rsid w:val="009F38CB"/>
    <w:rsid w:val="009F3D1A"/>
    <w:rsid w:val="009F3FA5"/>
    <w:rsid w:val="009F3FF7"/>
    <w:rsid w:val="009F44D0"/>
    <w:rsid w:val="009F4A10"/>
    <w:rsid w:val="009F4D35"/>
    <w:rsid w:val="009F5004"/>
    <w:rsid w:val="009F5D10"/>
    <w:rsid w:val="009F6602"/>
    <w:rsid w:val="009F6734"/>
    <w:rsid w:val="009F7A5A"/>
    <w:rsid w:val="00A0105D"/>
    <w:rsid w:val="00A01549"/>
    <w:rsid w:val="00A02112"/>
    <w:rsid w:val="00A02CDC"/>
    <w:rsid w:val="00A03AC7"/>
    <w:rsid w:val="00A03B4D"/>
    <w:rsid w:val="00A03C15"/>
    <w:rsid w:val="00A05304"/>
    <w:rsid w:val="00A05808"/>
    <w:rsid w:val="00A06B24"/>
    <w:rsid w:val="00A070B7"/>
    <w:rsid w:val="00A079D9"/>
    <w:rsid w:val="00A11915"/>
    <w:rsid w:val="00A13691"/>
    <w:rsid w:val="00A1387E"/>
    <w:rsid w:val="00A144D8"/>
    <w:rsid w:val="00A14752"/>
    <w:rsid w:val="00A14D6E"/>
    <w:rsid w:val="00A16A04"/>
    <w:rsid w:val="00A1707F"/>
    <w:rsid w:val="00A17ED6"/>
    <w:rsid w:val="00A22749"/>
    <w:rsid w:val="00A230B1"/>
    <w:rsid w:val="00A23855"/>
    <w:rsid w:val="00A2575F"/>
    <w:rsid w:val="00A258C2"/>
    <w:rsid w:val="00A25C72"/>
    <w:rsid w:val="00A27683"/>
    <w:rsid w:val="00A3043E"/>
    <w:rsid w:val="00A3102B"/>
    <w:rsid w:val="00A321A1"/>
    <w:rsid w:val="00A34061"/>
    <w:rsid w:val="00A35CCC"/>
    <w:rsid w:val="00A3654D"/>
    <w:rsid w:val="00A36734"/>
    <w:rsid w:val="00A369AC"/>
    <w:rsid w:val="00A371AD"/>
    <w:rsid w:val="00A372DC"/>
    <w:rsid w:val="00A37302"/>
    <w:rsid w:val="00A379F3"/>
    <w:rsid w:val="00A37B11"/>
    <w:rsid w:val="00A37D40"/>
    <w:rsid w:val="00A40012"/>
    <w:rsid w:val="00A41443"/>
    <w:rsid w:val="00A41907"/>
    <w:rsid w:val="00A42610"/>
    <w:rsid w:val="00A4265B"/>
    <w:rsid w:val="00A42C4B"/>
    <w:rsid w:val="00A43021"/>
    <w:rsid w:val="00A440D5"/>
    <w:rsid w:val="00A4461A"/>
    <w:rsid w:val="00A446F8"/>
    <w:rsid w:val="00A44761"/>
    <w:rsid w:val="00A45034"/>
    <w:rsid w:val="00A459DE"/>
    <w:rsid w:val="00A46F0A"/>
    <w:rsid w:val="00A470BF"/>
    <w:rsid w:val="00A50A1D"/>
    <w:rsid w:val="00A50D02"/>
    <w:rsid w:val="00A5151B"/>
    <w:rsid w:val="00A51E27"/>
    <w:rsid w:val="00A51E32"/>
    <w:rsid w:val="00A53C97"/>
    <w:rsid w:val="00A5443E"/>
    <w:rsid w:val="00A5508E"/>
    <w:rsid w:val="00A550BB"/>
    <w:rsid w:val="00A55602"/>
    <w:rsid w:val="00A56BC1"/>
    <w:rsid w:val="00A574BB"/>
    <w:rsid w:val="00A5767C"/>
    <w:rsid w:val="00A609D4"/>
    <w:rsid w:val="00A62216"/>
    <w:rsid w:val="00A632E7"/>
    <w:rsid w:val="00A63304"/>
    <w:rsid w:val="00A633D0"/>
    <w:rsid w:val="00A6441B"/>
    <w:rsid w:val="00A658B2"/>
    <w:rsid w:val="00A65913"/>
    <w:rsid w:val="00A662C3"/>
    <w:rsid w:val="00A70A4D"/>
    <w:rsid w:val="00A71199"/>
    <w:rsid w:val="00A72289"/>
    <w:rsid w:val="00A7229C"/>
    <w:rsid w:val="00A74E0F"/>
    <w:rsid w:val="00A7564E"/>
    <w:rsid w:val="00A75F98"/>
    <w:rsid w:val="00A77291"/>
    <w:rsid w:val="00A77F91"/>
    <w:rsid w:val="00A80E09"/>
    <w:rsid w:val="00A8274E"/>
    <w:rsid w:val="00A82967"/>
    <w:rsid w:val="00A82D01"/>
    <w:rsid w:val="00A83591"/>
    <w:rsid w:val="00A851E3"/>
    <w:rsid w:val="00A9012A"/>
    <w:rsid w:val="00A90602"/>
    <w:rsid w:val="00A91AA7"/>
    <w:rsid w:val="00A928D3"/>
    <w:rsid w:val="00A92D79"/>
    <w:rsid w:val="00A9332E"/>
    <w:rsid w:val="00A93DF6"/>
    <w:rsid w:val="00A94633"/>
    <w:rsid w:val="00A97542"/>
    <w:rsid w:val="00A97D36"/>
    <w:rsid w:val="00AA0533"/>
    <w:rsid w:val="00AA1E53"/>
    <w:rsid w:val="00AA2980"/>
    <w:rsid w:val="00AA2A0A"/>
    <w:rsid w:val="00AA2FE0"/>
    <w:rsid w:val="00AA37EC"/>
    <w:rsid w:val="00AA3896"/>
    <w:rsid w:val="00AA3D07"/>
    <w:rsid w:val="00AA3D6F"/>
    <w:rsid w:val="00AA5771"/>
    <w:rsid w:val="00AA580C"/>
    <w:rsid w:val="00AA5B49"/>
    <w:rsid w:val="00AA5D7D"/>
    <w:rsid w:val="00AA68A1"/>
    <w:rsid w:val="00AA6CA8"/>
    <w:rsid w:val="00AA7577"/>
    <w:rsid w:val="00AB167A"/>
    <w:rsid w:val="00AB1B9C"/>
    <w:rsid w:val="00AB2328"/>
    <w:rsid w:val="00AB235B"/>
    <w:rsid w:val="00AB2FCB"/>
    <w:rsid w:val="00AB3E0A"/>
    <w:rsid w:val="00AB5ED9"/>
    <w:rsid w:val="00AB7273"/>
    <w:rsid w:val="00AB76B5"/>
    <w:rsid w:val="00AC08A0"/>
    <w:rsid w:val="00AC08D2"/>
    <w:rsid w:val="00AC18D8"/>
    <w:rsid w:val="00AC1BEE"/>
    <w:rsid w:val="00AC1D7A"/>
    <w:rsid w:val="00AC2010"/>
    <w:rsid w:val="00AC2691"/>
    <w:rsid w:val="00AC2F42"/>
    <w:rsid w:val="00AC348F"/>
    <w:rsid w:val="00AC387C"/>
    <w:rsid w:val="00AC3BAC"/>
    <w:rsid w:val="00AC3E56"/>
    <w:rsid w:val="00AC4BDA"/>
    <w:rsid w:val="00AC57FE"/>
    <w:rsid w:val="00AC59E0"/>
    <w:rsid w:val="00AD088F"/>
    <w:rsid w:val="00AD0C81"/>
    <w:rsid w:val="00AD291A"/>
    <w:rsid w:val="00AD2932"/>
    <w:rsid w:val="00AD2BC1"/>
    <w:rsid w:val="00AD2FFA"/>
    <w:rsid w:val="00AD3082"/>
    <w:rsid w:val="00AD4565"/>
    <w:rsid w:val="00AD49FD"/>
    <w:rsid w:val="00AD4ECE"/>
    <w:rsid w:val="00AD50AD"/>
    <w:rsid w:val="00AD68E3"/>
    <w:rsid w:val="00AD6BDD"/>
    <w:rsid w:val="00AD7B41"/>
    <w:rsid w:val="00AE0292"/>
    <w:rsid w:val="00AE0752"/>
    <w:rsid w:val="00AE0DD9"/>
    <w:rsid w:val="00AE1143"/>
    <w:rsid w:val="00AE1D9B"/>
    <w:rsid w:val="00AE1EED"/>
    <w:rsid w:val="00AE25A8"/>
    <w:rsid w:val="00AE2CF5"/>
    <w:rsid w:val="00AE3BC8"/>
    <w:rsid w:val="00AE3C7A"/>
    <w:rsid w:val="00AE428D"/>
    <w:rsid w:val="00AE469E"/>
    <w:rsid w:val="00AE48EE"/>
    <w:rsid w:val="00AE5844"/>
    <w:rsid w:val="00AE6875"/>
    <w:rsid w:val="00AE68CA"/>
    <w:rsid w:val="00AE6DFC"/>
    <w:rsid w:val="00AE7135"/>
    <w:rsid w:val="00AE72F3"/>
    <w:rsid w:val="00AE7919"/>
    <w:rsid w:val="00AE7C5A"/>
    <w:rsid w:val="00AF114C"/>
    <w:rsid w:val="00AF14E8"/>
    <w:rsid w:val="00AF20BE"/>
    <w:rsid w:val="00AF20F2"/>
    <w:rsid w:val="00AF2783"/>
    <w:rsid w:val="00AF4718"/>
    <w:rsid w:val="00AF4AAE"/>
    <w:rsid w:val="00AF57B3"/>
    <w:rsid w:val="00AF60C9"/>
    <w:rsid w:val="00AF6F8A"/>
    <w:rsid w:val="00AF7C8A"/>
    <w:rsid w:val="00B018F6"/>
    <w:rsid w:val="00B01C22"/>
    <w:rsid w:val="00B01F6B"/>
    <w:rsid w:val="00B021F5"/>
    <w:rsid w:val="00B02312"/>
    <w:rsid w:val="00B0263C"/>
    <w:rsid w:val="00B0286C"/>
    <w:rsid w:val="00B02E80"/>
    <w:rsid w:val="00B032AC"/>
    <w:rsid w:val="00B039B2"/>
    <w:rsid w:val="00B03F05"/>
    <w:rsid w:val="00B040AE"/>
    <w:rsid w:val="00B04999"/>
    <w:rsid w:val="00B04E3B"/>
    <w:rsid w:val="00B0582D"/>
    <w:rsid w:val="00B05B40"/>
    <w:rsid w:val="00B065C1"/>
    <w:rsid w:val="00B068E0"/>
    <w:rsid w:val="00B0792F"/>
    <w:rsid w:val="00B10FC9"/>
    <w:rsid w:val="00B110E7"/>
    <w:rsid w:val="00B11937"/>
    <w:rsid w:val="00B11BB6"/>
    <w:rsid w:val="00B12498"/>
    <w:rsid w:val="00B124E8"/>
    <w:rsid w:val="00B1356F"/>
    <w:rsid w:val="00B1481D"/>
    <w:rsid w:val="00B14F1F"/>
    <w:rsid w:val="00B15019"/>
    <w:rsid w:val="00B154A3"/>
    <w:rsid w:val="00B15815"/>
    <w:rsid w:val="00B16462"/>
    <w:rsid w:val="00B16AE3"/>
    <w:rsid w:val="00B207F9"/>
    <w:rsid w:val="00B21E09"/>
    <w:rsid w:val="00B222BD"/>
    <w:rsid w:val="00B22AF6"/>
    <w:rsid w:val="00B23CE0"/>
    <w:rsid w:val="00B23D6D"/>
    <w:rsid w:val="00B254FD"/>
    <w:rsid w:val="00B268C9"/>
    <w:rsid w:val="00B26C3D"/>
    <w:rsid w:val="00B2732B"/>
    <w:rsid w:val="00B275AC"/>
    <w:rsid w:val="00B27732"/>
    <w:rsid w:val="00B27734"/>
    <w:rsid w:val="00B3001D"/>
    <w:rsid w:val="00B308FC"/>
    <w:rsid w:val="00B30E80"/>
    <w:rsid w:val="00B310FA"/>
    <w:rsid w:val="00B31C2E"/>
    <w:rsid w:val="00B31FAB"/>
    <w:rsid w:val="00B32201"/>
    <w:rsid w:val="00B33270"/>
    <w:rsid w:val="00B332F8"/>
    <w:rsid w:val="00B351F7"/>
    <w:rsid w:val="00B366DB"/>
    <w:rsid w:val="00B37667"/>
    <w:rsid w:val="00B40D2C"/>
    <w:rsid w:val="00B413D2"/>
    <w:rsid w:val="00B41514"/>
    <w:rsid w:val="00B41709"/>
    <w:rsid w:val="00B41B4B"/>
    <w:rsid w:val="00B41FF2"/>
    <w:rsid w:val="00B422D3"/>
    <w:rsid w:val="00B429B2"/>
    <w:rsid w:val="00B43230"/>
    <w:rsid w:val="00B43E3E"/>
    <w:rsid w:val="00B44B46"/>
    <w:rsid w:val="00B44BFF"/>
    <w:rsid w:val="00B45961"/>
    <w:rsid w:val="00B45D75"/>
    <w:rsid w:val="00B470F7"/>
    <w:rsid w:val="00B478CC"/>
    <w:rsid w:val="00B50311"/>
    <w:rsid w:val="00B5117D"/>
    <w:rsid w:val="00B51941"/>
    <w:rsid w:val="00B51D01"/>
    <w:rsid w:val="00B532DB"/>
    <w:rsid w:val="00B53720"/>
    <w:rsid w:val="00B5389A"/>
    <w:rsid w:val="00B545CC"/>
    <w:rsid w:val="00B54794"/>
    <w:rsid w:val="00B556AE"/>
    <w:rsid w:val="00B56620"/>
    <w:rsid w:val="00B57139"/>
    <w:rsid w:val="00B57430"/>
    <w:rsid w:val="00B601BA"/>
    <w:rsid w:val="00B607E6"/>
    <w:rsid w:val="00B6133E"/>
    <w:rsid w:val="00B63686"/>
    <w:rsid w:val="00B63B49"/>
    <w:rsid w:val="00B64176"/>
    <w:rsid w:val="00B64BCB"/>
    <w:rsid w:val="00B65604"/>
    <w:rsid w:val="00B65CB2"/>
    <w:rsid w:val="00B65E92"/>
    <w:rsid w:val="00B66BFE"/>
    <w:rsid w:val="00B673D6"/>
    <w:rsid w:val="00B67EF4"/>
    <w:rsid w:val="00B72A6C"/>
    <w:rsid w:val="00B72B74"/>
    <w:rsid w:val="00B72BF7"/>
    <w:rsid w:val="00B73C98"/>
    <w:rsid w:val="00B7717B"/>
    <w:rsid w:val="00B77B5D"/>
    <w:rsid w:val="00B77D52"/>
    <w:rsid w:val="00B77E31"/>
    <w:rsid w:val="00B84D10"/>
    <w:rsid w:val="00B85573"/>
    <w:rsid w:val="00B85E72"/>
    <w:rsid w:val="00B86ABC"/>
    <w:rsid w:val="00B870BF"/>
    <w:rsid w:val="00B9007C"/>
    <w:rsid w:val="00B90A2B"/>
    <w:rsid w:val="00B91FFA"/>
    <w:rsid w:val="00B92107"/>
    <w:rsid w:val="00B930BD"/>
    <w:rsid w:val="00B939BD"/>
    <w:rsid w:val="00B93C08"/>
    <w:rsid w:val="00B93E08"/>
    <w:rsid w:val="00B94111"/>
    <w:rsid w:val="00B94418"/>
    <w:rsid w:val="00B94F0A"/>
    <w:rsid w:val="00B95B0B"/>
    <w:rsid w:val="00B95FED"/>
    <w:rsid w:val="00B96F09"/>
    <w:rsid w:val="00B97181"/>
    <w:rsid w:val="00B97B48"/>
    <w:rsid w:val="00BA18F6"/>
    <w:rsid w:val="00BA1F42"/>
    <w:rsid w:val="00BA2087"/>
    <w:rsid w:val="00BA29C4"/>
    <w:rsid w:val="00BA3C32"/>
    <w:rsid w:val="00BA3C9E"/>
    <w:rsid w:val="00BA4854"/>
    <w:rsid w:val="00BA4DAD"/>
    <w:rsid w:val="00BA4DB1"/>
    <w:rsid w:val="00BA5144"/>
    <w:rsid w:val="00BA5733"/>
    <w:rsid w:val="00BA5C21"/>
    <w:rsid w:val="00BA5F32"/>
    <w:rsid w:val="00BA7C74"/>
    <w:rsid w:val="00BB0072"/>
    <w:rsid w:val="00BB11C3"/>
    <w:rsid w:val="00BB18D4"/>
    <w:rsid w:val="00BB192B"/>
    <w:rsid w:val="00BB2ACB"/>
    <w:rsid w:val="00BB31D6"/>
    <w:rsid w:val="00BB454C"/>
    <w:rsid w:val="00BB488B"/>
    <w:rsid w:val="00BB5CDD"/>
    <w:rsid w:val="00BB727C"/>
    <w:rsid w:val="00BC0D14"/>
    <w:rsid w:val="00BC3C96"/>
    <w:rsid w:val="00BC5219"/>
    <w:rsid w:val="00BC7A5E"/>
    <w:rsid w:val="00BD3729"/>
    <w:rsid w:val="00BD4058"/>
    <w:rsid w:val="00BD4486"/>
    <w:rsid w:val="00BD4B80"/>
    <w:rsid w:val="00BD4D5D"/>
    <w:rsid w:val="00BD5583"/>
    <w:rsid w:val="00BD587E"/>
    <w:rsid w:val="00BD5DC6"/>
    <w:rsid w:val="00BD61AB"/>
    <w:rsid w:val="00BE0EA2"/>
    <w:rsid w:val="00BE0FFD"/>
    <w:rsid w:val="00BE13B4"/>
    <w:rsid w:val="00BE2AB7"/>
    <w:rsid w:val="00BE2E99"/>
    <w:rsid w:val="00BE4587"/>
    <w:rsid w:val="00BE5400"/>
    <w:rsid w:val="00BE68F3"/>
    <w:rsid w:val="00BF1248"/>
    <w:rsid w:val="00BF140D"/>
    <w:rsid w:val="00BF1DED"/>
    <w:rsid w:val="00BF3528"/>
    <w:rsid w:val="00BF380D"/>
    <w:rsid w:val="00BF452E"/>
    <w:rsid w:val="00BF5B58"/>
    <w:rsid w:val="00BF5BE0"/>
    <w:rsid w:val="00BF6DC8"/>
    <w:rsid w:val="00BF7607"/>
    <w:rsid w:val="00BF7E89"/>
    <w:rsid w:val="00C014BD"/>
    <w:rsid w:val="00C0189E"/>
    <w:rsid w:val="00C036C3"/>
    <w:rsid w:val="00C03955"/>
    <w:rsid w:val="00C039B7"/>
    <w:rsid w:val="00C03C3A"/>
    <w:rsid w:val="00C04FAD"/>
    <w:rsid w:val="00C051C3"/>
    <w:rsid w:val="00C05F84"/>
    <w:rsid w:val="00C06E06"/>
    <w:rsid w:val="00C07C88"/>
    <w:rsid w:val="00C07FDE"/>
    <w:rsid w:val="00C1140A"/>
    <w:rsid w:val="00C11734"/>
    <w:rsid w:val="00C1474F"/>
    <w:rsid w:val="00C14DB6"/>
    <w:rsid w:val="00C15B29"/>
    <w:rsid w:val="00C15D11"/>
    <w:rsid w:val="00C1771C"/>
    <w:rsid w:val="00C21CF1"/>
    <w:rsid w:val="00C2274E"/>
    <w:rsid w:val="00C233F1"/>
    <w:rsid w:val="00C23C1F"/>
    <w:rsid w:val="00C23C28"/>
    <w:rsid w:val="00C24414"/>
    <w:rsid w:val="00C26C3E"/>
    <w:rsid w:val="00C27391"/>
    <w:rsid w:val="00C2799C"/>
    <w:rsid w:val="00C27D37"/>
    <w:rsid w:val="00C27FFB"/>
    <w:rsid w:val="00C30516"/>
    <w:rsid w:val="00C337DD"/>
    <w:rsid w:val="00C344D3"/>
    <w:rsid w:val="00C3460E"/>
    <w:rsid w:val="00C3467F"/>
    <w:rsid w:val="00C349DA"/>
    <w:rsid w:val="00C34ACB"/>
    <w:rsid w:val="00C34FA2"/>
    <w:rsid w:val="00C361CD"/>
    <w:rsid w:val="00C3629D"/>
    <w:rsid w:val="00C36ADE"/>
    <w:rsid w:val="00C37031"/>
    <w:rsid w:val="00C377A3"/>
    <w:rsid w:val="00C377D1"/>
    <w:rsid w:val="00C37C87"/>
    <w:rsid w:val="00C40E20"/>
    <w:rsid w:val="00C412B7"/>
    <w:rsid w:val="00C42139"/>
    <w:rsid w:val="00C428B2"/>
    <w:rsid w:val="00C42BAD"/>
    <w:rsid w:val="00C455F8"/>
    <w:rsid w:val="00C45BD0"/>
    <w:rsid w:val="00C462F8"/>
    <w:rsid w:val="00C46F9D"/>
    <w:rsid w:val="00C4709E"/>
    <w:rsid w:val="00C47724"/>
    <w:rsid w:val="00C4776C"/>
    <w:rsid w:val="00C47786"/>
    <w:rsid w:val="00C50C00"/>
    <w:rsid w:val="00C50DC5"/>
    <w:rsid w:val="00C51450"/>
    <w:rsid w:val="00C52E4D"/>
    <w:rsid w:val="00C53404"/>
    <w:rsid w:val="00C554C3"/>
    <w:rsid w:val="00C55B6D"/>
    <w:rsid w:val="00C573F6"/>
    <w:rsid w:val="00C57BDE"/>
    <w:rsid w:val="00C6010C"/>
    <w:rsid w:val="00C6261D"/>
    <w:rsid w:val="00C6447C"/>
    <w:rsid w:val="00C6538D"/>
    <w:rsid w:val="00C6617A"/>
    <w:rsid w:val="00C66297"/>
    <w:rsid w:val="00C66882"/>
    <w:rsid w:val="00C716E5"/>
    <w:rsid w:val="00C72000"/>
    <w:rsid w:val="00C726F8"/>
    <w:rsid w:val="00C73615"/>
    <w:rsid w:val="00C73ED4"/>
    <w:rsid w:val="00C757D9"/>
    <w:rsid w:val="00C80B89"/>
    <w:rsid w:val="00C8155B"/>
    <w:rsid w:val="00C8167C"/>
    <w:rsid w:val="00C83737"/>
    <w:rsid w:val="00C84B60"/>
    <w:rsid w:val="00C90C4E"/>
    <w:rsid w:val="00C90F0F"/>
    <w:rsid w:val="00C913FF"/>
    <w:rsid w:val="00C91DA6"/>
    <w:rsid w:val="00C91F4E"/>
    <w:rsid w:val="00C92D1A"/>
    <w:rsid w:val="00C949F9"/>
    <w:rsid w:val="00C9583E"/>
    <w:rsid w:val="00C95A32"/>
    <w:rsid w:val="00C96860"/>
    <w:rsid w:val="00C96D26"/>
    <w:rsid w:val="00C972CA"/>
    <w:rsid w:val="00C974AE"/>
    <w:rsid w:val="00C976F0"/>
    <w:rsid w:val="00C97B12"/>
    <w:rsid w:val="00CA083B"/>
    <w:rsid w:val="00CA14E7"/>
    <w:rsid w:val="00CA2801"/>
    <w:rsid w:val="00CA3246"/>
    <w:rsid w:val="00CA340E"/>
    <w:rsid w:val="00CA3AD6"/>
    <w:rsid w:val="00CA3D92"/>
    <w:rsid w:val="00CA4524"/>
    <w:rsid w:val="00CA4E8B"/>
    <w:rsid w:val="00CA5522"/>
    <w:rsid w:val="00CA61C7"/>
    <w:rsid w:val="00CA6FEE"/>
    <w:rsid w:val="00CA73D9"/>
    <w:rsid w:val="00CA79EB"/>
    <w:rsid w:val="00CA7E8F"/>
    <w:rsid w:val="00CB0445"/>
    <w:rsid w:val="00CB0E0B"/>
    <w:rsid w:val="00CB1090"/>
    <w:rsid w:val="00CB133D"/>
    <w:rsid w:val="00CB28A8"/>
    <w:rsid w:val="00CB2CE4"/>
    <w:rsid w:val="00CB31B1"/>
    <w:rsid w:val="00CB40F9"/>
    <w:rsid w:val="00CB4F47"/>
    <w:rsid w:val="00CB53DF"/>
    <w:rsid w:val="00CB5E30"/>
    <w:rsid w:val="00CC0683"/>
    <w:rsid w:val="00CC105F"/>
    <w:rsid w:val="00CC1BCB"/>
    <w:rsid w:val="00CC1C6B"/>
    <w:rsid w:val="00CC270C"/>
    <w:rsid w:val="00CC33D9"/>
    <w:rsid w:val="00CC556E"/>
    <w:rsid w:val="00CC60A4"/>
    <w:rsid w:val="00CC6E89"/>
    <w:rsid w:val="00CC773C"/>
    <w:rsid w:val="00CC7A51"/>
    <w:rsid w:val="00CD0493"/>
    <w:rsid w:val="00CD0616"/>
    <w:rsid w:val="00CD0673"/>
    <w:rsid w:val="00CD0A5C"/>
    <w:rsid w:val="00CD0EF6"/>
    <w:rsid w:val="00CD16CB"/>
    <w:rsid w:val="00CD1F19"/>
    <w:rsid w:val="00CD3EA3"/>
    <w:rsid w:val="00CD3F8D"/>
    <w:rsid w:val="00CD4A5E"/>
    <w:rsid w:val="00CD5D1D"/>
    <w:rsid w:val="00CD7243"/>
    <w:rsid w:val="00CE03A4"/>
    <w:rsid w:val="00CE0454"/>
    <w:rsid w:val="00CE1816"/>
    <w:rsid w:val="00CE37B1"/>
    <w:rsid w:val="00CE4618"/>
    <w:rsid w:val="00CE5852"/>
    <w:rsid w:val="00CE6E96"/>
    <w:rsid w:val="00CE6EC6"/>
    <w:rsid w:val="00CE6EEC"/>
    <w:rsid w:val="00CE71A4"/>
    <w:rsid w:val="00CE7E3F"/>
    <w:rsid w:val="00CF012A"/>
    <w:rsid w:val="00CF0EA1"/>
    <w:rsid w:val="00CF1D2C"/>
    <w:rsid w:val="00CF277F"/>
    <w:rsid w:val="00CF2A52"/>
    <w:rsid w:val="00CF3551"/>
    <w:rsid w:val="00CF56C0"/>
    <w:rsid w:val="00CF58D1"/>
    <w:rsid w:val="00CF5F69"/>
    <w:rsid w:val="00CF622A"/>
    <w:rsid w:val="00CF635A"/>
    <w:rsid w:val="00CF645B"/>
    <w:rsid w:val="00CF78B0"/>
    <w:rsid w:val="00CF7A31"/>
    <w:rsid w:val="00D01311"/>
    <w:rsid w:val="00D0213F"/>
    <w:rsid w:val="00D02F56"/>
    <w:rsid w:val="00D03139"/>
    <w:rsid w:val="00D03812"/>
    <w:rsid w:val="00D03956"/>
    <w:rsid w:val="00D0402D"/>
    <w:rsid w:val="00D045C6"/>
    <w:rsid w:val="00D048F7"/>
    <w:rsid w:val="00D05054"/>
    <w:rsid w:val="00D05C4B"/>
    <w:rsid w:val="00D06860"/>
    <w:rsid w:val="00D07528"/>
    <w:rsid w:val="00D077D5"/>
    <w:rsid w:val="00D10911"/>
    <w:rsid w:val="00D10C9B"/>
    <w:rsid w:val="00D111F9"/>
    <w:rsid w:val="00D120EE"/>
    <w:rsid w:val="00D125F6"/>
    <w:rsid w:val="00D12938"/>
    <w:rsid w:val="00D14192"/>
    <w:rsid w:val="00D14456"/>
    <w:rsid w:val="00D14B36"/>
    <w:rsid w:val="00D14FBB"/>
    <w:rsid w:val="00D17207"/>
    <w:rsid w:val="00D2144A"/>
    <w:rsid w:val="00D21F38"/>
    <w:rsid w:val="00D2275F"/>
    <w:rsid w:val="00D238E3"/>
    <w:rsid w:val="00D241DE"/>
    <w:rsid w:val="00D24699"/>
    <w:rsid w:val="00D24E09"/>
    <w:rsid w:val="00D25422"/>
    <w:rsid w:val="00D26A23"/>
    <w:rsid w:val="00D26DE3"/>
    <w:rsid w:val="00D31218"/>
    <w:rsid w:val="00D31B8D"/>
    <w:rsid w:val="00D31FDA"/>
    <w:rsid w:val="00D32C99"/>
    <w:rsid w:val="00D3315C"/>
    <w:rsid w:val="00D333A4"/>
    <w:rsid w:val="00D34727"/>
    <w:rsid w:val="00D348A1"/>
    <w:rsid w:val="00D34C5C"/>
    <w:rsid w:val="00D37774"/>
    <w:rsid w:val="00D37EB3"/>
    <w:rsid w:val="00D40424"/>
    <w:rsid w:val="00D4055A"/>
    <w:rsid w:val="00D40928"/>
    <w:rsid w:val="00D412CC"/>
    <w:rsid w:val="00D41765"/>
    <w:rsid w:val="00D41E97"/>
    <w:rsid w:val="00D42800"/>
    <w:rsid w:val="00D4302A"/>
    <w:rsid w:val="00D436E8"/>
    <w:rsid w:val="00D46AD5"/>
    <w:rsid w:val="00D47751"/>
    <w:rsid w:val="00D500BB"/>
    <w:rsid w:val="00D518C4"/>
    <w:rsid w:val="00D52443"/>
    <w:rsid w:val="00D52D3A"/>
    <w:rsid w:val="00D5337D"/>
    <w:rsid w:val="00D535E3"/>
    <w:rsid w:val="00D55B7F"/>
    <w:rsid w:val="00D56072"/>
    <w:rsid w:val="00D561D8"/>
    <w:rsid w:val="00D56B38"/>
    <w:rsid w:val="00D57518"/>
    <w:rsid w:val="00D60DE1"/>
    <w:rsid w:val="00D61338"/>
    <w:rsid w:val="00D61E1F"/>
    <w:rsid w:val="00D62305"/>
    <w:rsid w:val="00D648D1"/>
    <w:rsid w:val="00D649F8"/>
    <w:rsid w:val="00D6522E"/>
    <w:rsid w:val="00D658D0"/>
    <w:rsid w:val="00D65EBC"/>
    <w:rsid w:val="00D6640E"/>
    <w:rsid w:val="00D67486"/>
    <w:rsid w:val="00D67DB7"/>
    <w:rsid w:val="00D7028E"/>
    <w:rsid w:val="00D70A20"/>
    <w:rsid w:val="00D70F8A"/>
    <w:rsid w:val="00D71715"/>
    <w:rsid w:val="00D71EFE"/>
    <w:rsid w:val="00D73EA4"/>
    <w:rsid w:val="00D749BC"/>
    <w:rsid w:val="00D755DA"/>
    <w:rsid w:val="00D757EB"/>
    <w:rsid w:val="00D75FE4"/>
    <w:rsid w:val="00D76E0F"/>
    <w:rsid w:val="00D76EDE"/>
    <w:rsid w:val="00D76F4C"/>
    <w:rsid w:val="00D775EC"/>
    <w:rsid w:val="00D8116C"/>
    <w:rsid w:val="00D81D31"/>
    <w:rsid w:val="00D81E7B"/>
    <w:rsid w:val="00D82891"/>
    <w:rsid w:val="00D8323E"/>
    <w:rsid w:val="00D83601"/>
    <w:rsid w:val="00D84969"/>
    <w:rsid w:val="00D8583A"/>
    <w:rsid w:val="00D87891"/>
    <w:rsid w:val="00D87BCF"/>
    <w:rsid w:val="00D91C76"/>
    <w:rsid w:val="00D92118"/>
    <w:rsid w:val="00D9265C"/>
    <w:rsid w:val="00D92C31"/>
    <w:rsid w:val="00D93D79"/>
    <w:rsid w:val="00D93D7E"/>
    <w:rsid w:val="00D93EC0"/>
    <w:rsid w:val="00D94052"/>
    <w:rsid w:val="00D950F7"/>
    <w:rsid w:val="00D9583F"/>
    <w:rsid w:val="00D96A1E"/>
    <w:rsid w:val="00D96CE6"/>
    <w:rsid w:val="00DA02AF"/>
    <w:rsid w:val="00DA20FA"/>
    <w:rsid w:val="00DA2302"/>
    <w:rsid w:val="00DA4950"/>
    <w:rsid w:val="00DA597C"/>
    <w:rsid w:val="00DA6A0B"/>
    <w:rsid w:val="00DA6AA0"/>
    <w:rsid w:val="00DA6AD2"/>
    <w:rsid w:val="00DA6C8C"/>
    <w:rsid w:val="00DA74C3"/>
    <w:rsid w:val="00DA7903"/>
    <w:rsid w:val="00DA7B83"/>
    <w:rsid w:val="00DA7EB8"/>
    <w:rsid w:val="00DB0028"/>
    <w:rsid w:val="00DB0916"/>
    <w:rsid w:val="00DB1D34"/>
    <w:rsid w:val="00DB5709"/>
    <w:rsid w:val="00DB5F2E"/>
    <w:rsid w:val="00DB6359"/>
    <w:rsid w:val="00DB67AD"/>
    <w:rsid w:val="00DB7793"/>
    <w:rsid w:val="00DC0FB1"/>
    <w:rsid w:val="00DC1534"/>
    <w:rsid w:val="00DC2013"/>
    <w:rsid w:val="00DC2F2A"/>
    <w:rsid w:val="00DC34AB"/>
    <w:rsid w:val="00DC35F5"/>
    <w:rsid w:val="00DC65A1"/>
    <w:rsid w:val="00DC69D9"/>
    <w:rsid w:val="00DC6A05"/>
    <w:rsid w:val="00DC6BC0"/>
    <w:rsid w:val="00DD32CF"/>
    <w:rsid w:val="00DD432A"/>
    <w:rsid w:val="00DD4A34"/>
    <w:rsid w:val="00DD5713"/>
    <w:rsid w:val="00DD65E4"/>
    <w:rsid w:val="00DD681F"/>
    <w:rsid w:val="00DD6838"/>
    <w:rsid w:val="00DD6B3B"/>
    <w:rsid w:val="00DD731A"/>
    <w:rsid w:val="00DE0275"/>
    <w:rsid w:val="00DE14B9"/>
    <w:rsid w:val="00DE251A"/>
    <w:rsid w:val="00DE2909"/>
    <w:rsid w:val="00DE385A"/>
    <w:rsid w:val="00DE4605"/>
    <w:rsid w:val="00DE48C7"/>
    <w:rsid w:val="00DF0B36"/>
    <w:rsid w:val="00DF11DC"/>
    <w:rsid w:val="00DF1A2A"/>
    <w:rsid w:val="00DF2025"/>
    <w:rsid w:val="00DF2061"/>
    <w:rsid w:val="00DF231E"/>
    <w:rsid w:val="00DF3B5D"/>
    <w:rsid w:val="00DF419C"/>
    <w:rsid w:val="00DF4C59"/>
    <w:rsid w:val="00DF54C7"/>
    <w:rsid w:val="00DF6834"/>
    <w:rsid w:val="00DF7437"/>
    <w:rsid w:val="00E00937"/>
    <w:rsid w:val="00E00E15"/>
    <w:rsid w:val="00E02451"/>
    <w:rsid w:val="00E02463"/>
    <w:rsid w:val="00E02536"/>
    <w:rsid w:val="00E04931"/>
    <w:rsid w:val="00E05450"/>
    <w:rsid w:val="00E06C47"/>
    <w:rsid w:val="00E074D8"/>
    <w:rsid w:val="00E07B98"/>
    <w:rsid w:val="00E10539"/>
    <w:rsid w:val="00E10CBD"/>
    <w:rsid w:val="00E113D8"/>
    <w:rsid w:val="00E11A40"/>
    <w:rsid w:val="00E1221B"/>
    <w:rsid w:val="00E125DF"/>
    <w:rsid w:val="00E1283B"/>
    <w:rsid w:val="00E13860"/>
    <w:rsid w:val="00E13DCA"/>
    <w:rsid w:val="00E1412B"/>
    <w:rsid w:val="00E148F7"/>
    <w:rsid w:val="00E14ABF"/>
    <w:rsid w:val="00E17132"/>
    <w:rsid w:val="00E175CD"/>
    <w:rsid w:val="00E17623"/>
    <w:rsid w:val="00E1781F"/>
    <w:rsid w:val="00E20866"/>
    <w:rsid w:val="00E211DC"/>
    <w:rsid w:val="00E21A5F"/>
    <w:rsid w:val="00E238DD"/>
    <w:rsid w:val="00E24326"/>
    <w:rsid w:val="00E24644"/>
    <w:rsid w:val="00E255B8"/>
    <w:rsid w:val="00E2653E"/>
    <w:rsid w:val="00E2682A"/>
    <w:rsid w:val="00E26FD9"/>
    <w:rsid w:val="00E27611"/>
    <w:rsid w:val="00E27762"/>
    <w:rsid w:val="00E31C70"/>
    <w:rsid w:val="00E31EC5"/>
    <w:rsid w:val="00E32512"/>
    <w:rsid w:val="00E33B26"/>
    <w:rsid w:val="00E33C5A"/>
    <w:rsid w:val="00E33CC6"/>
    <w:rsid w:val="00E35714"/>
    <w:rsid w:val="00E36381"/>
    <w:rsid w:val="00E371EE"/>
    <w:rsid w:val="00E418BB"/>
    <w:rsid w:val="00E419B6"/>
    <w:rsid w:val="00E428D4"/>
    <w:rsid w:val="00E4292B"/>
    <w:rsid w:val="00E4311D"/>
    <w:rsid w:val="00E43459"/>
    <w:rsid w:val="00E43DB9"/>
    <w:rsid w:val="00E45342"/>
    <w:rsid w:val="00E46495"/>
    <w:rsid w:val="00E473D5"/>
    <w:rsid w:val="00E479A1"/>
    <w:rsid w:val="00E47E48"/>
    <w:rsid w:val="00E50E5F"/>
    <w:rsid w:val="00E51111"/>
    <w:rsid w:val="00E511F7"/>
    <w:rsid w:val="00E52027"/>
    <w:rsid w:val="00E53EE3"/>
    <w:rsid w:val="00E54560"/>
    <w:rsid w:val="00E563D5"/>
    <w:rsid w:val="00E56866"/>
    <w:rsid w:val="00E56D6D"/>
    <w:rsid w:val="00E570C0"/>
    <w:rsid w:val="00E57476"/>
    <w:rsid w:val="00E57ACE"/>
    <w:rsid w:val="00E60672"/>
    <w:rsid w:val="00E60CA3"/>
    <w:rsid w:val="00E61083"/>
    <w:rsid w:val="00E61856"/>
    <w:rsid w:val="00E61ADA"/>
    <w:rsid w:val="00E61AED"/>
    <w:rsid w:val="00E621CB"/>
    <w:rsid w:val="00E66B28"/>
    <w:rsid w:val="00E66CAE"/>
    <w:rsid w:val="00E67FC4"/>
    <w:rsid w:val="00E7295F"/>
    <w:rsid w:val="00E7418D"/>
    <w:rsid w:val="00E743C3"/>
    <w:rsid w:val="00E74F93"/>
    <w:rsid w:val="00E756F1"/>
    <w:rsid w:val="00E7589B"/>
    <w:rsid w:val="00E763AA"/>
    <w:rsid w:val="00E776D1"/>
    <w:rsid w:val="00E778B7"/>
    <w:rsid w:val="00E77D4C"/>
    <w:rsid w:val="00E80980"/>
    <w:rsid w:val="00E809DE"/>
    <w:rsid w:val="00E82EEB"/>
    <w:rsid w:val="00E832FB"/>
    <w:rsid w:val="00E8392F"/>
    <w:rsid w:val="00E84F4D"/>
    <w:rsid w:val="00E85162"/>
    <w:rsid w:val="00E85606"/>
    <w:rsid w:val="00E85741"/>
    <w:rsid w:val="00E8624B"/>
    <w:rsid w:val="00E86CF6"/>
    <w:rsid w:val="00E870FC"/>
    <w:rsid w:val="00E90776"/>
    <w:rsid w:val="00E91763"/>
    <w:rsid w:val="00E929E6"/>
    <w:rsid w:val="00E94004"/>
    <w:rsid w:val="00E945B6"/>
    <w:rsid w:val="00E96653"/>
    <w:rsid w:val="00E9684D"/>
    <w:rsid w:val="00E97F07"/>
    <w:rsid w:val="00E97F1F"/>
    <w:rsid w:val="00EA04CB"/>
    <w:rsid w:val="00EA08EF"/>
    <w:rsid w:val="00EA1726"/>
    <w:rsid w:val="00EA33C7"/>
    <w:rsid w:val="00EA382F"/>
    <w:rsid w:val="00EA3B66"/>
    <w:rsid w:val="00EA4103"/>
    <w:rsid w:val="00EA5759"/>
    <w:rsid w:val="00EA5D82"/>
    <w:rsid w:val="00EA6156"/>
    <w:rsid w:val="00EA6719"/>
    <w:rsid w:val="00EA67AF"/>
    <w:rsid w:val="00EA6F31"/>
    <w:rsid w:val="00EA79D6"/>
    <w:rsid w:val="00EB2002"/>
    <w:rsid w:val="00EB3259"/>
    <w:rsid w:val="00EB4FD0"/>
    <w:rsid w:val="00EB567F"/>
    <w:rsid w:val="00EB58D7"/>
    <w:rsid w:val="00EB59E7"/>
    <w:rsid w:val="00EB59ED"/>
    <w:rsid w:val="00EB5EE4"/>
    <w:rsid w:val="00EB68E8"/>
    <w:rsid w:val="00EB6B00"/>
    <w:rsid w:val="00EB6B22"/>
    <w:rsid w:val="00EB7164"/>
    <w:rsid w:val="00EB7888"/>
    <w:rsid w:val="00EB7FD6"/>
    <w:rsid w:val="00EC1092"/>
    <w:rsid w:val="00EC16C7"/>
    <w:rsid w:val="00EC1FF2"/>
    <w:rsid w:val="00EC2BE1"/>
    <w:rsid w:val="00EC5066"/>
    <w:rsid w:val="00EC76C9"/>
    <w:rsid w:val="00EC7D4B"/>
    <w:rsid w:val="00ED09EE"/>
    <w:rsid w:val="00ED1876"/>
    <w:rsid w:val="00ED1D58"/>
    <w:rsid w:val="00ED2051"/>
    <w:rsid w:val="00ED26C5"/>
    <w:rsid w:val="00ED2ABD"/>
    <w:rsid w:val="00ED33C4"/>
    <w:rsid w:val="00ED33ED"/>
    <w:rsid w:val="00ED538C"/>
    <w:rsid w:val="00ED5B1A"/>
    <w:rsid w:val="00EE0307"/>
    <w:rsid w:val="00EE0AF6"/>
    <w:rsid w:val="00EE1B48"/>
    <w:rsid w:val="00EE1BBF"/>
    <w:rsid w:val="00EE2132"/>
    <w:rsid w:val="00EE2422"/>
    <w:rsid w:val="00EE2551"/>
    <w:rsid w:val="00EE31C2"/>
    <w:rsid w:val="00EE3970"/>
    <w:rsid w:val="00EE3BDD"/>
    <w:rsid w:val="00EE43BC"/>
    <w:rsid w:val="00EE49FB"/>
    <w:rsid w:val="00EE4C4A"/>
    <w:rsid w:val="00EE5E35"/>
    <w:rsid w:val="00EE604D"/>
    <w:rsid w:val="00EF07E1"/>
    <w:rsid w:val="00EF187C"/>
    <w:rsid w:val="00EF24F1"/>
    <w:rsid w:val="00EF30E4"/>
    <w:rsid w:val="00EF3E73"/>
    <w:rsid w:val="00EF48A1"/>
    <w:rsid w:val="00EF4CD8"/>
    <w:rsid w:val="00EF66C1"/>
    <w:rsid w:val="00EF7D7C"/>
    <w:rsid w:val="00F019A6"/>
    <w:rsid w:val="00F01CB7"/>
    <w:rsid w:val="00F01D0D"/>
    <w:rsid w:val="00F01D6B"/>
    <w:rsid w:val="00F022E4"/>
    <w:rsid w:val="00F022F6"/>
    <w:rsid w:val="00F02559"/>
    <w:rsid w:val="00F0292F"/>
    <w:rsid w:val="00F043C3"/>
    <w:rsid w:val="00F053A1"/>
    <w:rsid w:val="00F0652D"/>
    <w:rsid w:val="00F06B36"/>
    <w:rsid w:val="00F06BC4"/>
    <w:rsid w:val="00F06F28"/>
    <w:rsid w:val="00F07FE2"/>
    <w:rsid w:val="00F104D8"/>
    <w:rsid w:val="00F10A19"/>
    <w:rsid w:val="00F11102"/>
    <w:rsid w:val="00F11993"/>
    <w:rsid w:val="00F11DE4"/>
    <w:rsid w:val="00F1313A"/>
    <w:rsid w:val="00F154E4"/>
    <w:rsid w:val="00F160C2"/>
    <w:rsid w:val="00F16B6D"/>
    <w:rsid w:val="00F174D5"/>
    <w:rsid w:val="00F2134F"/>
    <w:rsid w:val="00F22422"/>
    <w:rsid w:val="00F22950"/>
    <w:rsid w:val="00F2299C"/>
    <w:rsid w:val="00F22A21"/>
    <w:rsid w:val="00F22C4F"/>
    <w:rsid w:val="00F2332D"/>
    <w:rsid w:val="00F245EF"/>
    <w:rsid w:val="00F24939"/>
    <w:rsid w:val="00F252A3"/>
    <w:rsid w:val="00F2586E"/>
    <w:rsid w:val="00F25982"/>
    <w:rsid w:val="00F25BCC"/>
    <w:rsid w:val="00F2610C"/>
    <w:rsid w:val="00F26444"/>
    <w:rsid w:val="00F27942"/>
    <w:rsid w:val="00F30ECC"/>
    <w:rsid w:val="00F31C73"/>
    <w:rsid w:val="00F31FB6"/>
    <w:rsid w:val="00F32D7A"/>
    <w:rsid w:val="00F33279"/>
    <w:rsid w:val="00F33AAF"/>
    <w:rsid w:val="00F33BEB"/>
    <w:rsid w:val="00F3458D"/>
    <w:rsid w:val="00F34938"/>
    <w:rsid w:val="00F360F0"/>
    <w:rsid w:val="00F36261"/>
    <w:rsid w:val="00F36702"/>
    <w:rsid w:val="00F371CB"/>
    <w:rsid w:val="00F40DA7"/>
    <w:rsid w:val="00F42988"/>
    <w:rsid w:val="00F42F3B"/>
    <w:rsid w:val="00F42FF8"/>
    <w:rsid w:val="00F43179"/>
    <w:rsid w:val="00F43261"/>
    <w:rsid w:val="00F43668"/>
    <w:rsid w:val="00F4374D"/>
    <w:rsid w:val="00F4379E"/>
    <w:rsid w:val="00F44859"/>
    <w:rsid w:val="00F45228"/>
    <w:rsid w:val="00F45B63"/>
    <w:rsid w:val="00F45C21"/>
    <w:rsid w:val="00F50434"/>
    <w:rsid w:val="00F50CE3"/>
    <w:rsid w:val="00F5239B"/>
    <w:rsid w:val="00F52872"/>
    <w:rsid w:val="00F53CA2"/>
    <w:rsid w:val="00F55363"/>
    <w:rsid w:val="00F557FE"/>
    <w:rsid w:val="00F55B78"/>
    <w:rsid w:val="00F5646A"/>
    <w:rsid w:val="00F602DF"/>
    <w:rsid w:val="00F60CCE"/>
    <w:rsid w:val="00F61B23"/>
    <w:rsid w:val="00F627D7"/>
    <w:rsid w:val="00F62CB0"/>
    <w:rsid w:val="00F63291"/>
    <w:rsid w:val="00F63504"/>
    <w:rsid w:val="00F63A24"/>
    <w:rsid w:val="00F646DC"/>
    <w:rsid w:val="00F65626"/>
    <w:rsid w:val="00F66617"/>
    <w:rsid w:val="00F712FE"/>
    <w:rsid w:val="00F73132"/>
    <w:rsid w:val="00F739F5"/>
    <w:rsid w:val="00F74C39"/>
    <w:rsid w:val="00F7573B"/>
    <w:rsid w:val="00F758B3"/>
    <w:rsid w:val="00F75C48"/>
    <w:rsid w:val="00F8064D"/>
    <w:rsid w:val="00F80B2E"/>
    <w:rsid w:val="00F80CBD"/>
    <w:rsid w:val="00F817FD"/>
    <w:rsid w:val="00F8257B"/>
    <w:rsid w:val="00F83ACD"/>
    <w:rsid w:val="00F8426C"/>
    <w:rsid w:val="00F85A97"/>
    <w:rsid w:val="00F864E1"/>
    <w:rsid w:val="00F87BF0"/>
    <w:rsid w:val="00F915F2"/>
    <w:rsid w:val="00F91CB9"/>
    <w:rsid w:val="00F91D7C"/>
    <w:rsid w:val="00F938FB"/>
    <w:rsid w:val="00F941B4"/>
    <w:rsid w:val="00F95C2F"/>
    <w:rsid w:val="00F962EE"/>
    <w:rsid w:val="00F97450"/>
    <w:rsid w:val="00F97459"/>
    <w:rsid w:val="00F97B7E"/>
    <w:rsid w:val="00FA0C04"/>
    <w:rsid w:val="00FA0ED9"/>
    <w:rsid w:val="00FA1FCD"/>
    <w:rsid w:val="00FA22DB"/>
    <w:rsid w:val="00FA410C"/>
    <w:rsid w:val="00FA530F"/>
    <w:rsid w:val="00FA60AB"/>
    <w:rsid w:val="00FA6FF6"/>
    <w:rsid w:val="00FB12FA"/>
    <w:rsid w:val="00FB1EFB"/>
    <w:rsid w:val="00FB232E"/>
    <w:rsid w:val="00FB281C"/>
    <w:rsid w:val="00FB30C5"/>
    <w:rsid w:val="00FB39A1"/>
    <w:rsid w:val="00FB52A4"/>
    <w:rsid w:val="00FB5312"/>
    <w:rsid w:val="00FB5978"/>
    <w:rsid w:val="00FB76D5"/>
    <w:rsid w:val="00FB7D95"/>
    <w:rsid w:val="00FC14B2"/>
    <w:rsid w:val="00FC25C0"/>
    <w:rsid w:val="00FC350C"/>
    <w:rsid w:val="00FC3675"/>
    <w:rsid w:val="00FC649C"/>
    <w:rsid w:val="00FC6E58"/>
    <w:rsid w:val="00FD1FBC"/>
    <w:rsid w:val="00FD1FF1"/>
    <w:rsid w:val="00FD318B"/>
    <w:rsid w:val="00FD3358"/>
    <w:rsid w:val="00FD56A7"/>
    <w:rsid w:val="00FD6008"/>
    <w:rsid w:val="00FD633F"/>
    <w:rsid w:val="00FD66CB"/>
    <w:rsid w:val="00FD69DB"/>
    <w:rsid w:val="00FE0328"/>
    <w:rsid w:val="00FE05D0"/>
    <w:rsid w:val="00FE1090"/>
    <w:rsid w:val="00FE1A7A"/>
    <w:rsid w:val="00FE2B63"/>
    <w:rsid w:val="00FE3BF9"/>
    <w:rsid w:val="00FE46A7"/>
    <w:rsid w:val="00FE6B35"/>
    <w:rsid w:val="00FE6F0B"/>
    <w:rsid w:val="00FE7706"/>
    <w:rsid w:val="00FF00D9"/>
    <w:rsid w:val="00FF0731"/>
    <w:rsid w:val="00FF1ADA"/>
    <w:rsid w:val="00FF4EFA"/>
    <w:rsid w:val="00FF53A9"/>
    <w:rsid w:val="00FF6CD4"/>
    <w:rsid w:val="00FF73D5"/>
    <w:rsid w:val="00FF764E"/>
    <w:rsid w:val="00FF7D12"/>
    <w:rsid w:val="100D68CB"/>
    <w:rsid w:val="576AB269"/>
    <w:rsid w:val="5A371B08"/>
    <w:rsid w:val="6BB997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5:chartTrackingRefBased/>
  <w15:docId w15:val="{AF4BF1DF-07E3-427E-8AA9-144EA8CCB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82B"/>
    <w:pPr>
      <w:spacing w:after="100" w:line="264" w:lineRule="auto"/>
    </w:pPr>
    <w:rPr>
      <w:rFonts w:ascii="Arial" w:hAnsi="Arial"/>
    </w:rPr>
  </w:style>
  <w:style w:type="paragraph" w:styleId="Heading1">
    <w:name w:val="heading 1"/>
    <w:basedOn w:val="Normal"/>
    <w:next w:val="Normal"/>
    <w:link w:val="Heading1Char"/>
    <w:uiPriority w:val="9"/>
    <w:qFormat/>
    <w:rsid w:val="00D12938"/>
    <w:pPr>
      <w:keepNext/>
      <w:keepLines/>
      <w:spacing w:before="240" w:after="0" w:line="276" w:lineRule="auto"/>
      <w:outlineLvl w:val="0"/>
    </w:pPr>
    <w:rPr>
      <w:rFonts w:eastAsiaTheme="majorEastAsia" w:cstheme="majorBidi"/>
      <w:b/>
      <w:color w:val="4B0885" w:themeColor="text2"/>
      <w:sz w:val="56"/>
      <w:szCs w:val="32"/>
    </w:rPr>
  </w:style>
  <w:style w:type="paragraph" w:styleId="Heading2">
    <w:name w:val="heading 2"/>
    <w:basedOn w:val="Normal"/>
    <w:next w:val="Normal"/>
    <w:link w:val="Heading2Char"/>
    <w:uiPriority w:val="9"/>
    <w:unhideWhenUsed/>
    <w:qFormat/>
    <w:rsid w:val="00D12938"/>
    <w:pPr>
      <w:keepNext/>
      <w:keepLines/>
      <w:spacing w:before="240" w:after="0" w:line="276" w:lineRule="auto"/>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12938"/>
    <w:pPr>
      <w:keepNext/>
      <w:keepLines/>
      <w:spacing w:before="240" w:after="0" w:line="276" w:lineRule="auto"/>
      <w:outlineLvl w:val="2"/>
    </w:pPr>
    <w:rPr>
      <w:rFonts w:eastAsiaTheme="majorEastAsia" w:cstheme="majorBidi"/>
      <w:b/>
      <w:color w:val="4B0885" w:themeColor="text2"/>
      <w:sz w:val="26"/>
      <w:szCs w:val="24"/>
    </w:rPr>
  </w:style>
  <w:style w:type="paragraph" w:styleId="Heading4">
    <w:name w:val="heading 4"/>
    <w:basedOn w:val="Normal"/>
    <w:next w:val="Normal"/>
    <w:link w:val="Heading4Char"/>
    <w:uiPriority w:val="9"/>
    <w:unhideWhenUsed/>
    <w:qFormat/>
    <w:rsid w:val="00D12938"/>
    <w:pPr>
      <w:spacing w:before="240" w:after="0" w:line="276" w:lineRule="auto"/>
      <w:outlineLvl w:val="3"/>
    </w:pPr>
    <w:rPr>
      <w:rFonts w:cs="Arial"/>
      <w:b/>
      <w:bCs/>
      <w:color w:val="012749" w:themeColor="accent3"/>
    </w:rPr>
  </w:style>
  <w:style w:type="paragraph" w:styleId="Heading5">
    <w:name w:val="heading 5"/>
    <w:basedOn w:val="Normal"/>
    <w:next w:val="Normal"/>
    <w:link w:val="Heading5Char"/>
    <w:uiPriority w:val="9"/>
    <w:unhideWhenUsed/>
    <w:qFormat/>
    <w:rsid w:val="00D12938"/>
    <w:pPr>
      <w:spacing w:before="240" w:after="0" w:line="276" w:lineRule="auto"/>
      <w:outlineLvl w:val="4"/>
    </w:pPr>
    <w:rPr>
      <w:rFonts w:cs="Arial"/>
      <w:color w:val="4B0885" w:themeColor="text2"/>
      <w:sz w:val="19"/>
      <w:szCs w:val="19"/>
    </w:rPr>
  </w:style>
  <w:style w:type="paragraph" w:styleId="Heading6">
    <w:name w:val="heading 6"/>
    <w:basedOn w:val="Normal"/>
    <w:next w:val="Normal"/>
    <w:link w:val="Heading6Char"/>
    <w:uiPriority w:val="9"/>
    <w:unhideWhenUsed/>
    <w:qFormat/>
    <w:rsid w:val="00D12938"/>
    <w:pPr>
      <w:keepNext/>
      <w:keepLines/>
      <w:spacing w:before="240" w:after="0" w:line="276" w:lineRule="auto"/>
      <w:outlineLvl w:val="5"/>
    </w:pPr>
    <w:rPr>
      <w:rFonts w:eastAsiaTheme="majorEastAsia" w:cstheme="majorBidi"/>
      <w:color w:val="341461" w:themeColor="accent1" w:themeShade="7F"/>
    </w:rPr>
  </w:style>
  <w:style w:type="paragraph" w:styleId="Heading7">
    <w:name w:val="heading 7"/>
    <w:basedOn w:val="Normal"/>
    <w:next w:val="Normal"/>
    <w:link w:val="Heading7Char"/>
    <w:uiPriority w:val="9"/>
    <w:unhideWhenUsed/>
    <w:rsid w:val="00642A9A"/>
    <w:pPr>
      <w:keepNext/>
      <w:keepLines/>
      <w:spacing w:before="240" w:after="0"/>
      <w:outlineLvl w:val="6"/>
    </w:pPr>
    <w:rPr>
      <w:rFonts w:asciiTheme="majorHAnsi" w:eastAsiaTheme="majorEastAsia" w:hAnsiTheme="majorHAnsi" w:cstheme="majorBidi"/>
      <w:i/>
      <w:iCs/>
      <w:color w:val="341461" w:themeColor="accent1" w:themeShade="7F"/>
    </w:rPr>
  </w:style>
  <w:style w:type="paragraph" w:styleId="Heading8">
    <w:name w:val="heading 8"/>
    <w:basedOn w:val="Normal"/>
    <w:next w:val="Normal"/>
    <w:link w:val="Heading8Char"/>
    <w:uiPriority w:val="9"/>
    <w:semiHidden/>
    <w:unhideWhenUsed/>
    <w:rsid w:val="00642A9A"/>
    <w:pPr>
      <w:keepNext/>
      <w:keepLines/>
      <w:spacing w:before="2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2A9A"/>
    <w:pPr>
      <w:keepNext/>
      <w:keepLines/>
      <w:spacing w:before="2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UnresolvedMention">
    <w:name w:val="Unresolved Mention"/>
    <w:basedOn w:val="DefaultParagraphFont"/>
    <w:uiPriority w:val="99"/>
    <w:semiHidden/>
    <w:unhideWhenUsed/>
    <w:rsid w:val="00E82EEB"/>
    <w:rPr>
      <w:color w:val="605E5C"/>
      <w:shd w:val="clear" w:color="auto" w:fill="E1DFDD"/>
    </w:rPr>
  </w:style>
  <w:style w:type="paragraph" w:styleId="Footer">
    <w:name w:val="footer"/>
    <w:basedOn w:val="Normal"/>
    <w:link w:val="FooterChar"/>
    <w:uiPriority w:val="99"/>
    <w:unhideWhenUsed/>
    <w:rsid w:val="00991526"/>
    <w:pPr>
      <w:tabs>
        <w:tab w:val="right" w:pos="9026"/>
      </w:tabs>
      <w:spacing w:before="20" w:after="0" w:line="240" w:lineRule="auto"/>
    </w:pPr>
    <w:rPr>
      <w:sz w:val="17"/>
      <w:szCs w:val="17"/>
    </w:rPr>
  </w:style>
  <w:style w:type="character" w:customStyle="1" w:styleId="FooterChar">
    <w:name w:val="Footer Char"/>
    <w:basedOn w:val="DefaultParagraphFont"/>
    <w:link w:val="Footer"/>
    <w:uiPriority w:val="99"/>
    <w:rsid w:val="00991526"/>
    <w:rPr>
      <w:color w:val="000000" w:themeColor="text1"/>
      <w:sz w:val="17"/>
      <w:szCs w:val="17"/>
    </w:rPr>
  </w:style>
  <w:style w:type="paragraph" w:styleId="Title">
    <w:name w:val="Title"/>
    <w:basedOn w:val="Normal"/>
    <w:next w:val="Normal"/>
    <w:link w:val="TitleChar"/>
    <w:uiPriority w:val="1"/>
    <w:rsid w:val="00233A75"/>
    <w:pPr>
      <w:spacing w:before="2600" w:after="240" w:line="252" w:lineRule="auto"/>
    </w:pPr>
    <w:rPr>
      <w:rFonts w:asciiTheme="majorHAnsi" w:eastAsiaTheme="majorEastAsia" w:hAnsiTheme="majorHAnsi" w:cstheme="majorBidi"/>
      <w:b/>
      <w:color w:val="FFFFFF" w:themeColor="background1"/>
      <w:spacing w:val="-2"/>
      <w:kern w:val="28"/>
      <w:sz w:val="80"/>
      <w:szCs w:val="80"/>
    </w:rPr>
  </w:style>
  <w:style w:type="character" w:customStyle="1" w:styleId="TitleChar">
    <w:name w:val="Title Char"/>
    <w:basedOn w:val="DefaultParagraphFont"/>
    <w:link w:val="Title"/>
    <w:uiPriority w:val="1"/>
    <w:rsid w:val="00233A75"/>
    <w:rPr>
      <w:rFonts w:asciiTheme="majorHAnsi" w:eastAsiaTheme="majorEastAsia" w:hAnsiTheme="majorHAnsi" w:cstheme="majorBidi"/>
      <w:b/>
      <w:color w:val="FFFFFF" w:themeColor="background1"/>
      <w:spacing w:val="-2"/>
      <w:kern w:val="28"/>
      <w:sz w:val="80"/>
      <w:szCs w:val="80"/>
    </w:rPr>
  </w:style>
  <w:style w:type="character" w:customStyle="1" w:styleId="Heading1Char">
    <w:name w:val="Heading 1 Char"/>
    <w:basedOn w:val="DefaultParagraphFont"/>
    <w:link w:val="Heading1"/>
    <w:uiPriority w:val="9"/>
    <w:rsid w:val="00D12938"/>
    <w:rPr>
      <w:rFonts w:ascii="Arial" w:eastAsiaTheme="majorEastAsia" w:hAnsi="Arial" w:cstheme="majorBidi"/>
      <w:b/>
      <w:color w:val="4B0885" w:themeColor="text2"/>
      <w:sz w:val="56"/>
      <w:szCs w:val="32"/>
    </w:rPr>
  </w:style>
  <w:style w:type="paragraph" w:styleId="TOCHeading">
    <w:name w:val="TOC Heading"/>
    <w:basedOn w:val="Heading1"/>
    <w:next w:val="Normal"/>
    <w:uiPriority w:val="39"/>
    <w:unhideWhenUsed/>
    <w:qFormat/>
    <w:rsid w:val="007177A7"/>
    <w:pPr>
      <w:outlineLvl w:val="9"/>
    </w:pPr>
    <w:rPr>
      <w:lang w:val="en-US"/>
    </w:rPr>
  </w:style>
  <w:style w:type="paragraph" w:styleId="ListParagraph">
    <w:name w:val="List Paragraph"/>
    <w:aliases w:val="Recommendation,L,List Paragraph1,List Paragraph11,NFP GP Bulleted List,FooterText,numbered,Paragraphe de liste1,Bulletr List Paragraph,列出段落,列出段落1,List Paragraph2,List Paragraph21,Listeafsnit1,Parágrafo da Lista1,Párrafo de lista1,リスト段落1"/>
    <w:basedOn w:val="Normal"/>
    <w:link w:val="ListParagraphChar"/>
    <w:uiPriority w:val="34"/>
    <w:qFormat/>
    <w:rsid w:val="00E148F7"/>
    <w:pPr>
      <w:ind w:left="720"/>
      <w:contextualSpacing/>
    </w:pPr>
  </w:style>
  <w:style w:type="table" w:styleId="TableGrid">
    <w:name w:val="Table Grid"/>
    <w:basedOn w:val="TableNormal"/>
    <w:rsid w:val="00F4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DBD"/>
    <w:rPr>
      <w:sz w:val="16"/>
      <w:szCs w:val="16"/>
    </w:rPr>
  </w:style>
  <w:style w:type="paragraph" w:styleId="CommentText">
    <w:name w:val="annotation text"/>
    <w:basedOn w:val="Normal"/>
    <w:link w:val="CommentTextChar"/>
    <w:uiPriority w:val="99"/>
    <w:unhideWhenUsed/>
    <w:rsid w:val="007F7DBD"/>
    <w:pPr>
      <w:spacing w:line="240" w:lineRule="auto"/>
    </w:pPr>
    <w:rPr>
      <w:sz w:val="20"/>
      <w:szCs w:val="20"/>
    </w:rPr>
  </w:style>
  <w:style w:type="character" w:customStyle="1" w:styleId="CommentTextChar">
    <w:name w:val="Comment Text Char"/>
    <w:basedOn w:val="DefaultParagraphFont"/>
    <w:link w:val="CommentText"/>
    <w:uiPriority w:val="99"/>
    <w:rsid w:val="007F7DBD"/>
    <w:rPr>
      <w:sz w:val="20"/>
      <w:szCs w:val="20"/>
    </w:rPr>
  </w:style>
  <w:style w:type="paragraph" w:styleId="CommentSubject">
    <w:name w:val="annotation subject"/>
    <w:basedOn w:val="CommentText"/>
    <w:next w:val="CommentText"/>
    <w:link w:val="CommentSubjectChar"/>
    <w:uiPriority w:val="99"/>
    <w:semiHidden/>
    <w:unhideWhenUsed/>
    <w:rsid w:val="007F7DBD"/>
    <w:rPr>
      <w:b/>
      <w:bCs/>
    </w:rPr>
  </w:style>
  <w:style w:type="character" w:customStyle="1" w:styleId="CommentSubjectChar">
    <w:name w:val="Comment Subject Char"/>
    <w:basedOn w:val="CommentTextChar"/>
    <w:link w:val="CommentSubject"/>
    <w:uiPriority w:val="99"/>
    <w:semiHidden/>
    <w:rsid w:val="007F7DBD"/>
    <w:rPr>
      <w:b/>
      <w:bCs/>
      <w:sz w:val="20"/>
      <w:szCs w:val="20"/>
    </w:rPr>
  </w:style>
  <w:style w:type="paragraph" w:styleId="NoSpacing">
    <w:name w:val="No Spacing"/>
    <w:link w:val="NoSpacingChar"/>
    <w:uiPriority w:val="1"/>
    <w:qFormat/>
    <w:rsid w:val="006C282B"/>
    <w:pPr>
      <w:spacing w:after="0" w:line="240" w:lineRule="auto"/>
    </w:pPr>
    <w:rPr>
      <w:rFonts w:ascii="Arial" w:hAnsi="Arial"/>
    </w:rPr>
  </w:style>
  <w:style w:type="table" w:styleId="PlainTable4">
    <w:name w:val="Plain Table 4"/>
    <w:basedOn w:val="TableNormal"/>
    <w:uiPriority w:val="44"/>
    <w:rsid w:val="006066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qFormat/>
    <w:rsid w:val="006C282B"/>
    <w:pPr>
      <w:numPr>
        <w:numId w:val="7"/>
      </w:numPr>
      <w:spacing w:after="120"/>
      <w:ind w:left="284" w:hanging="284"/>
    </w:pPr>
    <w:rPr>
      <w:rFonts w:eastAsia="SimSun" w:cs="Times New Roman"/>
      <w:spacing w:val="-1"/>
      <w:szCs w:val="20"/>
      <w:lang w:val="en-GB" w:eastAsia="en-GB"/>
    </w:rPr>
  </w:style>
  <w:style w:type="character" w:customStyle="1" w:styleId="Heading2Char">
    <w:name w:val="Heading 2 Char"/>
    <w:basedOn w:val="DefaultParagraphFont"/>
    <w:link w:val="Heading2"/>
    <w:uiPriority w:val="9"/>
    <w:rsid w:val="00D12938"/>
    <w:rPr>
      <w:rFonts w:ascii="Arial" w:eastAsiaTheme="majorEastAsia" w:hAnsi="Arial" w:cstheme="majorBidi"/>
      <w:b/>
      <w:sz w:val="32"/>
      <w:szCs w:val="26"/>
    </w:rPr>
  </w:style>
  <w:style w:type="paragraph" w:styleId="TOC1">
    <w:name w:val="toc 1"/>
    <w:basedOn w:val="Normal"/>
    <w:next w:val="Normal"/>
    <w:uiPriority w:val="39"/>
    <w:unhideWhenUsed/>
    <w:rsid w:val="00A3043E"/>
    <w:rPr>
      <w:b/>
      <w:color w:val="4B0885" w:themeColor="text2"/>
    </w:rPr>
  </w:style>
  <w:style w:type="character" w:customStyle="1" w:styleId="Heading3Char">
    <w:name w:val="Heading 3 Char"/>
    <w:basedOn w:val="DefaultParagraphFont"/>
    <w:link w:val="Heading3"/>
    <w:uiPriority w:val="9"/>
    <w:rsid w:val="00D12938"/>
    <w:rPr>
      <w:rFonts w:ascii="Arial" w:eastAsiaTheme="majorEastAsia" w:hAnsi="Arial" w:cstheme="majorBidi"/>
      <w:b/>
      <w:color w:val="4B0885" w:themeColor="text2"/>
      <w:sz w:val="26"/>
      <w:szCs w:val="24"/>
    </w:rPr>
  </w:style>
  <w:style w:type="paragraph" w:styleId="TOC2">
    <w:name w:val="toc 2"/>
    <w:basedOn w:val="Normal"/>
    <w:next w:val="Normal"/>
    <w:uiPriority w:val="39"/>
    <w:unhideWhenUsed/>
    <w:rsid w:val="00233A75"/>
    <w:pPr>
      <w:ind w:left="227"/>
    </w:pPr>
  </w:style>
  <w:style w:type="paragraph" w:styleId="TOC4">
    <w:name w:val="toc 4"/>
    <w:basedOn w:val="Normal"/>
    <w:next w:val="Normal"/>
    <w:autoRedefine/>
    <w:uiPriority w:val="39"/>
    <w:unhideWhenUsed/>
    <w:rsid w:val="007B2AD6"/>
    <w:pPr>
      <w:tabs>
        <w:tab w:val="right" w:leader="dot" w:pos="9016"/>
      </w:tabs>
      <w:ind w:left="220"/>
    </w:pPr>
  </w:style>
  <w:style w:type="paragraph" w:styleId="TOC3">
    <w:name w:val="toc 3"/>
    <w:basedOn w:val="Normal"/>
    <w:next w:val="Normal"/>
    <w:uiPriority w:val="39"/>
    <w:unhideWhenUsed/>
    <w:rsid w:val="00233A75"/>
    <w:pPr>
      <w:tabs>
        <w:tab w:val="right" w:leader="dot" w:pos="9016"/>
      </w:tabs>
      <w:ind w:left="454"/>
    </w:pPr>
  </w:style>
  <w:style w:type="paragraph" w:styleId="TOC5">
    <w:name w:val="toc 5"/>
    <w:basedOn w:val="Normal"/>
    <w:next w:val="Normal"/>
    <w:autoRedefine/>
    <w:uiPriority w:val="39"/>
    <w:unhideWhenUsed/>
    <w:rsid w:val="007B2AD6"/>
    <w:pPr>
      <w:tabs>
        <w:tab w:val="right" w:leader="dot" w:pos="9016"/>
      </w:tabs>
      <w:ind w:left="220"/>
    </w:pPr>
  </w:style>
  <w:style w:type="character" w:styleId="Hyperlink">
    <w:name w:val="Hyperlink"/>
    <w:basedOn w:val="DefaultParagraphFont"/>
    <w:uiPriority w:val="99"/>
    <w:unhideWhenUsed/>
    <w:rsid w:val="00A93DF6"/>
    <w:rPr>
      <w:color w:val="013D74" w:themeColor="hyperlink"/>
      <w:u w:val="single"/>
    </w:rPr>
  </w:style>
  <w:style w:type="paragraph" w:styleId="ListBullet2">
    <w:name w:val="List Bullet 2"/>
    <w:basedOn w:val="Normal"/>
    <w:qFormat/>
    <w:rsid w:val="006C282B"/>
    <w:pPr>
      <w:numPr>
        <w:ilvl w:val="1"/>
        <w:numId w:val="7"/>
      </w:numPr>
      <w:spacing w:after="110"/>
      <w:ind w:left="568" w:hanging="284"/>
    </w:pPr>
    <w:rPr>
      <w:rFonts w:eastAsia="SimSun" w:cs="Times New Roman"/>
      <w:spacing w:val="-1"/>
      <w:szCs w:val="20"/>
      <w:lang w:val="en-GB" w:eastAsia="en-GB"/>
    </w:rPr>
  </w:style>
  <w:style w:type="paragraph" w:styleId="ListBullet3">
    <w:name w:val="List Bullet 3"/>
    <w:basedOn w:val="Normal"/>
    <w:rsid w:val="00BE68F3"/>
    <w:pPr>
      <w:numPr>
        <w:ilvl w:val="2"/>
        <w:numId w:val="7"/>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597EF7"/>
    <w:pPr>
      <w:numPr>
        <w:ilvl w:val="3"/>
      </w:numPr>
    </w:pPr>
  </w:style>
  <w:style w:type="character" w:customStyle="1" w:styleId="Heading4Char">
    <w:name w:val="Heading 4 Char"/>
    <w:basedOn w:val="DefaultParagraphFont"/>
    <w:link w:val="Heading4"/>
    <w:uiPriority w:val="9"/>
    <w:rsid w:val="00D12938"/>
    <w:rPr>
      <w:rFonts w:ascii="Arial" w:hAnsi="Arial" w:cs="Arial"/>
      <w:b/>
      <w:bCs/>
      <w:color w:val="012749" w:themeColor="accent3"/>
    </w:rPr>
  </w:style>
  <w:style w:type="character" w:customStyle="1" w:styleId="Heading5Char">
    <w:name w:val="Heading 5 Char"/>
    <w:basedOn w:val="DefaultParagraphFont"/>
    <w:link w:val="Heading5"/>
    <w:uiPriority w:val="9"/>
    <w:rsid w:val="00D12938"/>
    <w:rPr>
      <w:rFonts w:ascii="Arial" w:hAnsi="Arial" w:cs="Arial"/>
      <w:color w:val="4B0885" w:themeColor="text2"/>
      <w:sz w:val="19"/>
      <w:szCs w:val="19"/>
    </w:rPr>
  </w:style>
  <w:style w:type="character" w:customStyle="1" w:styleId="Heading6Char">
    <w:name w:val="Heading 6 Char"/>
    <w:basedOn w:val="DefaultParagraphFont"/>
    <w:link w:val="Heading6"/>
    <w:uiPriority w:val="9"/>
    <w:rsid w:val="00D12938"/>
    <w:rPr>
      <w:rFonts w:ascii="Arial" w:eastAsiaTheme="majorEastAsia" w:hAnsi="Arial" w:cstheme="majorBidi"/>
      <w:color w:val="341461" w:themeColor="accent1" w:themeShade="7F"/>
    </w:rPr>
  </w:style>
  <w:style w:type="character" w:customStyle="1" w:styleId="Heading7Char">
    <w:name w:val="Heading 7 Char"/>
    <w:basedOn w:val="DefaultParagraphFont"/>
    <w:link w:val="Heading7"/>
    <w:uiPriority w:val="9"/>
    <w:rsid w:val="00642A9A"/>
    <w:rPr>
      <w:rFonts w:asciiTheme="majorHAnsi" w:eastAsiaTheme="majorEastAsia" w:hAnsiTheme="majorHAnsi" w:cstheme="majorBidi"/>
      <w:i/>
      <w:iCs/>
      <w:color w:val="341461" w:themeColor="accent1" w:themeShade="7F"/>
    </w:rPr>
  </w:style>
  <w:style w:type="paragraph" w:styleId="Header">
    <w:name w:val="header"/>
    <w:basedOn w:val="Normal"/>
    <w:link w:val="HeaderChar"/>
    <w:uiPriority w:val="99"/>
    <w:unhideWhenUsed/>
    <w:rsid w:val="00C40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E20"/>
    <w:rPr>
      <w:rFonts w:ascii="Arial" w:hAnsi="Arial"/>
      <w:color w:val="000000" w:themeColor="text1"/>
    </w:rPr>
  </w:style>
  <w:style w:type="paragraph" w:styleId="Caption">
    <w:name w:val="caption"/>
    <w:basedOn w:val="Normal"/>
    <w:next w:val="Normal"/>
    <w:uiPriority w:val="35"/>
    <w:unhideWhenUsed/>
    <w:qFormat/>
    <w:rsid w:val="00642A9A"/>
    <w:pPr>
      <w:keepNext/>
      <w:spacing w:before="320" w:after="200" w:line="240" w:lineRule="auto"/>
    </w:pPr>
    <w:rPr>
      <w:b/>
      <w:bCs/>
      <w:sz w:val="18"/>
      <w:szCs w:val="18"/>
    </w:rPr>
  </w:style>
  <w:style w:type="paragraph" w:styleId="Subtitle">
    <w:name w:val="Subtitle"/>
    <w:basedOn w:val="Normal"/>
    <w:next w:val="Normal"/>
    <w:link w:val="SubtitleChar"/>
    <w:uiPriority w:val="1"/>
    <w:rsid w:val="00233A75"/>
    <w:pPr>
      <w:numPr>
        <w:ilvl w:val="1"/>
      </w:numPr>
      <w:spacing w:before="480" w:after="160"/>
    </w:pPr>
    <w:rPr>
      <w:rFonts w:asciiTheme="majorHAnsi" w:eastAsiaTheme="minorEastAsia" w:hAnsiTheme="majorHAnsi"/>
      <w:color w:val="FFFFFF" w:themeColor="background1"/>
      <w:sz w:val="48"/>
      <w:szCs w:val="48"/>
    </w:rPr>
  </w:style>
  <w:style w:type="character" w:customStyle="1" w:styleId="SubtitleChar">
    <w:name w:val="Subtitle Char"/>
    <w:basedOn w:val="DefaultParagraphFont"/>
    <w:link w:val="Subtitle"/>
    <w:uiPriority w:val="1"/>
    <w:rsid w:val="00233A75"/>
    <w:rPr>
      <w:rFonts w:asciiTheme="majorHAnsi" w:eastAsiaTheme="minorEastAsia" w:hAnsiTheme="majorHAnsi"/>
      <w:color w:val="FFFFFF" w:themeColor="background1"/>
      <w:sz w:val="48"/>
      <w:szCs w:val="48"/>
    </w:rPr>
  </w:style>
  <w:style w:type="paragraph" w:customStyle="1" w:styleId="Spacer">
    <w:name w:val="Spacer"/>
    <w:basedOn w:val="NoSpacing"/>
    <w:qFormat/>
    <w:rsid w:val="00506CD7"/>
    <w:pPr>
      <w:tabs>
        <w:tab w:val="left" w:pos="2906"/>
      </w:tabs>
    </w:pPr>
    <w:rPr>
      <w:rFonts w:ascii="Times New Roman" w:hAnsi="Times New Roman" w:cs="Times New Roman"/>
      <w:bCs/>
      <w:noProof/>
      <w:color w:val="E55493" w:themeColor="accent6" w:themeTint="99"/>
      <w:spacing w:val="-5"/>
      <w:sz w:val="6"/>
      <w:szCs w:val="23"/>
    </w:rPr>
  </w:style>
  <w:style w:type="character" w:styleId="PlaceholderText">
    <w:name w:val="Placeholder Text"/>
    <w:basedOn w:val="DefaultParagraphFont"/>
    <w:uiPriority w:val="99"/>
    <w:semiHidden/>
    <w:rsid w:val="00C6447C"/>
    <w:rPr>
      <w:color w:val="808080"/>
    </w:rPr>
  </w:style>
  <w:style w:type="paragraph" w:customStyle="1" w:styleId="Source">
    <w:name w:val="Source"/>
    <w:basedOn w:val="Normal"/>
    <w:next w:val="Normal"/>
    <w:qFormat/>
    <w:rsid w:val="00AF2783"/>
    <w:pPr>
      <w:spacing w:before="120" w:after="120"/>
    </w:pPr>
    <w:rPr>
      <w:sz w:val="18"/>
      <w:szCs w:val="18"/>
    </w:rPr>
  </w:style>
  <w:style w:type="paragraph" w:styleId="MacroText">
    <w:name w:val="macro"/>
    <w:link w:val="MacroTextChar"/>
    <w:uiPriority w:val="99"/>
    <w:unhideWhenUsed/>
    <w:rsid w:val="00AF2783"/>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uiPriority w:val="99"/>
    <w:rsid w:val="00AF2783"/>
    <w:rPr>
      <w:rFonts w:ascii="Consolas" w:hAnsi="Consolas"/>
      <w:sz w:val="20"/>
      <w:szCs w:val="20"/>
    </w:rPr>
  </w:style>
  <w:style w:type="table" w:customStyle="1" w:styleId="JSATable1">
    <w:name w:val="JSA Table 1"/>
    <w:basedOn w:val="TableNormal"/>
    <w:uiPriority w:val="99"/>
    <w:rsid w:val="00D73EA4"/>
    <w:pPr>
      <w:spacing w:after="0" w:line="240" w:lineRule="auto"/>
    </w:pPr>
    <w:tblPr>
      <w:tblStyleRowBandSize w:val="1"/>
      <w:tblBorders>
        <w:bottom w:val="single" w:sz="4" w:space="0" w:color="4B0885"/>
      </w:tblBorders>
    </w:tblPr>
    <w:tblStylePr w:type="firstRow">
      <w:tblPr/>
      <w:tcPr>
        <w:shd w:val="clear" w:color="auto" w:fill="2F005F"/>
      </w:tcPr>
    </w:tblStylePr>
    <w:tblStylePr w:type="band2Horz">
      <w:tblPr/>
      <w:tcPr>
        <w:shd w:val="clear" w:color="auto" w:fill="E6E6E6"/>
      </w:tcPr>
    </w:tblStylePr>
  </w:style>
  <w:style w:type="table" w:customStyle="1" w:styleId="JSATable2">
    <w:name w:val="JSA Table 2"/>
    <w:basedOn w:val="TableNormal"/>
    <w:uiPriority w:val="99"/>
    <w:rsid w:val="00A74E0F"/>
    <w:pPr>
      <w:spacing w:after="0" w:line="240" w:lineRule="auto"/>
    </w:pPr>
    <w:tblPr>
      <w:tblStyleRowBandSize w:val="1"/>
      <w:tblBorders>
        <w:bottom w:val="single" w:sz="4" w:space="0" w:color="A584C2"/>
      </w:tblBorders>
    </w:tblPr>
    <w:tblStylePr w:type="firstRow">
      <w:rPr>
        <w:rFonts w:asciiTheme="majorHAnsi" w:hAnsiTheme="majorHAnsi"/>
        <w:color w:val="FFFFFF" w:themeColor="background1"/>
        <w:sz w:val="22"/>
      </w:rPr>
      <w:tblPr/>
      <w:tcPr>
        <w:shd w:val="clear" w:color="auto" w:fill="012749" w:themeFill="accent3"/>
      </w:tcPr>
    </w:tblStylePr>
    <w:tblStylePr w:type="band2Horz">
      <w:tblPr/>
      <w:tcPr>
        <w:shd w:val="clear" w:color="auto" w:fill="E6E6E6"/>
      </w:tcPr>
    </w:tblStylePr>
  </w:style>
  <w:style w:type="paragraph" w:styleId="Index7">
    <w:name w:val="index 7"/>
    <w:basedOn w:val="Normal"/>
    <w:next w:val="Normal"/>
    <w:autoRedefine/>
    <w:uiPriority w:val="99"/>
    <w:semiHidden/>
    <w:unhideWhenUsed/>
    <w:rsid w:val="00244550"/>
    <w:pPr>
      <w:spacing w:before="240" w:after="0" w:line="240" w:lineRule="auto"/>
      <w:ind w:left="1542" w:hanging="221"/>
    </w:pPr>
  </w:style>
  <w:style w:type="character" w:customStyle="1" w:styleId="Heading8Char">
    <w:name w:val="Heading 8 Char"/>
    <w:basedOn w:val="DefaultParagraphFont"/>
    <w:link w:val="Heading8"/>
    <w:uiPriority w:val="9"/>
    <w:semiHidden/>
    <w:rsid w:val="00642A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2A9A"/>
    <w:rPr>
      <w:rFonts w:asciiTheme="majorHAnsi" w:eastAsiaTheme="majorEastAsia" w:hAnsiTheme="majorHAnsi" w:cstheme="majorBidi"/>
      <w:i/>
      <w:iCs/>
      <w:color w:val="272727" w:themeColor="text1" w:themeTint="D8"/>
      <w:sz w:val="21"/>
      <w:szCs w:val="21"/>
    </w:rPr>
  </w:style>
  <w:style w:type="character" w:customStyle="1" w:styleId="StrongandEmphasis">
    <w:name w:val="Strong and Emphasis"/>
    <w:basedOn w:val="DefaultParagraphFont"/>
    <w:uiPriority w:val="1"/>
    <w:qFormat/>
    <w:rsid w:val="00D12938"/>
    <w:rPr>
      <w:rFonts w:ascii="Arial" w:hAnsi="Arial"/>
      <w:b/>
      <w:i/>
      <w:sz w:val="22"/>
    </w:rPr>
  </w:style>
  <w:style w:type="character" w:styleId="Emphasis">
    <w:name w:val="Emphasis"/>
    <w:basedOn w:val="DefaultParagraphFont"/>
    <w:qFormat/>
    <w:rsid w:val="002927DB"/>
    <w:rPr>
      <w:rFonts w:ascii="Arial" w:hAnsi="Arial"/>
      <w:i/>
      <w:iCs/>
      <w:sz w:val="22"/>
    </w:rPr>
  </w:style>
  <w:style w:type="character" w:styleId="Strong">
    <w:name w:val="Strong"/>
    <w:basedOn w:val="DefaultParagraphFont"/>
    <w:uiPriority w:val="22"/>
    <w:qFormat/>
    <w:rsid w:val="00DB0916"/>
    <w:rPr>
      <w:rFonts w:ascii="Arial" w:hAnsi="Arial"/>
      <w:b/>
      <w:bCs/>
      <w:sz w:val="22"/>
    </w:rPr>
  </w:style>
  <w:style w:type="paragraph" w:styleId="Quote">
    <w:name w:val="Quote"/>
    <w:basedOn w:val="Normal"/>
    <w:next w:val="Normal"/>
    <w:link w:val="QuoteChar"/>
    <w:uiPriority w:val="29"/>
    <w:qFormat/>
    <w:rsid w:val="00DB09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B0916"/>
    <w:rPr>
      <w:rFonts w:ascii="Arial" w:hAnsi="Arial"/>
      <w:i/>
      <w:iCs/>
      <w:color w:val="404040" w:themeColor="text1" w:themeTint="BF"/>
    </w:rPr>
  </w:style>
  <w:style w:type="paragraph" w:customStyle="1" w:styleId="ChartandTablelabel">
    <w:name w:val="Chart and Table label"/>
    <w:basedOn w:val="Normal"/>
    <w:qFormat/>
    <w:rsid w:val="008564DD"/>
    <w:pPr>
      <w:spacing w:after="160" w:line="259" w:lineRule="auto"/>
    </w:pPr>
    <w:rPr>
      <w:b/>
      <w:color w:val="000000" w:themeColor="text1"/>
      <w:sz w:val="20"/>
      <w:lang w:val="en-US"/>
    </w:rPr>
  </w:style>
  <w:style w:type="paragraph" w:customStyle="1" w:styleId="Bodycopy">
    <w:name w:val="Body copy"/>
    <w:basedOn w:val="Normal"/>
    <w:link w:val="BodycopyChar"/>
    <w:qFormat/>
    <w:rsid w:val="008564DD"/>
    <w:pPr>
      <w:spacing w:after="160" w:line="259" w:lineRule="auto"/>
    </w:pPr>
    <w:rPr>
      <w:color w:val="000000" w:themeColor="text1"/>
    </w:rPr>
  </w:style>
  <w:style w:type="paragraph" w:customStyle="1" w:styleId="Tableheader">
    <w:name w:val="Table header"/>
    <w:basedOn w:val="Normal"/>
    <w:qFormat/>
    <w:rsid w:val="008564DD"/>
    <w:pPr>
      <w:spacing w:before="120" w:after="120" w:line="240" w:lineRule="auto"/>
    </w:pPr>
    <w:rPr>
      <w:b/>
      <w:color w:val="FFFFFF" w:themeColor="background1"/>
      <w:lang w:val="en-US"/>
    </w:rPr>
  </w:style>
  <w:style w:type="table" w:styleId="GridTable4-Accent1">
    <w:name w:val="Grid Table 4 Accent 1"/>
    <w:basedOn w:val="TableNormal"/>
    <w:uiPriority w:val="49"/>
    <w:rsid w:val="008564DD"/>
    <w:pPr>
      <w:spacing w:after="0" w:line="240" w:lineRule="auto"/>
    </w:pPr>
    <w:tblPr>
      <w:tblStyleRowBandSize w:val="1"/>
      <w:tblStyleColBandSize w:val="1"/>
      <w:tblBorders>
        <w:top w:val="single" w:sz="4" w:space="0" w:color="A377E2" w:themeColor="accent1" w:themeTint="99"/>
        <w:left w:val="single" w:sz="4" w:space="0" w:color="A377E2" w:themeColor="accent1" w:themeTint="99"/>
        <w:bottom w:val="single" w:sz="4" w:space="0" w:color="A377E2" w:themeColor="accent1" w:themeTint="99"/>
        <w:right w:val="single" w:sz="4" w:space="0" w:color="A377E2" w:themeColor="accent1" w:themeTint="99"/>
        <w:insideH w:val="single" w:sz="4" w:space="0" w:color="A377E2" w:themeColor="accent1" w:themeTint="99"/>
        <w:insideV w:val="single" w:sz="4" w:space="0" w:color="A377E2" w:themeColor="accent1" w:themeTint="99"/>
      </w:tblBorders>
    </w:tblPr>
    <w:tblStylePr w:type="firstRow">
      <w:rPr>
        <w:b/>
        <w:bCs/>
        <w:color w:val="FFFFFF" w:themeColor="background1"/>
      </w:rPr>
      <w:tblPr/>
      <w:tcPr>
        <w:tcBorders>
          <w:top w:val="single" w:sz="4" w:space="0" w:color="6929C4" w:themeColor="accent1"/>
          <w:left w:val="single" w:sz="4" w:space="0" w:color="6929C4" w:themeColor="accent1"/>
          <w:bottom w:val="single" w:sz="4" w:space="0" w:color="6929C4" w:themeColor="accent1"/>
          <w:right w:val="single" w:sz="4" w:space="0" w:color="6929C4" w:themeColor="accent1"/>
          <w:insideH w:val="nil"/>
          <w:insideV w:val="nil"/>
        </w:tcBorders>
        <w:shd w:val="clear" w:color="auto" w:fill="6929C4" w:themeFill="accent1"/>
      </w:tcPr>
    </w:tblStylePr>
    <w:tblStylePr w:type="lastRow">
      <w:rPr>
        <w:b/>
        <w:bCs/>
      </w:rPr>
      <w:tblPr/>
      <w:tcPr>
        <w:tcBorders>
          <w:top w:val="double" w:sz="4" w:space="0" w:color="6929C4" w:themeColor="accent1"/>
        </w:tcBorders>
      </w:tcPr>
    </w:tblStylePr>
    <w:tblStylePr w:type="firstCol">
      <w:rPr>
        <w:b/>
        <w:bCs/>
      </w:rPr>
    </w:tblStylePr>
    <w:tblStylePr w:type="lastCol">
      <w:rPr>
        <w:b/>
        <w:bCs/>
      </w:rPr>
    </w:tblStylePr>
    <w:tblStylePr w:type="band1Vert">
      <w:tblPr/>
      <w:tcPr>
        <w:shd w:val="clear" w:color="auto" w:fill="E0D1F5" w:themeFill="accent1" w:themeFillTint="33"/>
      </w:tcPr>
    </w:tblStylePr>
    <w:tblStylePr w:type="band1Horz">
      <w:tblPr/>
      <w:tcPr>
        <w:shd w:val="clear" w:color="auto" w:fill="E0D1F5" w:themeFill="accent1" w:themeFillTint="33"/>
      </w:tcPr>
    </w:tblStylePr>
  </w:style>
  <w:style w:type="character" w:customStyle="1" w:styleId="BodycopyChar">
    <w:name w:val="Body copy Char"/>
    <w:basedOn w:val="DefaultParagraphFont"/>
    <w:link w:val="Bodycopy"/>
    <w:uiPriority w:val="1"/>
    <w:rsid w:val="008564DD"/>
    <w:rPr>
      <w:rFonts w:ascii="Arial" w:hAnsi="Arial"/>
      <w:color w:val="000000" w:themeColor="text1"/>
    </w:rPr>
  </w:style>
  <w:style w:type="paragraph" w:styleId="FootnoteText">
    <w:name w:val="footnote text"/>
    <w:basedOn w:val="Normal"/>
    <w:link w:val="FootnoteTextChar"/>
    <w:uiPriority w:val="99"/>
    <w:unhideWhenUsed/>
    <w:rsid w:val="008564DD"/>
    <w:pPr>
      <w:spacing w:after="0" w:line="240" w:lineRule="auto"/>
    </w:pPr>
    <w:rPr>
      <w:color w:val="000000"/>
      <w:sz w:val="20"/>
      <w:szCs w:val="20"/>
    </w:rPr>
  </w:style>
  <w:style w:type="character" w:customStyle="1" w:styleId="FootnoteTextChar">
    <w:name w:val="Footnote Text Char"/>
    <w:basedOn w:val="DefaultParagraphFont"/>
    <w:link w:val="FootnoteText"/>
    <w:uiPriority w:val="99"/>
    <w:rsid w:val="008564DD"/>
    <w:rPr>
      <w:rFonts w:ascii="Arial" w:hAnsi="Arial"/>
      <w:color w:val="000000"/>
      <w:sz w:val="20"/>
      <w:szCs w:val="20"/>
    </w:rPr>
  </w:style>
  <w:style w:type="character" w:styleId="FootnoteReference">
    <w:name w:val="footnote reference"/>
    <w:basedOn w:val="DefaultParagraphFont"/>
    <w:uiPriority w:val="99"/>
    <w:unhideWhenUsed/>
    <w:rsid w:val="008564DD"/>
    <w:rPr>
      <w:vertAlign w:val="superscript"/>
    </w:rPr>
  </w:style>
  <w:style w:type="character" w:styleId="FollowedHyperlink">
    <w:name w:val="FollowedHyperlink"/>
    <w:basedOn w:val="DefaultParagraphFont"/>
    <w:uiPriority w:val="99"/>
    <w:semiHidden/>
    <w:unhideWhenUsed/>
    <w:rsid w:val="008564DD"/>
    <w:rPr>
      <w:color w:val="4B0885" w:themeColor="followedHyperlink"/>
      <w:u w:val="single"/>
    </w:rPr>
  </w:style>
  <w:style w:type="character" w:customStyle="1" w:styleId="ListParagraphChar">
    <w:name w:val="List Paragraph Char"/>
    <w:aliases w:val="Recommendation Char,L Char,List Paragraph1 Char,List Paragraph11 Char,NFP GP Bulleted List Char,FooterText Char,numbered Char,Paragraphe de liste1 Char,Bulletr List Paragraph Char,列出段落 Char,列出段落1 Char,List Paragraph2 Char,リスト段落1 Char"/>
    <w:basedOn w:val="DefaultParagraphFont"/>
    <w:link w:val="ListParagraph"/>
    <w:uiPriority w:val="34"/>
    <w:locked/>
    <w:rsid w:val="008564DD"/>
    <w:rPr>
      <w:rFonts w:ascii="Arial" w:hAnsi="Arial"/>
    </w:rPr>
  </w:style>
  <w:style w:type="character" w:customStyle="1" w:styleId="ui-provider">
    <w:name w:val="ui-provider"/>
    <w:basedOn w:val="DefaultParagraphFont"/>
    <w:rsid w:val="008564DD"/>
  </w:style>
  <w:style w:type="character" w:customStyle="1" w:styleId="normaltextrun">
    <w:name w:val="normaltextrun"/>
    <w:basedOn w:val="DefaultParagraphFont"/>
    <w:rsid w:val="008564DD"/>
  </w:style>
  <w:style w:type="character" w:customStyle="1" w:styleId="findhit">
    <w:name w:val="findhit"/>
    <w:basedOn w:val="DefaultParagraphFont"/>
    <w:rsid w:val="008564DD"/>
  </w:style>
  <w:style w:type="paragraph" w:styleId="Revision">
    <w:name w:val="Revision"/>
    <w:hidden/>
    <w:uiPriority w:val="99"/>
    <w:semiHidden/>
    <w:rsid w:val="008564DD"/>
    <w:pPr>
      <w:spacing w:after="0" w:line="240" w:lineRule="auto"/>
    </w:pPr>
  </w:style>
  <w:style w:type="character" w:customStyle="1" w:styleId="NoSpacingChar">
    <w:name w:val="No Spacing Char"/>
    <w:basedOn w:val="DefaultParagraphFont"/>
    <w:link w:val="NoSpacing"/>
    <w:uiPriority w:val="1"/>
    <w:rsid w:val="008564DD"/>
    <w:rPr>
      <w:rFonts w:ascii="Arial" w:hAnsi="Arial"/>
    </w:rPr>
  </w:style>
  <w:style w:type="table" w:customStyle="1" w:styleId="TableGrid1">
    <w:name w:val="Table Grid1"/>
    <w:basedOn w:val="TableNormal"/>
    <w:next w:val="TableGrid"/>
    <w:rsid w:val="00782901"/>
    <w:pPr>
      <w:spacing w:after="0" w:line="240" w:lineRule="auto"/>
    </w:pPr>
    <w:rPr>
      <w:rFonts w:ascii="CG Times" w:eastAsia="Times New Roman" w:hAnsi="CG Times"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E10CBD"/>
    <w:rPr>
      <w:i/>
      <w:iCs/>
      <w:color w:val="6929C4" w:themeColor="accent1"/>
    </w:rPr>
  </w:style>
  <w:style w:type="character" w:styleId="Mention">
    <w:name w:val="Mention"/>
    <w:basedOn w:val="DefaultParagraphFont"/>
    <w:uiPriority w:val="99"/>
    <w:unhideWhenUsed/>
    <w:rsid w:val="003D1CC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630459">
      <w:bodyDiv w:val="1"/>
      <w:marLeft w:val="0"/>
      <w:marRight w:val="0"/>
      <w:marTop w:val="0"/>
      <w:marBottom w:val="0"/>
      <w:divBdr>
        <w:top w:val="none" w:sz="0" w:space="0" w:color="auto"/>
        <w:left w:val="none" w:sz="0" w:space="0" w:color="auto"/>
        <w:bottom w:val="none" w:sz="0" w:space="0" w:color="auto"/>
        <w:right w:val="none" w:sz="0" w:space="0" w:color="auto"/>
      </w:divBdr>
    </w:div>
    <w:div w:id="212468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chart" Target="charts/chart4.xml"/><Relationship Id="rId39" Type="http://schemas.openxmlformats.org/officeDocument/2006/relationships/chart" Target="charts/chart13.xml"/><Relationship Id="rId21" Type="http://schemas.openxmlformats.org/officeDocument/2006/relationships/header" Target="header6.xml"/><Relationship Id="rId34" Type="http://schemas.openxmlformats.org/officeDocument/2006/relationships/image" Target="media/image5.png"/><Relationship Id="rId42" Type="http://schemas.openxmlformats.org/officeDocument/2006/relationships/image" Target="media/image7.png"/><Relationship Id="rId47" Type="http://schemas.openxmlformats.org/officeDocument/2006/relationships/chart" Target="charts/chart19.xml"/><Relationship Id="rId50" Type="http://schemas.openxmlformats.org/officeDocument/2006/relationships/hyperlink" Target="https://www.jobsandskills.gov.au/data/recruitment-experiences-and-outlook-survey" TargetMode="External"/><Relationship Id="rId55" Type="http://schemas.openxmlformats.org/officeDocument/2006/relationships/hyperlink" Target="https://www.jobsandskills.gov.au/news/international-labour-market-update-february-2024-released"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chart" Target="charts/chart7.xml"/><Relationship Id="rId11" Type="http://schemas.openxmlformats.org/officeDocument/2006/relationships/header" Target="header1.xml"/><Relationship Id="rId24" Type="http://schemas.openxmlformats.org/officeDocument/2006/relationships/chart" Target="charts/chart2.xml"/><Relationship Id="rId32" Type="http://schemas.openxmlformats.org/officeDocument/2006/relationships/image" Target="media/image3.png"/><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7.xml"/><Relationship Id="rId53" Type="http://schemas.openxmlformats.org/officeDocument/2006/relationships/hyperlink" Target="https://www.jobsandskills.gov.au/data/employment-region-dashboards-and-profiles" TargetMode="External"/><Relationship Id="rId58" Type="http://schemas.microsoft.com/office/2019/05/relationships/documenttasks" Target="documenttasks/documenttasks1.xml"/><Relationship Id="rId5" Type="http://schemas.openxmlformats.org/officeDocument/2006/relationships/numbering" Target="numbering.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9.xml"/><Relationship Id="rId43" Type="http://schemas.openxmlformats.org/officeDocument/2006/relationships/chart" Target="charts/chart15.xml"/><Relationship Id="rId48" Type="http://schemas.openxmlformats.org/officeDocument/2006/relationships/hyperlink" Target="https://www.jobsandskills.gov.au/"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jobsandskills.gov.au/data/skills-shortages-analysi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chart" Target="charts/chart3.xml"/><Relationship Id="rId33" Type="http://schemas.openxmlformats.org/officeDocument/2006/relationships/image" Target="media/image4.png"/><Relationship Id="rId38" Type="http://schemas.openxmlformats.org/officeDocument/2006/relationships/chart" Target="charts/chart12.xml"/><Relationship Id="rId46" Type="http://schemas.openxmlformats.org/officeDocument/2006/relationships/chart" Target="charts/chart18.xml"/><Relationship Id="rId20" Type="http://schemas.openxmlformats.org/officeDocument/2006/relationships/header" Target="header5.xml"/><Relationship Id="rId41" Type="http://schemas.openxmlformats.org/officeDocument/2006/relationships/image" Target="media/image6.png"/><Relationship Id="rId54" Type="http://schemas.openxmlformats.org/officeDocument/2006/relationships/hyperlink" Target="https://www.jobsandskills.gov.au/data/nero"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0.xml"/><Relationship Id="rId49" Type="http://schemas.openxmlformats.org/officeDocument/2006/relationships/hyperlink" Target="https://www.jobsandskills.gov.au/data/internet-vacancy-index"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jobsandskills.gov.au/sites/default/files/2023-10/2023%20SPL%20Key%20Findings%20Report.pdf" TargetMode="External"/><Relationship Id="rId44" Type="http://schemas.openxmlformats.org/officeDocument/2006/relationships/chart" Target="charts/chart16.xml"/><Relationship Id="rId52" Type="http://schemas.openxmlformats.org/officeDocument/2006/relationships/hyperlink" Target="https://www.jobsandskills.gov.au/data/jobs-and-skills-atla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abs.gov.au/statistics/microdata-tablebuilder/tablebuilder" TargetMode="External"/><Relationship Id="rId3" Type="http://schemas.openxmlformats.org/officeDocument/2006/relationships/hyperlink" Target="https://www.theguardian.com/media/2023/aug/01/news-corp-ai-chat-gpt-stories" TargetMode="External"/><Relationship Id="rId7" Type="http://schemas.openxmlformats.org/officeDocument/2006/relationships/hyperlink" Target="https://www.abc.net.au/news/2023-06-16/abc-director-of-news-decision-to-cut-120-jobs/102485864" TargetMode="External"/><Relationship Id="rId2" Type="http://schemas.openxmlformats.org/officeDocument/2006/relationships/hyperlink" Target="https://www.jobsandskills.gov.au/studies/clean-energy-capacity-study" TargetMode="External"/><Relationship Id="rId1" Type="http://schemas.openxmlformats.org/officeDocument/2006/relationships/hyperlink" Target="https://www.rba.gov.au/publications/bulletin/2020/mar/regional-variation-in-economic-conditions.html" TargetMode="External"/><Relationship Id="rId6" Type="http://schemas.openxmlformats.org/officeDocument/2006/relationships/hyperlink" Target="https://www.afr.com/companies/media-and-marketing/up-to-200-jobs-likely-to-go-at-news-corp-amid-strategy-shift-20230310-p5cr65" TargetMode="External"/><Relationship Id="rId5" Type="http://schemas.openxmlformats.org/officeDocument/2006/relationships/hyperlink" Target="https://www.jobsandskills.gov.au/publications/data-occupation-mobility-unpacking-workers-movements" TargetMode="External"/><Relationship Id="rId10" Type="http://schemas.openxmlformats.org/officeDocument/2006/relationships/hyperlink" Target="https://www.canberra.edu.au/research/faculty-research-centres/nmrc/digital-news-report-australia" TargetMode="External"/><Relationship Id="rId4" Type="http://schemas.openxmlformats.org/officeDocument/2006/relationships/hyperlink" Target="https://www.jobsandskills.gov.au/data/internet-vacancy-index" TargetMode="External"/><Relationship Id="rId9" Type="http://schemas.openxmlformats.org/officeDocument/2006/relationships/hyperlink" Target="https://sharedservicescentre-my.sharepoint.com/personal/christopher_mcloughlin_jobsandskills_gov_au/Documents/Documents/Tasks/IVI/Briefs%20&amp;%20ad%20hoc%20requests/LMUs/2024/LMU%20Mar%2024%20IVI%20contribution/Layoffs,%20inequity%20and%20COVID-19:%20A%20longitudinal%20study%20of%20the%20journalism%20jobs%20crisis%20in%20Australia%20from%202012%20to%20202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CCESS.application.enet\SPECIAL$\NSC%20-%20LMAAS\General%20work\Quarterly%20Labour%20Market%20Update\March%20quarter%202024\Chart%20and%20table%20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MP.application.enet\50038325\LMM%20Branch\ERSA\6.%20Briefings%20and%20Requests\2024\Labour%20Market%20Updates\LMU%20-%20March%20Quarter%202024%20edition\LMU%20-%20Mar%202024%20graph%20and%20data%20file%20ERSA%20-%20TO%20BE%20UPDATE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MP.application.enet\50038325\LMM%20Branch\Cross-team%20tasks\Quarterly%20Labour%20Market%20Update\1.%20March%20Quarter\2.%202024%20Edition\All%20teams%20input\LMU%20-%20Mar%202024%20graph%20and%20data%20file%20ERSA%20-%20updated%202304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sharedservicescentre-my.sharepoint.com/personal/christopher_mcloughlin_jobsandskills_gov_au/Documents/Documents/Tasks/IVI/Briefs%20&amp;%20ad%20hoc%20requests/LMUs/2024/LMU%20Mar%2024%20IVI%20contribution/NLD%20LMU%20March%2023%20chart%20dat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MP.application.enet\50038325\LMM%20Branch\Cross-team%20tasks\Quarterly%20Labour%20Market%20Update\1.%20March%20Quarter\2.%202024%20Edition\All%20teams%20input\LMU%20-%20Mar%202024%20graph%20and%20data%20file%20ERSA%20-%20updated%202304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MP.application.enet\50038325\LMM%20Branch\ERSA\6.%20Briefings%20and%20Requests\2024\Labour%20Market%20Updates\LMU%20-%20March%20Quarter%202024%20edition\LMU%20-%20Mar%202024%20graph%20and%20data%20file%20ERSA%20-%20updated%2017042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MP.application.enet\50038325\LMM%20Branch\Cross-team%20tasks\Quarterly%20Labour%20Market%20Update\1.%20March%20Quarter\2.%202024%20Edition\All%20teams%20input\Detailed%20brief%20working%20(Editor%20alt-text%20added).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EMP.application.enet\50038325\LMM%20Branch\ERSA\6.%20Briefings%20and%20Requests\2024\Labour%20Market%20Updates\LMU%20-%20March%20Quarter%202024%20edition\LMU%20-%20Mar%202024%20graph%20and%20data%20file%20ERSA%20-%20updated%2017042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EMP.application.enet\50038325\LMM%20Branch\ERSA\6.%20Briefings%20and%20Requests\2024\Labour%20Market%20Updates\LMU%20-%20March%20Quarter%202024%20edition\LMU%20-%20Mar%202024%20graph%20and%20data%20file%20ERSA%20-%20updated%2017042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EMP.application.enet\50038325\LMM%20Branch\ERSA\6.%20Briefings%20and%20Requests\2024\Labour%20Market%20Updates\LMU%20-%20March%20Quarter%202024%20edition\LMU%20-%20Mar%202024%20graph%20and%20data%20file%20ERSA%20-%20updated%2017042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EMP.application.enet\50038325\LMM%20Branch\ERSA\6.%20Briefings%20and%20Requests\2024\Labour%20Market%20Updates\LMU%20-%20March%20Quarter%202024%20edition\LMU%20-%20Mar%202024%20graph%20and%20data%20file%20ERSA%20-%20updated%2017042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ACCESS.application.enet\SPECIAL$\NSC%20-%20LMAAS\General%20work\Quarterly%20Labour%20Market%20Update\March%20quarter%202024\Chart%20and%20table%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CCESS.application.enet\SPECIAL$\NSC%20-%20LMAAS\General%20work\Quarterly%20Labour%20Market%20Update\March%20quarter%202024\Chart%20and%20table%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MP.application.enet\50038325\LMM%20Branch\Cross-team%20tasks\Quarterly%20Labour%20Market%20Update\1.%20March%20Quarter\2.%202024%20Edition\All%20teams%20input\LMU%20-%20Mar%202024%20graph%20and%20data%20file%20ERSA%20-%20updated%202304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haredservicescentre-my.sharepoint.com/personal/christopher_mcloughlin_jobsandskills_gov_au/Documents/Documents/Tasks/IVI/Briefs%20&amp;%20ad%20hoc%20requests/LMUs/2024/LMU%20Mar%2024%20IVI%20contribution/NLD%20LMU%20March%2023%20chart%20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haredservicescentre-my.sharepoint.com/personal/christopher_mcloughlin_jobsandskills_gov_au/Documents/Documents/Tasks/IVI/Briefs%20&amp;%20ad%20hoc%20requests/LMUs/2024/LMU%20Mar%2024%20IVI%20contribution/NLD%20LMU%20March%2023%20chart%20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MP.application.enet\50038325\LMAA%20Branch\Workforce%20Analysis\01.%20Skill%20Shortage%20Research\2023-24\06.%20Projects\LMUs\Q4%20LMU%20Jun%202024%20(Mar%20data%20update)\Claudine%20Working%20file_TB_CHECKING%20v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MP.application.enet\50038325\LMAA%20Branch\Workforce%20Analysis\01.%20Skill%20Shortage%20Research\2023-24\06.%20Projects\LMUs\Q4%20LMU%20Jun%202024%20(Mar%20data%20update)\Data\LMU%20Jun%202024_Claudine_TB_AW_CheckE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MP.application.enet\50038325\LMM%20Branch\ERSA\6.%20Briefings%20and%20Requests\2024\Labour%20Market%20Updates\LMU%20-%20March%20Quarter%202024%20edition\LMU%20-%20Mar%202024%20graph%20and%20data%20file%20ERSA%20-%20TO%20BE%20UPDATE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1'!$B$4</c:f>
              <c:strCache>
                <c:ptCount val="1"/>
                <c:pt idx="0">
                  <c:v>Annual change in employment (%)</c:v>
                </c:pt>
              </c:strCache>
            </c:strRef>
          </c:tx>
          <c:spPr>
            <a:solidFill>
              <a:schemeClr val="accent1"/>
            </a:solidFill>
            <a:ln>
              <a:noFill/>
            </a:ln>
            <a:effectLst/>
          </c:spPr>
          <c:invertIfNegative val="0"/>
          <c:cat>
            <c:numRef>
              <c:f>'Figure 1'!$A$5:$A$65</c:f>
              <c:numCache>
                <c:formatCode>mmm\-yy</c:formatCode>
                <c:ptCount val="61"/>
                <c:pt idx="0">
                  <c:v>43525</c:v>
                </c:pt>
                <c:pt idx="1">
                  <c:v>43556</c:v>
                </c:pt>
                <c:pt idx="2">
                  <c:v>43586</c:v>
                </c:pt>
                <c:pt idx="3">
                  <c:v>43617</c:v>
                </c:pt>
                <c:pt idx="4">
                  <c:v>43647</c:v>
                </c:pt>
                <c:pt idx="5">
                  <c:v>43678</c:v>
                </c:pt>
                <c:pt idx="6">
                  <c:v>43709</c:v>
                </c:pt>
                <c:pt idx="7">
                  <c:v>43739</c:v>
                </c:pt>
                <c:pt idx="8">
                  <c:v>43770</c:v>
                </c:pt>
                <c:pt idx="9">
                  <c:v>43800</c:v>
                </c:pt>
                <c:pt idx="10">
                  <c:v>43831</c:v>
                </c:pt>
                <c:pt idx="11">
                  <c:v>43862</c:v>
                </c:pt>
                <c:pt idx="12">
                  <c:v>43891</c:v>
                </c:pt>
                <c:pt idx="13">
                  <c:v>43922</c:v>
                </c:pt>
                <c:pt idx="14">
                  <c:v>43952</c:v>
                </c:pt>
                <c:pt idx="15">
                  <c:v>43983</c:v>
                </c:pt>
                <c:pt idx="16">
                  <c:v>44013</c:v>
                </c:pt>
                <c:pt idx="17">
                  <c:v>44044</c:v>
                </c:pt>
                <c:pt idx="18">
                  <c:v>44075</c:v>
                </c:pt>
                <c:pt idx="19">
                  <c:v>44105</c:v>
                </c:pt>
                <c:pt idx="20">
                  <c:v>44136</c:v>
                </c:pt>
                <c:pt idx="21">
                  <c:v>44166</c:v>
                </c:pt>
                <c:pt idx="22">
                  <c:v>44197</c:v>
                </c:pt>
                <c:pt idx="23">
                  <c:v>44228</c:v>
                </c:pt>
                <c:pt idx="24">
                  <c:v>44256</c:v>
                </c:pt>
                <c:pt idx="25">
                  <c:v>44287</c:v>
                </c:pt>
                <c:pt idx="26">
                  <c:v>44317</c:v>
                </c:pt>
                <c:pt idx="27">
                  <c:v>44348</c:v>
                </c:pt>
                <c:pt idx="28">
                  <c:v>44378</c:v>
                </c:pt>
                <c:pt idx="29">
                  <c:v>44409</c:v>
                </c:pt>
                <c:pt idx="30">
                  <c:v>44440</c:v>
                </c:pt>
                <c:pt idx="31">
                  <c:v>44470</c:v>
                </c:pt>
                <c:pt idx="32">
                  <c:v>44501</c:v>
                </c:pt>
                <c:pt idx="33">
                  <c:v>44531</c:v>
                </c:pt>
                <c:pt idx="34">
                  <c:v>44562</c:v>
                </c:pt>
                <c:pt idx="35">
                  <c:v>44593</c:v>
                </c:pt>
                <c:pt idx="36">
                  <c:v>44621</c:v>
                </c:pt>
                <c:pt idx="37">
                  <c:v>44652</c:v>
                </c:pt>
                <c:pt idx="38">
                  <c:v>44682</c:v>
                </c:pt>
                <c:pt idx="39">
                  <c:v>44713</c:v>
                </c:pt>
                <c:pt idx="40">
                  <c:v>44743</c:v>
                </c:pt>
                <c:pt idx="41">
                  <c:v>44774</c:v>
                </c:pt>
                <c:pt idx="42">
                  <c:v>44805</c:v>
                </c:pt>
                <c:pt idx="43">
                  <c:v>44835</c:v>
                </c:pt>
                <c:pt idx="44">
                  <c:v>44866</c:v>
                </c:pt>
                <c:pt idx="45">
                  <c:v>44896</c:v>
                </c:pt>
                <c:pt idx="46">
                  <c:v>44927</c:v>
                </c:pt>
                <c:pt idx="47">
                  <c:v>44958</c:v>
                </c:pt>
                <c:pt idx="48">
                  <c:v>44986</c:v>
                </c:pt>
                <c:pt idx="49">
                  <c:v>45017</c:v>
                </c:pt>
                <c:pt idx="50">
                  <c:v>45047</c:v>
                </c:pt>
                <c:pt idx="51">
                  <c:v>45078</c:v>
                </c:pt>
                <c:pt idx="52">
                  <c:v>45108</c:v>
                </c:pt>
                <c:pt idx="53">
                  <c:v>45139</c:v>
                </c:pt>
                <c:pt idx="54">
                  <c:v>45170</c:v>
                </c:pt>
                <c:pt idx="55">
                  <c:v>45200</c:v>
                </c:pt>
                <c:pt idx="56">
                  <c:v>45231</c:v>
                </c:pt>
                <c:pt idx="57">
                  <c:v>45261</c:v>
                </c:pt>
                <c:pt idx="58">
                  <c:v>45292</c:v>
                </c:pt>
                <c:pt idx="59">
                  <c:v>45323</c:v>
                </c:pt>
                <c:pt idx="60">
                  <c:v>45352</c:v>
                </c:pt>
              </c:numCache>
            </c:numRef>
          </c:cat>
          <c:val>
            <c:numRef>
              <c:f>'Figure 1'!$B$5:$B$65</c:f>
              <c:numCache>
                <c:formatCode>0%</c:formatCode>
                <c:ptCount val="61"/>
                <c:pt idx="0">
                  <c:v>2.4487650982868855E-2</c:v>
                </c:pt>
                <c:pt idx="1">
                  <c:v>2.5850279611687229E-2</c:v>
                </c:pt>
                <c:pt idx="2">
                  <c:v>2.7163488717677355E-2</c:v>
                </c:pt>
                <c:pt idx="3">
                  <c:v>2.2488566825441456E-2</c:v>
                </c:pt>
                <c:pt idx="4">
                  <c:v>2.5070259662212373E-2</c:v>
                </c:pt>
                <c:pt idx="5">
                  <c:v>2.3567127344902555E-2</c:v>
                </c:pt>
                <c:pt idx="6">
                  <c:v>2.3924208403423367E-2</c:v>
                </c:pt>
                <c:pt idx="7">
                  <c:v>1.8070007807266138E-2</c:v>
                </c:pt>
                <c:pt idx="8">
                  <c:v>1.832457664029602E-2</c:v>
                </c:pt>
                <c:pt idx="9">
                  <c:v>1.9995910881850359E-2</c:v>
                </c:pt>
                <c:pt idx="10">
                  <c:v>1.7145530394768595E-2</c:v>
                </c:pt>
                <c:pt idx="11">
                  <c:v>1.6102795230136711E-2</c:v>
                </c:pt>
                <c:pt idx="12">
                  <c:v>1.392440104533086E-2</c:v>
                </c:pt>
                <c:pt idx="13">
                  <c:v>-3.4446309315516239E-2</c:v>
                </c:pt>
                <c:pt idx="14">
                  <c:v>-5.7930009142223432E-2</c:v>
                </c:pt>
                <c:pt idx="15">
                  <c:v>-4.0944988501182583E-2</c:v>
                </c:pt>
                <c:pt idx="16">
                  <c:v>-3.277259968615176E-2</c:v>
                </c:pt>
                <c:pt idx="17">
                  <c:v>-2.577617375255584E-2</c:v>
                </c:pt>
                <c:pt idx="18">
                  <c:v>-2.9722575015625512E-2</c:v>
                </c:pt>
                <c:pt idx="19">
                  <c:v>-1.5249880862180912E-2</c:v>
                </c:pt>
                <c:pt idx="20">
                  <c:v>-1.0103396045197994E-2</c:v>
                </c:pt>
                <c:pt idx="21">
                  <c:v>-9.8013880240737025E-3</c:v>
                </c:pt>
                <c:pt idx="22">
                  <c:v>-7.7057256595355703E-3</c:v>
                </c:pt>
                <c:pt idx="23">
                  <c:v>-3.0038985735490287E-3</c:v>
                </c:pt>
                <c:pt idx="24">
                  <c:v>2.3597438567889962E-3</c:v>
                </c:pt>
                <c:pt idx="25">
                  <c:v>4.8648717657248514E-2</c:v>
                </c:pt>
                <c:pt idx="26">
                  <c:v>8.1759992474867885E-2</c:v>
                </c:pt>
                <c:pt idx="27">
                  <c:v>6.3523074432966689E-2</c:v>
                </c:pt>
                <c:pt idx="28">
                  <c:v>5.3904247462793466E-2</c:v>
                </c:pt>
                <c:pt idx="29">
                  <c:v>3.1595902114270789E-2</c:v>
                </c:pt>
                <c:pt idx="30">
                  <c:v>2.4521236953790389E-2</c:v>
                </c:pt>
                <c:pt idx="31">
                  <c:v>9.3700422795198312E-3</c:v>
                </c:pt>
                <c:pt idx="32">
                  <c:v>3.143915893738173E-2</c:v>
                </c:pt>
                <c:pt idx="33">
                  <c:v>3.4022487548391656E-2</c:v>
                </c:pt>
                <c:pt idx="34">
                  <c:v>3.4636699339099332E-2</c:v>
                </c:pt>
                <c:pt idx="35">
                  <c:v>3.7273245099827115E-2</c:v>
                </c:pt>
                <c:pt idx="36">
                  <c:v>3.368089356722094E-2</c:v>
                </c:pt>
                <c:pt idx="37">
                  <c:v>3.8523456649871529E-2</c:v>
                </c:pt>
                <c:pt idx="38">
                  <c:v>3.4071518875633588E-2</c:v>
                </c:pt>
                <c:pt idx="39">
                  <c:v>3.9819615176676683E-2</c:v>
                </c:pt>
                <c:pt idx="40">
                  <c:v>3.8599092140764402E-2</c:v>
                </c:pt>
                <c:pt idx="41">
                  <c:v>5.4311872845261636E-2</c:v>
                </c:pt>
                <c:pt idx="42">
                  <c:v>6.5547456009778723E-2</c:v>
                </c:pt>
                <c:pt idx="43">
                  <c:v>7.2642915466574726E-2</c:v>
                </c:pt>
                <c:pt idx="44">
                  <c:v>4.7978419476184087E-2</c:v>
                </c:pt>
                <c:pt idx="45">
                  <c:v>4.0565590268184855E-2</c:v>
                </c:pt>
                <c:pt idx="46">
                  <c:v>3.7670930504560045E-2</c:v>
                </c:pt>
                <c:pt idx="47">
                  <c:v>3.4431701970908973E-2</c:v>
                </c:pt>
                <c:pt idx="48">
                  <c:v>3.9675447511367784E-2</c:v>
                </c:pt>
                <c:pt idx="49">
                  <c:v>3.4756671111696356E-2</c:v>
                </c:pt>
                <c:pt idx="50">
                  <c:v>3.8251447418927886E-2</c:v>
                </c:pt>
                <c:pt idx="51">
                  <c:v>3.2029208095372172E-2</c:v>
                </c:pt>
                <c:pt idx="52">
                  <c:v>3.1487192566765194E-2</c:v>
                </c:pt>
                <c:pt idx="53">
                  <c:v>3.1005473555192613E-2</c:v>
                </c:pt>
                <c:pt idx="54">
                  <c:v>3.0530651006067056E-2</c:v>
                </c:pt>
                <c:pt idx="55">
                  <c:v>3.1751926531486195E-2</c:v>
                </c:pt>
                <c:pt idx="56">
                  <c:v>3.0414134381919342E-2</c:v>
                </c:pt>
                <c:pt idx="57">
                  <c:v>2.6996244776136099E-2</c:v>
                </c:pt>
                <c:pt idx="58">
                  <c:v>2.6149586345243447E-2</c:v>
                </c:pt>
                <c:pt idx="59">
                  <c:v>3.1540083833564998E-2</c:v>
                </c:pt>
                <c:pt idx="60">
                  <c:v>2.41998602489252E-2</c:v>
                </c:pt>
              </c:numCache>
            </c:numRef>
          </c:val>
          <c:extLst>
            <c:ext xmlns:c16="http://schemas.microsoft.com/office/drawing/2014/chart" uri="{C3380CC4-5D6E-409C-BE32-E72D297353CC}">
              <c16:uniqueId val="{00000000-4237-40E0-9AA7-76544954D340}"/>
            </c:ext>
          </c:extLst>
        </c:ser>
        <c:dLbls>
          <c:showLegendKey val="0"/>
          <c:showVal val="0"/>
          <c:showCatName val="0"/>
          <c:showSerName val="0"/>
          <c:showPercent val="0"/>
          <c:showBubbleSize val="0"/>
        </c:dLbls>
        <c:gapWidth val="219"/>
        <c:overlap val="-27"/>
        <c:axId val="1932666672"/>
        <c:axId val="1654456912"/>
      </c:barChart>
      <c:lineChart>
        <c:grouping val="standard"/>
        <c:varyColors val="0"/>
        <c:ser>
          <c:idx val="1"/>
          <c:order val="1"/>
          <c:tx>
            <c:strRef>
              <c:f>'Figure 1'!$C$4</c:f>
              <c:strCache>
                <c:ptCount val="1"/>
                <c:pt idx="0">
                  <c:v>Annual change in aggregate hours worked (%)</c:v>
                </c:pt>
              </c:strCache>
            </c:strRef>
          </c:tx>
          <c:spPr>
            <a:ln w="28575" cap="rnd">
              <a:solidFill>
                <a:schemeClr val="accent2"/>
              </a:solidFill>
              <a:round/>
            </a:ln>
            <a:effectLst/>
          </c:spPr>
          <c:marker>
            <c:symbol val="none"/>
          </c:marker>
          <c:cat>
            <c:numRef>
              <c:f>'Figure 1'!$A$5:$A$65</c:f>
              <c:numCache>
                <c:formatCode>mmm\-yy</c:formatCode>
                <c:ptCount val="61"/>
                <c:pt idx="0">
                  <c:v>43525</c:v>
                </c:pt>
                <c:pt idx="1">
                  <c:v>43556</c:v>
                </c:pt>
                <c:pt idx="2">
                  <c:v>43586</c:v>
                </c:pt>
                <c:pt idx="3">
                  <c:v>43617</c:v>
                </c:pt>
                <c:pt idx="4">
                  <c:v>43647</c:v>
                </c:pt>
                <c:pt idx="5">
                  <c:v>43678</c:v>
                </c:pt>
                <c:pt idx="6">
                  <c:v>43709</c:v>
                </c:pt>
                <c:pt idx="7">
                  <c:v>43739</c:v>
                </c:pt>
                <c:pt idx="8">
                  <c:v>43770</c:v>
                </c:pt>
                <c:pt idx="9">
                  <c:v>43800</c:v>
                </c:pt>
                <c:pt idx="10">
                  <c:v>43831</c:v>
                </c:pt>
                <c:pt idx="11">
                  <c:v>43862</c:v>
                </c:pt>
                <c:pt idx="12">
                  <c:v>43891</c:v>
                </c:pt>
                <c:pt idx="13">
                  <c:v>43922</c:v>
                </c:pt>
                <c:pt idx="14">
                  <c:v>43952</c:v>
                </c:pt>
                <c:pt idx="15">
                  <c:v>43983</c:v>
                </c:pt>
                <c:pt idx="16">
                  <c:v>44013</c:v>
                </c:pt>
                <c:pt idx="17">
                  <c:v>44044</c:v>
                </c:pt>
                <c:pt idx="18">
                  <c:v>44075</c:v>
                </c:pt>
                <c:pt idx="19">
                  <c:v>44105</c:v>
                </c:pt>
                <c:pt idx="20">
                  <c:v>44136</c:v>
                </c:pt>
                <c:pt idx="21">
                  <c:v>44166</c:v>
                </c:pt>
                <c:pt idx="22">
                  <c:v>44197</c:v>
                </c:pt>
                <c:pt idx="23">
                  <c:v>44228</c:v>
                </c:pt>
                <c:pt idx="24">
                  <c:v>44256</c:v>
                </c:pt>
                <c:pt idx="25">
                  <c:v>44287</c:v>
                </c:pt>
                <c:pt idx="26">
                  <c:v>44317</c:v>
                </c:pt>
                <c:pt idx="27">
                  <c:v>44348</c:v>
                </c:pt>
                <c:pt idx="28">
                  <c:v>44378</c:v>
                </c:pt>
                <c:pt idx="29">
                  <c:v>44409</c:v>
                </c:pt>
                <c:pt idx="30">
                  <c:v>44440</c:v>
                </c:pt>
                <c:pt idx="31">
                  <c:v>44470</c:v>
                </c:pt>
                <c:pt idx="32">
                  <c:v>44501</c:v>
                </c:pt>
                <c:pt idx="33">
                  <c:v>44531</c:v>
                </c:pt>
                <c:pt idx="34">
                  <c:v>44562</c:v>
                </c:pt>
                <c:pt idx="35">
                  <c:v>44593</c:v>
                </c:pt>
                <c:pt idx="36">
                  <c:v>44621</c:v>
                </c:pt>
                <c:pt idx="37">
                  <c:v>44652</c:v>
                </c:pt>
                <c:pt idx="38">
                  <c:v>44682</c:v>
                </c:pt>
                <c:pt idx="39">
                  <c:v>44713</c:v>
                </c:pt>
                <c:pt idx="40">
                  <c:v>44743</c:v>
                </c:pt>
                <c:pt idx="41">
                  <c:v>44774</c:v>
                </c:pt>
                <c:pt idx="42">
                  <c:v>44805</c:v>
                </c:pt>
                <c:pt idx="43">
                  <c:v>44835</c:v>
                </c:pt>
                <c:pt idx="44">
                  <c:v>44866</c:v>
                </c:pt>
                <c:pt idx="45">
                  <c:v>44896</c:v>
                </c:pt>
                <c:pt idx="46">
                  <c:v>44927</c:v>
                </c:pt>
                <c:pt idx="47">
                  <c:v>44958</c:v>
                </c:pt>
                <c:pt idx="48">
                  <c:v>44986</c:v>
                </c:pt>
                <c:pt idx="49">
                  <c:v>45017</c:v>
                </c:pt>
                <c:pt idx="50">
                  <c:v>45047</c:v>
                </c:pt>
                <c:pt idx="51">
                  <c:v>45078</c:v>
                </c:pt>
                <c:pt idx="52">
                  <c:v>45108</c:v>
                </c:pt>
                <c:pt idx="53">
                  <c:v>45139</c:v>
                </c:pt>
                <c:pt idx="54">
                  <c:v>45170</c:v>
                </c:pt>
                <c:pt idx="55">
                  <c:v>45200</c:v>
                </c:pt>
                <c:pt idx="56">
                  <c:v>45231</c:v>
                </c:pt>
                <c:pt idx="57">
                  <c:v>45261</c:v>
                </c:pt>
                <c:pt idx="58">
                  <c:v>45292</c:v>
                </c:pt>
                <c:pt idx="59">
                  <c:v>45323</c:v>
                </c:pt>
                <c:pt idx="60">
                  <c:v>45352</c:v>
                </c:pt>
              </c:numCache>
            </c:numRef>
          </c:cat>
          <c:val>
            <c:numRef>
              <c:f>'Figure 1'!$C$5:$C$65</c:f>
              <c:numCache>
                <c:formatCode>0%</c:formatCode>
                <c:ptCount val="61"/>
                <c:pt idx="0">
                  <c:v>3.236990865294706E-2</c:v>
                </c:pt>
                <c:pt idx="1">
                  <c:v>1.8525792693349027E-2</c:v>
                </c:pt>
                <c:pt idx="2">
                  <c:v>2.1270431363600233E-2</c:v>
                </c:pt>
                <c:pt idx="3">
                  <c:v>1.6865209692361379E-2</c:v>
                </c:pt>
                <c:pt idx="4">
                  <c:v>1.8963438681560023E-2</c:v>
                </c:pt>
                <c:pt idx="5">
                  <c:v>1.9651162135143601E-2</c:v>
                </c:pt>
                <c:pt idx="6">
                  <c:v>1.8429918313023336E-2</c:v>
                </c:pt>
                <c:pt idx="7">
                  <c:v>1.3368986587310365E-2</c:v>
                </c:pt>
                <c:pt idx="8">
                  <c:v>1.1875936763044524E-2</c:v>
                </c:pt>
                <c:pt idx="9">
                  <c:v>1.9866561123103015E-2</c:v>
                </c:pt>
                <c:pt idx="10">
                  <c:v>8.6726436688799348E-3</c:v>
                </c:pt>
                <c:pt idx="11">
                  <c:v>-5.3507580804853096E-4</c:v>
                </c:pt>
                <c:pt idx="12">
                  <c:v>-8.7668607481457515E-3</c:v>
                </c:pt>
                <c:pt idx="13">
                  <c:v>-0.10462577509288948</c:v>
                </c:pt>
                <c:pt idx="14">
                  <c:v>-9.3964561642710762E-2</c:v>
                </c:pt>
                <c:pt idx="15">
                  <c:v>-5.9994709634985148E-2</c:v>
                </c:pt>
                <c:pt idx="16">
                  <c:v>-5.0478183120965539E-2</c:v>
                </c:pt>
                <c:pt idx="17">
                  <c:v>-5.0552721374384782E-2</c:v>
                </c:pt>
                <c:pt idx="18">
                  <c:v>-5.1073197334202035E-2</c:v>
                </c:pt>
                <c:pt idx="19">
                  <c:v>-3.6393034970260169E-2</c:v>
                </c:pt>
                <c:pt idx="20">
                  <c:v>-1.3941382400343517E-2</c:v>
                </c:pt>
                <c:pt idx="21">
                  <c:v>-1.7413927148717076E-2</c:v>
                </c:pt>
                <c:pt idx="22">
                  <c:v>-5.1939751837367112E-2</c:v>
                </c:pt>
                <c:pt idx="23">
                  <c:v>-3.621208270602189E-3</c:v>
                </c:pt>
                <c:pt idx="24">
                  <c:v>1.9625544308342423E-2</c:v>
                </c:pt>
                <c:pt idx="25">
                  <c:v>0.1184936714598758</c:v>
                </c:pt>
                <c:pt idx="26">
                  <c:v>0.12739069245117901</c:v>
                </c:pt>
                <c:pt idx="27">
                  <c:v>6.8564661295724333E-2</c:v>
                </c:pt>
                <c:pt idx="28">
                  <c:v>5.4505871558755963E-2</c:v>
                </c:pt>
                <c:pt idx="29">
                  <c:v>1.082095771895253E-2</c:v>
                </c:pt>
                <c:pt idx="30">
                  <c:v>2.3138518909637959E-2</c:v>
                </c:pt>
                <c:pt idx="31">
                  <c:v>9.4881887677959117E-3</c:v>
                </c:pt>
                <c:pt idx="32">
                  <c:v>2.9246664198292343E-2</c:v>
                </c:pt>
                <c:pt idx="33">
                  <c:v>4.3107934639381632E-2</c:v>
                </c:pt>
                <c:pt idx="34">
                  <c:v>7.8151303045630258E-3</c:v>
                </c:pt>
                <c:pt idx="35">
                  <c:v>3.4025421014627605E-2</c:v>
                </c:pt>
                <c:pt idx="36">
                  <c:v>6.0314583133202161E-3</c:v>
                </c:pt>
                <c:pt idx="37">
                  <c:v>3.0553048368838254E-2</c:v>
                </c:pt>
                <c:pt idx="38">
                  <c:v>2.3486273876861839E-2</c:v>
                </c:pt>
                <c:pt idx="39">
                  <c:v>4.3635418374519577E-2</c:v>
                </c:pt>
                <c:pt idx="40">
                  <c:v>4.2131376355449508E-2</c:v>
                </c:pt>
                <c:pt idx="41">
                  <c:v>9.7111503319767437E-2</c:v>
                </c:pt>
                <c:pt idx="42">
                  <c:v>8.5696792029439375E-2</c:v>
                </c:pt>
                <c:pt idx="43">
                  <c:v>0.10057011796727439</c:v>
                </c:pt>
                <c:pt idx="44">
                  <c:v>5.9967996151506817E-2</c:v>
                </c:pt>
                <c:pt idx="45">
                  <c:v>4.1035517502040812E-2</c:v>
                </c:pt>
                <c:pt idx="46">
                  <c:v>0.10384255111121789</c:v>
                </c:pt>
                <c:pt idx="47">
                  <c:v>5.7527104376837307E-2</c:v>
                </c:pt>
                <c:pt idx="48">
                  <c:v>6.4741569837581212E-2</c:v>
                </c:pt>
                <c:pt idx="49">
                  <c:v>8.4632129684167043E-2</c:v>
                </c:pt>
                <c:pt idx="50">
                  <c:v>5.044512162409482E-2</c:v>
                </c:pt>
                <c:pt idx="51">
                  <c:v>4.8584435241337147E-2</c:v>
                </c:pt>
                <c:pt idx="52">
                  <c:v>5.3081855079963464E-2</c:v>
                </c:pt>
                <c:pt idx="53">
                  <c:v>3.4811577102518788E-2</c:v>
                </c:pt>
                <c:pt idx="54">
                  <c:v>2.9604179281168243E-2</c:v>
                </c:pt>
                <c:pt idx="55">
                  <c:v>1.6913319932325779E-2</c:v>
                </c:pt>
                <c:pt idx="56">
                  <c:v>1.3695357113226878E-2</c:v>
                </c:pt>
                <c:pt idx="57">
                  <c:v>1.1620217394976906E-2</c:v>
                </c:pt>
                <c:pt idx="58">
                  <c:v>7.923682897433483E-3</c:v>
                </c:pt>
                <c:pt idx="59">
                  <c:v>8.4332446528054845E-3</c:v>
                </c:pt>
                <c:pt idx="60">
                  <c:v>1.7441768255223467E-2</c:v>
                </c:pt>
              </c:numCache>
            </c:numRef>
          </c:val>
          <c:smooth val="0"/>
          <c:extLst>
            <c:ext xmlns:c16="http://schemas.microsoft.com/office/drawing/2014/chart" uri="{C3380CC4-5D6E-409C-BE32-E72D297353CC}">
              <c16:uniqueId val="{00000001-4237-40E0-9AA7-76544954D340}"/>
            </c:ext>
          </c:extLst>
        </c:ser>
        <c:dLbls>
          <c:showLegendKey val="0"/>
          <c:showVal val="0"/>
          <c:showCatName val="0"/>
          <c:showSerName val="0"/>
          <c:showPercent val="0"/>
          <c:showBubbleSize val="0"/>
        </c:dLbls>
        <c:marker val="1"/>
        <c:smooth val="0"/>
        <c:axId val="1932666672"/>
        <c:axId val="1654456912"/>
      </c:lineChart>
      <c:dateAx>
        <c:axId val="1932666672"/>
        <c:scaling>
          <c:orientation val="minMax"/>
        </c:scaling>
        <c:delete val="0"/>
        <c:axPos val="b"/>
        <c:numFmt formatCode="mmm\-yy"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4456912"/>
        <c:crosses val="autoZero"/>
        <c:auto val="1"/>
        <c:lblOffset val="100"/>
        <c:baseTimeUnit val="months"/>
        <c:majorUnit val="3"/>
        <c:majorTimeUnit val="months"/>
      </c:dateAx>
      <c:valAx>
        <c:axId val="1654456912"/>
        <c:scaling>
          <c:orientation val="minMax"/>
        </c:scaling>
        <c:delete val="0"/>
        <c:axPos val="l"/>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3266667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'I:\LMM Branch\ERSA\6. Briefings and Requests\2024\LMU - Dec 23 edition\Data files\[Quarterly chart builder1 Dec Quarter 2023.xlsx]Output - State data'!$E$21</c:f>
              <c:strCache>
                <c:ptCount val="1"/>
                <c:pt idx="0">
                  <c:v>Mar qtr 2023</c:v>
                </c:pt>
              </c:strCache>
            </c:strRef>
          </c:tx>
          <c:spPr>
            <a:solidFill>
              <a:schemeClr val="accent1"/>
            </a:solidFill>
            <a:ln>
              <a:noFill/>
            </a:ln>
            <a:effectLst/>
          </c:spPr>
          <c:invertIfNegative val="0"/>
          <c:dLbls>
            <c:dLbl>
              <c:idx val="0"/>
              <c:layout>
                <c:manualLayout>
                  <c:x val="-4.465780953444254E-3"/>
                  <c:y val="9.03546419697309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DC-414E-9F87-7F1692808B3F}"/>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10'!$A$8:$A$13</c:f>
              <c:strCache>
                <c:ptCount val="6"/>
                <c:pt idx="0">
                  <c:v>New South Wales</c:v>
                </c:pt>
                <c:pt idx="1">
                  <c:v>Victoria</c:v>
                </c:pt>
                <c:pt idx="2">
                  <c:v>Queensland</c:v>
                </c:pt>
                <c:pt idx="3">
                  <c:v>South Australia</c:v>
                </c:pt>
                <c:pt idx="4">
                  <c:v>Western Australia</c:v>
                </c:pt>
                <c:pt idx="5">
                  <c:v>Tasmania*</c:v>
                </c:pt>
              </c:strCache>
            </c:strRef>
          </c:cat>
          <c:val>
            <c:numRef>
              <c:f>'[1]Output - State data'!$E$36:$E$41</c:f>
              <c:numCache>
                <c:formatCode>General</c:formatCode>
                <c:ptCount val="6"/>
                <c:pt idx="0">
                  <c:v>0.59</c:v>
                </c:pt>
                <c:pt idx="1">
                  <c:v>0.65</c:v>
                </c:pt>
                <c:pt idx="2">
                  <c:v>0.56999999999999995</c:v>
                </c:pt>
                <c:pt idx="3">
                  <c:v>0.64</c:v>
                </c:pt>
                <c:pt idx="4">
                  <c:v>0.73</c:v>
                </c:pt>
                <c:pt idx="5">
                  <c:v>0.59</c:v>
                </c:pt>
              </c:numCache>
            </c:numRef>
          </c:val>
          <c:extLst>
            <c:ext xmlns:c16="http://schemas.microsoft.com/office/drawing/2014/chart" uri="{C3380CC4-5D6E-409C-BE32-E72D297353CC}">
              <c16:uniqueId val="{00000001-CFDC-414E-9F87-7F1692808B3F}"/>
            </c:ext>
          </c:extLst>
        </c:ser>
        <c:ser>
          <c:idx val="2"/>
          <c:order val="1"/>
          <c:tx>
            <c:strRef>
              <c:f>'I:\LMM Branch\ERSA\6. Briefings and Requests\2024\LMU - Dec 23 edition\Data files\[Quarterly chart builder1 Dec Quarter 2023.xlsx]Output - State data'!$F$21</c:f>
              <c:strCache>
                <c:ptCount val="1"/>
                <c:pt idx="0">
                  <c:v>June qtr 2023</c:v>
                </c:pt>
              </c:strCache>
            </c:strRef>
          </c:tx>
          <c:spPr>
            <a:solidFill>
              <a:schemeClr val="accent2"/>
            </a:solidFill>
            <a:ln>
              <a:noFill/>
            </a:ln>
            <a:effectLst/>
          </c:spPr>
          <c:invertIfNegative val="0"/>
          <c:cat>
            <c:strRef>
              <c:f>'Figure 10'!$A$8:$A$13</c:f>
              <c:strCache>
                <c:ptCount val="6"/>
                <c:pt idx="0">
                  <c:v>New South Wales</c:v>
                </c:pt>
                <c:pt idx="1">
                  <c:v>Victoria</c:v>
                </c:pt>
                <c:pt idx="2">
                  <c:v>Queensland</c:v>
                </c:pt>
                <c:pt idx="3">
                  <c:v>South Australia</c:v>
                </c:pt>
                <c:pt idx="4">
                  <c:v>Western Australia</c:v>
                </c:pt>
                <c:pt idx="5">
                  <c:v>Tasmania*</c:v>
                </c:pt>
              </c:strCache>
            </c:strRef>
          </c:cat>
          <c:val>
            <c:numRef>
              <c:f>'[1]Output - State data'!$F$36:$F$41</c:f>
              <c:numCache>
                <c:formatCode>General</c:formatCode>
                <c:ptCount val="6"/>
                <c:pt idx="0">
                  <c:v>0.65</c:v>
                </c:pt>
                <c:pt idx="1">
                  <c:v>0.67</c:v>
                </c:pt>
                <c:pt idx="2">
                  <c:v>0.61</c:v>
                </c:pt>
                <c:pt idx="3">
                  <c:v>0.66</c:v>
                </c:pt>
                <c:pt idx="4">
                  <c:v>0.62</c:v>
                </c:pt>
                <c:pt idx="5">
                  <c:v>0.68</c:v>
                </c:pt>
              </c:numCache>
            </c:numRef>
          </c:val>
          <c:extLst>
            <c:ext xmlns:c16="http://schemas.microsoft.com/office/drawing/2014/chart" uri="{C3380CC4-5D6E-409C-BE32-E72D297353CC}">
              <c16:uniqueId val="{00000002-CFDC-414E-9F87-7F1692808B3F}"/>
            </c:ext>
          </c:extLst>
        </c:ser>
        <c:ser>
          <c:idx val="3"/>
          <c:order val="2"/>
          <c:tx>
            <c:strRef>
              <c:f>'I:\LMM Branch\ERSA\6. Briefings and Requests\2024\LMU - Dec 23 edition\Data files\[Quarterly chart builder1 Dec Quarter 2023.xlsx]Output - State data'!$G$21</c:f>
              <c:strCache>
                <c:ptCount val="1"/>
                <c:pt idx="0">
                  <c:v>Sept qtr 2023</c:v>
                </c:pt>
              </c:strCache>
            </c:strRef>
          </c:tx>
          <c:spPr>
            <a:solidFill>
              <a:schemeClr val="accent3"/>
            </a:solidFill>
            <a:ln>
              <a:noFill/>
            </a:ln>
            <a:effectLst/>
          </c:spPr>
          <c:invertIfNegative val="0"/>
          <c:cat>
            <c:strRef>
              <c:f>'Figure 10'!$A$8:$A$13</c:f>
              <c:strCache>
                <c:ptCount val="6"/>
                <c:pt idx="0">
                  <c:v>New South Wales</c:v>
                </c:pt>
                <c:pt idx="1">
                  <c:v>Victoria</c:v>
                </c:pt>
                <c:pt idx="2">
                  <c:v>Queensland</c:v>
                </c:pt>
                <c:pt idx="3">
                  <c:v>South Australia</c:v>
                </c:pt>
                <c:pt idx="4">
                  <c:v>Western Australia</c:v>
                </c:pt>
                <c:pt idx="5">
                  <c:v>Tasmania*</c:v>
                </c:pt>
              </c:strCache>
            </c:strRef>
          </c:cat>
          <c:val>
            <c:numRef>
              <c:f>'[1]Output - State data'!$G$36:$G$41</c:f>
              <c:numCache>
                <c:formatCode>General</c:formatCode>
                <c:ptCount val="6"/>
                <c:pt idx="0">
                  <c:v>0.6</c:v>
                </c:pt>
                <c:pt idx="1">
                  <c:v>0.62</c:v>
                </c:pt>
                <c:pt idx="2">
                  <c:v>0.62</c:v>
                </c:pt>
                <c:pt idx="3">
                  <c:v>0.6</c:v>
                </c:pt>
                <c:pt idx="4">
                  <c:v>0.51</c:v>
                </c:pt>
                <c:pt idx="5">
                  <c:v>0.46</c:v>
                </c:pt>
              </c:numCache>
            </c:numRef>
          </c:val>
          <c:extLst>
            <c:ext xmlns:c16="http://schemas.microsoft.com/office/drawing/2014/chart" uri="{C3380CC4-5D6E-409C-BE32-E72D297353CC}">
              <c16:uniqueId val="{00000003-CFDC-414E-9F87-7F1692808B3F}"/>
            </c:ext>
          </c:extLst>
        </c:ser>
        <c:ser>
          <c:idx val="4"/>
          <c:order val="3"/>
          <c:tx>
            <c:strRef>
              <c:f>'I:\LMM Branch\ERSA\6. Briefings and Requests\2024\LMU - Dec 23 edition\Data files\[Quarterly chart builder1 Dec Quarter 2023.xlsx]Output - State data'!$H$21</c:f>
              <c:strCache>
                <c:ptCount val="1"/>
                <c:pt idx="0">
                  <c:v>Dec qtr 2023</c:v>
                </c:pt>
              </c:strCache>
            </c:strRef>
          </c:tx>
          <c:spPr>
            <a:solidFill>
              <a:schemeClr val="accent4"/>
            </a:solidFill>
            <a:ln>
              <a:noFill/>
            </a:ln>
            <a:effectLst/>
          </c:spPr>
          <c:invertIfNegative val="0"/>
          <c:cat>
            <c:strRef>
              <c:f>'Figure 10'!$A$8:$A$13</c:f>
              <c:strCache>
                <c:ptCount val="6"/>
                <c:pt idx="0">
                  <c:v>New South Wales</c:v>
                </c:pt>
                <c:pt idx="1">
                  <c:v>Victoria</c:v>
                </c:pt>
                <c:pt idx="2">
                  <c:v>Queensland</c:v>
                </c:pt>
                <c:pt idx="3">
                  <c:v>South Australia</c:v>
                </c:pt>
                <c:pt idx="4">
                  <c:v>Western Australia</c:v>
                </c:pt>
                <c:pt idx="5">
                  <c:v>Tasmania*</c:v>
                </c:pt>
              </c:strCache>
            </c:strRef>
          </c:cat>
          <c:val>
            <c:numRef>
              <c:f>'[1]Output - State data'!$H$36:$H$41</c:f>
              <c:numCache>
                <c:formatCode>General</c:formatCode>
                <c:ptCount val="6"/>
                <c:pt idx="0">
                  <c:v>0.6</c:v>
                </c:pt>
                <c:pt idx="1">
                  <c:v>0.52</c:v>
                </c:pt>
                <c:pt idx="2">
                  <c:v>0.52</c:v>
                </c:pt>
                <c:pt idx="3">
                  <c:v>0.6</c:v>
                </c:pt>
                <c:pt idx="4">
                  <c:v>0.56999999999999995</c:v>
                </c:pt>
                <c:pt idx="5">
                  <c:v>0.43</c:v>
                </c:pt>
              </c:numCache>
            </c:numRef>
          </c:val>
          <c:extLst>
            <c:ext xmlns:c16="http://schemas.microsoft.com/office/drawing/2014/chart" uri="{C3380CC4-5D6E-409C-BE32-E72D297353CC}">
              <c16:uniqueId val="{00000004-CFDC-414E-9F87-7F1692808B3F}"/>
            </c:ext>
          </c:extLst>
        </c:ser>
        <c:ser>
          <c:idx val="0"/>
          <c:order val="4"/>
          <c:tx>
            <c:strRef>
              <c:f>'Figure 10'!$F$7</c:f>
              <c:strCache>
                <c:ptCount val="1"/>
                <c:pt idx="0">
                  <c:v>Mar qtr 2024</c:v>
                </c:pt>
              </c:strCache>
            </c:strRef>
          </c:tx>
          <c:spPr>
            <a:solidFill>
              <a:schemeClr val="accent5"/>
            </a:solidFill>
            <a:ln>
              <a:noFill/>
            </a:ln>
            <a:effectLst/>
          </c:spPr>
          <c:invertIfNegative val="0"/>
          <c:dLbls>
            <c:dLbl>
              <c:idx val="0"/>
              <c:layout>
                <c:manualLayout>
                  <c:x val="8.9315619068884664E-3"/>
                  <c:y val="-4.14120658404083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DC-414E-9F87-7F1692808B3F}"/>
                </c:ext>
              </c:extLst>
            </c:dLbl>
            <c:dLbl>
              <c:idx val="3"/>
              <c:layout>
                <c:manualLayout>
                  <c:x val="6.69867143016626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DC-414E-9F87-7F1692808B3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10'!$A$8:$A$13</c:f>
              <c:strCache>
                <c:ptCount val="6"/>
                <c:pt idx="0">
                  <c:v>New South Wales</c:v>
                </c:pt>
                <c:pt idx="1">
                  <c:v>Victoria</c:v>
                </c:pt>
                <c:pt idx="2">
                  <c:v>Queensland</c:v>
                </c:pt>
                <c:pt idx="3">
                  <c:v>South Australia</c:v>
                </c:pt>
                <c:pt idx="4">
                  <c:v>Western Australia</c:v>
                </c:pt>
                <c:pt idx="5">
                  <c:v>Tasmania*</c:v>
                </c:pt>
              </c:strCache>
            </c:strRef>
          </c:cat>
          <c:val>
            <c:numRef>
              <c:f>'Figure 10'!$F$8:$F$13</c:f>
              <c:numCache>
                <c:formatCode>0%</c:formatCode>
                <c:ptCount val="6"/>
                <c:pt idx="0">
                  <c:v>0.52</c:v>
                </c:pt>
                <c:pt idx="1">
                  <c:v>0.52</c:v>
                </c:pt>
                <c:pt idx="2">
                  <c:v>0.56000000000000005</c:v>
                </c:pt>
                <c:pt idx="3">
                  <c:v>0.51</c:v>
                </c:pt>
                <c:pt idx="4">
                  <c:v>0.54</c:v>
                </c:pt>
                <c:pt idx="5">
                  <c:v>0.51</c:v>
                </c:pt>
              </c:numCache>
            </c:numRef>
          </c:val>
          <c:extLst>
            <c:ext xmlns:c16="http://schemas.microsoft.com/office/drawing/2014/chart" uri="{C3380CC4-5D6E-409C-BE32-E72D297353CC}">
              <c16:uniqueId val="{00000007-CFDC-414E-9F87-7F1692808B3F}"/>
            </c:ext>
          </c:extLst>
        </c:ser>
        <c:dLbls>
          <c:showLegendKey val="0"/>
          <c:showVal val="0"/>
          <c:showCatName val="0"/>
          <c:showSerName val="0"/>
          <c:showPercent val="0"/>
          <c:showBubbleSize val="0"/>
        </c:dLbls>
        <c:gapWidth val="219"/>
        <c:overlap val="-27"/>
        <c:axId val="1065368751"/>
        <c:axId val="510140415"/>
      </c:barChart>
      <c:catAx>
        <c:axId val="1065368751"/>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10140415"/>
        <c:crosses val="autoZero"/>
        <c:auto val="1"/>
        <c:lblAlgn val="ctr"/>
        <c:lblOffset val="100"/>
        <c:noMultiLvlLbl val="0"/>
      </c:catAx>
      <c:valAx>
        <c:axId val="510140415"/>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Proportion of recruiting employers</a:t>
                </a:r>
              </a:p>
            </c:rich>
          </c:tx>
          <c:layout>
            <c:manualLayout>
              <c:xMode val="edge"/>
              <c:yMode val="edge"/>
              <c:x val="7.1027096557702528E-3"/>
              <c:y val="6.9285188723794466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65368751"/>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2"/>
          <c:tx>
            <c:strRef>
              <c:f>'Figure 11'!$C$3</c:f>
              <c:strCache>
                <c:ptCount val="1"/>
                <c:pt idx="0">
                  <c:v>Capital Cities</c:v>
                </c:pt>
              </c:strCache>
            </c:strRef>
          </c:tx>
          <c:spPr>
            <a:ln w="12700" cap="rnd">
              <a:solidFill>
                <a:schemeClr val="accent1"/>
              </a:solidFill>
              <a:round/>
            </a:ln>
            <a:effectLst/>
          </c:spPr>
          <c:marker>
            <c:symbol val="none"/>
          </c:marker>
          <c:cat>
            <c:numRef>
              <c:f>'Figure 11'!$A$5:$A$47</c:f>
              <c:numCache>
                <c:formatCode>mmm\ yy</c:formatCode>
                <c:ptCount val="43"/>
                <c:pt idx="0">
                  <c:v>44075</c:v>
                </c:pt>
                <c:pt idx="1">
                  <c:v>44105</c:v>
                </c:pt>
                <c:pt idx="2">
                  <c:v>44136</c:v>
                </c:pt>
                <c:pt idx="3">
                  <c:v>44166</c:v>
                </c:pt>
                <c:pt idx="4">
                  <c:v>44197</c:v>
                </c:pt>
                <c:pt idx="5">
                  <c:v>44228</c:v>
                </c:pt>
                <c:pt idx="6">
                  <c:v>44256</c:v>
                </c:pt>
                <c:pt idx="7">
                  <c:v>44287</c:v>
                </c:pt>
                <c:pt idx="8">
                  <c:v>44317</c:v>
                </c:pt>
                <c:pt idx="9">
                  <c:v>44348</c:v>
                </c:pt>
                <c:pt idx="10">
                  <c:v>44378</c:v>
                </c:pt>
                <c:pt idx="11">
                  <c:v>44409</c:v>
                </c:pt>
                <c:pt idx="12">
                  <c:v>44440</c:v>
                </c:pt>
                <c:pt idx="13">
                  <c:v>44470</c:v>
                </c:pt>
                <c:pt idx="14">
                  <c:v>44501</c:v>
                </c:pt>
                <c:pt idx="15">
                  <c:v>44531</c:v>
                </c:pt>
                <c:pt idx="16">
                  <c:v>44562</c:v>
                </c:pt>
                <c:pt idx="17">
                  <c:v>44593</c:v>
                </c:pt>
                <c:pt idx="18">
                  <c:v>44621</c:v>
                </c:pt>
                <c:pt idx="19">
                  <c:v>44652</c:v>
                </c:pt>
                <c:pt idx="20">
                  <c:v>44682</c:v>
                </c:pt>
                <c:pt idx="21">
                  <c:v>44713</c:v>
                </c:pt>
                <c:pt idx="22">
                  <c:v>44743</c:v>
                </c:pt>
                <c:pt idx="23">
                  <c:v>44774</c:v>
                </c:pt>
                <c:pt idx="24">
                  <c:v>44805</c:v>
                </c:pt>
                <c:pt idx="25">
                  <c:v>44835</c:v>
                </c:pt>
                <c:pt idx="26">
                  <c:v>44866</c:v>
                </c:pt>
                <c:pt idx="27">
                  <c:v>44896</c:v>
                </c:pt>
                <c:pt idx="28">
                  <c:v>44927</c:v>
                </c:pt>
                <c:pt idx="29">
                  <c:v>44958</c:v>
                </c:pt>
                <c:pt idx="30">
                  <c:v>44986</c:v>
                </c:pt>
                <c:pt idx="31">
                  <c:v>45017</c:v>
                </c:pt>
                <c:pt idx="32">
                  <c:v>45047</c:v>
                </c:pt>
                <c:pt idx="33">
                  <c:v>45078</c:v>
                </c:pt>
                <c:pt idx="34">
                  <c:v>45108</c:v>
                </c:pt>
                <c:pt idx="35">
                  <c:v>45139</c:v>
                </c:pt>
                <c:pt idx="36">
                  <c:v>45170</c:v>
                </c:pt>
                <c:pt idx="37">
                  <c:v>45200</c:v>
                </c:pt>
                <c:pt idx="38">
                  <c:v>45231</c:v>
                </c:pt>
                <c:pt idx="39">
                  <c:v>45261</c:v>
                </c:pt>
                <c:pt idx="40">
                  <c:v>45292</c:v>
                </c:pt>
                <c:pt idx="41">
                  <c:v>45323</c:v>
                </c:pt>
                <c:pt idx="42">
                  <c:v>45352</c:v>
                </c:pt>
              </c:numCache>
            </c:numRef>
          </c:cat>
          <c:val>
            <c:numRef>
              <c:f>'Figure 11'!$B$5:$B$47</c:f>
              <c:numCache>
                <c:formatCode>0%</c:formatCode>
                <c:ptCount val="43"/>
                <c:pt idx="0">
                  <c:v>0.34148358008496305</c:v>
                </c:pt>
                <c:pt idx="1">
                  <c:v>0.35912423491254575</c:v>
                </c:pt>
                <c:pt idx="2">
                  <c:v>0.37878826299955909</c:v>
                </c:pt>
                <c:pt idx="3">
                  <c:v>0.40078040742226856</c:v>
                </c:pt>
                <c:pt idx="4">
                  <c:v>0.42160942085956887</c:v>
                </c:pt>
                <c:pt idx="5">
                  <c:v>0.4398968198284372</c:v>
                </c:pt>
                <c:pt idx="6">
                  <c:v>0.44924832052870761</c:v>
                </c:pt>
                <c:pt idx="7">
                  <c:v>0.44671995439454426</c:v>
                </c:pt>
                <c:pt idx="8">
                  <c:v>0.43508397067148408</c:v>
                </c:pt>
                <c:pt idx="9">
                  <c:v>0.41995598444346544</c:v>
                </c:pt>
                <c:pt idx="10">
                  <c:v>0.40792352749839789</c:v>
                </c:pt>
                <c:pt idx="11">
                  <c:v>0.40248890715663926</c:v>
                </c:pt>
                <c:pt idx="12">
                  <c:v>0.4054312059545998</c:v>
                </c:pt>
                <c:pt idx="13">
                  <c:v>0.41770088205222311</c:v>
                </c:pt>
                <c:pt idx="14">
                  <c:v>0.43961042124640803</c:v>
                </c:pt>
                <c:pt idx="15">
                  <c:v>0.47067072086141437</c:v>
                </c:pt>
                <c:pt idx="16">
                  <c:v>0.50739100457228103</c:v>
                </c:pt>
                <c:pt idx="17">
                  <c:v>0.53631411214964764</c:v>
                </c:pt>
                <c:pt idx="18">
                  <c:v>0.54987639178515058</c:v>
                </c:pt>
                <c:pt idx="19">
                  <c:v>0.55636933204456651</c:v>
                </c:pt>
                <c:pt idx="20">
                  <c:v>0.56054697976149725</c:v>
                </c:pt>
                <c:pt idx="21">
                  <c:v>0.56337268406293717</c:v>
                </c:pt>
                <c:pt idx="22">
                  <c:v>0.56566752435761158</c:v>
                </c:pt>
                <c:pt idx="23">
                  <c:v>0.56758204456903616</c:v>
                </c:pt>
                <c:pt idx="24">
                  <c:v>0.56792499232753701</c:v>
                </c:pt>
                <c:pt idx="25">
                  <c:v>0.56703474377811991</c:v>
                </c:pt>
                <c:pt idx="26">
                  <c:v>0.56494657286520777</c:v>
                </c:pt>
                <c:pt idx="27">
                  <c:v>0.55881331688593805</c:v>
                </c:pt>
                <c:pt idx="28">
                  <c:v>0.54407751586697184</c:v>
                </c:pt>
                <c:pt idx="29">
                  <c:v>0.52627737834023958</c:v>
                </c:pt>
                <c:pt idx="30">
                  <c:v>0.51030891171177784</c:v>
                </c:pt>
                <c:pt idx="31">
                  <c:v>0.49773908921737237</c:v>
                </c:pt>
                <c:pt idx="32">
                  <c:v>0.48704364243416465</c:v>
                </c:pt>
                <c:pt idx="33">
                  <c:v>0.47906504942683431</c:v>
                </c:pt>
                <c:pt idx="34">
                  <c:v>0.47458801353591051</c:v>
                </c:pt>
                <c:pt idx="35">
                  <c:v>0.47325983650813241</c:v>
                </c:pt>
                <c:pt idx="36" formatCode="0.0%">
                  <c:v>0.47337580654913142</c:v>
                </c:pt>
                <c:pt idx="37" formatCode="0.0%">
                  <c:v>0.47262513280278512</c:v>
                </c:pt>
                <c:pt idx="38" formatCode="0.0%">
                  <c:v>0.47020470229833494</c:v>
                </c:pt>
                <c:pt idx="39" formatCode="0.0%">
                  <c:v>0.46702027491807496</c:v>
                </c:pt>
                <c:pt idx="40" formatCode="0.0%">
                  <c:v>0.46414271110621813</c:v>
                </c:pt>
                <c:pt idx="41" formatCode="0.0%">
                  <c:v>0.46268936690644541</c:v>
                </c:pt>
                <c:pt idx="42" formatCode="0.0%">
                  <c:v>0.45876970317316768</c:v>
                </c:pt>
              </c:numCache>
            </c:numRef>
          </c:val>
          <c:smooth val="0"/>
          <c:extLst>
            <c:ext xmlns:c16="http://schemas.microsoft.com/office/drawing/2014/chart" uri="{C3380CC4-5D6E-409C-BE32-E72D297353CC}">
              <c16:uniqueId val="{00000000-70EE-45C0-83B3-ADE7198B4219}"/>
            </c:ext>
          </c:extLst>
        </c:ser>
        <c:ser>
          <c:idx val="3"/>
          <c:order val="3"/>
          <c:tx>
            <c:strRef>
              <c:f>'Figure 11'!$C$3</c:f>
              <c:strCache>
                <c:ptCount val="1"/>
                <c:pt idx="0">
                  <c:v>Capital Cities</c:v>
                </c:pt>
              </c:strCache>
            </c:strRef>
          </c:tx>
          <c:spPr>
            <a:ln w="28575" cap="rnd">
              <a:solidFill>
                <a:schemeClr val="accent1"/>
              </a:solidFill>
              <a:round/>
            </a:ln>
            <a:effectLst/>
          </c:spPr>
          <c:marker>
            <c:symbol val="none"/>
          </c:marker>
          <c:dPt>
            <c:idx val="5"/>
            <c:marker>
              <c:symbol val="none"/>
            </c:marker>
            <c:bubble3D val="0"/>
            <c:spPr>
              <a:ln w="28575" cap="rnd">
                <a:solidFill>
                  <a:schemeClr val="accent1"/>
                </a:solidFill>
                <a:prstDash val="sysDot"/>
                <a:round/>
              </a:ln>
              <a:effectLst/>
            </c:spPr>
            <c:extLst>
              <c:ext xmlns:c16="http://schemas.microsoft.com/office/drawing/2014/chart" uri="{C3380CC4-5D6E-409C-BE32-E72D297353CC}">
                <c16:uniqueId val="{00000002-70EE-45C0-83B3-ADE7198B4219}"/>
              </c:ext>
            </c:extLst>
          </c:dPt>
          <c:dPt>
            <c:idx val="17"/>
            <c:marker>
              <c:symbol val="none"/>
            </c:marker>
            <c:bubble3D val="0"/>
            <c:spPr>
              <a:ln w="28575" cap="rnd">
                <a:solidFill>
                  <a:schemeClr val="accent1"/>
                </a:solidFill>
                <a:prstDash val="sysDot"/>
                <a:round/>
              </a:ln>
              <a:effectLst/>
            </c:spPr>
            <c:extLst>
              <c:ext xmlns:c16="http://schemas.microsoft.com/office/drawing/2014/chart" uri="{C3380CC4-5D6E-409C-BE32-E72D297353CC}">
                <c16:uniqueId val="{00000004-70EE-45C0-83B3-ADE7198B4219}"/>
              </c:ext>
            </c:extLst>
          </c:dPt>
          <c:dPt>
            <c:idx val="29"/>
            <c:marker>
              <c:symbol val="none"/>
            </c:marker>
            <c:bubble3D val="0"/>
            <c:spPr>
              <a:ln w="28575" cap="rnd">
                <a:solidFill>
                  <a:schemeClr val="accent1"/>
                </a:solidFill>
                <a:prstDash val="sysDot"/>
                <a:round/>
              </a:ln>
              <a:effectLst/>
            </c:spPr>
            <c:extLst>
              <c:ext xmlns:c16="http://schemas.microsoft.com/office/drawing/2014/chart" uri="{C3380CC4-5D6E-409C-BE32-E72D297353CC}">
                <c16:uniqueId val="{00000006-70EE-45C0-83B3-ADE7198B4219}"/>
              </c:ext>
            </c:extLst>
          </c:dPt>
          <c:dPt>
            <c:idx val="41"/>
            <c:marker>
              <c:symbol val="none"/>
            </c:marker>
            <c:bubble3D val="0"/>
            <c:spPr>
              <a:ln w="28575" cap="rnd">
                <a:solidFill>
                  <a:schemeClr val="accent1"/>
                </a:solidFill>
                <a:prstDash val="sysDot"/>
                <a:round/>
              </a:ln>
              <a:effectLst/>
            </c:spPr>
            <c:extLst>
              <c:ext xmlns:c16="http://schemas.microsoft.com/office/drawing/2014/chart" uri="{C3380CC4-5D6E-409C-BE32-E72D297353CC}">
                <c16:uniqueId val="{00000008-70EE-45C0-83B3-ADE7198B4219}"/>
              </c:ext>
            </c:extLst>
          </c:dPt>
          <c:dLbls>
            <c:dLbl>
              <c:idx val="25"/>
              <c:layout>
                <c:manualLayout>
                  <c:x val="5.6638399496943981E-3"/>
                  <c:y val="-9.4353147127347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EE-45C0-83B3-ADE7198B4219}"/>
                </c:ext>
              </c:extLst>
            </c:dLbl>
            <c:dLbl>
              <c:idx val="42"/>
              <c:layout>
                <c:manualLayout>
                  <c:x val="0"/>
                  <c:y val="3.1451049042449011E-2"/>
                </c:manualLayout>
              </c:layout>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0EE-45C0-83B3-ADE7198B421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11'!$A$5:$A$47</c:f>
              <c:numCache>
                <c:formatCode>mmm\ yy</c:formatCode>
                <c:ptCount val="43"/>
                <c:pt idx="0">
                  <c:v>44075</c:v>
                </c:pt>
                <c:pt idx="1">
                  <c:v>44105</c:v>
                </c:pt>
                <c:pt idx="2">
                  <c:v>44136</c:v>
                </c:pt>
                <c:pt idx="3">
                  <c:v>44166</c:v>
                </c:pt>
                <c:pt idx="4">
                  <c:v>44197</c:v>
                </c:pt>
                <c:pt idx="5">
                  <c:v>44228</c:v>
                </c:pt>
                <c:pt idx="6">
                  <c:v>44256</c:v>
                </c:pt>
                <c:pt idx="7">
                  <c:v>44287</c:v>
                </c:pt>
                <c:pt idx="8">
                  <c:v>44317</c:v>
                </c:pt>
                <c:pt idx="9">
                  <c:v>44348</c:v>
                </c:pt>
                <c:pt idx="10">
                  <c:v>44378</c:v>
                </c:pt>
                <c:pt idx="11">
                  <c:v>44409</c:v>
                </c:pt>
                <c:pt idx="12">
                  <c:v>44440</c:v>
                </c:pt>
                <c:pt idx="13">
                  <c:v>44470</c:v>
                </c:pt>
                <c:pt idx="14">
                  <c:v>44501</c:v>
                </c:pt>
                <c:pt idx="15">
                  <c:v>44531</c:v>
                </c:pt>
                <c:pt idx="16">
                  <c:v>44562</c:v>
                </c:pt>
                <c:pt idx="17">
                  <c:v>44593</c:v>
                </c:pt>
                <c:pt idx="18">
                  <c:v>44621</c:v>
                </c:pt>
                <c:pt idx="19">
                  <c:v>44652</c:v>
                </c:pt>
                <c:pt idx="20">
                  <c:v>44682</c:v>
                </c:pt>
                <c:pt idx="21">
                  <c:v>44713</c:v>
                </c:pt>
                <c:pt idx="22">
                  <c:v>44743</c:v>
                </c:pt>
                <c:pt idx="23">
                  <c:v>44774</c:v>
                </c:pt>
                <c:pt idx="24">
                  <c:v>44805</c:v>
                </c:pt>
                <c:pt idx="25">
                  <c:v>44835</c:v>
                </c:pt>
                <c:pt idx="26">
                  <c:v>44866</c:v>
                </c:pt>
                <c:pt idx="27">
                  <c:v>44896</c:v>
                </c:pt>
                <c:pt idx="28">
                  <c:v>44927</c:v>
                </c:pt>
                <c:pt idx="29">
                  <c:v>44958</c:v>
                </c:pt>
                <c:pt idx="30">
                  <c:v>44986</c:v>
                </c:pt>
                <c:pt idx="31">
                  <c:v>45017</c:v>
                </c:pt>
                <c:pt idx="32">
                  <c:v>45047</c:v>
                </c:pt>
                <c:pt idx="33">
                  <c:v>45078</c:v>
                </c:pt>
                <c:pt idx="34">
                  <c:v>45108</c:v>
                </c:pt>
                <c:pt idx="35">
                  <c:v>45139</c:v>
                </c:pt>
                <c:pt idx="36">
                  <c:v>45170</c:v>
                </c:pt>
                <c:pt idx="37">
                  <c:v>45200</c:v>
                </c:pt>
                <c:pt idx="38">
                  <c:v>45231</c:v>
                </c:pt>
                <c:pt idx="39">
                  <c:v>45261</c:v>
                </c:pt>
                <c:pt idx="40">
                  <c:v>45292</c:v>
                </c:pt>
                <c:pt idx="41">
                  <c:v>45323</c:v>
                </c:pt>
                <c:pt idx="42">
                  <c:v>45352</c:v>
                </c:pt>
              </c:numCache>
            </c:numRef>
          </c:cat>
          <c:val>
            <c:numRef>
              <c:f>'Figure 11'!$C$5:$C$47</c:f>
              <c:numCache>
                <c:formatCode>0%</c:formatCode>
                <c:ptCount val="43"/>
                <c:pt idx="0">
                  <c:v>0.32</c:v>
                </c:pt>
                <c:pt idx="1">
                  <c:v>0.38</c:v>
                </c:pt>
                <c:pt idx="2">
                  <c:v>0.41</c:v>
                </c:pt>
                <c:pt idx="3">
                  <c:v>0.4</c:v>
                </c:pt>
                <c:pt idx="4" formatCode="0.00%">
                  <c:v>#N/A</c:v>
                </c:pt>
                <c:pt idx="5">
                  <c:v>0.44</c:v>
                </c:pt>
                <c:pt idx="6">
                  <c:v>0.44</c:v>
                </c:pt>
                <c:pt idx="7">
                  <c:v>0.44</c:v>
                </c:pt>
                <c:pt idx="8">
                  <c:v>0.44</c:v>
                </c:pt>
                <c:pt idx="9">
                  <c:v>0.47</c:v>
                </c:pt>
                <c:pt idx="10">
                  <c:v>0.41</c:v>
                </c:pt>
                <c:pt idx="11">
                  <c:v>0.36</c:v>
                </c:pt>
                <c:pt idx="12">
                  <c:v>0.36</c:v>
                </c:pt>
                <c:pt idx="13">
                  <c:v>0.45</c:v>
                </c:pt>
                <c:pt idx="14">
                  <c:v>0.5</c:v>
                </c:pt>
                <c:pt idx="15">
                  <c:v>0.48</c:v>
                </c:pt>
                <c:pt idx="16" formatCode="0.00%">
                  <c:v>#N/A</c:v>
                </c:pt>
                <c:pt idx="17">
                  <c:v>0.55000000000000004</c:v>
                </c:pt>
                <c:pt idx="18">
                  <c:v>0.53</c:v>
                </c:pt>
                <c:pt idx="19">
                  <c:v>0.54</c:v>
                </c:pt>
                <c:pt idx="20">
                  <c:v>0.57999999999999996</c:v>
                </c:pt>
                <c:pt idx="21">
                  <c:v>0.56000000000000005</c:v>
                </c:pt>
                <c:pt idx="22">
                  <c:v>0.56999999999999995</c:v>
                </c:pt>
                <c:pt idx="23">
                  <c:v>0.54</c:v>
                </c:pt>
                <c:pt idx="24">
                  <c:v>0.57999999999999996</c:v>
                </c:pt>
                <c:pt idx="25">
                  <c:v>0.57999999999999996</c:v>
                </c:pt>
                <c:pt idx="26">
                  <c:v>0.56999999999999995</c:v>
                </c:pt>
                <c:pt idx="27">
                  <c:v>0.53</c:v>
                </c:pt>
                <c:pt idx="28" formatCode="0.00%">
                  <c:v>#N/A</c:v>
                </c:pt>
                <c:pt idx="29">
                  <c:v>0.54</c:v>
                </c:pt>
                <c:pt idx="30">
                  <c:v>0.55000000000000004</c:v>
                </c:pt>
                <c:pt idx="31">
                  <c:v>0.48</c:v>
                </c:pt>
                <c:pt idx="32">
                  <c:v>0.49</c:v>
                </c:pt>
                <c:pt idx="33">
                  <c:v>0.46</c:v>
                </c:pt>
                <c:pt idx="34">
                  <c:v>0.5</c:v>
                </c:pt>
                <c:pt idx="35">
                  <c:v>0.44</c:v>
                </c:pt>
                <c:pt idx="36" formatCode="0.0%">
                  <c:v>0.49</c:v>
                </c:pt>
                <c:pt idx="37" formatCode="0.0%">
                  <c:v>0.47</c:v>
                </c:pt>
                <c:pt idx="38" formatCode="0.0%">
                  <c:v>0.48</c:v>
                </c:pt>
                <c:pt idx="39" formatCode="0.0%">
                  <c:v>0.44</c:v>
                </c:pt>
                <c:pt idx="40" formatCode="0.00%">
                  <c:v>#N/A</c:v>
                </c:pt>
                <c:pt idx="41" formatCode="0.0%">
                  <c:v>0.47</c:v>
                </c:pt>
                <c:pt idx="42" formatCode="0.0%">
                  <c:v>0.46</c:v>
                </c:pt>
              </c:numCache>
            </c:numRef>
          </c:val>
          <c:smooth val="0"/>
          <c:extLst>
            <c:ext xmlns:c16="http://schemas.microsoft.com/office/drawing/2014/chart" uri="{C3380CC4-5D6E-409C-BE32-E72D297353CC}">
              <c16:uniqueId val="{0000000B-70EE-45C0-83B3-ADE7198B4219}"/>
            </c:ext>
          </c:extLst>
        </c:ser>
        <c:ser>
          <c:idx val="6"/>
          <c:order val="6"/>
          <c:spPr>
            <a:ln w="12700" cap="rnd">
              <a:solidFill>
                <a:schemeClr val="accent2"/>
              </a:solidFill>
              <a:round/>
            </a:ln>
            <a:effectLst/>
          </c:spPr>
          <c:marker>
            <c:symbol val="none"/>
          </c:marker>
          <c:cat>
            <c:numRef>
              <c:f>'Figure 11'!$A$5:$A$47</c:f>
              <c:numCache>
                <c:formatCode>mmm\ yy</c:formatCode>
                <c:ptCount val="43"/>
                <c:pt idx="0">
                  <c:v>44075</c:v>
                </c:pt>
                <c:pt idx="1">
                  <c:v>44105</c:v>
                </c:pt>
                <c:pt idx="2">
                  <c:v>44136</c:v>
                </c:pt>
                <c:pt idx="3">
                  <c:v>44166</c:v>
                </c:pt>
                <c:pt idx="4">
                  <c:v>44197</c:v>
                </c:pt>
                <c:pt idx="5">
                  <c:v>44228</c:v>
                </c:pt>
                <c:pt idx="6">
                  <c:v>44256</c:v>
                </c:pt>
                <c:pt idx="7">
                  <c:v>44287</c:v>
                </c:pt>
                <c:pt idx="8">
                  <c:v>44317</c:v>
                </c:pt>
                <c:pt idx="9">
                  <c:v>44348</c:v>
                </c:pt>
                <c:pt idx="10">
                  <c:v>44378</c:v>
                </c:pt>
                <c:pt idx="11">
                  <c:v>44409</c:v>
                </c:pt>
                <c:pt idx="12">
                  <c:v>44440</c:v>
                </c:pt>
                <c:pt idx="13">
                  <c:v>44470</c:v>
                </c:pt>
                <c:pt idx="14">
                  <c:v>44501</c:v>
                </c:pt>
                <c:pt idx="15">
                  <c:v>44531</c:v>
                </c:pt>
                <c:pt idx="16">
                  <c:v>44562</c:v>
                </c:pt>
                <c:pt idx="17">
                  <c:v>44593</c:v>
                </c:pt>
                <c:pt idx="18">
                  <c:v>44621</c:v>
                </c:pt>
                <c:pt idx="19">
                  <c:v>44652</c:v>
                </c:pt>
                <c:pt idx="20">
                  <c:v>44682</c:v>
                </c:pt>
                <c:pt idx="21">
                  <c:v>44713</c:v>
                </c:pt>
                <c:pt idx="22">
                  <c:v>44743</c:v>
                </c:pt>
                <c:pt idx="23">
                  <c:v>44774</c:v>
                </c:pt>
                <c:pt idx="24">
                  <c:v>44805</c:v>
                </c:pt>
                <c:pt idx="25">
                  <c:v>44835</c:v>
                </c:pt>
                <c:pt idx="26">
                  <c:v>44866</c:v>
                </c:pt>
                <c:pt idx="27">
                  <c:v>44896</c:v>
                </c:pt>
                <c:pt idx="28">
                  <c:v>44927</c:v>
                </c:pt>
                <c:pt idx="29">
                  <c:v>44958</c:v>
                </c:pt>
                <c:pt idx="30">
                  <c:v>44986</c:v>
                </c:pt>
                <c:pt idx="31">
                  <c:v>45017</c:v>
                </c:pt>
                <c:pt idx="32">
                  <c:v>45047</c:v>
                </c:pt>
                <c:pt idx="33">
                  <c:v>45078</c:v>
                </c:pt>
                <c:pt idx="34">
                  <c:v>45108</c:v>
                </c:pt>
                <c:pt idx="35">
                  <c:v>45139</c:v>
                </c:pt>
                <c:pt idx="36">
                  <c:v>45170</c:v>
                </c:pt>
                <c:pt idx="37">
                  <c:v>45200</c:v>
                </c:pt>
                <c:pt idx="38">
                  <c:v>45231</c:v>
                </c:pt>
                <c:pt idx="39">
                  <c:v>45261</c:v>
                </c:pt>
                <c:pt idx="40">
                  <c:v>45292</c:v>
                </c:pt>
                <c:pt idx="41">
                  <c:v>45323</c:v>
                </c:pt>
                <c:pt idx="42">
                  <c:v>45352</c:v>
                </c:pt>
              </c:numCache>
            </c:numRef>
          </c:cat>
          <c:val>
            <c:numRef>
              <c:f>'Figure 11'!$D$5:$D$47</c:f>
              <c:numCache>
                <c:formatCode>0%</c:formatCode>
                <c:ptCount val="43"/>
                <c:pt idx="0">
                  <c:v>0.42657552808605698</c:v>
                </c:pt>
                <c:pt idx="1">
                  <c:v>0.44908146478349076</c:v>
                </c:pt>
                <c:pt idx="2">
                  <c:v>0.47123175548098395</c:v>
                </c:pt>
                <c:pt idx="3">
                  <c:v>0.49102327664755374</c:v>
                </c:pt>
                <c:pt idx="4">
                  <c:v>0.50688875934269462</c:v>
                </c:pt>
                <c:pt idx="5">
                  <c:v>0.51790512279780543</c:v>
                </c:pt>
                <c:pt idx="6">
                  <c:v>0.52334696014729509</c:v>
                </c:pt>
                <c:pt idx="7">
                  <c:v>0.52090939256380642</c:v>
                </c:pt>
                <c:pt idx="8">
                  <c:v>0.508002412121493</c:v>
                </c:pt>
                <c:pt idx="9">
                  <c:v>0.48603521387209792</c:v>
                </c:pt>
                <c:pt idx="10">
                  <c:v>0.46185682851751536</c:v>
                </c:pt>
                <c:pt idx="11">
                  <c:v>0.44318685087565451</c:v>
                </c:pt>
                <c:pt idx="12">
                  <c:v>0.43366832555895612</c:v>
                </c:pt>
                <c:pt idx="13">
                  <c:v>0.43607820480043868</c:v>
                </c:pt>
                <c:pt idx="14">
                  <c:v>0.45346204739123874</c:v>
                </c:pt>
                <c:pt idx="15">
                  <c:v>0.48607168780301246</c:v>
                </c:pt>
                <c:pt idx="16">
                  <c:v>0.53026262122491596</c:v>
                </c:pt>
                <c:pt idx="17">
                  <c:v>0.57428986181019348</c:v>
                </c:pt>
                <c:pt idx="18">
                  <c:v>0.59766051331045889</c:v>
                </c:pt>
                <c:pt idx="19">
                  <c:v>0.60499355162107293</c:v>
                </c:pt>
                <c:pt idx="20">
                  <c:v>0.60619107797890903</c:v>
                </c:pt>
                <c:pt idx="21">
                  <c:v>0.60421402702505034</c:v>
                </c:pt>
                <c:pt idx="22">
                  <c:v>0.59863625790314801</c:v>
                </c:pt>
                <c:pt idx="23">
                  <c:v>0.59026869443599916</c:v>
                </c:pt>
                <c:pt idx="24">
                  <c:v>0.58192051112475096</c:v>
                </c:pt>
                <c:pt idx="25">
                  <c:v>0.57517123717364493</c:v>
                </c:pt>
                <c:pt idx="26">
                  <c:v>0.56998770354875605</c:v>
                </c:pt>
                <c:pt idx="27">
                  <c:v>0.56657462546117832</c:v>
                </c:pt>
                <c:pt idx="28">
                  <c:v>0.56403081918089937</c:v>
                </c:pt>
                <c:pt idx="29">
                  <c:v>0.56126509320188733</c:v>
                </c:pt>
                <c:pt idx="30">
                  <c:v>0.55741981620866154</c:v>
                </c:pt>
                <c:pt idx="31">
                  <c:v>0.54988506708348073</c:v>
                </c:pt>
                <c:pt idx="32">
                  <c:v>0.53714101367496592</c:v>
                </c:pt>
                <c:pt idx="33">
                  <c:v>0.52353258999279806</c:v>
                </c:pt>
                <c:pt idx="34">
                  <c:v>0.51431057122050639</c:v>
                </c:pt>
                <c:pt idx="35">
                  <c:v>0.51279561117515626</c:v>
                </c:pt>
                <c:pt idx="36" formatCode="0.0%">
                  <c:v>0.51709138531806997</c:v>
                </c:pt>
                <c:pt idx="37" formatCode="0.0%">
                  <c:v>0.52506975099843634</c:v>
                </c:pt>
                <c:pt idx="38" formatCode="0.0%">
                  <c:v>0.53390555772833093</c:v>
                </c:pt>
                <c:pt idx="39" formatCode="0.0%">
                  <c:v>0.53965042345057834</c:v>
                </c:pt>
                <c:pt idx="40" formatCode="0.0%">
                  <c:v>0.53998342178704117</c:v>
                </c:pt>
                <c:pt idx="41" formatCode="0.0%">
                  <c:v>0.53725827436596474</c:v>
                </c:pt>
                <c:pt idx="42" formatCode="0.0%">
                  <c:v>0.53222623402103075</c:v>
                </c:pt>
              </c:numCache>
            </c:numRef>
          </c:val>
          <c:smooth val="0"/>
          <c:extLst>
            <c:ext xmlns:c16="http://schemas.microsoft.com/office/drawing/2014/chart" uri="{C3380CC4-5D6E-409C-BE32-E72D297353CC}">
              <c16:uniqueId val="{0000000C-70EE-45C0-83B3-ADE7198B4219}"/>
            </c:ext>
          </c:extLst>
        </c:ser>
        <c:ser>
          <c:idx val="7"/>
          <c:order val="7"/>
          <c:tx>
            <c:strRef>
              <c:f>'Figure 11'!$E$3</c:f>
              <c:strCache>
                <c:ptCount val="1"/>
                <c:pt idx="0">
                  <c:v>Rest of State areas</c:v>
                </c:pt>
              </c:strCache>
            </c:strRef>
          </c:tx>
          <c:spPr>
            <a:ln w="28575" cap="rnd">
              <a:solidFill>
                <a:schemeClr val="accent2"/>
              </a:solidFill>
              <a:round/>
            </a:ln>
            <a:effectLst/>
          </c:spPr>
          <c:marker>
            <c:symbol val="none"/>
          </c:marker>
          <c:dPt>
            <c:idx val="5"/>
            <c:marker>
              <c:symbol val="none"/>
            </c:marker>
            <c:bubble3D val="0"/>
            <c:spPr>
              <a:ln w="28575" cap="rnd">
                <a:solidFill>
                  <a:schemeClr val="accent2"/>
                </a:solidFill>
                <a:prstDash val="sysDot"/>
                <a:round/>
              </a:ln>
              <a:effectLst/>
            </c:spPr>
            <c:extLst>
              <c:ext xmlns:c16="http://schemas.microsoft.com/office/drawing/2014/chart" uri="{C3380CC4-5D6E-409C-BE32-E72D297353CC}">
                <c16:uniqueId val="{0000000E-70EE-45C0-83B3-ADE7198B4219}"/>
              </c:ext>
            </c:extLst>
          </c:dPt>
          <c:dPt>
            <c:idx val="17"/>
            <c:marker>
              <c:symbol val="none"/>
            </c:marker>
            <c:bubble3D val="0"/>
            <c:spPr>
              <a:ln w="28575" cap="rnd">
                <a:solidFill>
                  <a:schemeClr val="accent2"/>
                </a:solidFill>
                <a:prstDash val="sysDot"/>
                <a:round/>
              </a:ln>
              <a:effectLst/>
            </c:spPr>
            <c:extLst>
              <c:ext xmlns:c16="http://schemas.microsoft.com/office/drawing/2014/chart" uri="{C3380CC4-5D6E-409C-BE32-E72D297353CC}">
                <c16:uniqueId val="{00000010-70EE-45C0-83B3-ADE7198B4219}"/>
              </c:ext>
            </c:extLst>
          </c:dPt>
          <c:dPt>
            <c:idx val="29"/>
            <c:marker>
              <c:symbol val="none"/>
            </c:marker>
            <c:bubble3D val="0"/>
            <c:spPr>
              <a:ln w="28575" cap="rnd">
                <a:solidFill>
                  <a:schemeClr val="accent2"/>
                </a:solidFill>
                <a:prstDash val="sysDot"/>
                <a:round/>
              </a:ln>
              <a:effectLst/>
            </c:spPr>
            <c:extLst>
              <c:ext xmlns:c16="http://schemas.microsoft.com/office/drawing/2014/chart" uri="{C3380CC4-5D6E-409C-BE32-E72D297353CC}">
                <c16:uniqueId val="{00000012-70EE-45C0-83B3-ADE7198B4219}"/>
              </c:ext>
            </c:extLst>
          </c:dPt>
          <c:dPt>
            <c:idx val="41"/>
            <c:marker>
              <c:symbol val="none"/>
            </c:marker>
            <c:bubble3D val="0"/>
            <c:spPr>
              <a:ln w="28575" cap="rnd">
                <a:solidFill>
                  <a:schemeClr val="accent2"/>
                </a:solidFill>
                <a:prstDash val="sysDot"/>
                <a:round/>
              </a:ln>
              <a:effectLst/>
            </c:spPr>
            <c:extLst>
              <c:ext xmlns:c16="http://schemas.microsoft.com/office/drawing/2014/chart" uri="{C3380CC4-5D6E-409C-BE32-E72D297353CC}">
                <c16:uniqueId val="{00000014-70EE-45C0-83B3-ADE7198B4219}"/>
              </c:ext>
            </c:extLst>
          </c:dPt>
          <c:dLbls>
            <c:dLbl>
              <c:idx val="22"/>
              <c:layout>
                <c:manualLayout>
                  <c:x val="-6.2302239446638374E-2"/>
                  <c:y val="-7.68803421037642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0EE-45C0-83B3-ADE7198B4219}"/>
                </c:ext>
              </c:extLst>
            </c:dLbl>
            <c:dLbl>
              <c:idx val="42"/>
              <c:layout>
                <c:manualLayout>
                  <c:x val="0"/>
                  <c:y val="-3.49456100471656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0EE-45C0-83B3-ADE7198B4219}"/>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11'!$A$5:$A$47</c:f>
              <c:numCache>
                <c:formatCode>mmm\ yy</c:formatCode>
                <c:ptCount val="43"/>
                <c:pt idx="0">
                  <c:v>44075</c:v>
                </c:pt>
                <c:pt idx="1">
                  <c:v>44105</c:v>
                </c:pt>
                <c:pt idx="2">
                  <c:v>44136</c:v>
                </c:pt>
                <c:pt idx="3">
                  <c:v>44166</c:v>
                </c:pt>
                <c:pt idx="4">
                  <c:v>44197</c:v>
                </c:pt>
                <c:pt idx="5">
                  <c:v>44228</c:v>
                </c:pt>
                <c:pt idx="6">
                  <c:v>44256</c:v>
                </c:pt>
                <c:pt idx="7">
                  <c:v>44287</c:v>
                </c:pt>
                <c:pt idx="8">
                  <c:v>44317</c:v>
                </c:pt>
                <c:pt idx="9">
                  <c:v>44348</c:v>
                </c:pt>
                <c:pt idx="10">
                  <c:v>44378</c:v>
                </c:pt>
                <c:pt idx="11">
                  <c:v>44409</c:v>
                </c:pt>
                <c:pt idx="12">
                  <c:v>44440</c:v>
                </c:pt>
                <c:pt idx="13">
                  <c:v>44470</c:v>
                </c:pt>
                <c:pt idx="14">
                  <c:v>44501</c:v>
                </c:pt>
                <c:pt idx="15">
                  <c:v>44531</c:v>
                </c:pt>
                <c:pt idx="16">
                  <c:v>44562</c:v>
                </c:pt>
                <c:pt idx="17">
                  <c:v>44593</c:v>
                </c:pt>
                <c:pt idx="18">
                  <c:v>44621</c:v>
                </c:pt>
                <c:pt idx="19">
                  <c:v>44652</c:v>
                </c:pt>
                <c:pt idx="20">
                  <c:v>44682</c:v>
                </c:pt>
                <c:pt idx="21">
                  <c:v>44713</c:v>
                </c:pt>
                <c:pt idx="22">
                  <c:v>44743</c:v>
                </c:pt>
                <c:pt idx="23">
                  <c:v>44774</c:v>
                </c:pt>
                <c:pt idx="24">
                  <c:v>44805</c:v>
                </c:pt>
                <c:pt idx="25">
                  <c:v>44835</c:v>
                </c:pt>
                <c:pt idx="26">
                  <c:v>44866</c:v>
                </c:pt>
                <c:pt idx="27">
                  <c:v>44896</c:v>
                </c:pt>
                <c:pt idx="28">
                  <c:v>44927</c:v>
                </c:pt>
                <c:pt idx="29">
                  <c:v>44958</c:v>
                </c:pt>
                <c:pt idx="30">
                  <c:v>44986</c:v>
                </c:pt>
                <c:pt idx="31">
                  <c:v>45017</c:v>
                </c:pt>
                <c:pt idx="32">
                  <c:v>45047</c:v>
                </c:pt>
                <c:pt idx="33">
                  <c:v>45078</c:v>
                </c:pt>
                <c:pt idx="34">
                  <c:v>45108</c:v>
                </c:pt>
                <c:pt idx="35">
                  <c:v>45139</c:v>
                </c:pt>
                <c:pt idx="36">
                  <c:v>45170</c:v>
                </c:pt>
                <c:pt idx="37">
                  <c:v>45200</c:v>
                </c:pt>
                <c:pt idx="38">
                  <c:v>45231</c:v>
                </c:pt>
                <c:pt idx="39">
                  <c:v>45261</c:v>
                </c:pt>
                <c:pt idx="40">
                  <c:v>45292</c:v>
                </c:pt>
                <c:pt idx="41">
                  <c:v>45323</c:v>
                </c:pt>
                <c:pt idx="42">
                  <c:v>45352</c:v>
                </c:pt>
              </c:numCache>
            </c:numRef>
          </c:cat>
          <c:val>
            <c:numRef>
              <c:f>'Figure 11'!$E$5:$E$47</c:f>
              <c:numCache>
                <c:formatCode>0%</c:formatCode>
                <c:ptCount val="43"/>
                <c:pt idx="0">
                  <c:v>0.38</c:v>
                </c:pt>
                <c:pt idx="1">
                  <c:v>0.46</c:v>
                </c:pt>
                <c:pt idx="2">
                  <c:v>0.55000000000000004</c:v>
                </c:pt>
                <c:pt idx="3">
                  <c:v>0.5</c:v>
                </c:pt>
                <c:pt idx="4" formatCode="0.00%">
                  <c:v>#N/A</c:v>
                </c:pt>
                <c:pt idx="5">
                  <c:v>0.5</c:v>
                </c:pt>
                <c:pt idx="6">
                  <c:v>0.49</c:v>
                </c:pt>
                <c:pt idx="7">
                  <c:v>0.51</c:v>
                </c:pt>
                <c:pt idx="8">
                  <c:v>0.57999999999999996</c:v>
                </c:pt>
                <c:pt idx="9">
                  <c:v>0.48</c:v>
                </c:pt>
                <c:pt idx="10">
                  <c:v>0.48</c:v>
                </c:pt>
                <c:pt idx="11">
                  <c:v>0.43</c:v>
                </c:pt>
                <c:pt idx="12">
                  <c:v>0.36</c:v>
                </c:pt>
                <c:pt idx="13">
                  <c:v>0.45</c:v>
                </c:pt>
                <c:pt idx="14">
                  <c:v>0.51</c:v>
                </c:pt>
                <c:pt idx="15">
                  <c:v>0.55000000000000004</c:v>
                </c:pt>
                <c:pt idx="16" formatCode="0.00%">
                  <c:v>#N/A</c:v>
                </c:pt>
                <c:pt idx="17">
                  <c:v>0.54</c:v>
                </c:pt>
                <c:pt idx="18">
                  <c:v>0.61</c:v>
                </c:pt>
                <c:pt idx="19">
                  <c:v>0.6</c:v>
                </c:pt>
                <c:pt idx="20">
                  <c:v>0.6</c:v>
                </c:pt>
                <c:pt idx="21">
                  <c:v>0.61</c:v>
                </c:pt>
                <c:pt idx="22">
                  <c:v>0.62</c:v>
                </c:pt>
                <c:pt idx="23">
                  <c:v>0.57999999999999996</c:v>
                </c:pt>
                <c:pt idx="24">
                  <c:v>0.56999999999999995</c:v>
                </c:pt>
                <c:pt idx="25">
                  <c:v>0.57999999999999996</c:v>
                </c:pt>
                <c:pt idx="26">
                  <c:v>0.61</c:v>
                </c:pt>
                <c:pt idx="27">
                  <c:v>0.5</c:v>
                </c:pt>
                <c:pt idx="28" formatCode="0.00%">
                  <c:v>#N/A</c:v>
                </c:pt>
                <c:pt idx="29">
                  <c:v>0.57999999999999996</c:v>
                </c:pt>
                <c:pt idx="30">
                  <c:v>0.56000000000000005</c:v>
                </c:pt>
                <c:pt idx="31">
                  <c:v>0.53</c:v>
                </c:pt>
                <c:pt idx="32">
                  <c:v>0.55000000000000004</c:v>
                </c:pt>
                <c:pt idx="33">
                  <c:v>0.54</c:v>
                </c:pt>
                <c:pt idx="34">
                  <c:v>0.52</c:v>
                </c:pt>
                <c:pt idx="35">
                  <c:v>0.48</c:v>
                </c:pt>
                <c:pt idx="36" formatCode="0.0%">
                  <c:v>0.49</c:v>
                </c:pt>
                <c:pt idx="37" formatCode="0.0%">
                  <c:v>0.54</c:v>
                </c:pt>
                <c:pt idx="38" formatCode="0.0%">
                  <c:v>0.57999999999999996</c:v>
                </c:pt>
                <c:pt idx="39" formatCode="0.0%">
                  <c:v>0.53</c:v>
                </c:pt>
                <c:pt idx="40" formatCode="0.00%">
                  <c:v>#N/A</c:v>
                </c:pt>
                <c:pt idx="41" formatCode="0.0%">
                  <c:v>0.52</c:v>
                </c:pt>
                <c:pt idx="42" formatCode="0.0%">
                  <c:v>0.53</c:v>
                </c:pt>
              </c:numCache>
            </c:numRef>
          </c:val>
          <c:smooth val="0"/>
          <c:extLst>
            <c:ext xmlns:c16="http://schemas.microsoft.com/office/drawing/2014/chart" uri="{C3380CC4-5D6E-409C-BE32-E72D297353CC}">
              <c16:uniqueId val="{00000017-70EE-45C0-83B3-ADE7198B4219}"/>
            </c:ext>
          </c:extLst>
        </c:ser>
        <c:dLbls>
          <c:showLegendKey val="0"/>
          <c:showVal val="0"/>
          <c:showCatName val="0"/>
          <c:showSerName val="0"/>
          <c:showPercent val="0"/>
          <c:showBubbleSize val="0"/>
        </c:dLbls>
        <c:smooth val="0"/>
        <c:axId val="1534053823"/>
        <c:axId val="1527904671"/>
        <c:extLst>
          <c:ext xmlns:c15="http://schemas.microsoft.com/office/drawing/2012/chart" uri="{02D57815-91ED-43cb-92C2-25804820EDAC}">
            <c15:filteredLineSeries>
              <c15:ser>
                <c:idx val="0"/>
                <c:order val="0"/>
                <c:tx>
                  <c:strRef>
                    <c:extLst>
                      <c:ext uri="{02D57815-91ED-43cb-92C2-25804820EDAC}">
                        <c15:formulaRef>
                          <c15:sqref>'I:\LMM Branch\ERSA\6. Briefings and Requests\2024\LMU - Dec 23 edition\Data files\[DONT USE AS TEMPLATE December 2023 - Monthly RIR charts - smoothed.xlsx]ACTIVITY'!$P$3</c15:sqref>
                        </c15:formulaRef>
                      </c:ext>
                    </c:extLst>
                    <c:strCache>
                      <c:ptCount val="1"/>
                      <c:pt idx="0">
                        <c:v>YES (CC)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'Figure 11'!$A$5:$A$47</c15:sqref>
                        </c15:formulaRef>
                      </c:ext>
                    </c:extLst>
                    <c:numCache>
                      <c:formatCode>mmm\ yy</c:formatCode>
                      <c:ptCount val="43"/>
                      <c:pt idx="0">
                        <c:v>44075</c:v>
                      </c:pt>
                      <c:pt idx="1">
                        <c:v>44105</c:v>
                      </c:pt>
                      <c:pt idx="2">
                        <c:v>44136</c:v>
                      </c:pt>
                      <c:pt idx="3">
                        <c:v>44166</c:v>
                      </c:pt>
                      <c:pt idx="4">
                        <c:v>44197</c:v>
                      </c:pt>
                      <c:pt idx="5">
                        <c:v>44228</c:v>
                      </c:pt>
                      <c:pt idx="6">
                        <c:v>44256</c:v>
                      </c:pt>
                      <c:pt idx="7">
                        <c:v>44287</c:v>
                      </c:pt>
                      <c:pt idx="8">
                        <c:v>44317</c:v>
                      </c:pt>
                      <c:pt idx="9">
                        <c:v>44348</c:v>
                      </c:pt>
                      <c:pt idx="10">
                        <c:v>44378</c:v>
                      </c:pt>
                      <c:pt idx="11">
                        <c:v>44409</c:v>
                      </c:pt>
                      <c:pt idx="12">
                        <c:v>44440</c:v>
                      </c:pt>
                      <c:pt idx="13">
                        <c:v>44470</c:v>
                      </c:pt>
                      <c:pt idx="14">
                        <c:v>44501</c:v>
                      </c:pt>
                      <c:pt idx="15">
                        <c:v>44531</c:v>
                      </c:pt>
                      <c:pt idx="16">
                        <c:v>44562</c:v>
                      </c:pt>
                      <c:pt idx="17">
                        <c:v>44593</c:v>
                      </c:pt>
                      <c:pt idx="18">
                        <c:v>44621</c:v>
                      </c:pt>
                      <c:pt idx="19">
                        <c:v>44652</c:v>
                      </c:pt>
                      <c:pt idx="20">
                        <c:v>44682</c:v>
                      </c:pt>
                      <c:pt idx="21">
                        <c:v>44713</c:v>
                      </c:pt>
                      <c:pt idx="22">
                        <c:v>44743</c:v>
                      </c:pt>
                      <c:pt idx="23">
                        <c:v>44774</c:v>
                      </c:pt>
                      <c:pt idx="24">
                        <c:v>44805</c:v>
                      </c:pt>
                      <c:pt idx="25">
                        <c:v>44835</c:v>
                      </c:pt>
                      <c:pt idx="26">
                        <c:v>44866</c:v>
                      </c:pt>
                      <c:pt idx="27">
                        <c:v>44896</c:v>
                      </c:pt>
                      <c:pt idx="28">
                        <c:v>44927</c:v>
                      </c:pt>
                      <c:pt idx="29">
                        <c:v>44958</c:v>
                      </c:pt>
                      <c:pt idx="30">
                        <c:v>44986</c:v>
                      </c:pt>
                      <c:pt idx="31">
                        <c:v>45017</c:v>
                      </c:pt>
                      <c:pt idx="32">
                        <c:v>45047</c:v>
                      </c:pt>
                      <c:pt idx="33">
                        <c:v>45078</c:v>
                      </c:pt>
                      <c:pt idx="34">
                        <c:v>45108</c:v>
                      </c:pt>
                      <c:pt idx="35">
                        <c:v>45139</c:v>
                      </c:pt>
                      <c:pt idx="36">
                        <c:v>45170</c:v>
                      </c:pt>
                      <c:pt idx="37">
                        <c:v>45200</c:v>
                      </c:pt>
                      <c:pt idx="38">
                        <c:v>45231</c:v>
                      </c:pt>
                      <c:pt idx="39">
                        <c:v>45261</c:v>
                      </c:pt>
                      <c:pt idx="40">
                        <c:v>45292</c:v>
                      </c:pt>
                      <c:pt idx="41">
                        <c:v>45323</c:v>
                      </c:pt>
                      <c:pt idx="42">
                        <c:v>45352</c:v>
                      </c:pt>
                    </c:numCache>
                  </c:numRef>
                </c:cat>
                <c:val>
                  <c:numRef>
                    <c:extLst>
                      <c:ext uri="{02D57815-91ED-43cb-92C2-25804820EDAC}">
                        <c15:formulaRef>
                          <c15:sqref>[2]ACTIVITY!$P$4:$P$44</c15:sqref>
                        </c15:formulaRef>
                      </c:ext>
                    </c:extLst>
                    <c:numCache>
                      <c:formatCode>General</c:formatCode>
                      <c:ptCount val="41"/>
                      <c:pt idx="0">
                        <c:v>246.65779539593171</c:v>
                      </c:pt>
                      <c:pt idx="1">
                        <c:v>239.89283349547571</c:v>
                      </c:pt>
                      <c:pt idx="2">
                        <c:v>232.02285255610769</c:v>
                      </c:pt>
                      <c:pt idx="3">
                        <c:v>219.29669551524071</c:v>
                      </c:pt>
                      <c:pt idx="4">
                        <c:v>206.59719651469669</c:v>
                      </c:pt>
                      <c:pt idx="5">
                        <c:v>204.8982686979017</c:v>
                      </c:pt>
                      <c:pt idx="6">
                        <c:v>223.3520018497517</c:v>
                      </c:pt>
                      <c:pt idx="7">
                        <c:v>260.58743645471253</c:v>
                      </c:pt>
                      <c:pt idx="8">
                        <c:v>305.63234787140442</c:v>
                      </c:pt>
                      <c:pt idx="9">
                        <c:v>342.6075301697494</c:v>
                      </c:pt>
                      <c:pt idx="10">
                        <c:v>363.08106794835635</c:v>
                      </c:pt>
                      <c:pt idx="11">
                        <c:v>370.96012537485052</c:v>
                      </c:pt>
                      <c:pt idx="12">
                        <c:v>368.51360321653362</c:v>
                      </c:pt>
                      <c:pt idx="13">
                        <c:v>352.89792564288081</c:v>
                      </c:pt>
                      <c:pt idx="14">
                        <c:v>322.38431550219406</c:v>
                      </c:pt>
                      <c:pt idx="15">
                        <c:v>282.05201197893217</c:v>
                      </c:pt>
                      <c:pt idx="16">
                        <c:v>239.46100066219816</c:v>
                      </c:pt>
                      <c:pt idx="17">
                        <c:v>205.67530296641408</c:v>
                      </c:pt>
                      <c:pt idx="18">
                        <c:v>192.24297950420299</c:v>
                      </c:pt>
                      <c:pt idx="19">
                        <c:v>204.85760441102983</c:v>
                      </c:pt>
                      <c:pt idx="20">
                        <c:v>239.34997839238079</c:v>
                      </c:pt>
                      <c:pt idx="21">
                        <c:v>285.19601648534484</c:v>
                      </c:pt>
                      <c:pt idx="22">
                        <c:v>325.73616560891799</c:v>
                      </c:pt>
                      <c:pt idx="23">
                        <c:v>350.84598670258811</c:v>
                      </c:pt>
                      <c:pt idx="24">
                        <c:v>354.83185447256926</c:v>
                      </c:pt>
                      <c:pt idx="25">
                        <c:v>336.88509051712833</c:v>
                      </c:pt>
                      <c:pt idx="26">
                        <c:v>301.53903858412036</c:v>
                      </c:pt>
                      <c:pt idx="27">
                        <c:v>260.79615372384325</c:v>
                      </c:pt>
                      <c:pt idx="28">
                        <c:v>230.126685731702</c:v>
                      </c:pt>
                      <c:pt idx="29">
                        <c:v>217.18346599723696</c:v>
                      </c:pt>
                      <c:pt idx="30">
                        <c:v>225.67959050520693</c:v>
                      </c:pt>
                      <c:pt idx="31">
                        <c:v>249.16014297471813</c:v>
                      </c:pt>
                      <c:pt idx="32">
                        <c:v>276.00835989629724</c:v>
                      </c:pt>
                      <c:pt idx="33">
                        <c:v>301.22623638552824</c:v>
                      </c:pt>
                      <c:pt idx="34">
                        <c:v>324.88544921940718</c:v>
                      </c:pt>
                      <c:pt idx="35">
                        <c:v>342.15260774867295</c:v>
                      </c:pt>
                      <c:pt idx="36">
                        <c:v>352.27837332245269</c:v>
                      </c:pt>
                      <c:pt idx="37">
                        <c:v>353.34539245233759</c:v>
                      </c:pt>
                      <c:pt idx="38">
                        <c:v>343.20278097275354</c:v>
                      </c:pt>
                      <c:pt idx="39">
                        <c:v>322.89717149609561</c:v>
                      </c:pt>
                      <c:pt idx="40">
                        <c:v>302.9102297516107</c:v>
                      </c:pt>
                    </c:numCache>
                  </c:numRef>
                </c:val>
                <c:smooth val="0"/>
                <c:extLst>
                  <c:ext xmlns:c16="http://schemas.microsoft.com/office/drawing/2014/chart" uri="{C3380CC4-5D6E-409C-BE32-E72D297353CC}">
                    <c16:uniqueId val="{00000018-70EE-45C0-83B3-ADE7198B4219}"/>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'I:\LMM Branch\ERSA\6. Briefings and Requests\2024\LMU - Dec 23 edition\Data files\[DONT USE AS TEMPLATE December 2023 - Monthly RIR charts - smoothed.xlsx]ACTIVITY'!$Q$3</c15:sqref>
                        </c15:formulaRef>
                      </c:ext>
                    </c:extLst>
                    <c:strCache>
                      <c:ptCount val="1"/>
                      <c:pt idx="0">
                        <c:v>TOTAL (CC)</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'Figure 11'!$A$5:$A$47</c15:sqref>
                        </c15:formulaRef>
                      </c:ext>
                    </c:extLst>
                    <c:numCache>
                      <c:formatCode>mmm\ yy</c:formatCode>
                      <c:ptCount val="43"/>
                      <c:pt idx="0">
                        <c:v>44075</c:v>
                      </c:pt>
                      <c:pt idx="1">
                        <c:v>44105</c:v>
                      </c:pt>
                      <c:pt idx="2">
                        <c:v>44136</c:v>
                      </c:pt>
                      <c:pt idx="3">
                        <c:v>44166</c:v>
                      </c:pt>
                      <c:pt idx="4">
                        <c:v>44197</c:v>
                      </c:pt>
                      <c:pt idx="5">
                        <c:v>44228</c:v>
                      </c:pt>
                      <c:pt idx="6">
                        <c:v>44256</c:v>
                      </c:pt>
                      <c:pt idx="7">
                        <c:v>44287</c:v>
                      </c:pt>
                      <c:pt idx="8">
                        <c:v>44317</c:v>
                      </c:pt>
                      <c:pt idx="9">
                        <c:v>44348</c:v>
                      </c:pt>
                      <c:pt idx="10">
                        <c:v>44378</c:v>
                      </c:pt>
                      <c:pt idx="11">
                        <c:v>44409</c:v>
                      </c:pt>
                      <c:pt idx="12">
                        <c:v>44440</c:v>
                      </c:pt>
                      <c:pt idx="13">
                        <c:v>44470</c:v>
                      </c:pt>
                      <c:pt idx="14">
                        <c:v>44501</c:v>
                      </c:pt>
                      <c:pt idx="15">
                        <c:v>44531</c:v>
                      </c:pt>
                      <c:pt idx="16">
                        <c:v>44562</c:v>
                      </c:pt>
                      <c:pt idx="17">
                        <c:v>44593</c:v>
                      </c:pt>
                      <c:pt idx="18">
                        <c:v>44621</c:v>
                      </c:pt>
                      <c:pt idx="19">
                        <c:v>44652</c:v>
                      </c:pt>
                      <c:pt idx="20">
                        <c:v>44682</c:v>
                      </c:pt>
                      <c:pt idx="21">
                        <c:v>44713</c:v>
                      </c:pt>
                      <c:pt idx="22">
                        <c:v>44743</c:v>
                      </c:pt>
                      <c:pt idx="23">
                        <c:v>44774</c:v>
                      </c:pt>
                      <c:pt idx="24">
                        <c:v>44805</c:v>
                      </c:pt>
                      <c:pt idx="25">
                        <c:v>44835</c:v>
                      </c:pt>
                      <c:pt idx="26">
                        <c:v>44866</c:v>
                      </c:pt>
                      <c:pt idx="27">
                        <c:v>44896</c:v>
                      </c:pt>
                      <c:pt idx="28">
                        <c:v>44927</c:v>
                      </c:pt>
                      <c:pt idx="29">
                        <c:v>44958</c:v>
                      </c:pt>
                      <c:pt idx="30">
                        <c:v>44986</c:v>
                      </c:pt>
                      <c:pt idx="31">
                        <c:v>45017</c:v>
                      </c:pt>
                      <c:pt idx="32">
                        <c:v>45047</c:v>
                      </c:pt>
                      <c:pt idx="33">
                        <c:v>45078</c:v>
                      </c:pt>
                      <c:pt idx="34">
                        <c:v>45108</c:v>
                      </c:pt>
                      <c:pt idx="35">
                        <c:v>45139</c:v>
                      </c:pt>
                      <c:pt idx="36">
                        <c:v>45170</c:v>
                      </c:pt>
                      <c:pt idx="37">
                        <c:v>45200</c:v>
                      </c:pt>
                      <c:pt idx="38">
                        <c:v>45231</c:v>
                      </c:pt>
                      <c:pt idx="39">
                        <c:v>45261</c:v>
                      </c:pt>
                      <c:pt idx="40">
                        <c:v>45292</c:v>
                      </c:pt>
                      <c:pt idx="41">
                        <c:v>45323</c:v>
                      </c:pt>
                      <c:pt idx="42">
                        <c:v>45352</c:v>
                      </c:pt>
                    </c:numCache>
                  </c:numRef>
                </c:cat>
                <c:val>
                  <c:numRef>
                    <c:extLst xmlns:c15="http://schemas.microsoft.com/office/drawing/2012/chart">
                      <c:ext xmlns:c15="http://schemas.microsoft.com/office/drawing/2012/chart" uri="{02D57815-91ED-43cb-92C2-25804820EDAC}">
                        <c15:formulaRef>
                          <c15:sqref>[2]ACTIVITY!$Q$4:$Q$44</c15:sqref>
                        </c15:formulaRef>
                      </c:ext>
                    </c:extLst>
                    <c:numCache>
                      <c:formatCode>General</c:formatCode>
                      <c:ptCount val="41"/>
                      <c:pt idx="0">
                        <c:v>753.36769254662738</c:v>
                      </c:pt>
                      <c:pt idx="1">
                        <c:v>702.53593389395667</c:v>
                      </c:pt>
                      <c:pt idx="2">
                        <c:v>646.02693777606817</c:v>
                      </c:pt>
                      <c:pt idx="3">
                        <c:v>578.83529610603841</c:v>
                      </c:pt>
                      <c:pt idx="4">
                        <c:v>515.5623373935498</c:v>
                      </c:pt>
                      <c:pt idx="5">
                        <c:v>486.3327282648483</c:v>
                      </c:pt>
                      <c:pt idx="6">
                        <c:v>508.03224805554333</c:v>
                      </c:pt>
                      <c:pt idx="7">
                        <c:v>579.97151575550538</c:v>
                      </c:pt>
                      <c:pt idx="8">
                        <c:v>683.49659567321316</c:v>
                      </c:pt>
                      <c:pt idx="9">
                        <c:v>786.1324193881469</c:v>
                      </c:pt>
                      <c:pt idx="10">
                        <c:v>862.83360061819576</c:v>
                      </c:pt>
                      <c:pt idx="11">
                        <c:v>907.70668147290598</c:v>
                      </c:pt>
                      <c:pt idx="12">
                        <c:v>914.43047454888119</c:v>
                      </c:pt>
                      <c:pt idx="13">
                        <c:v>869.99308592829391</c:v>
                      </c:pt>
                      <c:pt idx="14">
                        <c:v>771.93075664788421</c:v>
                      </c:pt>
                      <c:pt idx="15">
                        <c:v>641.83045325097521</c:v>
                      </c:pt>
                      <c:pt idx="16">
                        <c:v>508.84511374501517</c:v>
                      </c:pt>
                      <c:pt idx="17">
                        <c:v>405.32286180325008</c:v>
                      </c:pt>
                      <c:pt idx="18">
                        <c:v>358.47286037225399</c:v>
                      </c:pt>
                      <c:pt idx="19">
                        <c:v>372.58091127848581</c:v>
                      </c:pt>
                      <c:pt idx="20">
                        <c:v>430.19980542926163</c:v>
                      </c:pt>
                      <c:pt idx="21">
                        <c:v>508.71660800011682</c:v>
                      </c:pt>
                      <c:pt idx="22">
                        <c:v>578.04628151898578</c:v>
                      </c:pt>
                      <c:pt idx="23">
                        <c:v>620.02702241744294</c:v>
                      </c:pt>
                      <c:pt idx="24">
                        <c:v>624.93414746500912</c:v>
                      </c:pt>
                      <c:pt idx="25">
                        <c:v>592.98123243587236</c:v>
                      </c:pt>
                      <c:pt idx="26">
                        <c:v>531.64120557760225</c:v>
                      </c:pt>
                      <c:pt idx="27">
                        <c:v>461.56587708496426</c:v>
                      </c:pt>
                      <c:pt idx="28">
                        <c:v>411.81317405625504</c:v>
                      </c:pt>
                      <c:pt idx="29">
                        <c:v>399.20692639081494</c:v>
                      </c:pt>
                      <c:pt idx="30">
                        <c:v>428.84401617852899</c:v>
                      </c:pt>
                      <c:pt idx="31">
                        <c:v>488.25356025811215</c:v>
                      </c:pt>
                      <c:pt idx="32">
                        <c:v>554.52417918448634</c:v>
                      </c:pt>
                      <c:pt idx="33">
                        <c:v>618.47894139434538</c:v>
                      </c:pt>
                      <c:pt idx="34">
                        <c:v>678.16562616727822</c:v>
                      </c:pt>
                      <c:pt idx="35">
                        <c:v>720.97890231657971</c:v>
                      </c:pt>
                      <c:pt idx="36">
                        <c:v>743.7209573122833</c:v>
                      </c:pt>
                      <c:pt idx="37">
                        <c:v>745.43317145129004</c:v>
                      </c:pt>
                      <c:pt idx="38">
                        <c:v>725.21895459191217</c:v>
                      </c:pt>
                      <c:pt idx="39">
                        <c:v>685.41705232519928</c:v>
                      </c:pt>
                      <c:pt idx="40">
                        <c:v>645.21159554026667</c:v>
                      </c:pt>
                    </c:numCache>
                  </c:numRef>
                </c:val>
                <c:smooth val="0"/>
                <c:extLst xmlns:c15="http://schemas.microsoft.com/office/drawing/2012/chart">
                  <c:ext xmlns:c16="http://schemas.microsoft.com/office/drawing/2014/chart" uri="{C3380CC4-5D6E-409C-BE32-E72D297353CC}">
                    <c16:uniqueId val="{00000019-70EE-45C0-83B3-ADE7198B4219}"/>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'I:\LMM Branch\ERSA\6. Briefings and Requests\2024\LMU - Dec 23 edition\Data files\[DONT USE AS TEMPLATE December 2023 - Monthly RIR charts - smoothed.xlsx]ACTIVITY'!$T$3</c15:sqref>
                        </c15:formulaRef>
                      </c:ext>
                    </c:extLst>
                    <c:strCache>
                      <c:ptCount val="1"/>
                      <c:pt idx="0">
                        <c:v>YES (ROS)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'Figure 11'!$A$5:$A$47</c15:sqref>
                        </c15:formulaRef>
                      </c:ext>
                    </c:extLst>
                    <c:numCache>
                      <c:formatCode>mmm\ yy</c:formatCode>
                      <c:ptCount val="43"/>
                      <c:pt idx="0">
                        <c:v>44075</c:v>
                      </c:pt>
                      <c:pt idx="1">
                        <c:v>44105</c:v>
                      </c:pt>
                      <c:pt idx="2">
                        <c:v>44136</c:v>
                      </c:pt>
                      <c:pt idx="3">
                        <c:v>44166</c:v>
                      </c:pt>
                      <c:pt idx="4">
                        <c:v>44197</c:v>
                      </c:pt>
                      <c:pt idx="5">
                        <c:v>44228</c:v>
                      </c:pt>
                      <c:pt idx="6">
                        <c:v>44256</c:v>
                      </c:pt>
                      <c:pt idx="7">
                        <c:v>44287</c:v>
                      </c:pt>
                      <c:pt idx="8">
                        <c:v>44317</c:v>
                      </c:pt>
                      <c:pt idx="9">
                        <c:v>44348</c:v>
                      </c:pt>
                      <c:pt idx="10">
                        <c:v>44378</c:v>
                      </c:pt>
                      <c:pt idx="11">
                        <c:v>44409</c:v>
                      </c:pt>
                      <c:pt idx="12">
                        <c:v>44440</c:v>
                      </c:pt>
                      <c:pt idx="13">
                        <c:v>44470</c:v>
                      </c:pt>
                      <c:pt idx="14">
                        <c:v>44501</c:v>
                      </c:pt>
                      <c:pt idx="15">
                        <c:v>44531</c:v>
                      </c:pt>
                      <c:pt idx="16">
                        <c:v>44562</c:v>
                      </c:pt>
                      <c:pt idx="17">
                        <c:v>44593</c:v>
                      </c:pt>
                      <c:pt idx="18">
                        <c:v>44621</c:v>
                      </c:pt>
                      <c:pt idx="19">
                        <c:v>44652</c:v>
                      </c:pt>
                      <c:pt idx="20">
                        <c:v>44682</c:v>
                      </c:pt>
                      <c:pt idx="21">
                        <c:v>44713</c:v>
                      </c:pt>
                      <c:pt idx="22">
                        <c:v>44743</c:v>
                      </c:pt>
                      <c:pt idx="23">
                        <c:v>44774</c:v>
                      </c:pt>
                      <c:pt idx="24">
                        <c:v>44805</c:v>
                      </c:pt>
                      <c:pt idx="25">
                        <c:v>44835</c:v>
                      </c:pt>
                      <c:pt idx="26">
                        <c:v>44866</c:v>
                      </c:pt>
                      <c:pt idx="27">
                        <c:v>44896</c:v>
                      </c:pt>
                      <c:pt idx="28">
                        <c:v>44927</c:v>
                      </c:pt>
                      <c:pt idx="29">
                        <c:v>44958</c:v>
                      </c:pt>
                      <c:pt idx="30">
                        <c:v>44986</c:v>
                      </c:pt>
                      <c:pt idx="31">
                        <c:v>45017</c:v>
                      </c:pt>
                      <c:pt idx="32">
                        <c:v>45047</c:v>
                      </c:pt>
                      <c:pt idx="33">
                        <c:v>45078</c:v>
                      </c:pt>
                      <c:pt idx="34">
                        <c:v>45108</c:v>
                      </c:pt>
                      <c:pt idx="35">
                        <c:v>45139</c:v>
                      </c:pt>
                      <c:pt idx="36">
                        <c:v>45170</c:v>
                      </c:pt>
                      <c:pt idx="37">
                        <c:v>45200</c:v>
                      </c:pt>
                      <c:pt idx="38">
                        <c:v>45231</c:v>
                      </c:pt>
                      <c:pt idx="39">
                        <c:v>45261</c:v>
                      </c:pt>
                      <c:pt idx="40">
                        <c:v>45292</c:v>
                      </c:pt>
                      <c:pt idx="41">
                        <c:v>45323</c:v>
                      </c:pt>
                      <c:pt idx="42">
                        <c:v>45352</c:v>
                      </c:pt>
                    </c:numCache>
                  </c:numRef>
                </c:cat>
                <c:val>
                  <c:numRef>
                    <c:extLst xmlns:c15="http://schemas.microsoft.com/office/drawing/2012/chart">
                      <c:ext xmlns:c15="http://schemas.microsoft.com/office/drawing/2012/chart" uri="{02D57815-91ED-43cb-92C2-25804820EDAC}">
                        <c15:formulaRef>
                          <c15:sqref>[2]ACTIVITY!$T$4:$T$44</c15:sqref>
                        </c15:formulaRef>
                      </c:ext>
                    </c:extLst>
                    <c:numCache>
                      <c:formatCode>General</c:formatCode>
                      <c:ptCount val="41"/>
                      <c:pt idx="0">
                        <c:v>186.18154195442571</c:v>
                      </c:pt>
                      <c:pt idx="1">
                        <c:v>180.26297549865279</c:v>
                      </c:pt>
                      <c:pt idx="2">
                        <c:v>173.67950258547381</c:v>
                      </c:pt>
                      <c:pt idx="3">
                        <c:v>162.5306717706539</c:v>
                      </c:pt>
                      <c:pt idx="4">
                        <c:v>149.40573773941492</c:v>
                      </c:pt>
                      <c:pt idx="5">
                        <c:v>141.97394269351796</c:v>
                      </c:pt>
                      <c:pt idx="6">
                        <c:v>145.97752913286396</c:v>
                      </c:pt>
                      <c:pt idx="7">
                        <c:v>162.37567761180699</c:v>
                      </c:pt>
                      <c:pt idx="8">
                        <c:v>186.37892429314704</c:v>
                      </c:pt>
                      <c:pt idx="9">
                        <c:v>208.0682103047381</c:v>
                      </c:pt>
                      <c:pt idx="10">
                        <c:v>219.15725448282905</c:v>
                      </c:pt>
                      <c:pt idx="11">
                        <c:v>220.39527956122905</c:v>
                      </c:pt>
                      <c:pt idx="12">
                        <c:v>213.99277137059806</c:v>
                      </c:pt>
                      <c:pt idx="13">
                        <c:v>199.46188788203898</c:v>
                      </c:pt>
                      <c:pt idx="14">
                        <c:v>177.12732965379291</c:v>
                      </c:pt>
                      <c:pt idx="15">
                        <c:v>151.47861142114292</c:v>
                      </c:pt>
                      <c:pt idx="16">
                        <c:v>127.03831376486991</c:v>
                      </c:pt>
                      <c:pt idx="17">
                        <c:v>109.26642683387492</c:v>
                      </c:pt>
                      <c:pt idx="18">
                        <c:v>105.49709124386395</c:v>
                      </c:pt>
                      <c:pt idx="19">
                        <c:v>116.35382940751197</c:v>
                      </c:pt>
                      <c:pt idx="20">
                        <c:v>137.54610300864903</c:v>
                      </c:pt>
                      <c:pt idx="21">
                        <c:v>162.39582933356402</c:v>
                      </c:pt>
                      <c:pt idx="22">
                        <c:v>181.65807830243804</c:v>
                      </c:pt>
                      <c:pt idx="23">
                        <c:v>190.34286965620799</c:v>
                      </c:pt>
                      <c:pt idx="24">
                        <c:v>187.55439653973701</c:v>
                      </c:pt>
                      <c:pt idx="25">
                        <c:v>175.12765629704799</c:v>
                      </c:pt>
                      <c:pt idx="26">
                        <c:v>155.87532755529102</c:v>
                      </c:pt>
                      <c:pt idx="27">
                        <c:v>135.47704936794898</c:v>
                      </c:pt>
                      <c:pt idx="28">
                        <c:v>121.54185102777599</c:v>
                      </c:pt>
                      <c:pt idx="29">
                        <c:v>117.21631211083695</c:v>
                      </c:pt>
                      <c:pt idx="30">
                        <c:v>123.4120983593599</c:v>
                      </c:pt>
                      <c:pt idx="31">
                        <c:v>137.51025468181385</c:v>
                      </c:pt>
                      <c:pt idx="32">
                        <c:v>153.33442946197684</c:v>
                      </c:pt>
                      <c:pt idx="33">
                        <c:v>166.75804383743386</c:v>
                      </c:pt>
                      <c:pt idx="34">
                        <c:v>178.09943657385594</c:v>
                      </c:pt>
                      <c:pt idx="35">
                        <c:v>185.85242732559803</c:v>
                      </c:pt>
                      <c:pt idx="36">
                        <c:v>191.00835234784415</c:v>
                      </c:pt>
                      <c:pt idx="37">
                        <c:v>194.06803699171118</c:v>
                      </c:pt>
                      <c:pt idx="38">
                        <c:v>193.5453055267422</c:v>
                      </c:pt>
                      <c:pt idx="39">
                        <c:v>188.64208050516015</c:v>
                      </c:pt>
                      <c:pt idx="40">
                        <c:v>184.11428807416507</c:v>
                      </c:pt>
                    </c:numCache>
                  </c:numRef>
                </c:val>
                <c:smooth val="0"/>
                <c:extLst xmlns:c15="http://schemas.microsoft.com/office/drawing/2012/chart">
                  <c:ext xmlns:c16="http://schemas.microsoft.com/office/drawing/2014/chart" uri="{C3380CC4-5D6E-409C-BE32-E72D297353CC}">
                    <c16:uniqueId val="{0000001A-70EE-45C0-83B3-ADE7198B4219}"/>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'I:\LMM Branch\ERSA\6. Briefings and Requests\2024\LMU - Dec 23 edition\Data files\[DONT USE AS TEMPLATE December 2023 - Monthly RIR charts - smoothed.xlsx]ACTIVITY'!$U$3</c15:sqref>
                        </c15:formulaRef>
                      </c:ext>
                    </c:extLst>
                    <c:strCache>
                      <c:ptCount val="1"/>
                      <c:pt idx="0">
                        <c:v>TOTAL (ROS)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'Figure 11'!$A$5:$A$47</c15:sqref>
                        </c15:formulaRef>
                      </c:ext>
                    </c:extLst>
                    <c:numCache>
                      <c:formatCode>mmm\ yy</c:formatCode>
                      <c:ptCount val="43"/>
                      <c:pt idx="0">
                        <c:v>44075</c:v>
                      </c:pt>
                      <c:pt idx="1">
                        <c:v>44105</c:v>
                      </c:pt>
                      <c:pt idx="2">
                        <c:v>44136</c:v>
                      </c:pt>
                      <c:pt idx="3">
                        <c:v>44166</c:v>
                      </c:pt>
                      <c:pt idx="4">
                        <c:v>44197</c:v>
                      </c:pt>
                      <c:pt idx="5">
                        <c:v>44228</c:v>
                      </c:pt>
                      <c:pt idx="6">
                        <c:v>44256</c:v>
                      </c:pt>
                      <c:pt idx="7">
                        <c:v>44287</c:v>
                      </c:pt>
                      <c:pt idx="8">
                        <c:v>44317</c:v>
                      </c:pt>
                      <c:pt idx="9">
                        <c:v>44348</c:v>
                      </c:pt>
                      <c:pt idx="10">
                        <c:v>44378</c:v>
                      </c:pt>
                      <c:pt idx="11">
                        <c:v>44409</c:v>
                      </c:pt>
                      <c:pt idx="12">
                        <c:v>44440</c:v>
                      </c:pt>
                      <c:pt idx="13">
                        <c:v>44470</c:v>
                      </c:pt>
                      <c:pt idx="14">
                        <c:v>44501</c:v>
                      </c:pt>
                      <c:pt idx="15">
                        <c:v>44531</c:v>
                      </c:pt>
                      <c:pt idx="16">
                        <c:v>44562</c:v>
                      </c:pt>
                      <c:pt idx="17">
                        <c:v>44593</c:v>
                      </c:pt>
                      <c:pt idx="18">
                        <c:v>44621</c:v>
                      </c:pt>
                      <c:pt idx="19">
                        <c:v>44652</c:v>
                      </c:pt>
                      <c:pt idx="20">
                        <c:v>44682</c:v>
                      </c:pt>
                      <c:pt idx="21">
                        <c:v>44713</c:v>
                      </c:pt>
                      <c:pt idx="22">
                        <c:v>44743</c:v>
                      </c:pt>
                      <c:pt idx="23">
                        <c:v>44774</c:v>
                      </c:pt>
                      <c:pt idx="24">
                        <c:v>44805</c:v>
                      </c:pt>
                      <c:pt idx="25">
                        <c:v>44835</c:v>
                      </c:pt>
                      <c:pt idx="26">
                        <c:v>44866</c:v>
                      </c:pt>
                      <c:pt idx="27">
                        <c:v>44896</c:v>
                      </c:pt>
                      <c:pt idx="28">
                        <c:v>44927</c:v>
                      </c:pt>
                      <c:pt idx="29">
                        <c:v>44958</c:v>
                      </c:pt>
                      <c:pt idx="30">
                        <c:v>44986</c:v>
                      </c:pt>
                      <c:pt idx="31">
                        <c:v>45017</c:v>
                      </c:pt>
                      <c:pt idx="32">
                        <c:v>45047</c:v>
                      </c:pt>
                      <c:pt idx="33">
                        <c:v>45078</c:v>
                      </c:pt>
                      <c:pt idx="34">
                        <c:v>45108</c:v>
                      </c:pt>
                      <c:pt idx="35">
                        <c:v>45139</c:v>
                      </c:pt>
                      <c:pt idx="36">
                        <c:v>45170</c:v>
                      </c:pt>
                      <c:pt idx="37">
                        <c:v>45200</c:v>
                      </c:pt>
                      <c:pt idx="38">
                        <c:v>45231</c:v>
                      </c:pt>
                      <c:pt idx="39">
                        <c:v>45261</c:v>
                      </c:pt>
                      <c:pt idx="40">
                        <c:v>45292</c:v>
                      </c:pt>
                      <c:pt idx="41">
                        <c:v>45323</c:v>
                      </c:pt>
                      <c:pt idx="42">
                        <c:v>45352</c:v>
                      </c:pt>
                    </c:numCache>
                  </c:numRef>
                </c:cat>
                <c:val>
                  <c:numRef>
                    <c:extLst xmlns:c15="http://schemas.microsoft.com/office/drawing/2012/chart">
                      <c:ext xmlns:c15="http://schemas.microsoft.com/office/drawing/2012/chart" uri="{02D57815-91ED-43cb-92C2-25804820EDAC}">
                        <c15:formulaRef>
                          <c15:sqref>[2]ACTIVITY!$U$4:$U$44</c15:sqref>
                        </c15:formulaRef>
                      </c:ext>
                    </c:extLst>
                    <c:numCache>
                      <c:formatCode>General</c:formatCode>
                      <c:ptCount val="41"/>
                      <c:pt idx="0">
                        <c:v>456.98560019281535</c:v>
                      </c:pt>
                      <c:pt idx="1">
                        <c:v>422.61067374589044</c:v>
                      </c:pt>
                      <c:pt idx="2">
                        <c:v>386.76212534593151</c:v>
                      </c:pt>
                      <c:pt idx="3">
                        <c:v>344.94861391960063</c:v>
                      </c:pt>
                      <c:pt idx="4">
                        <c:v>304.36826229736573</c:v>
                      </c:pt>
                      <c:pt idx="5">
                        <c:v>280.24103949442883</c:v>
                      </c:pt>
                      <c:pt idx="6">
                        <c:v>282.03899454679788</c:v>
                      </c:pt>
                      <c:pt idx="7">
                        <c:v>310.41101057612099</c:v>
                      </c:pt>
                      <c:pt idx="8">
                        <c:v>357.86680693085788</c:v>
                      </c:pt>
                      <c:pt idx="9">
                        <c:v>409.57450262984884</c:v>
                      </c:pt>
                      <c:pt idx="10">
                        <c:v>450.86936136586581</c:v>
                      </c:pt>
                      <c:pt idx="11">
                        <c:v>477.17807952131875</c:v>
                      </c:pt>
                      <c:pt idx="12">
                        <c:v>482.86350007987176</c:v>
                      </c:pt>
                      <c:pt idx="13">
                        <c:v>459.95490389590179</c:v>
                      </c:pt>
                      <c:pt idx="14">
                        <c:v>406.18248677402079</c:v>
                      </c:pt>
                      <c:pt idx="15">
                        <c:v>334.04914985189475</c:v>
                      </c:pt>
                      <c:pt idx="16">
                        <c:v>261.35715564728389</c:v>
                      </c:pt>
                      <c:pt idx="17">
                        <c:v>206.06096387006789</c:v>
                      </c:pt>
                      <c:pt idx="18">
                        <c:v>183.70007597092393</c:v>
                      </c:pt>
                      <c:pt idx="19">
                        <c:v>194.68990279990496</c:v>
                      </c:pt>
                      <c:pt idx="20">
                        <c:v>227.36244506538495</c:v>
                      </c:pt>
                      <c:pt idx="21">
                        <c:v>267.89544622630393</c:v>
                      </c:pt>
                      <c:pt idx="22">
                        <c:v>300.62564292397792</c:v>
                      </c:pt>
                      <c:pt idx="23">
                        <c:v>317.90101578008995</c:v>
                      </c:pt>
                      <c:pt idx="24">
                        <c:v>317.65398017554287</c:v>
                      </c:pt>
                      <c:pt idx="25">
                        <c:v>300.84311845161199</c:v>
                      </c:pt>
                      <c:pt idx="26">
                        <c:v>270.91092350770907</c:v>
                      </c:pt>
                      <c:pt idx="27">
                        <c:v>237.61687901114004</c:v>
                      </c:pt>
                      <c:pt idx="28">
                        <c:v>214.48983144431199</c:v>
                      </c:pt>
                      <c:pt idx="29">
                        <c:v>207.81898457439192</c:v>
                      </c:pt>
                      <c:pt idx="30">
                        <c:v>219.89529159076187</c:v>
                      </c:pt>
                      <c:pt idx="31">
                        <c:v>246.69979857335076</c:v>
                      </c:pt>
                      <c:pt idx="32">
                        <c:v>278.84814234953279</c:v>
                      </c:pt>
                      <c:pt idx="33">
                        <c:v>310.45487049391886</c:v>
                      </c:pt>
                      <c:pt idx="34">
                        <c:v>340.18786982546004</c:v>
                      </c:pt>
                      <c:pt idx="35">
                        <c:v>361.40334896399514</c:v>
                      </c:pt>
                      <c:pt idx="36">
                        <c:v>372.6600536380343</c:v>
                      </c:pt>
                      <c:pt idx="37">
                        <c:v>375.48200266414437</c:v>
                      </c:pt>
                      <c:pt idx="38">
                        <c:v>368.67042625361529</c:v>
                      </c:pt>
                      <c:pt idx="39">
                        <c:v>352.62915891838031</c:v>
                      </c:pt>
                      <c:pt idx="40">
                        <c:v>336.90283409159412</c:v>
                      </c:pt>
                    </c:numCache>
                  </c:numRef>
                </c:val>
                <c:smooth val="0"/>
                <c:extLst xmlns:c15="http://schemas.microsoft.com/office/drawing/2012/chart">
                  <c:ext xmlns:c16="http://schemas.microsoft.com/office/drawing/2014/chart" uri="{C3380CC4-5D6E-409C-BE32-E72D297353CC}">
                    <c16:uniqueId val="{0000001B-70EE-45C0-83B3-ADE7198B4219}"/>
                  </c:ext>
                </c:extLst>
              </c15:ser>
            </c15:filteredLineSeries>
          </c:ext>
        </c:extLst>
      </c:lineChart>
      <c:dateAx>
        <c:axId val="1534053823"/>
        <c:scaling>
          <c:orientation val="minMax"/>
        </c:scaling>
        <c:delete val="0"/>
        <c:axPos val="b"/>
        <c:numFmt formatCode="mmm\-yy" sourceLinked="0"/>
        <c:majorTickMark val="out"/>
        <c:minorTickMark val="none"/>
        <c:tickLblPos val="nextTo"/>
        <c:spPr>
          <a:noFill/>
          <a:ln w="9525" cap="flat" cmpd="sng" algn="ctr">
            <a:solidFill>
              <a:schemeClr val="tx1"/>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27904671"/>
        <c:crosses val="autoZero"/>
        <c:auto val="1"/>
        <c:lblOffset val="100"/>
        <c:baseTimeUnit val="months"/>
        <c:majorUnit val="3"/>
        <c:majorTimeUnit val="months"/>
      </c:dateAx>
      <c:valAx>
        <c:axId val="1527904671"/>
        <c:scaling>
          <c:orientation val="minMax"/>
          <c:min val="0.30000000000000004"/>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Proportion of all employers</a:t>
                </a:r>
              </a:p>
            </c:rich>
          </c:tx>
          <c:layout>
            <c:manualLayout>
              <c:xMode val="edge"/>
              <c:yMode val="edge"/>
              <c:x val="1.3871878203590203E-2"/>
              <c:y val="0.1321256017650034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34053823"/>
        <c:crosses val="autoZero"/>
        <c:crossBetween val="between"/>
        <c:majorUnit val="0.1"/>
      </c:valAx>
      <c:spPr>
        <a:noFill/>
        <a:ln>
          <a:noFill/>
        </a:ln>
        <a:effectLst/>
      </c:spPr>
    </c:plotArea>
    <c:legend>
      <c:legendPos val="b"/>
      <c:legendEntry>
        <c:idx val="0"/>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'[NLD LMU March 23 chart data.xlsx]Cap cities vs. Reg Aus (Fig.13)'!$N$1</c:f>
              <c:strCache>
                <c:ptCount val="1"/>
                <c:pt idx="0">
                  <c:v>Capital cities</c:v>
                </c:pt>
              </c:strCache>
            </c:strRef>
          </c:tx>
          <c:spPr>
            <a:ln w="28575" cap="rnd">
              <a:solidFill>
                <a:srgbClr val="6929C4"/>
              </a:solidFill>
              <a:round/>
            </a:ln>
            <a:effectLst/>
          </c:spPr>
          <c:marker>
            <c:symbol val="none"/>
          </c:marker>
          <c:cat>
            <c:numRef>
              <c:f>'[NLD LMU March 23 chart data.xlsx]Cap cities vs. Reg Aus (Fig.13)'!$M$2:$M$62</c:f>
              <c:numCache>
                <c:formatCode>mmm\-yy</c:formatCode>
                <c:ptCount val="61"/>
                <c:pt idx="0">
                  <c:v>43525</c:v>
                </c:pt>
                <c:pt idx="1">
                  <c:v>43556</c:v>
                </c:pt>
                <c:pt idx="2">
                  <c:v>43586</c:v>
                </c:pt>
                <c:pt idx="3">
                  <c:v>43617</c:v>
                </c:pt>
                <c:pt idx="4">
                  <c:v>43647</c:v>
                </c:pt>
                <c:pt idx="5">
                  <c:v>43678</c:v>
                </c:pt>
                <c:pt idx="6">
                  <c:v>43709</c:v>
                </c:pt>
                <c:pt idx="7">
                  <c:v>43739</c:v>
                </c:pt>
                <c:pt idx="8">
                  <c:v>43770</c:v>
                </c:pt>
                <c:pt idx="9">
                  <c:v>43800</c:v>
                </c:pt>
                <c:pt idx="10">
                  <c:v>43831</c:v>
                </c:pt>
                <c:pt idx="11">
                  <c:v>43862</c:v>
                </c:pt>
                <c:pt idx="12">
                  <c:v>43891</c:v>
                </c:pt>
                <c:pt idx="13">
                  <c:v>43922</c:v>
                </c:pt>
                <c:pt idx="14">
                  <c:v>43952</c:v>
                </c:pt>
                <c:pt idx="15">
                  <c:v>43983</c:v>
                </c:pt>
                <c:pt idx="16">
                  <c:v>44013</c:v>
                </c:pt>
                <c:pt idx="17">
                  <c:v>44044</c:v>
                </c:pt>
                <c:pt idx="18">
                  <c:v>44075</c:v>
                </c:pt>
                <c:pt idx="19">
                  <c:v>44105</c:v>
                </c:pt>
                <c:pt idx="20">
                  <c:v>44136</c:v>
                </c:pt>
                <c:pt idx="21">
                  <c:v>44166</c:v>
                </c:pt>
                <c:pt idx="22">
                  <c:v>44197</c:v>
                </c:pt>
                <c:pt idx="23">
                  <c:v>44228</c:v>
                </c:pt>
                <c:pt idx="24">
                  <c:v>44256</c:v>
                </c:pt>
                <c:pt idx="25">
                  <c:v>44287</c:v>
                </c:pt>
                <c:pt idx="26">
                  <c:v>44317</c:v>
                </c:pt>
                <c:pt idx="27">
                  <c:v>44348</c:v>
                </c:pt>
                <c:pt idx="28">
                  <c:v>44378</c:v>
                </c:pt>
                <c:pt idx="29">
                  <c:v>44409</c:v>
                </c:pt>
                <c:pt idx="30">
                  <c:v>44440</c:v>
                </c:pt>
                <c:pt idx="31">
                  <c:v>44470</c:v>
                </c:pt>
                <c:pt idx="32">
                  <c:v>44501</c:v>
                </c:pt>
                <c:pt idx="33">
                  <c:v>44531</c:v>
                </c:pt>
                <c:pt idx="34">
                  <c:v>44562</c:v>
                </c:pt>
                <c:pt idx="35">
                  <c:v>44593</c:v>
                </c:pt>
                <c:pt idx="36">
                  <c:v>44621</c:v>
                </c:pt>
                <c:pt idx="37">
                  <c:v>44652</c:v>
                </c:pt>
                <c:pt idx="38">
                  <c:v>44682</c:v>
                </c:pt>
                <c:pt idx="39">
                  <c:v>44713</c:v>
                </c:pt>
                <c:pt idx="40">
                  <c:v>44743</c:v>
                </c:pt>
                <c:pt idx="41">
                  <c:v>44774</c:v>
                </c:pt>
                <c:pt idx="42">
                  <c:v>44805</c:v>
                </c:pt>
                <c:pt idx="43">
                  <c:v>44835</c:v>
                </c:pt>
                <c:pt idx="44">
                  <c:v>44866</c:v>
                </c:pt>
                <c:pt idx="45">
                  <c:v>44896</c:v>
                </c:pt>
                <c:pt idx="46">
                  <c:v>44927</c:v>
                </c:pt>
                <c:pt idx="47">
                  <c:v>44958</c:v>
                </c:pt>
                <c:pt idx="48">
                  <c:v>44986</c:v>
                </c:pt>
                <c:pt idx="49">
                  <c:v>45017</c:v>
                </c:pt>
                <c:pt idx="50">
                  <c:v>45047</c:v>
                </c:pt>
                <c:pt idx="51">
                  <c:v>45078</c:v>
                </c:pt>
                <c:pt idx="52">
                  <c:v>45108</c:v>
                </c:pt>
                <c:pt idx="53">
                  <c:v>45139</c:v>
                </c:pt>
                <c:pt idx="54">
                  <c:v>45170</c:v>
                </c:pt>
                <c:pt idx="55">
                  <c:v>45200</c:v>
                </c:pt>
                <c:pt idx="56">
                  <c:v>45231</c:v>
                </c:pt>
                <c:pt idx="57">
                  <c:v>45261</c:v>
                </c:pt>
                <c:pt idx="58">
                  <c:v>45292</c:v>
                </c:pt>
                <c:pt idx="59">
                  <c:v>45323</c:v>
                </c:pt>
                <c:pt idx="60">
                  <c:v>45352</c:v>
                </c:pt>
              </c:numCache>
            </c:numRef>
          </c:cat>
          <c:val>
            <c:numRef>
              <c:f>'[NLD LMU March 23 chart data.xlsx]Cap cities vs. Reg Aus (Fig.13)'!$N$2:$N$62</c:f>
              <c:numCache>
                <c:formatCode>0</c:formatCode>
                <c:ptCount val="61"/>
                <c:pt idx="0">
                  <c:v>147.91433333333299</c:v>
                </c:pt>
                <c:pt idx="1">
                  <c:v>138.94766666666598</c:v>
                </c:pt>
                <c:pt idx="2">
                  <c:v>139.71633333333298</c:v>
                </c:pt>
                <c:pt idx="3">
                  <c:v>133.432999999999</c:v>
                </c:pt>
                <c:pt idx="4">
                  <c:v>139.00133333333298</c:v>
                </c:pt>
                <c:pt idx="5">
                  <c:v>136.629666666666</c:v>
                </c:pt>
                <c:pt idx="6">
                  <c:v>140.010333333332</c:v>
                </c:pt>
                <c:pt idx="7">
                  <c:v>139.34100000000001</c:v>
                </c:pt>
                <c:pt idx="8">
                  <c:v>133.48433333333298</c:v>
                </c:pt>
                <c:pt idx="9">
                  <c:v>118.462666666666</c:v>
                </c:pt>
                <c:pt idx="10">
                  <c:v>116.755333333333</c:v>
                </c:pt>
                <c:pt idx="11">
                  <c:v>118.59699999999999</c:v>
                </c:pt>
                <c:pt idx="12">
                  <c:v>121.50899999999899</c:v>
                </c:pt>
                <c:pt idx="13">
                  <c:v>90.093999999999895</c:v>
                </c:pt>
                <c:pt idx="14">
                  <c:v>68.546333333333294</c:v>
                </c:pt>
                <c:pt idx="15">
                  <c:v>63.8736666666668</c:v>
                </c:pt>
                <c:pt idx="16">
                  <c:v>82.398333333333099</c:v>
                </c:pt>
                <c:pt idx="17">
                  <c:v>93.608999999999696</c:v>
                </c:pt>
                <c:pt idx="18">
                  <c:v>103.091666666666</c:v>
                </c:pt>
                <c:pt idx="19">
                  <c:v>111.526666666666</c:v>
                </c:pt>
                <c:pt idx="20">
                  <c:v>120.50933333333299</c:v>
                </c:pt>
                <c:pt idx="21">
                  <c:v>114.796333333333</c:v>
                </c:pt>
                <c:pt idx="22">
                  <c:v>119.328666666666</c:v>
                </c:pt>
                <c:pt idx="23">
                  <c:v>127.97399999999899</c:v>
                </c:pt>
                <c:pt idx="24">
                  <c:v>155.332666666666</c:v>
                </c:pt>
                <c:pt idx="25">
                  <c:v>164.45233333333402</c:v>
                </c:pt>
                <c:pt idx="26">
                  <c:v>172.23666666666702</c:v>
                </c:pt>
                <c:pt idx="27">
                  <c:v>169.685000000001</c:v>
                </c:pt>
                <c:pt idx="28">
                  <c:v>172.167333333334</c:v>
                </c:pt>
                <c:pt idx="29">
                  <c:v>170.404666666667</c:v>
                </c:pt>
                <c:pt idx="30">
                  <c:v>173.06533333333402</c:v>
                </c:pt>
                <c:pt idx="31">
                  <c:v>182.54033333333402</c:v>
                </c:pt>
                <c:pt idx="32">
                  <c:v>193.79466666666701</c:v>
                </c:pt>
                <c:pt idx="33">
                  <c:v>179.22766666666701</c:v>
                </c:pt>
                <c:pt idx="34">
                  <c:v>177.24433333333403</c:v>
                </c:pt>
                <c:pt idx="35">
                  <c:v>179.49866666666702</c:v>
                </c:pt>
                <c:pt idx="36">
                  <c:v>214.304</c:v>
                </c:pt>
                <c:pt idx="37">
                  <c:v>213.49</c:v>
                </c:pt>
                <c:pt idx="38">
                  <c:v>220.64133333333299</c:v>
                </c:pt>
                <c:pt idx="39">
                  <c:v>213.81100000000001</c:v>
                </c:pt>
                <c:pt idx="40">
                  <c:v>221.02066666666701</c:v>
                </c:pt>
                <c:pt idx="41">
                  <c:v>223.34966666666702</c:v>
                </c:pt>
                <c:pt idx="42">
                  <c:v>221.73066666666702</c:v>
                </c:pt>
                <c:pt idx="43">
                  <c:v>222.40966666666699</c:v>
                </c:pt>
                <c:pt idx="44">
                  <c:v>211.648666666667</c:v>
                </c:pt>
                <c:pt idx="45">
                  <c:v>185.19033333333402</c:v>
                </c:pt>
                <c:pt idx="46">
                  <c:v>181.09200000000001</c:v>
                </c:pt>
                <c:pt idx="47">
                  <c:v>180.73666666666702</c:v>
                </c:pt>
                <c:pt idx="48">
                  <c:v>210.86133333333402</c:v>
                </c:pt>
                <c:pt idx="49">
                  <c:v>201.607</c:v>
                </c:pt>
                <c:pt idx="50">
                  <c:v>204.507000000001</c:v>
                </c:pt>
                <c:pt idx="51">
                  <c:v>194.25833333333401</c:v>
                </c:pt>
                <c:pt idx="52">
                  <c:v>200.220666666667</c:v>
                </c:pt>
                <c:pt idx="53">
                  <c:v>200.17133333333402</c:v>
                </c:pt>
                <c:pt idx="54">
                  <c:v>199.124666666667</c:v>
                </c:pt>
                <c:pt idx="55">
                  <c:v>199.92033333333401</c:v>
                </c:pt>
                <c:pt idx="56">
                  <c:v>188.11099999999999</c:v>
                </c:pt>
                <c:pt idx="57">
                  <c:v>163.61233333333402</c:v>
                </c:pt>
                <c:pt idx="58">
                  <c:v>158.750666666667</c:v>
                </c:pt>
                <c:pt idx="59">
                  <c:v>159.67766666666699</c:v>
                </c:pt>
                <c:pt idx="60">
                  <c:v>176.68166666666701</c:v>
                </c:pt>
              </c:numCache>
            </c:numRef>
          </c:val>
          <c:smooth val="0"/>
          <c:extLst>
            <c:ext xmlns:c16="http://schemas.microsoft.com/office/drawing/2014/chart" uri="{C3380CC4-5D6E-409C-BE32-E72D297353CC}">
              <c16:uniqueId val="{00000000-E5F5-4E2C-971B-101BD2BBB450}"/>
            </c:ext>
          </c:extLst>
        </c:ser>
        <c:dLbls>
          <c:showLegendKey val="0"/>
          <c:showVal val="0"/>
          <c:showCatName val="0"/>
          <c:showSerName val="0"/>
          <c:showPercent val="0"/>
          <c:showBubbleSize val="0"/>
        </c:dLbls>
        <c:marker val="1"/>
        <c:smooth val="0"/>
        <c:axId val="130685248"/>
        <c:axId val="146080848"/>
      </c:lineChart>
      <c:lineChart>
        <c:grouping val="standard"/>
        <c:varyColors val="0"/>
        <c:ser>
          <c:idx val="1"/>
          <c:order val="1"/>
          <c:tx>
            <c:strRef>
              <c:f>'[NLD LMU March 23 chart data.xlsx]Cap cities vs. Reg Aus (Fig.13)'!$O$1</c:f>
              <c:strCache>
                <c:ptCount val="1"/>
                <c:pt idx="0">
                  <c:v>Rest of state areas</c:v>
                </c:pt>
              </c:strCache>
            </c:strRef>
          </c:tx>
          <c:spPr>
            <a:ln w="28575" cap="rnd">
              <a:solidFill>
                <a:srgbClr val="009D9A"/>
              </a:solidFill>
              <a:round/>
            </a:ln>
            <a:effectLst/>
          </c:spPr>
          <c:marker>
            <c:symbol val="none"/>
          </c:marker>
          <c:cat>
            <c:numRef>
              <c:f>'[NLD LMU March 23 chart data.xlsx]Cap cities vs. Reg Aus (Fig.13)'!$M$2:$M$62</c:f>
              <c:numCache>
                <c:formatCode>mmm\-yy</c:formatCode>
                <c:ptCount val="61"/>
                <c:pt idx="0">
                  <c:v>43525</c:v>
                </c:pt>
                <c:pt idx="1">
                  <c:v>43556</c:v>
                </c:pt>
                <c:pt idx="2">
                  <c:v>43586</c:v>
                </c:pt>
                <c:pt idx="3">
                  <c:v>43617</c:v>
                </c:pt>
                <c:pt idx="4">
                  <c:v>43647</c:v>
                </c:pt>
                <c:pt idx="5">
                  <c:v>43678</c:v>
                </c:pt>
                <c:pt idx="6">
                  <c:v>43709</c:v>
                </c:pt>
                <c:pt idx="7">
                  <c:v>43739</c:v>
                </c:pt>
                <c:pt idx="8">
                  <c:v>43770</c:v>
                </c:pt>
                <c:pt idx="9">
                  <c:v>43800</c:v>
                </c:pt>
                <c:pt idx="10">
                  <c:v>43831</c:v>
                </c:pt>
                <c:pt idx="11">
                  <c:v>43862</c:v>
                </c:pt>
                <c:pt idx="12">
                  <c:v>43891</c:v>
                </c:pt>
                <c:pt idx="13">
                  <c:v>43922</c:v>
                </c:pt>
                <c:pt idx="14">
                  <c:v>43952</c:v>
                </c:pt>
                <c:pt idx="15">
                  <c:v>43983</c:v>
                </c:pt>
                <c:pt idx="16">
                  <c:v>44013</c:v>
                </c:pt>
                <c:pt idx="17">
                  <c:v>44044</c:v>
                </c:pt>
                <c:pt idx="18">
                  <c:v>44075</c:v>
                </c:pt>
                <c:pt idx="19">
                  <c:v>44105</c:v>
                </c:pt>
                <c:pt idx="20">
                  <c:v>44136</c:v>
                </c:pt>
                <c:pt idx="21">
                  <c:v>44166</c:v>
                </c:pt>
                <c:pt idx="22">
                  <c:v>44197</c:v>
                </c:pt>
                <c:pt idx="23">
                  <c:v>44228</c:v>
                </c:pt>
                <c:pt idx="24">
                  <c:v>44256</c:v>
                </c:pt>
                <c:pt idx="25">
                  <c:v>44287</c:v>
                </c:pt>
                <c:pt idx="26">
                  <c:v>44317</c:v>
                </c:pt>
                <c:pt idx="27">
                  <c:v>44348</c:v>
                </c:pt>
                <c:pt idx="28">
                  <c:v>44378</c:v>
                </c:pt>
                <c:pt idx="29">
                  <c:v>44409</c:v>
                </c:pt>
                <c:pt idx="30">
                  <c:v>44440</c:v>
                </c:pt>
                <c:pt idx="31">
                  <c:v>44470</c:v>
                </c:pt>
                <c:pt idx="32">
                  <c:v>44501</c:v>
                </c:pt>
                <c:pt idx="33">
                  <c:v>44531</c:v>
                </c:pt>
                <c:pt idx="34">
                  <c:v>44562</c:v>
                </c:pt>
                <c:pt idx="35">
                  <c:v>44593</c:v>
                </c:pt>
                <c:pt idx="36">
                  <c:v>44621</c:v>
                </c:pt>
                <c:pt idx="37">
                  <c:v>44652</c:v>
                </c:pt>
                <c:pt idx="38">
                  <c:v>44682</c:v>
                </c:pt>
                <c:pt idx="39">
                  <c:v>44713</c:v>
                </c:pt>
                <c:pt idx="40">
                  <c:v>44743</c:v>
                </c:pt>
                <c:pt idx="41">
                  <c:v>44774</c:v>
                </c:pt>
                <c:pt idx="42">
                  <c:v>44805</c:v>
                </c:pt>
                <c:pt idx="43">
                  <c:v>44835</c:v>
                </c:pt>
                <c:pt idx="44">
                  <c:v>44866</c:v>
                </c:pt>
                <c:pt idx="45">
                  <c:v>44896</c:v>
                </c:pt>
                <c:pt idx="46">
                  <c:v>44927</c:v>
                </c:pt>
                <c:pt idx="47">
                  <c:v>44958</c:v>
                </c:pt>
                <c:pt idx="48">
                  <c:v>44986</c:v>
                </c:pt>
                <c:pt idx="49">
                  <c:v>45017</c:v>
                </c:pt>
                <c:pt idx="50">
                  <c:v>45047</c:v>
                </c:pt>
                <c:pt idx="51">
                  <c:v>45078</c:v>
                </c:pt>
                <c:pt idx="52">
                  <c:v>45108</c:v>
                </c:pt>
                <c:pt idx="53">
                  <c:v>45139</c:v>
                </c:pt>
                <c:pt idx="54">
                  <c:v>45170</c:v>
                </c:pt>
                <c:pt idx="55">
                  <c:v>45200</c:v>
                </c:pt>
                <c:pt idx="56">
                  <c:v>45231</c:v>
                </c:pt>
                <c:pt idx="57">
                  <c:v>45261</c:v>
                </c:pt>
                <c:pt idx="58">
                  <c:v>45292</c:v>
                </c:pt>
                <c:pt idx="59">
                  <c:v>45323</c:v>
                </c:pt>
                <c:pt idx="60">
                  <c:v>45352</c:v>
                </c:pt>
              </c:numCache>
            </c:numRef>
          </c:cat>
          <c:val>
            <c:numRef>
              <c:f>'[NLD LMU March 23 chart data.xlsx]Cap cities vs. Reg Aus (Fig.13)'!$O$2:$O$62</c:f>
              <c:numCache>
                <c:formatCode>0</c:formatCode>
                <c:ptCount val="61"/>
                <c:pt idx="0">
                  <c:v>38.079333333333501</c:v>
                </c:pt>
                <c:pt idx="1">
                  <c:v>35.703666666666898</c:v>
                </c:pt>
                <c:pt idx="2">
                  <c:v>36.365000000000194</c:v>
                </c:pt>
                <c:pt idx="3">
                  <c:v>35.145000000000302</c:v>
                </c:pt>
                <c:pt idx="4">
                  <c:v>37.3873333333337</c:v>
                </c:pt>
                <c:pt idx="5">
                  <c:v>37.7133333333338</c:v>
                </c:pt>
                <c:pt idx="6">
                  <c:v>39.554666666666897</c:v>
                </c:pt>
                <c:pt idx="7">
                  <c:v>39.583000000000197</c:v>
                </c:pt>
                <c:pt idx="8">
                  <c:v>38.029666666666806</c:v>
                </c:pt>
                <c:pt idx="9">
                  <c:v>33.661333333333801</c:v>
                </c:pt>
                <c:pt idx="10">
                  <c:v>33.380333333333105</c:v>
                </c:pt>
                <c:pt idx="11">
                  <c:v>33.719000000000797</c:v>
                </c:pt>
                <c:pt idx="12">
                  <c:v>34.955666666666801</c:v>
                </c:pt>
                <c:pt idx="13">
                  <c:v>27.7326666666664</c:v>
                </c:pt>
                <c:pt idx="14">
                  <c:v>24.313333333333201</c:v>
                </c:pt>
                <c:pt idx="15">
                  <c:v>25.7073333333331</c:v>
                </c:pt>
                <c:pt idx="16">
                  <c:v>33.6656666666672</c:v>
                </c:pt>
                <c:pt idx="17">
                  <c:v>38.762666666667002</c:v>
                </c:pt>
                <c:pt idx="18">
                  <c:v>43.247666666666802</c:v>
                </c:pt>
                <c:pt idx="19">
                  <c:v>46.566333333333503</c:v>
                </c:pt>
                <c:pt idx="20">
                  <c:v>49.436666666666895</c:v>
                </c:pt>
                <c:pt idx="21">
                  <c:v>46.354000000000298</c:v>
                </c:pt>
                <c:pt idx="22">
                  <c:v>46.634333333333501</c:v>
                </c:pt>
                <c:pt idx="23">
                  <c:v>48.1700000000004</c:v>
                </c:pt>
                <c:pt idx="24">
                  <c:v>56.3513333333334</c:v>
                </c:pt>
                <c:pt idx="25">
                  <c:v>57.546000000001897</c:v>
                </c:pt>
                <c:pt idx="26">
                  <c:v>58.986000000001603</c:v>
                </c:pt>
                <c:pt idx="27">
                  <c:v>57.624333333334903</c:v>
                </c:pt>
                <c:pt idx="28">
                  <c:v>59.392666666668198</c:v>
                </c:pt>
                <c:pt idx="29">
                  <c:v>59.279666666668405</c:v>
                </c:pt>
                <c:pt idx="30">
                  <c:v>60.740333333334902</c:v>
                </c:pt>
                <c:pt idx="31">
                  <c:v>63.686000000001705</c:v>
                </c:pt>
                <c:pt idx="32">
                  <c:v>67.758999999995396</c:v>
                </c:pt>
                <c:pt idx="33">
                  <c:v>63.213666666668303</c:v>
                </c:pt>
                <c:pt idx="34">
                  <c:v>62.365000000001302</c:v>
                </c:pt>
                <c:pt idx="35">
                  <c:v>62.383000000001601</c:v>
                </c:pt>
                <c:pt idx="36">
                  <c:v>72.386333333329404</c:v>
                </c:pt>
                <c:pt idx="37">
                  <c:v>71.278666666662701</c:v>
                </c:pt>
                <c:pt idx="38">
                  <c:v>73.449333333329008</c:v>
                </c:pt>
                <c:pt idx="39">
                  <c:v>71.72233333332909</c:v>
                </c:pt>
                <c:pt idx="40">
                  <c:v>75.474666666662898</c:v>
                </c:pt>
                <c:pt idx="41">
                  <c:v>78.417666666663393</c:v>
                </c:pt>
                <c:pt idx="42">
                  <c:v>80.019333333330195</c:v>
                </c:pt>
                <c:pt idx="43">
                  <c:v>81.101333333330302</c:v>
                </c:pt>
                <c:pt idx="44">
                  <c:v>78.153333333330195</c:v>
                </c:pt>
                <c:pt idx="45">
                  <c:v>69.771333333329096</c:v>
                </c:pt>
                <c:pt idx="46">
                  <c:v>69.776999999995994</c:v>
                </c:pt>
                <c:pt idx="47">
                  <c:v>69.735999999996196</c:v>
                </c:pt>
                <c:pt idx="48">
                  <c:v>80.118666666663998</c:v>
                </c:pt>
                <c:pt idx="49">
                  <c:v>76.305333333329997</c:v>
                </c:pt>
                <c:pt idx="50">
                  <c:v>78.317999999996701</c:v>
                </c:pt>
                <c:pt idx="51">
                  <c:v>75.039999999995601</c:v>
                </c:pt>
                <c:pt idx="52">
                  <c:v>77.61833333333</c:v>
                </c:pt>
                <c:pt idx="53">
                  <c:v>78.151666666663004</c:v>
                </c:pt>
                <c:pt idx="54">
                  <c:v>78.536999999996596</c:v>
                </c:pt>
                <c:pt idx="55">
                  <c:v>79.657666666663189</c:v>
                </c:pt>
                <c:pt idx="56">
                  <c:v>75.493333333329701</c:v>
                </c:pt>
                <c:pt idx="57">
                  <c:v>67.076333333331903</c:v>
                </c:pt>
                <c:pt idx="58">
                  <c:v>65.72699999999729</c:v>
                </c:pt>
                <c:pt idx="59">
                  <c:v>65.128666666667797</c:v>
                </c:pt>
                <c:pt idx="60" formatCode="General">
                  <c:v>70.357999999996409</c:v>
                </c:pt>
              </c:numCache>
            </c:numRef>
          </c:val>
          <c:smooth val="0"/>
          <c:extLst>
            <c:ext xmlns:c16="http://schemas.microsoft.com/office/drawing/2014/chart" uri="{C3380CC4-5D6E-409C-BE32-E72D297353CC}">
              <c16:uniqueId val="{00000001-E5F5-4E2C-971B-101BD2BBB450}"/>
            </c:ext>
          </c:extLst>
        </c:ser>
        <c:dLbls>
          <c:showLegendKey val="0"/>
          <c:showVal val="0"/>
          <c:showCatName val="0"/>
          <c:showSerName val="0"/>
          <c:showPercent val="0"/>
          <c:showBubbleSize val="0"/>
        </c:dLbls>
        <c:marker val="1"/>
        <c:smooth val="0"/>
        <c:axId val="1426822656"/>
        <c:axId val="592840015"/>
      </c:lineChart>
      <c:dateAx>
        <c:axId val="130685248"/>
        <c:scaling>
          <c:orientation val="minMax"/>
        </c:scaling>
        <c:delete val="0"/>
        <c:axPos val="b"/>
        <c:numFmt formatCode="mmm\-yyyy" sourceLinked="0"/>
        <c:majorTickMark val="out"/>
        <c:minorTickMark val="none"/>
        <c:tickLblPos val="nextTo"/>
        <c:spPr>
          <a:noFill/>
          <a:ln w="9525" cap="flat" cmpd="sng" algn="ctr">
            <a:solidFill>
              <a:schemeClr val="tx1"/>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080848"/>
        <c:crosses val="autoZero"/>
        <c:auto val="1"/>
        <c:lblOffset val="100"/>
        <c:baseTimeUnit val="months"/>
        <c:majorUnit val="1"/>
        <c:majorTimeUnit val="years"/>
      </c:dateAx>
      <c:valAx>
        <c:axId val="14608084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Job advertisements: </a:t>
                </a:r>
              </a:p>
              <a:p>
                <a:pPr>
                  <a:defRPr/>
                </a:pPr>
                <a:r>
                  <a:rPr lang="en-AU"/>
                  <a:t>Capital cities ('000s)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685248"/>
        <c:crosses val="autoZero"/>
        <c:crossBetween val="between"/>
      </c:valAx>
      <c:valAx>
        <c:axId val="592840015"/>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Job advertisements:</a:t>
                </a:r>
              </a:p>
              <a:p>
                <a:pPr>
                  <a:defRPr/>
                </a:pPr>
                <a:r>
                  <a:rPr lang="en-AU"/>
                  <a:t>Rest of state areas ('000)</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822656"/>
        <c:crosses val="max"/>
        <c:crossBetween val="between"/>
        <c:majorUnit val="20"/>
      </c:valAx>
      <c:dateAx>
        <c:axId val="1426822656"/>
        <c:scaling>
          <c:orientation val="minMax"/>
        </c:scaling>
        <c:delete val="1"/>
        <c:axPos val="b"/>
        <c:numFmt formatCode="mmm\-yy" sourceLinked="1"/>
        <c:majorTickMark val="out"/>
        <c:minorTickMark val="none"/>
        <c:tickLblPos val="nextTo"/>
        <c:crossAx val="592840015"/>
        <c:crosses val="autoZero"/>
        <c:auto val="1"/>
        <c:lblOffset val="100"/>
        <c:baseTimeUnit val="months"/>
        <c:majorUnit val="1"/>
        <c:minorUnit val="1"/>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2"/>
          <c:spPr>
            <a:ln w="12700" cap="rnd">
              <a:solidFill>
                <a:schemeClr val="accent1"/>
              </a:solidFill>
              <a:round/>
            </a:ln>
            <a:effectLst/>
          </c:spPr>
          <c:marker>
            <c:symbol val="none"/>
          </c:marker>
          <c:cat>
            <c:numRef>
              <c:f>'Figure 13'!$A$5:$A$47</c:f>
              <c:numCache>
                <c:formatCode>mmm\ yy</c:formatCode>
                <c:ptCount val="43"/>
                <c:pt idx="0">
                  <c:v>44075</c:v>
                </c:pt>
                <c:pt idx="1">
                  <c:v>44105</c:v>
                </c:pt>
                <c:pt idx="2">
                  <c:v>44136</c:v>
                </c:pt>
                <c:pt idx="3">
                  <c:v>44166</c:v>
                </c:pt>
                <c:pt idx="4">
                  <c:v>44197</c:v>
                </c:pt>
                <c:pt idx="5">
                  <c:v>44228</c:v>
                </c:pt>
                <c:pt idx="6">
                  <c:v>44256</c:v>
                </c:pt>
                <c:pt idx="7">
                  <c:v>44287</c:v>
                </c:pt>
                <c:pt idx="8">
                  <c:v>44317</c:v>
                </c:pt>
                <c:pt idx="9">
                  <c:v>44348</c:v>
                </c:pt>
                <c:pt idx="10">
                  <c:v>44378</c:v>
                </c:pt>
                <c:pt idx="11">
                  <c:v>44409</c:v>
                </c:pt>
                <c:pt idx="12">
                  <c:v>44440</c:v>
                </c:pt>
                <c:pt idx="13">
                  <c:v>44470</c:v>
                </c:pt>
                <c:pt idx="14">
                  <c:v>44501</c:v>
                </c:pt>
                <c:pt idx="15">
                  <c:v>44531</c:v>
                </c:pt>
                <c:pt idx="16">
                  <c:v>44562</c:v>
                </c:pt>
                <c:pt idx="17">
                  <c:v>44593</c:v>
                </c:pt>
                <c:pt idx="18">
                  <c:v>44621</c:v>
                </c:pt>
                <c:pt idx="19">
                  <c:v>44652</c:v>
                </c:pt>
                <c:pt idx="20">
                  <c:v>44682</c:v>
                </c:pt>
                <c:pt idx="21">
                  <c:v>44713</c:v>
                </c:pt>
                <c:pt idx="22">
                  <c:v>44743</c:v>
                </c:pt>
                <c:pt idx="23">
                  <c:v>44774</c:v>
                </c:pt>
                <c:pt idx="24">
                  <c:v>44805</c:v>
                </c:pt>
                <c:pt idx="25">
                  <c:v>44835</c:v>
                </c:pt>
                <c:pt idx="26">
                  <c:v>44866</c:v>
                </c:pt>
                <c:pt idx="27">
                  <c:v>44896</c:v>
                </c:pt>
                <c:pt idx="28">
                  <c:v>44927</c:v>
                </c:pt>
                <c:pt idx="29">
                  <c:v>44958</c:v>
                </c:pt>
                <c:pt idx="30">
                  <c:v>44986</c:v>
                </c:pt>
                <c:pt idx="31">
                  <c:v>45017</c:v>
                </c:pt>
                <c:pt idx="32">
                  <c:v>45047</c:v>
                </c:pt>
                <c:pt idx="33">
                  <c:v>45078</c:v>
                </c:pt>
                <c:pt idx="34">
                  <c:v>45108</c:v>
                </c:pt>
                <c:pt idx="35">
                  <c:v>45139</c:v>
                </c:pt>
                <c:pt idx="36">
                  <c:v>45170</c:v>
                </c:pt>
                <c:pt idx="37">
                  <c:v>45200</c:v>
                </c:pt>
                <c:pt idx="38">
                  <c:v>45231</c:v>
                </c:pt>
                <c:pt idx="39">
                  <c:v>45261</c:v>
                </c:pt>
                <c:pt idx="40">
                  <c:v>45292</c:v>
                </c:pt>
                <c:pt idx="41">
                  <c:v>45323</c:v>
                </c:pt>
                <c:pt idx="42">
                  <c:v>45352</c:v>
                </c:pt>
              </c:numCache>
            </c:numRef>
          </c:cat>
          <c:val>
            <c:numRef>
              <c:f>'Figure 13'!$B$5:$B$47</c:f>
              <c:numCache>
                <c:formatCode>0.00%</c:formatCode>
                <c:ptCount val="43"/>
                <c:pt idx="0">
                  <c:v>0.40214673557221553</c:v>
                </c:pt>
                <c:pt idx="1">
                  <c:v>0.38591411920226848</c:v>
                </c:pt>
                <c:pt idx="2">
                  <c:v>0.37067379785029009</c:v>
                </c:pt>
                <c:pt idx="3">
                  <c:v>0.3602617805416326</c:v>
                </c:pt>
                <c:pt idx="4">
                  <c:v>0.36492338054752654</c:v>
                </c:pt>
                <c:pt idx="5">
                  <c:v>0.38882572547046967</c:v>
                </c:pt>
                <c:pt idx="6">
                  <c:v>0.41992398758044452</c:v>
                </c:pt>
                <c:pt idx="7">
                  <c:v>0.44604146220295643</c:v>
                </c:pt>
                <c:pt idx="8">
                  <c:v>0.46370207901644001</c:v>
                </c:pt>
                <c:pt idx="9">
                  <c:v>0.47819409059689855</c:v>
                </c:pt>
                <c:pt idx="10">
                  <c:v>0.49340553571358475</c:v>
                </c:pt>
                <c:pt idx="11">
                  <c:v>0.50769599900941143</c:v>
                </c:pt>
                <c:pt idx="12">
                  <c:v>0.52181945426065324</c:v>
                </c:pt>
                <c:pt idx="13">
                  <c:v>0.53934238506025589</c:v>
                </c:pt>
                <c:pt idx="14">
                  <c:v>0.55814765249337428</c:v>
                </c:pt>
                <c:pt idx="15">
                  <c:v>0.57785253715845997</c:v>
                </c:pt>
                <c:pt idx="16">
                  <c:v>0.60160108013927294</c:v>
                </c:pt>
                <c:pt idx="17">
                  <c:v>0.62558112202707294</c:v>
                </c:pt>
                <c:pt idx="18">
                  <c:v>0.64843037132704517</c:v>
                </c:pt>
                <c:pt idx="19">
                  <c:v>0.66805629418723966</c:v>
                </c:pt>
                <c:pt idx="20">
                  <c:v>0.68230176213226068</c:v>
                </c:pt>
                <c:pt idx="21">
                  <c:v>0.69376626591455137</c:v>
                </c:pt>
                <c:pt idx="22">
                  <c:v>0.70074580575665757</c:v>
                </c:pt>
                <c:pt idx="23">
                  <c:v>0.70300782555292318</c:v>
                </c:pt>
                <c:pt idx="24">
                  <c:v>0.6976366022531959</c:v>
                </c:pt>
                <c:pt idx="25">
                  <c:v>0.68532876042097834</c:v>
                </c:pt>
                <c:pt idx="26">
                  <c:v>0.66499362391160854</c:v>
                </c:pt>
                <c:pt idx="27">
                  <c:v>0.64019391429512273</c:v>
                </c:pt>
                <c:pt idx="28">
                  <c:v>0.62311889191342107</c:v>
                </c:pt>
                <c:pt idx="29">
                  <c:v>0.6194979398525261</c:v>
                </c:pt>
                <c:pt idx="30">
                  <c:v>0.62143268568743781</c:v>
                </c:pt>
                <c:pt idx="31">
                  <c:v>0.62125585076678391</c:v>
                </c:pt>
                <c:pt idx="32">
                  <c:v>0.61633466351190236</c:v>
                </c:pt>
                <c:pt idx="33">
                  <c:v>0.60445117548806881</c:v>
                </c:pt>
                <c:pt idx="34">
                  <c:v>0.5877770192658609</c:v>
                </c:pt>
                <c:pt idx="35">
                  <c:v>0.57126280002171659</c:v>
                </c:pt>
                <c:pt idx="36">
                  <c:v>0.55749490884042596</c:v>
                </c:pt>
                <c:pt idx="37">
                  <c:v>0.54610149629051019</c:v>
                </c:pt>
                <c:pt idx="38">
                  <c:v>0.53519602054340798</c:v>
                </c:pt>
                <c:pt idx="39">
                  <c:v>0.52140302764328128</c:v>
                </c:pt>
                <c:pt idx="40">
                  <c:v>0.50504316502661484</c:v>
                </c:pt>
                <c:pt idx="41">
                  <c:v>0.48902329327000332</c:v>
                </c:pt>
                <c:pt idx="42">
                  <c:v>0.47504382061471279</c:v>
                </c:pt>
              </c:numCache>
            </c:numRef>
          </c:val>
          <c:smooth val="0"/>
          <c:extLst>
            <c:ext xmlns:c16="http://schemas.microsoft.com/office/drawing/2014/chart" uri="{C3380CC4-5D6E-409C-BE32-E72D297353CC}">
              <c16:uniqueId val="{00000000-959F-45FE-83CD-B495E0AD5051}"/>
            </c:ext>
          </c:extLst>
        </c:ser>
        <c:ser>
          <c:idx val="3"/>
          <c:order val="3"/>
          <c:tx>
            <c:strRef>
              <c:f>'Figure 13'!$C$3</c:f>
              <c:strCache>
                <c:ptCount val="1"/>
                <c:pt idx="0">
                  <c:v>Capital Cities</c:v>
                </c:pt>
              </c:strCache>
            </c:strRef>
          </c:tx>
          <c:spPr>
            <a:ln w="28575" cap="rnd">
              <a:solidFill>
                <a:schemeClr val="accent1"/>
              </a:solidFill>
              <a:round/>
            </a:ln>
            <a:effectLst/>
          </c:spPr>
          <c:marker>
            <c:symbol val="none"/>
          </c:marker>
          <c:dPt>
            <c:idx val="5"/>
            <c:marker>
              <c:symbol val="none"/>
            </c:marker>
            <c:bubble3D val="0"/>
            <c:spPr>
              <a:ln w="28575" cap="rnd">
                <a:solidFill>
                  <a:schemeClr val="accent1"/>
                </a:solidFill>
                <a:prstDash val="sysDot"/>
                <a:round/>
              </a:ln>
              <a:effectLst/>
            </c:spPr>
            <c:extLst>
              <c:ext xmlns:c16="http://schemas.microsoft.com/office/drawing/2014/chart" uri="{C3380CC4-5D6E-409C-BE32-E72D297353CC}">
                <c16:uniqueId val="{00000002-959F-45FE-83CD-B495E0AD5051}"/>
              </c:ext>
            </c:extLst>
          </c:dPt>
          <c:dPt>
            <c:idx val="17"/>
            <c:marker>
              <c:symbol val="none"/>
            </c:marker>
            <c:bubble3D val="0"/>
            <c:spPr>
              <a:ln w="28575" cap="rnd">
                <a:solidFill>
                  <a:schemeClr val="accent1"/>
                </a:solidFill>
                <a:prstDash val="sysDot"/>
                <a:round/>
              </a:ln>
              <a:effectLst/>
            </c:spPr>
            <c:extLst>
              <c:ext xmlns:c16="http://schemas.microsoft.com/office/drawing/2014/chart" uri="{C3380CC4-5D6E-409C-BE32-E72D297353CC}">
                <c16:uniqueId val="{00000004-959F-45FE-83CD-B495E0AD5051}"/>
              </c:ext>
            </c:extLst>
          </c:dPt>
          <c:dPt>
            <c:idx val="29"/>
            <c:marker>
              <c:symbol val="none"/>
            </c:marker>
            <c:bubble3D val="0"/>
            <c:spPr>
              <a:ln w="28575" cap="rnd">
                <a:solidFill>
                  <a:schemeClr val="accent1"/>
                </a:solidFill>
                <a:prstDash val="sysDot"/>
                <a:round/>
              </a:ln>
              <a:effectLst/>
            </c:spPr>
            <c:extLst>
              <c:ext xmlns:c16="http://schemas.microsoft.com/office/drawing/2014/chart" uri="{C3380CC4-5D6E-409C-BE32-E72D297353CC}">
                <c16:uniqueId val="{00000006-959F-45FE-83CD-B495E0AD5051}"/>
              </c:ext>
            </c:extLst>
          </c:dPt>
          <c:dPt>
            <c:idx val="41"/>
            <c:marker>
              <c:symbol val="none"/>
            </c:marker>
            <c:bubble3D val="0"/>
            <c:spPr>
              <a:ln w="28575" cap="rnd">
                <a:solidFill>
                  <a:schemeClr val="accent1"/>
                </a:solidFill>
                <a:prstDash val="sysDot"/>
                <a:round/>
              </a:ln>
              <a:effectLst/>
            </c:spPr>
            <c:extLst>
              <c:ext xmlns:c16="http://schemas.microsoft.com/office/drawing/2014/chart" uri="{C3380CC4-5D6E-409C-BE32-E72D297353CC}">
                <c16:uniqueId val="{00000008-959F-45FE-83CD-B495E0AD5051}"/>
              </c:ext>
            </c:extLst>
          </c:dPt>
          <c:dLbls>
            <c:dLbl>
              <c:idx val="23"/>
              <c:layout>
                <c:manualLayout>
                  <c:x val="9.6891400888171175E-3"/>
                  <c:y val="-3.64797780191145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59F-45FE-83CD-B495E0AD5051}"/>
                </c:ext>
              </c:extLst>
            </c:dLbl>
            <c:dLbl>
              <c:idx val="42"/>
              <c:layout>
                <c:manualLayout>
                  <c:x val="-1.1842145529300793E-16"/>
                  <c:y val="1.5199907507964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59F-45FE-83CD-B495E0AD505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13'!$A$5:$A$47</c:f>
              <c:numCache>
                <c:formatCode>mmm\ yy</c:formatCode>
                <c:ptCount val="43"/>
                <c:pt idx="0">
                  <c:v>44075</c:v>
                </c:pt>
                <c:pt idx="1">
                  <c:v>44105</c:v>
                </c:pt>
                <c:pt idx="2">
                  <c:v>44136</c:v>
                </c:pt>
                <c:pt idx="3">
                  <c:v>44166</c:v>
                </c:pt>
                <c:pt idx="4">
                  <c:v>44197</c:v>
                </c:pt>
                <c:pt idx="5">
                  <c:v>44228</c:v>
                </c:pt>
                <c:pt idx="6">
                  <c:v>44256</c:v>
                </c:pt>
                <c:pt idx="7">
                  <c:v>44287</c:v>
                </c:pt>
                <c:pt idx="8">
                  <c:v>44317</c:v>
                </c:pt>
                <c:pt idx="9">
                  <c:v>44348</c:v>
                </c:pt>
                <c:pt idx="10">
                  <c:v>44378</c:v>
                </c:pt>
                <c:pt idx="11">
                  <c:v>44409</c:v>
                </c:pt>
                <c:pt idx="12">
                  <c:v>44440</c:v>
                </c:pt>
                <c:pt idx="13">
                  <c:v>44470</c:v>
                </c:pt>
                <c:pt idx="14">
                  <c:v>44501</c:v>
                </c:pt>
                <c:pt idx="15">
                  <c:v>44531</c:v>
                </c:pt>
                <c:pt idx="16">
                  <c:v>44562</c:v>
                </c:pt>
                <c:pt idx="17">
                  <c:v>44593</c:v>
                </c:pt>
                <c:pt idx="18">
                  <c:v>44621</c:v>
                </c:pt>
                <c:pt idx="19">
                  <c:v>44652</c:v>
                </c:pt>
                <c:pt idx="20">
                  <c:v>44682</c:v>
                </c:pt>
                <c:pt idx="21">
                  <c:v>44713</c:v>
                </c:pt>
                <c:pt idx="22">
                  <c:v>44743</c:v>
                </c:pt>
                <c:pt idx="23">
                  <c:v>44774</c:v>
                </c:pt>
                <c:pt idx="24">
                  <c:v>44805</c:v>
                </c:pt>
                <c:pt idx="25">
                  <c:v>44835</c:v>
                </c:pt>
                <c:pt idx="26">
                  <c:v>44866</c:v>
                </c:pt>
                <c:pt idx="27">
                  <c:v>44896</c:v>
                </c:pt>
                <c:pt idx="28">
                  <c:v>44927</c:v>
                </c:pt>
                <c:pt idx="29">
                  <c:v>44958</c:v>
                </c:pt>
                <c:pt idx="30">
                  <c:v>44986</c:v>
                </c:pt>
                <c:pt idx="31">
                  <c:v>45017</c:v>
                </c:pt>
                <c:pt idx="32">
                  <c:v>45047</c:v>
                </c:pt>
                <c:pt idx="33">
                  <c:v>45078</c:v>
                </c:pt>
                <c:pt idx="34">
                  <c:v>45108</c:v>
                </c:pt>
                <c:pt idx="35">
                  <c:v>45139</c:v>
                </c:pt>
                <c:pt idx="36">
                  <c:v>45170</c:v>
                </c:pt>
                <c:pt idx="37">
                  <c:v>45200</c:v>
                </c:pt>
                <c:pt idx="38">
                  <c:v>45231</c:v>
                </c:pt>
                <c:pt idx="39">
                  <c:v>45261</c:v>
                </c:pt>
                <c:pt idx="40">
                  <c:v>45292</c:v>
                </c:pt>
                <c:pt idx="41">
                  <c:v>45323</c:v>
                </c:pt>
                <c:pt idx="42">
                  <c:v>45352</c:v>
                </c:pt>
              </c:numCache>
            </c:numRef>
          </c:cat>
          <c:val>
            <c:numRef>
              <c:f>'Figure 13'!$C$5:$C$47</c:f>
              <c:numCache>
                <c:formatCode>0%</c:formatCode>
                <c:ptCount val="43"/>
                <c:pt idx="0">
                  <c:v>0.41</c:v>
                </c:pt>
                <c:pt idx="1">
                  <c:v>0.41</c:v>
                </c:pt>
                <c:pt idx="2">
                  <c:v>0.34</c:v>
                </c:pt>
                <c:pt idx="3">
                  <c:v>0.37</c:v>
                </c:pt>
                <c:pt idx="4" formatCode="0.00%">
                  <c:v>#N/A</c:v>
                </c:pt>
                <c:pt idx="5">
                  <c:v>0.35</c:v>
                </c:pt>
                <c:pt idx="6">
                  <c:v>0.41</c:v>
                </c:pt>
                <c:pt idx="7">
                  <c:v>0.49</c:v>
                </c:pt>
                <c:pt idx="8">
                  <c:v>0.46</c:v>
                </c:pt>
                <c:pt idx="9">
                  <c:v>0.48</c:v>
                </c:pt>
                <c:pt idx="10">
                  <c:v>0.48</c:v>
                </c:pt>
                <c:pt idx="11">
                  <c:v>0.51</c:v>
                </c:pt>
                <c:pt idx="12">
                  <c:v>0.54</c:v>
                </c:pt>
                <c:pt idx="13">
                  <c:v>0.5</c:v>
                </c:pt>
                <c:pt idx="14">
                  <c:v>0.6</c:v>
                </c:pt>
                <c:pt idx="15">
                  <c:v>0.55000000000000004</c:v>
                </c:pt>
                <c:pt idx="16" formatCode="0.00%">
                  <c:v>#N/A</c:v>
                </c:pt>
                <c:pt idx="17">
                  <c:v>0.62</c:v>
                </c:pt>
                <c:pt idx="18">
                  <c:v>0.64</c:v>
                </c:pt>
                <c:pt idx="19">
                  <c:v>0.65</c:v>
                </c:pt>
                <c:pt idx="20">
                  <c:v>0.67</c:v>
                </c:pt>
                <c:pt idx="21">
                  <c:v>0.66</c:v>
                </c:pt>
                <c:pt idx="22">
                  <c:v>0.74</c:v>
                </c:pt>
                <c:pt idx="23">
                  <c:v>0.75</c:v>
                </c:pt>
                <c:pt idx="24">
                  <c:v>0.66</c:v>
                </c:pt>
                <c:pt idx="25">
                  <c:v>0.67</c:v>
                </c:pt>
                <c:pt idx="26">
                  <c:v>0.69</c:v>
                </c:pt>
                <c:pt idx="27">
                  <c:v>0.63</c:v>
                </c:pt>
                <c:pt idx="28" formatCode="0.00%">
                  <c:v>#N/A</c:v>
                </c:pt>
                <c:pt idx="29">
                  <c:v>0.59</c:v>
                </c:pt>
                <c:pt idx="30">
                  <c:v>0.65</c:v>
                </c:pt>
                <c:pt idx="31">
                  <c:v>0.59</c:v>
                </c:pt>
                <c:pt idx="32">
                  <c:v>0.65</c:v>
                </c:pt>
                <c:pt idx="33">
                  <c:v>0.62</c:v>
                </c:pt>
                <c:pt idx="34">
                  <c:v>0.55000000000000004</c:v>
                </c:pt>
                <c:pt idx="35">
                  <c:v>0.56999999999999995</c:v>
                </c:pt>
                <c:pt idx="36">
                  <c:v>0.56000000000000005</c:v>
                </c:pt>
                <c:pt idx="37">
                  <c:v>0.55000000000000004</c:v>
                </c:pt>
                <c:pt idx="38">
                  <c:v>0.54</c:v>
                </c:pt>
                <c:pt idx="39">
                  <c:v>0.48</c:v>
                </c:pt>
                <c:pt idx="40" formatCode="0.00%">
                  <c:v>#N/A</c:v>
                </c:pt>
                <c:pt idx="41">
                  <c:v>0.52</c:v>
                </c:pt>
                <c:pt idx="42">
                  <c:v>0.46</c:v>
                </c:pt>
              </c:numCache>
            </c:numRef>
          </c:val>
          <c:smooth val="0"/>
          <c:extLst>
            <c:ext xmlns:c16="http://schemas.microsoft.com/office/drawing/2014/chart" uri="{C3380CC4-5D6E-409C-BE32-E72D297353CC}">
              <c16:uniqueId val="{0000000B-959F-45FE-83CD-B495E0AD5051}"/>
            </c:ext>
          </c:extLst>
        </c:ser>
        <c:ser>
          <c:idx val="6"/>
          <c:order val="6"/>
          <c:spPr>
            <a:ln w="12700" cap="rnd">
              <a:solidFill>
                <a:schemeClr val="accent2"/>
              </a:solidFill>
              <a:round/>
            </a:ln>
            <a:effectLst/>
          </c:spPr>
          <c:marker>
            <c:symbol val="none"/>
          </c:marker>
          <c:cat>
            <c:numRef>
              <c:f>'Figure 13'!$A$5:$A$47</c:f>
              <c:numCache>
                <c:formatCode>mmm\ yy</c:formatCode>
                <c:ptCount val="43"/>
                <c:pt idx="0">
                  <c:v>44075</c:v>
                </c:pt>
                <c:pt idx="1">
                  <c:v>44105</c:v>
                </c:pt>
                <c:pt idx="2">
                  <c:v>44136</c:v>
                </c:pt>
                <c:pt idx="3">
                  <c:v>44166</c:v>
                </c:pt>
                <c:pt idx="4">
                  <c:v>44197</c:v>
                </c:pt>
                <c:pt idx="5">
                  <c:v>44228</c:v>
                </c:pt>
                <c:pt idx="6">
                  <c:v>44256</c:v>
                </c:pt>
                <c:pt idx="7">
                  <c:v>44287</c:v>
                </c:pt>
                <c:pt idx="8">
                  <c:v>44317</c:v>
                </c:pt>
                <c:pt idx="9">
                  <c:v>44348</c:v>
                </c:pt>
                <c:pt idx="10">
                  <c:v>44378</c:v>
                </c:pt>
                <c:pt idx="11">
                  <c:v>44409</c:v>
                </c:pt>
                <c:pt idx="12">
                  <c:v>44440</c:v>
                </c:pt>
                <c:pt idx="13">
                  <c:v>44470</c:v>
                </c:pt>
                <c:pt idx="14">
                  <c:v>44501</c:v>
                </c:pt>
                <c:pt idx="15">
                  <c:v>44531</c:v>
                </c:pt>
                <c:pt idx="16">
                  <c:v>44562</c:v>
                </c:pt>
                <c:pt idx="17">
                  <c:v>44593</c:v>
                </c:pt>
                <c:pt idx="18">
                  <c:v>44621</c:v>
                </c:pt>
                <c:pt idx="19">
                  <c:v>44652</c:v>
                </c:pt>
                <c:pt idx="20">
                  <c:v>44682</c:v>
                </c:pt>
                <c:pt idx="21">
                  <c:v>44713</c:v>
                </c:pt>
                <c:pt idx="22">
                  <c:v>44743</c:v>
                </c:pt>
                <c:pt idx="23">
                  <c:v>44774</c:v>
                </c:pt>
                <c:pt idx="24">
                  <c:v>44805</c:v>
                </c:pt>
                <c:pt idx="25">
                  <c:v>44835</c:v>
                </c:pt>
                <c:pt idx="26">
                  <c:v>44866</c:v>
                </c:pt>
                <c:pt idx="27">
                  <c:v>44896</c:v>
                </c:pt>
                <c:pt idx="28">
                  <c:v>44927</c:v>
                </c:pt>
                <c:pt idx="29">
                  <c:v>44958</c:v>
                </c:pt>
                <c:pt idx="30">
                  <c:v>44986</c:v>
                </c:pt>
                <c:pt idx="31">
                  <c:v>45017</c:v>
                </c:pt>
                <c:pt idx="32">
                  <c:v>45047</c:v>
                </c:pt>
                <c:pt idx="33">
                  <c:v>45078</c:v>
                </c:pt>
                <c:pt idx="34">
                  <c:v>45108</c:v>
                </c:pt>
                <c:pt idx="35">
                  <c:v>45139</c:v>
                </c:pt>
                <c:pt idx="36">
                  <c:v>45170</c:v>
                </c:pt>
                <c:pt idx="37">
                  <c:v>45200</c:v>
                </c:pt>
                <c:pt idx="38">
                  <c:v>45231</c:v>
                </c:pt>
                <c:pt idx="39">
                  <c:v>45261</c:v>
                </c:pt>
                <c:pt idx="40">
                  <c:v>45292</c:v>
                </c:pt>
                <c:pt idx="41">
                  <c:v>45323</c:v>
                </c:pt>
                <c:pt idx="42">
                  <c:v>45352</c:v>
                </c:pt>
              </c:numCache>
            </c:numRef>
          </c:cat>
          <c:val>
            <c:numRef>
              <c:f>'Figure 13'!$D$5:$D$47</c:f>
              <c:numCache>
                <c:formatCode>0.00%</c:formatCode>
                <c:ptCount val="43"/>
                <c:pt idx="0">
                  <c:v>0.48160944707910736</c:v>
                </c:pt>
                <c:pt idx="1">
                  <c:v>0.47415241531935626</c:v>
                </c:pt>
                <c:pt idx="2">
                  <c:v>0.46549847021463492</c:v>
                </c:pt>
                <c:pt idx="3">
                  <c:v>0.45959092873392365</c:v>
                </c:pt>
                <c:pt idx="4">
                  <c:v>0.46629401585499819</c:v>
                </c:pt>
                <c:pt idx="5">
                  <c:v>0.49310003211504344</c:v>
                </c:pt>
                <c:pt idx="6">
                  <c:v>0.53088063970642352</c:v>
                </c:pt>
                <c:pt idx="7">
                  <c:v>0.55917219776819815</c:v>
                </c:pt>
                <c:pt idx="8">
                  <c:v>0.57220746493319807</c:v>
                </c:pt>
                <c:pt idx="9">
                  <c:v>0.57568934509088876</c:v>
                </c:pt>
                <c:pt idx="10">
                  <c:v>0.57552276908565525</c:v>
                </c:pt>
                <c:pt idx="11">
                  <c:v>0.57437737206004069</c:v>
                </c:pt>
                <c:pt idx="12">
                  <c:v>0.57697333298176634</c:v>
                </c:pt>
                <c:pt idx="13">
                  <c:v>0.58918967370382869</c:v>
                </c:pt>
                <c:pt idx="14">
                  <c:v>0.60578217344641472</c:v>
                </c:pt>
                <c:pt idx="15">
                  <c:v>0.62210143438830967</c:v>
                </c:pt>
                <c:pt idx="16">
                  <c:v>0.63589078990790737</c:v>
                </c:pt>
                <c:pt idx="17">
                  <c:v>0.64497412770635942</c:v>
                </c:pt>
                <c:pt idx="18">
                  <c:v>0.65484651465146537</c:v>
                </c:pt>
                <c:pt idx="19">
                  <c:v>0.66982295404726866</c:v>
                </c:pt>
                <c:pt idx="20">
                  <c:v>0.68623717865226996</c:v>
                </c:pt>
                <c:pt idx="21">
                  <c:v>0.69977402643466668</c:v>
                </c:pt>
                <c:pt idx="22">
                  <c:v>0.71103712859409895</c:v>
                </c:pt>
                <c:pt idx="23">
                  <c:v>0.71896694754901291</c:v>
                </c:pt>
                <c:pt idx="24">
                  <c:v>0.72019351813028643</c:v>
                </c:pt>
                <c:pt idx="25">
                  <c:v>0.71270871918624634</c:v>
                </c:pt>
                <c:pt idx="26">
                  <c:v>0.69496367719756558</c:v>
                </c:pt>
                <c:pt idx="27">
                  <c:v>0.67115437417308887</c:v>
                </c:pt>
                <c:pt idx="28">
                  <c:v>0.65082139973541642</c:v>
                </c:pt>
                <c:pt idx="29">
                  <c:v>0.64291630388472842</c:v>
                </c:pt>
                <c:pt idx="30">
                  <c:v>0.64559519900806328</c:v>
                </c:pt>
                <c:pt idx="31">
                  <c:v>0.65625497290314305</c:v>
                </c:pt>
                <c:pt idx="32">
                  <c:v>0.66733790666362214</c:v>
                </c:pt>
                <c:pt idx="33">
                  <c:v>0.66990791549670903</c:v>
                </c:pt>
                <c:pt idx="34">
                  <c:v>0.66123492638205295</c:v>
                </c:pt>
                <c:pt idx="35">
                  <c:v>0.64605464978160199</c:v>
                </c:pt>
                <c:pt idx="36">
                  <c:v>0.62937842839086244</c:v>
                </c:pt>
                <c:pt idx="37">
                  <c:v>0.61380470767173489</c:v>
                </c:pt>
                <c:pt idx="38">
                  <c:v>0.60137025451062975</c:v>
                </c:pt>
                <c:pt idx="39">
                  <c:v>0.5908883751665519</c:v>
                </c:pt>
                <c:pt idx="40">
                  <c:v>0.58348833550190393</c:v>
                </c:pt>
                <c:pt idx="41">
                  <c:v>0.57817529477250873</c:v>
                </c:pt>
                <c:pt idx="42">
                  <c:v>0.57450649633371031</c:v>
                </c:pt>
              </c:numCache>
            </c:numRef>
          </c:val>
          <c:smooth val="0"/>
          <c:extLst>
            <c:ext xmlns:c16="http://schemas.microsoft.com/office/drawing/2014/chart" uri="{C3380CC4-5D6E-409C-BE32-E72D297353CC}">
              <c16:uniqueId val="{0000000C-959F-45FE-83CD-B495E0AD5051}"/>
            </c:ext>
          </c:extLst>
        </c:ser>
        <c:ser>
          <c:idx val="7"/>
          <c:order val="7"/>
          <c:tx>
            <c:strRef>
              <c:f>'Figure 13'!$E$3</c:f>
              <c:strCache>
                <c:ptCount val="1"/>
                <c:pt idx="0">
                  <c:v>Rest of State areas</c:v>
                </c:pt>
              </c:strCache>
            </c:strRef>
          </c:tx>
          <c:spPr>
            <a:ln w="28575" cap="rnd">
              <a:solidFill>
                <a:schemeClr val="accent2"/>
              </a:solidFill>
              <a:round/>
            </a:ln>
            <a:effectLst/>
          </c:spPr>
          <c:marker>
            <c:symbol val="none"/>
          </c:marker>
          <c:dPt>
            <c:idx val="5"/>
            <c:marker>
              <c:symbol val="none"/>
            </c:marker>
            <c:bubble3D val="0"/>
            <c:spPr>
              <a:ln w="28575" cap="rnd">
                <a:solidFill>
                  <a:schemeClr val="accent2"/>
                </a:solidFill>
                <a:prstDash val="sysDot"/>
                <a:round/>
              </a:ln>
              <a:effectLst/>
            </c:spPr>
            <c:extLst>
              <c:ext xmlns:c16="http://schemas.microsoft.com/office/drawing/2014/chart" uri="{C3380CC4-5D6E-409C-BE32-E72D297353CC}">
                <c16:uniqueId val="{0000000E-959F-45FE-83CD-B495E0AD5051}"/>
              </c:ext>
            </c:extLst>
          </c:dPt>
          <c:dPt>
            <c:idx val="17"/>
            <c:marker>
              <c:symbol val="none"/>
            </c:marker>
            <c:bubble3D val="0"/>
            <c:spPr>
              <a:ln w="28575" cap="rnd">
                <a:solidFill>
                  <a:schemeClr val="accent2"/>
                </a:solidFill>
                <a:prstDash val="sysDot"/>
                <a:round/>
              </a:ln>
              <a:effectLst/>
            </c:spPr>
            <c:extLst>
              <c:ext xmlns:c16="http://schemas.microsoft.com/office/drawing/2014/chart" uri="{C3380CC4-5D6E-409C-BE32-E72D297353CC}">
                <c16:uniqueId val="{00000010-959F-45FE-83CD-B495E0AD5051}"/>
              </c:ext>
            </c:extLst>
          </c:dPt>
          <c:dPt>
            <c:idx val="29"/>
            <c:marker>
              <c:symbol val="none"/>
            </c:marker>
            <c:bubble3D val="0"/>
            <c:spPr>
              <a:ln w="28575" cap="rnd">
                <a:solidFill>
                  <a:schemeClr val="accent2"/>
                </a:solidFill>
                <a:prstDash val="sysDot"/>
                <a:round/>
              </a:ln>
              <a:effectLst/>
            </c:spPr>
            <c:extLst>
              <c:ext xmlns:c16="http://schemas.microsoft.com/office/drawing/2014/chart" uri="{C3380CC4-5D6E-409C-BE32-E72D297353CC}">
                <c16:uniqueId val="{00000012-959F-45FE-83CD-B495E0AD5051}"/>
              </c:ext>
            </c:extLst>
          </c:dPt>
          <c:dPt>
            <c:idx val="41"/>
            <c:marker>
              <c:symbol val="none"/>
            </c:marker>
            <c:bubble3D val="0"/>
            <c:spPr>
              <a:ln w="28575" cap="rnd">
                <a:solidFill>
                  <a:schemeClr val="accent2"/>
                </a:solidFill>
                <a:prstDash val="sysDot"/>
                <a:round/>
              </a:ln>
              <a:effectLst/>
            </c:spPr>
            <c:extLst>
              <c:ext xmlns:c16="http://schemas.microsoft.com/office/drawing/2014/chart" uri="{C3380CC4-5D6E-409C-BE32-E72D297353CC}">
                <c16:uniqueId val="{00000014-959F-45FE-83CD-B495E0AD5051}"/>
              </c:ext>
            </c:extLst>
          </c:dPt>
          <c:dLbls>
            <c:dLbl>
              <c:idx val="22"/>
              <c:layout>
                <c:manualLayout>
                  <c:x val="-7.4283407347597905E-2"/>
                  <c:y val="-2.1279870511150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59F-45FE-83CD-B495E0AD5051}"/>
                </c:ext>
              </c:extLst>
            </c:dLbl>
            <c:dLbl>
              <c:idx val="42"/>
              <c:layout>
                <c:manualLayout>
                  <c:x val="-1.1842145529300793E-16"/>
                  <c:y val="-2.7359833514335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59F-45FE-83CD-B495E0AD505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13'!$A$5:$A$47</c:f>
              <c:numCache>
                <c:formatCode>mmm\ yy</c:formatCode>
                <c:ptCount val="43"/>
                <c:pt idx="0">
                  <c:v>44075</c:v>
                </c:pt>
                <c:pt idx="1">
                  <c:v>44105</c:v>
                </c:pt>
                <c:pt idx="2">
                  <c:v>44136</c:v>
                </c:pt>
                <c:pt idx="3">
                  <c:v>44166</c:v>
                </c:pt>
                <c:pt idx="4">
                  <c:v>44197</c:v>
                </c:pt>
                <c:pt idx="5">
                  <c:v>44228</c:v>
                </c:pt>
                <c:pt idx="6">
                  <c:v>44256</c:v>
                </c:pt>
                <c:pt idx="7">
                  <c:v>44287</c:v>
                </c:pt>
                <c:pt idx="8">
                  <c:v>44317</c:v>
                </c:pt>
                <c:pt idx="9">
                  <c:v>44348</c:v>
                </c:pt>
                <c:pt idx="10">
                  <c:v>44378</c:v>
                </c:pt>
                <c:pt idx="11">
                  <c:v>44409</c:v>
                </c:pt>
                <c:pt idx="12">
                  <c:v>44440</c:v>
                </c:pt>
                <c:pt idx="13">
                  <c:v>44470</c:v>
                </c:pt>
                <c:pt idx="14">
                  <c:v>44501</c:v>
                </c:pt>
                <c:pt idx="15">
                  <c:v>44531</c:v>
                </c:pt>
                <c:pt idx="16">
                  <c:v>44562</c:v>
                </c:pt>
                <c:pt idx="17">
                  <c:v>44593</c:v>
                </c:pt>
                <c:pt idx="18">
                  <c:v>44621</c:v>
                </c:pt>
                <c:pt idx="19">
                  <c:v>44652</c:v>
                </c:pt>
                <c:pt idx="20">
                  <c:v>44682</c:v>
                </c:pt>
                <c:pt idx="21">
                  <c:v>44713</c:v>
                </c:pt>
                <c:pt idx="22">
                  <c:v>44743</c:v>
                </c:pt>
                <c:pt idx="23">
                  <c:v>44774</c:v>
                </c:pt>
                <c:pt idx="24">
                  <c:v>44805</c:v>
                </c:pt>
                <c:pt idx="25">
                  <c:v>44835</c:v>
                </c:pt>
                <c:pt idx="26">
                  <c:v>44866</c:v>
                </c:pt>
                <c:pt idx="27">
                  <c:v>44896</c:v>
                </c:pt>
                <c:pt idx="28">
                  <c:v>44927</c:v>
                </c:pt>
                <c:pt idx="29">
                  <c:v>44958</c:v>
                </c:pt>
                <c:pt idx="30">
                  <c:v>44986</c:v>
                </c:pt>
                <c:pt idx="31">
                  <c:v>45017</c:v>
                </c:pt>
                <c:pt idx="32">
                  <c:v>45047</c:v>
                </c:pt>
                <c:pt idx="33">
                  <c:v>45078</c:v>
                </c:pt>
                <c:pt idx="34">
                  <c:v>45108</c:v>
                </c:pt>
                <c:pt idx="35">
                  <c:v>45139</c:v>
                </c:pt>
                <c:pt idx="36">
                  <c:v>45170</c:v>
                </c:pt>
                <c:pt idx="37">
                  <c:v>45200</c:v>
                </c:pt>
                <c:pt idx="38">
                  <c:v>45231</c:v>
                </c:pt>
                <c:pt idx="39">
                  <c:v>45261</c:v>
                </c:pt>
                <c:pt idx="40">
                  <c:v>45292</c:v>
                </c:pt>
                <c:pt idx="41">
                  <c:v>45323</c:v>
                </c:pt>
                <c:pt idx="42">
                  <c:v>45352</c:v>
                </c:pt>
              </c:numCache>
            </c:numRef>
          </c:cat>
          <c:val>
            <c:numRef>
              <c:f>'Figure 13'!$E$5:$E$47</c:f>
              <c:numCache>
                <c:formatCode>0%</c:formatCode>
                <c:ptCount val="43"/>
                <c:pt idx="0">
                  <c:v>0.44</c:v>
                </c:pt>
                <c:pt idx="1">
                  <c:v>0.5</c:v>
                </c:pt>
                <c:pt idx="2">
                  <c:v>0.48</c:v>
                </c:pt>
                <c:pt idx="3">
                  <c:v>0.46</c:v>
                </c:pt>
                <c:pt idx="4" formatCode="0.00%">
                  <c:v>#N/A</c:v>
                </c:pt>
                <c:pt idx="5">
                  <c:v>0.4</c:v>
                </c:pt>
                <c:pt idx="6">
                  <c:v>0.54</c:v>
                </c:pt>
                <c:pt idx="7">
                  <c:v>0.64</c:v>
                </c:pt>
                <c:pt idx="8">
                  <c:v>0.56999999999999995</c:v>
                </c:pt>
                <c:pt idx="9">
                  <c:v>0.56999999999999995</c:v>
                </c:pt>
                <c:pt idx="10">
                  <c:v>0.61</c:v>
                </c:pt>
                <c:pt idx="11">
                  <c:v>0.55000000000000004</c:v>
                </c:pt>
                <c:pt idx="12">
                  <c:v>0.5</c:v>
                </c:pt>
                <c:pt idx="13">
                  <c:v>0.62</c:v>
                </c:pt>
                <c:pt idx="14">
                  <c:v>0.67</c:v>
                </c:pt>
                <c:pt idx="15">
                  <c:v>0.6</c:v>
                </c:pt>
                <c:pt idx="16" formatCode="0.00%">
                  <c:v>#N/A</c:v>
                </c:pt>
                <c:pt idx="17">
                  <c:v>0.66</c:v>
                </c:pt>
                <c:pt idx="18">
                  <c:v>0.63</c:v>
                </c:pt>
                <c:pt idx="19">
                  <c:v>0.62</c:v>
                </c:pt>
                <c:pt idx="20">
                  <c:v>0.71</c:v>
                </c:pt>
                <c:pt idx="21">
                  <c:v>0.67</c:v>
                </c:pt>
                <c:pt idx="22">
                  <c:v>0.77</c:v>
                </c:pt>
                <c:pt idx="23">
                  <c:v>0.71</c:v>
                </c:pt>
                <c:pt idx="24">
                  <c:v>0.68</c:v>
                </c:pt>
                <c:pt idx="25">
                  <c:v>0.75</c:v>
                </c:pt>
                <c:pt idx="26">
                  <c:v>0.7</c:v>
                </c:pt>
                <c:pt idx="27">
                  <c:v>0.68</c:v>
                </c:pt>
                <c:pt idx="28" formatCode="0.00%">
                  <c:v>#N/A</c:v>
                </c:pt>
                <c:pt idx="29">
                  <c:v>0.64</c:v>
                </c:pt>
                <c:pt idx="30">
                  <c:v>0.64</c:v>
                </c:pt>
                <c:pt idx="31">
                  <c:v>0.66</c:v>
                </c:pt>
                <c:pt idx="32">
                  <c:v>0.69</c:v>
                </c:pt>
                <c:pt idx="33">
                  <c:v>0.64</c:v>
                </c:pt>
                <c:pt idx="34">
                  <c:v>0.66</c:v>
                </c:pt>
                <c:pt idx="35">
                  <c:v>0.67</c:v>
                </c:pt>
                <c:pt idx="36">
                  <c:v>0.66</c:v>
                </c:pt>
                <c:pt idx="37">
                  <c:v>0.59</c:v>
                </c:pt>
                <c:pt idx="38">
                  <c:v>0.57999999999999996</c:v>
                </c:pt>
                <c:pt idx="39">
                  <c:v>0.56000000000000005</c:v>
                </c:pt>
                <c:pt idx="40" formatCode="0.00%">
                  <c:v>#N/A</c:v>
                </c:pt>
                <c:pt idx="41">
                  <c:v>0.56999999999999995</c:v>
                </c:pt>
                <c:pt idx="42">
                  <c:v>0.57999999999999996</c:v>
                </c:pt>
              </c:numCache>
            </c:numRef>
          </c:val>
          <c:smooth val="0"/>
          <c:extLst>
            <c:ext xmlns:c16="http://schemas.microsoft.com/office/drawing/2014/chart" uri="{C3380CC4-5D6E-409C-BE32-E72D297353CC}">
              <c16:uniqueId val="{00000017-959F-45FE-83CD-B495E0AD5051}"/>
            </c:ext>
          </c:extLst>
        </c:ser>
        <c:dLbls>
          <c:showLegendKey val="0"/>
          <c:showVal val="0"/>
          <c:showCatName val="0"/>
          <c:showSerName val="0"/>
          <c:showPercent val="0"/>
          <c:showBubbleSize val="0"/>
        </c:dLbls>
        <c:smooth val="0"/>
        <c:axId val="1534053823"/>
        <c:axId val="1527904671"/>
        <c:extLst>
          <c:ext xmlns:c15="http://schemas.microsoft.com/office/drawing/2012/chart" uri="{02D57815-91ED-43cb-92C2-25804820EDAC}">
            <c15:filteredLineSeries>
              <c15:ser>
                <c:idx val="0"/>
                <c:order val="0"/>
                <c:tx>
                  <c:strRef>
                    <c:extLst>
                      <c:ext uri="{02D57815-91ED-43cb-92C2-25804820EDAC}">
                        <c15:formulaRef>
                          <c15:sqref>'I:\LMM Branch\ERSA\6. Briefings and Requests\2024\LMU - Dec 23 edition\Data files\[DONT USE AS TEMPLATE December 2023 - Monthly RIR charts - smoothed.xlsx]DIFFICUTY'!$S$5</c15:sqref>
                        </c15:formulaRef>
                      </c:ext>
                    </c:extLst>
                    <c:strCache>
                      <c:ptCount val="1"/>
                      <c:pt idx="0">
                        <c:v>YES (CC)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'Figure 13'!$A$5:$A$47</c15:sqref>
                        </c15:formulaRef>
                      </c:ext>
                    </c:extLst>
                    <c:numCache>
                      <c:formatCode>mmm\ yy</c:formatCode>
                      <c:ptCount val="43"/>
                      <c:pt idx="0">
                        <c:v>44075</c:v>
                      </c:pt>
                      <c:pt idx="1">
                        <c:v>44105</c:v>
                      </c:pt>
                      <c:pt idx="2">
                        <c:v>44136</c:v>
                      </c:pt>
                      <c:pt idx="3">
                        <c:v>44166</c:v>
                      </c:pt>
                      <c:pt idx="4">
                        <c:v>44197</c:v>
                      </c:pt>
                      <c:pt idx="5">
                        <c:v>44228</c:v>
                      </c:pt>
                      <c:pt idx="6">
                        <c:v>44256</c:v>
                      </c:pt>
                      <c:pt idx="7">
                        <c:v>44287</c:v>
                      </c:pt>
                      <c:pt idx="8">
                        <c:v>44317</c:v>
                      </c:pt>
                      <c:pt idx="9">
                        <c:v>44348</c:v>
                      </c:pt>
                      <c:pt idx="10">
                        <c:v>44378</c:v>
                      </c:pt>
                      <c:pt idx="11">
                        <c:v>44409</c:v>
                      </c:pt>
                      <c:pt idx="12">
                        <c:v>44440</c:v>
                      </c:pt>
                      <c:pt idx="13">
                        <c:v>44470</c:v>
                      </c:pt>
                      <c:pt idx="14">
                        <c:v>44501</c:v>
                      </c:pt>
                      <c:pt idx="15">
                        <c:v>44531</c:v>
                      </c:pt>
                      <c:pt idx="16">
                        <c:v>44562</c:v>
                      </c:pt>
                      <c:pt idx="17">
                        <c:v>44593</c:v>
                      </c:pt>
                      <c:pt idx="18">
                        <c:v>44621</c:v>
                      </c:pt>
                      <c:pt idx="19">
                        <c:v>44652</c:v>
                      </c:pt>
                      <c:pt idx="20">
                        <c:v>44682</c:v>
                      </c:pt>
                      <c:pt idx="21">
                        <c:v>44713</c:v>
                      </c:pt>
                      <c:pt idx="22">
                        <c:v>44743</c:v>
                      </c:pt>
                      <c:pt idx="23">
                        <c:v>44774</c:v>
                      </c:pt>
                      <c:pt idx="24">
                        <c:v>44805</c:v>
                      </c:pt>
                      <c:pt idx="25">
                        <c:v>44835</c:v>
                      </c:pt>
                      <c:pt idx="26">
                        <c:v>44866</c:v>
                      </c:pt>
                      <c:pt idx="27">
                        <c:v>44896</c:v>
                      </c:pt>
                      <c:pt idx="28">
                        <c:v>44927</c:v>
                      </c:pt>
                      <c:pt idx="29">
                        <c:v>44958</c:v>
                      </c:pt>
                      <c:pt idx="30">
                        <c:v>44986</c:v>
                      </c:pt>
                      <c:pt idx="31">
                        <c:v>45017</c:v>
                      </c:pt>
                      <c:pt idx="32">
                        <c:v>45047</c:v>
                      </c:pt>
                      <c:pt idx="33">
                        <c:v>45078</c:v>
                      </c:pt>
                      <c:pt idx="34">
                        <c:v>45108</c:v>
                      </c:pt>
                      <c:pt idx="35">
                        <c:v>45139</c:v>
                      </c:pt>
                      <c:pt idx="36">
                        <c:v>45170</c:v>
                      </c:pt>
                      <c:pt idx="37">
                        <c:v>45200</c:v>
                      </c:pt>
                      <c:pt idx="38">
                        <c:v>45231</c:v>
                      </c:pt>
                      <c:pt idx="39">
                        <c:v>45261</c:v>
                      </c:pt>
                      <c:pt idx="40">
                        <c:v>45292</c:v>
                      </c:pt>
                      <c:pt idx="41">
                        <c:v>45323</c:v>
                      </c:pt>
                      <c:pt idx="42">
                        <c:v>45352</c:v>
                      </c:pt>
                    </c:numCache>
                  </c:numRef>
                </c:cat>
                <c:val>
                  <c:numRef>
                    <c:extLst>
                      <c:ext uri="{02D57815-91ED-43cb-92C2-25804820EDAC}">
                        <c15:formulaRef>
                          <c15:sqref>[2]DIFFICUTY!$S$6:$S$46</c15:sqref>
                        </c15:formulaRef>
                      </c:ext>
                    </c:extLst>
                    <c:numCache>
                      <c:formatCode>General</c:formatCode>
                      <c:ptCount val="41"/>
                      <c:pt idx="0">
                        <c:v>85.914149898017058</c:v>
                      </c:pt>
                      <c:pt idx="1">
                        <c:v>83.158478566303017</c:v>
                      </c:pt>
                      <c:pt idx="2">
                        <c:v>79.966744731023027</c:v>
                      </c:pt>
                      <c:pt idx="3">
                        <c:v>74.702975037135033</c:v>
                      </c:pt>
                      <c:pt idx="4">
                        <c:v>69.700751788351994</c:v>
                      </c:pt>
                      <c:pt idx="5">
                        <c:v>70.318805458957002</c:v>
                      </c:pt>
                      <c:pt idx="6">
                        <c:v>81.192888511181991</c:v>
                      </c:pt>
                      <c:pt idx="7">
                        <c:v>101.73906103641094</c:v>
                      </c:pt>
                      <c:pt idx="8">
                        <c:v>126.57090239176591</c:v>
                      </c:pt>
                      <c:pt idx="9">
                        <c:v>147.02578009051092</c:v>
                      </c:pt>
                      <c:pt idx="10">
                        <c:v>160.06690098893085</c:v>
                      </c:pt>
                      <c:pt idx="11">
                        <c:v>168.22476331885585</c:v>
                      </c:pt>
                      <c:pt idx="12">
                        <c:v>171.73180739915693</c:v>
                      </c:pt>
                      <c:pt idx="13">
                        <c:v>169.18390599778795</c:v>
                      </c:pt>
                      <c:pt idx="14">
                        <c:v>160.28703373671297</c:v>
                      </c:pt>
                      <c:pt idx="15">
                        <c:v>145.953361729302</c:v>
                      </c:pt>
                      <c:pt idx="16">
                        <c:v>129.26229723665901</c:v>
                      </c:pt>
                      <c:pt idx="17">
                        <c:v>116.52547102819</c:v>
                      </c:pt>
                      <c:pt idx="18">
                        <c:v>114.11947464672298</c:v>
                      </c:pt>
                      <c:pt idx="19">
                        <c:v>126.63757982586195</c:v>
                      </c:pt>
                      <c:pt idx="20">
                        <c:v>152.68005444579899</c:v>
                      </c:pt>
                      <c:pt idx="21">
                        <c:v>186.13041097064999</c:v>
                      </c:pt>
                      <c:pt idx="22">
                        <c:v>216.75076216847006</c:v>
                      </c:pt>
                      <c:pt idx="23">
                        <c:v>236.35356883950703</c:v>
                      </c:pt>
                      <c:pt idx="24">
                        <c:v>239.99107273245608</c:v>
                      </c:pt>
                      <c:pt idx="25">
                        <c:v>225.76496601763012</c:v>
                      </c:pt>
                      <c:pt idx="26">
                        <c:v>197.70972846329911</c:v>
                      </c:pt>
                      <c:pt idx="27">
                        <c:v>164.84542534856905</c:v>
                      </c:pt>
                      <c:pt idx="28">
                        <c:v>139.02946543771105</c:v>
                      </c:pt>
                      <c:pt idx="29">
                        <c:v>127.19498417347502</c:v>
                      </c:pt>
                      <c:pt idx="30">
                        <c:v>131.80532528328601</c:v>
                      </c:pt>
                      <c:pt idx="31">
                        <c:v>146.97019970345002</c:v>
                      </c:pt>
                      <c:pt idx="32">
                        <c:v>163.88813059498204</c:v>
                      </c:pt>
                      <c:pt idx="33">
                        <c:v>178.22841725877205</c:v>
                      </c:pt>
                      <c:pt idx="34">
                        <c:v>188.44895279364005</c:v>
                      </c:pt>
                      <c:pt idx="35">
                        <c:v>192.29688484267598</c:v>
                      </c:pt>
                      <c:pt idx="36">
                        <c:v>191.62637810056899</c:v>
                      </c:pt>
                      <c:pt idx="37">
                        <c:v>186.81232365386597</c:v>
                      </c:pt>
                      <c:pt idx="38">
                        <c:v>177.18026886090394</c:v>
                      </c:pt>
                      <c:pt idx="39">
                        <c:v>162.61575891807792</c:v>
                      </c:pt>
                      <c:pt idx="40">
                        <c:v>150.07290651097995</c:v>
                      </c:pt>
                    </c:numCache>
                  </c:numRef>
                </c:val>
                <c:smooth val="0"/>
                <c:extLst>
                  <c:ext xmlns:c16="http://schemas.microsoft.com/office/drawing/2014/chart" uri="{C3380CC4-5D6E-409C-BE32-E72D297353CC}">
                    <c16:uniqueId val="{00000018-959F-45FE-83CD-B495E0AD5051}"/>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'I:\LMM Branch\ERSA\6. Briefings and Requests\2024\LMU - Dec 23 edition\Data files\[DONT USE AS TEMPLATE December 2023 - Monthly RIR charts - smoothed.xlsx]DIFFICUTY'!$T$5</c15:sqref>
                        </c15:formulaRef>
                      </c:ext>
                    </c:extLst>
                    <c:strCache>
                      <c:ptCount val="1"/>
                      <c:pt idx="0">
                        <c:v>TOTAL (CC)</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'Figure 13'!$A$5:$A$47</c15:sqref>
                        </c15:formulaRef>
                      </c:ext>
                    </c:extLst>
                    <c:numCache>
                      <c:formatCode>mmm\ yy</c:formatCode>
                      <c:ptCount val="43"/>
                      <c:pt idx="0">
                        <c:v>44075</c:v>
                      </c:pt>
                      <c:pt idx="1">
                        <c:v>44105</c:v>
                      </c:pt>
                      <c:pt idx="2">
                        <c:v>44136</c:v>
                      </c:pt>
                      <c:pt idx="3">
                        <c:v>44166</c:v>
                      </c:pt>
                      <c:pt idx="4">
                        <c:v>44197</c:v>
                      </c:pt>
                      <c:pt idx="5">
                        <c:v>44228</c:v>
                      </c:pt>
                      <c:pt idx="6">
                        <c:v>44256</c:v>
                      </c:pt>
                      <c:pt idx="7">
                        <c:v>44287</c:v>
                      </c:pt>
                      <c:pt idx="8">
                        <c:v>44317</c:v>
                      </c:pt>
                      <c:pt idx="9">
                        <c:v>44348</c:v>
                      </c:pt>
                      <c:pt idx="10">
                        <c:v>44378</c:v>
                      </c:pt>
                      <c:pt idx="11">
                        <c:v>44409</c:v>
                      </c:pt>
                      <c:pt idx="12">
                        <c:v>44440</c:v>
                      </c:pt>
                      <c:pt idx="13">
                        <c:v>44470</c:v>
                      </c:pt>
                      <c:pt idx="14">
                        <c:v>44501</c:v>
                      </c:pt>
                      <c:pt idx="15">
                        <c:v>44531</c:v>
                      </c:pt>
                      <c:pt idx="16">
                        <c:v>44562</c:v>
                      </c:pt>
                      <c:pt idx="17">
                        <c:v>44593</c:v>
                      </c:pt>
                      <c:pt idx="18">
                        <c:v>44621</c:v>
                      </c:pt>
                      <c:pt idx="19">
                        <c:v>44652</c:v>
                      </c:pt>
                      <c:pt idx="20">
                        <c:v>44682</c:v>
                      </c:pt>
                      <c:pt idx="21">
                        <c:v>44713</c:v>
                      </c:pt>
                      <c:pt idx="22">
                        <c:v>44743</c:v>
                      </c:pt>
                      <c:pt idx="23">
                        <c:v>44774</c:v>
                      </c:pt>
                      <c:pt idx="24">
                        <c:v>44805</c:v>
                      </c:pt>
                      <c:pt idx="25">
                        <c:v>44835</c:v>
                      </c:pt>
                      <c:pt idx="26">
                        <c:v>44866</c:v>
                      </c:pt>
                      <c:pt idx="27">
                        <c:v>44896</c:v>
                      </c:pt>
                      <c:pt idx="28">
                        <c:v>44927</c:v>
                      </c:pt>
                      <c:pt idx="29">
                        <c:v>44958</c:v>
                      </c:pt>
                      <c:pt idx="30">
                        <c:v>44986</c:v>
                      </c:pt>
                      <c:pt idx="31">
                        <c:v>45017</c:v>
                      </c:pt>
                      <c:pt idx="32">
                        <c:v>45047</c:v>
                      </c:pt>
                      <c:pt idx="33">
                        <c:v>45078</c:v>
                      </c:pt>
                      <c:pt idx="34">
                        <c:v>45108</c:v>
                      </c:pt>
                      <c:pt idx="35">
                        <c:v>45139</c:v>
                      </c:pt>
                      <c:pt idx="36">
                        <c:v>45170</c:v>
                      </c:pt>
                      <c:pt idx="37">
                        <c:v>45200</c:v>
                      </c:pt>
                      <c:pt idx="38">
                        <c:v>45231</c:v>
                      </c:pt>
                      <c:pt idx="39">
                        <c:v>45261</c:v>
                      </c:pt>
                      <c:pt idx="40">
                        <c:v>45292</c:v>
                      </c:pt>
                      <c:pt idx="41">
                        <c:v>45323</c:v>
                      </c:pt>
                      <c:pt idx="42">
                        <c:v>45352</c:v>
                      </c:pt>
                    </c:numCache>
                  </c:numRef>
                </c:cat>
                <c:val>
                  <c:numRef>
                    <c:extLst xmlns:c15="http://schemas.microsoft.com/office/drawing/2012/chart">
                      <c:ext xmlns:c15="http://schemas.microsoft.com/office/drawing/2012/chart" uri="{02D57815-91ED-43cb-92C2-25804820EDAC}">
                        <c15:formulaRef>
                          <c15:sqref>[2]DIFFICUTY!$T$6:$T$46</c15:sqref>
                        </c15:formulaRef>
                      </c:ext>
                    </c:extLst>
                    <c:numCache>
                      <c:formatCode>General</c:formatCode>
                      <c:ptCount val="41"/>
                      <c:pt idx="0">
                        <c:v>204.53379980241507</c:v>
                      </c:pt>
                      <c:pt idx="1">
                        <c:v>206.74696297219506</c:v>
                      </c:pt>
                      <c:pt idx="2">
                        <c:v>207.21654395601104</c:v>
                      </c:pt>
                      <c:pt idx="3">
                        <c:v>201.58343344243005</c:v>
                      </c:pt>
                      <c:pt idx="4">
                        <c:v>193.69364188863599</c:v>
                      </c:pt>
                      <c:pt idx="5">
                        <c:v>193.12291662265289</c:v>
                      </c:pt>
                      <c:pt idx="6">
                        <c:v>209.0383384090959</c:v>
                      </c:pt>
                      <c:pt idx="7">
                        <c:v>241.97811045184778</c:v>
                      </c:pt>
                      <c:pt idx="8">
                        <c:v>282.88681378057777</c:v>
                      </c:pt>
                      <c:pt idx="9">
                        <c:v>315.73553226593668</c:v>
                      </c:pt>
                      <c:pt idx="10">
                        <c:v>333.2456460288156</c:v>
                      </c:pt>
                      <c:pt idx="11">
                        <c:v>339.67892199619979</c:v>
                      </c:pt>
                      <c:pt idx="12">
                        <c:v>337.44868002608183</c:v>
                      </c:pt>
                      <c:pt idx="13">
                        <c:v>323.89726486309087</c:v>
                      </c:pt>
                      <c:pt idx="14">
                        <c:v>297.18975956025696</c:v>
                      </c:pt>
                      <c:pt idx="15">
                        <c:v>261.60629417173095</c:v>
                      </c:pt>
                      <c:pt idx="16">
                        <c:v>223.76039391377802</c:v>
                      </c:pt>
                      <c:pt idx="17">
                        <c:v>193.69225700395</c:v>
                      </c:pt>
                      <c:pt idx="18">
                        <c:v>182.43583921576797</c:v>
                      </c:pt>
                      <c:pt idx="19">
                        <c:v>195.31773866812401</c:v>
                      </c:pt>
                      <c:pt idx="20">
                        <c:v>228.543695754787</c:v>
                      </c:pt>
                      <c:pt idx="21">
                        <c:v>272.75915748465599</c:v>
                      </c:pt>
                      <c:pt idx="22">
                        <c:v>312.34464200375214</c:v>
                      </c:pt>
                      <c:pt idx="23">
                        <c:v>337.17371863330817</c:v>
                      </c:pt>
                      <c:pt idx="24">
                        <c:v>341.25007772843821</c:v>
                      </c:pt>
                      <c:pt idx="25">
                        <c:v>323.49740425580308</c:v>
                      </c:pt>
                      <c:pt idx="26">
                        <c:v>288.40403989934316</c:v>
                      </c:pt>
                      <c:pt idx="27">
                        <c:v>247.84843990506312</c:v>
                      </c:pt>
                      <c:pt idx="28">
                        <c:v>217.167739857052</c:v>
                      </c:pt>
                      <c:pt idx="29">
                        <c:v>204.147636482808</c:v>
                      </c:pt>
                      <c:pt idx="30">
                        <c:v>212.77619252258694</c:v>
                      </c:pt>
                      <c:pt idx="31">
                        <c:v>236.502203840259</c:v>
                      </c:pt>
                      <c:pt idx="32">
                        <c:v>263.80134753291003</c:v>
                      </c:pt>
                      <c:pt idx="33">
                        <c:v>289.17474192221903</c:v>
                      </c:pt>
                      <c:pt idx="34">
                        <c:v>311.768692717779</c:v>
                      </c:pt>
                      <c:pt idx="35">
                        <c:v>327.18299225749803</c:v>
                      </c:pt>
                      <c:pt idx="36">
                        <c:v>335.52671252188497</c:v>
                      </c:pt>
                      <c:pt idx="37">
                        <c:v>335.26692687149796</c:v>
                      </c:pt>
                      <c:pt idx="38">
                        <c:v>324.63394265177493</c:v>
                      </c:pt>
                      <c:pt idx="39">
                        <c:v>304.66445844682289</c:v>
                      </c:pt>
                      <c:pt idx="40">
                        <c:v>285.2014972106839</c:v>
                      </c:pt>
                    </c:numCache>
                  </c:numRef>
                </c:val>
                <c:smooth val="0"/>
                <c:extLst xmlns:c15="http://schemas.microsoft.com/office/drawing/2012/chart">
                  <c:ext xmlns:c16="http://schemas.microsoft.com/office/drawing/2014/chart" uri="{C3380CC4-5D6E-409C-BE32-E72D297353CC}">
                    <c16:uniqueId val="{00000019-959F-45FE-83CD-B495E0AD505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'I:\LMM Branch\ERSA\6. Briefings and Requests\2024\LMU - Dec 23 edition\Data files\[DONT USE AS TEMPLATE December 2023 - Monthly RIR charts - smoothed.xlsx]DIFFICUTY'!$W$5</c15:sqref>
                        </c15:formulaRef>
                      </c:ext>
                    </c:extLst>
                    <c:strCache>
                      <c:ptCount val="1"/>
                      <c:pt idx="0">
                        <c:v>YES (ROS)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'Figure 13'!$A$5:$A$47</c15:sqref>
                        </c15:formulaRef>
                      </c:ext>
                    </c:extLst>
                    <c:numCache>
                      <c:formatCode>mmm\ yy</c:formatCode>
                      <c:ptCount val="43"/>
                      <c:pt idx="0">
                        <c:v>44075</c:v>
                      </c:pt>
                      <c:pt idx="1">
                        <c:v>44105</c:v>
                      </c:pt>
                      <c:pt idx="2">
                        <c:v>44136</c:v>
                      </c:pt>
                      <c:pt idx="3">
                        <c:v>44166</c:v>
                      </c:pt>
                      <c:pt idx="4">
                        <c:v>44197</c:v>
                      </c:pt>
                      <c:pt idx="5">
                        <c:v>44228</c:v>
                      </c:pt>
                      <c:pt idx="6">
                        <c:v>44256</c:v>
                      </c:pt>
                      <c:pt idx="7">
                        <c:v>44287</c:v>
                      </c:pt>
                      <c:pt idx="8">
                        <c:v>44317</c:v>
                      </c:pt>
                      <c:pt idx="9">
                        <c:v>44348</c:v>
                      </c:pt>
                      <c:pt idx="10">
                        <c:v>44378</c:v>
                      </c:pt>
                      <c:pt idx="11">
                        <c:v>44409</c:v>
                      </c:pt>
                      <c:pt idx="12">
                        <c:v>44440</c:v>
                      </c:pt>
                      <c:pt idx="13">
                        <c:v>44470</c:v>
                      </c:pt>
                      <c:pt idx="14">
                        <c:v>44501</c:v>
                      </c:pt>
                      <c:pt idx="15">
                        <c:v>44531</c:v>
                      </c:pt>
                      <c:pt idx="16">
                        <c:v>44562</c:v>
                      </c:pt>
                      <c:pt idx="17">
                        <c:v>44593</c:v>
                      </c:pt>
                      <c:pt idx="18">
                        <c:v>44621</c:v>
                      </c:pt>
                      <c:pt idx="19">
                        <c:v>44652</c:v>
                      </c:pt>
                      <c:pt idx="20">
                        <c:v>44682</c:v>
                      </c:pt>
                      <c:pt idx="21">
                        <c:v>44713</c:v>
                      </c:pt>
                      <c:pt idx="22">
                        <c:v>44743</c:v>
                      </c:pt>
                      <c:pt idx="23">
                        <c:v>44774</c:v>
                      </c:pt>
                      <c:pt idx="24">
                        <c:v>44805</c:v>
                      </c:pt>
                      <c:pt idx="25">
                        <c:v>44835</c:v>
                      </c:pt>
                      <c:pt idx="26">
                        <c:v>44866</c:v>
                      </c:pt>
                      <c:pt idx="27">
                        <c:v>44896</c:v>
                      </c:pt>
                      <c:pt idx="28">
                        <c:v>44927</c:v>
                      </c:pt>
                      <c:pt idx="29">
                        <c:v>44958</c:v>
                      </c:pt>
                      <c:pt idx="30">
                        <c:v>44986</c:v>
                      </c:pt>
                      <c:pt idx="31">
                        <c:v>45017</c:v>
                      </c:pt>
                      <c:pt idx="32">
                        <c:v>45047</c:v>
                      </c:pt>
                      <c:pt idx="33">
                        <c:v>45078</c:v>
                      </c:pt>
                      <c:pt idx="34">
                        <c:v>45108</c:v>
                      </c:pt>
                      <c:pt idx="35">
                        <c:v>45139</c:v>
                      </c:pt>
                      <c:pt idx="36">
                        <c:v>45170</c:v>
                      </c:pt>
                      <c:pt idx="37">
                        <c:v>45200</c:v>
                      </c:pt>
                      <c:pt idx="38">
                        <c:v>45231</c:v>
                      </c:pt>
                      <c:pt idx="39">
                        <c:v>45261</c:v>
                      </c:pt>
                      <c:pt idx="40">
                        <c:v>45292</c:v>
                      </c:pt>
                      <c:pt idx="41">
                        <c:v>45323</c:v>
                      </c:pt>
                      <c:pt idx="42">
                        <c:v>45352</c:v>
                      </c:pt>
                    </c:numCache>
                  </c:numRef>
                </c:cat>
                <c:val>
                  <c:numRef>
                    <c:extLst xmlns:c15="http://schemas.microsoft.com/office/drawing/2012/chart">
                      <c:ext xmlns:c15="http://schemas.microsoft.com/office/drawing/2012/chart" uri="{02D57815-91ED-43cb-92C2-25804820EDAC}">
                        <c15:formulaRef>
                          <c15:sqref>[2]DIFFICUTY!$W$6:$W$46</c15:sqref>
                        </c15:formulaRef>
                      </c:ext>
                    </c:extLst>
                    <c:numCache>
                      <c:formatCode>General</c:formatCode>
                      <c:ptCount val="41"/>
                      <c:pt idx="0">
                        <c:v>76.59151147432803</c:v>
                      </c:pt>
                      <c:pt idx="1">
                        <c:v>75.08062007799704</c:v>
                      </c:pt>
                      <c:pt idx="2">
                        <c:v>73.593780883984039</c:v>
                      </c:pt>
                      <c:pt idx="3">
                        <c:v>69.377875728410018</c:v>
                      </c:pt>
                      <c:pt idx="4">
                        <c:v>64.039746211356999</c:v>
                      </c:pt>
                      <c:pt idx="5">
                        <c:v>62.122519869011015</c:v>
                      </c:pt>
                      <c:pt idx="6">
                        <c:v>67.419056118000981</c:v>
                      </c:pt>
                      <c:pt idx="7">
                        <c:v>80.71640766865994</c:v>
                      </c:pt>
                      <c:pt idx="8">
                        <c:v>98.267570995860908</c:v>
                      </c:pt>
                      <c:pt idx="9">
                        <c:v>113.00422972698692</c:v>
                      </c:pt>
                      <c:pt idx="10">
                        <c:v>120.4053764584939</c:v>
                      </c:pt>
                      <c:pt idx="11">
                        <c:v>121.47272368546496</c:v>
                      </c:pt>
                      <c:pt idx="12">
                        <c:v>117.69764214103995</c:v>
                      </c:pt>
                      <c:pt idx="13">
                        <c:v>109.85356086706798</c:v>
                      </c:pt>
                      <c:pt idx="14">
                        <c:v>99.252680491900989</c:v>
                      </c:pt>
                      <c:pt idx="15">
                        <c:v>87.004598170284012</c:v>
                      </c:pt>
                      <c:pt idx="16">
                        <c:v>74.749050579755007</c:v>
                      </c:pt>
                      <c:pt idx="17">
                        <c:v>65.771563457776011</c:v>
                      </c:pt>
                      <c:pt idx="18">
                        <c:v>64.980029227111984</c:v>
                      </c:pt>
                      <c:pt idx="19">
                        <c:v>73.543467677860974</c:v>
                      </c:pt>
                      <c:pt idx="20">
                        <c:v>89.480916747178981</c:v>
                      </c:pt>
                      <c:pt idx="21">
                        <c:v>108.59477507270998</c:v>
                      </c:pt>
                      <c:pt idx="22">
                        <c:v>124.07513147133199</c:v>
                      </c:pt>
                      <c:pt idx="23">
                        <c:v>132.203509450658</c:v>
                      </c:pt>
                      <c:pt idx="24">
                        <c:v>131.68667084649999</c:v>
                      </c:pt>
                      <c:pt idx="25">
                        <c:v>122.94386112766499</c:v>
                      </c:pt>
                      <c:pt idx="26">
                        <c:v>108.01840468394599</c:v>
                      </c:pt>
                      <c:pt idx="27">
                        <c:v>91.403799196362996</c:v>
                      </c:pt>
                      <c:pt idx="28">
                        <c:v>79.24223520918801</c:v>
                      </c:pt>
                      <c:pt idx="29">
                        <c:v>74.194437334219984</c:v>
                      </c:pt>
                      <c:pt idx="30">
                        <c:v>77.208269194127965</c:v>
                      </c:pt>
                      <c:pt idx="31">
                        <c:v>86.326625481120971</c:v>
                      </c:pt>
                      <c:pt idx="32">
                        <c:v>97.637780713340959</c:v>
                      </c:pt>
                      <c:pt idx="33">
                        <c:v>107.64083111982393</c:v>
                      </c:pt>
                      <c:pt idx="34">
                        <c:v>115.21092086490293</c:v>
                      </c:pt>
                      <c:pt idx="35">
                        <c:v>118.95719750107396</c:v>
                      </c:pt>
                      <c:pt idx="36">
                        <c:v>119.91840951151198</c:v>
                      </c:pt>
                      <c:pt idx="37">
                        <c:v>119.068030492709</c:v>
                      </c:pt>
                      <c:pt idx="38">
                        <c:v>115.97998655313299</c:v>
                      </c:pt>
                      <c:pt idx="39">
                        <c:v>110.268525573711</c:v>
                      </c:pt>
                      <c:pt idx="40">
                        <c:v>105.63375546910602</c:v>
                      </c:pt>
                    </c:numCache>
                  </c:numRef>
                </c:val>
                <c:smooth val="0"/>
                <c:extLst xmlns:c15="http://schemas.microsoft.com/office/drawing/2012/chart">
                  <c:ext xmlns:c16="http://schemas.microsoft.com/office/drawing/2014/chart" uri="{C3380CC4-5D6E-409C-BE32-E72D297353CC}">
                    <c16:uniqueId val="{0000001A-959F-45FE-83CD-B495E0AD5051}"/>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'I:\LMM Branch\ERSA\6. Briefings and Requests\2024\LMU - Dec 23 edition\Data files\[DONT USE AS TEMPLATE December 2023 - Monthly RIR charts - smoothed.xlsx]DIFFICUTY'!$X$5</c15:sqref>
                        </c15:formulaRef>
                      </c:ext>
                    </c:extLst>
                    <c:strCache>
                      <c:ptCount val="1"/>
                      <c:pt idx="0">
                        <c:v>TOTAL (ROS)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'Figure 13'!$A$5:$A$47</c15:sqref>
                        </c15:formulaRef>
                      </c:ext>
                    </c:extLst>
                    <c:numCache>
                      <c:formatCode>mmm\ yy</c:formatCode>
                      <c:ptCount val="43"/>
                      <c:pt idx="0">
                        <c:v>44075</c:v>
                      </c:pt>
                      <c:pt idx="1">
                        <c:v>44105</c:v>
                      </c:pt>
                      <c:pt idx="2">
                        <c:v>44136</c:v>
                      </c:pt>
                      <c:pt idx="3">
                        <c:v>44166</c:v>
                      </c:pt>
                      <c:pt idx="4">
                        <c:v>44197</c:v>
                      </c:pt>
                      <c:pt idx="5">
                        <c:v>44228</c:v>
                      </c:pt>
                      <c:pt idx="6">
                        <c:v>44256</c:v>
                      </c:pt>
                      <c:pt idx="7">
                        <c:v>44287</c:v>
                      </c:pt>
                      <c:pt idx="8">
                        <c:v>44317</c:v>
                      </c:pt>
                      <c:pt idx="9">
                        <c:v>44348</c:v>
                      </c:pt>
                      <c:pt idx="10">
                        <c:v>44378</c:v>
                      </c:pt>
                      <c:pt idx="11">
                        <c:v>44409</c:v>
                      </c:pt>
                      <c:pt idx="12">
                        <c:v>44440</c:v>
                      </c:pt>
                      <c:pt idx="13">
                        <c:v>44470</c:v>
                      </c:pt>
                      <c:pt idx="14">
                        <c:v>44501</c:v>
                      </c:pt>
                      <c:pt idx="15">
                        <c:v>44531</c:v>
                      </c:pt>
                      <c:pt idx="16">
                        <c:v>44562</c:v>
                      </c:pt>
                      <c:pt idx="17">
                        <c:v>44593</c:v>
                      </c:pt>
                      <c:pt idx="18">
                        <c:v>44621</c:v>
                      </c:pt>
                      <c:pt idx="19">
                        <c:v>44652</c:v>
                      </c:pt>
                      <c:pt idx="20">
                        <c:v>44682</c:v>
                      </c:pt>
                      <c:pt idx="21">
                        <c:v>44713</c:v>
                      </c:pt>
                      <c:pt idx="22">
                        <c:v>44743</c:v>
                      </c:pt>
                      <c:pt idx="23">
                        <c:v>44774</c:v>
                      </c:pt>
                      <c:pt idx="24">
                        <c:v>44805</c:v>
                      </c:pt>
                      <c:pt idx="25">
                        <c:v>44835</c:v>
                      </c:pt>
                      <c:pt idx="26">
                        <c:v>44866</c:v>
                      </c:pt>
                      <c:pt idx="27">
                        <c:v>44896</c:v>
                      </c:pt>
                      <c:pt idx="28">
                        <c:v>44927</c:v>
                      </c:pt>
                      <c:pt idx="29">
                        <c:v>44958</c:v>
                      </c:pt>
                      <c:pt idx="30">
                        <c:v>44986</c:v>
                      </c:pt>
                      <c:pt idx="31">
                        <c:v>45017</c:v>
                      </c:pt>
                      <c:pt idx="32">
                        <c:v>45047</c:v>
                      </c:pt>
                      <c:pt idx="33">
                        <c:v>45078</c:v>
                      </c:pt>
                      <c:pt idx="34">
                        <c:v>45108</c:v>
                      </c:pt>
                      <c:pt idx="35">
                        <c:v>45139</c:v>
                      </c:pt>
                      <c:pt idx="36">
                        <c:v>45170</c:v>
                      </c:pt>
                      <c:pt idx="37">
                        <c:v>45200</c:v>
                      </c:pt>
                      <c:pt idx="38">
                        <c:v>45231</c:v>
                      </c:pt>
                      <c:pt idx="39">
                        <c:v>45261</c:v>
                      </c:pt>
                      <c:pt idx="40">
                        <c:v>45292</c:v>
                      </c:pt>
                      <c:pt idx="41">
                        <c:v>45323</c:v>
                      </c:pt>
                      <c:pt idx="42">
                        <c:v>45352</c:v>
                      </c:pt>
                    </c:numCache>
                  </c:numRef>
                </c:cat>
                <c:val>
                  <c:numRef>
                    <c:extLst xmlns:c15="http://schemas.microsoft.com/office/drawing/2012/chart">
                      <c:ext xmlns:c15="http://schemas.microsoft.com/office/drawing/2012/chart" uri="{02D57815-91ED-43cb-92C2-25804820EDAC}">
                        <c15:formulaRef>
                          <c15:sqref>[2]DIFFICUTY!$X$6:$X$46</c15:sqref>
                        </c15:formulaRef>
                      </c:ext>
                    </c:extLst>
                    <c:numCache>
                      <c:formatCode>General</c:formatCode>
                      <c:ptCount val="41"/>
                      <c:pt idx="0">
                        <c:v>155.27615641502402</c:v>
                      </c:pt>
                      <c:pt idx="1">
                        <c:v>155.78464817499901</c:v>
                      </c:pt>
                      <c:pt idx="2">
                        <c:v>155.20414964484002</c:v>
                      </c:pt>
                      <c:pt idx="3">
                        <c:v>149.19175136835798</c:v>
                      </c:pt>
                      <c:pt idx="4">
                        <c:v>139.705777278987</c:v>
                      </c:pt>
                      <c:pt idx="5">
                        <c:v>133.79067253192599</c:v>
                      </c:pt>
                      <c:pt idx="6">
                        <c:v>137.39374403630396</c:v>
                      </c:pt>
                      <c:pt idx="7">
                        <c:v>152.67257657501591</c:v>
                      </c:pt>
                      <c:pt idx="8">
                        <c:v>176.20062806466089</c:v>
                      </c:pt>
                      <c:pt idx="9">
                        <c:v>197.72498630241685</c:v>
                      </c:pt>
                      <c:pt idx="10">
                        <c:v>209.18662372282091</c:v>
                      </c:pt>
                      <c:pt idx="11">
                        <c:v>210.9991988423989</c:v>
                      </c:pt>
                      <c:pt idx="12">
                        <c:v>204.85321446230395</c:v>
                      </c:pt>
                      <c:pt idx="13">
                        <c:v>190.38568509356401</c:v>
                      </c:pt>
                      <c:pt idx="14">
                        <c:v>168.45624579257799</c:v>
                      </c:pt>
                      <c:pt idx="15">
                        <c:v>143.62356963279001</c:v>
                      </c:pt>
                      <c:pt idx="16">
                        <c:v>120.15572774438802</c:v>
                      </c:pt>
                      <c:pt idx="17">
                        <c:v>103.43216870195801</c:v>
                      </c:pt>
                      <c:pt idx="18">
                        <c:v>100.748272582952</c:v>
                      </c:pt>
                      <c:pt idx="19">
                        <c:v>112.31249563938898</c:v>
                      </c:pt>
                      <c:pt idx="20">
                        <c:v>133.59728128083597</c:v>
                      </c:pt>
                      <c:pt idx="21">
                        <c:v>158.24670893813101</c:v>
                      </c:pt>
                      <c:pt idx="22">
                        <c:v>177.290246865863</c:v>
                      </c:pt>
                      <c:pt idx="23">
                        <c:v>185.89428497864802</c:v>
                      </c:pt>
                      <c:pt idx="24">
                        <c:v>183.11020292808999</c:v>
                      </c:pt>
                      <c:pt idx="25">
                        <c:v>170.652909844129</c:v>
                      </c:pt>
                      <c:pt idx="26">
                        <c:v>151.50804539688701</c:v>
                      </c:pt>
                      <c:pt idx="27">
                        <c:v>131.48398666572402</c:v>
                      </c:pt>
                      <c:pt idx="28">
                        <c:v>118.04894775711398</c:v>
                      </c:pt>
                      <c:pt idx="29">
                        <c:v>114.00122578080997</c:v>
                      </c:pt>
                      <c:pt idx="30">
                        <c:v>120.10013535963998</c:v>
                      </c:pt>
                      <c:pt idx="31">
                        <c:v>133.72266537710894</c:v>
                      </c:pt>
                      <c:pt idx="32">
                        <c:v>148.78025271398798</c:v>
                      </c:pt>
                      <c:pt idx="33">
                        <c:v>161.29884132909191</c:v>
                      </c:pt>
                      <c:pt idx="34">
                        <c:v>171.98023519318889</c:v>
                      </c:pt>
                      <c:pt idx="35">
                        <c:v>179.62170830375996</c:v>
                      </c:pt>
                      <c:pt idx="36">
                        <c:v>185.31155503735491</c:v>
                      </c:pt>
                      <c:pt idx="37">
                        <c:v>189.26921205360199</c:v>
                      </c:pt>
                      <c:pt idx="38">
                        <c:v>189.67433968353896</c:v>
                      </c:pt>
                      <c:pt idx="39">
                        <c:v>185.66542050500098</c:v>
                      </c:pt>
                      <c:pt idx="40">
                        <c:v>181.83237530369098</c:v>
                      </c:pt>
                    </c:numCache>
                  </c:numRef>
                </c:val>
                <c:smooth val="0"/>
                <c:extLst xmlns:c15="http://schemas.microsoft.com/office/drawing/2012/chart">
                  <c:ext xmlns:c16="http://schemas.microsoft.com/office/drawing/2014/chart" uri="{C3380CC4-5D6E-409C-BE32-E72D297353CC}">
                    <c16:uniqueId val="{0000001B-959F-45FE-83CD-B495E0AD5051}"/>
                  </c:ext>
                </c:extLst>
              </c15:ser>
            </c15:filteredLineSeries>
          </c:ext>
        </c:extLst>
      </c:lineChart>
      <c:dateAx>
        <c:axId val="1534053823"/>
        <c:scaling>
          <c:orientation val="minMax"/>
        </c:scaling>
        <c:delete val="0"/>
        <c:axPos val="b"/>
        <c:numFmt formatCode="mmm\-yy" sourceLinked="0"/>
        <c:majorTickMark val="out"/>
        <c:minorTickMark val="none"/>
        <c:tickLblPos val="nextTo"/>
        <c:spPr>
          <a:noFill/>
          <a:ln w="9525" cap="flat" cmpd="sng" algn="ctr">
            <a:solidFill>
              <a:schemeClr val="tx1"/>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27904671"/>
        <c:crosses val="autoZero"/>
        <c:auto val="1"/>
        <c:lblOffset val="100"/>
        <c:baseTimeUnit val="months"/>
        <c:majorUnit val="3"/>
        <c:majorTimeUnit val="months"/>
      </c:dateAx>
      <c:valAx>
        <c:axId val="1527904671"/>
        <c:scaling>
          <c:orientation val="minMax"/>
          <c:max val="0.8"/>
          <c:min val="0.30000000000000004"/>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Proportion of recruiting employers</a:t>
                </a:r>
              </a:p>
            </c:rich>
          </c:tx>
          <c:layout>
            <c:manualLayout>
              <c:xMode val="edge"/>
              <c:yMode val="edge"/>
              <c:x val="1.4533710133225677E-2"/>
              <c:y val="0.2131235215373966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34053823"/>
        <c:crosses val="autoZero"/>
        <c:crossBetween val="between"/>
        <c:majorUnit val="0.1"/>
      </c:valAx>
      <c:spPr>
        <a:noFill/>
        <a:ln>
          <a:noFill/>
        </a:ln>
        <a:effectLst/>
      </c:spPr>
    </c:plotArea>
    <c:legend>
      <c:legendPos val="b"/>
      <c:legendEntry>
        <c:idx val="0"/>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89768141863154"/>
          <c:y val="5.0400916380297825E-2"/>
          <c:w val="0.83876999585578116"/>
          <c:h val="0.70020835024487926"/>
        </c:manualLayout>
      </c:layout>
      <c:scatterChart>
        <c:scatterStyle val="lineMarker"/>
        <c:varyColors val="0"/>
        <c:ser>
          <c:idx val="0"/>
          <c:order val="0"/>
          <c:tx>
            <c:v>Capital cities</c:v>
          </c:tx>
          <c:spPr>
            <a:ln w="19050" cap="rnd">
              <a:noFill/>
              <a:round/>
            </a:ln>
            <a:effectLst/>
          </c:spPr>
          <c:marker>
            <c:symbol val="circle"/>
            <c:size val="7"/>
            <c:spPr>
              <a:solidFill>
                <a:schemeClr val="accent1"/>
              </a:solidFill>
              <a:ln w="9525">
                <a:noFill/>
              </a:ln>
              <a:effectLst/>
            </c:spPr>
          </c:marker>
          <c:dLbls>
            <c:dLbl>
              <c:idx val="0"/>
              <c:layout>
                <c:manualLayout>
                  <c:x val="-0.10135713491839583"/>
                  <c:y val="-8.0684476373987998E-3"/>
                </c:manualLayout>
              </c:layout>
              <c:tx>
                <c:rich>
                  <a:bodyPr/>
                  <a:lstStyle/>
                  <a:p>
                    <a:fld id="{B5642556-951C-412E-AAF8-736B3BDAE8CC}"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680-4E8C-9549-9AE5C35676BC}"/>
                </c:ext>
              </c:extLst>
            </c:dLbl>
            <c:dLbl>
              <c:idx val="1"/>
              <c:layout>
                <c:manualLayout>
                  <c:x val="9.2335445040054032E-3"/>
                  <c:y val="4.8393240875102092E-2"/>
                </c:manualLayout>
              </c:layout>
              <c:tx>
                <c:rich>
                  <a:bodyPr/>
                  <a:lstStyle/>
                  <a:p>
                    <a:fld id="{701C1429-0C6B-423C-8868-4950E767409B}"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5680-4E8C-9549-9AE5C35676BC}"/>
                </c:ext>
              </c:extLst>
            </c:dLbl>
            <c:dLbl>
              <c:idx val="2"/>
              <c:layout>
                <c:manualLayout>
                  <c:x val="-0.10701629332344537"/>
                  <c:y val="-0.10652235480874173"/>
                </c:manualLayout>
              </c:layout>
              <c:tx>
                <c:rich>
                  <a:bodyPr/>
                  <a:lstStyle/>
                  <a:p>
                    <a:fld id="{4A43909B-62B4-4E91-89B4-5740BF50CD17}"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layout>
                    <c:manualLayout>
                      <c:w val="0.11090959059480447"/>
                      <c:h val="0.12315898656997772"/>
                    </c:manualLayout>
                  </c15:layout>
                  <c15:dlblFieldTable/>
                  <c15:showDataLabelsRange val="1"/>
                </c:ext>
                <c:ext xmlns:c16="http://schemas.microsoft.com/office/drawing/2014/chart" uri="{C3380CC4-5D6E-409C-BE32-E72D297353CC}">
                  <c16:uniqueId val="{00000002-5680-4E8C-9549-9AE5C35676BC}"/>
                </c:ext>
              </c:extLst>
            </c:dLbl>
            <c:dLbl>
              <c:idx val="3"/>
              <c:layout>
                <c:manualLayout>
                  <c:x val="-9.9891422366992402E-2"/>
                  <c:y val="-6.8479355488418936E-2"/>
                </c:manualLayout>
              </c:layout>
              <c:tx>
                <c:rich>
                  <a:bodyPr/>
                  <a:lstStyle/>
                  <a:p>
                    <a:fld id="{59FCAF8D-09E2-483B-BCE9-FEB59F6A2EB0}"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5680-4E8C-9549-9AE5C35676BC}"/>
                </c:ext>
              </c:extLst>
            </c:dLbl>
            <c:dLbl>
              <c:idx val="4"/>
              <c:layout>
                <c:manualLayout>
                  <c:x val="-8.5505005780094664E-2"/>
                  <c:y val="5.3589847660794977E-2"/>
                </c:manualLayout>
              </c:layout>
              <c:tx>
                <c:rich>
                  <a:bodyPr/>
                  <a:lstStyle/>
                  <a:p>
                    <a:fld id="{FAF17C4E-5026-4DCA-BF08-4EBCAE75E4E5}"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layout>
                    <c:manualLayout>
                      <c:w val="0.15277981111086875"/>
                      <c:h val="8.0040046540574186E-2"/>
                    </c:manualLayout>
                  </c15:layout>
                  <c15:dlblFieldTable/>
                  <c15:showDataLabelsRange val="1"/>
                </c:ext>
                <c:ext xmlns:c16="http://schemas.microsoft.com/office/drawing/2014/chart" uri="{C3380CC4-5D6E-409C-BE32-E72D297353CC}">
                  <c16:uniqueId val="{00000004-5680-4E8C-9549-9AE5C35676BC}"/>
                </c:ext>
              </c:extLst>
            </c:dLbl>
            <c:dLbl>
              <c:idx val="5"/>
              <c:layout>
                <c:manualLayout>
                  <c:x val="-0.14311278818679521"/>
                  <c:y val="3.4628833402403573E-2"/>
                </c:manualLayout>
              </c:layout>
              <c:tx>
                <c:rich>
                  <a:bodyPr/>
                  <a:lstStyle/>
                  <a:p>
                    <a:fld id="{9204797A-A359-446B-A2DB-4371197A3375}"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layout>
                    <c:manualLayout>
                      <c:w val="0.11418919449473246"/>
                      <c:h val="0.12096845213427269"/>
                    </c:manualLayout>
                  </c15:layout>
                  <c15:dlblFieldTable/>
                  <c15:showDataLabelsRange val="1"/>
                </c:ext>
                <c:ext xmlns:c16="http://schemas.microsoft.com/office/drawing/2014/chart" uri="{C3380CC4-5D6E-409C-BE32-E72D297353CC}">
                  <c16:uniqueId val="{00000005-5680-4E8C-9549-9AE5C35676BC}"/>
                </c:ext>
              </c:extLst>
            </c:dLbl>
            <c:dLbl>
              <c:idx val="6"/>
              <c:layout>
                <c:manualLayout>
                  <c:x val="-0.19996118563355475"/>
                  <c:y val="1.2218283892761065E-2"/>
                </c:manualLayout>
              </c:layout>
              <c:tx>
                <c:rich>
                  <a:bodyPr/>
                  <a:lstStyle/>
                  <a:p>
                    <a:fld id="{87722157-C85A-4188-87DF-A47BD219DAE2}"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layout>
                    <c:manualLayout>
                      <c:w val="0.14978344319337933"/>
                      <c:h val="7.2629984696021749E-2"/>
                    </c:manualLayout>
                  </c15:layout>
                  <c15:dlblFieldTable/>
                  <c15:showDataLabelsRange val="1"/>
                </c:ext>
                <c:ext xmlns:c16="http://schemas.microsoft.com/office/drawing/2014/chart" uri="{C3380CC4-5D6E-409C-BE32-E72D297353CC}">
                  <c16:uniqueId val="{00000006-5680-4E8C-9549-9AE5C35676BC}"/>
                </c:ext>
              </c:extLst>
            </c:dLbl>
            <c:dLbl>
              <c:idx val="7"/>
              <c:layout>
                <c:manualLayout>
                  <c:x val="3.7532924727899236E-2"/>
                  <c:y val="-7.109523680673936E-3"/>
                </c:manualLayout>
              </c:layout>
              <c:tx>
                <c:rich>
                  <a:bodyPr/>
                  <a:lstStyle/>
                  <a:p>
                    <a:fld id="{5940E24D-F37B-4E82-8257-1AA6E3A86922}"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layout>
                    <c:manualLayout>
                      <c:w val="8.5101838724453066E-2"/>
                      <c:h val="0.1277408880590957"/>
                    </c:manualLayout>
                  </c15:layout>
                  <c15:dlblFieldTable/>
                  <c15:showDataLabelsRange val="1"/>
                </c:ext>
                <c:ext xmlns:c16="http://schemas.microsoft.com/office/drawing/2014/chart" uri="{C3380CC4-5D6E-409C-BE32-E72D297353CC}">
                  <c16:uniqueId val="{00000007-5680-4E8C-9549-9AE5C35676B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'Figure 14'!$G$5:$G$12</c:f>
              <c:numCache>
                <c:formatCode>0%</c:formatCode>
                <c:ptCount val="8"/>
                <c:pt idx="0">
                  <c:v>0.49473580609853801</c:v>
                </c:pt>
                <c:pt idx="1">
                  <c:v>0.58930486927550385</c:v>
                </c:pt>
                <c:pt idx="2">
                  <c:v>0.53635194121235419</c:v>
                </c:pt>
                <c:pt idx="3">
                  <c:v>0.59223227842959969</c:v>
                </c:pt>
                <c:pt idx="4">
                  <c:v>0.42891301774561824</c:v>
                </c:pt>
                <c:pt idx="5">
                  <c:v>0.56095733945654636</c:v>
                </c:pt>
                <c:pt idx="6">
                  <c:v>0.5134350119672193</c:v>
                </c:pt>
                <c:pt idx="7">
                  <c:v>0.57757353258560507</c:v>
                </c:pt>
              </c:numCache>
            </c:numRef>
          </c:xVal>
          <c:yVal>
            <c:numRef>
              <c:f>'Figure 14'!$H$5:$H$12</c:f>
              <c:numCache>
                <c:formatCode>0%</c:formatCode>
                <c:ptCount val="8"/>
                <c:pt idx="0">
                  <c:v>0.53335012746494725</c:v>
                </c:pt>
                <c:pt idx="1">
                  <c:v>0.44339925004085917</c:v>
                </c:pt>
                <c:pt idx="2">
                  <c:v>0.52826026020745209</c:v>
                </c:pt>
                <c:pt idx="3">
                  <c:v>0.65315969461049039</c:v>
                </c:pt>
                <c:pt idx="4">
                  <c:v>0.45775960201677018</c:v>
                </c:pt>
                <c:pt idx="5">
                  <c:v>0.4503216225877214</c:v>
                </c:pt>
                <c:pt idx="6">
                  <c:v>0.49163190631655057</c:v>
                </c:pt>
                <c:pt idx="7">
                  <c:v>0.4564347376861127</c:v>
                </c:pt>
              </c:numCache>
            </c:numRef>
          </c:yVal>
          <c:smooth val="0"/>
          <c:extLst>
            <c:ext xmlns:c15="http://schemas.microsoft.com/office/drawing/2012/chart" uri="{02D57815-91ED-43cb-92C2-25804820EDAC}">
              <c15:datalabelsRange>
                <c15:f>'I:\LMM Branch\ERSA\6. Briefings and Requests\2024\LMU - Dec 23 edition\Data files\[2023 Heatmap and scatter plot.xlsx]Fig. 15'!$F$5:$F$12</c15:f>
                <c15:dlblRangeCache>
                  <c:ptCount val="8"/>
                  <c:pt idx="0">
                    <c:v>ACT</c:v>
                  </c:pt>
                  <c:pt idx="1">
                    <c:v>Greater Adelaide</c:v>
                  </c:pt>
                  <c:pt idx="2">
                    <c:v>Greater Brisbane</c:v>
                  </c:pt>
                  <c:pt idx="3">
                    <c:v>Greater Darwin</c:v>
                  </c:pt>
                  <c:pt idx="4">
                    <c:v>Greater Hobart</c:v>
                  </c:pt>
                  <c:pt idx="5">
                    <c:v>Greater Melbourne</c:v>
                  </c:pt>
                  <c:pt idx="6">
                    <c:v>Greater Perth</c:v>
                  </c:pt>
                  <c:pt idx="7">
                    <c:v>Greater Sydney</c:v>
                  </c:pt>
                </c15:dlblRangeCache>
              </c15:datalabelsRange>
            </c:ext>
            <c:ext xmlns:c16="http://schemas.microsoft.com/office/drawing/2014/chart" uri="{C3380CC4-5D6E-409C-BE32-E72D297353CC}">
              <c16:uniqueId val="{00000008-5680-4E8C-9549-9AE5C35676BC}"/>
            </c:ext>
          </c:extLst>
        </c:ser>
        <c:ser>
          <c:idx val="1"/>
          <c:order val="1"/>
          <c:tx>
            <c:v>Rest of state areas</c:v>
          </c:tx>
          <c:spPr>
            <a:ln w="25400" cap="rnd">
              <a:noFill/>
              <a:round/>
            </a:ln>
            <a:effectLst/>
          </c:spPr>
          <c:marker>
            <c:symbol val="circle"/>
            <c:size val="7"/>
            <c:spPr>
              <a:solidFill>
                <a:schemeClr val="accent2"/>
              </a:solidFill>
              <a:ln w="9525">
                <a:noFill/>
              </a:ln>
              <a:effectLst/>
            </c:spPr>
          </c:marker>
          <c:dLbls>
            <c:dLbl>
              <c:idx val="0"/>
              <c:layout>
                <c:manualLayout>
                  <c:x val="1.3728656645192079E-2"/>
                  <c:y val="-2.4712392122532872E-2"/>
                </c:manualLayout>
              </c:layout>
              <c:tx>
                <c:rich>
                  <a:bodyPr/>
                  <a:lstStyle/>
                  <a:p>
                    <a:fld id="{FBED29F8-2409-404A-802C-718310BA2D0F}"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5680-4E8C-9549-9AE5C35676BC}"/>
                </c:ext>
              </c:extLst>
            </c:dLbl>
            <c:dLbl>
              <c:idx val="1"/>
              <c:layout>
                <c:manualLayout>
                  <c:x val="-9.2125373524985274E-2"/>
                  <c:y val="9.6256009235958905E-4"/>
                </c:manualLayout>
              </c:layout>
              <c:tx>
                <c:rich>
                  <a:bodyPr/>
                  <a:lstStyle/>
                  <a:p>
                    <a:fld id="{79256FE9-2237-4ECA-98D1-52526AA36380}"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5680-4E8C-9549-9AE5C35676BC}"/>
                </c:ext>
              </c:extLst>
            </c:dLbl>
            <c:dLbl>
              <c:idx val="2"/>
              <c:layout>
                <c:manualLayout>
                  <c:x val="-3.3642907828703904E-2"/>
                  <c:y val="-8.0685745097572772E-2"/>
                </c:manualLayout>
              </c:layout>
              <c:tx>
                <c:rich>
                  <a:bodyPr/>
                  <a:lstStyle/>
                  <a:p>
                    <a:fld id="{4352A922-3268-4FF2-A4DB-C04856F65AAC}"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manualLayout>
                      <c:w val="0.15100052650125984"/>
                      <c:h val="0.12096840799844472"/>
                    </c:manualLayout>
                  </c15:layout>
                  <c15:dlblFieldTable/>
                  <c15:showDataLabelsRange val="1"/>
                </c:ext>
                <c:ext xmlns:c16="http://schemas.microsoft.com/office/drawing/2014/chart" uri="{C3380CC4-5D6E-409C-BE32-E72D297353CC}">
                  <c16:uniqueId val="{0000000B-5680-4E8C-9549-9AE5C35676BC}"/>
                </c:ext>
              </c:extLst>
            </c:dLbl>
            <c:dLbl>
              <c:idx val="3"/>
              <c:layout>
                <c:manualLayout>
                  <c:x val="-8.3124828233035963E-2"/>
                  <c:y val="-6.9007394840447656E-2"/>
                </c:manualLayout>
              </c:layout>
              <c:tx>
                <c:rich>
                  <a:bodyPr/>
                  <a:lstStyle/>
                  <a:p>
                    <a:fld id="{18E36E87-AAF5-4320-9976-EC8BF95EEDF9}"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5680-4E8C-9549-9AE5C35676BC}"/>
                </c:ext>
              </c:extLst>
            </c:dLbl>
            <c:dLbl>
              <c:idx val="4"/>
              <c:layout>
                <c:manualLayout>
                  <c:x val="-9.9353414618186572E-2"/>
                  <c:y val="-7.0540177323195424E-2"/>
                </c:manualLayout>
              </c:layout>
              <c:tx>
                <c:rich>
                  <a:bodyPr/>
                  <a:lstStyle/>
                  <a:p>
                    <a:fld id="{5923A63F-EEEA-4DE5-8F2C-B7CEAD746D51}"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manualLayout>
                      <c:w val="0.10678805592514232"/>
                      <c:h val="0.11337125725238291"/>
                    </c:manualLayout>
                  </c15:layout>
                  <c15:dlblFieldTable/>
                  <c15:showDataLabelsRange val="1"/>
                </c:ext>
                <c:ext xmlns:c16="http://schemas.microsoft.com/office/drawing/2014/chart" uri="{C3380CC4-5D6E-409C-BE32-E72D297353CC}">
                  <c16:uniqueId val="{0000000D-5680-4E8C-9549-9AE5C35676BC}"/>
                </c:ext>
              </c:extLst>
            </c:dLbl>
            <c:dLbl>
              <c:idx val="5"/>
              <c:layout>
                <c:manualLayout>
                  <c:x val="6.633498015870252E-3"/>
                  <c:y val="0"/>
                </c:manualLayout>
              </c:layout>
              <c:tx>
                <c:rich>
                  <a:bodyPr/>
                  <a:lstStyle/>
                  <a:p>
                    <a:fld id="{7EDCF179-CCFA-4117-9F86-8B16ECE8D3A2}"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5680-4E8C-9549-9AE5C35676BC}"/>
                </c:ext>
              </c:extLst>
            </c:dLbl>
            <c:dLbl>
              <c:idx val="6"/>
              <c:tx>
                <c:rich>
                  <a:bodyPr/>
                  <a:lstStyle/>
                  <a:p>
                    <a:fld id="{E918CC15-90F3-4E63-89BA-DF6031BCCDF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5680-4E8C-9549-9AE5C35676B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'Figure 14'!$G$13:$G$19</c:f>
              <c:numCache>
                <c:formatCode>0%</c:formatCode>
                <c:ptCount val="7"/>
                <c:pt idx="0">
                  <c:v>0.62213168080813297</c:v>
                </c:pt>
                <c:pt idx="1">
                  <c:v>0.73546191208512346</c:v>
                </c:pt>
                <c:pt idx="2">
                  <c:v>0.60837864191180391</c:v>
                </c:pt>
                <c:pt idx="3">
                  <c:v>0.60874635184734205</c:v>
                </c:pt>
                <c:pt idx="4">
                  <c:v>0.57461334554169086</c:v>
                </c:pt>
                <c:pt idx="5">
                  <c:v>0.65170373113181856</c:v>
                </c:pt>
                <c:pt idx="6">
                  <c:v>0.67289307024400291</c:v>
                </c:pt>
              </c:numCache>
            </c:numRef>
          </c:xVal>
          <c:yVal>
            <c:numRef>
              <c:f>'Figure 14'!$I$13:$I$19</c:f>
              <c:numCache>
                <c:formatCode>0%</c:formatCode>
                <c:ptCount val="7"/>
                <c:pt idx="0">
                  <c:v>0.50899864520387195</c:v>
                </c:pt>
                <c:pt idx="1">
                  <c:v>0.7630913404692119</c:v>
                </c:pt>
                <c:pt idx="2">
                  <c:v>0.57252065769726646</c:v>
                </c:pt>
                <c:pt idx="3">
                  <c:v>0.49531844676214298</c:v>
                </c:pt>
                <c:pt idx="4">
                  <c:v>0.4677991565252651</c:v>
                </c:pt>
                <c:pt idx="5">
                  <c:v>0.47397697680513207</c:v>
                </c:pt>
                <c:pt idx="6">
                  <c:v>0.59023896148665378</c:v>
                </c:pt>
              </c:numCache>
            </c:numRef>
          </c:yVal>
          <c:smooth val="0"/>
          <c:extLst>
            <c:ext xmlns:c15="http://schemas.microsoft.com/office/drawing/2012/chart" uri="{02D57815-91ED-43cb-92C2-25804820EDAC}">
              <c15:datalabelsRange>
                <c15:f>'I:\LMM Branch\ERSA\6. Briefings and Requests\2023\Jobs and Skills Australia Report 2023\Data\[REOS JSA Report graph data - 18-7-23.xlsx]FigF.Scatter Plot DiffxRec'!$E$12:$E$18</c15:f>
                <c15:dlblRangeCache>
                  <c:ptCount val="7"/>
                  <c:pt idx="0">
                    <c:v>Rest of NSW</c:v>
                  </c:pt>
                  <c:pt idx="1">
                    <c:v>Rest of NT</c:v>
                  </c:pt>
                  <c:pt idx="2">
                    <c:v>Rest of Queensland</c:v>
                  </c:pt>
                  <c:pt idx="3">
                    <c:v>Rest of SA</c:v>
                  </c:pt>
                  <c:pt idx="4">
                    <c:v>Rest of Tasmania</c:v>
                  </c:pt>
                  <c:pt idx="5">
                    <c:v>Rest of Victoria</c:v>
                  </c:pt>
                  <c:pt idx="6">
                    <c:v>Rest of WA</c:v>
                  </c:pt>
                </c15:dlblRangeCache>
              </c15:datalabelsRange>
            </c:ext>
            <c:ext xmlns:c16="http://schemas.microsoft.com/office/drawing/2014/chart" uri="{C3380CC4-5D6E-409C-BE32-E72D297353CC}">
              <c16:uniqueId val="{00000010-5680-4E8C-9549-9AE5C35676BC}"/>
            </c:ext>
          </c:extLst>
        </c:ser>
        <c:dLbls>
          <c:showLegendKey val="0"/>
          <c:showVal val="0"/>
          <c:showCatName val="0"/>
          <c:showSerName val="0"/>
          <c:showPercent val="0"/>
          <c:showBubbleSize val="0"/>
        </c:dLbls>
        <c:axId val="962913024"/>
        <c:axId val="1602144272"/>
      </c:scatterChart>
      <c:valAx>
        <c:axId val="962913024"/>
        <c:scaling>
          <c:orientation val="minMax"/>
          <c:max val="0.75000000000000011"/>
          <c:min val="0.4"/>
        </c:scaling>
        <c:delete val="0"/>
        <c:axPos val="b"/>
        <c:majorGridlines>
          <c:spPr>
            <a:ln w="9525" cap="flat" cmpd="sng" algn="ctr">
              <a:solidFill>
                <a:schemeClr val="bg1">
                  <a:lumMod val="85000"/>
                  <a:alpha val="37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Rate of recruitment difficulty</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02144272"/>
        <c:crosses val="autoZero"/>
        <c:crossBetween val="midCat"/>
      </c:valAx>
      <c:valAx>
        <c:axId val="1602144272"/>
        <c:scaling>
          <c:orientation val="minMax"/>
          <c:min val="0.4"/>
        </c:scaling>
        <c:delete val="0"/>
        <c:axPos val="l"/>
        <c:majorGridlines>
          <c:spPr>
            <a:ln w="9525" cap="flat" cmpd="sng" algn="ctr">
              <a:solidFill>
                <a:schemeClr val="bg1">
                  <a:lumMod val="85000"/>
                  <a:alpha val="36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Recruitment rate</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62913024"/>
        <c:crosses val="autoZero"/>
        <c:crossBetween val="midCat"/>
      </c:valAx>
      <c:spPr>
        <a:noFill/>
        <a:ln>
          <a:noFill/>
        </a:ln>
        <a:effectLst/>
      </c:spPr>
    </c:plotArea>
    <c:legend>
      <c:legendPos val="b"/>
      <c:layout>
        <c:manualLayout>
          <c:xMode val="edge"/>
          <c:yMode val="edge"/>
          <c:x val="0.32319253168146228"/>
          <c:y val="0.90077710874375994"/>
          <c:w val="0.38463969289157413"/>
          <c:h val="7.307916407356296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260375347818368E-2"/>
          <c:y val="8.6673879632047767E-3"/>
          <c:w val="0.57447926742761335"/>
          <c:h val="0.91361304549675026"/>
        </c:manualLayout>
      </c:layout>
      <c:barChart>
        <c:barDir val="bar"/>
        <c:grouping val="clustered"/>
        <c:varyColors val="0"/>
        <c:ser>
          <c:idx val="0"/>
          <c:order val="0"/>
          <c:tx>
            <c:strRef>
              <c:f>Industry!$B$1</c:f>
              <c:strCache>
                <c:ptCount val="1"/>
                <c:pt idx="0">
                  <c:v>Employment change ('000)</c:v>
                </c:pt>
              </c:strCache>
            </c:strRef>
          </c:tx>
          <c:spPr>
            <a:solidFill>
              <a:srgbClr val="44117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Industry!$A$2:$A$20</c:f>
              <c:strCache>
                <c:ptCount val="19"/>
                <c:pt idx="0">
                  <c:v>Accommodation and Food Services</c:v>
                </c:pt>
                <c:pt idx="1">
                  <c:v>Financial and Insurance Services</c:v>
                </c:pt>
                <c:pt idx="2">
                  <c:v>Administrative and Support Services</c:v>
                </c:pt>
                <c:pt idx="3">
                  <c:v>Information Media and Telecommunications</c:v>
                </c:pt>
                <c:pt idx="4">
                  <c:v>Agriculture, Forestry and Fishing</c:v>
                </c:pt>
                <c:pt idx="5">
                  <c:v>Rental, Hiring and Real Estate Services</c:v>
                </c:pt>
                <c:pt idx="6">
                  <c:v>Electricity, Gas, Water and Waste Services</c:v>
                </c:pt>
                <c:pt idx="7">
                  <c:v>Other Services</c:v>
                </c:pt>
                <c:pt idx="8">
                  <c:v>Retail Trade</c:v>
                </c:pt>
                <c:pt idx="9">
                  <c:v>Mining</c:v>
                </c:pt>
                <c:pt idx="10">
                  <c:v>Arts and Recreation Services</c:v>
                </c:pt>
                <c:pt idx="11">
                  <c:v>Wholesale Trade</c:v>
                </c:pt>
                <c:pt idx="12">
                  <c:v>Transport, Postal and Warehousing</c:v>
                </c:pt>
                <c:pt idx="13">
                  <c:v>Public Administration and Safety</c:v>
                </c:pt>
                <c:pt idx="14">
                  <c:v>Manufacturing</c:v>
                </c:pt>
                <c:pt idx="15">
                  <c:v>Professional, Scientific and Technical Services</c:v>
                </c:pt>
                <c:pt idx="16">
                  <c:v>Construction</c:v>
                </c:pt>
                <c:pt idx="17">
                  <c:v>Education and Training</c:v>
                </c:pt>
                <c:pt idx="18">
                  <c:v>Health Care and Social Assistance</c:v>
                </c:pt>
              </c:strCache>
            </c:strRef>
          </c:cat>
          <c:val>
            <c:numRef>
              <c:f>Industry!$B$2:$B$20</c:f>
              <c:numCache>
                <c:formatCode>0.0</c:formatCode>
                <c:ptCount val="19"/>
                <c:pt idx="0">
                  <c:v>-18.041888956092748</c:v>
                </c:pt>
                <c:pt idx="1">
                  <c:v>-6.6289626465670608</c:v>
                </c:pt>
                <c:pt idx="2">
                  <c:v>-2.3974440032690723</c:v>
                </c:pt>
                <c:pt idx="3">
                  <c:v>-2.1925201931642562</c:v>
                </c:pt>
                <c:pt idx="4">
                  <c:v>-0.18033202055084985</c:v>
                </c:pt>
                <c:pt idx="5">
                  <c:v>0.3973431914727712</c:v>
                </c:pt>
                <c:pt idx="6">
                  <c:v>4.2422502210027062</c:v>
                </c:pt>
                <c:pt idx="7">
                  <c:v>4.7021780445812738</c:v>
                </c:pt>
                <c:pt idx="8">
                  <c:v>5.604582934244263</c:v>
                </c:pt>
                <c:pt idx="9">
                  <c:v>6.495503855298125</c:v>
                </c:pt>
                <c:pt idx="10">
                  <c:v>10.011800013626299</c:v>
                </c:pt>
                <c:pt idx="11">
                  <c:v>11.302836524815746</c:v>
                </c:pt>
                <c:pt idx="12">
                  <c:v>19.347243391485449</c:v>
                </c:pt>
                <c:pt idx="13">
                  <c:v>31.869669671149495</c:v>
                </c:pt>
                <c:pt idx="14">
                  <c:v>32.874782455452419</c:v>
                </c:pt>
                <c:pt idx="15">
                  <c:v>35.287979920423368</c:v>
                </c:pt>
                <c:pt idx="16">
                  <c:v>36.306690373069841</c:v>
                </c:pt>
                <c:pt idx="17">
                  <c:v>51.926259101830965</c:v>
                </c:pt>
                <c:pt idx="18">
                  <c:v>108.0023525522929</c:v>
                </c:pt>
              </c:numCache>
            </c:numRef>
          </c:val>
          <c:extLst>
            <c:ext xmlns:c16="http://schemas.microsoft.com/office/drawing/2014/chart" uri="{C3380CC4-5D6E-409C-BE32-E72D297353CC}">
              <c16:uniqueId val="{00000000-C468-47DC-ABFD-95FEBCEF9377}"/>
            </c:ext>
          </c:extLst>
        </c:ser>
        <c:dLbls>
          <c:showLegendKey val="0"/>
          <c:showVal val="0"/>
          <c:showCatName val="0"/>
          <c:showSerName val="0"/>
          <c:showPercent val="0"/>
          <c:showBubbleSize val="0"/>
        </c:dLbls>
        <c:gapWidth val="75"/>
        <c:axId val="809945024"/>
        <c:axId val="812499152"/>
      </c:barChart>
      <c:catAx>
        <c:axId val="809945024"/>
        <c:scaling>
          <c:orientation val="minMax"/>
        </c:scaling>
        <c:delete val="0"/>
        <c:axPos val="l"/>
        <c:numFmt formatCode="General" sourceLinked="1"/>
        <c:majorTickMark val="none"/>
        <c:minorTickMark val="none"/>
        <c:tickLblPos val="high"/>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12499152"/>
        <c:crosses val="autoZero"/>
        <c:auto val="1"/>
        <c:lblAlgn val="ctr"/>
        <c:lblOffset val="100"/>
        <c:noMultiLvlLbl val="0"/>
      </c:catAx>
      <c:valAx>
        <c:axId val="812499152"/>
        <c:scaling>
          <c:orientation val="minMax"/>
          <c:max val="150"/>
          <c:min val="-5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Annual</a:t>
                </a:r>
                <a:r>
                  <a:rPr lang="en-AU" baseline="0"/>
                  <a:t> change in employment ('000) </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09945024"/>
        <c:crosses val="autoZero"/>
        <c:crossBetween val="between"/>
        <c:maj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454751921733054E-2"/>
          <c:y val="3.7923456790123454E-2"/>
          <c:w val="0.88213923829489871"/>
          <c:h val="0.67863179383278849"/>
        </c:manualLayout>
      </c:layout>
      <c:barChart>
        <c:barDir val="col"/>
        <c:grouping val="clustered"/>
        <c:varyColors val="0"/>
        <c:ser>
          <c:idx val="1"/>
          <c:order val="0"/>
          <c:tx>
            <c:strRef>
              <c:f>'I:\LMM Branch\ERSA\6. Briefings and Requests\2024\LMU - Dec 23 edition\Data files\[Quarterly chart builder1 Dec Quarter 2023.xlsx]Output - Industry'!$E$21</c:f>
              <c:strCache>
                <c:ptCount val="1"/>
                <c:pt idx="0">
                  <c:v>Mar qtr 2023</c:v>
                </c:pt>
              </c:strCache>
            </c:strRef>
          </c:tx>
          <c:spPr>
            <a:solidFill>
              <a:schemeClr val="accent1"/>
            </a:solidFill>
            <a:ln>
              <a:noFill/>
            </a:ln>
            <a:effectLst/>
          </c:spPr>
          <c:invertIfNegative val="0"/>
          <c:dLbls>
            <c:dLbl>
              <c:idx val="0"/>
              <c:layout>
                <c:manualLayout>
                  <c:x val="-2.1645021645021844E-3"/>
                  <c:y val="-4.060492037109366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DB-4C4D-8D44-DE41E59EF3A8}"/>
                </c:ext>
              </c:extLst>
            </c:dLbl>
            <c:dLbl>
              <c:idx val="1"/>
              <c:layout>
                <c:manualLayout>
                  <c:x val="-6.4935064935064939E-3"/>
                  <c:y val="1.77187153931339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DB-4C4D-8D44-DE41E59EF3A8}"/>
                </c:ext>
              </c:extLst>
            </c:dLbl>
            <c:dLbl>
              <c:idx val="4"/>
              <c:layout>
                <c:manualLayout>
                  <c:x val="-7.9364162543501253E-17"/>
                  <c:y val="1.3289036544850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DB-4C4D-8D44-DE41E59EF3A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17'!$A$6:$A$12</c:f>
              <c:strCache>
                <c:ptCount val="7"/>
                <c:pt idx="0">
                  <c:v>Manufacturing</c:v>
                </c:pt>
                <c:pt idx="1">
                  <c:v>Construction</c:v>
                </c:pt>
                <c:pt idx="2">
                  <c:v>Wholesale Trade*</c:v>
                </c:pt>
                <c:pt idx="3">
                  <c:v>Retail Trade</c:v>
                </c:pt>
                <c:pt idx="4">
                  <c:v>Accommodation &amp; Food Services</c:v>
                </c:pt>
                <c:pt idx="5">
                  <c:v>Professional, Scientific &amp; Technical Services*</c:v>
                </c:pt>
                <c:pt idx="6">
                  <c:v>Health Care &amp; Social Assistance</c:v>
                </c:pt>
              </c:strCache>
            </c:strRef>
          </c:cat>
          <c:val>
            <c:numRef>
              <c:f>'\LMM Branch\ERSA\6. Briefings and Requests\2024\LMU - Dec 23 edition\Data files\[Quarterly chart builder1 Dec Quarter 2023.xlsx]Output - Industry'!$E$36:$E$42</c:f>
              <c:numCache>
                <c:formatCode>General</c:formatCode>
                <c:ptCount val="7"/>
                <c:pt idx="0">
                  <c:v>0.67</c:v>
                </c:pt>
                <c:pt idx="1">
                  <c:v>0.59</c:v>
                </c:pt>
                <c:pt idx="2">
                  <c:v>0.7</c:v>
                </c:pt>
                <c:pt idx="3">
                  <c:v>0.6</c:v>
                </c:pt>
                <c:pt idx="4">
                  <c:v>0.53</c:v>
                </c:pt>
                <c:pt idx="5">
                  <c:v>0.61</c:v>
                </c:pt>
                <c:pt idx="6">
                  <c:v>0.66</c:v>
                </c:pt>
              </c:numCache>
            </c:numRef>
          </c:val>
          <c:extLst>
            <c:ext xmlns:c16="http://schemas.microsoft.com/office/drawing/2014/chart" uri="{C3380CC4-5D6E-409C-BE32-E72D297353CC}">
              <c16:uniqueId val="{00000003-F8DB-4C4D-8D44-DE41E59EF3A8}"/>
            </c:ext>
          </c:extLst>
        </c:ser>
        <c:ser>
          <c:idx val="2"/>
          <c:order val="1"/>
          <c:tx>
            <c:strRef>
              <c:f>'I:\LMM Branch\ERSA\6. Briefings and Requests\2024\LMU - Dec 23 edition\Data files\[Quarterly chart builder1 Dec Quarter 2023.xlsx]Output - Industry'!$F$21</c:f>
              <c:strCache>
                <c:ptCount val="1"/>
                <c:pt idx="0">
                  <c:v>June qtr 2023</c:v>
                </c:pt>
              </c:strCache>
            </c:strRef>
          </c:tx>
          <c:spPr>
            <a:solidFill>
              <a:schemeClr val="accent2"/>
            </a:solidFill>
            <a:ln>
              <a:noFill/>
            </a:ln>
            <a:effectLst/>
          </c:spPr>
          <c:invertIfNegative val="0"/>
          <c:cat>
            <c:strRef>
              <c:f>'Figure 17'!$A$6:$A$12</c:f>
              <c:strCache>
                <c:ptCount val="7"/>
                <c:pt idx="0">
                  <c:v>Manufacturing</c:v>
                </c:pt>
                <c:pt idx="1">
                  <c:v>Construction</c:v>
                </c:pt>
                <c:pt idx="2">
                  <c:v>Wholesale Trade*</c:v>
                </c:pt>
                <c:pt idx="3">
                  <c:v>Retail Trade</c:v>
                </c:pt>
                <c:pt idx="4">
                  <c:v>Accommodation &amp; Food Services</c:v>
                </c:pt>
                <c:pt idx="5">
                  <c:v>Professional, Scientific &amp; Technical Services*</c:v>
                </c:pt>
                <c:pt idx="6">
                  <c:v>Health Care &amp; Social Assistance</c:v>
                </c:pt>
              </c:strCache>
            </c:strRef>
          </c:cat>
          <c:val>
            <c:numRef>
              <c:f>'\LMM Branch\ERSA\6. Briefings and Requests\2024\LMU - Dec 23 edition\Data files\[Quarterly chart builder1 Dec Quarter 2023.xlsx]Output - Industry'!$F$36:$F$42</c:f>
              <c:numCache>
                <c:formatCode>General</c:formatCode>
                <c:ptCount val="7"/>
                <c:pt idx="0">
                  <c:v>0.73</c:v>
                </c:pt>
                <c:pt idx="1">
                  <c:v>0.7</c:v>
                </c:pt>
                <c:pt idx="2">
                  <c:v>0.67</c:v>
                </c:pt>
                <c:pt idx="3">
                  <c:v>0.62</c:v>
                </c:pt>
                <c:pt idx="4">
                  <c:v>0.52</c:v>
                </c:pt>
                <c:pt idx="5">
                  <c:v>0.56999999999999995</c:v>
                </c:pt>
                <c:pt idx="6">
                  <c:v>0.67</c:v>
                </c:pt>
              </c:numCache>
            </c:numRef>
          </c:val>
          <c:extLst>
            <c:ext xmlns:c16="http://schemas.microsoft.com/office/drawing/2014/chart" uri="{C3380CC4-5D6E-409C-BE32-E72D297353CC}">
              <c16:uniqueId val="{00000004-F8DB-4C4D-8D44-DE41E59EF3A8}"/>
            </c:ext>
          </c:extLst>
        </c:ser>
        <c:ser>
          <c:idx val="3"/>
          <c:order val="2"/>
          <c:tx>
            <c:strRef>
              <c:f>'I:\LMM Branch\ERSA\6. Briefings and Requests\2024\LMU - Dec 23 edition\Data files\[Quarterly chart builder1 Dec Quarter 2023.xlsx]Output - Industry'!$G$21</c:f>
              <c:strCache>
                <c:ptCount val="1"/>
                <c:pt idx="0">
                  <c:v>Sept qtr 2023</c:v>
                </c:pt>
              </c:strCache>
            </c:strRef>
          </c:tx>
          <c:spPr>
            <a:solidFill>
              <a:schemeClr val="accent3"/>
            </a:solidFill>
            <a:ln>
              <a:noFill/>
            </a:ln>
            <a:effectLst/>
          </c:spPr>
          <c:invertIfNegative val="0"/>
          <c:cat>
            <c:strRef>
              <c:f>'Figure 17'!$A$6:$A$12</c:f>
              <c:strCache>
                <c:ptCount val="7"/>
                <c:pt idx="0">
                  <c:v>Manufacturing</c:v>
                </c:pt>
                <c:pt idx="1">
                  <c:v>Construction</c:v>
                </c:pt>
                <c:pt idx="2">
                  <c:v>Wholesale Trade*</c:v>
                </c:pt>
                <c:pt idx="3">
                  <c:v>Retail Trade</c:v>
                </c:pt>
                <c:pt idx="4">
                  <c:v>Accommodation &amp; Food Services</c:v>
                </c:pt>
                <c:pt idx="5">
                  <c:v>Professional, Scientific &amp; Technical Services*</c:v>
                </c:pt>
                <c:pt idx="6">
                  <c:v>Health Care &amp; Social Assistance</c:v>
                </c:pt>
              </c:strCache>
            </c:strRef>
          </c:cat>
          <c:val>
            <c:numRef>
              <c:f>'\LMM Branch\ERSA\6. Briefings and Requests\2024\LMU - Dec 23 edition\Data files\[Quarterly chart builder1 Dec Quarter 2023.xlsx]Output - Industry'!$G$36:$G$42</c:f>
              <c:numCache>
                <c:formatCode>General</c:formatCode>
                <c:ptCount val="7"/>
                <c:pt idx="0">
                  <c:v>0.69</c:v>
                </c:pt>
                <c:pt idx="1">
                  <c:v>0.61</c:v>
                </c:pt>
                <c:pt idx="2">
                  <c:v>0.67</c:v>
                </c:pt>
                <c:pt idx="3">
                  <c:v>0.57999999999999996</c:v>
                </c:pt>
                <c:pt idx="4">
                  <c:v>0.41</c:v>
                </c:pt>
                <c:pt idx="5">
                  <c:v>0.59</c:v>
                </c:pt>
                <c:pt idx="6">
                  <c:v>0.71</c:v>
                </c:pt>
              </c:numCache>
            </c:numRef>
          </c:val>
          <c:extLst>
            <c:ext xmlns:c16="http://schemas.microsoft.com/office/drawing/2014/chart" uri="{C3380CC4-5D6E-409C-BE32-E72D297353CC}">
              <c16:uniqueId val="{00000005-F8DB-4C4D-8D44-DE41E59EF3A8}"/>
            </c:ext>
          </c:extLst>
        </c:ser>
        <c:ser>
          <c:idx val="4"/>
          <c:order val="3"/>
          <c:tx>
            <c:strRef>
              <c:f>'I:\LMM Branch\ERSA\6. Briefings and Requests\2024\LMU - Dec 23 edition\Data files\[Quarterly chart builder1 Dec Quarter 2023.xlsx]Output - Industry'!$H$21</c:f>
              <c:strCache>
                <c:ptCount val="1"/>
                <c:pt idx="0">
                  <c:v>Dec qtr 2023</c:v>
                </c:pt>
              </c:strCache>
            </c:strRef>
          </c:tx>
          <c:spPr>
            <a:solidFill>
              <a:schemeClr val="accent4"/>
            </a:solidFill>
            <a:ln>
              <a:noFill/>
            </a:ln>
            <a:effectLst/>
          </c:spPr>
          <c:invertIfNegative val="0"/>
          <c:cat>
            <c:strRef>
              <c:f>'Figure 17'!$A$6:$A$12</c:f>
              <c:strCache>
                <c:ptCount val="7"/>
                <c:pt idx="0">
                  <c:v>Manufacturing</c:v>
                </c:pt>
                <c:pt idx="1">
                  <c:v>Construction</c:v>
                </c:pt>
                <c:pt idx="2">
                  <c:v>Wholesale Trade*</c:v>
                </c:pt>
                <c:pt idx="3">
                  <c:v>Retail Trade</c:v>
                </c:pt>
                <c:pt idx="4">
                  <c:v>Accommodation &amp; Food Services</c:v>
                </c:pt>
                <c:pt idx="5">
                  <c:v>Professional, Scientific &amp; Technical Services*</c:v>
                </c:pt>
                <c:pt idx="6">
                  <c:v>Health Care &amp; Social Assistance</c:v>
                </c:pt>
              </c:strCache>
            </c:strRef>
          </c:cat>
          <c:val>
            <c:numRef>
              <c:f>'\LMM Branch\ERSA\6. Briefings and Requests\2024\LMU - Dec 23 edition\Data files\[Quarterly chart builder1 Dec Quarter 2023.xlsx]Output - Industry'!$H$36:$H$42</c:f>
              <c:numCache>
                <c:formatCode>General</c:formatCode>
                <c:ptCount val="7"/>
                <c:pt idx="0">
                  <c:v>0.68</c:v>
                </c:pt>
                <c:pt idx="1">
                  <c:v>0.59</c:v>
                </c:pt>
                <c:pt idx="2">
                  <c:v>0.52</c:v>
                </c:pt>
                <c:pt idx="3">
                  <c:v>0.47</c:v>
                </c:pt>
                <c:pt idx="4">
                  <c:v>0.41</c:v>
                </c:pt>
                <c:pt idx="5">
                  <c:v>0.69</c:v>
                </c:pt>
                <c:pt idx="6">
                  <c:v>0.56000000000000005</c:v>
                </c:pt>
              </c:numCache>
            </c:numRef>
          </c:val>
          <c:extLst>
            <c:ext xmlns:c16="http://schemas.microsoft.com/office/drawing/2014/chart" uri="{C3380CC4-5D6E-409C-BE32-E72D297353CC}">
              <c16:uniqueId val="{00000006-F8DB-4C4D-8D44-DE41E59EF3A8}"/>
            </c:ext>
          </c:extLst>
        </c:ser>
        <c:ser>
          <c:idx val="0"/>
          <c:order val="4"/>
          <c:tx>
            <c:strRef>
              <c:f>'Figure 17'!$F$5</c:f>
              <c:strCache>
                <c:ptCount val="1"/>
                <c:pt idx="0">
                  <c:v>Mar qtr 2024</c:v>
                </c:pt>
              </c:strCache>
            </c:strRef>
          </c:tx>
          <c:spPr>
            <a:solidFill>
              <a:schemeClr val="accent5"/>
            </a:solidFill>
            <a:ln>
              <a:noFill/>
            </a:ln>
            <a:effectLst/>
          </c:spPr>
          <c:invertIfNegative val="0"/>
          <c:dLbls>
            <c:dLbl>
              <c:idx val="0"/>
              <c:layout>
                <c:manualLayout>
                  <c:x val="8.658008658008658E-3"/>
                  <c:y val="-4.57442819647544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DB-4C4D-8D44-DE41E59EF3A8}"/>
                </c:ext>
              </c:extLst>
            </c:dLbl>
            <c:dLbl>
              <c:idx val="1"/>
              <c:layout>
                <c:manualLayout>
                  <c:x val="1.0822510822510822E-2"/>
                  <c:y val="1.3289036544850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8DB-4C4D-8D44-DE41E59EF3A8}"/>
                </c:ext>
              </c:extLst>
            </c:dLbl>
            <c:dLbl>
              <c:idx val="2"/>
              <c:layout>
                <c:manualLayout>
                  <c:x val="6.4935064935064939E-3"/>
                  <c:y val="1.3289036544850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8DB-4C4D-8D44-DE41E59EF3A8}"/>
                </c:ext>
              </c:extLst>
            </c:dLbl>
            <c:dLbl>
              <c:idx val="4"/>
              <c:layout>
                <c:manualLayout>
                  <c:x val="8.658008658008658E-3"/>
                  <c:y val="1.74292166967501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8DB-4C4D-8D44-DE41E59EF3A8}"/>
                </c:ext>
              </c:extLst>
            </c:dLbl>
            <c:dLbl>
              <c:idx val="5"/>
              <c:layout>
                <c:manualLayout>
                  <c:x val="1.0822510822510664E-2"/>
                  <c:y val="8.71459694989102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8DB-4C4D-8D44-DE41E59EF3A8}"/>
                </c:ext>
              </c:extLst>
            </c:dLbl>
            <c:dLbl>
              <c:idx val="6"/>
              <c:layout>
                <c:manualLayout>
                  <c:x val="1.0822510822510822E-2"/>
                  <c:y val="1.3289036544850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8DB-4C4D-8D44-DE41E59EF3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17'!$A$6:$A$12</c:f>
              <c:strCache>
                <c:ptCount val="7"/>
                <c:pt idx="0">
                  <c:v>Manufacturing</c:v>
                </c:pt>
                <c:pt idx="1">
                  <c:v>Construction</c:v>
                </c:pt>
                <c:pt idx="2">
                  <c:v>Wholesale Trade*</c:v>
                </c:pt>
                <c:pt idx="3">
                  <c:v>Retail Trade</c:v>
                </c:pt>
                <c:pt idx="4">
                  <c:v>Accommodation &amp; Food Services</c:v>
                </c:pt>
                <c:pt idx="5">
                  <c:v>Professional, Scientific &amp; Technical Services*</c:v>
                </c:pt>
                <c:pt idx="6">
                  <c:v>Health Care &amp; Social Assistance</c:v>
                </c:pt>
              </c:strCache>
            </c:strRef>
          </c:cat>
          <c:val>
            <c:numRef>
              <c:f>'Figure 17'!$F$6:$F$12</c:f>
              <c:numCache>
                <c:formatCode>0%</c:formatCode>
                <c:ptCount val="7"/>
                <c:pt idx="0">
                  <c:v>0.61</c:v>
                </c:pt>
                <c:pt idx="1">
                  <c:v>0.55000000000000004</c:v>
                </c:pt>
                <c:pt idx="2">
                  <c:v>0.47</c:v>
                </c:pt>
                <c:pt idx="3">
                  <c:v>0.52</c:v>
                </c:pt>
                <c:pt idx="4">
                  <c:v>0.36</c:v>
                </c:pt>
                <c:pt idx="5">
                  <c:v>0.54</c:v>
                </c:pt>
                <c:pt idx="6">
                  <c:v>0.5</c:v>
                </c:pt>
              </c:numCache>
            </c:numRef>
          </c:val>
          <c:extLst>
            <c:ext xmlns:c16="http://schemas.microsoft.com/office/drawing/2014/chart" uri="{C3380CC4-5D6E-409C-BE32-E72D297353CC}">
              <c16:uniqueId val="{0000000D-F8DB-4C4D-8D44-DE41E59EF3A8}"/>
            </c:ext>
          </c:extLst>
        </c:ser>
        <c:dLbls>
          <c:showLegendKey val="0"/>
          <c:showVal val="0"/>
          <c:showCatName val="0"/>
          <c:showSerName val="0"/>
          <c:showPercent val="0"/>
          <c:showBubbleSize val="0"/>
        </c:dLbls>
        <c:gapWidth val="219"/>
        <c:overlap val="-27"/>
        <c:axId val="1065368751"/>
        <c:axId val="510140415"/>
      </c:barChart>
      <c:catAx>
        <c:axId val="1065368751"/>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10140415"/>
        <c:crosses val="autoZero"/>
        <c:auto val="1"/>
        <c:lblAlgn val="ctr"/>
        <c:lblOffset val="100"/>
        <c:noMultiLvlLbl val="0"/>
      </c:catAx>
      <c:valAx>
        <c:axId val="510140415"/>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b="0" i="0" u="none" strike="noStrike" kern="1200" baseline="0">
                    <a:solidFill>
                      <a:sysClr val="windowText" lastClr="000000"/>
                    </a:solidFill>
                    <a:latin typeface="Arial" panose="020B0604020202020204" pitchFamily="34" charset="0"/>
                    <a:cs typeface="Arial" panose="020B0604020202020204" pitchFamily="34" charset="0"/>
                  </a:rPr>
                  <a:t>Proportion of recruiting employers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65368751"/>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Arial Nova" panose="020B05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mn-lt"/>
                <a:ea typeface="+mn-ea"/>
                <a:cs typeface="+mn-cs"/>
              </a:defRPr>
            </a:pPr>
            <a:r>
              <a:rPr lang="en-AU"/>
              <a:t>Higher skilled</a:t>
            </a:r>
          </a:p>
        </c:rich>
      </c:tx>
      <c:layout>
        <c:manualLayout>
          <c:xMode val="edge"/>
          <c:yMode val="edge"/>
          <c:x val="0.13164843508091814"/>
          <c:y val="2.3969319271332695E-2"/>
        </c:manualLayout>
      </c:layout>
      <c:overlay val="1"/>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1"/>
          <c:order val="1"/>
          <c:tx>
            <c:v>Recruitment difficulty</c:v>
          </c:tx>
          <c:spPr>
            <a:ln w="28575" cap="rnd">
              <a:solidFill>
                <a:schemeClr val="accent2"/>
              </a:solidFill>
              <a:round/>
            </a:ln>
            <a:effectLst/>
          </c:spPr>
          <c:marker>
            <c:symbol val="none"/>
          </c:marker>
          <c:dPt>
            <c:idx val="2"/>
            <c:marker>
              <c:symbol val="none"/>
            </c:marker>
            <c:bubble3D val="0"/>
            <c:spPr>
              <a:ln w="28575" cap="rnd">
                <a:solidFill>
                  <a:schemeClr val="accent2"/>
                </a:solidFill>
                <a:prstDash val="sysDot"/>
                <a:round/>
              </a:ln>
              <a:effectLst/>
            </c:spPr>
            <c:extLst>
              <c:ext xmlns:c16="http://schemas.microsoft.com/office/drawing/2014/chart" uri="{C3380CC4-5D6E-409C-BE32-E72D297353CC}">
                <c16:uniqueId val="{00000001-1E10-4846-9809-4D5AFFFE4E9A}"/>
              </c:ext>
            </c:extLst>
          </c:dPt>
          <c:dPt>
            <c:idx val="14"/>
            <c:marker>
              <c:symbol val="none"/>
            </c:marker>
            <c:bubble3D val="0"/>
            <c:spPr>
              <a:ln w="28575" cap="rnd">
                <a:solidFill>
                  <a:schemeClr val="accent2"/>
                </a:solidFill>
                <a:prstDash val="sysDot"/>
                <a:round/>
              </a:ln>
              <a:effectLst/>
            </c:spPr>
            <c:extLst>
              <c:ext xmlns:c16="http://schemas.microsoft.com/office/drawing/2014/chart" uri="{C3380CC4-5D6E-409C-BE32-E72D297353CC}">
                <c16:uniqueId val="{00000003-1E10-4846-9809-4D5AFFFE4E9A}"/>
              </c:ext>
            </c:extLst>
          </c:dPt>
          <c:dPt>
            <c:idx val="26"/>
            <c:marker>
              <c:symbol val="none"/>
            </c:marker>
            <c:bubble3D val="0"/>
            <c:spPr>
              <a:ln w="28575" cap="rnd">
                <a:solidFill>
                  <a:schemeClr val="accent2"/>
                </a:solidFill>
                <a:prstDash val="sysDot"/>
                <a:round/>
              </a:ln>
              <a:effectLst/>
            </c:spPr>
            <c:extLst>
              <c:ext xmlns:c16="http://schemas.microsoft.com/office/drawing/2014/chart" uri="{C3380CC4-5D6E-409C-BE32-E72D297353CC}">
                <c16:uniqueId val="{00000005-1E10-4846-9809-4D5AFFFE4E9A}"/>
              </c:ext>
            </c:extLst>
          </c:dPt>
          <c:dPt>
            <c:idx val="38"/>
            <c:marker>
              <c:symbol val="none"/>
            </c:marker>
            <c:bubble3D val="0"/>
            <c:spPr>
              <a:ln w="28575" cap="rnd">
                <a:solidFill>
                  <a:schemeClr val="accent2"/>
                </a:solidFill>
                <a:prstDash val="sysDot"/>
                <a:round/>
              </a:ln>
              <a:effectLst/>
            </c:spPr>
            <c:extLst>
              <c:ext xmlns:c16="http://schemas.microsoft.com/office/drawing/2014/chart" uri="{C3380CC4-5D6E-409C-BE32-E72D297353CC}">
                <c16:uniqueId val="{00000007-1E10-4846-9809-4D5AFFFE4E9A}"/>
              </c:ext>
            </c:extLst>
          </c:dPt>
          <c:dLbls>
            <c:dLbl>
              <c:idx val="39"/>
              <c:layout>
                <c:manualLayout>
                  <c:x val="-5.3930742528151721E-2"/>
                  <c:y val="8.4085922157432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E10-4846-9809-4D5AFFFE4E9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20a &amp; 20b'!$B$6:$AO$6</c:f>
              <c:numCache>
                <c:formatCode>mmm\-yy</c:formatCode>
                <c:ptCount val="40"/>
                <c:pt idx="0">
                  <c:v>44166</c:v>
                </c:pt>
                <c:pt idx="1">
                  <c:v>44197</c:v>
                </c:pt>
                <c:pt idx="2">
                  <c:v>44228</c:v>
                </c:pt>
                <c:pt idx="3">
                  <c:v>44256</c:v>
                </c:pt>
                <c:pt idx="4">
                  <c:v>44287</c:v>
                </c:pt>
                <c:pt idx="5">
                  <c:v>44317</c:v>
                </c:pt>
                <c:pt idx="6">
                  <c:v>44348</c:v>
                </c:pt>
                <c:pt idx="7">
                  <c:v>44378</c:v>
                </c:pt>
                <c:pt idx="8">
                  <c:v>44409</c:v>
                </c:pt>
                <c:pt idx="9">
                  <c:v>44440</c:v>
                </c:pt>
                <c:pt idx="10">
                  <c:v>44470</c:v>
                </c:pt>
                <c:pt idx="11">
                  <c:v>44501</c:v>
                </c:pt>
                <c:pt idx="12">
                  <c:v>44531</c:v>
                </c:pt>
                <c:pt idx="13">
                  <c:v>44562</c:v>
                </c:pt>
                <c:pt idx="14">
                  <c:v>44593</c:v>
                </c:pt>
                <c:pt idx="15">
                  <c:v>44621</c:v>
                </c:pt>
                <c:pt idx="16">
                  <c:v>44652</c:v>
                </c:pt>
                <c:pt idx="17">
                  <c:v>44682</c:v>
                </c:pt>
                <c:pt idx="18">
                  <c:v>44713</c:v>
                </c:pt>
                <c:pt idx="19">
                  <c:v>44743</c:v>
                </c:pt>
                <c:pt idx="20">
                  <c:v>44774</c:v>
                </c:pt>
                <c:pt idx="21">
                  <c:v>44805</c:v>
                </c:pt>
                <c:pt idx="22">
                  <c:v>44835</c:v>
                </c:pt>
                <c:pt idx="23">
                  <c:v>44866</c:v>
                </c:pt>
                <c:pt idx="24">
                  <c:v>44896</c:v>
                </c:pt>
                <c:pt idx="25">
                  <c:v>44927</c:v>
                </c:pt>
                <c:pt idx="26">
                  <c:v>44958</c:v>
                </c:pt>
                <c:pt idx="27">
                  <c:v>44986</c:v>
                </c:pt>
                <c:pt idx="28">
                  <c:v>45017</c:v>
                </c:pt>
                <c:pt idx="29">
                  <c:v>45047</c:v>
                </c:pt>
                <c:pt idx="30">
                  <c:v>45078</c:v>
                </c:pt>
                <c:pt idx="31">
                  <c:v>45108</c:v>
                </c:pt>
                <c:pt idx="32">
                  <c:v>45139</c:v>
                </c:pt>
                <c:pt idx="33">
                  <c:v>45170</c:v>
                </c:pt>
                <c:pt idx="34">
                  <c:v>45200</c:v>
                </c:pt>
                <c:pt idx="35">
                  <c:v>45231</c:v>
                </c:pt>
                <c:pt idx="36">
                  <c:v>45261</c:v>
                </c:pt>
                <c:pt idx="37">
                  <c:v>45292</c:v>
                </c:pt>
                <c:pt idx="38">
                  <c:v>45323</c:v>
                </c:pt>
                <c:pt idx="39">
                  <c:v>45352</c:v>
                </c:pt>
              </c:numCache>
            </c:numRef>
          </c:cat>
          <c:val>
            <c:numRef>
              <c:f>'Figures 20a &amp; 20b'!$B$8:$AO$8</c:f>
              <c:numCache>
                <c:formatCode>General</c:formatCode>
                <c:ptCount val="40"/>
                <c:pt idx="0" formatCode="0%">
                  <c:v>0.51</c:v>
                </c:pt>
                <c:pt idx="2" formatCode="0%">
                  <c:v>0.45</c:v>
                </c:pt>
                <c:pt idx="3" formatCode="0%">
                  <c:v>0.5</c:v>
                </c:pt>
                <c:pt idx="4" formatCode="0%">
                  <c:v>0.64</c:v>
                </c:pt>
                <c:pt idx="5" formatCode="0%">
                  <c:v>0.57999999999999996</c:v>
                </c:pt>
                <c:pt idx="6" formatCode="0%">
                  <c:v>0.59</c:v>
                </c:pt>
                <c:pt idx="7" formatCode="0%">
                  <c:v>0.57999999999999996</c:v>
                </c:pt>
                <c:pt idx="8" formatCode="0%">
                  <c:v>0.56999999999999995</c:v>
                </c:pt>
                <c:pt idx="9" formatCode="0%">
                  <c:v>0.61</c:v>
                </c:pt>
                <c:pt idx="10" formatCode="0%">
                  <c:v>0.56999999999999995</c:v>
                </c:pt>
                <c:pt idx="11" formatCode="0%">
                  <c:v>0.68</c:v>
                </c:pt>
                <c:pt idx="12" formatCode="0%">
                  <c:v>0.62</c:v>
                </c:pt>
                <c:pt idx="14" formatCode="0%">
                  <c:v>0.63</c:v>
                </c:pt>
                <c:pt idx="15" formatCode="0%">
                  <c:v>0.69</c:v>
                </c:pt>
                <c:pt idx="16" formatCode="0%">
                  <c:v>0.67</c:v>
                </c:pt>
                <c:pt idx="17" formatCode="0%">
                  <c:v>0.74</c:v>
                </c:pt>
                <c:pt idx="18" formatCode="0%">
                  <c:v>0.71</c:v>
                </c:pt>
                <c:pt idx="19" formatCode="0%">
                  <c:v>0.8</c:v>
                </c:pt>
                <c:pt idx="20" formatCode="0%">
                  <c:v>0.79</c:v>
                </c:pt>
                <c:pt idx="21" formatCode="0%">
                  <c:v>0.71</c:v>
                </c:pt>
                <c:pt idx="22" formatCode="0%">
                  <c:v>0.72</c:v>
                </c:pt>
                <c:pt idx="23" formatCode="0%">
                  <c:v>0.79</c:v>
                </c:pt>
                <c:pt idx="24" formatCode="0%">
                  <c:v>0.72</c:v>
                </c:pt>
                <c:pt idx="26" formatCode="0%">
                  <c:v>0.65</c:v>
                </c:pt>
                <c:pt idx="27" formatCode="0%">
                  <c:v>0.72</c:v>
                </c:pt>
                <c:pt idx="28" formatCode="0%">
                  <c:v>0.69</c:v>
                </c:pt>
                <c:pt idx="29" formatCode="0%">
                  <c:v>0.75</c:v>
                </c:pt>
                <c:pt idx="30" formatCode="0%">
                  <c:v>0.72</c:v>
                </c:pt>
                <c:pt idx="31" formatCode="0%">
                  <c:v>0.65</c:v>
                </c:pt>
                <c:pt idx="32" formatCode="0%">
                  <c:v>0.74</c:v>
                </c:pt>
                <c:pt idx="33" formatCode="0%">
                  <c:v>0.7</c:v>
                </c:pt>
                <c:pt idx="34" formatCode="0%">
                  <c:v>0.67</c:v>
                </c:pt>
                <c:pt idx="35" formatCode="0%">
                  <c:v>0.71</c:v>
                </c:pt>
                <c:pt idx="36" formatCode="0%">
                  <c:v>0.59</c:v>
                </c:pt>
                <c:pt idx="38" formatCode="0%">
                  <c:v>0.66</c:v>
                </c:pt>
                <c:pt idx="39" formatCode="0%">
                  <c:v>0.62</c:v>
                </c:pt>
              </c:numCache>
            </c:numRef>
          </c:val>
          <c:smooth val="0"/>
          <c:extLst>
            <c:ext xmlns:c16="http://schemas.microsoft.com/office/drawing/2014/chart" uri="{C3380CC4-5D6E-409C-BE32-E72D297353CC}">
              <c16:uniqueId val="{00000009-1E10-4846-9809-4D5AFFFE4E9A}"/>
            </c:ext>
          </c:extLst>
        </c:ser>
        <c:dLbls>
          <c:showLegendKey val="0"/>
          <c:showVal val="0"/>
          <c:showCatName val="0"/>
          <c:showSerName val="0"/>
          <c:showPercent val="0"/>
          <c:showBubbleSize val="0"/>
        </c:dLbls>
        <c:marker val="1"/>
        <c:smooth val="0"/>
        <c:axId val="754824799"/>
        <c:axId val="1499252399"/>
      </c:lineChart>
      <c:lineChart>
        <c:grouping val="standard"/>
        <c:varyColors val="0"/>
        <c:ser>
          <c:idx val="0"/>
          <c:order val="0"/>
          <c:tx>
            <c:v>Seasonally adjusted job advertisements</c:v>
          </c:tx>
          <c:spPr>
            <a:ln w="28575" cap="rnd">
              <a:solidFill>
                <a:schemeClr val="accent1"/>
              </a:solidFill>
              <a:round/>
            </a:ln>
            <a:effectLst/>
          </c:spPr>
          <c:marker>
            <c:symbol val="none"/>
          </c:marker>
          <c:cat>
            <c:numRef>
              <c:f>'Figures 20a &amp; 20b'!$B$6:$AO$6</c:f>
              <c:numCache>
                <c:formatCode>mmm\-yy</c:formatCode>
                <c:ptCount val="40"/>
                <c:pt idx="0">
                  <c:v>44166</c:v>
                </c:pt>
                <c:pt idx="1">
                  <c:v>44197</c:v>
                </c:pt>
                <c:pt idx="2">
                  <c:v>44228</c:v>
                </c:pt>
                <c:pt idx="3">
                  <c:v>44256</c:v>
                </c:pt>
                <c:pt idx="4">
                  <c:v>44287</c:v>
                </c:pt>
                <c:pt idx="5">
                  <c:v>44317</c:v>
                </c:pt>
                <c:pt idx="6">
                  <c:v>44348</c:v>
                </c:pt>
                <c:pt idx="7">
                  <c:v>44378</c:v>
                </c:pt>
                <c:pt idx="8">
                  <c:v>44409</c:v>
                </c:pt>
                <c:pt idx="9">
                  <c:v>44440</c:v>
                </c:pt>
                <c:pt idx="10">
                  <c:v>44470</c:v>
                </c:pt>
                <c:pt idx="11">
                  <c:v>44501</c:v>
                </c:pt>
                <c:pt idx="12">
                  <c:v>44531</c:v>
                </c:pt>
                <c:pt idx="13">
                  <c:v>44562</c:v>
                </c:pt>
                <c:pt idx="14">
                  <c:v>44593</c:v>
                </c:pt>
                <c:pt idx="15">
                  <c:v>44621</c:v>
                </c:pt>
                <c:pt idx="16">
                  <c:v>44652</c:v>
                </c:pt>
                <c:pt idx="17">
                  <c:v>44682</c:v>
                </c:pt>
                <c:pt idx="18">
                  <c:v>44713</c:v>
                </c:pt>
                <c:pt idx="19">
                  <c:v>44743</c:v>
                </c:pt>
                <c:pt idx="20">
                  <c:v>44774</c:v>
                </c:pt>
                <c:pt idx="21">
                  <c:v>44805</c:v>
                </c:pt>
                <c:pt idx="22">
                  <c:v>44835</c:v>
                </c:pt>
                <c:pt idx="23">
                  <c:v>44866</c:v>
                </c:pt>
                <c:pt idx="24">
                  <c:v>44896</c:v>
                </c:pt>
                <c:pt idx="25">
                  <c:v>44927</c:v>
                </c:pt>
                <c:pt idx="26">
                  <c:v>44958</c:v>
                </c:pt>
                <c:pt idx="27">
                  <c:v>44986</c:v>
                </c:pt>
                <c:pt idx="28">
                  <c:v>45017</c:v>
                </c:pt>
                <c:pt idx="29">
                  <c:v>45047</c:v>
                </c:pt>
                <c:pt idx="30">
                  <c:v>45078</c:v>
                </c:pt>
                <c:pt idx="31">
                  <c:v>45108</c:v>
                </c:pt>
                <c:pt idx="32">
                  <c:v>45139</c:v>
                </c:pt>
                <c:pt idx="33">
                  <c:v>45170</c:v>
                </c:pt>
                <c:pt idx="34">
                  <c:v>45200</c:v>
                </c:pt>
                <c:pt idx="35">
                  <c:v>45231</c:v>
                </c:pt>
                <c:pt idx="36">
                  <c:v>45261</c:v>
                </c:pt>
                <c:pt idx="37">
                  <c:v>45292</c:v>
                </c:pt>
                <c:pt idx="38">
                  <c:v>45323</c:v>
                </c:pt>
                <c:pt idx="39">
                  <c:v>45352</c:v>
                </c:pt>
              </c:numCache>
            </c:numRef>
          </c:cat>
          <c:val>
            <c:numRef>
              <c:f>'Figures 20a &amp; 20b'!$B$7:$AO$7</c:f>
              <c:numCache>
                <c:formatCode>#,##0</c:formatCode>
                <c:ptCount val="40"/>
                <c:pt idx="0">
                  <c:v>113731.91399999999</c:v>
                </c:pt>
                <c:pt idx="1">
                  <c:v>116211.60399999999</c:v>
                </c:pt>
                <c:pt idx="2">
                  <c:v>125408.925</c:v>
                </c:pt>
                <c:pt idx="3">
                  <c:v>140499.88500000001</c:v>
                </c:pt>
                <c:pt idx="4">
                  <c:v>141764.21100000001</c:v>
                </c:pt>
                <c:pt idx="5">
                  <c:v>143239.701</c:v>
                </c:pt>
                <c:pt idx="6">
                  <c:v>144019.71900000001</c:v>
                </c:pt>
                <c:pt idx="7">
                  <c:v>143613.33100000001</c:v>
                </c:pt>
                <c:pt idx="8">
                  <c:v>135107.74799999999</c:v>
                </c:pt>
                <c:pt idx="9">
                  <c:v>146517.21799999999</c:v>
                </c:pt>
                <c:pt idx="10">
                  <c:v>153218.826</c:v>
                </c:pt>
                <c:pt idx="11">
                  <c:v>156010.23000000001</c:v>
                </c:pt>
                <c:pt idx="12">
                  <c:v>153791.76800000001</c:v>
                </c:pt>
                <c:pt idx="13">
                  <c:v>161325.973</c:v>
                </c:pt>
                <c:pt idx="14">
                  <c:v>166678.027</c:v>
                </c:pt>
                <c:pt idx="15">
                  <c:v>170026.739</c:v>
                </c:pt>
                <c:pt idx="16">
                  <c:v>170699.64799999999</c:v>
                </c:pt>
                <c:pt idx="17">
                  <c:v>175556.505</c:v>
                </c:pt>
                <c:pt idx="18">
                  <c:v>179763.76700000002</c:v>
                </c:pt>
                <c:pt idx="19">
                  <c:v>172042.152</c:v>
                </c:pt>
                <c:pt idx="20">
                  <c:v>176348.21799999999</c:v>
                </c:pt>
                <c:pt idx="21">
                  <c:v>167544.08499999999</c:v>
                </c:pt>
                <c:pt idx="22">
                  <c:v>172136.89600000001</c:v>
                </c:pt>
                <c:pt idx="23">
                  <c:v>168669.378</c:v>
                </c:pt>
                <c:pt idx="24">
                  <c:v>170332.34400000001</c:v>
                </c:pt>
                <c:pt idx="25">
                  <c:v>173257.902</c:v>
                </c:pt>
                <c:pt idx="26">
                  <c:v>175613.17199999999</c:v>
                </c:pt>
                <c:pt idx="27">
                  <c:v>177252.62300000002</c:v>
                </c:pt>
                <c:pt idx="28">
                  <c:v>183822.02000000002</c:v>
                </c:pt>
                <c:pt idx="29">
                  <c:v>179814.12800000003</c:v>
                </c:pt>
                <c:pt idx="30">
                  <c:v>175136.30599999998</c:v>
                </c:pt>
                <c:pt idx="31">
                  <c:v>176523.88500000001</c:v>
                </c:pt>
                <c:pt idx="32">
                  <c:v>175980.155</c:v>
                </c:pt>
                <c:pt idx="33">
                  <c:v>171034.37299999999</c:v>
                </c:pt>
                <c:pt idx="34">
                  <c:v>166666.55800000002</c:v>
                </c:pt>
                <c:pt idx="35">
                  <c:v>166388.16899999999</c:v>
                </c:pt>
                <c:pt idx="36">
                  <c:v>165677.97899999999</c:v>
                </c:pt>
                <c:pt idx="37">
                  <c:v>161193.38200000001</c:v>
                </c:pt>
                <c:pt idx="38">
                  <c:v>157657.72100000002</c:v>
                </c:pt>
                <c:pt idx="39">
                  <c:v>156858.12300000002</c:v>
                </c:pt>
              </c:numCache>
            </c:numRef>
          </c:val>
          <c:smooth val="0"/>
          <c:extLst>
            <c:ext xmlns:c16="http://schemas.microsoft.com/office/drawing/2014/chart" uri="{C3380CC4-5D6E-409C-BE32-E72D297353CC}">
              <c16:uniqueId val="{0000000A-1E10-4846-9809-4D5AFFFE4E9A}"/>
            </c:ext>
          </c:extLst>
        </c:ser>
        <c:dLbls>
          <c:showLegendKey val="0"/>
          <c:showVal val="0"/>
          <c:showCatName val="0"/>
          <c:showSerName val="0"/>
          <c:showPercent val="0"/>
          <c:showBubbleSize val="0"/>
        </c:dLbls>
        <c:marker val="1"/>
        <c:smooth val="0"/>
        <c:axId val="1182107407"/>
        <c:axId val="275059151"/>
      </c:lineChart>
      <c:dateAx>
        <c:axId val="754824799"/>
        <c:scaling>
          <c:orientation val="minMax"/>
        </c:scaling>
        <c:delete val="0"/>
        <c:axPos val="b"/>
        <c:numFmt formatCode="mmm\-yy"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99252399"/>
        <c:crosses val="autoZero"/>
        <c:auto val="1"/>
        <c:lblOffset val="100"/>
        <c:baseTimeUnit val="months"/>
        <c:majorUnit val="3"/>
        <c:majorTimeUnit val="months"/>
      </c:dateAx>
      <c:valAx>
        <c:axId val="1499252399"/>
        <c:scaling>
          <c:orientation val="minMax"/>
          <c:max val="1"/>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Proportion of recruiting employers</a:t>
                </a:r>
              </a:p>
            </c:rich>
          </c:tx>
          <c:layout>
            <c:manualLayout>
              <c:xMode val="edge"/>
              <c:yMode val="edge"/>
              <c:x val="2.4444500889001779E-2"/>
              <c:y val="5.1357956883768333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54824799"/>
        <c:crosses val="autoZero"/>
        <c:crossBetween val="between"/>
        <c:majorUnit val="0.2"/>
      </c:valAx>
      <c:valAx>
        <c:axId val="275059151"/>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Job advertisements ('000s)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82107407"/>
        <c:crosses val="max"/>
        <c:crossBetween val="between"/>
        <c:majorUnit val="40000"/>
        <c:dispUnits>
          <c:builtInUnit val="thousands"/>
        </c:dispUnits>
      </c:valAx>
      <c:dateAx>
        <c:axId val="1182107407"/>
        <c:scaling>
          <c:orientation val="minMax"/>
        </c:scaling>
        <c:delete val="1"/>
        <c:axPos val="b"/>
        <c:numFmt formatCode="mmm\-yy" sourceLinked="1"/>
        <c:majorTickMark val="out"/>
        <c:minorTickMark val="none"/>
        <c:tickLblPos val="nextTo"/>
        <c:crossAx val="275059151"/>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mn-lt"/>
                <a:ea typeface="+mn-ea"/>
                <a:cs typeface="+mn-cs"/>
              </a:defRPr>
            </a:pPr>
            <a:r>
              <a:rPr lang="en-AU"/>
              <a:t>Lower skilled</a:t>
            </a:r>
          </a:p>
        </c:rich>
      </c:tx>
      <c:layout>
        <c:manualLayout>
          <c:xMode val="edge"/>
          <c:yMode val="edge"/>
          <c:x val="0.13490813648293964"/>
          <c:y val="2.952755905511811E-2"/>
        </c:manualLayout>
      </c:layout>
      <c:overlay val="1"/>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1"/>
          <c:order val="1"/>
          <c:tx>
            <c:v>Recruitment difficulty</c:v>
          </c:tx>
          <c:spPr>
            <a:ln w="28575" cap="rnd">
              <a:solidFill>
                <a:schemeClr val="accent2"/>
              </a:solidFill>
              <a:round/>
            </a:ln>
            <a:effectLst/>
          </c:spPr>
          <c:marker>
            <c:symbol val="none"/>
          </c:marker>
          <c:dPt>
            <c:idx val="2"/>
            <c:marker>
              <c:symbol val="none"/>
            </c:marker>
            <c:bubble3D val="0"/>
            <c:spPr>
              <a:ln w="28575" cap="rnd">
                <a:solidFill>
                  <a:schemeClr val="accent2"/>
                </a:solidFill>
                <a:prstDash val="sysDot"/>
                <a:round/>
              </a:ln>
              <a:effectLst/>
            </c:spPr>
            <c:extLst>
              <c:ext xmlns:c16="http://schemas.microsoft.com/office/drawing/2014/chart" uri="{C3380CC4-5D6E-409C-BE32-E72D297353CC}">
                <c16:uniqueId val="{00000001-0911-40DE-B6A6-8237635568CC}"/>
              </c:ext>
            </c:extLst>
          </c:dPt>
          <c:dPt>
            <c:idx val="14"/>
            <c:marker>
              <c:symbol val="none"/>
            </c:marker>
            <c:bubble3D val="0"/>
            <c:spPr>
              <a:ln w="28575" cap="rnd">
                <a:solidFill>
                  <a:schemeClr val="accent2"/>
                </a:solidFill>
                <a:prstDash val="sysDot"/>
                <a:round/>
              </a:ln>
              <a:effectLst/>
            </c:spPr>
            <c:extLst>
              <c:ext xmlns:c16="http://schemas.microsoft.com/office/drawing/2014/chart" uri="{C3380CC4-5D6E-409C-BE32-E72D297353CC}">
                <c16:uniqueId val="{00000003-0911-40DE-B6A6-8237635568CC}"/>
              </c:ext>
            </c:extLst>
          </c:dPt>
          <c:dPt>
            <c:idx val="26"/>
            <c:marker>
              <c:symbol val="none"/>
            </c:marker>
            <c:bubble3D val="0"/>
            <c:spPr>
              <a:ln w="28575" cap="rnd">
                <a:solidFill>
                  <a:schemeClr val="accent2"/>
                </a:solidFill>
                <a:prstDash val="sysDot"/>
                <a:round/>
              </a:ln>
              <a:effectLst/>
            </c:spPr>
            <c:extLst>
              <c:ext xmlns:c16="http://schemas.microsoft.com/office/drawing/2014/chart" uri="{C3380CC4-5D6E-409C-BE32-E72D297353CC}">
                <c16:uniqueId val="{00000005-0911-40DE-B6A6-8237635568CC}"/>
              </c:ext>
            </c:extLst>
          </c:dPt>
          <c:dPt>
            <c:idx val="38"/>
            <c:marker>
              <c:symbol val="none"/>
            </c:marker>
            <c:bubble3D val="0"/>
            <c:spPr>
              <a:ln w="28575" cap="rnd">
                <a:solidFill>
                  <a:schemeClr val="accent2"/>
                </a:solidFill>
                <a:prstDash val="sysDot"/>
                <a:round/>
              </a:ln>
              <a:effectLst/>
            </c:spPr>
            <c:extLst>
              <c:ext xmlns:c16="http://schemas.microsoft.com/office/drawing/2014/chart" uri="{C3380CC4-5D6E-409C-BE32-E72D297353CC}">
                <c16:uniqueId val="{00000007-0911-40DE-B6A6-8237635568CC}"/>
              </c:ext>
            </c:extLst>
          </c:dPt>
          <c:dLbls>
            <c:dLbl>
              <c:idx val="39"/>
              <c:layout>
                <c:manualLayout>
                  <c:x val="-5.7415915794030901E-2"/>
                  <c:y val="6.7702184708925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911-40DE-B6A6-8237635568C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20a &amp; 20b'!$B$12:$AO$12</c:f>
              <c:numCache>
                <c:formatCode>mmm\-yy</c:formatCode>
                <c:ptCount val="40"/>
                <c:pt idx="0">
                  <c:v>44166</c:v>
                </c:pt>
                <c:pt idx="1">
                  <c:v>44197</c:v>
                </c:pt>
                <c:pt idx="2">
                  <c:v>44228</c:v>
                </c:pt>
                <c:pt idx="3">
                  <c:v>44256</c:v>
                </c:pt>
                <c:pt idx="4">
                  <c:v>44287</c:v>
                </c:pt>
                <c:pt idx="5">
                  <c:v>44317</c:v>
                </c:pt>
                <c:pt idx="6">
                  <c:v>44348</c:v>
                </c:pt>
                <c:pt idx="7">
                  <c:v>44378</c:v>
                </c:pt>
                <c:pt idx="8">
                  <c:v>44409</c:v>
                </c:pt>
                <c:pt idx="9">
                  <c:v>44440</c:v>
                </c:pt>
                <c:pt idx="10">
                  <c:v>44470</c:v>
                </c:pt>
                <c:pt idx="11">
                  <c:v>44501</c:v>
                </c:pt>
                <c:pt idx="12">
                  <c:v>44531</c:v>
                </c:pt>
                <c:pt idx="13">
                  <c:v>44562</c:v>
                </c:pt>
                <c:pt idx="14">
                  <c:v>44593</c:v>
                </c:pt>
                <c:pt idx="15">
                  <c:v>44621</c:v>
                </c:pt>
                <c:pt idx="16">
                  <c:v>44652</c:v>
                </c:pt>
                <c:pt idx="17">
                  <c:v>44682</c:v>
                </c:pt>
                <c:pt idx="18">
                  <c:v>44713</c:v>
                </c:pt>
                <c:pt idx="19">
                  <c:v>44743</c:v>
                </c:pt>
                <c:pt idx="20">
                  <c:v>44774</c:v>
                </c:pt>
                <c:pt idx="21">
                  <c:v>44805</c:v>
                </c:pt>
                <c:pt idx="22">
                  <c:v>44835</c:v>
                </c:pt>
                <c:pt idx="23">
                  <c:v>44866</c:v>
                </c:pt>
                <c:pt idx="24">
                  <c:v>44896</c:v>
                </c:pt>
                <c:pt idx="25">
                  <c:v>44927</c:v>
                </c:pt>
                <c:pt idx="26">
                  <c:v>44958</c:v>
                </c:pt>
                <c:pt idx="27">
                  <c:v>44986</c:v>
                </c:pt>
                <c:pt idx="28">
                  <c:v>45017</c:v>
                </c:pt>
                <c:pt idx="29">
                  <c:v>45047</c:v>
                </c:pt>
                <c:pt idx="30">
                  <c:v>45078</c:v>
                </c:pt>
                <c:pt idx="31">
                  <c:v>45108</c:v>
                </c:pt>
                <c:pt idx="32">
                  <c:v>45139</c:v>
                </c:pt>
                <c:pt idx="33">
                  <c:v>45170</c:v>
                </c:pt>
                <c:pt idx="34">
                  <c:v>45200</c:v>
                </c:pt>
                <c:pt idx="35">
                  <c:v>45231</c:v>
                </c:pt>
                <c:pt idx="36">
                  <c:v>45261</c:v>
                </c:pt>
                <c:pt idx="37">
                  <c:v>45292</c:v>
                </c:pt>
                <c:pt idx="38">
                  <c:v>45323</c:v>
                </c:pt>
                <c:pt idx="39">
                  <c:v>45352</c:v>
                </c:pt>
              </c:numCache>
            </c:numRef>
          </c:cat>
          <c:val>
            <c:numRef>
              <c:f>'Figures 20a &amp; 20b'!$B$14:$AO$14</c:f>
              <c:numCache>
                <c:formatCode>General</c:formatCode>
                <c:ptCount val="40"/>
                <c:pt idx="0" formatCode="0%">
                  <c:v>0.34</c:v>
                </c:pt>
                <c:pt idx="2" formatCode="0%">
                  <c:v>0.3</c:v>
                </c:pt>
                <c:pt idx="3" formatCode="0%">
                  <c:v>0.43</c:v>
                </c:pt>
                <c:pt idx="4" formatCode="0%">
                  <c:v>0.46</c:v>
                </c:pt>
                <c:pt idx="5" formatCode="0%">
                  <c:v>0.45</c:v>
                </c:pt>
                <c:pt idx="6" formatCode="0%">
                  <c:v>0.47</c:v>
                </c:pt>
                <c:pt idx="7" formatCode="0%">
                  <c:v>0.49</c:v>
                </c:pt>
                <c:pt idx="8" formatCode="0%">
                  <c:v>0.48</c:v>
                </c:pt>
                <c:pt idx="9" formatCode="0%">
                  <c:v>0.46</c:v>
                </c:pt>
                <c:pt idx="10" formatCode="0%">
                  <c:v>0.51</c:v>
                </c:pt>
                <c:pt idx="11" formatCode="0%">
                  <c:v>0.59</c:v>
                </c:pt>
                <c:pt idx="12" formatCode="0%">
                  <c:v>0.52</c:v>
                </c:pt>
                <c:pt idx="14" formatCode="0%">
                  <c:v>0.64</c:v>
                </c:pt>
                <c:pt idx="15" formatCode="0%">
                  <c:v>0.59</c:v>
                </c:pt>
                <c:pt idx="16" formatCode="0%">
                  <c:v>0.61</c:v>
                </c:pt>
                <c:pt idx="17" formatCode="0%">
                  <c:v>0.63</c:v>
                </c:pt>
                <c:pt idx="18" formatCode="0%">
                  <c:v>0.63</c:v>
                </c:pt>
                <c:pt idx="19" formatCode="0%">
                  <c:v>0.71</c:v>
                </c:pt>
                <c:pt idx="20" formatCode="0%">
                  <c:v>0.69</c:v>
                </c:pt>
                <c:pt idx="21" formatCode="0%">
                  <c:v>0.63</c:v>
                </c:pt>
                <c:pt idx="22" formatCode="0%">
                  <c:v>0.68</c:v>
                </c:pt>
                <c:pt idx="23" formatCode="0%">
                  <c:v>0.6</c:v>
                </c:pt>
                <c:pt idx="24" formatCode="0%">
                  <c:v>0.57999999999999996</c:v>
                </c:pt>
                <c:pt idx="26" formatCode="0%">
                  <c:v>0.56000000000000005</c:v>
                </c:pt>
                <c:pt idx="27" formatCode="0%">
                  <c:v>0.56999999999999995</c:v>
                </c:pt>
                <c:pt idx="28" formatCode="0%">
                  <c:v>0.55000000000000004</c:v>
                </c:pt>
                <c:pt idx="29" formatCode="0%">
                  <c:v>0.59</c:v>
                </c:pt>
                <c:pt idx="30" formatCode="0%">
                  <c:v>0.55000000000000004</c:v>
                </c:pt>
                <c:pt idx="31" formatCode="0%">
                  <c:v>0.52</c:v>
                </c:pt>
                <c:pt idx="32" formatCode="0%">
                  <c:v>0.49</c:v>
                </c:pt>
                <c:pt idx="33" formatCode="0%">
                  <c:v>0.5</c:v>
                </c:pt>
                <c:pt idx="34" formatCode="0%">
                  <c:v>0.48</c:v>
                </c:pt>
                <c:pt idx="35" formatCode="0%">
                  <c:v>0.45</c:v>
                </c:pt>
                <c:pt idx="36" formatCode="0%">
                  <c:v>0.4</c:v>
                </c:pt>
                <c:pt idx="38" formatCode="0%">
                  <c:v>0.41</c:v>
                </c:pt>
                <c:pt idx="39" formatCode="0%">
                  <c:v>0.39</c:v>
                </c:pt>
              </c:numCache>
            </c:numRef>
          </c:val>
          <c:smooth val="0"/>
          <c:extLst>
            <c:ext xmlns:c16="http://schemas.microsoft.com/office/drawing/2014/chart" uri="{C3380CC4-5D6E-409C-BE32-E72D297353CC}">
              <c16:uniqueId val="{00000009-0911-40DE-B6A6-8237635568CC}"/>
            </c:ext>
          </c:extLst>
        </c:ser>
        <c:dLbls>
          <c:showLegendKey val="0"/>
          <c:showVal val="0"/>
          <c:showCatName val="0"/>
          <c:showSerName val="0"/>
          <c:showPercent val="0"/>
          <c:showBubbleSize val="0"/>
        </c:dLbls>
        <c:marker val="1"/>
        <c:smooth val="0"/>
        <c:axId val="1107365535"/>
        <c:axId val="1109301455"/>
      </c:lineChart>
      <c:lineChart>
        <c:grouping val="standard"/>
        <c:varyColors val="0"/>
        <c:ser>
          <c:idx val="0"/>
          <c:order val="0"/>
          <c:tx>
            <c:v>Seasonally adjusted job advertisements</c:v>
          </c:tx>
          <c:spPr>
            <a:ln w="28575" cap="rnd">
              <a:solidFill>
                <a:schemeClr val="accent1"/>
              </a:solidFill>
              <a:round/>
            </a:ln>
            <a:effectLst/>
          </c:spPr>
          <c:marker>
            <c:symbol val="none"/>
          </c:marker>
          <c:cat>
            <c:numRef>
              <c:f>'Figures 20a &amp; 20b'!$B$12:$AO$12</c:f>
              <c:numCache>
                <c:formatCode>mmm\-yy</c:formatCode>
                <c:ptCount val="40"/>
                <c:pt idx="0">
                  <c:v>44166</c:v>
                </c:pt>
                <c:pt idx="1">
                  <c:v>44197</c:v>
                </c:pt>
                <c:pt idx="2">
                  <c:v>44228</c:v>
                </c:pt>
                <c:pt idx="3">
                  <c:v>44256</c:v>
                </c:pt>
                <c:pt idx="4">
                  <c:v>44287</c:v>
                </c:pt>
                <c:pt idx="5">
                  <c:v>44317</c:v>
                </c:pt>
                <c:pt idx="6">
                  <c:v>44348</c:v>
                </c:pt>
                <c:pt idx="7">
                  <c:v>44378</c:v>
                </c:pt>
                <c:pt idx="8">
                  <c:v>44409</c:v>
                </c:pt>
                <c:pt idx="9">
                  <c:v>44440</c:v>
                </c:pt>
                <c:pt idx="10">
                  <c:v>44470</c:v>
                </c:pt>
                <c:pt idx="11">
                  <c:v>44501</c:v>
                </c:pt>
                <c:pt idx="12">
                  <c:v>44531</c:v>
                </c:pt>
                <c:pt idx="13">
                  <c:v>44562</c:v>
                </c:pt>
                <c:pt idx="14">
                  <c:v>44593</c:v>
                </c:pt>
                <c:pt idx="15">
                  <c:v>44621</c:v>
                </c:pt>
                <c:pt idx="16">
                  <c:v>44652</c:v>
                </c:pt>
                <c:pt idx="17">
                  <c:v>44682</c:v>
                </c:pt>
                <c:pt idx="18">
                  <c:v>44713</c:v>
                </c:pt>
                <c:pt idx="19">
                  <c:v>44743</c:v>
                </c:pt>
                <c:pt idx="20">
                  <c:v>44774</c:v>
                </c:pt>
                <c:pt idx="21">
                  <c:v>44805</c:v>
                </c:pt>
                <c:pt idx="22">
                  <c:v>44835</c:v>
                </c:pt>
                <c:pt idx="23">
                  <c:v>44866</c:v>
                </c:pt>
                <c:pt idx="24">
                  <c:v>44896</c:v>
                </c:pt>
                <c:pt idx="25">
                  <c:v>44927</c:v>
                </c:pt>
                <c:pt idx="26">
                  <c:v>44958</c:v>
                </c:pt>
                <c:pt idx="27">
                  <c:v>44986</c:v>
                </c:pt>
                <c:pt idx="28">
                  <c:v>45017</c:v>
                </c:pt>
                <c:pt idx="29">
                  <c:v>45047</c:v>
                </c:pt>
                <c:pt idx="30">
                  <c:v>45078</c:v>
                </c:pt>
                <c:pt idx="31">
                  <c:v>45108</c:v>
                </c:pt>
                <c:pt idx="32">
                  <c:v>45139</c:v>
                </c:pt>
                <c:pt idx="33">
                  <c:v>45170</c:v>
                </c:pt>
                <c:pt idx="34">
                  <c:v>45200</c:v>
                </c:pt>
                <c:pt idx="35">
                  <c:v>45231</c:v>
                </c:pt>
                <c:pt idx="36">
                  <c:v>45261</c:v>
                </c:pt>
                <c:pt idx="37">
                  <c:v>45292</c:v>
                </c:pt>
                <c:pt idx="38">
                  <c:v>45323</c:v>
                </c:pt>
                <c:pt idx="39">
                  <c:v>45352</c:v>
                </c:pt>
              </c:numCache>
            </c:numRef>
          </c:cat>
          <c:val>
            <c:numRef>
              <c:f>'Figures 20a &amp; 20b'!$B$13:$AO$13</c:f>
              <c:numCache>
                <c:formatCode>#,##0</c:formatCode>
                <c:ptCount val="40"/>
                <c:pt idx="0">
                  <c:v>71200.498000000007</c:v>
                </c:pt>
                <c:pt idx="1">
                  <c:v>73248.178</c:v>
                </c:pt>
                <c:pt idx="2">
                  <c:v>77892.891999999993</c:v>
                </c:pt>
                <c:pt idx="3">
                  <c:v>88148.978999999992</c:v>
                </c:pt>
                <c:pt idx="4">
                  <c:v>89792.630999999994</c:v>
                </c:pt>
                <c:pt idx="5">
                  <c:v>91990.145999999993</c:v>
                </c:pt>
                <c:pt idx="6">
                  <c:v>87290.301999999996</c:v>
                </c:pt>
                <c:pt idx="7">
                  <c:v>84376.807000000001</c:v>
                </c:pt>
                <c:pt idx="8">
                  <c:v>76067.055999999997</c:v>
                </c:pt>
                <c:pt idx="9">
                  <c:v>88692.107000000004</c:v>
                </c:pt>
                <c:pt idx="10">
                  <c:v>101311.772</c:v>
                </c:pt>
                <c:pt idx="11">
                  <c:v>105067.12299999999</c:v>
                </c:pt>
                <c:pt idx="12">
                  <c:v>105108.383</c:v>
                </c:pt>
                <c:pt idx="13">
                  <c:v>107909.277</c:v>
                </c:pt>
                <c:pt idx="14">
                  <c:v>111947.93</c:v>
                </c:pt>
                <c:pt idx="15">
                  <c:v>115183.29699999999</c:v>
                </c:pt>
                <c:pt idx="16">
                  <c:v>119566.284</c:v>
                </c:pt>
                <c:pt idx="17">
                  <c:v>120018.111</c:v>
                </c:pt>
                <c:pt idx="18">
                  <c:v>124266.716</c:v>
                </c:pt>
                <c:pt idx="19">
                  <c:v>119468.29000000001</c:v>
                </c:pt>
                <c:pt idx="20">
                  <c:v>119567.26000000001</c:v>
                </c:pt>
                <c:pt idx="21">
                  <c:v>114417.715</c:v>
                </c:pt>
                <c:pt idx="22">
                  <c:v>113080.984</c:v>
                </c:pt>
                <c:pt idx="23">
                  <c:v>107761.29200000002</c:v>
                </c:pt>
                <c:pt idx="24">
                  <c:v>105508.304</c:v>
                </c:pt>
                <c:pt idx="25">
                  <c:v>108536.24799999999</c:v>
                </c:pt>
                <c:pt idx="26">
                  <c:v>108922.395</c:v>
                </c:pt>
                <c:pt idx="27">
                  <c:v>106991.07</c:v>
                </c:pt>
                <c:pt idx="28">
                  <c:v>107607.663</c:v>
                </c:pt>
                <c:pt idx="29">
                  <c:v>103156.67</c:v>
                </c:pt>
                <c:pt idx="30">
                  <c:v>101277.067</c:v>
                </c:pt>
                <c:pt idx="31">
                  <c:v>102534.507</c:v>
                </c:pt>
                <c:pt idx="32">
                  <c:v>100540.61</c:v>
                </c:pt>
                <c:pt idx="33">
                  <c:v>97925.759000000005</c:v>
                </c:pt>
                <c:pt idx="34">
                  <c:v>92344.069999999992</c:v>
                </c:pt>
                <c:pt idx="35">
                  <c:v>91806.981</c:v>
                </c:pt>
                <c:pt idx="36">
                  <c:v>93301.714000000007</c:v>
                </c:pt>
                <c:pt idx="37">
                  <c:v>93150.953000000009</c:v>
                </c:pt>
                <c:pt idx="38">
                  <c:v>90543.31</c:v>
                </c:pt>
                <c:pt idx="39">
                  <c:v>91723.808000000005</c:v>
                </c:pt>
              </c:numCache>
            </c:numRef>
          </c:val>
          <c:smooth val="0"/>
          <c:extLst>
            <c:ext xmlns:c16="http://schemas.microsoft.com/office/drawing/2014/chart" uri="{C3380CC4-5D6E-409C-BE32-E72D297353CC}">
              <c16:uniqueId val="{0000000A-0911-40DE-B6A6-8237635568CC}"/>
            </c:ext>
          </c:extLst>
        </c:ser>
        <c:dLbls>
          <c:showLegendKey val="0"/>
          <c:showVal val="0"/>
          <c:showCatName val="0"/>
          <c:showSerName val="0"/>
          <c:showPercent val="0"/>
          <c:showBubbleSize val="0"/>
        </c:dLbls>
        <c:marker val="1"/>
        <c:smooth val="0"/>
        <c:axId val="1107365055"/>
        <c:axId val="275049727"/>
      </c:lineChart>
      <c:dateAx>
        <c:axId val="1107365535"/>
        <c:scaling>
          <c:orientation val="minMax"/>
        </c:scaling>
        <c:delete val="0"/>
        <c:axPos val="b"/>
        <c:numFmt formatCode="mmm\-yy"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09301455"/>
        <c:crosses val="autoZero"/>
        <c:auto val="1"/>
        <c:lblOffset val="100"/>
        <c:baseTimeUnit val="months"/>
        <c:majorUnit val="3"/>
        <c:majorTimeUnit val="months"/>
      </c:dateAx>
      <c:valAx>
        <c:axId val="1109301455"/>
        <c:scaling>
          <c:orientation val="minMax"/>
          <c:max val="1"/>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Proportion of recruiting employers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07365535"/>
        <c:crosses val="autoZero"/>
        <c:crossBetween val="between"/>
        <c:majorUnit val="0.2"/>
      </c:valAx>
      <c:valAx>
        <c:axId val="275049727"/>
        <c:scaling>
          <c:orientation val="minMax"/>
          <c:max val="200000"/>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Job advertisements ('000s)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07365055"/>
        <c:crosses val="max"/>
        <c:crossBetween val="between"/>
        <c:majorUnit val="40000"/>
        <c:dispUnits>
          <c:builtInUnit val="thousands"/>
        </c:dispUnits>
      </c:valAx>
      <c:dateAx>
        <c:axId val="1107365055"/>
        <c:scaling>
          <c:orientation val="minMax"/>
        </c:scaling>
        <c:delete val="1"/>
        <c:axPos val="b"/>
        <c:numFmt formatCode="mmm\-yy" sourceLinked="1"/>
        <c:majorTickMark val="out"/>
        <c:minorTickMark val="none"/>
        <c:tickLblPos val="nextTo"/>
        <c:crossAx val="275049727"/>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90285305245934"/>
          <c:y val="7.7192982456140355E-2"/>
          <c:w val="0.82628762313801685"/>
          <c:h val="0.616992161694074"/>
        </c:manualLayout>
      </c:layout>
      <c:barChart>
        <c:barDir val="col"/>
        <c:grouping val="clustered"/>
        <c:varyColors val="0"/>
        <c:ser>
          <c:idx val="1"/>
          <c:order val="0"/>
          <c:tx>
            <c:strRef>
              <c:f>'I:\LMM Branch\ERSA\6. Briefings and Requests\2024\LMU - Dec 23 edition\Data files\[Quarterly chart builder1 Dec Quarter 2023.xlsx]Output -Occupation'!$E$35</c:f>
              <c:strCache>
                <c:ptCount val="1"/>
                <c:pt idx="0">
                  <c:v>Mar qtr 2023</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21'!$A$9:$A$15</c:f>
              <c:strCache>
                <c:ptCount val="7"/>
                <c:pt idx="0">
                  <c:v>Professionals</c:v>
                </c:pt>
                <c:pt idx="1">
                  <c:v>Technicians 
&amp; Trades 
Workers</c:v>
                </c:pt>
                <c:pt idx="2">
                  <c:v>Community 
&amp; Personal Service Workers</c:v>
                </c:pt>
                <c:pt idx="3">
                  <c:v>Clerical &amp; Administrative Workers</c:v>
                </c:pt>
                <c:pt idx="4">
                  <c:v>Sales Workers</c:v>
                </c:pt>
                <c:pt idx="5">
                  <c:v>Machinery Operators &amp; Drivers</c:v>
                </c:pt>
                <c:pt idx="6">
                  <c:v>Labourers</c:v>
                </c:pt>
              </c:strCache>
            </c:strRef>
          </c:cat>
          <c:val>
            <c:numRef>
              <c:f>'[1]Output -Occupation'!$E$36:$E$42</c:f>
              <c:numCache>
                <c:formatCode>General</c:formatCode>
                <c:ptCount val="7"/>
                <c:pt idx="0">
                  <c:v>0.66</c:v>
                </c:pt>
                <c:pt idx="1">
                  <c:v>0.69</c:v>
                </c:pt>
                <c:pt idx="2">
                  <c:v>0.63</c:v>
                </c:pt>
                <c:pt idx="3">
                  <c:v>0.52</c:v>
                </c:pt>
                <c:pt idx="4">
                  <c:v>0.51</c:v>
                </c:pt>
                <c:pt idx="5">
                  <c:v>0.6</c:v>
                </c:pt>
                <c:pt idx="6">
                  <c:v>0.61</c:v>
                </c:pt>
              </c:numCache>
            </c:numRef>
          </c:val>
          <c:extLst>
            <c:ext xmlns:c16="http://schemas.microsoft.com/office/drawing/2014/chart" uri="{C3380CC4-5D6E-409C-BE32-E72D297353CC}">
              <c16:uniqueId val="{00000000-03B3-437C-8318-44EC22BA6F81}"/>
            </c:ext>
          </c:extLst>
        </c:ser>
        <c:ser>
          <c:idx val="2"/>
          <c:order val="1"/>
          <c:tx>
            <c:strRef>
              <c:f>'I:\LMM Branch\ERSA\6. Briefings and Requests\2024\LMU - Dec 23 edition\Data files\[Quarterly chart builder1 Dec Quarter 2023.xlsx]Output -Occupation'!$F$35</c:f>
              <c:strCache>
                <c:ptCount val="1"/>
                <c:pt idx="0">
                  <c:v>June qtr 2023</c:v>
                </c:pt>
              </c:strCache>
            </c:strRef>
          </c:tx>
          <c:spPr>
            <a:solidFill>
              <a:schemeClr val="accent2"/>
            </a:solidFill>
            <a:ln>
              <a:noFill/>
            </a:ln>
            <a:effectLst/>
          </c:spPr>
          <c:invertIfNegative val="0"/>
          <c:cat>
            <c:strRef>
              <c:f>'Figure 21'!$A$9:$A$15</c:f>
              <c:strCache>
                <c:ptCount val="7"/>
                <c:pt idx="0">
                  <c:v>Professionals</c:v>
                </c:pt>
                <c:pt idx="1">
                  <c:v>Technicians 
&amp; Trades 
Workers</c:v>
                </c:pt>
                <c:pt idx="2">
                  <c:v>Community 
&amp; Personal Service Workers</c:v>
                </c:pt>
                <c:pt idx="3">
                  <c:v>Clerical &amp; Administrative Workers</c:v>
                </c:pt>
                <c:pt idx="4">
                  <c:v>Sales Workers</c:v>
                </c:pt>
                <c:pt idx="5">
                  <c:v>Machinery Operators &amp; Drivers</c:v>
                </c:pt>
                <c:pt idx="6">
                  <c:v>Labourers</c:v>
                </c:pt>
              </c:strCache>
            </c:strRef>
          </c:cat>
          <c:val>
            <c:numRef>
              <c:f>'[1]Output -Occupation'!$F$36:$F$42</c:f>
              <c:numCache>
                <c:formatCode>General</c:formatCode>
                <c:ptCount val="7"/>
                <c:pt idx="0">
                  <c:v>0.67</c:v>
                </c:pt>
                <c:pt idx="1">
                  <c:v>0.81</c:v>
                </c:pt>
                <c:pt idx="2">
                  <c:v>0.64</c:v>
                </c:pt>
                <c:pt idx="3">
                  <c:v>0.42</c:v>
                </c:pt>
                <c:pt idx="4">
                  <c:v>0.47</c:v>
                </c:pt>
                <c:pt idx="5">
                  <c:v>0.77</c:v>
                </c:pt>
                <c:pt idx="6">
                  <c:v>0.59</c:v>
                </c:pt>
              </c:numCache>
            </c:numRef>
          </c:val>
          <c:extLst>
            <c:ext xmlns:c16="http://schemas.microsoft.com/office/drawing/2014/chart" uri="{C3380CC4-5D6E-409C-BE32-E72D297353CC}">
              <c16:uniqueId val="{00000001-03B3-437C-8318-44EC22BA6F81}"/>
            </c:ext>
          </c:extLst>
        </c:ser>
        <c:ser>
          <c:idx val="3"/>
          <c:order val="2"/>
          <c:tx>
            <c:strRef>
              <c:f>'I:\LMM Branch\ERSA\6. Briefings and Requests\2024\LMU - Dec 23 edition\Data files\[Quarterly chart builder1 Dec Quarter 2023.xlsx]Output -Occupation'!$G$35</c:f>
              <c:strCache>
                <c:ptCount val="1"/>
                <c:pt idx="0">
                  <c:v>Sept qtr 2023</c:v>
                </c:pt>
              </c:strCache>
            </c:strRef>
          </c:tx>
          <c:spPr>
            <a:solidFill>
              <a:schemeClr val="accent3"/>
            </a:solidFill>
            <a:ln>
              <a:noFill/>
            </a:ln>
            <a:effectLst/>
          </c:spPr>
          <c:invertIfNegative val="0"/>
          <c:cat>
            <c:strRef>
              <c:f>'Figure 21'!$A$9:$A$15</c:f>
              <c:strCache>
                <c:ptCount val="7"/>
                <c:pt idx="0">
                  <c:v>Professionals</c:v>
                </c:pt>
                <c:pt idx="1">
                  <c:v>Technicians 
&amp; Trades 
Workers</c:v>
                </c:pt>
                <c:pt idx="2">
                  <c:v>Community 
&amp; Personal Service Workers</c:v>
                </c:pt>
                <c:pt idx="3">
                  <c:v>Clerical &amp; Administrative Workers</c:v>
                </c:pt>
                <c:pt idx="4">
                  <c:v>Sales Workers</c:v>
                </c:pt>
                <c:pt idx="5">
                  <c:v>Machinery Operators &amp; Drivers</c:v>
                </c:pt>
                <c:pt idx="6">
                  <c:v>Labourers</c:v>
                </c:pt>
              </c:strCache>
            </c:strRef>
          </c:cat>
          <c:val>
            <c:numRef>
              <c:f>'[1]Output -Occupation'!$G$36:$G$42</c:f>
              <c:numCache>
                <c:formatCode>General</c:formatCode>
                <c:ptCount val="7"/>
                <c:pt idx="0">
                  <c:v>0.68</c:v>
                </c:pt>
                <c:pt idx="1">
                  <c:v>0.75</c:v>
                </c:pt>
                <c:pt idx="2">
                  <c:v>0.6</c:v>
                </c:pt>
                <c:pt idx="3">
                  <c:v>0.43</c:v>
                </c:pt>
                <c:pt idx="4">
                  <c:v>0.52</c:v>
                </c:pt>
                <c:pt idx="5">
                  <c:v>0.56999999999999995</c:v>
                </c:pt>
                <c:pt idx="6">
                  <c:v>0.48</c:v>
                </c:pt>
              </c:numCache>
            </c:numRef>
          </c:val>
          <c:extLst>
            <c:ext xmlns:c16="http://schemas.microsoft.com/office/drawing/2014/chart" uri="{C3380CC4-5D6E-409C-BE32-E72D297353CC}">
              <c16:uniqueId val="{00000002-03B3-437C-8318-44EC22BA6F81}"/>
            </c:ext>
          </c:extLst>
        </c:ser>
        <c:ser>
          <c:idx val="4"/>
          <c:order val="3"/>
          <c:tx>
            <c:strRef>
              <c:f>'I:\LMM Branch\ERSA\6. Briefings and Requests\2024\LMU - Dec 23 edition\Data files\[Quarterly chart builder1 Dec Quarter 2023.xlsx]Output -Occupation'!$H$35</c:f>
              <c:strCache>
                <c:ptCount val="1"/>
                <c:pt idx="0">
                  <c:v>Dec qtr 2023</c:v>
                </c:pt>
              </c:strCache>
            </c:strRef>
          </c:tx>
          <c:spPr>
            <a:solidFill>
              <a:schemeClr val="accent4"/>
            </a:solidFill>
            <a:ln>
              <a:noFill/>
            </a:ln>
            <a:effectLst/>
          </c:spPr>
          <c:invertIfNegative val="0"/>
          <c:cat>
            <c:strRef>
              <c:f>'Figure 21'!$A$9:$A$15</c:f>
              <c:strCache>
                <c:ptCount val="7"/>
                <c:pt idx="0">
                  <c:v>Professionals</c:v>
                </c:pt>
                <c:pt idx="1">
                  <c:v>Technicians 
&amp; Trades 
Workers</c:v>
                </c:pt>
                <c:pt idx="2">
                  <c:v>Community 
&amp; Personal Service Workers</c:v>
                </c:pt>
                <c:pt idx="3">
                  <c:v>Clerical &amp; Administrative Workers</c:v>
                </c:pt>
                <c:pt idx="4">
                  <c:v>Sales Workers</c:v>
                </c:pt>
                <c:pt idx="5">
                  <c:v>Machinery Operators &amp; Drivers</c:v>
                </c:pt>
                <c:pt idx="6">
                  <c:v>Labourers</c:v>
                </c:pt>
              </c:strCache>
            </c:strRef>
          </c:cat>
          <c:val>
            <c:numRef>
              <c:f>'[1]Output -Occupation'!$H$36:$H$42</c:f>
              <c:numCache>
                <c:formatCode>General</c:formatCode>
                <c:ptCount val="7"/>
                <c:pt idx="0">
                  <c:v>0.64</c:v>
                </c:pt>
                <c:pt idx="1">
                  <c:v>0.73</c:v>
                </c:pt>
                <c:pt idx="2">
                  <c:v>0.5</c:v>
                </c:pt>
                <c:pt idx="3">
                  <c:v>0.36</c:v>
                </c:pt>
                <c:pt idx="4">
                  <c:v>0.47</c:v>
                </c:pt>
                <c:pt idx="5">
                  <c:v>0.6</c:v>
                </c:pt>
                <c:pt idx="6">
                  <c:v>0.53</c:v>
                </c:pt>
              </c:numCache>
            </c:numRef>
          </c:val>
          <c:extLst>
            <c:ext xmlns:c16="http://schemas.microsoft.com/office/drawing/2014/chart" uri="{C3380CC4-5D6E-409C-BE32-E72D297353CC}">
              <c16:uniqueId val="{00000003-03B3-437C-8318-44EC22BA6F81}"/>
            </c:ext>
          </c:extLst>
        </c:ser>
        <c:ser>
          <c:idx val="0"/>
          <c:order val="4"/>
          <c:tx>
            <c:strRef>
              <c:f>'Figure 21'!$F$8</c:f>
              <c:strCache>
                <c:ptCount val="1"/>
                <c:pt idx="0">
                  <c:v>Mar qtr 2024</c:v>
                </c:pt>
              </c:strCache>
            </c:strRef>
          </c:tx>
          <c:spPr>
            <a:solidFill>
              <a:schemeClr val="accent5"/>
            </a:solidFill>
            <a:ln>
              <a:noFill/>
            </a:ln>
            <a:effectLst/>
          </c:spPr>
          <c:invertIfNegative val="0"/>
          <c:dLbls>
            <c:dLbl>
              <c:idx val="6"/>
              <c:layout>
                <c:manualLayout>
                  <c:x val="8.65800865800865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B3-437C-8318-44EC22BA6F81}"/>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21'!$A$9:$A$15</c:f>
              <c:strCache>
                <c:ptCount val="7"/>
                <c:pt idx="0">
                  <c:v>Professionals</c:v>
                </c:pt>
                <c:pt idx="1">
                  <c:v>Technicians 
&amp; Trades 
Workers</c:v>
                </c:pt>
                <c:pt idx="2">
                  <c:v>Community 
&amp; Personal Service Workers</c:v>
                </c:pt>
                <c:pt idx="3">
                  <c:v>Clerical &amp; Administrative Workers</c:v>
                </c:pt>
                <c:pt idx="4">
                  <c:v>Sales Workers</c:v>
                </c:pt>
                <c:pt idx="5">
                  <c:v>Machinery Operators &amp; Drivers</c:v>
                </c:pt>
                <c:pt idx="6">
                  <c:v>Labourers</c:v>
                </c:pt>
              </c:strCache>
            </c:strRef>
          </c:cat>
          <c:val>
            <c:numRef>
              <c:f>'Figure 21'!$F$9:$F$15</c:f>
              <c:numCache>
                <c:formatCode>0%</c:formatCode>
                <c:ptCount val="7"/>
                <c:pt idx="0">
                  <c:v>0.63</c:v>
                </c:pt>
                <c:pt idx="1">
                  <c:v>0.71</c:v>
                </c:pt>
                <c:pt idx="2">
                  <c:v>0.48</c:v>
                </c:pt>
                <c:pt idx="3">
                  <c:v>0.33</c:v>
                </c:pt>
                <c:pt idx="4">
                  <c:v>0.49</c:v>
                </c:pt>
                <c:pt idx="5">
                  <c:v>0.56000000000000005</c:v>
                </c:pt>
                <c:pt idx="6">
                  <c:v>0.38</c:v>
                </c:pt>
              </c:numCache>
            </c:numRef>
          </c:val>
          <c:extLst>
            <c:ext xmlns:c16="http://schemas.microsoft.com/office/drawing/2014/chart" uri="{C3380CC4-5D6E-409C-BE32-E72D297353CC}">
              <c16:uniqueId val="{00000005-03B3-437C-8318-44EC22BA6F81}"/>
            </c:ext>
          </c:extLst>
        </c:ser>
        <c:dLbls>
          <c:showLegendKey val="0"/>
          <c:showVal val="0"/>
          <c:showCatName val="0"/>
          <c:showSerName val="0"/>
          <c:showPercent val="0"/>
          <c:showBubbleSize val="0"/>
        </c:dLbls>
        <c:gapWidth val="219"/>
        <c:overlap val="-27"/>
        <c:axId val="1107367935"/>
        <c:axId val="1109291039"/>
      </c:barChart>
      <c:catAx>
        <c:axId val="1107367935"/>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109291039"/>
        <c:crosses val="autoZero"/>
        <c:auto val="1"/>
        <c:lblAlgn val="ctr"/>
        <c:lblOffset val="100"/>
        <c:noMultiLvlLbl val="0"/>
      </c:catAx>
      <c:valAx>
        <c:axId val="1109291039"/>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t>Proportion of recruiting employers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07367935"/>
        <c:crosses val="autoZero"/>
        <c:crossBetween val="between"/>
        <c:majorUnit val="0.2"/>
      </c:valAx>
      <c:spPr>
        <a:noFill/>
        <a:ln>
          <a:noFill/>
        </a:ln>
        <a:effectLst/>
      </c:spPr>
    </c:plotArea>
    <c:legend>
      <c:legendPos val="b"/>
      <c:layout>
        <c:manualLayout>
          <c:xMode val="edge"/>
          <c:yMode val="edge"/>
          <c:x val="0.100192419129427"/>
          <c:y val="0.88807349081364828"/>
          <c:w val="0.799615161741146"/>
          <c:h val="0.1119265091863517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402445015228697E-2"/>
          <c:y val="5.3593179049939099E-2"/>
          <c:w val="0.87657847581886483"/>
          <c:h val="0.64853309292489469"/>
        </c:manualLayout>
      </c:layout>
      <c:lineChart>
        <c:grouping val="standard"/>
        <c:varyColors val="0"/>
        <c:ser>
          <c:idx val="0"/>
          <c:order val="0"/>
          <c:tx>
            <c:strRef>
              <c:f>'Figure 2'!$B$4</c:f>
              <c:strCache>
                <c:ptCount val="1"/>
                <c:pt idx="0">
                  <c:v>Unemployment rate (%)</c:v>
                </c:pt>
              </c:strCache>
            </c:strRef>
          </c:tx>
          <c:spPr>
            <a:ln w="28575" cap="rnd">
              <a:solidFill>
                <a:schemeClr val="accent1"/>
              </a:solidFill>
              <a:round/>
            </a:ln>
            <a:effectLst/>
          </c:spPr>
          <c:marker>
            <c:symbol val="none"/>
          </c:marker>
          <c:cat>
            <c:numRef>
              <c:f>'Figure 2'!$A$5:$A$485</c:f>
              <c:numCache>
                <c:formatCode>mmm\-yy</c:formatCode>
                <c:ptCount val="481"/>
                <c:pt idx="0">
                  <c:v>30742</c:v>
                </c:pt>
                <c:pt idx="1">
                  <c:v>30773</c:v>
                </c:pt>
                <c:pt idx="2">
                  <c:v>30803</c:v>
                </c:pt>
                <c:pt idx="3">
                  <c:v>30834</c:v>
                </c:pt>
                <c:pt idx="4">
                  <c:v>30864</c:v>
                </c:pt>
                <c:pt idx="5">
                  <c:v>30895</c:v>
                </c:pt>
                <c:pt idx="6">
                  <c:v>30926</c:v>
                </c:pt>
                <c:pt idx="7">
                  <c:v>30956</c:v>
                </c:pt>
                <c:pt idx="8">
                  <c:v>30987</c:v>
                </c:pt>
                <c:pt idx="9">
                  <c:v>31017</c:v>
                </c:pt>
                <c:pt idx="10">
                  <c:v>31048</c:v>
                </c:pt>
                <c:pt idx="11">
                  <c:v>31079</c:v>
                </c:pt>
                <c:pt idx="12">
                  <c:v>31107</c:v>
                </c:pt>
                <c:pt idx="13">
                  <c:v>31138</c:v>
                </c:pt>
                <c:pt idx="14">
                  <c:v>31168</c:v>
                </c:pt>
                <c:pt idx="15">
                  <c:v>31199</c:v>
                </c:pt>
                <c:pt idx="16">
                  <c:v>31229</c:v>
                </c:pt>
                <c:pt idx="17">
                  <c:v>31260</c:v>
                </c:pt>
                <c:pt idx="18">
                  <c:v>31291</c:v>
                </c:pt>
                <c:pt idx="19">
                  <c:v>31321</c:v>
                </c:pt>
                <c:pt idx="20">
                  <c:v>31352</c:v>
                </c:pt>
                <c:pt idx="21">
                  <c:v>31382</c:v>
                </c:pt>
                <c:pt idx="22">
                  <c:v>31413</c:v>
                </c:pt>
                <c:pt idx="23">
                  <c:v>31444</c:v>
                </c:pt>
                <c:pt idx="24">
                  <c:v>31472</c:v>
                </c:pt>
                <c:pt idx="25">
                  <c:v>31503</c:v>
                </c:pt>
                <c:pt idx="26">
                  <c:v>31533</c:v>
                </c:pt>
                <c:pt idx="27">
                  <c:v>31564</c:v>
                </c:pt>
                <c:pt idx="28">
                  <c:v>31594</c:v>
                </c:pt>
                <c:pt idx="29">
                  <c:v>31625</c:v>
                </c:pt>
                <c:pt idx="30">
                  <c:v>31656</c:v>
                </c:pt>
                <c:pt idx="31">
                  <c:v>31686</c:v>
                </c:pt>
                <c:pt idx="32">
                  <c:v>31717</c:v>
                </c:pt>
                <c:pt idx="33">
                  <c:v>31747</c:v>
                </c:pt>
                <c:pt idx="34">
                  <c:v>31778</c:v>
                </c:pt>
                <c:pt idx="35">
                  <c:v>31809</c:v>
                </c:pt>
                <c:pt idx="36">
                  <c:v>31837</c:v>
                </c:pt>
                <c:pt idx="37">
                  <c:v>31868</c:v>
                </c:pt>
                <c:pt idx="38">
                  <c:v>31898</c:v>
                </c:pt>
                <c:pt idx="39">
                  <c:v>31929</c:v>
                </c:pt>
                <c:pt idx="40">
                  <c:v>31959</c:v>
                </c:pt>
                <c:pt idx="41">
                  <c:v>31990</c:v>
                </c:pt>
                <c:pt idx="42">
                  <c:v>32021</c:v>
                </c:pt>
                <c:pt idx="43">
                  <c:v>32051</c:v>
                </c:pt>
                <c:pt idx="44">
                  <c:v>32082</c:v>
                </c:pt>
                <c:pt idx="45">
                  <c:v>32112</c:v>
                </c:pt>
                <c:pt idx="46">
                  <c:v>32143</c:v>
                </c:pt>
                <c:pt idx="47">
                  <c:v>32174</c:v>
                </c:pt>
                <c:pt idx="48">
                  <c:v>32203</c:v>
                </c:pt>
                <c:pt idx="49">
                  <c:v>32234</c:v>
                </c:pt>
                <c:pt idx="50">
                  <c:v>32264</c:v>
                </c:pt>
                <c:pt idx="51">
                  <c:v>32295</c:v>
                </c:pt>
                <c:pt idx="52">
                  <c:v>32325</c:v>
                </c:pt>
                <c:pt idx="53">
                  <c:v>32356</c:v>
                </c:pt>
                <c:pt idx="54">
                  <c:v>32387</c:v>
                </c:pt>
                <c:pt idx="55">
                  <c:v>32417</c:v>
                </c:pt>
                <c:pt idx="56">
                  <c:v>32448</c:v>
                </c:pt>
                <c:pt idx="57">
                  <c:v>32478</c:v>
                </c:pt>
                <c:pt idx="58">
                  <c:v>32509</c:v>
                </c:pt>
                <c:pt idx="59">
                  <c:v>32540</c:v>
                </c:pt>
                <c:pt idx="60">
                  <c:v>32568</c:v>
                </c:pt>
                <c:pt idx="61">
                  <c:v>32599</c:v>
                </c:pt>
                <c:pt idx="62">
                  <c:v>32629</c:v>
                </c:pt>
                <c:pt idx="63">
                  <c:v>32660</c:v>
                </c:pt>
                <c:pt idx="64">
                  <c:v>32690</c:v>
                </c:pt>
                <c:pt idx="65">
                  <c:v>32721</c:v>
                </c:pt>
                <c:pt idx="66">
                  <c:v>32752</c:v>
                </c:pt>
                <c:pt idx="67">
                  <c:v>32782</c:v>
                </c:pt>
                <c:pt idx="68">
                  <c:v>32813</c:v>
                </c:pt>
                <c:pt idx="69">
                  <c:v>32843</c:v>
                </c:pt>
                <c:pt idx="70">
                  <c:v>32874</c:v>
                </c:pt>
                <c:pt idx="71">
                  <c:v>32905</c:v>
                </c:pt>
                <c:pt idx="72">
                  <c:v>32933</c:v>
                </c:pt>
                <c:pt idx="73">
                  <c:v>32964</c:v>
                </c:pt>
                <c:pt idx="74">
                  <c:v>32994</c:v>
                </c:pt>
                <c:pt idx="75">
                  <c:v>33025</c:v>
                </c:pt>
                <c:pt idx="76">
                  <c:v>33055</c:v>
                </c:pt>
                <c:pt idx="77">
                  <c:v>33086</c:v>
                </c:pt>
                <c:pt idx="78">
                  <c:v>33117</c:v>
                </c:pt>
                <c:pt idx="79">
                  <c:v>33147</c:v>
                </c:pt>
                <c:pt idx="80">
                  <c:v>33178</c:v>
                </c:pt>
                <c:pt idx="81">
                  <c:v>33208</c:v>
                </c:pt>
                <c:pt idx="82">
                  <c:v>33239</c:v>
                </c:pt>
                <c:pt idx="83">
                  <c:v>33270</c:v>
                </c:pt>
                <c:pt idx="84">
                  <c:v>33298</c:v>
                </c:pt>
                <c:pt idx="85">
                  <c:v>33329</c:v>
                </c:pt>
                <c:pt idx="86">
                  <c:v>33359</c:v>
                </c:pt>
                <c:pt idx="87">
                  <c:v>33390</c:v>
                </c:pt>
                <c:pt idx="88">
                  <c:v>33420</c:v>
                </c:pt>
                <c:pt idx="89">
                  <c:v>33451</c:v>
                </c:pt>
                <c:pt idx="90">
                  <c:v>33482</c:v>
                </c:pt>
                <c:pt idx="91">
                  <c:v>33512</c:v>
                </c:pt>
                <c:pt idx="92">
                  <c:v>33543</c:v>
                </c:pt>
                <c:pt idx="93">
                  <c:v>33573</c:v>
                </c:pt>
                <c:pt idx="94">
                  <c:v>33604</c:v>
                </c:pt>
                <c:pt idx="95">
                  <c:v>33635</c:v>
                </c:pt>
                <c:pt idx="96">
                  <c:v>33664</c:v>
                </c:pt>
                <c:pt idx="97">
                  <c:v>33695</c:v>
                </c:pt>
                <c:pt idx="98">
                  <c:v>33725</c:v>
                </c:pt>
                <c:pt idx="99">
                  <c:v>33756</c:v>
                </c:pt>
                <c:pt idx="100">
                  <c:v>33786</c:v>
                </c:pt>
                <c:pt idx="101">
                  <c:v>33817</c:v>
                </c:pt>
                <c:pt idx="102">
                  <c:v>33848</c:v>
                </c:pt>
                <c:pt idx="103">
                  <c:v>33878</c:v>
                </c:pt>
                <c:pt idx="104">
                  <c:v>33909</c:v>
                </c:pt>
                <c:pt idx="105">
                  <c:v>33939</c:v>
                </c:pt>
                <c:pt idx="106">
                  <c:v>33970</c:v>
                </c:pt>
                <c:pt idx="107">
                  <c:v>34001</c:v>
                </c:pt>
                <c:pt idx="108">
                  <c:v>34029</c:v>
                </c:pt>
                <c:pt idx="109">
                  <c:v>34060</c:v>
                </c:pt>
                <c:pt idx="110">
                  <c:v>34090</c:v>
                </c:pt>
                <c:pt idx="111">
                  <c:v>34121</c:v>
                </c:pt>
                <c:pt idx="112">
                  <c:v>34151</c:v>
                </c:pt>
                <c:pt idx="113">
                  <c:v>34182</c:v>
                </c:pt>
                <c:pt idx="114">
                  <c:v>34213</c:v>
                </c:pt>
                <c:pt idx="115">
                  <c:v>34243</c:v>
                </c:pt>
                <c:pt idx="116">
                  <c:v>34274</c:v>
                </c:pt>
                <c:pt idx="117">
                  <c:v>34304</c:v>
                </c:pt>
                <c:pt idx="118">
                  <c:v>34335</c:v>
                </c:pt>
                <c:pt idx="119">
                  <c:v>34366</c:v>
                </c:pt>
                <c:pt idx="120">
                  <c:v>34394</c:v>
                </c:pt>
                <c:pt idx="121">
                  <c:v>34425</c:v>
                </c:pt>
                <c:pt idx="122">
                  <c:v>34455</c:v>
                </c:pt>
                <c:pt idx="123">
                  <c:v>34486</c:v>
                </c:pt>
                <c:pt idx="124">
                  <c:v>34516</c:v>
                </c:pt>
                <c:pt idx="125">
                  <c:v>34547</c:v>
                </c:pt>
                <c:pt idx="126">
                  <c:v>34578</c:v>
                </c:pt>
                <c:pt idx="127">
                  <c:v>34608</c:v>
                </c:pt>
                <c:pt idx="128">
                  <c:v>34639</c:v>
                </c:pt>
                <c:pt idx="129">
                  <c:v>34669</c:v>
                </c:pt>
                <c:pt idx="130">
                  <c:v>34700</c:v>
                </c:pt>
                <c:pt idx="131">
                  <c:v>34731</c:v>
                </c:pt>
                <c:pt idx="132">
                  <c:v>34759</c:v>
                </c:pt>
                <c:pt idx="133">
                  <c:v>34790</c:v>
                </c:pt>
                <c:pt idx="134">
                  <c:v>34820</c:v>
                </c:pt>
                <c:pt idx="135">
                  <c:v>34851</c:v>
                </c:pt>
                <c:pt idx="136">
                  <c:v>34881</c:v>
                </c:pt>
                <c:pt idx="137">
                  <c:v>34912</c:v>
                </c:pt>
                <c:pt idx="138">
                  <c:v>34943</c:v>
                </c:pt>
                <c:pt idx="139">
                  <c:v>34973</c:v>
                </c:pt>
                <c:pt idx="140">
                  <c:v>35004</c:v>
                </c:pt>
                <c:pt idx="141">
                  <c:v>35034</c:v>
                </c:pt>
                <c:pt idx="142">
                  <c:v>35065</c:v>
                </c:pt>
                <c:pt idx="143">
                  <c:v>35096</c:v>
                </c:pt>
                <c:pt idx="144">
                  <c:v>35125</c:v>
                </c:pt>
                <c:pt idx="145">
                  <c:v>35156</c:v>
                </c:pt>
                <c:pt idx="146">
                  <c:v>35186</c:v>
                </c:pt>
                <c:pt idx="147">
                  <c:v>35217</c:v>
                </c:pt>
                <c:pt idx="148">
                  <c:v>35247</c:v>
                </c:pt>
                <c:pt idx="149">
                  <c:v>35278</c:v>
                </c:pt>
                <c:pt idx="150">
                  <c:v>35309</c:v>
                </c:pt>
                <c:pt idx="151">
                  <c:v>35339</c:v>
                </c:pt>
                <c:pt idx="152">
                  <c:v>35370</c:v>
                </c:pt>
                <c:pt idx="153">
                  <c:v>35400</c:v>
                </c:pt>
                <c:pt idx="154">
                  <c:v>35431</c:v>
                </c:pt>
                <c:pt idx="155">
                  <c:v>35462</c:v>
                </c:pt>
                <c:pt idx="156">
                  <c:v>35490</c:v>
                </c:pt>
                <c:pt idx="157">
                  <c:v>35521</c:v>
                </c:pt>
                <c:pt idx="158">
                  <c:v>35551</c:v>
                </c:pt>
                <c:pt idx="159">
                  <c:v>35582</c:v>
                </c:pt>
                <c:pt idx="160">
                  <c:v>35612</c:v>
                </c:pt>
                <c:pt idx="161">
                  <c:v>35643</c:v>
                </c:pt>
                <c:pt idx="162">
                  <c:v>35674</c:v>
                </c:pt>
                <c:pt idx="163">
                  <c:v>35704</c:v>
                </c:pt>
                <c:pt idx="164">
                  <c:v>35735</c:v>
                </c:pt>
                <c:pt idx="165">
                  <c:v>35765</c:v>
                </c:pt>
                <c:pt idx="166">
                  <c:v>35796</c:v>
                </c:pt>
                <c:pt idx="167">
                  <c:v>35827</c:v>
                </c:pt>
                <c:pt idx="168">
                  <c:v>35855</c:v>
                </c:pt>
                <c:pt idx="169">
                  <c:v>35886</c:v>
                </c:pt>
                <c:pt idx="170">
                  <c:v>35916</c:v>
                </c:pt>
                <c:pt idx="171">
                  <c:v>35947</c:v>
                </c:pt>
                <c:pt idx="172">
                  <c:v>35977</c:v>
                </c:pt>
                <c:pt idx="173">
                  <c:v>36008</c:v>
                </c:pt>
                <c:pt idx="174">
                  <c:v>36039</c:v>
                </c:pt>
                <c:pt idx="175">
                  <c:v>36069</c:v>
                </c:pt>
                <c:pt idx="176">
                  <c:v>36100</c:v>
                </c:pt>
                <c:pt idx="177">
                  <c:v>36130</c:v>
                </c:pt>
                <c:pt idx="178">
                  <c:v>36161</c:v>
                </c:pt>
                <c:pt idx="179">
                  <c:v>36192</c:v>
                </c:pt>
                <c:pt idx="180">
                  <c:v>36220</c:v>
                </c:pt>
                <c:pt idx="181">
                  <c:v>36251</c:v>
                </c:pt>
                <c:pt idx="182">
                  <c:v>36281</c:v>
                </c:pt>
                <c:pt idx="183">
                  <c:v>36312</c:v>
                </c:pt>
                <c:pt idx="184">
                  <c:v>36342</c:v>
                </c:pt>
                <c:pt idx="185">
                  <c:v>36373</c:v>
                </c:pt>
                <c:pt idx="186">
                  <c:v>36404</c:v>
                </c:pt>
                <c:pt idx="187">
                  <c:v>36434</c:v>
                </c:pt>
                <c:pt idx="188">
                  <c:v>36465</c:v>
                </c:pt>
                <c:pt idx="189">
                  <c:v>36495</c:v>
                </c:pt>
                <c:pt idx="190">
                  <c:v>36526</c:v>
                </c:pt>
                <c:pt idx="191">
                  <c:v>36557</c:v>
                </c:pt>
                <c:pt idx="192">
                  <c:v>36586</c:v>
                </c:pt>
                <c:pt idx="193">
                  <c:v>36617</c:v>
                </c:pt>
                <c:pt idx="194">
                  <c:v>36647</c:v>
                </c:pt>
                <c:pt idx="195">
                  <c:v>36678</c:v>
                </c:pt>
                <c:pt idx="196">
                  <c:v>36708</c:v>
                </c:pt>
                <c:pt idx="197">
                  <c:v>36739</c:v>
                </c:pt>
                <c:pt idx="198">
                  <c:v>36770</c:v>
                </c:pt>
                <c:pt idx="199">
                  <c:v>36800</c:v>
                </c:pt>
                <c:pt idx="200">
                  <c:v>36831</c:v>
                </c:pt>
                <c:pt idx="201">
                  <c:v>36861</c:v>
                </c:pt>
                <c:pt idx="202">
                  <c:v>36892</c:v>
                </c:pt>
                <c:pt idx="203">
                  <c:v>36923</c:v>
                </c:pt>
                <c:pt idx="204">
                  <c:v>36951</c:v>
                </c:pt>
                <c:pt idx="205">
                  <c:v>36982</c:v>
                </c:pt>
                <c:pt idx="206">
                  <c:v>37012</c:v>
                </c:pt>
                <c:pt idx="207">
                  <c:v>37043</c:v>
                </c:pt>
                <c:pt idx="208">
                  <c:v>37073</c:v>
                </c:pt>
                <c:pt idx="209">
                  <c:v>37104</c:v>
                </c:pt>
                <c:pt idx="210">
                  <c:v>37135</c:v>
                </c:pt>
                <c:pt idx="211">
                  <c:v>37165</c:v>
                </c:pt>
                <c:pt idx="212">
                  <c:v>37196</c:v>
                </c:pt>
                <c:pt idx="213">
                  <c:v>37226</c:v>
                </c:pt>
                <c:pt idx="214">
                  <c:v>37257</c:v>
                </c:pt>
                <c:pt idx="215">
                  <c:v>37288</c:v>
                </c:pt>
                <c:pt idx="216">
                  <c:v>37316</c:v>
                </c:pt>
                <c:pt idx="217">
                  <c:v>37347</c:v>
                </c:pt>
                <c:pt idx="218">
                  <c:v>37377</c:v>
                </c:pt>
                <c:pt idx="219">
                  <c:v>37408</c:v>
                </c:pt>
                <c:pt idx="220">
                  <c:v>37438</c:v>
                </c:pt>
                <c:pt idx="221">
                  <c:v>37469</c:v>
                </c:pt>
                <c:pt idx="222">
                  <c:v>37500</c:v>
                </c:pt>
                <c:pt idx="223">
                  <c:v>37530</c:v>
                </c:pt>
                <c:pt idx="224">
                  <c:v>37561</c:v>
                </c:pt>
                <c:pt idx="225">
                  <c:v>37591</c:v>
                </c:pt>
                <c:pt idx="226">
                  <c:v>37622</c:v>
                </c:pt>
                <c:pt idx="227">
                  <c:v>37653</c:v>
                </c:pt>
                <c:pt idx="228">
                  <c:v>37681</c:v>
                </c:pt>
                <c:pt idx="229">
                  <c:v>37712</c:v>
                </c:pt>
                <c:pt idx="230">
                  <c:v>37742</c:v>
                </c:pt>
                <c:pt idx="231">
                  <c:v>37773</c:v>
                </c:pt>
                <c:pt idx="232">
                  <c:v>37803</c:v>
                </c:pt>
                <c:pt idx="233">
                  <c:v>37834</c:v>
                </c:pt>
                <c:pt idx="234">
                  <c:v>37865</c:v>
                </c:pt>
                <c:pt idx="235">
                  <c:v>37895</c:v>
                </c:pt>
                <c:pt idx="236">
                  <c:v>37926</c:v>
                </c:pt>
                <c:pt idx="237">
                  <c:v>37956</c:v>
                </c:pt>
                <c:pt idx="238">
                  <c:v>37987</c:v>
                </c:pt>
                <c:pt idx="239">
                  <c:v>38018</c:v>
                </c:pt>
                <c:pt idx="240">
                  <c:v>38047</c:v>
                </c:pt>
                <c:pt idx="241">
                  <c:v>38078</c:v>
                </c:pt>
                <c:pt idx="242">
                  <c:v>38108</c:v>
                </c:pt>
                <c:pt idx="243">
                  <c:v>38139</c:v>
                </c:pt>
                <c:pt idx="244">
                  <c:v>38169</c:v>
                </c:pt>
                <c:pt idx="245">
                  <c:v>38200</c:v>
                </c:pt>
                <c:pt idx="246">
                  <c:v>38231</c:v>
                </c:pt>
                <c:pt idx="247">
                  <c:v>38261</c:v>
                </c:pt>
                <c:pt idx="248">
                  <c:v>38292</c:v>
                </c:pt>
                <c:pt idx="249">
                  <c:v>38322</c:v>
                </c:pt>
                <c:pt idx="250">
                  <c:v>38353</c:v>
                </c:pt>
                <c:pt idx="251">
                  <c:v>38384</c:v>
                </c:pt>
                <c:pt idx="252">
                  <c:v>38412</c:v>
                </c:pt>
                <c:pt idx="253">
                  <c:v>38443</c:v>
                </c:pt>
                <c:pt idx="254">
                  <c:v>38473</c:v>
                </c:pt>
                <c:pt idx="255">
                  <c:v>38504</c:v>
                </c:pt>
                <c:pt idx="256">
                  <c:v>38534</c:v>
                </c:pt>
                <c:pt idx="257">
                  <c:v>38565</c:v>
                </c:pt>
                <c:pt idx="258">
                  <c:v>38596</c:v>
                </c:pt>
                <c:pt idx="259">
                  <c:v>38626</c:v>
                </c:pt>
                <c:pt idx="260">
                  <c:v>38657</c:v>
                </c:pt>
                <c:pt idx="261">
                  <c:v>38687</c:v>
                </c:pt>
                <c:pt idx="262">
                  <c:v>38718</c:v>
                </c:pt>
                <c:pt idx="263">
                  <c:v>38749</c:v>
                </c:pt>
                <c:pt idx="264">
                  <c:v>38777</c:v>
                </c:pt>
                <c:pt idx="265">
                  <c:v>38808</c:v>
                </c:pt>
                <c:pt idx="266">
                  <c:v>38838</c:v>
                </c:pt>
                <c:pt idx="267">
                  <c:v>38869</c:v>
                </c:pt>
                <c:pt idx="268">
                  <c:v>38899</c:v>
                </c:pt>
                <c:pt idx="269">
                  <c:v>38930</c:v>
                </c:pt>
                <c:pt idx="270">
                  <c:v>38961</c:v>
                </c:pt>
                <c:pt idx="271">
                  <c:v>38991</c:v>
                </c:pt>
                <c:pt idx="272">
                  <c:v>39022</c:v>
                </c:pt>
                <c:pt idx="273">
                  <c:v>39052</c:v>
                </c:pt>
                <c:pt idx="274">
                  <c:v>39083</c:v>
                </c:pt>
                <c:pt idx="275">
                  <c:v>39114</c:v>
                </c:pt>
                <c:pt idx="276">
                  <c:v>39142</c:v>
                </c:pt>
                <c:pt idx="277">
                  <c:v>39173</c:v>
                </c:pt>
                <c:pt idx="278">
                  <c:v>39203</c:v>
                </c:pt>
                <c:pt idx="279">
                  <c:v>39234</c:v>
                </c:pt>
                <c:pt idx="280">
                  <c:v>39264</c:v>
                </c:pt>
                <c:pt idx="281">
                  <c:v>39295</c:v>
                </c:pt>
                <c:pt idx="282">
                  <c:v>39326</c:v>
                </c:pt>
                <c:pt idx="283">
                  <c:v>39356</c:v>
                </c:pt>
                <c:pt idx="284">
                  <c:v>39387</c:v>
                </c:pt>
                <c:pt idx="285">
                  <c:v>39417</c:v>
                </c:pt>
                <c:pt idx="286">
                  <c:v>39448</c:v>
                </c:pt>
                <c:pt idx="287">
                  <c:v>39479</c:v>
                </c:pt>
                <c:pt idx="288">
                  <c:v>39508</c:v>
                </c:pt>
                <c:pt idx="289">
                  <c:v>39539</c:v>
                </c:pt>
                <c:pt idx="290">
                  <c:v>39569</c:v>
                </c:pt>
                <c:pt idx="291">
                  <c:v>39600</c:v>
                </c:pt>
                <c:pt idx="292">
                  <c:v>39630</c:v>
                </c:pt>
                <c:pt idx="293">
                  <c:v>39661</c:v>
                </c:pt>
                <c:pt idx="294">
                  <c:v>39692</c:v>
                </c:pt>
                <c:pt idx="295">
                  <c:v>39722</c:v>
                </c:pt>
                <c:pt idx="296">
                  <c:v>39753</c:v>
                </c:pt>
                <c:pt idx="297">
                  <c:v>39783</c:v>
                </c:pt>
                <c:pt idx="298">
                  <c:v>39814</c:v>
                </c:pt>
                <c:pt idx="299">
                  <c:v>39845</c:v>
                </c:pt>
                <c:pt idx="300">
                  <c:v>39873</c:v>
                </c:pt>
                <c:pt idx="301">
                  <c:v>39904</c:v>
                </c:pt>
                <c:pt idx="302">
                  <c:v>39934</c:v>
                </c:pt>
                <c:pt idx="303">
                  <c:v>39965</c:v>
                </c:pt>
                <c:pt idx="304">
                  <c:v>39995</c:v>
                </c:pt>
                <c:pt idx="305">
                  <c:v>40026</c:v>
                </c:pt>
                <c:pt idx="306">
                  <c:v>40057</c:v>
                </c:pt>
                <c:pt idx="307">
                  <c:v>40087</c:v>
                </c:pt>
                <c:pt idx="308">
                  <c:v>40118</c:v>
                </c:pt>
                <c:pt idx="309">
                  <c:v>40148</c:v>
                </c:pt>
                <c:pt idx="310">
                  <c:v>40179</c:v>
                </c:pt>
                <c:pt idx="311">
                  <c:v>40210</c:v>
                </c:pt>
                <c:pt idx="312">
                  <c:v>40238</c:v>
                </c:pt>
                <c:pt idx="313">
                  <c:v>40269</c:v>
                </c:pt>
                <c:pt idx="314">
                  <c:v>40299</c:v>
                </c:pt>
                <c:pt idx="315">
                  <c:v>40330</c:v>
                </c:pt>
                <c:pt idx="316">
                  <c:v>40360</c:v>
                </c:pt>
                <c:pt idx="317">
                  <c:v>40391</c:v>
                </c:pt>
                <c:pt idx="318">
                  <c:v>40422</c:v>
                </c:pt>
                <c:pt idx="319">
                  <c:v>40452</c:v>
                </c:pt>
                <c:pt idx="320">
                  <c:v>40483</c:v>
                </c:pt>
                <c:pt idx="321">
                  <c:v>40513</c:v>
                </c:pt>
                <c:pt idx="322">
                  <c:v>40544</c:v>
                </c:pt>
                <c:pt idx="323">
                  <c:v>40575</c:v>
                </c:pt>
                <c:pt idx="324">
                  <c:v>40603</c:v>
                </c:pt>
                <c:pt idx="325">
                  <c:v>40634</c:v>
                </c:pt>
                <c:pt idx="326">
                  <c:v>40664</c:v>
                </c:pt>
                <c:pt idx="327">
                  <c:v>40695</c:v>
                </c:pt>
                <c:pt idx="328">
                  <c:v>40725</c:v>
                </c:pt>
                <c:pt idx="329">
                  <c:v>40756</c:v>
                </c:pt>
                <c:pt idx="330">
                  <c:v>40787</c:v>
                </c:pt>
                <c:pt idx="331">
                  <c:v>40817</c:v>
                </c:pt>
                <c:pt idx="332">
                  <c:v>40848</c:v>
                </c:pt>
                <c:pt idx="333">
                  <c:v>40878</c:v>
                </c:pt>
                <c:pt idx="334">
                  <c:v>40909</c:v>
                </c:pt>
                <c:pt idx="335">
                  <c:v>40940</c:v>
                </c:pt>
                <c:pt idx="336">
                  <c:v>40969</c:v>
                </c:pt>
                <c:pt idx="337">
                  <c:v>41000</c:v>
                </c:pt>
                <c:pt idx="338">
                  <c:v>41030</c:v>
                </c:pt>
                <c:pt idx="339">
                  <c:v>41061</c:v>
                </c:pt>
                <c:pt idx="340">
                  <c:v>41091</c:v>
                </c:pt>
                <c:pt idx="341">
                  <c:v>41122</c:v>
                </c:pt>
                <c:pt idx="342">
                  <c:v>41153</c:v>
                </c:pt>
                <c:pt idx="343">
                  <c:v>41183</c:v>
                </c:pt>
                <c:pt idx="344">
                  <c:v>41214</c:v>
                </c:pt>
                <c:pt idx="345">
                  <c:v>41244</c:v>
                </c:pt>
                <c:pt idx="346">
                  <c:v>41275</c:v>
                </c:pt>
                <c:pt idx="347">
                  <c:v>41306</c:v>
                </c:pt>
                <c:pt idx="348">
                  <c:v>41334</c:v>
                </c:pt>
                <c:pt idx="349">
                  <c:v>41365</c:v>
                </c:pt>
                <c:pt idx="350">
                  <c:v>41395</c:v>
                </c:pt>
                <c:pt idx="351">
                  <c:v>41426</c:v>
                </c:pt>
                <c:pt idx="352">
                  <c:v>41456</c:v>
                </c:pt>
                <c:pt idx="353">
                  <c:v>41487</c:v>
                </c:pt>
                <c:pt idx="354">
                  <c:v>41518</c:v>
                </c:pt>
                <c:pt idx="355">
                  <c:v>41548</c:v>
                </c:pt>
                <c:pt idx="356">
                  <c:v>41579</c:v>
                </c:pt>
                <c:pt idx="357">
                  <c:v>41609</c:v>
                </c:pt>
                <c:pt idx="358">
                  <c:v>41640</c:v>
                </c:pt>
                <c:pt idx="359">
                  <c:v>41671</c:v>
                </c:pt>
                <c:pt idx="360">
                  <c:v>41699</c:v>
                </c:pt>
                <c:pt idx="361">
                  <c:v>41730</c:v>
                </c:pt>
                <c:pt idx="362">
                  <c:v>41760</c:v>
                </c:pt>
                <c:pt idx="363">
                  <c:v>41791</c:v>
                </c:pt>
                <c:pt idx="364">
                  <c:v>41821</c:v>
                </c:pt>
                <c:pt idx="365">
                  <c:v>41852</c:v>
                </c:pt>
                <c:pt idx="366">
                  <c:v>41883</c:v>
                </c:pt>
                <c:pt idx="367">
                  <c:v>41913</c:v>
                </c:pt>
                <c:pt idx="368">
                  <c:v>41944</c:v>
                </c:pt>
                <c:pt idx="369">
                  <c:v>41974</c:v>
                </c:pt>
                <c:pt idx="370">
                  <c:v>42005</c:v>
                </c:pt>
                <c:pt idx="371">
                  <c:v>42036</c:v>
                </c:pt>
                <c:pt idx="372">
                  <c:v>42064</c:v>
                </c:pt>
                <c:pt idx="373">
                  <c:v>42095</c:v>
                </c:pt>
                <c:pt idx="374">
                  <c:v>42125</c:v>
                </c:pt>
                <c:pt idx="375">
                  <c:v>42156</c:v>
                </c:pt>
                <c:pt idx="376">
                  <c:v>42186</c:v>
                </c:pt>
                <c:pt idx="377">
                  <c:v>42217</c:v>
                </c:pt>
                <c:pt idx="378">
                  <c:v>42248</c:v>
                </c:pt>
                <c:pt idx="379">
                  <c:v>42278</c:v>
                </c:pt>
                <c:pt idx="380">
                  <c:v>42309</c:v>
                </c:pt>
                <c:pt idx="381">
                  <c:v>42339</c:v>
                </c:pt>
                <c:pt idx="382">
                  <c:v>42370</c:v>
                </c:pt>
                <c:pt idx="383">
                  <c:v>42401</c:v>
                </c:pt>
                <c:pt idx="384">
                  <c:v>42430</c:v>
                </c:pt>
                <c:pt idx="385">
                  <c:v>42461</c:v>
                </c:pt>
                <c:pt idx="386">
                  <c:v>42491</c:v>
                </c:pt>
                <c:pt idx="387">
                  <c:v>42522</c:v>
                </c:pt>
                <c:pt idx="388">
                  <c:v>42552</c:v>
                </c:pt>
                <c:pt idx="389">
                  <c:v>42583</c:v>
                </c:pt>
                <c:pt idx="390">
                  <c:v>42614</c:v>
                </c:pt>
                <c:pt idx="391">
                  <c:v>42644</c:v>
                </c:pt>
                <c:pt idx="392">
                  <c:v>42675</c:v>
                </c:pt>
                <c:pt idx="393">
                  <c:v>42705</c:v>
                </c:pt>
                <c:pt idx="394">
                  <c:v>42736</c:v>
                </c:pt>
                <c:pt idx="395">
                  <c:v>42767</c:v>
                </c:pt>
                <c:pt idx="396">
                  <c:v>42795</c:v>
                </c:pt>
                <c:pt idx="397">
                  <c:v>42826</c:v>
                </c:pt>
                <c:pt idx="398">
                  <c:v>42856</c:v>
                </c:pt>
                <c:pt idx="399">
                  <c:v>42887</c:v>
                </c:pt>
                <c:pt idx="400">
                  <c:v>42917</c:v>
                </c:pt>
                <c:pt idx="401">
                  <c:v>42948</c:v>
                </c:pt>
                <c:pt idx="402">
                  <c:v>42979</c:v>
                </c:pt>
                <c:pt idx="403">
                  <c:v>43009</c:v>
                </c:pt>
                <c:pt idx="404">
                  <c:v>43040</c:v>
                </c:pt>
                <c:pt idx="405">
                  <c:v>43070</c:v>
                </c:pt>
                <c:pt idx="406">
                  <c:v>43101</c:v>
                </c:pt>
                <c:pt idx="407">
                  <c:v>43132</c:v>
                </c:pt>
                <c:pt idx="408">
                  <c:v>43160</c:v>
                </c:pt>
                <c:pt idx="409">
                  <c:v>43191</c:v>
                </c:pt>
                <c:pt idx="410">
                  <c:v>43221</c:v>
                </c:pt>
                <c:pt idx="411">
                  <c:v>43252</c:v>
                </c:pt>
                <c:pt idx="412">
                  <c:v>43282</c:v>
                </c:pt>
                <c:pt idx="413">
                  <c:v>43313</c:v>
                </c:pt>
                <c:pt idx="414">
                  <c:v>43344</c:v>
                </c:pt>
                <c:pt idx="415">
                  <c:v>43374</c:v>
                </c:pt>
                <c:pt idx="416">
                  <c:v>43405</c:v>
                </c:pt>
                <c:pt idx="417">
                  <c:v>43435</c:v>
                </c:pt>
                <c:pt idx="418">
                  <c:v>43466</c:v>
                </c:pt>
                <c:pt idx="419">
                  <c:v>43497</c:v>
                </c:pt>
                <c:pt idx="420">
                  <c:v>43525</c:v>
                </c:pt>
                <c:pt idx="421">
                  <c:v>43556</c:v>
                </c:pt>
                <c:pt idx="422">
                  <c:v>43586</c:v>
                </c:pt>
                <c:pt idx="423">
                  <c:v>43617</c:v>
                </c:pt>
                <c:pt idx="424">
                  <c:v>43647</c:v>
                </c:pt>
                <c:pt idx="425">
                  <c:v>43678</c:v>
                </c:pt>
                <c:pt idx="426">
                  <c:v>43709</c:v>
                </c:pt>
                <c:pt idx="427">
                  <c:v>43739</c:v>
                </c:pt>
                <c:pt idx="428">
                  <c:v>43770</c:v>
                </c:pt>
                <c:pt idx="429">
                  <c:v>43800</c:v>
                </c:pt>
                <c:pt idx="430">
                  <c:v>43831</c:v>
                </c:pt>
                <c:pt idx="431">
                  <c:v>43862</c:v>
                </c:pt>
                <c:pt idx="432">
                  <c:v>43891</c:v>
                </c:pt>
                <c:pt idx="433">
                  <c:v>43922</c:v>
                </c:pt>
                <c:pt idx="434">
                  <c:v>43952</c:v>
                </c:pt>
                <c:pt idx="435">
                  <c:v>43983</c:v>
                </c:pt>
                <c:pt idx="436">
                  <c:v>44013</c:v>
                </c:pt>
                <c:pt idx="437">
                  <c:v>44044</c:v>
                </c:pt>
                <c:pt idx="438">
                  <c:v>44075</c:v>
                </c:pt>
                <c:pt idx="439">
                  <c:v>44105</c:v>
                </c:pt>
                <c:pt idx="440">
                  <c:v>44136</c:v>
                </c:pt>
                <c:pt idx="441">
                  <c:v>44166</c:v>
                </c:pt>
                <c:pt idx="442">
                  <c:v>44197</c:v>
                </c:pt>
                <c:pt idx="443">
                  <c:v>44228</c:v>
                </c:pt>
                <c:pt idx="444">
                  <c:v>44256</c:v>
                </c:pt>
                <c:pt idx="445">
                  <c:v>44287</c:v>
                </c:pt>
                <c:pt idx="446">
                  <c:v>44317</c:v>
                </c:pt>
                <c:pt idx="447">
                  <c:v>44348</c:v>
                </c:pt>
                <c:pt idx="448">
                  <c:v>44378</c:v>
                </c:pt>
                <c:pt idx="449">
                  <c:v>44409</c:v>
                </c:pt>
                <c:pt idx="450">
                  <c:v>44440</c:v>
                </c:pt>
                <c:pt idx="451">
                  <c:v>44470</c:v>
                </c:pt>
                <c:pt idx="452">
                  <c:v>44501</c:v>
                </c:pt>
                <c:pt idx="453">
                  <c:v>44531</c:v>
                </c:pt>
                <c:pt idx="454">
                  <c:v>44562</c:v>
                </c:pt>
                <c:pt idx="455">
                  <c:v>44593</c:v>
                </c:pt>
                <c:pt idx="456">
                  <c:v>44621</c:v>
                </c:pt>
                <c:pt idx="457">
                  <c:v>44652</c:v>
                </c:pt>
                <c:pt idx="458">
                  <c:v>44682</c:v>
                </c:pt>
                <c:pt idx="459">
                  <c:v>44713</c:v>
                </c:pt>
                <c:pt idx="460">
                  <c:v>44743</c:v>
                </c:pt>
                <c:pt idx="461">
                  <c:v>44774</c:v>
                </c:pt>
                <c:pt idx="462">
                  <c:v>44805</c:v>
                </c:pt>
                <c:pt idx="463">
                  <c:v>44835</c:v>
                </c:pt>
                <c:pt idx="464">
                  <c:v>44866</c:v>
                </c:pt>
                <c:pt idx="465">
                  <c:v>44896</c:v>
                </c:pt>
                <c:pt idx="466">
                  <c:v>44927</c:v>
                </c:pt>
                <c:pt idx="467">
                  <c:v>44958</c:v>
                </c:pt>
                <c:pt idx="468">
                  <c:v>44986</c:v>
                </c:pt>
                <c:pt idx="469">
                  <c:v>45017</c:v>
                </c:pt>
                <c:pt idx="470">
                  <c:v>45047</c:v>
                </c:pt>
                <c:pt idx="471">
                  <c:v>45078</c:v>
                </c:pt>
                <c:pt idx="472">
                  <c:v>45108</c:v>
                </c:pt>
                <c:pt idx="473">
                  <c:v>45139</c:v>
                </c:pt>
                <c:pt idx="474">
                  <c:v>45170</c:v>
                </c:pt>
                <c:pt idx="475">
                  <c:v>45200</c:v>
                </c:pt>
                <c:pt idx="476">
                  <c:v>45231</c:v>
                </c:pt>
                <c:pt idx="477">
                  <c:v>45261</c:v>
                </c:pt>
                <c:pt idx="478">
                  <c:v>45292</c:v>
                </c:pt>
                <c:pt idx="479">
                  <c:v>45323</c:v>
                </c:pt>
                <c:pt idx="480">
                  <c:v>45352</c:v>
                </c:pt>
              </c:numCache>
            </c:numRef>
          </c:cat>
          <c:val>
            <c:numRef>
              <c:f>'Figure 2'!$B$5:$B$485</c:f>
              <c:numCache>
                <c:formatCode>0.0%</c:formatCode>
                <c:ptCount val="481"/>
                <c:pt idx="0">
                  <c:v>9.2069174999999989E-2</c:v>
                </c:pt>
                <c:pt idx="1">
                  <c:v>9.3697585E-2</c:v>
                </c:pt>
                <c:pt idx="2">
                  <c:v>8.9352272999999996E-2</c:v>
                </c:pt>
                <c:pt idx="3">
                  <c:v>9.0955727E-2</c:v>
                </c:pt>
                <c:pt idx="4">
                  <c:v>8.9086909999999991E-2</c:v>
                </c:pt>
                <c:pt idx="5">
                  <c:v>8.8275185999999992E-2</c:v>
                </c:pt>
                <c:pt idx="6">
                  <c:v>8.7334346000000007E-2</c:v>
                </c:pt>
                <c:pt idx="7">
                  <c:v>8.6944173E-2</c:v>
                </c:pt>
                <c:pt idx="8">
                  <c:v>8.6780191000000007E-2</c:v>
                </c:pt>
                <c:pt idx="9">
                  <c:v>8.5185993999999987E-2</c:v>
                </c:pt>
                <c:pt idx="10">
                  <c:v>8.5511870000000004E-2</c:v>
                </c:pt>
                <c:pt idx="11">
                  <c:v>8.3885670999999995E-2</c:v>
                </c:pt>
                <c:pt idx="12">
                  <c:v>8.6637821000000004E-2</c:v>
                </c:pt>
                <c:pt idx="13">
                  <c:v>8.4012226999999995E-2</c:v>
                </c:pt>
                <c:pt idx="14">
                  <c:v>8.3742704000000001E-2</c:v>
                </c:pt>
                <c:pt idx="15">
                  <c:v>8.5713712999999997E-2</c:v>
                </c:pt>
                <c:pt idx="16">
                  <c:v>8.2990750000000002E-2</c:v>
                </c:pt>
                <c:pt idx="17">
                  <c:v>8.1544156999999992E-2</c:v>
                </c:pt>
                <c:pt idx="18">
                  <c:v>8.0559946999999993E-2</c:v>
                </c:pt>
                <c:pt idx="19">
                  <c:v>7.8476404E-2</c:v>
                </c:pt>
                <c:pt idx="20">
                  <c:v>7.9490615000000001E-2</c:v>
                </c:pt>
                <c:pt idx="21">
                  <c:v>7.7835529000000001E-2</c:v>
                </c:pt>
                <c:pt idx="22">
                  <c:v>7.8052663999999994E-2</c:v>
                </c:pt>
                <c:pt idx="23">
                  <c:v>8.0018813000000008E-2</c:v>
                </c:pt>
                <c:pt idx="24">
                  <c:v>7.9246812E-2</c:v>
                </c:pt>
                <c:pt idx="25">
                  <c:v>7.9005089000000001E-2</c:v>
                </c:pt>
                <c:pt idx="26">
                  <c:v>7.8447839999999991E-2</c:v>
                </c:pt>
                <c:pt idx="27">
                  <c:v>7.6537067E-2</c:v>
                </c:pt>
                <c:pt idx="28">
                  <c:v>8.1109052000000001E-2</c:v>
                </c:pt>
                <c:pt idx="29">
                  <c:v>8.2379017999999998E-2</c:v>
                </c:pt>
                <c:pt idx="30">
                  <c:v>8.336692100000001E-2</c:v>
                </c:pt>
                <c:pt idx="31">
                  <c:v>8.3086874999999991E-2</c:v>
                </c:pt>
                <c:pt idx="32">
                  <c:v>8.317480599999999E-2</c:v>
                </c:pt>
                <c:pt idx="33">
                  <c:v>8.3620336000000003E-2</c:v>
                </c:pt>
                <c:pt idx="34">
                  <c:v>8.1859208999999988E-2</c:v>
                </c:pt>
                <c:pt idx="35">
                  <c:v>8.2098017999999995E-2</c:v>
                </c:pt>
                <c:pt idx="36">
                  <c:v>8.4322357000000001E-2</c:v>
                </c:pt>
                <c:pt idx="37">
                  <c:v>8.3001652000000009E-2</c:v>
                </c:pt>
                <c:pt idx="38">
                  <c:v>8.1998121000000007E-2</c:v>
                </c:pt>
                <c:pt idx="39">
                  <c:v>8.0090473000000009E-2</c:v>
                </c:pt>
                <c:pt idx="40">
                  <c:v>8.0779742000000002E-2</c:v>
                </c:pt>
                <c:pt idx="41">
                  <c:v>8.1038186999999998E-2</c:v>
                </c:pt>
                <c:pt idx="42">
                  <c:v>7.7539022999999999E-2</c:v>
                </c:pt>
                <c:pt idx="43">
                  <c:v>8.0845383000000007E-2</c:v>
                </c:pt>
                <c:pt idx="44">
                  <c:v>7.9296731999999995E-2</c:v>
                </c:pt>
                <c:pt idx="45">
                  <c:v>7.7267828999999996E-2</c:v>
                </c:pt>
                <c:pt idx="46">
                  <c:v>7.6297567999999996E-2</c:v>
                </c:pt>
                <c:pt idx="47">
                  <c:v>7.4156956999999996E-2</c:v>
                </c:pt>
                <c:pt idx="48">
                  <c:v>7.5002549000000002E-2</c:v>
                </c:pt>
                <c:pt idx="49">
                  <c:v>7.9129443999999993E-2</c:v>
                </c:pt>
                <c:pt idx="50">
                  <c:v>7.4493251999999996E-2</c:v>
                </c:pt>
                <c:pt idx="51">
                  <c:v>7.5707668999999991E-2</c:v>
                </c:pt>
                <c:pt idx="52">
                  <c:v>6.7592689999999997E-2</c:v>
                </c:pt>
                <c:pt idx="53">
                  <c:v>7.0670468E-2</c:v>
                </c:pt>
                <c:pt idx="54">
                  <c:v>6.9330988999999996E-2</c:v>
                </c:pt>
                <c:pt idx="55">
                  <c:v>6.8166393000000006E-2</c:v>
                </c:pt>
                <c:pt idx="56">
                  <c:v>6.6113960999999999E-2</c:v>
                </c:pt>
                <c:pt idx="57">
                  <c:v>6.8313363000000002E-2</c:v>
                </c:pt>
                <c:pt idx="58">
                  <c:v>6.8049601000000001E-2</c:v>
                </c:pt>
                <c:pt idx="59">
                  <c:v>6.6365905000000003E-2</c:v>
                </c:pt>
                <c:pt idx="60">
                  <c:v>6.3430920000000002E-2</c:v>
                </c:pt>
                <c:pt idx="61">
                  <c:v>6.2003388E-2</c:v>
                </c:pt>
                <c:pt idx="62">
                  <c:v>6.2780026000000003E-2</c:v>
                </c:pt>
                <c:pt idx="63">
                  <c:v>6.0121286999999995E-2</c:v>
                </c:pt>
                <c:pt idx="64">
                  <c:v>6.0456687999999995E-2</c:v>
                </c:pt>
                <c:pt idx="65">
                  <c:v>5.9427576000000003E-2</c:v>
                </c:pt>
                <c:pt idx="66">
                  <c:v>6.0297961000000004E-2</c:v>
                </c:pt>
                <c:pt idx="67">
                  <c:v>5.9230068999999996E-2</c:v>
                </c:pt>
                <c:pt idx="68">
                  <c:v>5.7854951000000002E-2</c:v>
                </c:pt>
                <c:pt idx="69">
                  <c:v>5.8471040000000002E-2</c:v>
                </c:pt>
                <c:pt idx="70">
                  <c:v>6.1099087000000003E-2</c:v>
                </c:pt>
                <c:pt idx="71">
                  <c:v>6.3905103000000005E-2</c:v>
                </c:pt>
                <c:pt idx="72">
                  <c:v>6.1870282999999998E-2</c:v>
                </c:pt>
                <c:pt idx="73">
                  <c:v>6.2796112000000001E-2</c:v>
                </c:pt>
                <c:pt idx="74">
                  <c:v>6.5027604000000003E-2</c:v>
                </c:pt>
                <c:pt idx="75">
                  <c:v>6.6089789999999995E-2</c:v>
                </c:pt>
                <c:pt idx="76">
                  <c:v>7.0889756999999998E-2</c:v>
                </c:pt>
                <c:pt idx="77">
                  <c:v>7.2101821999999996E-2</c:v>
                </c:pt>
                <c:pt idx="78">
                  <c:v>7.3729381999999996E-2</c:v>
                </c:pt>
                <c:pt idx="79">
                  <c:v>7.6360343999999997E-2</c:v>
                </c:pt>
                <c:pt idx="80">
                  <c:v>7.9445935999999995E-2</c:v>
                </c:pt>
                <c:pt idx="81">
                  <c:v>8.0180686000000001E-2</c:v>
                </c:pt>
                <c:pt idx="82">
                  <c:v>8.3984948999999989E-2</c:v>
                </c:pt>
                <c:pt idx="83">
                  <c:v>8.6154869999999995E-2</c:v>
                </c:pt>
                <c:pt idx="84">
                  <c:v>9.1841471999999993E-2</c:v>
                </c:pt>
                <c:pt idx="85">
                  <c:v>9.8618545000000002E-2</c:v>
                </c:pt>
                <c:pt idx="86">
                  <c:v>9.500431799999999E-2</c:v>
                </c:pt>
                <c:pt idx="87">
                  <c:v>9.5405888999999994E-2</c:v>
                </c:pt>
                <c:pt idx="88">
                  <c:v>9.6833643999999996E-2</c:v>
                </c:pt>
                <c:pt idx="89">
                  <c:v>9.7897184999999998E-2</c:v>
                </c:pt>
                <c:pt idx="90">
                  <c:v>0.10031122399999999</c:v>
                </c:pt>
                <c:pt idx="91">
                  <c:v>9.9861500000000006E-2</c:v>
                </c:pt>
                <c:pt idx="92">
                  <c:v>0.101965572</c:v>
                </c:pt>
                <c:pt idx="93">
                  <c:v>0.104726137</c:v>
                </c:pt>
                <c:pt idx="94">
                  <c:v>0.1034803</c:v>
                </c:pt>
                <c:pt idx="95">
                  <c:v>0.10403712000000001</c:v>
                </c:pt>
                <c:pt idx="96">
                  <c:v>0.10496908599999999</c:v>
                </c:pt>
                <c:pt idx="97">
                  <c:v>0.104719758</c:v>
                </c:pt>
                <c:pt idx="98">
                  <c:v>0.106170638</c:v>
                </c:pt>
                <c:pt idx="99">
                  <c:v>0.108113429</c:v>
                </c:pt>
                <c:pt idx="100">
                  <c:v>0.111287439</c:v>
                </c:pt>
                <c:pt idx="101">
                  <c:v>0.107207894</c:v>
                </c:pt>
                <c:pt idx="102">
                  <c:v>0.10615124500000001</c:v>
                </c:pt>
                <c:pt idx="103">
                  <c:v>0.110901082</c:v>
                </c:pt>
                <c:pt idx="104">
                  <c:v>0.111350797</c:v>
                </c:pt>
                <c:pt idx="105">
                  <c:v>0.11216453799999999</c:v>
                </c:pt>
                <c:pt idx="106">
                  <c:v>0.10833079100000001</c:v>
                </c:pt>
                <c:pt idx="107">
                  <c:v>0.110132358</c:v>
                </c:pt>
                <c:pt idx="108">
                  <c:v>0.108575371</c:v>
                </c:pt>
                <c:pt idx="109">
                  <c:v>0.107661798</c:v>
                </c:pt>
                <c:pt idx="110">
                  <c:v>0.107848789</c:v>
                </c:pt>
                <c:pt idx="111">
                  <c:v>0.10992908699999999</c:v>
                </c:pt>
                <c:pt idx="112">
                  <c:v>0.109380805</c:v>
                </c:pt>
                <c:pt idx="113">
                  <c:v>0.109814364</c:v>
                </c:pt>
                <c:pt idx="114">
                  <c:v>0.107399275</c:v>
                </c:pt>
                <c:pt idx="115">
                  <c:v>0.10956302499999999</c:v>
                </c:pt>
                <c:pt idx="116">
                  <c:v>0.10947867999999999</c:v>
                </c:pt>
                <c:pt idx="117">
                  <c:v>0.10755643299999999</c:v>
                </c:pt>
                <c:pt idx="118">
                  <c:v>0.105668436</c:v>
                </c:pt>
                <c:pt idx="119">
                  <c:v>0.10397930900000001</c:v>
                </c:pt>
                <c:pt idx="120">
                  <c:v>0.103526119</c:v>
                </c:pt>
                <c:pt idx="121">
                  <c:v>0.10062699899999999</c:v>
                </c:pt>
                <c:pt idx="122">
                  <c:v>9.7655926000000004E-2</c:v>
                </c:pt>
                <c:pt idx="123">
                  <c:v>9.8192850999999998E-2</c:v>
                </c:pt>
                <c:pt idx="124">
                  <c:v>9.6281975000000006E-2</c:v>
                </c:pt>
                <c:pt idx="125">
                  <c:v>9.4432579000000003E-2</c:v>
                </c:pt>
                <c:pt idx="126">
                  <c:v>9.3528345999999998E-2</c:v>
                </c:pt>
                <c:pt idx="127">
                  <c:v>9.0915563000000005E-2</c:v>
                </c:pt>
                <c:pt idx="128">
                  <c:v>9.1418599000000003E-2</c:v>
                </c:pt>
                <c:pt idx="129">
                  <c:v>8.9344269000000004E-2</c:v>
                </c:pt>
                <c:pt idx="130">
                  <c:v>8.8544601000000001E-2</c:v>
                </c:pt>
                <c:pt idx="131">
                  <c:v>8.8223973000000011E-2</c:v>
                </c:pt>
                <c:pt idx="132">
                  <c:v>8.6159915999999989E-2</c:v>
                </c:pt>
                <c:pt idx="133">
                  <c:v>8.2668482000000001E-2</c:v>
                </c:pt>
                <c:pt idx="134">
                  <c:v>8.4735350000000001E-2</c:v>
                </c:pt>
                <c:pt idx="135">
                  <c:v>8.352693500000001E-2</c:v>
                </c:pt>
                <c:pt idx="136">
                  <c:v>8.4246365000000004E-2</c:v>
                </c:pt>
                <c:pt idx="137">
                  <c:v>8.3186374999999993E-2</c:v>
                </c:pt>
                <c:pt idx="138">
                  <c:v>8.3615182999999996E-2</c:v>
                </c:pt>
                <c:pt idx="139">
                  <c:v>8.5740291999999996E-2</c:v>
                </c:pt>
                <c:pt idx="140">
                  <c:v>8.4509165999999997E-2</c:v>
                </c:pt>
                <c:pt idx="141">
                  <c:v>8.1432362999999994E-2</c:v>
                </c:pt>
                <c:pt idx="142">
                  <c:v>8.4510886999999993E-2</c:v>
                </c:pt>
                <c:pt idx="143">
                  <c:v>8.3258370999999998E-2</c:v>
                </c:pt>
                <c:pt idx="144">
                  <c:v>8.4200278000000003E-2</c:v>
                </c:pt>
                <c:pt idx="145">
                  <c:v>8.5773209999999989E-2</c:v>
                </c:pt>
                <c:pt idx="146">
                  <c:v>8.4132602999999986E-2</c:v>
                </c:pt>
                <c:pt idx="147">
                  <c:v>8.2539177000000005E-2</c:v>
                </c:pt>
                <c:pt idx="148">
                  <c:v>8.5662862000000006E-2</c:v>
                </c:pt>
                <c:pt idx="149">
                  <c:v>8.721059199999999E-2</c:v>
                </c:pt>
                <c:pt idx="150">
                  <c:v>8.5749507000000003E-2</c:v>
                </c:pt>
                <c:pt idx="151">
                  <c:v>8.7583055000000007E-2</c:v>
                </c:pt>
                <c:pt idx="152">
                  <c:v>8.469496E-2</c:v>
                </c:pt>
                <c:pt idx="153">
                  <c:v>8.629509199999999E-2</c:v>
                </c:pt>
                <c:pt idx="154">
                  <c:v>8.5664799999999999E-2</c:v>
                </c:pt>
                <c:pt idx="155">
                  <c:v>8.7016674999999988E-2</c:v>
                </c:pt>
                <c:pt idx="156">
                  <c:v>8.5912084999999999E-2</c:v>
                </c:pt>
                <c:pt idx="157">
                  <c:v>8.5674848999999997E-2</c:v>
                </c:pt>
                <c:pt idx="158">
                  <c:v>8.5464097999999988E-2</c:v>
                </c:pt>
                <c:pt idx="159">
                  <c:v>8.3303305000000008E-2</c:v>
                </c:pt>
                <c:pt idx="160">
                  <c:v>8.5881143000000007E-2</c:v>
                </c:pt>
                <c:pt idx="161">
                  <c:v>8.4637696999999998E-2</c:v>
                </c:pt>
                <c:pt idx="162">
                  <c:v>8.0665704000000005E-2</c:v>
                </c:pt>
                <c:pt idx="163">
                  <c:v>8.0321210000000004E-2</c:v>
                </c:pt>
                <c:pt idx="164">
                  <c:v>7.9858084999999995E-2</c:v>
                </c:pt>
                <c:pt idx="165">
                  <c:v>7.9093725000000004E-2</c:v>
                </c:pt>
                <c:pt idx="166">
                  <c:v>7.8647052999999995E-2</c:v>
                </c:pt>
                <c:pt idx="167">
                  <c:v>7.7714549000000008E-2</c:v>
                </c:pt>
                <c:pt idx="168">
                  <c:v>7.8824200999999997E-2</c:v>
                </c:pt>
                <c:pt idx="169">
                  <c:v>7.6028845999999997E-2</c:v>
                </c:pt>
                <c:pt idx="170">
                  <c:v>7.7639060999999995E-2</c:v>
                </c:pt>
                <c:pt idx="171">
                  <c:v>7.8315499999999996E-2</c:v>
                </c:pt>
                <c:pt idx="172">
                  <c:v>7.9735988999999993E-2</c:v>
                </c:pt>
                <c:pt idx="173">
                  <c:v>7.7541367E-2</c:v>
                </c:pt>
                <c:pt idx="174">
                  <c:v>7.6326331999999997E-2</c:v>
                </c:pt>
                <c:pt idx="175">
                  <c:v>7.3127497E-2</c:v>
                </c:pt>
                <c:pt idx="176">
                  <c:v>7.6252057999999998E-2</c:v>
                </c:pt>
                <c:pt idx="177">
                  <c:v>7.1827790000000002E-2</c:v>
                </c:pt>
                <c:pt idx="178">
                  <c:v>7.1177874000000002E-2</c:v>
                </c:pt>
                <c:pt idx="179">
                  <c:v>7.1142311999999999E-2</c:v>
                </c:pt>
                <c:pt idx="180">
                  <c:v>7.0117472E-2</c:v>
                </c:pt>
                <c:pt idx="181">
                  <c:v>6.9785816000000001E-2</c:v>
                </c:pt>
                <c:pt idx="182">
                  <c:v>7.0241020000000001E-2</c:v>
                </c:pt>
                <c:pt idx="183">
                  <c:v>6.6526798999999998E-2</c:v>
                </c:pt>
                <c:pt idx="184">
                  <c:v>6.6743443999999999E-2</c:v>
                </c:pt>
                <c:pt idx="185">
                  <c:v>6.9047839E-2</c:v>
                </c:pt>
                <c:pt idx="186">
                  <c:v>7.0403651999999997E-2</c:v>
                </c:pt>
                <c:pt idx="187">
                  <c:v>6.7754956999999991E-2</c:v>
                </c:pt>
                <c:pt idx="188">
                  <c:v>6.4392240000000003E-2</c:v>
                </c:pt>
                <c:pt idx="189">
                  <c:v>6.6836223E-2</c:v>
                </c:pt>
                <c:pt idx="190">
                  <c:v>6.7660208999999999E-2</c:v>
                </c:pt>
                <c:pt idx="191">
                  <c:v>6.6181622000000009E-2</c:v>
                </c:pt>
                <c:pt idx="192">
                  <c:v>6.5641302999999998E-2</c:v>
                </c:pt>
                <c:pt idx="193">
                  <c:v>6.3754071999999995E-2</c:v>
                </c:pt>
                <c:pt idx="194">
                  <c:v>6.4135305000000004E-2</c:v>
                </c:pt>
                <c:pt idx="195">
                  <c:v>6.1144367999999998E-2</c:v>
                </c:pt>
                <c:pt idx="196">
                  <c:v>5.9532432000000003E-2</c:v>
                </c:pt>
                <c:pt idx="197">
                  <c:v>6.0505073999999999E-2</c:v>
                </c:pt>
                <c:pt idx="198">
                  <c:v>5.9623098999999999E-2</c:v>
                </c:pt>
                <c:pt idx="199">
                  <c:v>6.0090143999999998E-2</c:v>
                </c:pt>
                <c:pt idx="200">
                  <c:v>6.2609515000000004E-2</c:v>
                </c:pt>
                <c:pt idx="201">
                  <c:v>6.2430926999999997E-2</c:v>
                </c:pt>
                <c:pt idx="202">
                  <c:v>6.1372866000000005E-2</c:v>
                </c:pt>
                <c:pt idx="203">
                  <c:v>6.5009285999999999E-2</c:v>
                </c:pt>
                <c:pt idx="204">
                  <c:v>6.4578099E-2</c:v>
                </c:pt>
                <c:pt idx="205">
                  <c:v>6.7813340999999999E-2</c:v>
                </c:pt>
                <c:pt idx="206">
                  <c:v>6.8919743999999991E-2</c:v>
                </c:pt>
                <c:pt idx="207">
                  <c:v>6.9322272000000004E-2</c:v>
                </c:pt>
                <c:pt idx="208">
                  <c:v>6.8788888000000006E-2</c:v>
                </c:pt>
                <c:pt idx="209">
                  <c:v>6.8799890000000002E-2</c:v>
                </c:pt>
                <c:pt idx="210">
                  <c:v>6.8407262999999996E-2</c:v>
                </c:pt>
                <c:pt idx="211">
                  <c:v>7.1925175000000008E-2</c:v>
                </c:pt>
                <c:pt idx="212">
                  <c:v>6.8820626999999995E-2</c:v>
                </c:pt>
                <c:pt idx="213">
                  <c:v>6.8604196999999992E-2</c:v>
                </c:pt>
                <c:pt idx="214">
                  <c:v>6.9139844000000006E-2</c:v>
                </c:pt>
                <c:pt idx="215">
                  <c:v>6.5353939E-2</c:v>
                </c:pt>
                <c:pt idx="216">
                  <c:v>6.4293375999999999E-2</c:v>
                </c:pt>
                <c:pt idx="217">
                  <c:v>6.3444228000000005E-2</c:v>
                </c:pt>
                <c:pt idx="218">
                  <c:v>6.3715583999999992E-2</c:v>
                </c:pt>
                <c:pt idx="219">
                  <c:v>6.4951882000000002E-2</c:v>
                </c:pt>
                <c:pt idx="220">
                  <c:v>6.1787294E-2</c:v>
                </c:pt>
                <c:pt idx="221">
                  <c:v>6.3481853000000005E-2</c:v>
                </c:pt>
                <c:pt idx="222">
                  <c:v>6.3111750000000008E-2</c:v>
                </c:pt>
                <c:pt idx="223">
                  <c:v>6.1273834999999999E-2</c:v>
                </c:pt>
                <c:pt idx="224">
                  <c:v>6.1615690000000001E-2</c:v>
                </c:pt>
                <c:pt idx="225">
                  <c:v>6.1812421000000006E-2</c:v>
                </c:pt>
                <c:pt idx="226">
                  <c:v>6.0810940999999993E-2</c:v>
                </c:pt>
                <c:pt idx="227">
                  <c:v>5.9539358000000001E-2</c:v>
                </c:pt>
                <c:pt idx="228">
                  <c:v>6.1303295000000001E-2</c:v>
                </c:pt>
                <c:pt idx="229">
                  <c:v>6.0284625000000001E-2</c:v>
                </c:pt>
                <c:pt idx="230">
                  <c:v>6.0681554999999998E-2</c:v>
                </c:pt>
                <c:pt idx="231">
                  <c:v>6.0540694000000006E-2</c:v>
                </c:pt>
                <c:pt idx="232">
                  <c:v>6.1268519E-2</c:v>
                </c:pt>
                <c:pt idx="233">
                  <c:v>5.8171010000000002E-2</c:v>
                </c:pt>
                <c:pt idx="234">
                  <c:v>5.7745089999999999E-2</c:v>
                </c:pt>
                <c:pt idx="235">
                  <c:v>5.7826278999999994E-2</c:v>
                </c:pt>
                <c:pt idx="236">
                  <c:v>5.6607222000000006E-2</c:v>
                </c:pt>
                <c:pt idx="237">
                  <c:v>5.6804838000000003E-2</c:v>
                </c:pt>
                <c:pt idx="238">
                  <c:v>5.5303836999999995E-2</c:v>
                </c:pt>
                <c:pt idx="239">
                  <c:v>5.6419889000000001E-2</c:v>
                </c:pt>
                <c:pt idx="240">
                  <c:v>5.4366823999999994E-2</c:v>
                </c:pt>
                <c:pt idx="241">
                  <c:v>5.5061098000000003E-2</c:v>
                </c:pt>
                <c:pt idx="242">
                  <c:v>5.3359952000000002E-2</c:v>
                </c:pt>
                <c:pt idx="243">
                  <c:v>5.4626378999999996E-2</c:v>
                </c:pt>
                <c:pt idx="244">
                  <c:v>5.5494344000000001E-2</c:v>
                </c:pt>
                <c:pt idx="245">
                  <c:v>5.5165902000000003E-2</c:v>
                </c:pt>
                <c:pt idx="246">
                  <c:v>5.3697711999999995E-2</c:v>
                </c:pt>
                <c:pt idx="247">
                  <c:v>5.1219387999999998E-2</c:v>
                </c:pt>
                <c:pt idx="248">
                  <c:v>5.1604533000000001E-2</c:v>
                </c:pt>
                <c:pt idx="249">
                  <c:v>5.0677735000000002E-2</c:v>
                </c:pt>
                <c:pt idx="250">
                  <c:v>5.0724992000000003E-2</c:v>
                </c:pt>
                <c:pt idx="251">
                  <c:v>5.0832128000000004E-2</c:v>
                </c:pt>
                <c:pt idx="252">
                  <c:v>5.1620104E-2</c:v>
                </c:pt>
                <c:pt idx="253">
                  <c:v>5.1209748999999999E-2</c:v>
                </c:pt>
                <c:pt idx="254">
                  <c:v>5.098635E-2</c:v>
                </c:pt>
                <c:pt idx="255">
                  <c:v>4.9493891999999998E-2</c:v>
                </c:pt>
                <c:pt idx="256">
                  <c:v>4.9710386000000002E-2</c:v>
                </c:pt>
                <c:pt idx="257">
                  <c:v>4.9009862999999994E-2</c:v>
                </c:pt>
                <c:pt idx="258">
                  <c:v>5.0014041999999995E-2</c:v>
                </c:pt>
                <c:pt idx="259">
                  <c:v>5.0150185E-2</c:v>
                </c:pt>
                <c:pt idx="260">
                  <c:v>4.9372081999999998E-2</c:v>
                </c:pt>
                <c:pt idx="261">
                  <c:v>5.0690099999999995E-2</c:v>
                </c:pt>
                <c:pt idx="262">
                  <c:v>5.1612805000000005E-2</c:v>
                </c:pt>
                <c:pt idx="263">
                  <c:v>5.1025824999999997E-2</c:v>
                </c:pt>
                <c:pt idx="264">
                  <c:v>4.8663990000000004E-2</c:v>
                </c:pt>
                <c:pt idx="265">
                  <c:v>4.9646302999999996E-2</c:v>
                </c:pt>
                <c:pt idx="266">
                  <c:v>4.7974878999999998E-2</c:v>
                </c:pt>
                <c:pt idx="267">
                  <c:v>4.8074811000000002E-2</c:v>
                </c:pt>
                <c:pt idx="268">
                  <c:v>4.6558712000000002E-2</c:v>
                </c:pt>
                <c:pt idx="269">
                  <c:v>4.7118191999999996E-2</c:v>
                </c:pt>
                <c:pt idx="270">
                  <c:v>4.6652933000000001E-2</c:v>
                </c:pt>
                <c:pt idx="271">
                  <c:v>4.4625532999999995E-2</c:v>
                </c:pt>
                <c:pt idx="272">
                  <c:v>4.5143671000000003E-2</c:v>
                </c:pt>
                <c:pt idx="273">
                  <c:v>4.5672604000000006E-2</c:v>
                </c:pt>
                <c:pt idx="274">
                  <c:v>4.5528754999999997E-2</c:v>
                </c:pt>
                <c:pt idx="275">
                  <c:v>4.6336202999999992E-2</c:v>
                </c:pt>
                <c:pt idx="276">
                  <c:v>4.4590194E-2</c:v>
                </c:pt>
                <c:pt idx="277">
                  <c:v>4.3851859999999999E-2</c:v>
                </c:pt>
                <c:pt idx="278">
                  <c:v>4.2638255999999999E-2</c:v>
                </c:pt>
                <c:pt idx="279">
                  <c:v>4.323565E-2</c:v>
                </c:pt>
                <c:pt idx="280">
                  <c:v>4.2524182000000001E-2</c:v>
                </c:pt>
                <c:pt idx="281">
                  <c:v>4.2987509E-2</c:v>
                </c:pt>
                <c:pt idx="282">
                  <c:v>4.2126726999999996E-2</c:v>
                </c:pt>
                <c:pt idx="283">
                  <c:v>4.3255223000000002E-2</c:v>
                </c:pt>
                <c:pt idx="284">
                  <c:v>4.4261195000000003E-2</c:v>
                </c:pt>
                <c:pt idx="285">
                  <c:v>4.3076275999999997E-2</c:v>
                </c:pt>
                <c:pt idx="286">
                  <c:v>4.221229E-2</c:v>
                </c:pt>
                <c:pt idx="287">
                  <c:v>3.9781519000000001E-2</c:v>
                </c:pt>
                <c:pt idx="288">
                  <c:v>4.0565178E-2</c:v>
                </c:pt>
                <c:pt idx="289">
                  <c:v>4.2647367000000005E-2</c:v>
                </c:pt>
                <c:pt idx="290">
                  <c:v>4.2658193999999997E-2</c:v>
                </c:pt>
                <c:pt idx="291">
                  <c:v>4.2430750000000003E-2</c:v>
                </c:pt>
                <c:pt idx="292">
                  <c:v>4.2494648000000003E-2</c:v>
                </c:pt>
                <c:pt idx="293">
                  <c:v>4.0151716000000004E-2</c:v>
                </c:pt>
                <c:pt idx="294">
                  <c:v>4.2885198000000006E-2</c:v>
                </c:pt>
                <c:pt idx="295">
                  <c:v>4.2893810999999997E-2</c:v>
                </c:pt>
                <c:pt idx="296">
                  <c:v>4.4621861000000006E-2</c:v>
                </c:pt>
                <c:pt idx="297">
                  <c:v>4.5692776000000004E-2</c:v>
                </c:pt>
                <c:pt idx="298">
                  <c:v>4.9070521999999998E-2</c:v>
                </c:pt>
                <c:pt idx="299">
                  <c:v>5.3010222000000003E-2</c:v>
                </c:pt>
                <c:pt idx="300">
                  <c:v>5.7105678E-2</c:v>
                </c:pt>
                <c:pt idx="301">
                  <c:v>5.5121087999999999E-2</c:v>
                </c:pt>
                <c:pt idx="302">
                  <c:v>5.8114708000000001E-2</c:v>
                </c:pt>
                <c:pt idx="303">
                  <c:v>5.8611994000000001E-2</c:v>
                </c:pt>
                <c:pt idx="304">
                  <c:v>5.6713539E-2</c:v>
                </c:pt>
                <c:pt idx="305">
                  <c:v>5.7147101999999998E-2</c:v>
                </c:pt>
                <c:pt idx="306">
                  <c:v>5.6610649999999998E-2</c:v>
                </c:pt>
                <c:pt idx="307">
                  <c:v>5.6227324000000002E-2</c:v>
                </c:pt>
                <c:pt idx="308">
                  <c:v>5.5578063000000004E-2</c:v>
                </c:pt>
                <c:pt idx="309">
                  <c:v>5.4902851999999995E-2</c:v>
                </c:pt>
                <c:pt idx="310">
                  <c:v>5.2649524999999996E-2</c:v>
                </c:pt>
                <c:pt idx="311">
                  <c:v>5.2963310999999999E-2</c:v>
                </c:pt>
                <c:pt idx="312">
                  <c:v>5.421977E-2</c:v>
                </c:pt>
                <c:pt idx="313">
                  <c:v>5.4976817999999997E-2</c:v>
                </c:pt>
                <c:pt idx="314">
                  <c:v>5.2293741999999997E-2</c:v>
                </c:pt>
                <c:pt idx="315">
                  <c:v>5.1440349999999996E-2</c:v>
                </c:pt>
                <c:pt idx="316">
                  <c:v>5.2863581E-2</c:v>
                </c:pt>
                <c:pt idx="317">
                  <c:v>5.0324463E-2</c:v>
                </c:pt>
                <c:pt idx="318">
                  <c:v>5.0535354000000005E-2</c:v>
                </c:pt>
                <c:pt idx="319">
                  <c:v>5.2838843000000003E-2</c:v>
                </c:pt>
                <c:pt idx="320">
                  <c:v>5.1082983000000005E-2</c:v>
                </c:pt>
                <c:pt idx="321">
                  <c:v>4.8760087000000001E-2</c:v>
                </c:pt>
                <c:pt idx="322">
                  <c:v>5.0020274000000003E-2</c:v>
                </c:pt>
                <c:pt idx="323">
                  <c:v>4.9702196000000004E-2</c:v>
                </c:pt>
                <c:pt idx="324">
                  <c:v>4.9258274999999997E-2</c:v>
                </c:pt>
                <c:pt idx="325">
                  <c:v>4.9584296E-2</c:v>
                </c:pt>
                <c:pt idx="326">
                  <c:v>5.0133703000000002E-2</c:v>
                </c:pt>
                <c:pt idx="327">
                  <c:v>4.9168786999999999E-2</c:v>
                </c:pt>
                <c:pt idx="328">
                  <c:v>5.0906236000000001E-2</c:v>
                </c:pt>
                <c:pt idx="329">
                  <c:v>5.2707137000000001E-2</c:v>
                </c:pt>
                <c:pt idx="330">
                  <c:v>5.2208891E-2</c:v>
                </c:pt>
                <c:pt idx="331">
                  <c:v>5.1869056999999996E-2</c:v>
                </c:pt>
                <c:pt idx="332">
                  <c:v>5.2302625999999998E-2</c:v>
                </c:pt>
                <c:pt idx="333">
                  <c:v>5.1956861999999999E-2</c:v>
                </c:pt>
                <c:pt idx="334">
                  <c:v>5.0461860999999997E-2</c:v>
                </c:pt>
                <c:pt idx="335">
                  <c:v>5.1902891E-2</c:v>
                </c:pt>
                <c:pt idx="336">
                  <c:v>5.1824291000000001E-2</c:v>
                </c:pt>
                <c:pt idx="337">
                  <c:v>4.9935856000000001E-2</c:v>
                </c:pt>
                <c:pt idx="338">
                  <c:v>5.2008184999999998E-2</c:v>
                </c:pt>
                <c:pt idx="339">
                  <c:v>5.1627891000000002E-2</c:v>
                </c:pt>
                <c:pt idx="340">
                  <c:v>5.1797396999999995E-2</c:v>
                </c:pt>
                <c:pt idx="341">
                  <c:v>5.1575392999999997E-2</c:v>
                </c:pt>
                <c:pt idx="342">
                  <c:v>5.4874150000000003E-2</c:v>
                </c:pt>
                <c:pt idx="343">
                  <c:v>5.4096656999999999E-2</c:v>
                </c:pt>
                <c:pt idx="344">
                  <c:v>5.2559411E-2</c:v>
                </c:pt>
                <c:pt idx="345">
                  <c:v>5.4309506E-2</c:v>
                </c:pt>
                <c:pt idx="346">
                  <c:v>5.3876253999999998E-2</c:v>
                </c:pt>
                <c:pt idx="347">
                  <c:v>5.3929891000000001E-2</c:v>
                </c:pt>
                <c:pt idx="348">
                  <c:v>5.6394697999999993E-2</c:v>
                </c:pt>
                <c:pt idx="349">
                  <c:v>5.5875750000000002E-2</c:v>
                </c:pt>
                <c:pt idx="350">
                  <c:v>5.6105366999999996E-2</c:v>
                </c:pt>
                <c:pt idx="351">
                  <c:v>5.6959174000000001E-2</c:v>
                </c:pt>
                <c:pt idx="352">
                  <c:v>5.6328512999999997E-2</c:v>
                </c:pt>
                <c:pt idx="353">
                  <c:v>5.8443413E-2</c:v>
                </c:pt>
                <c:pt idx="354">
                  <c:v>5.7049953999999993E-2</c:v>
                </c:pt>
                <c:pt idx="355">
                  <c:v>5.8229927000000001E-2</c:v>
                </c:pt>
                <c:pt idx="356">
                  <c:v>5.7956369000000001E-2</c:v>
                </c:pt>
                <c:pt idx="357">
                  <c:v>5.8986297E-2</c:v>
                </c:pt>
                <c:pt idx="358">
                  <c:v>5.9433468999999996E-2</c:v>
                </c:pt>
                <c:pt idx="359">
                  <c:v>5.8763321E-2</c:v>
                </c:pt>
                <c:pt idx="360">
                  <c:v>5.8739408999999999E-2</c:v>
                </c:pt>
                <c:pt idx="361">
                  <c:v>5.8031436999999998E-2</c:v>
                </c:pt>
                <c:pt idx="362">
                  <c:v>5.9312180000000006E-2</c:v>
                </c:pt>
                <c:pt idx="363">
                  <c:v>6.0501126999999995E-2</c:v>
                </c:pt>
                <c:pt idx="364">
                  <c:v>6.1806198E-2</c:v>
                </c:pt>
                <c:pt idx="365">
                  <c:v>6.1051630000000003E-2</c:v>
                </c:pt>
                <c:pt idx="366">
                  <c:v>6.2366496E-2</c:v>
                </c:pt>
                <c:pt idx="367">
                  <c:v>6.3580746000000007E-2</c:v>
                </c:pt>
                <c:pt idx="368">
                  <c:v>6.2957980999999996E-2</c:v>
                </c:pt>
                <c:pt idx="369">
                  <c:v>6.1019151000000001E-2</c:v>
                </c:pt>
                <c:pt idx="370">
                  <c:v>6.3467098999999999E-2</c:v>
                </c:pt>
                <c:pt idx="371">
                  <c:v>6.1505009999999999E-2</c:v>
                </c:pt>
                <c:pt idx="372">
                  <c:v>6.1019793000000003E-2</c:v>
                </c:pt>
                <c:pt idx="373">
                  <c:v>6.1114162E-2</c:v>
                </c:pt>
                <c:pt idx="374">
                  <c:v>5.9326060999999999E-2</c:v>
                </c:pt>
                <c:pt idx="375">
                  <c:v>6.0104040999999997E-2</c:v>
                </c:pt>
                <c:pt idx="376">
                  <c:v>6.2845054999999997E-2</c:v>
                </c:pt>
                <c:pt idx="377">
                  <c:v>6.0904409999999999E-2</c:v>
                </c:pt>
                <c:pt idx="378">
                  <c:v>6.1737338000000003E-2</c:v>
                </c:pt>
                <c:pt idx="379">
                  <c:v>5.9146352999999999E-2</c:v>
                </c:pt>
                <c:pt idx="380">
                  <c:v>5.8489852000000002E-2</c:v>
                </c:pt>
                <c:pt idx="381">
                  <c:v>5.7350760000000001E-2</c:v>
                </c:pt>
                <c:pt idx="382">
                  <c:v>6.0347090999999999E-2</c:v>
                </c:pt>
                <c:pt idx="383">
                  <c:v>5.6900999000000001E-2</c:v>
                </c:pt>
                <c:pt idx="384">
                  <c:v>5.6516276000000004E-2</c:v>
                </c:pt>
                <c:pt idx="385">
                  <c:v>5.6445272999999997E-2</c:v>
                </c:pt>
                <c:pt idx="386">
                  <c:v>5.7235129000000003E-2</c:v>
                </c:pt>
                <c:pt idx="387">
                  <c:v>5.6992834999999999E-2</c:v>
                </c:pt>
                <c:pt idx="388">
                  <c:v>5.7057263999999996E-2</c:v>
                </c:pt>
                <c:pt idx="389">
                  <c:v>5.6215097999999998E-2</c:v>
                </c:pt>
                <c:pt idx="390">
                  <c:v>5.6670434999999998E-2</c:v>
                </c:pt>
                <c:pt idx="391">
                  <c:v>5.6033030999999997E-2</c:v>
                </c:pt>
                <c:pt idx="392">
                  <c:v>5.7660720000000006E-2</c:v>
                </c:pt>
                <c:pt idx="393">
                  <c:v>5.8269425000000007E-2</c:v>
                </c:pt>
                <c:pt idx="394">
                  <c:v>5.6755015999999998E-2</c:v>
                </c:pt>
                <c:pt idx="395">
                  <c:v>5.8868251999999996E-2</c:v>
                </c:pt>
                <c:pt idx="396">
                  <c:v>5.8433795000000004E-2</c:v>
                </c:pt>
                <c:pt idx="397">
                  <c:v>5.6077106000000002E-2</c:v>
                </c:pt>
                <c:pt idx="398">
                  <c:v>5.5524427999999994E-2</c:v>
                </c:pt>
                <c:pt idx="399">
                  <c:v>5.6289041999999997E-2</c:v>
                </c:pt>
                <c:pt idx="400">
                  <c:v>5.6199887000000004E-2</c:v>
                </c:pt>
                <c:pt idx="401">
                  <c:v>5.5349646000000002E-2</c:v>
                </c:pt>
                <c:pt idx="402">
                  <c:v>5.4634052999999995E-2</c:v>
                </c:pt>
                <c:pt idx="403">
                  <c:v>5.4092615999999996E-2</c:v>
                </c:pt>
                <c:pt idx="404">
                  <c:v>5.4497303999999996E-2</c:v>
                </c:pt>
                <c:pt idx="405">
                  <c:v>5.6010591999999998E-2</c:v>
                </c:pt>
                <c:pt idx="406">
                  <c:v>5.5126582E-2</c:v>
                </c:pt>
                <c:pt idx="407">
                  <c:v>5.5719545999999995E-2</c:v>
                </c:pt>
                <c:pt idx="408">
                  <c:v>5.5255525E-2</c:v>
                </c:pt>
                <c:pt idx="409">
                  <c:v>5.5424784000000005E-2</c:v>
                </c:pt>
                <c:pt idx="410">
                  <c:v>5.4426157000000003E-2</c:v>
                </c:pt>
                <c:pt idx="411">
                  <c:v>5.3482649E-2</c:v>
                </c:pt>
                <c:pt idx="412">
                  <c:v>5.3169351000000004E-2</c:v>
                </c:pt>
                <c:pt idx="413">
                  <c:v>5.2528855999999999E-2</c:v>
                </c:pt>
                <c:pt idx="414">
                  <c:v>5.0188379000000005E-2</c:v>
                </c:pt>
                <c:pt idx="415">
                  <c:v>5.0111543000000001E-2</c:v>
                </c:pt>
                <c:pt idx="416">
                  <c:v>5.1016825000000002E-2</c:v>
                </c:pt>
                <c:pt idx="417">
                  <c:v>5.0015641000000007E-2</c:v>
                </c:pt>
                <c:pt idx="418">
                  <c:v>5.0352398999999999E-2</c:v>
                </c:pt>
                <c:pt idx="419">
                  <c:v>4.9783352000000003E-2</c:v>
                </c:pt>
                <c:pt idx="420">
                  <c:v>5.0786924000000004E-2</c:v>
                </c:pt>
                <c:pt idx="421">
                  <c:v>5.2212080000000001E-2</c:v>
                </c:pt>
                <c:pt idx="422">
                  <c:v>5.2081368000000003E-2</c:v>
                </c:pt>
                <c:pt idx="423">
                  <c:v>5.2685114999999998E-2</c:v>
                </c:pt>
                <c:pt idx="424">
                  <c:v>5.3076844999999997E-2</c:v>
                </c:pt>
                <c:pt idx="425">
                  <c:v>5.2742801999999998E-2</c:v>
                </c:pt>
                <c:pt idx="426">
                  <c:v>5.2239629000000003E-2</c:v>
                </c:pt>
                <c:pt idx="427">
                  <c:v>5.3166128999999999E-2</c:v>
                </c:pt>
                <c:pt idx="428">
                  <c:v>5.1603521999999999E-2</c:v>
                </c:pt>
                <c:pt idx="429">
                  <c:v>5.0202831999999996E-2</c:v>
                </c:pt>
                <c:pt idx="430">
                  <c:v>5.2306708000000007E-2</c:v>
                </c:pt>
                <c:pt idx="431">
                  <c:v>5.0938555000000003E-2</c:v>
                </c:pt>
                <c:pt idx="432">
                  <c:v>5.1769429999999998E-2</c:v>
                </c:pt>
                <c:pt idx="433">
                  <c:v>6.3080828999999991E-2</c:v>
                </c:pt>
                <c:pt idx="434">
                  <c:v>7.0043954000000005E-2</c:v>
                </c:pt>
                <c:pt idx="435">
                  <c:v>7.4406427999999997E-2</c:v>
                </c:pt>
                <c:pt idx="436">
                  <c:v>7.4965029000000002E-2</c:v>
                </c:pt>
                <c:pt idx="437">
                  <c:v>6.8233835999999992E-2</c:v>
                </c:pt>
                <c:pt idx="438">
                  <c:v>6.9226346000000008E-2</c:v>
                </c:pt>
                <c:pt idx="439">
                  <c:v>6.9776197999999998E-2</c:v>
                </c:pt>
                <c:pt idx="440">
                  <c:v>6.7861748E-2</c:v>
                </c:pt>
                <c:pt idx="441">
                  <c:v>6.5271429000000006E-2</c:v>
                </c:pt>
                <c:pt idx="442">
                  <c:v>6.2556003999999998E-2</c:v>
                </c:pt>
                <c:pt idx="443">
                  <c:v>5.8217932E-2</c:v>
                </c:pt>
                <c:pt idx="444">
                  <c:v>5.6342951000000002E-2</c:v>
                </c:pt>
                <c:pt idx="445">
                  <c:v>5.4816117999999997E-2</c:v>
                </c:pt>
                <c:pt idx="446">
                  <c:v>5.1191553000000001E-2</c:v>
                </c:pt>
                <c:pt idx="447">
                  <c:v>5.0396124999999993E-2</c:v>
                </c:pt>
                <c:pt idx="448">
                  <c:v>4.7702656000000003E-2</c:v>
                </c:pt>
                <c:pt idx="449">
                  <c:v>4.5988781999999999E-2</c:v>
                </c:pt>
                <c:pt idx="450">
                  <c:v>4.7058384999999994E-2</c:v>
                </c:pt>
                <c:pt idx="451">
                  <c:v>5.2676646000000001E-2</c:v>
                </c:pt>
                <c:pt idx="452">
                  <c:v>4.6087727999999994E-2</c:v>
                </c:pt>
                <c:pt idx="453">
                  <c:v>4.1765540999999996E-2</c:v>
                </c:pt>
                <c:pt idx="454">
                  <c:v>4.1511753999999998E-2</c:v>
                </c:pt>
                <c:pt idx="455">
                  <c:v>4.0089984999999995E-2</c:v>
                </c:pt>
                <c:pt idx="456">
                  <c:v>3.9460627999999998E-2</c:v>
                </c:pt>
                <c:pt idx="457">
                  <c:v>3.8647254999999998E-2</c:v>
                </c:pt>
                <c:pt idx="458">
                  <c:v>3.9512961999999999E-2</c:v>
                </c:pt>
                <c:pt idx="459">
                  <c:v>3.6255220999999997E-2</c:v>
                </c:pt>
                <c:pt idx="460">
                  <c:v>3.4893087999999996E-2</c:v>
                </c:pt>
                <c:pt idx="461">
                  <c:v>3.5541112999999999E-2</c:v>
                </c:pt>
                <c:pt idx="462">
                  <c:v>3.6024058999999997E-2</c:v>
                </c:pt>
                <c:pt idx="463">
                  <c:v>3.4581004999999998E-2</c:v>
                </c:pt>
                <c:pt idx="464">
                  <c:v>3.4924369999999996E-2</c:v>
                </c:pt>
                <c:pt idx="465">
                  <c:v>3.4908098999999998E-2</c:v>
                </c:pt>
                <c:pt idx="466">
                  <c:v>3.6446367E-2</c:v>
                </c:pt>
                <c:pt idx="467">
                  <c:v>3.5828733000000001E-2</c:v>
                </c:pt>
                <c:pt idx="468">
                  <c:v>3.5503885999999998E-2</c:v>
                </c:pt>
                <c:pt idx="469">
                  <c:v>3.7205769E-2</c:v>
                </c:pt>
                <c:pt idx="470">
                  <c:v>3.5990231000000004E-2</c:v>
                </c:pt>
                <c:pt idx="471">
                  <c:v>3.5440159999999998E-2</c:v>
                </c:pt>
                <c:pt idx="472">
                  <c:v>3.7636090000000004E-2</c:v>
                </c:pt>
                <c:pt idx="473">
                  <c:v>3.7110140999999999E-2</c:v>
                </c:pt>
                <c:pt idx="474">
                  <c:v>3.5698464999999999E-2</c:v>
                </c:pt>
                <c:pt idx="475">
                  <c:v>3.8000340000000001E-2</c:v>
                </c:pt>
                <c:pt idx="476">
                  <c:v>3.9032204000000001E-2</c:v>
                </c:pt>
                <c:pt idx="477">
                  <c:v>3.9438243999999997E-2</c:v>
                </c:pt>
                <c:pt idx="478">
                  <c:v>4.0689901000000001E-2</c:v>
                </c:pt>
                <c:pt idx="479">
                  <c:v>3.7074704E-2</c:v>
                </c:pt>
                <c:pt idx="480">
                  <c:v>3.8426624E-2</c:v>
                </c:pt>
              </c:numCache>
            </c:numRef>
          </c:val>
          <c:smooth val="0"/>
          <c:extLst>
            <c:ext xmlns:c16="http://schemas.microsoft.com/office/drawing/2014/chart" uri="{C3380CC4-5D6E-409C-BE32-E72D297353CC}">
              <c16:uniqueId val="{00000000-7E00-410F-A002-7694E8C66A6F}"/>
            </c:ext>
          </c:extLst>
        </c:ser>
        <c:ser>
          <c:idx val="1"/>
          <c:order val="1"/>
          <c:tx>
            <c:strRef>
              <c:f>'Figure 2'!$C$4</c:f>
              <c:strCache>
                <c:ptCount val="1"/>
                <c:pt idx="0">
                  <c:v>Underemployment rate (%)</c:v>
                </c:pt>
              </c:strCache>
            </c:strRef>
          </c:tx>
          <c:spPr>
            <a:ln w="28575" cap="rnd">
              <a:solidFill>
                <a:schemeClr val="accent2"/>
              </a:solidFill>
              <a:round/>
            </a:ln>
            <a:effectLst/>
          </c:spPr>
          <c:marker>
            <c:symbol val="none"/>
          </c:marker>
          <c:cat>
            <c:numRef>
              <c:f>'Figure 2'!$A$5:$A$485</c:f>
              <c:numCache>
                <c:formatCode>mmm\-yy</c:formatCode>
                <c:ptCount val="481"/>
                <c:pt idx="0">
                  <c:v>30742</c:v>
                </c:pt>
                <c:pt idx="1">
                  <c:v>30773</c:v>
                </c:pt>
                <c:pt idx="2">
                  <c:v>30803</c:v>
                </c:pt>
                <c:pt idx="3">
                  <c:v>30834</c:v>
                </c:pt>
                <c:pt idx="4">
                  <c:v>30864</c:v>
                </c:pt>
                <c:pt idx="5">
                  <c:v>30895</c:v>
                </c:pt>
                <c:pt idx="6">
                  <c:v>30926</c:v>
                </c:pt>
                <c:pt idx="7">
                  <c:v>30956</c:v>
                </c:pt>
                <c:pt idx="8">
                  <c:v>30987</c:v>
                </c:pt>
                <c:pt idx="9">
                  <c:v>31017</c:v>
                </c:pt>
                <c:pt idx="10">
                  <c:v>31048</c:v>
                </c:pt>
                <c:pt idx="11">
                  <c:v>31079</c:v>
                </c:pt>
                <c:pt idx="12">
                  <c:v>31107</c:v>
                </c:pt>
                <c:pt idx="13">
                  <c:v>31138</c:v>
                </c:pt>
                <c:pt idx="14">
                  <c:v>31168</c:v>
                </c:pt>
                <c:pt idx="15">
                  <c:v>31199</c:v>
                </c:pt>
                <c:pt idx="16">
                  <c:v>31229</c:v>
                </c:pt>
                <c:pt idx="17">
                  <c:v>31260</c:v>
                </c:pt>
                <c:pt idx="18">
                  <c:v>31291</c:v>
                </c:pt>
                <c:pt idx="19">
                  <c:v>31321</c:v>
                </c:pt>
                <c:pt idx="20">
                  <c:v>31352</c:v>
                </c:pt>
                <c:pt idx="21">
                  <c:v>31382</c:v>
                </c:pt>
                <c:pt idx="22">
                  <c:v>31413</c:v>
                </c:pt>
                <c:pt idx="23">
                  <c:v>31444</c:v>
                </c:pt>
                <c:pt idx="24">
                  <c:v>31472</c:v>
                </c:pt>
                <c:pt idx="25">
                  <c:v>31503</c:v>
                </c:pt>
                <c:pt idx="26">
                  <c:v>31533</c:v>
                </c:pt>
                <c:pt idx="27">
                  <c:v>31564</c:v>
                </c:pt>
                <c:pt idx="28">
                  <c:v>31594</c:v>
                </c:pt>
                <c:pt idx="29">
                  <c:v>31625</c:v>
                </c:pt>
                <c:pt idx="30">
                  <c:v>31656</c:v>
                </c:pt>
                <c:pt idx="31">
                  <c:v>31686</c:v>
                </c:pt>
                <c:pt idx="32">
                  <c:v>31717</c:v>
                </c:pt>
                <c:pt idx="33">
                  <c:v>31747</c:v>
                </c:pt>
                <c:pt idx="34">
                  <c:v>31778</c:v>
                </c:pt>
                <c:pt idx="35">
                  <c:v>31809</c:v>
                </c:pt>
                <c:pt idx="36">
                  <c:v>31837</c:v>
                </c:pt>
                <c:pt idx="37">
                  <c:v>31868</c:v>
                </c:pt>
                <c:pt idx="38">
                  <c:v>31898</c:v>
                </c:pt>
                <c:pt idx="39">
                  <c:v>31929</c:v>
                </c:pt>
                <c:pt idx="40">
                  <c:v>31959</c:v>
                </c:pt>
                <c:pt idx="41">
                  <c:v>31990</c:v>
                </c:pt>
                <c:pt idx="42">
                  <c:v>32021</c:v>
                </c:pt>
                <c:pt idx="43">
                  <c:v>32051</c:v>
                </c:pt>
                <c:pt idx="44">
                  <c:v>32082</c:v>
                </c:pt>
                <c:pt idx="45">
                  <c:v>32112</c:v>
                </c:pt>
                <c:pt idx="46">
                  <c:v>32143</c:v>
                </c:pt>
                <c:pt idx="47">
                  <c:v>32174</c:v>
                </c:pt>
                <c:pt idx="48">
                  <c:v>32203</c:v>
                </c:pt>
                <c:pt idx="49">
                  <c:v>32234</c:v>
                </c:pt>
                <c:pt idx="50">
                  <c:v>32264</c:v>
                </c:pt>
                <c:pt idx="51">
                  <c:v>32295</c:v>
                </c:pt>
                <c:pt idx="52">
                  <c:v>32325</c:v>
                </c:pt>
                <c:pt idx="53">
                  <c:v>32356</c:v>
                </c:pt>
                <c:pt idx="54">
                  <c:v>32387</c:v>
                </c:pt>
                <c:pt idx="55">
                  <c:v>32417</c:v>
                </c:pt>
                <c:pt idx="56">
                  <c:v>32448</c:v>
                </c:pt>
                <c:pt idx="57">
                  <c:v>32478</c:v>
                </c:pt>
                <c:pt idx="58">
                  <c:v>32509</c:v>
                </c:pt>
                <c:pt idx="59">
                  <c:v>32540</c:v>
                </c:pt>
                <c:pt idx="60">
                  <c:v>32568</c:v>
                </c:pt>
                <c:pt idx="61">
                  <c:v>32599</c:v>
                </c:pt>
                <c:pt idx="62">
                  <c:v>32629</c:v>
                </c:pt>
                <c:pt idx="63">
                  <c:v>32660</c:v>
                </c:pt>
                <c:pt idx="64">
                  <c:v>32690</c:v>
                </c:pt>
                <c:pt idx="65">
                  <c:v>32721</c:v>
                </c:pt>
                <c:pt idx="66">
                  <c:v>32752</c:v>
                </c:pt>
                <c:pt idx="67">
                  <c:v>32782</c:v>
                </c:pt>
                <c:pt idx="68">
                  <c:v>32813</c:v>
                </c:pt>
                <c:pt idx="69">
                  <c:v>32843</c:v>
                </c:pt>
                <c:pt idx="70">
                  <c:v>32874</c:v>
                </c:pt>
                <c:pt idx="71">
                  <c:v>32905</c:v>
                </c:pt>
                <c:pt idx="72">
                  <c:v>32933</c:v>
                </c:pt>
                <c:pt idx="73">
                  <c:v>32964</c:v>
                </c:pt>
                <c:pt idx="74">
                  <c:v>32994</c:v>
                </c:pt>
                <c:pt idx="75">
                  <c:v>33025</c:v>
                </c:pt>
                <c:pt idx="76">
                  <c:v>33055</c:v>
                </c:pt>
                <c:pt idx="77">
                  <c:v>33086</c:v>
                </c:pt>
                <c:pt idx="78">
                  <c:v>33117</c:v>
                </c:pt>
                <c:pt idx="79">
                  <c:v>33147</c:v>
                </c:pt>
                <c:pt idx="80">
                  <c:v>33178</c:v>
                </c:pt>
                <c:pt idx="81">
                  <c:v>33208</c:v>
                </c:pt>
                <c:pt idx="82">
                  <c:v>33239</c:v>
                </c:pt>
                <c:pt idx="83">
                  <c:v>33270</c:v>
                </c:pt>
                <c:pt idx="84">
                  <c:v>33298</c:v>
                </c:pt>
                <c:pt idx="85">
                  <c:v>33329</c:v>
                </c:pt>
                <c:pt idx="86">
                  <c:v>33359</c:v>
                </c:pt>
                <c:pt idx="87">
                  <c:v>33390</c:v>
                </c:pt>
                <c:pt idx="88">
                  <c:v>33420</c:v>
                </c:pt>
                <c:pt idx="89">
                  <c:v>33451</c:v>
                </c:pt>
                <c:pt idx="90">
                  <c:v>33482</c:v>
                </c:pt>
                <c:pt idx="91">
                  <c:v>33512</c:v>
                </c:pt>
                <c:pt idx="92">
                  <c:v>33543</c:v>
                </c:pt>
                <c:pt idx="93">
                  <c:v>33573</c:v>
                </c:pt>
                <c:pt idx="94">
                  <c:v>33604</c:v>
                </c:pt>
                <c:pt idx="95">
                  <c:v>33635</c:v>
                </c:pt>
                <c:pt idx="96">
                  <c:v>33664</c:v>
                </c:pt>
                <c:pt idx="97">
                  <c:v>33695</c:v>
                </c:pt>
                <c:pt idx="98">
                  <c:v>33725</c:v>
                </c:pt>
                <c:pt idx="99">
                  <c:v>33756</c:v>
                </c:pt>
                <c:pt idx="100">
                  <c:v>33786</c:v>
                </c:pt>
                <c:pt idx="101">
                  <c:v>33817</c:v>
                </c:pt>
                <c:pt idx="102">
                  <c:v>33848</c:v>
                </c:pt>
                <c:pt idx="103">
                  <c:v>33878</c:v>
                </c:pt>
                <c:pt idx="104">
                  <c:v>33909</c:v>
                </c:pt>
                <c:pt idx="105">
                  <c:v>33939</c:v>
                </c:pt>
                <c:pt idx="106">
                  <c:v>33970</c:v>
                </c:pt>
                <c:pt idx="107">
                  <c:v>34001</c:v>
                </c:pt>
                <c:pt idx="108">
                  <c:v>34029</c:v>
                </c:pt>
                <c:pt idx="109">
                  <c:v>34060</c:v>
                </c:pt>
                <c:pt idx="110">
                  <c:v>34090</c:v>
                </c:pt>
                <c:pt idx="111">
                  <c:v>34121</c:v>
                </c:pt>
                <c:pt idx="112">
                  <c:v>34151</c:v>
                </c:pt>
                <c:pt idx="113">
                  <c:v>34182</c:v>
                </c:pt>
                <c:pt idx="114">
                  <c:v>34213</c:v>
                </c:pt>
                <c:pt idx="115">
                  <c:v>34243</c:v>
                </c:pt>
                <c:pt idx="116">
                  <c:v>34274</c:v>
                </c:pt>
                <c:pt idx="117">
                  <c:v>34304</c:v>
                </c:pt>
                <c:pt idx="118">
                  <c:v>34335</c:v>
                </c:pt>
                <c:pt idx="119">
                  <c:v>34366</c:v>
                </c:pt>
                <c:pt idx="120">
                  <c:v>34394</c:v>
                </c:pt>
                <c:pt idx="121">
                  <c:v>34425</c:v>
                </c:pt>
                <c:pt idx="122">
                  <c:v>34455</c:v>
                </c:pt>
                <c:pt idx="123">
                  <c:v>34486</c:v>
                </c:pt>
                <c:pt idx="124">
                  <c:v>34516</c:v>
                </c:pt>
                <c:pt idx="125">
                  <c:v>34547</c:v>
                </c:pt>
                <c:pt idx="126">
                  <c:v>34578</c:v>
                </c:pt>
                <c:pt idx="127">
                  <c:v>34608</c:v>
                </c:pt>
                <c:pt idx="128">
                  <c:v>34639</c:v>
                </c:pt>
                <c:pt idx="129">
                  <c:v>34669</c:v>
                </c:pt>
                <c:pt idx="130">
                  <c:v>34700</c:v>
                </c:pt>
                <c:pt idx="131">
                  <c:v>34731</c:v>
                </c:pt>
                <c:pt idx="132">
                  <c:v>34759</c:v>
                </c:pt>
                <c:pt idx="133">
                  <c:v>34790</c:v>
                </c:pt>
                <c:pt idx="134">
                  <c:v>34820</c:v>
                </c:pt>
                <c:pt idx="135">
                  <c:v>34851</c:v>
                </c:pt>
                <c:pt idx="136">
                  <c:v>34881</c:v>
                </c:pt>
                <c:pt idx="137">
                  <c:v>34912</c:v>
                </c:pt>
                <c:pt idx="138">
                  <c:v>34943</c:v>
                </c:pt>
                <c:pt idx="139">
                  <c:v>34973</c:v>
                </c:pt>
                <c:pt idx="140">
                  <c:v>35004</c:v>
                </c:pt>
                <c:pt idx="141">
                  <c:v>35034</c:v>
                </c:pt>
                <c:pt idx="142">
                  <c:v>35065</c:v>
                </c:pt>
                <c:pt idx="143">
                  <c:v>35096</c:v>
                </c:pt>
                <c:pt idx="144">
                  <c:v>35125</c:v>
                </c:pt>
                <c:pt idx="145">
                  <c:v>35156</c:v>
                </c:pt>
                <c:pt idx="146">
                  <c:v>35186</c:v>
                </c:pt>
                <c:pt idx="147">
                  <c:v>35217</c:v>
                </c:pt>
                <c:pt idx="148">
                  <c:v>35247</c:v>
                </c:pt>
                <c:pt idx="149">
                  <c:v>35278</c:v>
                </c:pt>
                <c:pt idx="150">
                  <c:v>35309</c:v>
                </c:pt>
                <c:pt idx="151">
                  <c:v>35339</c:v>
                </c:pt>
                <c:pt idx="152">
                  <c:v>35370</c:v>
                </c:pt>
                <c:pt idx="153">
                  <c:v>35400</c:v>
                </c:pt>
                <c:pt idx="154">
                  <c:v>35431</c:v>
                </c:pt>
                <c:pt idx="155">
                  <c:v>35462</c:v>
                </c:pt>
                <c:pt idx="156">
                  <c:v>35490</c:v>
                </c:pt>
                <c:pt idx="157">
                  <c:v>35521</c:v>
                </c:pt>
                <c:pt idx="158">
                  <c:v>35551</c:v>
                </c:pt>
                <c:pt idx="159">
                  <c:v>35582</c:v>
                </c:pt>
                <c:pt idx="160">
                  <c:v>35612</c:v>
                </c:pt>
                <c:pt idx="161">
                  <c:v>35643</c:v>
                </c:pt>
                <c:pt idx="162">
                  <c:v>35674</c:v>
                </c:pt>
                <c:pt idx="163">
                  <c:v>35704</c:v>
                </c:pt>
                <c:pt idx="164">
                  <c:v>35735</c:v>
                </c:pt>
                <c:pt idx="165">
                  <c:v>35765</c:v>
                </c:pt>
                <c:pt idx="166">
                  <c:v>35796</c:v>
                </c:pt>
                <c:pt idx="167">
                  <c:v>35827</c:v>
                </c:pt>
                <c:pt idx="168">
                  <c:v>35855</c:v>
                </c:pt>
                <c:pt idx="169">
                  <c:v>35886</c:v>
                </c:pt>
                <c:pt idx="170">
                  <c:v>35916</c:v>
                </c:pt>
                <c:pt idx="171">
                  <c:v>35947</c:v>
                </c:pt>
                <c:pt idx="172">
                  <c:v>35977</c:v>
                </c:pt>
                <c:pt idx="173">
                  <c:v>36008</c:v>
                </c:pt>
                <c:pt idx="174">
                  <c:v>36039</c:v>
                </c:pt>
                <c:pt idx="175">
                  <c:v>36069</c:v>
                </c:pt>
                <c:pt idx="176">
                  <c:v>36100</c:v>
                </c:pt>
                <c:pt idx="177">
                  <c:v>36130</c:v>
                </c:pt>
                <c:pt idx="178">
                  <c:v>36161</c:v>
                </c:pt>
                <c:pt idx="179">
                  <c:v>36192</c:v>
                </c:pt>
                <c:pt idx="180">
                  <c:v>36220</c:v>
                </c:pt>
                <c:pt idx="181">
                  <c:v>36251</c:v>
                </c:pt>
                <c:pt idx="182">
                  <c:v>36281</c:v>
                </c:pt>
                <c:pt idx="183">
                  <c:v>36312</c:v>
                </c:pt>
                <c:pt idx="184">
                  <c:v>36342</c:v>
                </c:pt>
                <c:pt idx="185">
                  <c:v>36373</c:v>
                </c:pt>
                <c:pt idx="186">
                  <c:v>36404</c:v>
                </c:pt>
                <c:pt idx="187">
                  <c:v>36434</c:v>
                </c:pt>
                <c:pt idx="188">
                  <c:v>36465</c:v>
                </c:pt>
                <c:pt idx="189">
                  <c:v>36495</c:v>
                </c:pt>
                <c:pt idx="190">
                  <c:v>36526</c:v>
                </c:pt>
                <c:pt idx="191">
                  <c:v>36557</c:v>
                </c:pt>
                <c:pt idx="192">
                  <c:v>36586</c:v>
                </c:pt>
                <c:pt idx="193">
                  <c:v>36617</c:v>
                </c:pt>
                <c:pt idx="194">
                  <c:v>36647</c:v>
                </c:pt>
                <c:pt idx="195">
                  <c:v>36678</c:v>
                </c:pt>
                <c:pt idx="196">
                  <c:v>36708</c:v>
                </c:pt>
                <c:pt idx="197">
                  <c:v>36739</c:v>
                </c:pt>
                <c:pt idx="198">
                  <c:v>36770</c:v>
                </c:pt>
                <c:pt idx="199">
                  <c:v>36800</c:v>
                </c:pt>
                <c:pt idx="200">
                  <c:v>36831</c:v>
                </c:pt>
                <c:pt idx="201">
                  <c:v>36861</c:v>
                </c:pt>
                <c:pt idx="202">
                  <c:v>36892</c:v>
                </c:pt>
                <c:pt idx="203">
                  <c:v>36923</c:v>
                </c:pt>
                <c:pt idx="204">
                  <c:v>36951</c:v>
                </c:pt>
                <c:pt idx="205">
                  <c:v>36982</c:v>
                </c:pt>
                <c:pt idx="206">
                  <c:v>37012</c:v>
                </c:pt>
                <c:pt idx="207">
                  <c:v>37043</c:v>
                </c:pt>
                <c:pt idx="208">
                  <c:v>37073</c:v>
                </c:pt>
                <c:pt idx="209">
                  <c:v>37104</c:v>
                </c:pt>
                <c:pt idx="210">
                  <c:v>37135</c:v>
                </c:pt>
                <c:pt idx="211">
                  <c:v>37165</c:v>
                </c:pt>
                <c:pt idx="212">
                  <c:v>37196</c:v>
                </c:pt>
                <c:pt idx="213">
                  <c:v>37226</c:v>
                </c:pt>
                <c:pt idx="214">
                  <c:v>37257</c:v>
                </c:pt>
                <c:pt idx="215">
                  <c:v>37288</c:v>
                </c:pt>
                <c:pt idx="216">
                  <c:v>37316</c:v>
                </c:pt>
                <c:pt idx="217">
                  <c:v>37347</c:v>
                </c:pt>
                <c:pt idx="218">
                  <c:v>37377</c:v>
                </c:pt>
                <c:pt idx="219">
                  <c:v>37408</c:v>
                </c:pt>
                <c:pt idx="220">
                  <c:v>37438</c:v>
                </c:pt>
                <c:pt idx="221">
                  <c:v>37469</c:v>
                </c:pt>
                <c:pt idx="222">
                  <c:v>37500</c:v>
                </c:pt>
                <c:pt idx="223">
                  <c:v>37530</c:v>
                </c:pt>
                <c:pt idx="224">
                  <c:v>37561</c:v>
                </c:pt>
                <c:pt idx="225">
                  <c:v>37591</c:v>
                </c:pt>
                <c:pt idx="226">
                  <c:v>37622</c:v>
                </c:pt>
                <c:pt idx="227">
                  <c:v>37653</c:v>
                </c:pt>
                <c:pt idx="228">
                  <c:v>37681</c:v>
                </c:pt>
                <c:pt idx="229">
                  <c:v>37712</c:v>
                </c:pt>
                <c:pt idx="230">
                  <c:v>37742</c:v>
                </c:pt>
                <c:pt idx="231">
                  <c:v>37773</c:v>
                </c:pt>
                <c:pt idx="232">
                  <c:v>37803</c:v>
                </c:pt>
                <c:pt idx="233">
                  <c:v>37834</c:v>
                </c:pt>
                <c:pt idx="234">
                  <c:v>37865</c:v>
                </c:pt>
                <c:pt idx="235">
                  <c:v>37895</c:v>
                </c:pt>
                <c:pt idx="236">
                  <c:v>37926</c:v>
                </c:pt>
                <c:pt idx="237">
                  <c:v>37956</c:v>
                </c:pt>
                <c:pt idx="238">
                  <c:v>37987</c:v>
                </c:pt>
                <c:pt idx="239">
                  <c:v>38018</c:v>
                </c:pt>
                <c:pt idx="240">
                  <c:v>38047</c:v>
                </c:pt>
                <c:pt idx="241">
                  <c:v>38078</c:v>
                </c:pt>
                <c:pt idx="242">
                  <c:v>38108</c:v>
                </c:pt>
                <c:pt idx="243">
                  <c:v>38139</c:v>
                </c:pt>
                <c:pt idx="244">
                  <c:v>38169</c:v>
                </c:pt>
                <c:pt idx="245">
                  <c:v>38200</c:v>
                </c:pt>
                <c:pt idx="246">
                  <c:v>38231</c:v>
                </c:pt>
                <c:pt idx="247">
                  <c:v>38261</c:v>
                </c:pt>
                <c:pt idx="248">
                  <c:v>38292</c:v>
                </c:pt>
                <c:pt idx="249">
                  <c:v>38322</c:v>
                </c:pt>
                <c:pt idx="250">
                  <c:v>38353</c:v>
                </c:pt>
                <c:pt idx="251">
                  <c:v>38384</c:v>
                </c:pt>
                <c:pt idx="252">
                  <c:v>38412</c:v>
                </c:pt>
                <c:pt idx="253">
                  <c:v>38443</c:v>
                </c:pt>
                <c:pt idx="254">
                  <c:v>38473</c:v>
                </c:pt>
                <c:pt idx="255">
                  <c:v>38504</c:v>
                </c:pt>
                <c:pt idx="256">
                  <c:v>38534</c:v>
                </c:pt>
                <c:pt idx="257">
                  <c:v>38565</c:v>
                </c:pt>
                <c:pt idx="258">
                  <c:v>38596</c:v>
                </c:pt>
                <c:pt idx="259">
                  <c:v>38626</c:v>
                </c:pt>
                <c:pt idx="260">
                  <c:v>38657</c:v>
                </c:pt>
                <c:pt idx="261">
                  <c:v>38687</c:v>
                </c:pt>
                <c:pt idx="262">
                  <c:v>38718</c:v>
                </c:pt>
                <c:pt idx="263">
                  <c:v>38749</c:v>
                </c:pt>
                <c:pt idx="264">
                  <c:v>38777</c:v>
                </c:pt>
                <c:pt idx="265">
                  <c:v>38808</c:v>
                </c:pt>
                <c:pt idx="266">
                  <c:v>38838</c:v>
                </c:pt>
                <c:pt idx="267">
                  <c:v>38869</c:v>
                </c:pt>
                <c:pt idx="268">
                  <c:v>38899</c:v>
                </c:pt>
                <c:pt idx="269">
                  <c:v>38930</c:v>
                </c:pt>
                <c:pt idx="270">
                  <c:v>38961</c:v>
                </c:pt>
                <c:pt idx="271">
                  <c:v>38991</c:v>
                </c:pt>
                <c:pt idx="272">
                  <c:v>39022</c:v>
                </c:pt>
                <c:pt idx="273">
                  <c:v>39052</c:v>
                </c:pt>
                <c:pt idx="274">
                  <c:v>39083</c:v>
                </c:pt>
                <c:pt idx="275">
                  <c:v>39114</c:v>
                </c:pt>
                <c:pt idx="276">
                  <c:v>39142</c:v>
                </c:pt>
                <c:pt idx="277">
                  <c:v>39173</c:v>
                </c:pt>
                <c:pt idx="278">
                  <c:v>39203</c:v>
                </c:pt>
                <c:pt idx="279">
                  <c:v>39234</c:v>
                </c:pt>
                <c:pt idx="280">
                  <c:v>39264</c:v>
                </c:pt>
                <c:pt idx="281">
                  <c:v>39295</c:v>
                </c:pt>
                <c:pt idx="282">
                  <c:v>39326</c:v>
                </c:pt>
                <c:pt idx="283">
                  <c:v>39356</c:v>
                </c:pt>
                <c:pt idx="284">
                  <c:v>39387</c:v>
                </c:pt>
                <c:pt idx="285">
                  <c:v>39417</c:v>
                </c:pt>
                <c:pt idx="286">
                  <c:v>39448</c:v>
                </c:pt>
                <c:pt idx="287">
                  <c:v>39479</c:v>
                </c:pt>
                <c:pt idx="288">
                  <c:v>39508</c:v>
                </c:pt>
                <c:pt idx="289">
                  <c:v>39539</c:v>
                </c:pt>
                <c:pt idx="290">
                  <c:v>39569</c:v>
                </c:pt>
                <c:pt idx="291">
                  <c:v>39600</c:v>
                </c:pt>
                <c:pt idx="292">
                  <c:v>39630</c:v>
                </c:pt>
                <c:pt idx="293">
                  <c:v>39661</c:v>
                </c:pt>
                <c:pt idx="294">
                  <c:v>39692</c:v>
                </c:pt>
                <c:pt idx="295">
                  <c:v>39722</c:v>
                </c:pt>
                <c:pt idx="296">
                  <c:v>39753</c:v>
                </c:pt>
                <c:pt idx="297">
                  <c:v>39783</c:v>
                </c:pt>
                <c:pt idx="298">
                  <c:v>39814</c:v>
                </c:pt>
                <c:pt idx="299">
                  <c:v>39845</c:v>
                </c:pt>
                <c:pt idx="300">
                  <c:v>39873</c:v>
                </c:pt>
                <c:pt idx="301">
                  <c:v>39904</c:v>
                </c:pt>
                <c:pt idx="302">
                  <c:v>39934</c:v>
                </c:pt>
                <c:pt idx="303">
                  <c:v>39965</c:v>
                </c:pt>
                <c:pt idx="304">
                  <c:v>39995</c:v>
                </c:pt>
                <c:pt idx="305">
                  <c:v>40026</c:v>
                </c:pt>
                <c:pt idx="306">
                  <c:v>40057</c:v>
                </c:pt>
                <c:pt idx="307">
                  <c:v>40087</c:v>
                </c:pt>
                <c:pt idx="308">
                  <c:v>40118</c:v>
                </c:pt>
                <c:pt idx="309">
                  <c:v>40148</c:v>
                </c:pt>
                <c:pt idx="310">
                  <c:v>40179</c:v>
                </c:pt>
                <c:pt idx="311">
                  <c:v>40210</c:v>
                </c:pt>
                <c:pt idx="312">
                  <c:v>40238</c:v>
                </c:pt>
                <c:pt idx="313">
                  <c:v>40269</c:v>
                </c:pt>
                <c:pt idx="314">
                  <c:v>40299</c:v>
                </c:pt>
                <c:pt idx="315">
                  <c:v>40330</c:v>
                </c:pt>
                <c:pt idx="316">
                  <c:v>40360</c:v>
                </c:pt>
                <c:pt idx="317">
                  <c:v>40391</c:v>
                </c:pt>
                <c:pt idx="318">
                  <c:v>40422</c:v>
                </c:pt>
                <c:pt idx="319">
                  <c:v>40452</c:v>
                </c:pt>
                <c:pt idx="320">
                  <c:v>40483</c:v>
                </c:pt>
                <c:pt idx="321">
                  <c:v>40513</c:v>
                </c:pt>
                <c:pt idx="322">
                  <c:v>40544</c:v>
                </c:pt>
                <c:pt idx="323">
                  <c:v>40575</c:v>
                </c:pt>
                <c:pt idx="324">
                  <c:v>40603</c:v>
                </c:pt>
                <c:pt idx="325">
                  <c:v>40634</c:v>
                </c:pt>
                <c:pt idx="326">
                  <c:v>40664</c:v>
                </c:pt>
                <c:pt idx="327">
                  <c:v>40695</c:v>
                </c:pt>
                <c:pt idx="328">
                  <c:v>40725</c:v>
                </c:pt>
                <c:pt idx="329">
                  <c:v>40756</c:v>
                </c:pt>
                <c:pt idx="330">
                  <c:v>40787</c:v>
                </c:pt>
                <c:pt idx="331">
                  <c:v>40817</c:v>
                </c:pt>
                <c:pt idx="332">
                  <c:v>40848</c:v>
                </c:pt>
                <c:pt idx="333">
                  <c:v>40878</c:v>
                </c:pt>
                <c:pt idx="334">
                  <c:v>40909</c:v>
                </c:pt>
                <c:pt idx="335">
                  <c:v>40940</c:v>
                </c:pt>
                <c:pt idx="336">
                  <c:v>40969</c:v>
                </c:pt>
                <c:pt idx="337">
                  <c:v>41000</c:v>
                </c:pt>
                <c:pt idx="338">
                  <c:v>41030</c:v>
                </c:pt>
                <c:pt idx="339">
                  <c:v>41061</c:v>
                </c:pt>
                <c:pt idx="340">
                  <c:v>41091</c:v>
                </c:pt>
                <c:pt idx="341">
                  <c:v>41122</c:v>
                </c:pt>
                <c:pt idx="342">
                  <c:v>41153</c:v>
                </c:pt>
                <c:pt idx="343">
                  <c:v>41183</c:v>
                </c:pt>
                <c:pt idx="344">
                  <c:v>41214</c:v>
                </c:pt>
                <c:pt idx="345">
                  <c:v>41244</c:v>
                </c:pt>
                <c:pt idx="346">
                  <c:v>41275</c:v>
                </c:pt>
                <c:pt idx="347">
                  <c:v>41306</c:v>
                </c:pt>
                <c:pt idx="348">
                  <c:v>41334</c:v>
                </c:pt>
                <c:pt idx="349">
                  <c:v>41365</c:v>
                </c:pt>
                <c:pt idx="350">
                  <c:v>41395</c:v>
                </c:pt>
                <c:pt idx="351">
                  <c:v>41426</c:v>
                </c:pt>
                <c:pt idx="352">
                  <c:v>41456</c:v>
                </c:pt>
                <c:pt idx="353">
                  <c:v>41487</c:v>
                </c:pt>
                <c:pt idx="354">
                  <c:v>41518</c:v>
                </c:pt>
                <c:pt idx="355">
                  <c:v>41548</c:v>
                </c:pt>
                <c:pt idx="356">
                  <c:v>41579</c:v>
                </c:pt>
                <c:pt idx="357">
                  <c:v>41609</c:v>
                </c:pt>
                <c:pt idx="358">
                  <c:v>41640</c:v>
                </c:pt>
                <c:pt idx="359">
                  <c:v>41671</c:v>
                </c:pt>
                <c:pt idx="360">
                  <c:v>41699</c:v>
                </c:pt>
                <c:pt idx="361">
                  <c:v>41730</c:v>
                </c:pt>
                <c:pt idx="362">
                  <c:v>41760</c:v>
                </c:pt>
                <c:pt idx="363">
                  <c:v>41791</c:v>
                </c:pt>
                <c:pt idx="364">
                  <c:v>41821</c:v>
                </c:pt>
                <c:pt idx="365">
                  <c:v>41852</c:v>
                </c:pt>
                <c:pt idx="366">
                  <c:v>41883</c:v>
                </c:pt>
                <c:pt idx="367">
                  <c:v>41913</c:v>
                </c:pt>
                <c:pt idx="368">
                  <c:v>41944</c:v>
                </c:pt>
                <c:pt idx="369">
                  <c:v>41974</c:v>
                </c:pt>
                <c:pt idx="370">
                  <c:v>42005</c:v>
                </c:pt>
                <c:pt idx="371">
                  <c:v>42036</c:v>
                </c:pt>
                <c:pt idx="372">
                  <c:v>42064</c:v>
                </c:pt>
                <c:pt idx="373">
                  <c:v>42095</c:v>
                </c:pt>
                <c:pt idx="374">
                  <c:v>42125</c:v>
                </c:pt>
                <c:pt idx="375">
                  <c:v>42156</c:v>
                </c:pt>
                <c:pt idx="376">
                  <c:v>42186</c:v>
                </c:pt>
                <c:pt idx="377">
                  <c:v>42217</c:v>
                </c:pt>
                <c:pt idx="378">
                  <c:v>42248</c:v>
                </c:pt>
                <c:pt idx="379">
                  <c:v>42278</c:v>
                </c:pt>
                <c:pt idx="380">
                  <c:v>42309</c:v>
                </c:pt>
                <c:pt idx="381">
                  <c:v>42339</c:v>
                </c:pt>
                <c:pt idx="382">
                  <c:v>42370</c:v>
                </c:pt>
                <c:pt idx="383">
                  <c:v>42401</c:v>
                </c:pt>
                <c:pt idx="384">
                  <c:v>42430</c:v>
                </c:pt>
                <c:pt idx="385">
                  <c:v>42461</c:v>
                </c:pt>
                <c:pt idx="386">
                  <c:v>42491</c:v>
                </c:pt>
                <c:pt idx="387">
                  <c:v>42522</c:v>
                </c:pt>
                <c:pt idx="388">
                  <c:v>42552</c:v>
                </c:pt>
                <c:pt idx="389">
                  <c:v>42583</c:v>
                </c:pt>
                <c:pt idx="390">
                  <c:v>42614</c:v>
                </c:pt>
                <c:pt idx="391">
                  <c:v>42644</c:v>
                </c:pt>
                <c:pt idx="392">
                  <c:v>42675</c:v>
                </c:pt>
                <c:pt idx="393">
                  <c:v>42705</c:v>
                </c:pt>
                <c:pt idx="394">
                  <c:v>42736</c:v>
                </c:pt>
                <c:pt idx="395">
                  <c:v>42767</c:v>
                </c:pt>
                <c:pt idx="396">
                  <c:v>42795</c:v>
                </c:pt>
                <c:pt idx="397">
                  <c:v>42826</c:v>
                </c:pt>
                <c:pt idx="398">
                  <c:v>42856</c:v>
                </c:pt>
                <c:pt idx="399">
                  <c:v>42887</c:v>
                </c:pt>
                <c:pt idx="400">
                  <c:v>42917</c:v>
                </c:pt>
                <c:pt idx="401">
                  <c:v>42948</c:v>
                </c:pt>
                <c:pt idx="402">
                  <c:v>42979</c:v>
                </c:pt>
                <c:pt idx="403">
                  <c:v>43009</c:v>
                </c:pt>
                <c:pt idx="404">
                  <c:v>43040</c:v>
                </c:pt>
                <c:pt idx="405">
                  <c:v>43070</c:v>
                </c:pt>
                <c:pt idx="406">
                  <c:v>43101</c:v>
                </c:pt>
                <c:pt idx="407">
                  <c:v>43132</c:v>
                </c:pt>
                <c:pt idx="408">
                  <c:v>43160</c:v>
                </c:pt>
                <c:pt idx="409">
                  <c:v>43191</c:v>
                </c:pt>
                <c:pt idx="410">
                  <c:v>43221</c:v>
                </c:pt>
                <c:pt idx="411">
                  <c:v>43252</c:v>
                </c:pt>
                <c:pt idx="412">
                  <c:v>43282</c:v>
                </c:pt>
                <c:pt idx="413">
                  <c:v>43313</c:v>
                </c:pt>
                <c:pt idx="414">
                  <c:v>43344</c:v>
                </c:pt>
                <c:pt idx="415">
                  <c:v>43374</c:v>
                </c:pt>
                <c:pt idx="416">
                  <c:v>43405</c:v>
                </c:pt>
                <c:pt idx="417">
                  <c:v>43435</c:v>
                </c:pt>
                <c:pt idx="418">
                  <c:v>43466</c:v>
                </c:pt>
                <c:pt idx="419">
                  <c:v>43497</c:v>
                </c:pt>
                <c:pt idx="420">
                  <c:v>43525</c:v>
                </c:pt>
                <c:pt idx="421">
                  <c:v>43556</c:v>
                </c:pt>
                <c:pt idx="422">
                  <c:v>43586</c:v>
                </c:pt>
                <c:pt idx="423">
                  <c:v>43617</c:v>
                </c:pt>
                <c:pt idx="424">
                  <c:v>43647</c:v>
                </c:pt>
                <c:pt idx="425">
                  <c:v>43678</c:v>
                </c:pt>
                <c:pt idx="426">
                  <c:v>43709</c:v>
                </c:pt>
                <c:pt idx="427">
                  <c:v>43739</c:v>
                </c:pt>
                <c:pt idx="428">
                  <c:v>43770</c:v>
                </c:pt>
                <c:pt idx="429">
                  <c:v>43800</c:v>
                </c:pt>
                <c:pt idx="430">
                  <c:v>43831</c:v>
                </c:pt>
                <c:pt idx="431">
                  <c:v>43862</c:v>
                </c:pt>
                <c:pt idx="432">
                  <c:v>43891</c:v>
                </c:pt>
                <c:pt idx="433">
                  <c:v>43922</c:v>
                </c:pt>
                <c:pt idx="434">
                  <c:v>43952</c:v>
                </c:pt>
                <c:pt idx="435">
                  <c:v>43983</c:v>
                </c:pt>
                <c:pt idx="436">
                  <c:v>44013</c:v>
                </c:pt>
                <c:pt idx="437">
                  <c:v>44044</c:v>
                </c:pt>
                <c:pt idx="438">
                  <c:v>44075</c:v>
                </c:pt>
                <c:pt idx="439">
                  <c:v>44105</c:v>
                </c:pt>
                <c:pt idx="440">
                  <c:v>44136</c:v>
                </c:pt>
                <c:pt idx="441">
                  <c:v>44166</c:v>
                </c:pt>
                <c:pt idx="442">
                  <c:v>44197</c:v>
                </c:pt>
                <c:pt idx="443">
                  <c:v>44228</c:v>
                </c:pt>
                <c:pt idx="444">
                  <c:v>44256</c:v>
                </c:pt>
                <c:pt idx="445">
                  <c:v>44287</c:v>
                </c:pt>
                <c:pt idx="446">
                  <c:v>44317</c:v>
                </c:pt>
                <c:pt idx="447">
                  <c:v>44348</c:v>
                </c:pt>
                <c:pt idx="448">
                  <c:v>44378</c:v>
                </c:pt>
                <c:pt idx="449">
                  <c:v>44409</c:v>
                </c:pt>
                <c:pt idx="450">
                  <c:v>44440</c:v>
                </c:pt>
                <c:pt idx="451">
                  <c:v>44470</c:v>
                </c:pt>
                <c:pt idx="452">
                  <c:v>44501</c:v>
                </c:pt>
                <c:pt idx="453">
                  <c:v>44531</c:v>
                </c:pt>
                <c:pt idx="454">
                  <c:v>44562</c:v>
                </c:pt>
                <c:pt idx="455">
                  <c:v>44593</c:v>
                </c:pt>
                <c:pt idx="456">
                  <c:v>44621</c:v>
                </c:pt>
                <c:pt idx="457">
                  <c:v>44652</c:v>
                </c:pt>
                <c:pt idx="458">
                  <c:v>44682</c:v>
                </c:pt>
                <c:pt idx="459">
                  <c:v>44713</c:v>
                </c:pt>
                <c:pt idx="460">
                  <c:v>44743</c:v>
                </c:pt>
                <c:pt idx="461">
                  <c:v>44774</c:v>
                </c:pt>
                <c:pt idx="462">
                  <c:v>44805</c:v>
                </c:pt>
                <c:pt idx="463">
                  <c:v>44835</c:v>
                </c:pt>
                <c:pt idx="464">
                  <c:v>44866</c:v>
                </c:pt>
                <c:pt idx="465">
                  <c:v>44896</c:v>
                </c:pt>
                <c:pt idx="466">
                  <c:v>44927</c:v>
                </c:pt>
                <c:pt idx="467">
                  <c:v>44958</c:v>
                </c:pt>
                <c:pt idx="468">
                  <c:v>44986</c:v>
                </c:pt>
                <c:pt idx="469">
                  <c:v>45017</c:v>
                </c:pt>
                <c:pt idx="470">
                  <c:v>45047</c:v>
                </c:pt>
                <c:pt idx="471">
                  <c:v>45078</c:v>
                </c:pt>
                <c:pt idx="472">
                  <c:v>45108</c:v>
                </c:pt>
                <c:pt idx="473">
                  <c:v>45139</c:v>
                </c:pt>
                <c:pt idx="474">
                  <c:v>45170</c:v>
                </c:pt>
                <c:pt idx="475">
                  <c:v>45200</c:v>
                </c:pt>
                <c:pt idx="476">
                  <c:v>45231</c:v>
                </c:pt>
                <c:pt idx="477">
                  <c:v>45261</c:v>
                </c:pt>
                <c:pt idx="478">
                  <c:v>45292</c:v>
                </c:pt>
                <c:pt idx="479">
                  <c:v>45323</c:v>
                </c:pt>
                <c:pt idx="480">
                  <c:v>45352</c:v>
                </c:pt>
              </c:numCache>
            </c:numRef>
          </c:cat>
          <c:val>
            <c:numRef>
              <c:f>'Figure 2'!$C$5:$C$485</c:f>
              <c:numCache>
                <c:formatCode>0.0%</c:formatCode>
                <c:ptCount val="481"/>
                <c:pt idx="0">
                  <c:v>3.5752269000000003E-2</c:v>
                </c:pt>
                <c:pt idx="1">
                  <c:v>3.6729668E-2</c:v>
                </c:pt>
                <c:pt idx="2">
                  <c:v>3.5913740999999999E-2</c:v>
                </c:pt>
                <c:pt idx="3">
                  <c:v>3.5065164000000003E-2</c:v>
                </c:pt>
                <c:pt idx="4">
                  <c:v>3.5767169000000001E-2</c:v>
                </c:pt>
                <c:pt idx="5">
                  <c:v>3.4516976999999997E-2</c:v>
                </c:pt>
                <c:pt idx="6">
                  <c:v>3.5357113000000003E-2</c:v>
                </c:pt>
                <c:pt idx="7">
                  <c:v>3.5579767000000005E-2</c:v>
                </c:pt>
                <c:pt idx="8">
                  <c:v>3.4606544000000003E-2</c:v>
                </c:pt>
                <c:pt idx="9">
                  <c:v>3.2380763E-2</c:v>
                </c:pt>
                <c:pt idx="10">
                  <c:v>3.4550478999999995E-2</c:v>
                </c:pt>
                <c:pt idx="11">
                  <c:v>3.5404615E-2</c:v>
                </c:pt>
                <c:pt idx="12">
                  <c:v>3.2899254999999995E-2</c:v>
                </c:pt>
                <c:pt idx="13">
                  <c:v>3.3039591E-2</c:v>
                </c:pt>
                <c:pt idx="14">
                  <c:v>3.1394388000000002E-2</c:v>
                </c:pt>
                <c:pt idx="15">
                  <c:v>3.1282218000000001E-2</c:v>
                </c:pt>
                <c:pt idx="16">
                  <c:v>3.2343062999999998E-2</c:v>
                </c:pt>
                <c:pt idx="17">
                  <c:v>3.2709177999999998E-2</c:v>
                </c:pt>
                <c:pt idx="18">
                  <c:v>3.1773970999999998E-2</c:v>
                </c:pt>
                <c:pt idx="19">
                  <c:v>3.3112946999999997E-2</c:v>
                </c:pt>
                <c:pt idx="20">
                  <c:v>3.2646058999999998E-2</c:v>
                </c:pt>
                <c:pt idx="21">
                  <c:v>3.1140294999999998E-2</c:v>
                </c:pt>
                <c:pt idx="22">
                  <c:v>3.2530857000000003E-2</c:v>
                </c:pt>
                <c:pt idx="23">
                  <c:v>3.4155523E-2</c:v>
                </c:pt>
                <c:pt idx="24">
                  <c:v>3.4312863999999998E-2</c:v>
                </c:pt>
                <c:pt idx="25">
                  <c:v>3.7014540999999998E-2</c:v>
                </c:pt>
                <c:pt idx="26">
                  <c:v>3.5595437000000001E-2</c:v>
                </c:pt>
                <c:pt idx="27">
                  <c:v>3.7388271000000001E-2</c:v>
                </c:pt>
                <c:pt idx="28">
                  <c:v>3.6786493999999996E-2</c:v>
                </c:pt>
                <c:pt idx="29">
                  <c:v>3.6548186999999996E-2</c:v>
                </c:pt>
                <c:pt idx="30">
                  <c:v>3.7026682999999998E-2</c:v>
                </c:pt>
                <c:pt idx="31">
                  <c:v>3.5606552999999999E-2</c:v>
                </c:pt>
                <c:pt idx="32">
                  <c:v>3.8233462999999995E-2</c:v>
                </c:pt>
                <c:pt idx="33">
                  <c:v>3.8919682999999997E-2</c:v>
                </c:pt>
                <c:pt idx="34">
                  <c:v>3.7906952000000001E-2</c:v>
                </c:pt>
                <c:pt idx="35">
                  <c:v>3.8317812999999999E-2</c:v>
                </c:pt>
                <c:pt idx="36">
                  <c:v>3.8488413999999999E-2</c:v>
                </c:pt>
                <c:pt idx="37">
                  <c:v>3.8747606999999996E-2</c:v>
                </c:pt>
                <c:pt idx="38">
                  <c:v>3.9816910999999997E-2</c:v>
                </c:pt>
                <c:pt idx="39">
                  <c:v>4.0782789999999999E-2</c:v>
                </c:pt>
                <c:pt idx="40">
                  <c:v>4.0135284999999993E-2</c:v>
                </c:pt>
                <c:pt idx="41">
                  <c:v>4.1665992000000006E-2</c:v>
                </c:pt>
                <c:pt idx="42">
                  <c:v>3.9906609000000003E-2</c:v>
                </c:pt>
                <c:pt idx="43">
                  <c:v>3.9564711000000002E-2</c:v>
                </c:pt>
                <c:pt idx="44">
                  <c:v>4.0289399000000004E-2</c:v>
                </c:pt>
                <c:pt idx="45">
                  <c:v>3.9901753999999998E-2</c:v>
                </c:pt>
                <c:pt idx="46">
                  <c:v>4.0671206000000001E-2</c:v>
                </c:pt>
                <c:pt idx="47">
                  <c:v>4.0308643999999998E-2</c:v>
                </c:pt>
                <c:pt idx="48">
                  <c:v>3.7953106E-2</c:v>
                </c:pt>
                <c:pt idx="49">
                  <c:v>3.8236786000000002E-2</c:v>
                </c:pt>
                <c:pt idx="50">
                  <c:v>3.2987000000000002E-2</c:v>
                </c:pt>
                <c:pt idx="51">
                  <c:v>3.9467494999999998E-2</c:v>
                </c:pt>
                <c:pt idx="52">
                  <c:v>3.6763762999999998E-2</c:v>
                </c:pt>
                <c:pt idx="53">
                  <c:v>3.6016599000000003E-2</c:v>
                </c:pt>
                <c:pt idx="54">
                  <c:v>3.6604895999999998E-2</c:v>
                </c:pt>
                <c:pt idx="55">
                  <c:v>3.7154182000000001E-2</c:v>
                </c:pt>
                <c:pt idx="56">
                  <c:v>3.6609881999999996E-2</c:v>
                </c:pt>
                <c:pt idx="57">
                  <c:v>4.0033627999999995E-2</c:v>
                </c:pt>
                <c:pt idx="58">
                  <c:v>3.8155360999999999E-2</c:v>
                </c:pt>
                <c:pt idx="59">
                  <c:v>3.9292995999999997E-2</c:v>
                </c:pt>
                <c:pt idx="60">
                  <c:v>3.7134992999999998E-2</c:v>
                </c:pt>
                <c:pt idx="61">
                  <c:v>3.7521865000000001E-2</c:v>
                </c:pt>
                <c:pt idx="62">
                  <c:v>3.8088575E-2</c:v>
                </c:pt>
                <c:pt idx="63">
                  <c:v>3.6695801E-2</c:v>
                </c:pt>
                <c:pt idx="64">
                  <c:v>3.8581846999999996E-2</c:v>
                </c:pt>
                <c:pt idx="65">
                  <c:v>3.9563115999999995E-2</c:v>
                </c:pt>
                <c:pt idx="66">
                  <c:v>4.2058907999999999E-2</c:v>
                </c:pt>
                <c:pt idx="67">
                  <c:v>3.8766332000000001E-2</c:v>
                </c:pt>
                <c:pt idx="68">
                  <c:v>4.0106011999999996E-2</c:v>
                </c:pt>
                <c:pt idx="69">
                  <c:v>4.0890576999999997E-2</c:v>
                </c:pt>
                <c:pt idx="70">
                  <c:v>4.2370499999999998E-2</c:v>
                </c:pt>
                <c:pt idx="71">
                  <c:v>4.0379345000000004E-2</c:v>
                </c:pt>
                <c:pt idx="72">
                  <c:v>4.1388425E-2</c:v>
                </c:pt>
                <c:pt idx="73">
                  <c:v>4.1976197999999999E-2</c:v>
                </c:pt>
                <c:pt idx="74">
                  <c:v>4.2434738999999999E-2</c:v>
                </c:pt>
                <c:pt idx="75">
                  <c:v>4.3193477000000001E-2</c:v>
                </c:pt>
                <c:pt idx="76">
                  <c:v>4.3936187000000002E-2</c:v>
                </c:pt>
                <c:pt idx="77">
                  <c:v>4.4664411000000001E-2</c:v>
                </c:pt>
                <c:pt idx="78">
                  <c:v>4.8128590000000006E-2</c:v>
                </c:pt>
                <c:pt idx="79">
                  <c:v>4.8429067000000006E-2</c:v>
                </c:pt>
                <c:pt idx="80">
                  <c:v>5.0630599999999998E-2</c:v>
                </c:pt>
                <c:pt idx="81">
                  <c:v>5.1857994999999997E-2</c:v>
                </c:pt>
                <c:pt idx="82">
                  <c:v>5.2274078000000002E-2</c:v>
                </c:pt>
                <c:pt idx="83">
                  <c:v>5.5300801999999996E-2</c:v>
                </c:pt>
                <c:pt idx="84">
                  <c:v>5.8002903999999994E-2</c:v>
                </c:pt>
                <c:pt idx="85">
                  <c:v>5.9109011000000003E-2</c:v>
                </c:pt>
                <c:pt idx="86">
                  <c:v>5.3487396E-2</c:v>
                </c:pt>
                <c:pt idx="87">
                  <c:v>6.1722606999999999E-2</c:v>
                </c:pt>
                <c:pt idx="88">
                  <c:v>6.3369914999999999E-2</c:v>
                </c:pt>
                <c:pt idx="89">
                  <c:v>6.1130153999999999E-2</c:v>
                </c:pt>
                <c:pt idx="90">
                  <c:v>6.0805154E-2</c:v>
                </c:pt>
                <c:pt idx="91">
                  <c:v>6.0943812999999999E-2</c:v>
                </c:pt>
                <c:pt idx="92">
                  <c:v>6.2579102999999997E-2</c:v>
                </c:pt>
                <c:pt idx="93">
                  <c:v>6.1285069999999997E-2</c:v>
                </c:pt>
                <c:pt idx="94">
                  <c:v>6.3665988000000007E-2</c:v>
                </c:pt>
                <c:pt idx="95">
                  <c:v>6.6180590999999997E-2</c:v>
                </c:pt>
                <c:pt idx="96">
                  <c:v>6.5557816000000005E-2</c:v>
                </c:pt>
                <c:pt idx="97">
                  <c:v>6.8543228999999997E-2</c:v>
                </c:pt>
                <c:pt idx="98">
                  <c:v>6.8700076999999998E-2</c:v>
                </c:pt>
                <c:pt idx="99">
                  <c:v>6.7644992000000001E-2</c:v>
                </c:pt>
                <c:pt idx="100">
                  <c:v>6.8557819999999992E-2</c:v>
                </c:pt>
                <c:pt idx="101">
                  <c:v>7.0203988999999994E-2</c:v>
                </c:pt>
                <c:pt idx="102">
                  <c:v>7.1720590000000001E-2</c:v>
                </c:pt>
                <c:pt idx="103">
                  <c:v>7.0368319999999998E-2</c:v>
                </c:pt>
                <c:pt idx="104">
                  <c:v>7.0212085999999993E-2</c:v>
                </c:pt>
                <c:pt idx="105">
                  <c:v>6.9035453999999996E-2</c:v>
                </c:pt>
                <c:pt idx="106">
                  <c:v>6.9487566000000001E-2</c:v>
                </c:pt>
                <c:pt idx="107">
                  <c:v>6.8682603000000009E-2</c:v>
                </c:pt>
                <c:pt idx="108">
                  <c:v>6.9627646000000001E-2</c:v>
                </c:pt>
                <c:pt idx="109">
                  <c:v>6.9662242999999999E-2</c:v>
                </c:pt>
                <c:pt idx="110">
                  <c:v>6.8579603000000003E-2</c:v>
                </c:pt>
                <c:pt idx="111">
                  <c:v>6.7853085000000007E-2</c:v>
                </c:pt>
                <c:pt idx="112">
                  <c:v>6.7836100999999996E-2</c:v>
                </c:pt>
                <c:pt idx="113">
                  <c:v>6.7807611000000004E-2</c:v>
                </c:pt>
                <c:pt idx="114">
                  <c:v>7.1877492000000001E-2</c:v>
                </c:pt>
                <c:pt idx="115">
                  <c:v>6.8938182000000001E-2</c:v>
                </c:pt>
                <c:pt idx="116">
                  <c:v>6.5859018000000005E-2</c:v>
                </c:pt>
                <c:pt idx="117">
                  <c:v>6.6917069999999995E-2</c:v>
                </c:pt>
                <c:pt idx="118">
                  <c:v>6.6716984000000007E-2</c:v>
                </c:pt>
                <c:pt idx="119">
                  <c:v>6.6267756999999997E-2</c:v>
                </c:pt>
                <c:pt idx="120">
                  <c:v>6.6742199000000002E-2</c:v>
                </c:pt>
                <c:pt idx="121">
                  <c:v>6.4363979000000002E-2</c:v>
                </c:pt>
                <c:pt idx="122">
                  <c:v>6.6051346999999996E-2</c:v>
                </c:pt>
                <c:pt idx="123">
                  <c:v>6.5000848999999999E-2</c:v>
                </c:pt>
                <c:pt idx="124">
                  <c:v>6.4484708000000002E-2</c:v>
                </c:pt>
                <c:pt idx="125">
                  <c:v>6.5015952000000002E-2</c:v>
                </c:pt>
                <c:pt idx="126">
                  <c:v>5.9315661000000006E-2</c:v>
                </c:pt>
                <c:pt idx="127">
                  <c:v>6.4173831000000001E-2</c:v>
                </c:pt>
                <c:pt idx="128">
                  <c:v>6.3810073000000009E-2</c:v>
                </c:pt>
                <c:pt idx="129">
                  <c:v>6.550711599999999E-2</c:v>
                </c:pt>
                <c:pt idx="130">
                  <c:v>6.3564081000000008E-2</c:v>
                </c:pt>
                <c:pt idx="131">
                  <c:v>6.4803970000000002E-2</c:v>
                </c:pt>
                <c:pt idx="132">
                  <c:v>6.4367465999999998E-2</c:v>
                </c:pt>
                <c:pt idx="133">
                  <c:v>6.4433156000000005E-2</c:v>
                </c:pt>
                <c:pt idx="134">
                  <c:v>6.3011432999999992E-2</c:v>
                </c:pt>
                <c:pt idx="135">
                  <c:v>6.5114122999999996E-2</c:v>
                </c:pt>
                <c:pt idx="136">
                  <c:v>6.6107821999999997E-2</c:v>
                </c:pt>
                <c:pt idx="137">
                  <c:v>6.7111463999999996E-2</c:v>
                </c:pt>
                <c:pt idx="138">
                  <c:v>6.6938486000000005E-2</c:v>
                </c:pt>
                <c:pt idx="139">
                  <c:v>6.5485482999999997E-2</c:v>
                </c:pt>
                <c:pt idx="140">
                  <c:v>6.4281031000000002E-2</c:v>
                </c:pt>
                <c:pt idx="141">
                  <c:v>6.7017395000000007E-2</c:v>
                </c:pt>
                <c:pt idx="142">
                  <c:v>6.4018173999999997E-2</c:v>
                </c:pt>
                <c:pt idx="143">
                  <c:v>6.6986829999999997E-2</c:v>
                </c:pt>
                <c:pt idx="144">
                  <c:v>6.6566760000000003E-2</c:v>
                </c:pt>
                <c:pt idx="145">
                  <c:v>6.6033668000000004E-2</c:v>
                </c:pt>
                <c:pt idx="146">
                  <c:v>6.5606669000000006E-2</c:v>
                </c:pt>
                <c:pt idx="147">
                  <c:v>6.8157999999999996E-2</c:v>
                </c:pt>
                <c:pt idx="148">
                  <c:v>6.6874237000000003E-2</c:v>
                </c:pt>
                <c:pt idx="149">
                  <c:v>6.5879554000000007E-2</c:v>
                </c:pt>
                <c:pt idx="150">
                  <c:v>6.4289414000000003E-2</c:v>
                </c:pt>
                <c:pt idx="151">
                  <c:v>6.4749376999999997E-2</c:v>
                </c:pt>
                <c:pt idx="152">
                  <c:v>6.6142147999999998E-2</c:v>
                </c:pt>
                <c:pt idx="153">
                  <c:v>6.6230837000000001E-2</c:v>
                </c:pt>
                <c:pt idx="154">
                  <c:v>6.6656000000000007E-2</c:v>
                </c:pt>
                <c:pt idx="155">
                  <c:v>6.8393340999999996E-2</c:v>
                </c:pt>
                <c:pt idx="156">
                  <c:v>6.9219788000000004E-2</c:v>
                </c:pt>
                <c:pt idx="157">
                  <c:v>6.9122731000000007E-2</c:v>
                </c:pt>
                <c:pt idx="158">
                  <c:v>6.9536446000000002E-2</c:v>
                </c:pt>
                <c:pt idx="159">
                  <c:v>6.9520084999999995E-2</c:v>
                </c:pt>
                <c:pt idx="160">
                  <c:v>6.8871507999999998E-2</c:v>
                </c:pt>
                <c:pt idx="161">
                  <c:v>6.8475553999999994E-2</c:v>
                </c:pt>
                <c:pt idx="162">
                  <c:v>6.6863187000000004E-2</c:v>
                </c:pt>
                <c:pt idx="163">
                  <c:v>6.9462691000000007E-2</c:v>
                </c:pt>
                <c:pt idx="164">
                  <c:v>6.9021736E-2</c:v>
                </c:pt>
                <c:pt idx="165">
                  <c:v>6.8294633999999993E-2</c:v>
                </c:pt>
                <c:pt idx="166">
                  <c:v>6.8633270999999996E-2</c:v>
                </c:pt>
                <c:pt idx="167">
                  <c:v>6.7600290000000007E-2</c:v>
                </c:pt>
                <c:pt idx="168">
                  <c:v>6.7327847999999996E-2</c:v>
                </c:pt>
                <c:pt idx="169">
                  <c:v>6.9855820999999998E-2</c:v>
                </c:pt>
                <c:pt idx="170">
                  <c:v>6.8439418000000002E-2</c:v>
                </c:pt>
                <c:pt idx="171">
                  <c:v>6.8377402000000004E-2</c:v>
                </c:pt>
                <c:pt idx="172">
                  <c:v>6.7201008000000007E-2</c:v>
                </c:pt>
                <c:pt idx="173">
                  <c:v>6.9079078000000002E-2</c:v>
                </c:pt>
                <c:pt idx="174">
                  <c:v>6.6039643000000009E-2</c:v>
                </c:pt>
                <c:pt idx="175">
                  <c:v>6.9398288000000002E-2</c:v>
                </c:pt>
                <c:pt idx="176">
                  <c:v>6.7271421999999997E-2</c:v>
                </c:pt>
                <c:pt idx="177">
                  <c:v>6.7779061000000002E-2</c:v>
                </c:pt>
                <c:pt idx="178">
                  <c:v>6.6324588999999989E-2</c:v>
                </c:pt>
                <c:pt idx="179">
                  <c:v>6.5916281000000007E-2</c:v>
                </c:pt>
                <c:pt idx="180">
                  <c:v>6.5998970000000004E-2</c:v>
                </c:pt>
                <c:pt idx="181">
                  <c:v>6.8038237000000001E-2</c:v>
                </c:pt>
                <c:pt idx="182">
                  <c:v>6.7561432000000005E-2</c:v>
                </c:pt>
                <c:pt idx="183">
                  <c:v>6.9165485999999998E-2</c:v>
                </c:pt>
                <c:pt idx="184">
                  <c:v>6.6488038999999999E-2</c:v>
                </c:pt>
                <c:pt idx="185">
                  <c:v>6.3993264999999994E-2</c:v>
                </c:pt>
                <c:pt idx="186">
                  <c:v>6.0737595000000005E-2</c:v>
                </c:pt>
                <c:pt idx="187">
                  <c:v>6.3906846000000003E-2</c:v>
                </c:pt>
                <c:pt idx="188">
                  <c:v>6.5107030999999996E-2</c:v>
                </c:pt>
                <c:pt idx="189">
                  <c:v>6.3560238000000005E-2</c:v>
                </c:pt>
                <c:pt idx="190">
                  <c:v>6.3756532000000005E-2</c:v>
                </c:pt>
                <c:pt idx="191">
                  <c:v>6.4434490999999997E-2</c:v>
                </c:pt>
                <c:pt idx="192">
                  <c:v>5.7411573E-2</c:v>
                </c:pt>
                <c:pt idx="193">
                  <c:v>5.9197825000000003E-2</c:v>
                </c:pt>
                <c:pt idx="194">
                  <c:v>6.4073000000000005E-2</c:v>
                </c:pt>
                <c:pt idx="195">
                  <c:v>5.9290342999999995E-2</c:v>
                </c:pt>
                <c:pt idx="196">
                  <c:v>5.7043910999999996E-2</c:v>
                </c:pt>
                <c:pt idx="197">
                  <c:v>6.5211778999999997E-2</c:v>
                </c:pt>
                <c:pt idx="198">
                  <c:v>6.1154153000000003E-2</c:v>
                </c:pt>
                <c:pt idx="199">
                  <c:v>6.6361748999999998E-2</c:v>
                </c:pt>
                <c:pt idx="200">
                  <c:v>6.7472217000000001E-2</c:v>
                </c:pt>
                <c:pt idx="201">
                  <c:v>6.5554196999999995E-2</c:v>
                </c:pt>
                <c:pt idx="202">
                  <c:v>6.6245100000000001E-2</c:v>
                </c:pt>
                <c:pt idx="203">
                  <c:v>6.5804987999999995E-2</c:v>
                </c:pt>
                <c:pt idx="204">
                  <c:v>6.6273195999999993E-2</c:v>
                </c:pt>
                <c:pt idx="205">
                  <c:v>6.3077073999999997E-2</c:v>
                </c:pt>
                <c:pt idx="206">
                  <c:v>6.2321774000000003E-2</c:v>
                </c:pt>
                <c:pt idx="207">
                  <c:v>6.3671078999999992E-2</c:v>
                </c:pt>
                <c:pt idx="208">
                  <c:v>6.5118365999999997E-2</c:v>
                </c:pt>
                <c:pt idx="209">
                  <c:v>6.5780494999999994E-2</c:v>
                </c:pt>
                <c:pt idx="210">
                  <c:v>6.6573128999999995E-2</c:v>
                </c:pt>
                <c:pt idx="211">
                  <c:v>6.5922565000000002E-2</c:v>
                </c:pt>
                <c:pt idx="212">
                  <c:v>6.5332778999999994E-2</c:v>
                </c:pt>
                <c:pt idx="213">
                  <c:v>6.5361704999999992E-2</c:v>
                </c:pt>
                <c:pt idx="214">
                  <c:v>6.5869875000000008E-2</c:v>
                </c:pt>
                <c:pt idx="215">
                  <c:v>6.5760605E-2</c:v>
                </c:pt>
                <c:pt idx="216">
                  <c:v>6.4856776000000005E-2</c:v>
                </c:pt>
                <c:pt idx="217">
                  <c:v>6.4265232000000005E-2</c:v>
                </c:pt>
                <c:pt idx="218">
                  <c:v>6.3042337000000004E-2</c:v>
                </c:pt>
                <c:pt idx="219">
                  <c:v>6.1876322000000004E-2</c:v>
                </c:pt>
                <c:pt idx="220">
                  <c:v>6.3117405000000001E-2</c:v>
                </c:pt>
                <c:pt idx="221">
                  <c:v>6.2867736000000007E-2</c:v>
                </c:pt>
                <c:pt idx="222">
                  <c:v>6.2235288000000007E-2</c:v>
                </c:pt>
                <c:pt idx="223">
                  <c:v>6.1120344E-2</c:v>
                </c:pt>
                <c:pt idx="224">
                  <c:v>5.8851529999999999E-2</c:v>
                </c:pt>
                <c:pt idx="225">
                  <c:v>6.1307449E-2</c:v>
                </c:pt>
                <c:pt idx="226">
                  <c:v>6.5102260000000009E-2</c:v>
                </c:pt>
                <c:pt idx="227">
                  <c:v>6.8232286000000003E-2</c:v>
                </c:pt>
                <c:pt idx="228">
                  <c:v>6.9533530999999996E-2</c:v>
                </c:pt>
                <c:pt idx="229">
                  <c:v>7.1450507999999996E-2</c:v>
                </c:pt>
                <c:pt idx="230">
                  <c:v>7.0998118999999998E-2</c:v>
                </c:pt>
                <c:pt idx="231">
                  <c:v>7.1346027999999992E-2</c:v>
                </c:pt>
                <c:pt idx="232">
                  <c:v>7.0117503999999997E-2</c:v>
                </c:pt>
                <c:pt idx="233">
                  <c:v>6.9404516999999999E-2</c:v>
                </c:pt>
                <c:pt idx="234">
                  <c:v>7.0766900000000008E-2</c:v>
                </c:pt>
                <c:pt idx="235">
                  <c:v>7.1615932000000007E-2</c:v>
                </c:pt>
                <c:pt idx="236">
                  <c:v>7.2896193999999997E-2</c:v>
                </c:pt>
                <c:pt idx="237">
                  <c:v>7.1322094000000003E-2</c:v>
                </c:pt>
                <c:pt idx="238">
                  <c:v>6.9306235000000008E-2</c:v>
                </c:pt>
                <c:pt idx="239">
                  <c:v>6.8946435E-2</c:v>
                </c:pt>
                <c:pt idx="240">
                  <c:v>7.0170077999999997E-2</c:v>
                </c:pt>
                <c:pt idx="241">
                  <c:v>6.7552250999999994E-2</c:v>
                </c:pt>
                <c:pt idx="242">
                  <c:v>7.0428378999999999E-2</c:v>
                </c:pt>
                <c:pt idx="243">
                  <c:v>7.0670244000000007E-2</c:v>
                </c:pt>
                <c:pt idx="244">
                  <c:v>6.9681982000000003E-2</c:v>
                </c:pt>
                <c:pt idx="245">
                  <c:v>6.9569945000000008E-2</c:v>
                </c:pt>
                <c:pt idx="246">
                  <c:v>7.0098046999999997E-2</c:v>
                </c:pt>
                <c:pt idx="247">
                  <c:v>6.8890650999999997E-2</c:v>
                </c:pt>
                <c:pt idx="248">
                  <c:v>6.8458433999999999E-2</c:v>
                </c:pt>
                <c:pt idx="249">
                  <c:v>6.8865401999999992E-2</c:v>
                </c:pt>
                <c:pt idx="250">
                  <c:v>6.8105524000000001E-2</c:v>
                </c:pt>
                <c:pt idx="251">
                  <c:v>6.8189799000000009E-2</c:v>
                </c:pt>
                <c:pt idx="252">
                  <c:v>6.7897155000000001E-2</c:v>
                </c:pt>
                <c:pt idx="253">
                  <c:v>6.8375381999999998E-2</c:v>
                </c:pt>
                <c:pt idx="254">
                  <c:v>6.7643837999999998E-2</c:v>
                </c:pt>
                <c:pt idx="255">
                  <c:v>6.7927704999999991E-2</c:v>
                </c:pt>
                <c:pt idx="256">
                  <c:v>6.5978338999999997E-2</c:v>
                </c:pt>
                <c:pt idx="257">
                  <c:v>6.5881454000000006E-2</c:v>
                </c:pt>
                <c:pt idx="258">
                  <c:v>6.6680419000000005E-2</c:v>
                </c:pt>
                <c:pt idx="259">
                  <c:v>6.6800095000000004E-2</c:v>
                </c:pt>
                <c:pt idx="260">
                  <c:v>6.7966547000000002E-2</c:v>
                </c:pt>
                <c:pt idx="261">
                  <c:v>6.6744527999999997E-2</c:v>
                </c:pt>
                <c:pt idx="262">
                  <c:v>6.6761901999999998E-2</c:v>
                </c:pt>
                <c:pt idx="263">
                  <c:v>6.6455490000000006E-2</c:v>
                </c:pt>
                <c:pt idx="264">
                  <c:v>6.5281288000000007E-2</c:v>
                </c:pt>
                <c:pt idx="265">
                  <c:v>6.5340428000000006E-2</c:v>
                </c:pt>
                <c:pt idx="266">
                  <c:v>6.5251130000000004E-2</c:v>
                </c:pt>
                <c:pt idx="267">
                  <c:v>6.5713999000000009E-2</c:v>
                </c:pt>
                <c:pt idx="268">
                  <c:v>6.5970649999999992E-2</c:v>
                </c:pt>
                <c:pt idx="269">
                  <c:v>6.6063084999999994E-2</c:v>
                </c:pt>
                <c:pt idx="270">
                  <c:v>6.5936023999999996E-2</c:v>
                </c:pt>
                <c:pt idx="271">
                  <c:v>6.3830735E-2</c:v>
                </c:pt>
                <c:pt idx="272">
                  <c:v>6.2520206999999994E-2</c:v>
                </c:pt>
                <c:pt idx="273">
                  <c:v>6.2859783000000002E-2</c:v>
                </c:pt>
                <c:pt idx="274">
                  <c:v>6.327356499999999E-2</c:v>
                </c:pt>
                <c:pt idx="275">
                  <c:v>6.4317121000000005E-2</c:v>
                </c:pt>
                <c:pt idx="276">
                  <c:v>6.3023659999999995E-2</c:v>
                </c:pt>
                <c:pt idx="277">
                  <c:v>6.2291446E-2</c:v>
                </c:pt>
                <c:pt idx="278">
                  <c:v>6.2725780999999994E-2</c:v>
                </c:pt>
                <c:pt idx="279">
                  <c:v>6.2482155999999997E-2</c:v>
                </c:pt>
                <c:pt idx="280">
                  <c:v>6.2673063000000001E-2</c:v>
                </c:pt>
                <c:pt idx="281">
                  <c:v>6.2483779000000003E-2</c:v>
                </c:pt>
                <c:pt idx="282">
                  <c:v>6.1897361999999997E-2</c:v>
                </c:pt>
                <c:pt idx="283">
                  <c:v>6.1571601999999996E-2</c:v>
                </c:pt>
                <c:pt idx="284">
                  <c:v>6.0521798000000002E-2</c:v>
                </c:pt>
                <c:pt idx="285">
                  <c:v>6.0504996999999998E-2</c:v>
                </c:pt>
                <c:pt idx="286">
                  <c:v>6.0148311999999995E-2</c:v>
                </c:pt>
                <c:pt idx="287">
                  <c:v>5.9075208000000004E-2</c:v>
                </c:pt>
                <c:pt idx="288">
                  <c:v>5.9266907000000001E-2</c:v>
                </c:pt>
                <c:pt idx="289">
                  <c:v>6.0157182999999996E-2</c:v>
                </c:pt>
                <c:pt idx="290">
                  <c:v>5.9447446000000001E-2</c:v>
                </c:pt>
                <c:pt idx="291">
                  <c:v>5.8026619000000002E-2</c:v>
                </c:pt>
                <c:pt idx="292">
                  <c:v>5.8504693000000003E-2</c:v>
                </c:pt>
                <c:pt idx="293">
                  <c:v>5.7211974000000006E-2</c:v>
                </c:pt>
                <c:pt idx="294">
                  <c:v>5.9527485999999998E-2</c:v>
                </c:pt>
                <c:pt idx="295">
                  <c:v>6.2366134000000004E-2</c:v>
                </c:pt>
                <c:pt idx="296">
                  <c:v>6.305348999999999E-2</c:v>
                </c:pt>
                <c:pt idx="297">
                  <c:v>6.6787605999999999E-2</c:v>
                </c:pt>
                <c:pt idx="298">
                  <c:v>6.9402864999999994E-2</c:v>
                </c:pt>
                <c:pt idx="299">
                  <c:v>7.2516676000000002E-2</c:v>
                </c:pt>
                <c:pt idx="300">
                  <c:v>7.3471568000000001E-2</c:v>
                </c:pt>
                <c:pt idx="301">
                  <c:v>7.4289192000000004E-2</c:v>
                </c:pt>
                <c:pt idx="302">
                  <c:v>7.6513708E-2</c:v>
                </c:pt>
                <c:pt idx="303">
                  <c:v>7.5041310999999999E-2</c:v>
                </c:pt>
                <c:pt idx="304">
                  <c:v>7.5635348000000005E-2</c:v>
                </c:pt>
                <c:pt idx="305">
                  <c:v>7.5596374999999993E-2</c:v>
                </c:pt>
                <c:pt idx="306">
                  <c:v>7.5993348000000002E-2</c:v>
                </c:pt>
                <c:pt idx="307">
                  <c:v>7.5576914999999995E-2</c:v>
                </c:pt>
                <c:pt idx="308">
                  <c:v>7.6017420000000002E-2</c:v>
                </c:pt>
                <c:pt idx="309">
                  <c:v>7.5404966000000004E-2</c:v>
                </c:pt>
                <c:pt idx="310">
                  <c:v>7.5461626000000004E-2</c:v>
                </c:pt>
                <c:pt idx="311">
                  <c:v>7.4667953000000009E-2</c:v>
                </c:pt>
                <c:pt idx="312">
                  <c:v>7.2932488000000004E-2</c:v>
                </c:pt>
                <c:pt idx="313">
                  <c:v>7.1077811000000005E-2</c:v>
                </c:pt>
                <c:pt idx="314">
                  <c:v>6.9914826999999999E-2</c:v>
                </c:pt>
                <c:pt idx="315">
                  <c:v>7.0336717000000007E-2</c:v>
                </c:pt>
                <c:pt idx="316">
                  <c:v>7.0743438000000006E-2</c:v>
                </c:pt>
                <c:pt idx="317">
                  <c:v>7.1900896000000006E-2</c:v>
                </c:pt>
                <c:pt idx="318">
                  <c:v>7.1479020000000004E-2</c:v>
                </c:pt>
                <c:pt idx="319">
                  <c:v>7.0520801999999994E-2</c:v>
                </c:pt>
                <c:pt idx="320">
                  <c:v>6.9144968000000001E-2</c:v>
                </c:pt>
                <c:pt idx="321">
                  <c:v>6.9533606999999997E-2</c:v>
                </c:pt>
                <c:pt idx="322">
                  <c:v>6.8379664000000007E-2</c:v>
                </c:pt>
                <c:pt idx="323">
                  <c:v>6.8660634999999998E-2</c:v>
                </c:pt>
                <c:pt idx="324">
                  <c:v>6.9488500000000009E-2</c:v>
                </c:pt>
                <c:pt idx="325">
                  <c:v>7.0250995999999996E-2</c:v>
                </c:pt>
                <c:pt idx="326">
                  <c:v>7.0703618999999995E-2</c:v>
                </c:pt>
                <c:pt idx="327">
                  <c:v>6.9827738E-2</c:v>
                </c:pt>
                <c:pt idx="328">
                  <c:v>6.8117191000000007E-2</c:v>
                </c:pt>
                <c:pt idx="329">
                  <c:v>6.7530336999999996E-2</c:v>
                </c:pt>
                <c:pt idx="330">
                  <c:v>6.8357307000000006E-2</c:v>
                </c:pt>
                <c:pt idx="331">
                  <c:v>6.9466194999999994E-2</c:v>
                </c:pt>
                <c:pt idx="332">
                  <c:v>7.0668336999999998E-2</c:v>
                </c:pt>
                <c:pt idx="333">
                  <c:v>7.1329315000000004E-2</c:v>
                </c:pt>
                <c:pt idx="334">
                  <c:v>7.1517636999999995E-2</c:v>
                </c:pt>
                <c:pt idx="335">
                  <c:v>7.2510405E-2</c:v>
                </c:pt>
                <c:pt idx="336">
                  <c:v>7.2340408999999994E-2</c:v>
                </c:pt>
                <c:pt idx="337">
                  <c:v>7.2957828000000002E-2</c:v>
                </c:pt>
                <c:pt idx="338">
                  <c:v>7.3539357999999999E-2</c:v>
                </c:pt>
                <c:pt idx="339">
                  <c:v>7.1834048999999997E-2</c:v>
                </c:pt>
                <c:pt idx="340">
                  <c:v>7.0617337000000002E-2</c:v>
                </c:pt>
                <c:pt idx="341">
                  <c:v>6.9123061999999999E-2</c:v>
                </c:pt>
                <c:pt idx="342">
                  <c:v>6.8442221999999997E-2</c:v>
                </c:pt>
                <c:pt idx="343">
                  <c:v>6.9906249000000004E-2</c:v>
                </c:pt>
                <c:pt idx="344">
                  <c:v>7.0415470999999993E-2</c:v>
                </c:pt>
                <c:pt idx="345">
                  <c:v>7.0220860999999996E-2</c:v>
                </c:pt>
                <c:pt idx="346">
                  <c:v>6.9802744999999999E-2</c:v>
                </c:pt>
                <c:pt idx="347">
                  <c:v>7.0473827000000003E-2</c:v>
                </c:pt>
                <c:pt idx="348">
                  <c:v>7.2266278000000003E-2</c:v>
                </c:pt>
                <c:pt idx="349">
                  <c:v>7.2120222999999997E-2</c:v>
                </c:pt>
                <c:pt idx="350">
                  <c:v>7.4608864999999996E-2</c:v>
                </c:pt>
                <c:pt idx="351">
                  <c:v>7.5452282999999995E-2</c:v>
                </c:pt>
                <c:pt idx="352">
                  <c:v>7.3836898999999998E-2</c:v>
                </c:pt>
                <c:pt idx="353">
                  <c:v>7.5837190999999998E-2</c:v>
                </c:pt>
                <c:pt idx="354">
                  <c:v>7.4512085000000006E-2</c:v>
                </c:pt>
                <c:pt idx="355">
                  <c:v>7.5142883999999993E-2</c:v>
                </c:pt>
                <c:pt idx="356">
                  <c:v>7.4670427999999997E-2</c:v>
                </c:pt>
                <c:pt idx="357">
                  <c:v>7.5108826000000004E-2</c:v>
                </c:pt>
                <c:pt idx="358">
                  <c:v>7.3430281999999999E-2</c:v>
                </c:pt>
                <c:pt idx="359">
                  <c:v>7.5026586000000006E-2</c:v>
                </c:pt>
                <c:pt idx="360">
                  <c:v>7.533397800000001E-2</c:v>
                </c:pt>
                <c:pt idx="361">
                  <c:v>7.6560797E-2</c:v>
                </c:pt>
                <c:pt idx="362">
                  <c:v>7.7671168999999998E-2</c:v>
                </c:pt>
                <c:pt idx="363">
                  <c:v>7.9264810000000005E-2</c:v>
                </c:pt>
                <c:pt idx="364">
                  <c:v>8.3068442000000006E-2</c:v>
                </c:pt>
                <c:pt idx="365">
                  <c:v>8.3956789000000004E-2</c:v>
                </c:pt>
                <c:pt idx="366">
                  <c:v>8.8192347000000004E-2</c:v>
                </c:pt>
                <c:pt idx="367">
                  <c:v>8.2016825000000002E-2</c:v>
                </c:pt>
                <c:pt idx="368">
                  <c:v>8.642741100000001E-2</c:v>
                </c:pt>
                <c:pt idx="369">
                  <c:v>8.4440259000000004E-2</c:v>
                </c:pt>
                <c:pt idx="370">
                  <c:v>8.5256209999999999E-2</c:v>
                </c:pt>
                <c:pt idx="371">
                  <c:v>8.5213073E-2</c:v>
                </c:pt>
                <c:pt idx="372">
                  <c:v>8.1493505000000008E-2</c:v>
                </c:pt>
                <c:pt idx="373">
                  <c:v>8.3270309000000001E-2</c:v>
                </c:pt>
                <c:pt idx="374">
                  <c:v>8.3902619000000012E-2</c:v>
                </c:pt>
                <c:pt idx="375">
                  <c:v>8.3867442000000014E-2</c:v>
                </c:pt>
                <c:pt idx="376">
                  <c:v>8.6462432000000006E-2</c:v>
                </c:pt>
                <c:pt idx="377">
                  <c:v>8.4289722999999997E-2</c:v>
                </c:pt>
                <c:pt idx="378">
                  <c:v>8.7787287000000006E-2</c:v>
                </c:pt>
                <c:pt idx="379">
                  <c:v>8.7061105E-2</c:v>
                </c:pt>
                <c:pt idx="380">
                  <c:v>8.5708102999999994E-2</c:v>
                </c:pt>
                <c:pt idx="381">
                  <c:v>8.4551320000000013E-2</c:v>
                </c:pt>
                <c:pt idx="382">
                  <c:v>8.5196714000000007E-2</c:v>
                </c:pt>
                <c:pt idx="383">
                  <c:v>8.3687565999999991E-2</c:v>
                </c:pt>
                <c:pt idx="384">
                  <c:v>8.3837492E-2</c:v>
                </c:pt>
                <c:pt idx="385">
                  <c:v>8.6230645999999994E-2</c:v>
                </c:pt>
                <c:pt idx="386">
                  <c:v>8.3419892000000009E-2</c:v>
                </c:pt>
                <c:pt idx="387">
                  <c:v>8.7899250999999998E-2</c:v>
                </c:pt>
                <c:pt idx="388">
                  <c:v>9.0248293000000007E-2</c:v>
                </c:pt>
                <c:pt idx="389">
                  <c:v>8.784955500000001E-2</c:v>
                </c:pt>
                <c:pt idx="390">
                  <c:v>8.7078279999999994E-2</c:v>
                </c:pt>
                <c:pt idx="391">
                  <c:v>8.5114899000000008E-2</c:v>
                </c:pt>
                <c:pt idx="392">
                  <c:v>8.4800723999999994E-2</c:v>
                </c:pt>
                <c:pt idx="393">
                  <c:v>8.5714492999999989E-2</c:v>
                </c:pt>
                <c:pt idx="394">
                  <c:v>8.7414280000000011E-2</c:v>
                </c:pt>
                <c:pt idx="395">
                  <c:v>8.9825391000000004E-2</c:v>
                </c:pt>
                <c:pt idx="396">
                  <c:v>8.5939455999999997E-2</c:v>
                </c:pt>
                <c:pt idx="397">
                  <c:v>8.7386964999999997E-2</c:v>
                </c:pt>
                <c:pt idx="398">
                  <c:v>8.7457968999999997E-2</c:v>
                </c:pt>
                <c:pt idx="399">
                  <c:v>8.4320007000000002E-2</c:v>
                </c:pt>
                <c:pt idx="400">
                  <c:v>8.5067614E-2</c:v>
                </c:pt>
                <c:pt idx="401">
                  <c:v>8.5903846999999992E-2</c:v>
                </c:pt>
                <c:pt idx="402">
                  <c:v>8.5188418000000002E-2</c:v>
                </c:pt>
                <c:pt idx="403">
                  <c:v>8.4530195999999988E-2</c:v>
                </c:pt>
                <c:pt idx="404">
                  <c:v>8.513341499999999E-2</c:v>
                </c:pt>
                <c:pt idx="405">
                  <c:v>8.4637416999999993E-2</c:v>
                </c:pt>
                <c:pt idx="406">
                  <c:v>8.6875134000000007E-2</c:v>
                </c:pt>
                <c:pt idx="407">
                  <c:v>8.4797543000000003E-2</c:v>
                </c:pt>
                <c:pt idx="408">
                  <c:v>8.5754778999999989E-2</c:v>
                </c:pt>
                <c:pt idx="409">
                  <c:v>8.4428625999999993E-2</c:v>
                </c:pt>
                <c:pt idx="410">
                  <c:v>8.5423708000000001E-2</c:v>
                </c:pt>
                <c:pt idx="411">
                  <c:v>8.5985233999999994E-2</c:v>
                </c:pt>
                <c:pt idx="412">
                  <c:v>8.4843952E-2</c:v>
                </c:pt>
                <c:pt idx="413">
                  <c:v>8.1623380999999995E-2</c:v>
                </c:pt>
                <c:pt idx="414">
                  <c:v>8.281039200000001E-2</c:v>
                </c:pt>
                <c:pt idx="415">
                  <c:v>8.2174221999999991E-2</c:v>
                </c:pt>
                <c:pt idx="416">
                  <c:v>8.4928179000000006E-2</c:v>
                </c:pt>
                <c:pt idx="417">
                  <c:v>8.2922329999999989E-2</c:v>
                </c:pt>
                <c:pt idx="418">
                  <c:v>8.0851302E-2</c:v>
                </c:pt>
                <c:pt idx="419">
                  <c:v>7.9705931000000008E-2</c:v>
                </c:pt>
                <c:pt idx="420">
                  <c:v>8.2007162999999994E-2</c:v>
                </c:pt>
                <c:pt idx="421">
                  <c:v>8.4599705999999997E-2</c:v>
                </c:pt>
                <c:pt idx="422">
                  <c:v>8.7363758E-2</c:v>
                </c:pt>
                <c:pt idx="423">
                  <c:v>8.2298444999999998E-2</c:v>
                </c:pt>
                <c:pt idx="424">
                  <c:v>8.393581E-2</c:v>
                </c:pt>
                <c:pt idx="425">
                  <c:v>8.4798110999999995E-2</c:v>
                </c:pt>
                <c:pt idx="426">
                  <c:v>8.3009634999999998E-2</c:v>
                </c:pt>
                <c:pt idx="427">
                  <c:v>8.4444485999999999E-2</c:v>
                </c:pt>
                <c:pt idx="428">
                  <c:v>8.3043985000000001E-2</c:v>
                </c:pt>
                <c:pt idx="429">
                  <c:v>8.251721699999999E-2</c:v>
                </c:pt>
                <c:pt idx="430">
                  <c:v>8.5398986999999996E-2</c:v>
                </c:pt>
                <c:pt idx="431">
                  <c:v>8.5397760000000003E-2</c:v>
                </c:pt>
                <c:pt idx="432">
                  <c:v>8.7248115000000001E-2</c:v>
                </c:pt>
                <c:pt idx="433">
                  <c:v>0.13607339100000002</c:v>
                </c:pt>
                <c:pt idx="434">
                  <c:v>0.133259551</c:v>
                </c:pt>
                <c:pt idx="435">
                  <c:v>0.11648900400000001</c:v>
                </c:pt>
                <c:pt idx="436">
                  <c:v>0.111662497</c:v>
                </c:pt>
                <c:pt idx="437">
                  <c:v>0.110986926</c:v>
                </c:pt>
                <c:pt idx="438">
                  <c:v>0.11223787700000001</c:v>
                </c:pt>
                <c:pt idx="439">
                  <c:v>0.10227517699999999</c:v>
                </c:pt>
                <c:pt idx="440">
                  <c:v>9.3008810999999997E-2</c:v>
                </c:pt>
                <c:pt idx="441">
                  <c:v>8.5130025999999998E-2</c:v>
                </c:pt>
                <c:pt idx="442">
                  <c:v>8.0850998999999993E-2</c:v>
                </c:pt>
                <c:pt idx="443">
                  <c:v>8.3523508999999996E-2</c:v>
                </c:pt>
                <c:pt idx="444">
                  <c:v>7.8663817999999996E-2</c:v>
                </c:pt>
                <c:pt idx="445">
                  <c:v>7.8426584000000008E-2</c:v>
                </c:pt>
                <c:pt idx="446">
                  <c:v>7.7507633000000006E-2</c:v>
                </c:pt>
                <c:pt idx="447">
                  <c:v>7.9325015999999998E-2</c:v>
                </c:pt>
                <c:pt idx="448">
                  <c:v>8.2585232000000008E-2</c:v>
                </c:pt>
                <c:pt idx="449">
                  <c:v>9.1561264999999989E-2</c:v>
                </c:pt>
                <c:pt idx="450">
                  <c:v>9.1053768999999993E-2</c:v>
                </c:pt>
                <c:pt idx="451">
                  <c:v>9.3507604000000008E-2</c:v>
                </c:pt>
                <c:pt idx="452">
                  <c:v>7.4990131000000002E-2</c:v>
                </c:pt>
                <c:pt idx="453">
                  <c:v>6.6408774000000004E-2</c:v>
                </c:pt>
                <c:pt idx="454">
                  <c:v>6.5558167000000001E-2</c:v>
                </c:pt>
                <c:pt idx="455">
                  <c:v>6.5876030000000002E-2</c:v>
                </c:pt>
                <c:pt idx="456">
                  <c:v>6.3297546999999996E-2</c:v>
                </c:pt>
                <c:pt idx="457">
                  <c:v>6.2297570000000003E-2</c:v>
                </c:pt>
                <c:pt idx="458">
                  <c:v>6.0273780999999998E-2</c:v>
                </c:pt>
                <c:pt idx="459">
                  <c:v>6.1499155E-2</c:v>
                </c:pt>
                <c:pt idx="460">
                  <c:v>6.0948995999999998E-2</c:v>
                </c:pt>
                <c:pt idx="461">
                  <c:v>5.9778225999999997E-2</c:v>
                </c:pt>
                <c:pt idx="462">
                  <c:v>6.0365740000000001E-2</c:v>
                </c:pt>
                <c:pt idx="463">
                  <c:v>6.0107533999999997E-2</c:v>
                </c:pt>
                <c:pt idx="464">
                  <c:v>5.8907490999999999E-2</c:v>
                </c:pt>
                <c:pt idx="465">
                  <c:v>6.1610253999999996E-2</c:v>
                </c:pt>
                <c:pt idx="466">
                  <c:v>6.1626890000000004E-2</c:v>
                </c:pt>
                <c:pt idx="467">
                  <c:v>5.8833099999999999E-2</c:v>
                </c:pt>
                <c:pt idx="468">
                  <c:v>6.2509850000000006E-2</c:v>
                </c:pt>
                <c:pt idx="469">
                  <c:v>6.2163652E-2</c:v>
                </c:pt>
                <c:pt idx="470">
                  <c:v>6.5189503999999995E-2</c:v>
                </c:pt>
                <c:pt idx="471">
                  <c:v>6.5037661999999996E-2</c:v>
                </c:pt>
                <c:pt idx="472">
                  <c:v>6.4348688000000001E-2</c:v>
                </c:pt>
                <c:pt idx="473">
                  <c:v>6.5817965999999992E-2</c:v>
                </c:pt>
                <c:pt idx="474">
                  <c:v>6.4193759000000003E-2</c:v>
                </c:pt>
                <c:pt idx="475">
                  <c:v>6.4217895999999997E-2</c:v>
                </c:pt>
                <c:pt idx="476">
                  <c:v>6.5822682999999993E-2</c:v>
                </c:pt>
                <c:pt idx="477">
                  <c:v>6.5480388E-2</c:v>
                </c:pt>
                <c:pt idx="478">
                  <c:v>6.6848490999999996E-2</c:v>
                </c:pt>
                <c:pt idx="479">
                  <c:v>6.560261299999999E-2</c:v>
                </c:pt>
                <c:pt idx="480">
                  <c:v>6.4617656999999995E-2</c:v>
                </c:pt>
              </c:numCache>
            </c:numRef>
          </c:val>
          <c:smooth val="0"/>
          <c:extLst>
            <c:ext xmlns:c16="http://schemas.microsoft.com/office/drawing/2014/chart" uri="{C3380CC4-5D6E-409C-BE32-E72D297353CC}">
              <c16:uniqueId val="{00000001-7E00-410F-A002-7694E8C66A6F}"/>
            </c:ext>
          </c:extLst>
        </c:ser>
        <c:dLbls>
          <c:showLegendKey val="0"/>
          <c:showVal val="0"/>
          <c:showCatName val="0"/>
          <c:showSerName val="0"/>
          <c:showPercent val="0"/>
          <c:showBubbleSize val="0"/>
        </c:dLbls>
        <c:smooth val="0"/>
        <c:axId val="780311152"/>
        <c:axId val="654009920"/>
      </c:lineChart>
      <c:dateAx>
        <c:axId val="780311152"/>
        <c:scaling>
          <c:orientation val="minMax"/>
        </c:scaling>
        <c:delete val="0"/>
        <c:axPos val="b"/>
        <c:numFmt formatCode="mmm\-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4009920"/>
        <c:crosses val="autoZero"/>
        <c:auto val="1"/>
        <c:lblOffset val="100"/>
        <c:baseTimeUnit val="months"/>
        <c:majorUnit val="24"/>
        <c:majorTimeUnit val="months"/>
      </c:dateAx>
      <c:valAx>
        <c:axId val="654009920"/>
        <c:scaling>
          <c:orientation val="minMax"/>
        </c:scaling>
        <c:delete val="0"/>
        <c:axPos val="l"/>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031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323612002742572E-2"/>
          <c:y val="5.4890219560878244E-2"/>
          <c:w val="0.84912879234521643"/>
          <c:h val="0.64002703254907511"/>
        </c:manualLayout>
      </c:layout>
      <c:barChart>
        <c:barDir val="col"/>
        <c:grouping val="clustered"/>
        <c:varyColors val="0"/>
        <c:ser>
          <c:idx val="1"/>
          <c:order val="1"/>
          <c:tx>
            <c:strRef>
              <c:f>'Figure 3'!$C$4</c:f>
              <c:strCache>
                <c:ptCount val="1"/>
                <c:pt idx="0">
                  <c:v>Annual change in employment (%) (RHS)</c:v>
                </c:pt>
              </c:strCache>
            </c:strRef>
          </c:tx>
          <c:spPr>
            <a:solidFill>
              <a:schemeClr val="accent2"/>
            </a:solidFill>
            <a:ln>
              <a:noFill/>
            </a:ln>
            <a:effectLst/>
          </c:spPr>
          <c:invertIfNegative val="0"/>
          <c:cat>
            <c:numRef>
              <c:f>'Figure 3'!$A$5:$A$245</c:f>
              <c:numCache>
                <c:formatCode>mmm\-yy</c:formatCode>
                <c:ptCount val="241"/>
                <c:pt idx="0">
                  <c:v>38047</c:v>
                </c:pt>
                <c:pt idx="1">
                  <c:v>38078</c:v>
                </c:pt>
                <c:pt idx="2">
                  <c:v>38108</c:v>
                </c:pt>
                <c:pt idx="3">
                  <c:v>38139</c:v>
                </c:pt>
                <c:pt idx="4">
                  <c:v>38169</c:v>
                </c:pt>
                <c:pt idx="5">
                  <c:v>38200</c:v>
                </c:pt>
                <c:pt idx="6">
                  <c:v>38231</c:v>
                </c:pt>
                <c:pt idx="7">
                  <c:v>38261</c:v>
                </c:pt>
                <c:pt idx="8">
                  <c:v>38292</c:v>
                </c:pt>
                <c:pt idx="9">
                  <c:v>38322</c:v>
                </c:pt>
                <c:pt idx="10">
                  <c:v>38353</c:v>
                </c:pt>
                <c:pt idx="11">
                  <c:v>38384</c:v>
                </c:pt>
                <c:pt idx="12">
                  <c:v>38412</c:v>
                </c:pt>
                <c:pt idx="13">
                  <c:v>38443</c:v>
                </c:pt>
                <c:pt idx="14">
                  <c:v>38473</c:v>
                </c:pt>
                <c:pt idx="15">
                  <c:v>38504</c:v>
                </c:pt>
                <c:pt idx="16">
                  <c:v>38534</c:v>
                </c:pt>
                <c:pt idx="17">
                  <c:v>38565</c:v>
                </c:pt>
                <c:pt idx="18">
                  <c:v>38596</c:v>
                </c:pt>
                <c:pt idx="19">
                  <c:v>38626</c:v>
                </c:pt>
                <c:pt idx="20">
                  <c:v>38657</c:v>
                </c:pt>
                <c:pt idx="21">
                  <c:v>38687</c:v>
                </c:pt>
                <c:pt idx="22">
                  <c:v>38718</c:v>
                </c:pt>
                <c:pt idx="23">
                  <c:v>38749</c:v>
                </c:pt>
                <c:pt idx="24">
                  <c:v>38777</c:v>
                </c:pt>
                <c:pt idx="25">
                  <c:v>38808</c:v>
                </c:pt>
                <c:pt idx="26">
                  <c:v>38838</c:v>
                </c:pt>
                <c:pt idx="27">
                  <c:v>38869</c:v>
                </c:pt>
                <c:pt idx="28">
                  <c:v>38899</c:v>
                </c:pt>
                <c:pt idx="29">
                  <c:v>38930</c:v>
                </c:pt>
                <c:pt idx="30">
                  <c:v>38961</c:v>
                </c:pt>
                <c:pt idx="31">
                  <c:v>38991</c:v>
                </c:pt>
                <c:pt idx="32">
                  <c:v>39022</c:v>
                </c:pt>
                <c:pt idx="33">
                  <c:v>39052</c:v>
                </c:pt>
                <c:pt idx="34">
                  <c:v>39083</c:v>
                </c:pt>
                <c:pt idx="35">
                  <c:v>39114</c:v>
                </c:pt>
                <c:pt idx="36">
                  <c:v>39142</c:v>
                </c:pt>
                <c:pt idx="37">
                  <c:v>39173</c:v>
                </c:pt>
                <c:pt idx="38">
                  <c:v>39203</c:v>
                </c:pt>
                <c:pt idx="39">
                  <c:v>39234</c:v>
                </c:pt>
                <c:pt idx="40">
                  <c:v>39264</c:v>
                </c:pt>
                <c:pt idx="41">
                  <c:v>39295</c:v>
                </c:pt>
                <c:pt idx="42">
                  <c:v>39326</c:v>
                </c:pt>
                <c:pt idx="43">
                  <c:v>39356</c:v>
                </c:pt>
                <c:pt idx="44">
                  <c:v>39387</c:v>
                </c:pt>
                <c:pt idx="45">
                  <c:v>39417</c:v>
                </c:pt>
                <c:pt idx="46">
                  <c:v>39448</c:v>
                </c:pt>
                <c:pt idx="47">
                  <c:v>39479</c:v>
                </c:pt>
                <c:pt idx="48">
                  <c:v>39508</c:v>
                </c:pt>
                <c:pt idx="49">
                  <c:v>39539</c:v>
                </c:pt>
                <c:pt idx="50">
                  <c:v>39569</c:v>
                </c:pt>
                <c:pt idx="51">
                  <c:v>39600</c:v>
                </c:pt>
                <c:pt idx="52">
                  <c:v>39630</c:v>
                </c:pt>
                <c:pt idx="53">
                  <c:v>39661</c:v>
                </c:pt>
                <c:pt idx="54">
                  <c:v>39692</c:v>
                </c:pt>
                <c:pt idx="55">
                  <c:v>39722</c:v>
                </c:pt>
                <c:pt idx="56">
                  <c:v>39753</c:v>
                </c:pt>
                <c:pt idx="57">
                  <c:v>39783</c:v>
                </c:pt>
                <c:pt idx="58">
                  <c:v>39814</c:v>
                </c:pt>
                <c:pt idx="59">
                  <c:v>39845</c:v>
                </c:pt>
                <c:pt idx="60">
                  <c:v>39873</c:v>
                </c:pt>
                <c:pt idx="61">
                  <c:v>39904</c:v>
                </c:pt>
                <c:pt idx="62">
                  <c:v>39934</c:v>
                </c:pt>
                <c:pt idx="63">
                  <c:v>39965</c:v>
                </c:pt>
                <c:pt idx="64">
                  <c:v>39995</c:v>
                </c:pt>
                <c:pt idx="65">
                  <c:v>40026</c:v>
                </c:pt>
                <c:pt idx="66">
                  <c:v>40057</c:v>
                </c:pt>
                <c:pt idx="67">
                  <c:v>40087</c:v>
                </c:pt>
                <c:pt idx="68">
                  <c:v>40118</c:v>
                </c:pt>
                <c:pt idx="69">
                  <c:v>40148</c:v>
                </c:pt>
                <c:pt idx="70">
                  <c:v>40179</c:v>
                </c:pt>
                <c:pt idx="71">
                  <c:v>40210</c:v>
                </c:pt>
                <c:pt idx="72">
                  <c:v>40238</c:v>
                </c:pt>
                <c:pt idx="73">
                  <c:v>40269</c:v>
                </c:pt>
                <c:pt idx="74">
                  <c:v>40299</c:v>
                </c:pt>
                <c:pt idx="75">
                  <c:v>40330</c:v>
                </c:pt>
                <c:pt idx="76">
                  <c:v>40360</c:v>
                </c:pt>
                <c:pt idx="77">
                  <c:v>40391</c:v>
                </c:pt>
                <c:pt idx="78">
                  <c:v>40422</c:v>
                </c:pt>
                <c:pt idx="79">
                  <c:v>40452</c:v>
                </c:pt>
                <c:pt idx="80">
                  <c:v>40483</c:v>
                </c:pt>
                <c:pt idx="81">
                  <c:v>40513</c:v>
                </c:pt>
                <c:pt idx="82">
                  <c:v>40544</c:v>
                </c:pt>
                <c:pt idx="83">
                  <c:v>40575</c:v>
                </c:pt>
                <c:pt idx="84">
                  <c:v>40603</c:v>
                </c:pt>
                <c:pt idx="85">
                  <c:v>40634</c:v>
                </c:pt>
                <c:pt idx="86">
                  <c:v>40664</c:v>
                </c:pt>
                <c:pt idx="87">
                  <c:v>40695</c:v>
                </c:pt>
                <c:pt idx="88">
                  <c:v>40725</c:v>
                </c:pt>
                <c:pt idx="89">
                  <c:v>40756</c:v>
                </c:pt>
                <c:pt idx="90">
                  <c:v>40787</c:v>
                </c:pt>
                <c:pt idx="91">
                  <c:v>40817</c:v>
                </c:pt>
                <c:pt idx="92">
                  <c:v>40848</c:v>
                </c:pt>
                <c:pt idx="93">
                  <c:v>40878</c:v>
                </c:pt>
                <c:pt idx="94">
                  <c:v>40909</c:v>
                </c:pt>
                <c:pt idx="95">
                  <c:v>40940</c:v>
                </c:pt>
                <c:pt idx="96">
                  <c:v>40969</c:v>
                </c:pt>
                <c:pt idx="97">
                  <c:v>41000</c:v>
                </c:pt>
                <c:pt idx="98">
                  <c:v>41030</c:v>
                </c:pt>
                <c:pt idx="99">
                  <c:v>41061</c:v>
                </c:pt>
                <c:pt idx="100">
                  <c:v>41091</c:v>
                </c:pt>
                <c:pt idx="101">
                  <c:v>41122</c:v>
                </c:pt>
                <c:pt idx="102">
                  <c:v>41153</c:v>
                </c:pt>
                <c:pt idx="103">
                  <c:v>41183</c:v>
                </c:pt>
                <c:pt idx="104">
                  <c:v>41214</c:v>
                </c:pt>
                <c:pt idx="105">
                  <c:v>41244</c:v>
                </c:pt>
                <c:pt idx="106">
                  <c:v>41275</c:v>
                </c:pt>
                <c:pt idx="107">
                  <c:v>41306</c:v>
                </c:pt>
                <c:pt idx="108">
                  <c:v>41334</c:v>
                </c:pt>
                <c:pt idx="109">
                  <c:v>41365</c:v>
                </c:pt>
                <c:pt idx="110">
                  <c:v>41395</c:v>
                </c:pt>
                <c:pt idx="111">
                  <c:v>41426</c:v>
                </c:pt>
                <c:pt idx="112">
                  <c:v>41456</c:v>
                </c:pt>
                <c:pt idx="113">
                  <c:v>41487</c:v>
                </c:pt>
                <c:pt idx="114">
                  <c:v>41518</c:v>
                </c:pt>
                <c:pt idx="115">
                  <c:v>41548</c:v>
                </c:pt>
                <c:pt idx="116">
                  <c:v>41579</c:v>
                </c:pt>
                <c:pt idx="117">
                  <c:v>41609</c:v>
                </c:pt>
                <c:pt idx="118">
                  <c:v>41640</c:v>
                </c:pt>
                <c:pt idx="119">
                  <c:v>41671</c:v>
                </c:pt>
                <c:pt idx="120">
                  <c:v>41699</c:v>
                </c:pt>
                <c:pt idx="121">
                  <c:v>41730</c:v>
                </c:pt>
                <c:pt idx="122">
                  <c:v>41760</c:v>
                </c:pt>
                <c:pt idx="123">
                  <c:v>41791</c:v>
                </c:pt>
                <c:pt idx="124">
                  <c:v>41821</c:v>
                </c:pt>
                <c:pt idx="125">
                  <c:v>41852</c:v>
                </c:pt>
                <c:pt idx="126">
                  <c:v>41883</c:v>
                </c:pt>
                <c:pt idx="127">
                  <c:v>41913</c:v>
                </c:pt>
                <c:pt idx="128">
                  <c:v>41944</c:v>
                </c:pt>
                <c:pt idx="129">
                  <c:v>41974</c:v>
                </c:pt>
                <c:pt idx="130">
                  <c:v>42005</c:v>
                </c:pt>
                <c:pt idx="131">
                  <c:v>42036</c:v>
                </c:pt>
                <c:pt idx="132">
                  <c:v>42064</c:v>
                </c:pt>
                <c:pt idx="133">
                  <c:v>42095</c:v>
                </c:pt>
                <c:pt idx="134">
                  <c:v>42125</c:v>
                </c:pt>
                <c:pt idx="135">
                  <c:v>42156</c:v>
                </c:pt>
                <c:pt idx="136">
                  <c:v>42186</c:v>
                </c:pt>
                <c:pt idx="137">
                  <c:v>42217</c:v>
                </c:pt>
                <c:pt idx="138">
                  <c:v>42248</c:v>
                </c:pt>
                <c:pt idx="139">
                  <c:v>42278</c:v>
                </c:pt>
                <c:pt idx="140">
                  <c:v>42309</c:v>
                </c:pt>
                <c:pt idx="141">
                  <c:v>42339</c:v>
                </c:pt>
                <c:pt idx="142">
                  <c:v>42370</c:v>
                </c:pt>
                <c:pt idx="143">
                  <c:v>42401</c:v>
                </c:pt>
                <c:pt idx="144">
                  <c:v>42430</c:v>
                </c:pt>
                <c:pt idx="145">
                  <c:v>42461</c:v>
                </c:pt>
                <c:pt idx="146">
                  <c:v>42491</c:v>
                </c:pt>
                <c:pt idx="147">
                  <c:v>42522</c:v>
                </c:pt>
                <c:pt idx="148">
                  <c:v>42552</c:v>
                </c:pt>
                <c:pt idx="149">
                  <c:v>42583</c:v>
                </c:pt>
                <c:pt idx="150">
                  <c:v>42614</c:v>
                </c:pt>
                <c:pt idx="151">
                  <c:v>42644</c:v>
                </c:pt>
                <c:pt idx="152">
                  <c:v>42675</c:v>
                </c:pt>
                <c:pt idx="153">
                  <c:v>42705</c:v>
                </c:pt>
                <c:pt idx="154">
                  <c:v>42736</c:v>
                </c:pt>
                <c:pt idx="155">
                  <c:v>42767</c:v>
                </c:pt>
                <c:pt idx="156">
                  <c:v>42795</c:v>
                </c:pt>
                <c:pt idx="157">
                  <c:v>42826</c:v>
                </c:pt>
                <c:pt idx="158">
                  <c:v>42856</c:v>
                </c:pt>
                <c:pt idx="159">
                  <c:v>42887</c:v>
                </c:pt>
                <c:pt idx="160">
                  <c:v>42917</c:v>
                </c:pt>
                <c:pt idx="161">
                  <c:v>42948</c:v>
                </c:pt>
                <c:pt idx="162">
                  <c:v>42979</c:v>
                </c:pt>
                <c:pt idx="163">
                  <c:v>43009</c:v>
                </c:pt>
                <c:pt idx="164">
                  <c:v>43040</c:v>
                </c:pt>
                <c:pt idx="165">
                  <c:v>43070</c:v>
                </c:pt>
                <c:pt idx="166">
                  <c:v>43101</c:v>
                </c:pt>
                <c:pt idx="167">
                  <c:v>43132</c:v>
                </c:pt>
                <c:pt idx="168">
                  <c:v>43160</c:v>
                </c:pt>
                <c:pt idx="169">
                  <c:v>43191</c:v>
                </c:pt>
                <c:pt idx="170">
                  <c:v>43221</c:v>
                </c:pt>
                <c:pt idx="171">
                  <c:v>43252</c:v>
                </c:pt>
                <c:pt idx="172">
                  <c:v>43282</c:v>
                </c:pt>
                <c:pt idx="173">
                  <c:v>43313</c:v>
                </c:pt>
                <c:pt idx="174">
                  <c:v>43344</c:v>
                </c:pt>
                <c:pt idx="175">
                  <c:v>43374</c:v>
                </c:pt>
                <c:pt idx="176">
                  <c:v>43405</c:v>
                </c:pt>
                <c:pt idx="177">
                  <c:v>43435</c:v>
                </c:pt>
                <c:pt idx="178">
                  <c:v>43466</c:v>
                </c:pt>
                <c:pt idx="179">
                  <c:v>43497</c:v>
                </c:pt>
                <c:pt idx="180">
                  <c:v>43525</c:v>
                </c:pt>
                <c:pt idx="181">
                  <c:v>43556</c:v>
                </c:pt>
                <c:pt idx="182">
                  <c:v>43586</c:v>
                </c:pt>
                <c:pt idx="183">
                  <c:v>43617</c:v>
                </c:pt>
                <c:pt idx="184">
                  <c:v>43647</c:v>
                </c:pt>
                <c:pt idx="185">
                  <c:v>43678</c:v>
                </c:pt>
                <c:pt idx="186">
                  <c:v>43709</c:v>
                </c:pt>
                <c:pt idx="187">
                  <c:v>43739</c:v>
                </c:pt>
                <c:pt idx="188">
                  <c:v>43770</c:v>
                </c:pt>
                <c:pt idx="189">
                  <c:v>43800</c:v>
                </c:pt>
                <c:pt idx="190">
                  <c:v>43831</c:v>
                </c:pt>
                <c:pt idx="191">
                  <c:v>43862</c:v>
                </c:pt>
                <c:pt idx="192">
                  <c:v>43891</c:v>
                </c:pt>
                <c:pt idx="193">
                  <c:v>43922</c:v>
                </c:pt>
                <c:pt idx="194">
                  <c:v>43952</c:v>
                </c:pt>
                <c:pt idx="195">
                  <c:v>43983</c:v>
                </c:pt>
                <c:pt idx="196">
                  <c:v>44013</c:v>
                </c:pt>
                <c:pt idx="197">
                  <c:v>44044</c:v>
                </c:pt>
                <c:pt idx="198">
                  <c:v>44075</c:v>
                </c:pt>
                <c:pt idx="199">
                  <c:v>44105</c:v>
                </c:pt>
                <c:pt idx="200">
                  <c:v>44136</c:v>
                </c:pt>
                <c:pt idx="201">
                  <c:v>44166</c:v>
                </c:pt>
                <c:pt idx="202">
                  <c:v>44197</c:v>
                </c:pt>
                <c:pt idx="203">
                  <c:v>44228</c:v>
                </c:pt>
                <c:pt idx="204">
                  <c:v>44256</c:v>
                </c:pt>
                <c:pt idx="205">
                  <c:v>44287</c:v>
                </c:pt>
                <c:pt idx="206">
                  <c:v>44317</c:v>
                </c:pt>
                <c:pt idx="207">
                  <c:v>44348</c:v>
                </c:pt>
                <c:pt idx="208">
                  <c:v>44378</c:v>
                </c:pt>
                <c:pt idx="209">
                  <c:v>44409</c:v>
                </c:pt>
                <c:pt idx="210">
                  <c:v>44440</c:v>
                </c:pt>
                <c:pt idx="211">
                  <c:v>44470</c:v>
                </c:pt>
                <c:pt idx="212">
                  <c:v>44501</c:v>
                </c:pt>
                <c:pt idx="213">
                  <c:v>44531</c:v>
                </c:pt>
                <c:pt idx="214">
                  <c:v>44562</c:v>
                </c:pt>
                <c:pt idx="215">
                  <c:v>44593</c:v>
                </c:pt>
                <c:pt idx="216">
                  <c:v>44621</c:v>
                </c:pt>
                <c:pt idx="217">
                  <c:v>44652</c:v>
                </c:pt>
                <c:pt idx="218">
                  <c:v>44682</c:v>
                </c:pt>
                <c:pt idx="219">
                  <c:v>44713</c:v>
                </c:pt>
                <c:pt idx="220">
                  <c:v>44743</c:v>
                </c:pt>
                <c:pt idx="221">
                  <c:v>44774</c:v>
                </c:pt>
                <c:pt idx="222">
                  <c:v>44805</c:v>
                </c:pt>
                <c:pt idx="223">
                  <c:v>44835</c:v>
                </c:pt>
                <c:pt idx="224">
                  <c:v>44866</c:v>
                </c:pt>
                <c:pt idx="225">
                  <c:v>44896</c:v>
                </c:pt>
                <c:pt idx="226">
                  <c:v>44927</c:v>
                </c:pt>
                <c:pt idx="227">
                  <c:v>44958</c:v>
                </c:pt>
                <c:pt idx="228">
                  <c:v>44986</c:v>
                </c:pt>
                <c:pt idx="229">
                  <c:v>45017</c:v>
                </c:pt>
                <c:pt idx="230">
                  <c:v>45047</c:v>
                </c:pt>
                <c:pt idx="231">
                  <c:v>45078</c:v>
                </c:pt>
                <c:pt idx="232">
                  <c:v>45108</c:v>
                </c:pt>
                <c:pt idx="233">
                  <c:v>45139</c:v>
                </c:pt>
                <c:pt idx="234">
                  <c:v>45170</c:v>
                </c:pt>
                <c:pt idx="235">
                  <c:v>45200</c:v>
                </c:pt>
                <c:pt idx="236">
                  <c:v>45231</c:v>
                </c:pt>
                <c:pt idx="237">
                  <c:v>45261</c:v>
                </c:pt>
                <c:pt idx="238">
                  <c:v>45292</c:v>
                </c:pt>
                <c:pt idx="239">
                  <c:v>45323</c:v>
                </c:pt>
                <c:pt idx="240">
                  <c:v>45352</c:v>
                </c:pt>
              </c:numCache>
            </c:numRef>
          </c:cat>
          <c:val>
            <c:numRef>
              <c:f>'Figure 3'!$C$5:$C$245</c:f>
              <c:numCache>
                <c:formatCode>0%</c:formatCode>
                <c:ptCount val="241"/>
                <c:pt idx="0">
                  <c:v>1.4862600610016773E-2</c:v>
                </c:pt>
                <c:pt idx="1">
                  <c:v>1.6119808394378109E-2</c:v>
                </c:pt>
                <c:pt idx="2">
                  <c:v>1.5907415386978579E-2</c:v>
                </c:pt>
                <c:pt idx="3">
                  <c:v>1.8981450837671752E-2</c:v>
                </c:pt>
                <c:pt idx="4">
                  <c:v>2.0841147281666923E-2</c:v>
                </c:pt>
                <c:pt idx="5">
                  <c:v>1.433541043339543E-2</c:v>
                </c:pt>
                <c:pt idx="6">
                  <c:v>1.9456302816335504E-2</c:v>
                </c:pt>
                <c:pt idx="7">
                  <c:v>2.2639798700845277E-2</c:v>
                </c:pt>
                <c:pt idx="8">
                  <c:v>2.7064368659782356E-2</c:v>
                </c:pt>
                <c:pt idx="9">
                  <c:v>2.4566741062109054E-2</c:v>
                </c:pt>
                <c:pt idx="10">
                  <c:v>3.0034913060555776E-2</c:v>
                </c:pt>
                <c:pt idx="11">
                  <c:v>3.2708294434091213E-2</c:v>
                </c:pt>
                <c:pt idx="12">
                  <c:v>3.3404717631531786E-2</c:v>
                </c:pt>
                <c:pt idx="13">
                  <c:v>3.6419584180048391E-2</c:v>
                </c:pt>
                <c:pt idx="14">
                  <c:v>3.3016237545844304E-2</c:v>
                </c:pt>
                <c:pt idx="15">
                  <c:v>3.7366561929837373E-2</c:v>
                </c:pt>
                <c:pt idx="16">
                  <c:v>3.7980231283810527E-2</c:v>
                </c:pt>
                <c:pt idx="17">
                  <c:v>4.2914422791209987E-2</c:v>
                </c:pt>
                <c:pt idx="18">
                  <c:v>3.5113023048428775E-2</c:v>
                </c:pt>
                <c:pt idx="19">
                  <c:v>2.977887979268699E-2</c:v>
                </c:pt>
                <c:pt idx="20">
                  <c:v>2.673773611566101E-2</c:v>
                </c:pt>
                <c:pt idx="21">
                  <c:v>2.732962401918507E-2</c:v>
                </c:pt>
                <c:pt idx="22">
                  <c:v>2.181905266684107E-2</c:v>
                </c:pt>
                <c:pt idx="23">
                  <c:v>2.2289195281389885E-2</c:v>
                </c:pt>
                <c:pt idx="24">
                  <c:v>2.2201822607560776E-2</c:v>
                </c:pt>
                <c:pt idx="25">
                  <c:v>1.8905674783565619E-2</c:v>
                </c:pt>
                <c:pt idx="26">
                  <c:v>2.3390888199437413E-2</c:v>
                </c:pt>
                <c:pt idx="27">
                  <c:v>2.2648511073938057E-2</c:v>
                </c:pt>
                <c:pt idx="28">
                  <c:v>2.632779008846977E-2</c:v>
                </c:pt>
                <c:pt idx="29">
                  <c:v>2.3623873881245126E-2</c:v>
                </c:pt>
                <c:pt idx="30">
                  <c:v>2.9718375098223799E-2</c:v>
                </c:pt>
                <c:pt idx="31">
                  <c:v>2.6461448188376341E-2</c:v>
                </c:pt>
                <c:pt idx="32">
                  <c:v>2.888702631556702E-2</c:v>
                </c:pt>
                <c:pt idx="33">
                  <c:v>3.263069910363648E-2</c:v>
                </c:pt>
                <c:pt idx="34">
                  <c:v>3.2292128945166532E-2</c:v>
                </c:pt>
                <c:pt idx="35">
                  <c:v>3.1534641651492452E-2</c:v>
                </c:pt>
                <c:pt idx="36">
                  <c:v>3.0165434865351823E-2</c:v>
                </c:pt>
                <c:pt idx="37">
                  <c:v>3.2323013409673793E-2</c:v>
                </c:pt>
                <c:pt idx="38">
                  <c:v>3.3015798524772912E-2</c:v>
                </c:pt>
                <c:pt idx="39">
                  <c:v>3.116706971758931E-2</c:v>
                </c:pt>
                <c:pt idx="40">
                  <c:v>2.8117297516138763E-2</c:v>
                </c:pt>
                <c:pt idx="41">
                  <c:v>2.9992437551947436E-2</c:v>
                </c:pt>
                <c:pt idx="42">
                  <c:v>2.8409779081400761E-2</c:v>
                </c:pt>
                <c:pt idx="43">
                  <c:v>3.0253111407675035E-2</c:v>
                </c:pt>
                <c:pt idx="44">
                  <c:v>3.2437619347406771E-2</c:v>
                </c:pt>
                <c:pt idx="45">
                  <c:v>2.9167467957454816E-2</c:v>
                </c:pt>
                <c:pt idx="46">
                  <c:v>3.221511230024094E-2</c:v>
                </c:pt>
                <c:pt idx="47">
                  <c:v>3.3085188245416078E-2</c:v>
                </c:pt>
                <c:pt idx="48">
                  <c:v>3.2208941454120954E-2</c:v>
                </c:pt>
                <c:pt idx="49">
                  <c:v>3.3024116491836862E-2</c:v>
                </c:pt>
                <c:pt idx="50">
                  <c:v>2.6765322486621397E-2</c:v>
                </c:pt>
                <c:pt idx="51">
                  <c:v>2.9653265574636677E-2</c:v>
                </c:pt>
                <c:pt idx="52">
                  <c:v>2.9142493892895797E-2</c:v>
                </c:pt>
                <c:pt idx="53">
                  <c:v>2.9481880042752418E-2</c:v>
                </c:pt>
                <c:pt idx="54">
                  <c:v>2.5122710511486818E-2</c:v>
                </c:pt>
                <c:pt idx="55">
                  <c:v>2.6971335779256003E-2</c:v>
                </c:pt>
                <c:pt idx="56">
                  <c:v>2.0776131759657007E-2</c:v>
                </c:pt>
                <c:pt idx="57">
                  <c:v>1.955164969315918E-2</c:v>
                </c:pt>
                <c:pt idx="58">
                  <c:v>1.70436795572802E-2</c:v>
                </c:pt>
                <c:pt idx="59">
                  <c:v>1.4606129457532348E-2</c:v>
                </c:pt>
                <c:pt idx="60">
                  <c:v>9.4554160746769672E-3</c:v>
                </c:pt>
                <c:pt idx="61">
                  <c:v>8.0163660367493401E-3</c:v>
                </c:pt>
                <c:pt idx="62">
                  <c:v>8.6706875315500365E-3</c:v>
                </c:pt>
                <c:pt idx="63">
                  <c:v>2.026636849896085E-3</c:v>
                </c:pt>
                <c:pt idx="64">
                  <c:v>4.4623249218132379E-3</c:v>
                </c:pt>
                <c:pt idx="65">
                  <c:v>-3.6641091338472919E-4</c:v>
                </c:pt>
                <c:pt idx="66">
                  <c:v>3.0014441886165172E-3</c:v>
                </c:pt>
                <c:pt idx="67">
                  <c:v>3.0682041125720404E-3</c:v>
                </c:pt>
                <c:pt idx="68">
                  <c:v>6.4698149490690412E-3</c:v>
                </c:pt>
                <c:pt idx="69">
                  <c:v>9.1050969985694129E-3</c:v>
                </c:pt>
                <c:pt idx="70">
                  <c:v>1.3524611307631235E-2</c:v>
                </c:pt>
                <c:pt idx="71">
                  <c:v>1.0715024320008001E-2</c:v>
                </c:pt>
                <c:pt idx="72">
                  <c:v>1.4392230405679572E-2</c:v>
                </c:pt>
                <c:pt idx="73">
                  <c:v>1.3249783456342206E-2</c:v>
                </c:pt>
                <c:pt idx="74">
                  <c:v>1.5426415529750926E-2</c:v>
                </c:pt>
                <c:pt idx="75">
                  <c:v>2.20930715792317E-2</c:v>
                </c:pt>
                <c:pt idx="76">
                  <c:v>2.0348956088572137E-2</c:v>
                </c:pt>
                <c:pt idx="77">
                  <c:v>2.5165625883026229E-2</c:v>
                </c:pt>
                <c:pt idx="78">
                  <c:v>2.5646555604013851E-2</c:v>
                </c:pt>
                <c:pt idx="79">
                  <c:v>2.6236912130134373E-2</c:v>
                </c:pt>
                <c:pt idx="80">
                  <c:v>2.8784991293633343E-2</c:v>
                </c:pt>
                <c:pt idx="81">
                  <c:v>2.5888926650406183E-2</c:v>
                </c:pt>
                <c:pt idx="82">
                  <c:v>2.4197401402413877E-2</c:v>
                </c:pt>
                <c:pt idx="83">
                  <c:v>2.3403300236292984E-2</c:v>
                </c:pt>
                <c:pt idx="84">
                  <c:v>2.6491529957402924E-2</c:v>
                </c:pt>
                <c:pt idx="85">
                  <c:v>2.2384504919763765E-2</c:v>
                </c:pt>
                <c:pt idx="86">
                  <c:v>2.1379404060211576E-2</c:v>
                </c:pt>
                <c:pt idx="87">
                  <c:v>1.9361962342054326E-2</c:v>
                </c:pt>
                <c:pt idx="88">
                  <c:v>1.7306305696364467E-2</c:v>
                </c:pt>
                <c:pt idx="89">
                  <c:v>1.4269897256835301E-2</c:v>
                </c:pt>
                <c:pt idx="90">
                  <c:v>1.4315912522073048E-2</c:v>
                </c:pt>
                <c:pt idx="91">
                  <c:v>1.3041260534442985E-2</c:v>
                </c:pt>
                <c:pt idx="92">
                  <c:v>8.0265604585381782E-3</c:v>
                </c:pt>
                <c:pt idx="93">
                  <c:v>5.5739270151137334E-3</c:v>
                </c:pt>
                <c:pt idx="94">
                  <c:v>9.5088654805890703E-3</c:v>
                </c:pt>
                <c:pt idx="95">
                  <c:v>8.5744942660659178E-3</c:v>
                </c:pt>
                <c:pt idx="96">
                  <c:v>1.0535922817223708E-2</c:v>
                </c:pt>
                <c:pt idx="97">
                  <c:v>1.2471063670063788E-2</c:v>
                </c:pt>
                <c:pt idx="98">
                  <c:v>1.7124147719497638E-2</c:v>
                </c:pt>
                <c:pt idx="99">
                  <c:v>1.1860061518182046E-2</c:v>
                </c:pt>
                <c:pt idx="100">
                  <c:v>1.2386145286643281E-2</c:v>
                </c:pt>
                <c:pt idx="101">
                  <c:v>1.267363143935179E-2</c:v>
                </c:pt>
                <c:pt idx="102">
                  <c:v>1.2810127327407517E-2</c:v>
                </c:pt>
                <c:pt idx="103">
                  <c:v>1.260132131689334E-2</c:v>
                </c:pt>
                <c:pt idx="104">
                  <c:v>1.1755701348283713E-2</c:v>
                </c:pt>
                <c:pt idx="105">
                  <c:v>1.4668136792268123E-2</c:v>
                </c:pt>
                <c:pt idx="106">
                  <c:v>1.4230742632918517E-2</c:v>
                </c:pt>
                <c:pt idx="107">
                  <c:v>1.746826719777533E-2</c:v>
                </c:pt>
                <c:pt idx="108">
                  <c:v>8.9612601619334861E-3</c:v>
                </c:pt>
                <c:pt idx="109">
                  <c:v>1.2826329321061994E-2</c:v>
                </c:pt>
                <c:pt idx="110">
                  <c:v>8.2342573320474573E-3</c:v>
                </c:pt>
                <c:pt idx="111">
                  <c:v>1.1601644298055392E-2</c:v>
                </c:pt>
                <c:pt idx="112">
                  <c:v>9.5821146990832367E-3</c:v>
                </c:pt>
                <c:pt idx="113">
                  <c:v>8.7053945132035022E-3</c:v>
                </c:pt>
                <c:pt idx="114">
                  <c:v>7.3990322306196447E-3</c:v>
                </c:pt>
                <c:pt idx="115">
                  <c:v>6.9879145618790914E-3</c:v>
                </c:pt>
                <c:pt idx="116">
                  <c:v>5.6320340690310285E-3</c:v>
                </c:pt>
                <c:pt idx="117">
                  <c:v>1.9282234248868323E-3</c:v>
                </c:pt>
                <c:pt idx="118">
                  <c:v>-1.2552118011091879E-3</c:v>
                </c:pt>
                <c:pt idx="119">
                  <c:v>9.7358248909630715E-4</c:v>
                </c:pt>
                <c:pt idx="120">
                  <c:v>8.4837175550327645E-3</c:v>
                </c:pt>
                <c:pt idx="121">
                  <c:v>6.1514447460481432E-3</c:v>
                </c:pt>
                <c:pt idx="122">
                  <c:v>4.8125440494911622E-3</c:v>
                </c:pt>
                <c:pt idx="123">
                  <c:v>5.1014058758198609E-3</c:v>
                </c:pt>
                <c:pt idx="124">
                  <c:v>7.6332672829484E-3</c:v>
                </c:pt>
                <c:pt idx="125">
                  <c:v>7.7525327270425879E-3</c:v>
                </c:pt>
                <c:pt idx="126">
                  <c:v>6.3044874228056665E-3</c:v>
                </c:pt>
                <c:pt idx="127">
                  <c:v>6.2597927363875405E-3</c:v>
                </c:pt>
                <c:pt idx="128">
                  <c:v>8.1554193516007456E-3</c:v>
                </c:pt>
                <c:pt idx="129">
                  <c:v>1.5695116310979102E-2</c:v>
                </c:pt>
                <c:pt idx="130">
                  <c:v>1.3552603336348088E-2</c:v>
                </c:pt>
                <c:pt idx="131">
                  <c:v>1.6752865121242487E-2</c:v>
                </c:pt>
                <c:pt idx="132">
                  <c:v>1.3984940568467484E-2</c:v>
                </c:pt>
                <c:pt idx="133">
                  <c:v>1.3353589818313636E-2</c:v>
                </c:pt>
                <c:pt idx="134">
                  <c:v>1.9153692799229832E-2</c:v>
                </c:pt>
                <c:pt idx="135">
                  <c:v>1.7241793706297599E-2</c:v>
                </c:pt>
                <c:pt idx="136">
                  <c:v>1.8622479357042841E-2</c:v>
                </c:pt>
                <c:pt idx="137">
                  <c:v>1.8659039377405713E-2</c:v>
                </c:pt>
                <c:pt idx="138">
                  <c:v>2.0517651417231244E-2</c:v>
                </c:pt>
                <c:pt idx="139">
                  <c:v>2.7590556648456808E-2</c:v>
                </c:pt>
                <c:pt idx="140">
                  <c:v>3.0463817433332652E-2</c:v>
                </c:pt>
                <c:pt idx="141">
                  <c:v>2.6610588148544747E-2</c:v>
                </c:pt>
                <c:pt idx="142">
                  <c:v>2.6275323912604766E-2</c:v>
                </c:pt>
                <c:pt idx="143">
                  <c:v>2.1646774550164199E-2</c:v>
                </c:pt>
                <c:pt idx="144">
                  <c:v>2.1213934607559545E-2</c:v>
                </c:pt>
                <c:pt idx="145">
                  <c:v>2.1880068488301721E-2</c:v>
                </c:pt>
                <c:pt idx="146">
                  <c:v>1.7727983359861605E-2</c:v>
                </c:pt>
                <c:pt idx="147">
                  <c:v>2.0084788754892911E-2</c:v>
                </c:pt>
                <c:pt idx="148">
                  <c:v>1.9938560287417736E-2</c:v>
                </c:pt>
                <c:pt idx="149">
                  <c:v>1.6172189963417644E-2</c:v>
                </c:pt>
                <c:pt idx="150">
                  <c:v>1.3363768333007953E-2</c:v>
                </c:pt>
                <c:pt idx="151">
                  <c:v>8.373961648018154E-3</c:v>
                </c:pt>
                <c:pt idx="152">
                  <c:v>7.8292086078351215E-3</c:v>
                </c:pt>
                <c:pt idx="153">
                  <c:v>9.1431242210833971E-3</c:v>
                </c:pt>
                <c:pt idx="154">
                  <c:v>1.0683916415354626E-2</c:v>
                </c:pt>
                <c:pt idx="155">
                  <c:v>7.434588022268789E-3</c:v>
                </c:pt>
                <c:pt idx="156">
                  <c:v>1.1176437686190799E-2</c:v>
                </c:pt>
                <c:pt idx="157">
                  <c:v>1.542070558158099E-2</c:v>
                </c:pt>
                <c:pt idx="158">
                  <c:v>1.8674598763050054E-2</c:v>
                </c:pt>
                <c:pt idx="159">
                  <c:v>1.9608371237768509E-2</c:v>
                </c:pt>
                <c:pt idx="160">
                  <c:v>1.980666152373901E-2</c:v>
                </c:pt>
                <c:pt idx="161">
                  <c:v>2.7646601439455885E-2</c:v>
                </c:pt>
                <c:pt idx="162">
                  <c:v>3.2085708106318944E-2</c:v>
                </c:pt>
                <c:pt idx="163">
                  <c:v>3.0743620293106226E-2</c:v>
                </c:pt>
                <c:pt idx="164">
                  <c:v>3.206716669821285E-2</c:v>
                </c:pt>
                <c:pt idx="165">
                  <c:v>3.1842427344651869E-2</c:v>
                </c:pt>
                <c:pt idx="166">
                  <c:v>3.3378368191092404E-2</c:v>
                </c:pt>
                <c:pt idx="167">
                  <c:v>3.3966924493272641E-2</c:v>
                </c:pt>
                <c:pt idx="168">
                  <c:v>3.0460982816815779E-2</c:v>
                </c:pt>
                <c:pt idx="169">
                  <c:v>2.7045563656932697E-2</c:v>
                </c:pt>
                <c:pt idx="170">
                  <c:v>2.3729604857113961E-2</c:v>
                </c:pt>
                <c:pt idx="171">
                  <c:v>2.671861871243628E-2</c:v>
                </c:pt>
                <c:pt idx="172">
                  <c:v>2.3338158756992959E-2</c:v>
                </c:pt>
                <c:pt idx="173">
                  <c:v>2.4558845075124808E-2</c:v>
                </c:pt>
                <c:pt idx="174">
                  <c:v>2.2489322615231639E-2</c:v>
                </c:pt>
                <c:pt idx="175">
                  <c:v>2.4143515364458974E-2</c:v>
                </c:pt>
                <c:pt idx="176">
                  <c:v>2.2298193646096989E-2</c:v>
                </c:pt>
                <c:pt idx="177">
                  <c:v>2.1759864406594116E-2</c:v>
                </c:pt>
                <c:pt idx="178">
                  <c:v>2.2496609732392269E-2</c:v>
                </c:pt>
                <c:pt idx="179">
                  <c:v>2.4273446143442911E-2</c:v>
                </c:pt>
                <c:pt idx="180">
                  <c:v>2.4487650982868855E-2</c:v>
                </c:pt>
                <c:pt idx="181">
                  <c:v>2.5850279611687229E-2</c:v>
                </c:pt>
                <c:pt idx="182">
                  <c:v>2.7163488717677355E-2</c:v>
                </c:pt>
                <c:pt idx="183">
                  <c:v>2.2488566825441456E-2</c:v>
                </c:pt>
                <c:pt idx="184">
                  <c:v>2.5070259662212373E-2</c:v>
                </c:pt>
                <c:pt idx="185">
                  <c:v>2.3567127344902555E-2</c:v>
                </c:pt>
                <c:pt idx="186">
                  <c:v>2.3924208403423367E-2</c:v>
                </c:pt>
                <c:pt idx="187">
                  <c:v>1.8070007807266138E-2</c:v>
                </c:pt>
                <c:pt idx="188">
                  <c:v>1.832457664029602E-2</c:v>
                </c:pt>
                <c:pt idx="189">
                  <c:v>1.9995910881850359E-2</c:v>
                </c:pt>
                <c:pt idx="190">
                  <c:v>1.7145530394768595E-2</c:v>
                </c:pt>
                <c:pt idx="191">
                  <c:v>1.6102795230136711E-2</c:v>
                </c:pt>
                <c:pt idx="192">
                  <c:v>1.392440104533086E-2</c:v>
                </c:pt>
                <c:pt idx="193">
                  <c:v>-3.4446309315516239E-2</c:v>
                </c:pt>
                <c:pt idx="194">
                  <c:v>-5.7930009142223432E-2</c:v>
                </c:pt>
                <c:pt idx="195">
                  <c:v>-4.0944988501182583E-2</c:v>
                </c:pt>
                <c:pt idx="196">
                  <c:v>-3.277259968615176E-2</c:v>
                </c:pt>
                <c:pt idx="197">
                  <c:v>-2.577617375255584E-2</c:v>
                </c:pt>
                <c:pt idx="198">
                  <c:v>-2.9722575015625512E-2</c:v>
                </c:pt>
                <c:pt idx="199">
                  <c:v>-1.5249880862180912E-2</c:v>
                </c:pt>
                <c:pt idx="200">
                  <c:v>-1.0103396045197994E-2</c:v>
                </c:pt>
                <c:pt idx="201">
                  <c:v>-9.8013880240737025E-3</c:v>
                </c:pt>
                <c:pt idx="202">
                  <c:v>-7.7057256595355703E-3</c:v>
                </c:pt>
                <c:pt idx="203">
                  <c:v>-3.0038985735490287E-3</c:v>
                </c:pt>
                <c:pt idx="204">
                  <c:v>2.3597438567889962E-3</c:v>
                </c:pt>
                <c:pt idx="205">
                  <c:v>4.8648717657248514E-2</c:v>
                </c:pt>
                <c:pt idx="206">
                  <c:v>8.1759992474867885E-2</c:v>
                </c:pt>
                <c:pt idx="207">
                  <c:v>6.3523074432966689E-2</c:v>
                </c:pt>
                <c:pt idx="208">
                  <c:v>5.3904247462793466E-2</c:v>
                </c:pt>
                <c:pt idx="209">
                  <c:v>3.1595902114270789E-2</c:v>
                </c:pt>
                <c:pt idx="210">
                  <c:v>2.4521236953790389E-2</c:v>
                </c:pt>
                <c:pt idx="211">
                  <c:v>9.3700422795198312E-3</c:v>
                </c:pt>
                <c:pt idx="212">
                  <c:v>3.143915893738173E-2</c:v>
                </c:pt>
                <c:pt idx="213">
                  <c:v>3.4022487548391656E-2</c:v>
                </c:pt>
                <c:pt idx="214">
                  <c:v>3.4636699339099332E-2</c:v>
                </c:pt>
                <c:pt idx="215">
                  <c:v>3.7273245099827115E-2</c:v>
                </c:pt>
                <c:pt idx="216">
                  <c:v>3.368089356722094E-2</c:v>
                </c:pt>
                <c:pt idx="217">
                  <c:v>3.8523456649871529E-2</c:v>
                </c:pt>
                <c:pt idx="218">
                  <c:v>3.4071518875633588E-2</c:v>
                </c:pt>
                <c:pt idx="219">
                  <c:v>3.9819615176676683E-2</c:v>
                </c:pt>
                <c:pt idx="220">
                  <c:v>3.8599092140764402E-2</c:v>
                </c:pt>
                <c:pt idx="221">
                  <c:v>5.4311872845261636E-2</c:v>
                </c:pt>
                <c:pt idx="222">
                  <c:v>6.5547456009778723E-2</c:v>
                </c:pt>
                <c:pt idx="223">
                  <c:v>7.2642915466574726E-2</c:v>
                </c:pt>
                <c:pt idx="224">
                  <c:v>4.7978419476184087E-2</c:v>
                </c:pt>
                <c:pt idx="225">
                  <c:v>4.0565590268184855E-2</c:v>
                </c:pt>
                <c:pt idx="226">
                  <c:v>3.7670930504560045E-2</c:v>
                </c:pt>
                <c:pt idx="227">
                  <c:v>3.4431701970908973E-2</c:v>
                </c:pt>
                <c:pt idx="228">
                  <c:v>3.9675447511367784E-2</c:v>
                </c:pt>
                <c:pt idx="229">
                  <c:v>3.4756671111696356E-2</c:v>
                </c:pt>
                <c:pt idx="230">
                  <c:v>3.8251447418927886E-2</c:v>
                </c:pt>
                <c:pt idx="231">
                  <c:v>3.2029208095372172E-2</c:v>
                </c:pt>
                <c:pt idx="232">
                  <c:v>3.1487192566765194E-2</c:v>
                </c:pt>
                <c:pt idx="233">
                  <c:v>3.1005473555192613E-2</c:v>
                </c:pt>
                <c:pt idx="234">
                  <c:v>3.0530651006067056E-2</c:v>
                </c:pt>
                <c:pt idx="235">
                  <c:v>3.1751926531486195E-2</c:v>
                </c:pt>
                <c:pt idx="236">
                  <c:v>3.0414134381919342E-2</c:v>
                </c:pt>
                <c:pt idx="237">
                  <c:v>2.6996244776136099E-2</c:v>
                </c:pt>
                <c:pt idx="238">
                  <c:v>2.6149586345243447E-2</c:v>
                </c:pt>
                <c:pt idx="239">
                  <c:v>3.1540083833564998E-2</c:v>
                </c:pt>
                <c:pt idx="240">
                  <c:v>2.41998602489252E-2</c:v>
                </c:pt>
              </c:numCache>
            </c:numRef>
          </c:val>
          <c:extLst>
            <c:ext xmlns:c16="http://schemas.microsoft.com/office/drawing/2014/chart" uri="{C3380CC4-5D6E-409C-BE32-E72D297353CC}">
              <c16:uniqueId val="{00000000-1B0F-41EB-B1D8-9ED279B02BC7}"/>
            </c:ext>
          </c:extLst>
        </c:ser>
        <c:dLbls>
          <c:showLegendKey val="0"/>
          <c:showVal val="0"/>
          <c:showCatName val="0"/>
          <c:showSerName val="0"/>
          <c:showPercent val="0"/>
          <c:showBubbleSize val="0"/>
        </c:dLbls>
        <c:gapWidth val="150"/>
        <c:axId val="1932669072"/>
        <c:axId val="2078416544"/>
      </c:barChart>
      <c:lineChart>
        <c:grouping val="standard"/>
        <c:varyColors val="0"/>
        <c:ser>
          <c:idx val="0"/>
          <c:order val="0"/>
          <c:tx>
            <c:strRef>
              <c:f>'Figure 3'!$B$4</c:f>
              <c:strCache>
                <c:ptCount val="1"/>
                <c:pt idx="0">
                  <c:v>LTU ('000) (LHS)</c:v>
                </c:pt>
              </c:strCache>
            </c:strRef>
          </c:tx>
          <c:spPr>
            <a:ln w="28575" cap="rnd">
              <a:solidFill>
                <a:schemeClr val="accent1"/>
              </a:solidFill>
              <a:round/>
            </a:ln>
            <a:effectLst/>
          </c:spPr>
          <c:marker>
            <c:symbol val="none"/>
          </c:marker>
          <c:cat>
            <c:numRef>
              <c:f>'Figure 3'!$A$5:$A$245</c:f>
              <c:numCache>
                <c:formatCode>mmm\-yy</c:formatCode>
                <c:ptCount val="241"/>
                <c:pt idx="0">
                  <c:v>38047</c:v>
                </c:pt>
                <c:pt idx="1">
                  <c:v>38078</c:v>
                </c:pt>
                <c:pt idx="2">
                  <c:v>38108</c:v>
                </c:pt>
                <c:pt idx="3">
                  <c:v>38139</c:v>
                </c:pt>
                <c:pt idx="4">
                  <c:v>38169</c:v>
                </c:pt>
                <c:pt idx="5">
                  <c:v>38200</c:v>
                </c:pt>
                <c:pt idx="6">
                  <c:v>38231</c:v>
                </c:pt>
                <c:pt idx="7">
                  <c:v>38261</c:v>
                </c:pt>
                <c:pt idx="8">
                  <c:v>38292</c:v>
                </c:pt>
                <c:pt idx="9">
                  <c:v>38322</c:v>
                </c:pt>
                <c:pt idx="10">
                  <c:v>38353</c:v>
                </c:pt>
                <c:pt idx="11">
                  <c:v>38384</c:v>
                </c:pt>
                <c:pt idx="12">
                  <c:v>38412</c:v>
                </c:pt>
                <c:pt idx="13">
                  <c:v>38443</c:v>
                </c:pt>
                <c:pt idx="14">
                  <c:v>38473</c:v>
                </c:pt>
                <c:pt idx="15">
                  <c:v>38504</c:v>
                </c:pt>
                <c:pt idx="16">
                  <c:v>38534</c:v>
                </c:pt>
                <c:pt idx="17">
                  <c:v>38565</c:v>
                </c:pt>
                <c:pt idx="18">
                  <c:v>38596</c:v>
                </c:pt>
                <c:pt idx="19">
                  <c:v>38626</c:v>
                </c:pt>
                <c:pt idx="20">
                  <c:v>38657</c:v>
                </c:pt>
                <c:pt idx="21">
                  <c:v>38687</c:v>
                </c:pt>
                <c:pt idx="22">
                  <c:v>38718</c:v>
                </c:pt>
                <c:pt idx="23">
                  <c:v>38749</c:v>
                </c:pt>
                <c:pt idx="24">
                  <c:v>38777</c:v>
                </c:pt>
                <c:pt idx="25">
                  <c:v>38808</c:v>
                </c:pt>
                <c:pt idx="26">
                  <c:v>38838</c:v>
                </c:pt>
                <c:pt idx="27">
                  <c:v>38869</c:v>
                </c:pt>
                <c:pt idx="28">
                  <c:v>38899</c:v>
                </c:pt>
                <c:pt idx="29">
                  <c:v>38930</c:v>
                </c:pt>
                <c:pt idx="30">
                  <c:v>38961</c:v>
                </c:pt>
                <c:pt idx="31">
                  <c:v>38991</c:v>
                </c:pt>
                <c:pt idx="32">
                  <c:v>39022</c:v>
                </c:pt>
                <c:pt idx="33">
                  <c:v>39052</c:v>
                </c:pt>
                <c:pt idx="34">
                  <c:v>39083</c:v>
                </c:pt>
                <c:pt idx="35">
                  <c:v>39114</c:v>
                </c:pt>
                <c:pt idx="36">
                  <c:v>39142</c:v>
                </c:pt>
                <c:pt idx="37">
                  <c:v>39173</c:v>
                </c:pt>
                <c:pt idx="38">
                  <c:v>39203</c:v>
                </c:pt>
                <c:pt idx="39">
                  <c:v>39234</c:v>
                </c:pt>
                <c:pt idx="40">
                  <c:v>39264</c:v>
                </c:pt>
                <c:pt idx="41">
                  <c:v>39295</c:v>
                </c:pt>
                <c:pt idx="42">
                  <c:v>39326</c:v>
                </c:pt>
                <c:pt idx="43">
                  <c:v>39356</c:v>
                </c:pt>
                <c:pt idx="44">
                  <c:v>39387</c:v>
                </c:pt>
                <c:pt idx="45">
                  <c:v>39417</c:v>
                </c:pt>
                <c:pt idx="46">
                  <c:v>39448</c:v>
                </c:pt>
                <c:pt idx="47">
                  <c:v>39479</c:v>
                </c:pt>
                <c:pt idx="48">
                  <c:v>39508</c:v>
                </c:pt>
                <c:pt idx="49">
                  <c:v>39539</c:v>
                </c:pt>
                <c:pt idx="50">
                  <c:v>39569</c:v>
                </c:pt>
                <c:pt idx="51">
                  <c:v>39600</c:v>
                </c:pt>
                <c:pt idx="52">
                  <c:v>39630</c:v>
                </c:pt>
                <c:pt idx="53">
                  <c:v>39661</c:v>
                </c:pt>
                <c:pt idx="54">
                  <c:v>39692</c:v>
                </c:pt>
                <c:pt idx="55">
                  <c:v>39722</c:v>
                </c:pt>
                <c:pt idx="56">
                  <c:v>39753</c:v>
                </c:pt>
                <c:pt idx="57">
                  <c:v>39783</c:v>
                </c:pt>
                <c:pt idx="58">
                  <c:v>39814</c:v>
                </c:pt>
                <c:pt idx="59">
                  <c:v>39845</c:v>
                </c:pt>
                <c:pt idx="60">
                  <c:v>39873</c:v>
                </c:pt>
                <c:pt idx="61">
                  <c:v>39904</c:v>
                </c:pt>
                <c:pt idx="62">
                  <c:v>39934</c:v>
                </c:pt>
                <c:pt idx="63">
                  <c:v>39965</c:v>
                </c:pt>
                <c:pt idx="64">
                  <c:v>39995</c:v>
                </c:pt>
                <c:pt idx="65">
                  <c:v>40026</c:v>
                </c:pt>
                <c:pt idx="66">
                  <c:v>40057</c:v>
                </c:pt>
                <c:pt idx="67">
                  <c:v>40087</c:v>
                </c:pt>
                <c:pt idx="68">
                  <c:v>40118</c:v>
                </c:pt>
                <c:pt idx="69">
                  <c:v>40148</c:v>
                </c:pt>
                <c:pt idx="70">
                  <c:v>40179</c:v>
                </c:pt>
                <c:pt idx="71">
                  <c:v>40210</c:v>
                </c:pt>
                <c:pt idx="72">
                  <c:v>40238</c:v>
                </c:pt>
                <c:pt idx="73">
                  <c:v>40269</c:v>
                </c:pt>
                <c:pt idx="74">
                  <c:v>40299</c:v>
                </c:pt>
                <c:pt idx="75">
                  <c:v>40330</c:v>
                </c:pt>
                <c:pt idx="76">
                  <c:v>40360</c:v>
                </c:pt>
                <c:pt idx="77">
                  <c:v>40391</c:v>
                </c:pt>
                <c:pt idx="78">
                  <c:v>40422</c:v>
                </c:pt>
                <c:pt idx="79">
                  <c:v>40452</c:v>
                </c:pt>
                <c:pt idx="80">
                  <c:v>40483</c:v>
                </c:pt>
                <c:pt idx="81">
                  <c:v>40513</c:v>
                </c:pt>
                <c:pt idx="82">
                  <c:v>40544</c:v>
                </c:pt>
                <c:pt idx="83">
                  <c:v>40575</c:v>
                </c:pt>
                <c:pt idx="84">
                  <c:v>40603</c:v>
                </c:pt>
                <c:pt idx="85">
                  <c:v>40634</c:v>
                </c:pt>
                <c:pt idx="86">
                  <c:v>40664</c:v>
                </c:pt>
                <c:pt idx="87">
                  <c:v>40695</c:v>
                </c:pt>
                <c:pt idx="88">
                  <c:v>40725</c:v>
                </c:pt>
                <c:pt idx="89">
                  <c:v>40756</c:v>
                </c:pt>
                <c:pt idx="90">
                  <c:v>40787</c:v>
                </c:pt>
                <c:pt idx="91">
                  <c:v>40817</c:v>
                </c:pt>
                <c:pt idx="92">
                  <c:v>40848</c:v>
                </c:pt>
                <c:pt idx="93">
                  <c:v>40878</c:v>
                </c:pt>
                <c:pt idx="94">
                  <c:v>40909</c:v>
                </c:pt>
                <c:pt idx="95">
                  <c:v>40940</c:v>
                </c:pt>
                <c:pt idx="96">
                  <c:v>40969</c:v>
                </c:pt>
                <c:pt idx="97">
                  <c:v>41000</c:v>
                </c:pt>
                <c:pt idx="98">
                  <c:v>41030</c:v>
                </c:pt>
                <c:pt idx="99">
                  <c:v>41061</c:v>
                </c:pt>
                <c:pt idx="100">
                  <c:v>41091</c:v>
                </c:pt>
                <c:pt idx="101">
                  <c:v>41122</c:v>
                </c:pt>
                <c:pt idx="102">
                  <c:v>41153</c:v>
                </c:pt>
                <c:pt idx="103">
                  <c:v>41183</c:v>
                </c:pt>
                <c:pt idx="104">
                  <c:v>41214</c:v>
                </c:pt>
                <c:pt idx="105">
                  <c:v>41244</c:v>
                </c:pt>
                <c:pt idx="106">
                  <c:v>41275</c:v>
                </c:pt>
                <c:pt idx="107">
                  <c:v>41306</c:v>
                </c:pt>
                <c:pt idx="108">
                  <c:v>41334</c:v>
                </c:pt>
                <c:pt idx="109">
                  <c:v>41365</c:v>
                </c:pt>
                <c:pt idx="110">
                  <c:v>41395</c:v>
                </c:pt>
                <c:pt idx="111">
                  <c:v>41426</c:v>
                </c:pt>
                <c:pt idx="112">
                  <c:v>41456</c:v>
                </c:pt>
                <c:pt idx="113">
                  <c:v>41487</c:v>
                </c:pt>
                <c:pt idx="114">
                  <c:v>41518</c:v>
                </c:pt>
                <c:pt idx="115">
                  <c:v>41548</c:v>
                </c:pt>
                <c:pt idx="116">
                  <c:v>41579</c:v>
                </c:pt>
                <c:pt idx="117">
                  <c:v>41609</c:v>
                </c:pt>
                <c:pt idx="118">
                  <c:v>41640</c:v>
                </c:pt>
                <c:pt idx="119">
                  <c:v>41671</c:v>
                </c:pt>
                <c:pt idx="120">
                  <c:v>41699</c:v>
                </c:pt>
                <c:pt idx="121">
                  <c:v>41730</c:v>
                </c:pt>
                <c:pt idx="122">
                  <c:v>41760</c:v>
                </c:pt>
                <c:pt idx="123">
                  <c:v>41791</c:v>
                </c:pt>
                <c:pt idx="124">
                  <c:v>41821</c:v>
                </c:pt>
                <c:pt idx="125">
                  <c:v>41852</c:v>
                </c:pt>
                <c:pt idx="126">
                  <c:v>41883</c:v>
                </c:pt>
                <c:pt idx="127">
                  <c:v>41913</c:v>
                </c:pt>
                <c:pt idx="128">
                  <c:v>41944</c:v>
                </c:pt>
                <c:pt idx="129">
                  <c:v>41974</c:v>
                </c:pt>
                <c:pt idx="130">
                  <c:v>42005</c:v>
                </c:pt>
                <c:pt idx="131">
                  <c:v>42036</c:v>
                </c:pt>
                <c:pt idx="132">
                  <c:v>42064</c:v>
                </c:pt>
                <c:pt idx="133">
                  <c:v>42095</c:v>
                </c:pt>
                <c:pt idx="134">
                  <c:v>42125</c:v>
                </c:pt>
                <c:pt idx="135">
                  <c:v>42156</c:v>
                </c:pt>
                <c:pt idx="136">
                  <c:v>42186</c:v>
                </c:pt>
                <c:pt idx="137">
                  <c:v>42217</c:v>
                </c:pt>
                <c:pt idx="138">
                  <c:v>42248</c:v>
                </c:pt>
                <c:pt idx="139">
                  <c:v>42278</c:v>
                </c:pt>
                <c:pt idx="140">
                  <c:v>42309</c:v>
                </c:pt>
                <c:pt idx="141">
                  <c:v>42339</c:v>
                </c:pt>
                <c:pt idx="142">
                  <c:v>42370</c:v>
                </c:pt>
                <c:pt idx="143">
                  <c:v>42401</c:v>
                </c:pt>
                <c:pt idx="144">
                  <c:v>42430</c:v>
                </c:pt>
                <c:pt idx="145">
                  <c:v>42461</c:v>
                </c:pt>
                <c:pt idx="146">
                  <c:v>42491</c:v>
                </c:pt>
                <c:pt idx="147">
                  <c:v>42522</c:v>
                </c:pt>
                <c:pt idx="148">
                  <c:v>42552</c:v>
                </c:pt>
                <c:pt idx="149">
                  <c:v>42583</c:v>
                </c:pt>
                <c:pt idx="150">
                  <c:v>42614</c:v>
                </c:pt>
                <c:pt idx="151">
                  <c:v>42644</c:v>
                </c:pt>
                <c:pt idx="152">
                  <c:v>42675</c:v>
                </c:pt>
                <c:pt idx="153">
                  <c:v>42705</c:v>
                </c:pt>
                <c:pt idx="154">
                  <c:v>42736</c:v>
                </c:pt>
                <c:pt idx="155">
                  <c:v>42767</c:v>
                </c:pt>
                <c:pt idx="156">
                  <c:v>42795</c:v>
                </c:pt>
                <c:pt idx="157">
                  <c:v>42826</c:v>
                </c:pt>
                <c:pt idx="158">
                  <c:v>42856</c:v>
                </c:pt>
                <c:pt idx="159">
                  <c:v>42887</c:v>
                </c:pt>
                <c:pt idx="160">
                  <c:v>42917</c:v>
                </c:pt>
                <c:pt idx="161">
                  <c:v>42948</c:v>
                </c:pt>
                <c:pt idx="162">
                  <c:v>42979</c:v>
                </c:pt>
                <c:pt idx="163">
                  <c:v>43009</c:v>
                </c:pt>
                <c:pt idx="164">
                  <c:v>43040</c:v>
                </c:pt>
                <c:pt idx="165">
                  <c:v>43070</c:v>
                </c:pt>
                <c:pt idx="166">
                  <c:v>43101</c:v>
                </c:pt>
                <c:pt idx="167">
                  <c:v>43132</c:v>
                </c:pt>
                <c:pt idx="168">
                  <c:v>43160</c:v>
                </c:pt>
                <c:pt idx="169">
                  <c:v>43191</c:v>
                </c:pt>
                <c:pt idx="170">
                  <c:v>43221</c:v>
                </c:pt>
                <c:pt idx="171">
                  <c:v>43252</c:v>
                </c:pt>
                <c:pt idx="172">
                  <c:v>43282</c:v>
                </c:pt>
                <c:pt idx="173">
                  <c:v>43313</c:v>
                </c:pt>
                <c:pt idx="174">
                  <c:v>43344</c:v>
                </c:pt>
                <c:pt idx="175">
                  <c:v>43374</c:v>
                </c:pt>
                <c:pt idx="176">
                  <c:v>43405</c:v>
                </c:pt>
                <c:pt idx="177">
                  <c:v>43435</c:v>
                </c:pt>
                <c:pt idx="178">
                  <c:v>43466</c:v>
                </c:pt>
                <c:pt idx="179">
                  <c:v>43497</c:v>
                </c:pt>
                <c:pt idx="180">
                  <c:v>43525</c:v>
                </c:pt>
                <c:pt idx="181">
                  <c:v>43556</c:v>
                </c:pt>
                <c:pt idx="182">
                  <c:v>43586</c:v>
                </c:pt>
                <c:pt idx="183">
                  <c:v>43617</c:v>
                </c:pt>
                <c:pt idx="184">
                  <c:v>43647</c:v>
                </c:pt>
                <c:pt idx="185">
                  <c:v>43678</c:v>
                </c:pt>
                <c:pt idx="186">
                  <c:v>43709</c:v>
                </c:pt>
                <c:pt idx="187">
                  <c:v>43739</c:v>
                </c:pt>
                <c:pt idx="188">
                  <c:v>43770</c:v>
                </c:pt>
                <c:pt idx="189">
                  <c:v>43800</c:v>
                </c:pt>
                <c:pt idx="190">
                  <c:v>43831</c:v>
                </c:pt>
                <c:pt idx="191">
                  <c:v>43862</c:v>
                </c:pt>
                <c:pt idx="192">
                  <c:v>43891</c:v>
                </c:pt>
                <c:pt idx="193">
                  <c:v>43922</c:v>
                </c:pt>
                <c:pt idx="194">
                  <c:v>43952</c:v>
                </c:pt>
                <c:pt idx="195">
                  <c:v>43983</c:v>
                </c:pt>
                <c:pt idx="196">
                  <c:v>44013</c:v>
                </c:pt>
                <c:pt idx="197">
                  <c:v>44044</c:v>
                </c:pt>
                <c:pt idx="198">
                  <c:v>44075</c:v>
                </c:pt>
                <c:pt idx="199">
                  <c:v>44105</c:v>
                </c:pt>
                <c:pt idx="200">
                  <c:v>44136</c:v>
                </c:pt>
                <c:pt idx="201">
                  <c:v>44166</c:v>
                </c:pt>
                <c:pt idx="202">
                  <c:v>44197</c:v>
                </c:pt>
                <c:pt idx="203">
                  <c:v>44228</c:v>
                </c:pt>
                <c:pt idx="204">
                  <c:v>44256</c:v>
                </c:pt>
                <c:pt idx="205">
                  <c:v>44287</c:v>
                </c:pt>
                <c:pt idx="206">
                  <c:v>44317</c:v>
                </c:pt>
                <c:pt idx="207">
                  <c:v>44348</c:v>
                </c:pt>
                <c:pt idx="208">
                  <c:v>44378</c:v>
                </c:pt>
                <c:pt idx="209">
                  <c:v>44409</c:v>
                </c:pt>
                <c:pt idx="210">
                  <c:v>44440</c:v>
                </c:pt>
                <c:pt idx="211">
                  <c:v>44470</c:v>
                </c:pt>
                <c:pt idx="212">
                  <c:v>44501</c:v>
                </c:pt>
                <c:pt idx="213">
                  <c:v>44531</c:v>
                </c:pt>
                <c:pt idx="214">
                  <c:v>44562</c:v>
                </c:pt>
                <c:pt idx="215">
                  <c:v>44593</c:v>
                </c:pt>
                <c:pt idx="216">
                  <c:v>44621</c:v>
                </c:pt>
                <c:pt idx="217">
                  <c:v>44652</c:v>
                </c:pt>
                <c:pt idx="218">
                  <c:v>44682</c:v>
                </c:pt>
                <c:pt idx="219">
                  <c:v>44713</c:v>
                </c:pt>
                <c:pt idx="220">
                  <c:v>44743</c:v>
                </c:pt>
                <c:pt idx="221">
                  <c:v>44774</c:v>
                </c:pt>
                <c:pt idx="222">
                  <c:v>44805</c:v>
                </c:pt>
                <c:pt idx="223">
                  <c:v>44835</c:v>
                </c:pt>
                <c:pt idx="224">
                  <c:v>44866</c:v>
                </c:pt>
                <c:pt idx="225">
                  <c:v>44896</c:v>
                </c:pt>
                <c:pt idx="226">
                  <c:v>44927</c:v>
                </c:pt>
                <c:pt idx="227">
                  <c:v>44958</c:v>
                </c:pt>
                <c:pt idx="228">
                  <c:v>44986</c:v>
                </c:pt>
                <c:pt idx="229">
                  <c:v>45017</c:v>
                </c:pt>
                <c:pt idx="230">
                  <c:v>45047</c:v>
                </c:pt>
                <c:pt idx="231">
                  <c:v>45078</c:v>
                </c:pt>
                <c:pt idx="232">
                  <c:v>45108</c:v>
                </c:pt>
                <c:pt idx="233">
                  <c:v>45139</c:v>
                </c:pt>
                <c:pt idx="234">
                  <c:v>45170</c:v>
                </c:pt>
                <c:pt idx="235">
                  <c:v>45200</c:v>
                </c:pt>
                <c:pt idx="236">
                  <c:v>45231</c:v>
                </c:pt>
                <c:pt idx="237">
                  <c:v>45261</c:v>
                </c:pt>
                <c:pt idx="238">
                  <c:v>45292</c:v>
                </c:pt>
                <c:pt idx="239">
                  <c:v>45323</c:v>
                </c:pt>
                <c:pt idx="240">
                  <c:v>45352</c:v>
                </c:pt>
              </c:numCache>
            </c:numRef>
          </c:cat>
          <c:val>
            <c:numRef>
              <c:f>'Figure 3'!$B$5:$B$245</c:f>
              <c:numCache>
                <c:formatCode>0.0</c:formatCode>
                <c:ptCount val="241"/>
                <c:pt idx="0">
                  <c:v>116.44881890000001</c:v>
                </c:pt>
                <c:pt idx="1">
                  <c:v>113.58369190000001</c:v>
                </c:pt>
                <c:pt idx="2">
                  <c:v>110.1538328</c:v>
                </c:pt>
                <c:pt idx="3">
                  <c:v>114.15095220000001</c:v>
                </c:pt>
                <c:pt idx="4">
                  <c:v>117.67190530000001</c:v>
                </c:pt>
                <c:pt idx="5">
                  <c:v>113.07729639999999</c:v>
                </c:pt>
                <c:pt idx="6">
                  <c:v>118.5859876</c:v>
                </c:pt>
                <c:pt idx="7">
                  <c:v>110.79567470000001</c:v>
                </c:pt>
                <c:pt idx="8">
                  <c:v>100.15597320000001</c:v>
                </c:pt>
                <c:pt idx="9">
                  <c:v>96.763416300000003</c:v>
                </c:pt>
                <c:pt idx="10">
                  <c:v>103.07462700000001</c:v>
                </c:pt>
                <c:pt idx="11">
                  <c:v>101.644964</c:v>
                </c:pt>
                <c:pt idx="12">
                  <c:v>91.2554619</c:v>
                </c:pt>
                <c:pt idx="13">
                  <c:v>93.827237100000005</c:v>
                </c:pt>
                <c:pt idx="14">
                  <c:v>96.898896500000006</c:v>
                </c:pt>
                <c:pt idx="15">
                  <c:v>94.935342399999996</c:v>
                </c:pt>
                <c:pt idx="16">
                  <c:v>89.961600399999995</c:v>
                </c:pt>
                <c:pt idx="17">
                  <c:v>90.187808500000003</c:v>
                </c:pt>
                <c:pt idx="18">
                  <c:v>92.214745300000004</c:v>
                </c:pt>
                <c:pt idx="19">
                  <c:v>98.612928199999999</c:v>
                </c:pt>
                <c:pt idx="20">
                  <c:v>92.813695600000003</c:v>
                </c:pt>
                <c:pt idx="21">
                  <c:v>92.887084099999996</c:v>
                </c:pt>
                <c:pt idx="22">
                  <c:v>103.29254229999999</c:v>
                </c:pt>
                <c:pt idx="23">
                  <c:v>90.4302122</c:v>
                </c:pt>
                <c:pt idx="24">
                  <c:v>95.089291099999997</c:v>
                </c:pt>
                <c:pt idx="25">
                  <c:v>98.548139300000003</c:v>
                </c:pt>
                <c:pt idx="26">
                  <c:v>96.088547300000002</c:v>
                </c:pt>
                <c:pt idx="27">
                  <c:v>91.916590400000004</c:v>
                </c:pt>
                <c:pt idx="28">
                  <c:v>99.122057900000001</c:v>
                </c:pt>
                <c:pt idx="29">
                  <c:v>90.217211500000005</c:v>
                </c:pt>
                <c:pt idx="30">
                  <c:v>84.704953399999994</c:v>
                </c:pt>
                <c:pt idx="31">
                  <c:v>79.530146799999997</c:v>
                </c:pt>
                <c:pt idx="32">
                  <c:v>83.9085374</c:v>
                </c:pt>
                <c:pt idx="33">
                  <c:v>87.354118099999994</c:v>
                </c:pt>
                <c:pt idx="34">
                  <c:v>83.072259500000001</c:v>
                </c:pt>
                <c:pt idx="35">
                  <c:v>81.078104199999999</c:v>
                </c:pt>
                <c:pt idx="36">
                  <c:v>76.990615199999993</c:v>
                </c:pt>
                <c:pt idx="37">
                  <c:v>78.403476699999999</c:v>
                </c:pt>
                <c:pt idx="38">
                  <c:v>70.656608500000004</c:v>
                </c:pt>
                <c:pt idx="39">
                  <c:v>65.193173799999997</c:v>
                </c:pt>
                <c:pt idx="40">
                  <c:v>76.880086199999994</c:v>
                </c:pt>
                <c:pt idx="41">
                  <c:v>66.649310999999997</c:v>
                </c:pt>
                <c:pt idx="42">
                  <c:v>69.880268999999998</c:v>
                </c:pt>
                <c:pt idx="43">
                  <c:v>68.297384199999996</c:v>
                </c:pt>
                <c:pt idx="44">
                  <c:v>68.773277699999994</c:v>
                </c:pt>
                <c:pt idx="45">
                  <c:v>69.252498299999999</c:v>
                </c:pt>
                <c:pt idx="46">
                  <c:v>69.308612999999994</c:v>
                </c:pt>
                <c:pt idx="47">
                  <c:v>71.380339300000003</c:v>
                </c:pt>
                <c:pt idx="48">
                  <c:v>70.641959799999995</c:v>
                </c:pt>
                <c:pt idx="49">
                  <c:v>74.505806800000002</c:v>
                </c:pt>
                <c:pt idx="50">
                  <c:v>70.852128300000004</c:v>
                </c:pt>
                <c:pt idx="51">
                  <c:v>66.192948999999999</c:v>
                </c:pt>
                <c:pt idx="52">
                  <c:v>65.676869600000003</c:v>
                </c:pt>
                <c:pt idx="53">
                  <c:v>65.600215500000004</c:v>
                </c:pt>
                <c:pt idx="54">
                  <c:v>77.8239363</c:v>
                </c:pt>
                <c:pt idx="55">
                  <c:v>73.759659600000006</c:v>
                </c:pt>
                <c:pt idx="56">
                  <c:v>70.846807999999996</c:v>
                </c:pt>
                <c:pt idx="57">
                  <c:v>69.498780800000006</c:v>
                </c:pt>
                <c:pt idx="58">
                  <c:v>72.921830999999997</c:v>
                </c:pt>
                <c:pt idx="59">
                  <c:v>81.909890399999995</c:v>
                </c:pt>
                <c:pt idx="60">
                  <c:v>83.924828199999993</c:v>
                </c:pt>
                <c:pt idx="61">
                  <c:v>76.787955699999998</c:v>
                </c:pt>
                <c:pt idx="62">
                  <c:v>85.640328999999994</c:v>
                </c:pt>
                <c:pt idx="63">
                  <c:v>107.0746013</c:v>
                </c:pt>
                <c:pt idx="64">
                  <c:v>99.5714787</c:v>
                </c:pt>
                <c:pt idx="65">
                  <c:v>97.299920900000004</c:v>
                </c:pt>
                <c:pt idx="66">
                  <c:v>98.471807999999996</c:v>
                </c:pt>
                <c:pt idx="67">
                  <c:v>100.95313059999999</c:v>
                </c:pt>
                <c:pt idx="68">
                  <c:v>107.78034049999999</c:v>
                </c:pt>
                <c:pt idx="69">
                  <c:v>114.1288936</c:v>
                </c:pt>
                <c:pt idx="70">
                  <c:v>108.2243895</c:v>
                </c:pt>
                <c:pt idx="71">
                  <c:v>108.75471949999999</c:v>
                </c:pt>
                <c:pt idx="72">
                  <c:v>105.59802929999999</c:v>
                </c:pt>
                <c:pt idx="73">
                  <c:v>111.6645608</c:v>
                </c:pt>
                <c:pt idx="74">
                  <c:v>109.2583329</c:v>
                </c:pt>
                <c:pt idx="75">
                  <c:v>111.7127017</c:v>
                </c:pt>
                <c:pt idx="76">
                  <c:v>109.7026831</c:v>
                </c:pt>
                <c:pt idx="77">
                  <c:v>106.4902348</c:v>
                </c:pt>
                <c:pt idx="78">
                  <c:v>115.78277509999999</c:v>
                </c:pt>
                <c:pt idx="79">
                  <c:v>128.92504289999999</c:v>
                </c:pt>
                <c:pt idx="80">
                  <c:v>117.0351122</c:v>
                </c:pt>
                <c:pt idx="81">
                  <c:v>111.92328089999999</c:v>
                </c:pt>
                <c:pt idx="82">
                  <c:v>108.235793</c:v>
                </c:pt>
                <c:pt idx="83">
                  <c:v>110.85026019999999</c:v>
                </c:pt>
                <c:pt idx="84">
                  <c:v>115.24490849999999</c:v>
                </c:pt>
                <c:pt idx="85">
                  <c:v>109.89135949999999</c:v>
                </c:pt>
                <c:pt idx="86">
                  <c:v>118.27256</c:v>
                </c:pt>
                <c:pt idx="87">
                  <c:v>111.5630475</c:v>
                </c:pt>
                <c:pt idx="88">
                  <c:v>110.7782565</c:v>
                </c:pt>
                <c:pt idx="89">
                  <c:v>125.7072888</c:v>
                </c:pt>
                <c:pt idx="90">
                  <c:v>108.8721129</c:v>
                </c:pt>
                <c:pt idx="91">
                  <c:v>116.7313765</c:v>
                </c:pt>
                <c:pt idx="92">
                  <c:v>110.9243489</c:v>
                </c:pt>
                <c:pt idx="93">
                  <c:v>110.0039601</c:v>
                </c:pt>
                <c:pt idx="94">
                  <c:v>127.35367979999999</c:v>
                </c:pt>
                <c:pt idx="95">
                  <c:v>111.88470119999999</c:v>
                </c:pt>
                <c:pt idx="96">
                  <c:v>114.0879679</c:v>
                </c:pt>
                <c:pt idx="97">
                  <c:v>117.4433971</c:v>
                </c:pt>
                <c:pt idx="98">
                  <c:v>112.43785080000001</c:v>
                </c:pt>
                <c:pt idx="99">
                  <c:v>111.6237601</c:v>
                </c:pt>
                <c:pt idx="100">
                  <c:v>111.2444916</c:v>
                </c:pt>
                <c:pt idx="101">
                  <c:v>120.2139724</c:v>
                </c:pt>
                <c:pt idx="102">
                  <c:v>119.6214871</c:v>
                </c:pt>
                <c:pt idx="103">
                  <c:v>120.5271932</c:v>
                </c:pt>
                <c:pt idx="104">
                  <c:v>132.2011139</c:v>
                </c:pt>
                <c:pt idx="105">
                  <c:v>120.2836193</c:v>
                </c:pt>
                <c:pt idx="106">
                  <c:v>120.3218189</c:v>
                </c:pt>
                <c:pt idx="107">
                  <c:v>114.3379937</c:v>
                </c:pt>
                <c:pt idx="108">
                  <c:v>118.82635639999999</c:v>
                </c:pt>
                <c:pt idx="109">
                  <c:v>114.6473609</c:v>
                </c:pt>
                <c:pt idx="110">
                  <c:v>128.2689748</c:v>
                </c:pt>
                <c:pt idx="111">
                  <c:v>130.8372938</c:v>
                </c:pt>
                <c:pt idx="112">
                  <c:v>136.51922590000001</c:v>
                </c:pt>
                <c:pt idx="113">
                  <c:v>134.16433720000001</c:v>
                </c:pt>
                <c:pt idx="114">
                  <c:v>130.71239779999999</c:v>
                </c:pt>
                <c:pt idx="115">
                  <c:v>147.49088599999999</c:v>
                </c:pt>
                <c:pt idx="116">
                  <c:v>147.77063630000001</c:v>
                </c:pt>
                <c:pt idx="117">
                  <c:v>153.77790769999999</c:v>
                </c:pt>
                <c:pt idx="118">
                  <c:v>148.95853360000001</c:v>
                </c:pt>
                <c:pt idx="119">
                  <c:v>154.12782780000001</c:v>
                </c:pt>
                <c:pt idx="120">
                  <c:v>161.4214829</c:v>
                </c:pt>
                <c:pt idx="121">
                  <c:v>156.20259669999999</c:v>
                </c:pt>
                <c:pt idx="122">
                  <c:v>170.56741539999999</c:v>
                </c:pt>
                <c:pt idx="123">
                  <c:v>168.8537129</c:v>
                </c:pt>
                <c:pt idx="124">
                  <c:v>177.81725850000001</c:v>
                </c:pt>
                <c:pt idx="125">
                  <c:v>163.52734950000001</c:v>
                </c:pt>
                <c:pt idx="126">
                  <c:v>158.5050262</c:v>
                </c:pt>
                <c:pt idx="127">
                  <c:v>168.49171620000001</c:v>
                </c:pt>
                <c:pt idx="128">
                  <c:v>167.28816939999999</c:v>
                </c:pt>
                <c:pt idx="129">
                  <c:v>175.00498569999999</c:v>
                </c:pt>
                <c:pt idx="130">
                  <c:v>186.0575164</c:v>
                </c:pt>
                <c:pt idx="131">
                  <c:v>186.0875556</c:v>
                </c:pt>
                <c:pt idx="132">
                  <c:v>185.09028050000001</c:v>
                </c:pt>
                <c:pt idx="133">
                  <c:v>182.47112179999999</c:v>
                </c:pt>
                <c:pt idx="134">
                  <c:v>173.3530883</c:v>
                </c:pt>
                <c:pt idx="135">
                  <c:v>183.9192583</c:v>
                </c:pt>
                <c:pt idx="136">
                  <c:v>176.9875424</c:v>
                </c:pt>
                <c:pt idx="137">
                  <c:v>178.8089094</c:v>
                </c:pt>
                <c:pt idx="138">
                  <c:v>181.19419250000001</c:v>
                </c:pt>
                <c:pt idx="139">
                  <c:v>165.0937347</c:v>
                </c:pt>
                <c:pt idx="140">
                  <c:v>161.04970259999999</c:v>
                </c:pt>
                <c:pt idx="141">
                  <c:v>158.0672744</c:v>
                </c:pt>
                <c:pt idx="142">
                  <c:v>175.61525209999999</c:v>
                </c:pt>
                <c:pt idx="143">
                  <c:v>171.4705395</c:v>
                </c:pt>
                <c:pt idx="144">
                  <c:v>170.8694812</c:v>
                </c:pt>
                <c:pt idx="145">
                  <c:v>168.24314659999999</c:v>
                </c:pt>
                <c:pt idx="146">
                  <c:v>165.60919899999999</c:v>
                </c:pt>
                <c:pt idx="147">
                  <c:v>167.57434960000001</c:v>
                </c:pt>
                <c:pt idx="148">
                  <c:v>164.96081330000001</c:v>
                </c:pt>
                <c:pt idx="149">
                  <c:v>168.5717157</c:v>
                </c:pt>
                <c:pt idx="150">
                  <c:v>176.77363769999999</c:v>
                </c:pt>
                <c:pt idx="151">
                  <c:v>178.22653740000001</c:v>
                </c:pt>
                <c:pt idx="152">
                  <c:v>179.91904109999999</c:v>
                </c:pt>
                <c:pt idx="153">
                  <c:v>174.77406719999999</c:v>
                </c:pt>
                <c:pt idx="154">
                  <c:v>180.11741079999999</c:v>
                </c:pt>
                <c:pt idx="155">
                  <c:v>174.4843904</c:v>
                </c:pt>
                <c:pt idx="156">
                  <c:v>175.1065079</c:v>
                </c:pt>
                <c:pt idx="157">
                  <c:v>173.3137509</c:v>
                </c:pt>
                <c:pt idx="158">
                  <c:v>167.35183889999999</c:v>
                </c:pt>
                <c:pt idx="159">
                  <c:v>154.62302320000001</c:v>
                </c:pt>
                <c:pt idx="160">
                  <c:v>167.62327869999999</c:v>
                </c:pt>
                <c:pt idx="161">
                  <c:v>172.16898459999999</c:v>
                </c:pt>
                <c:pt idx="162">
                  <c:v>169.63160780000001</c:v>
                </c:pt>
                <c:pt idx="163">
                  <c:v>165.23533810000001</c:v>
                </c:pt>
                <c:pt idx="164">
                  <c:v>166.6554926</c:v>
                </c:pt>
                <c:pt idx="165">
                  <c:v>173.47786830000001</c:v>
                </c:pt>
                <c:pt idx="166">
                  <c:v>173.5251931</c:v>
                </c:pt>
                <c:pt idx="167">
                  <c:v>171.90430760000001</c:v>
                </c:pt>
                <c:pt idx="168">
                  <c:v>173.9382354</c:v>
                </c:pt>
                <c:pt idx="169">
                  <c:v>186.4327289</c:v>
                </c:pt>
                <c:pt idx="170">
                  <c:v>183.8713444</c:v>
                </c:pt>
                <c:pt idx="171">
                  <c:v>174.80461389999999</c:v>
                </c:pt>
                <c:pt idx="172">
                  <c:v>173.1781331</c:v>
                </c:pt>
                <c:pt idx="173">
                  <c:v>176.40258689999999</c:v>
                </c:pt>
                <c:pt idx="174">
                  <c:v>173.80471460000001</c:v>
                </c:pt>
                <c:pt idx="175">
                  <c:v>164.43499750000001</c:v>
                </c:pt>
                <c:pt idx="176">
                  <c:v>162.7751178</c:v>
                </c:pt>
                <c:pt idx="177">
                  <c:v>149.42751910000001</c:v>
                </c:pt>
                <c:pt idx="178">
                  <c:v>157.1839923</c:v>
                </c:pt>
                <c:pt idx="179">
                  <c:v>157.69567499999999</c:v>
                </c:pt>
                <c:pt idx="180">
                  <c:v>144.12364640000001</c:v>
                </c:pt>
                <c:pt idx="181">
                  <c:v>161.98040779999999</c:v>
                </c:pt>
                <c:pt idx="182">
                  <c:v>165.84767489999999</c:v>
                </c:pt>
                <c:pt idx="183">
                  <c:v>167.1231942</c:v>
                </c:pt>
                <c:pt idx="184">
                  <c:v>160.68074720000001</c:v>
                </c:pt>
                <c:pt idx="185">
                  <c:v>168.45964079999999</c:v>
                </c:pt>
                <c:pt idx="186">
                  <c:v>163.301188</c:v>
                </c:pt>
                <c:pt idx="187">
                  <c:v>170.50393600000001</c:v>
                </c:pt>
                <c:pt idx="188">
                  <c:v>172.02472539999999</c:v>
                </c:pt>
                <c:pt idx="189">
                  <c:v>165.63181879999999</c:v>
                </c:pt>
                <c:pt idx="190">
                  <c:v>178.44851929999999</c:v>
                </c:pt>
                <c:pt idx="191">
                  <c:v>169.8179485</c:v>
                </c:pt>
                <c:pt idx="192">
                  <c:v>161.2588767</c:v>
                </c:pt>
                <c:pt idx="193">
                  <c:v>130.08604919999999</c:v>
                </c:pt>
                <c:pt idx="194">
                  <c:v>137.9196292</c:v>
                </c:pt>
                <c:pt idx="195">
                  <c:v>148.29432700000001</c:v>
                </c:pt>
                <c:pt idx="196">
                  <c:v>180.90025159999999</c:v>
                </c:pt>
                <c:pt idx="197">
                  <c:v>183.0911117</c:v>
                </c:pt>
                <c:pt idx="198">
                  <c:v>185.53971440000001</c:v>
                </c:pt>
                <c:pt idx="199">
                  <c:v>195.81271169999999</c:v>
                </c:pt>
                <c:pt idx="200">
                  <c:v>197.14886179999999</c:v>
                </c:pt>
                <c:pt idx="201">
                  <c:v>197.53396359999999</c:v>
                </c:pt>
                <c:pt idx="202">
                  <c:v>204.8262699</c:v>
                </c:pt>
                <c:pt idx="203">
                  <c:v>198.91313210000001</c:v>
                </c:pt>
                <c:pt idx="204">
                  <c:v>231.91721459999999</c:v>
                </c:pt>
                <c:pt idx="205">
                  <c:v>243.55326909999999</c:v>
                </c:pt>
                <c:pt idx="206">
                  <c:v>220.22645779999999</c:v>
                </c:pt>
                <c:pt idx="207">
                  <c:v>210.09945310000001</c:v>
                </c:pt>
                <c:pt idx="208">
                  <c:v>199.51169630000001</c:v>
                </c:pt>
                <c:pt idx="209">
                  <c:v>181.87955719999999</c:v>
                </c:pt>
                <c:pt idx="210">
                  <c:v>182.30414200000001</c:v>
                </c:pt>
                <c:pt idx="211">
                  <c:v>180.29297439999999</c:v>
                </c:pt>
                <c:pt idx="212">
                  <c:v>174.71216889999999</c:v>
                </c:pt>
                <c:pt idx="213">
                  <c:v>146.7796937</c:v>
                </c:pt>
                <c:pt idx="214">
                  <c:v>148.88023279999999</c:v>
                </c:pt>
                <c:pt idx="215">
                  <c:v>145.52263959999999</c:v>
                </c:pt>
                <c:pt idx="216">
                  <c:v>135.58842150000001</c:v>
                </c:pt>
                <c:pt idx="217">
                  <c:v>137.0187986</c:v>
                </c:pt>
                <c:pt idx="218">
                  <c:v>134.98623670000001</c:v>
                </c:pt>
                <c:pt idx="219">
                  <c:v>132.36766280000001</c:v>
                </c:pt>
                <c:pt idx="220">
                  <c:v>123.23332689999999</c:v>
                </c:pt>
                <c:pt idx="221">
                  <c:v>121.49108940000001</c:v>
                </c:pt>
                <c:pt idx="222">
                  <c:v>128.6415763</c:v>
                </c:pt>
                <c:pt idx="223">
                  <c:v>115.53332</c:v>
                </c:pt>
                <c:pt idx="224">
                  <c:v>108.2271011</c:v>
                </c:pt>
                <c:pt idx="225">
                  <c:v>110.9037443</c:v>
                </c:pt>
                <c:pt idx="226">
                  <c:v>110.7581998</c:v>
                </c:pt>
                <c:pt idx="227">
                  <c:v>103.11969569999999</c:v>
                </c:pt>
                <c:pt idx="228">
                  <c:v>100.6434325</c:v>
                </c:pt>
                <c:pt idx="229">
                  <c:v>87.997659100000007</c:v>
                </c:pt>
                <c:pt idx="230">
                  <c:v>93.850710599999999</c:v>
                </c:pt>
                <c:pt idx="231">
                  <c:v>102.078372</c:v>
                </c:pt>
                <c:pt idx="232">
                  <c:v>110.0753285</c:v>
                </c:pt>
                <c:pt idx="233">
                  <c:v>108.757069</c:v>
                </c:pt>
                <c:pt idx="234">
                  <c:v>110.12726600000001</c:v>
                </c:pt>
                <c:pt idx="235">
                  <c:v>104.8118102</c:v>
                </c:pt>
                <c:pt idx="236">
                  <c:v>112.5280721</c:v>
                </c:pt>
                <c:pt idx="237">
                  <c:v>106.7730315</c:v>
                </c:pt>
                <c:pt idx="238">
                  <c:v>115.08878730000001</c:v>
                </c:pt>
                <c:pt idx="239">
                  <c:v>99.939542799999998</c:v>
                </c:pt>
                <c:pt idx="240">
                  <c:v>110.2254655</c:v>
                </c:pt>
              </c:numCache>
            </c:numRef>
          </c:val>
          <c:smooth val="0"/>
          <c:extLst>
            <c:ext xmlns:c16="http://schemas.microsoft.com/office/drawing/2014/chart" uri="{C3380CC4-5D6E-409C-BE32-E72D297353CC}">
              <c16:uniqueId val="{00000001-1B0F-41EB-B1D8-9ED279B02BC7}"/>
            </c:ext>
          </c:extLst>
        </c:ser>
        <c:dLbls>
          <c:showLegendKey val="0"/>
          <c:showVal val="0"/>
          <c:showCatName val="0"/>
          <c:showSerName val="0"/>
          <c:showPercent val="0"/>
          <c:showBubbleSize val="0"/>
        </c:dLbls>
        <c:marker val="1"/>
        <c:smooth val="0"/>
        <c:axId val="2077636816"/>
        <c:axId val="2080339024"/>
      </c:lineChart>
      <c:dateAx>
        <c:axId val="2077636816"/>
        <c:scaling>
          <c:orientation val="minMax"/>
        </c:scaling>
        <c:delete val="0"/>
        <c:axPos val="b"/>
        <c:numFmt formatCode="mmm\-yy"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80339024"/>
        <c:crosses val="autoZero"/>
        <c:auto val="1"/>
        <c:lblOffset val="100"/>
        <c:baseTimeUnit val="months"/>
        <c:majorUnit val="12"/>
        <c:majorTimeUnit val="months"/>
      </c:dateAx>
      <c:valAx>
        <c:axId val="208033902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('000)</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77636816"/>
        <c:crosses val="autoZero"/>
        <c:crossBetween val="between"/>
      </c:valAx>
      <c:valAx>
        <c:axId val="2078416544"/>
        <c:scaling>
          <c:orientation val="minMax"/>
        </c:scaling>
        <c:delete val="0"/>
        <c:axPos val="r"/>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32669072"/>
        <c:crosses val="max"/>
        <c:crossBetween val="between"/>
      </c:valAx>
      <c:dateAx>
        <c:axId val="1932669072"/>
        <c:scaling>
          <c:orientation val="minMax"/>
        </c:scaling>
        <c:delete val="1"/>
        <c:axPos val="b"/>
        <c:numFmt formatCode="mmm\-yy" sourceLinked="1"/>
        <c:majorTickMark val="out"/>
        <c:minorTickMark val="none"/>
        <c:tickLblPos val="nextTo"/>
        <c:crossAx val="2078416544"/>
        <c:crosses val="autoZero"/>
        <c:auto val="1"/>
        <c:lblOffset val="100"/>
        <c:baseTimeUnit val="months"/>
        <c:majorUnit val="1"/>
        <c:minorUnit val="1"/>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4'!$B$4</c:f>
              <c:strCache>
                <c:ptCount val="1"/>
                <c:pt idx="0">
                  <c:v>Recruitment rate</c:v>
                </c:pt>
              </c:strCache>
            </c:strRef>
          </c:tx>
          <c:spPr>
            <a:ln w="28575" cap="rnd">
              <a:solidFill>
                <a:schemeClr val="accent1"/>
              </a:solidFill>
              <a:round/>
            </a:ln>
            <a:effectLst/>
          </c:spPr>
          <c:marker>
            <c:symbol val="none"/>
          </c:marker>
          <c:dLbls>
            <c:dLbl>
              <c:idx val="5"/>
              <c:layout>
                <c:manualLayout>
                  <c:x val="-5.8333333333333334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81-4192-9F60-08CF857BDC78}"/>
                </c:ext>
              </c:extLst>
            </c:dLbl>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81-4192-9F60-08CF857BDC7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4'!$A$6:$A$18</c:f>
              <c:strCache>
                <c:ptCount val="13"/>
                <c:pt idx="0">
                  <c:v>Mar qtr 2021</c:v>
                </c:pt>
                <c:pt idx="1">
                  <c:v>Jun qtr 2021</c:v>
                </c:pt>
                <c:pt idx="2">
                  <c:v>Sep qtr 2021</c:v>
                </c:pt>
                <c:pt idx="3">
                  <c:v>Dec qtr 2021</c:v>
                </c:pt>
                <c:pt idx="4">
                  <c:v>Mar qtr 2022</c:v>
                </c:pt>
                <c:pt idx="5">
                  <c:v>Jun qtr 2022</c:v>
                </c:pt>
                <c:pt idx="6">
                  <c:v>Sep qtr 2022</c:v>
                </c:pt>
                <c:pt idx="7">
                  <c:v>Dec qtr 2022</c:v>
                </c:pt>
                <c:pt idx="8">
                  <c:v>Mar qtr 2023</c:v>
                </c:pt>
                <c:pt idx="9">
                  <c:v>Jun qtr 2023</c:v>
                </c:pt>
                <c:pt idx="10">
                  <c:v>Sep qtr 2023</c:v>
                </c:pt>
                <c:pt idx="11">
                  <c:v>Dec qtr 2023</c:v>
                </c:pt>
                <c:pt idx="12">
                  <c:v>Mar qtr 2024</c:v>
                </c:pt>
              </c:strCache>
            </c:strRef>
          </c:cat>
          <c:val>
            <c:numRef>
              <c:f>'Figure 4'!$B$6:$B$18</c:f>
              <c:numCache>
                <c:formatCode>0%</c:formatCode>
                <c:ptCount val="13"/>
                <c:pt idx="0">
                  <c:v>0.45</c:v>
                </c:pt>
                <c:pt idx="1">
                  <c:v>0.48</c:v>
                </c:pt>
                <c:pt idx="2">
                  <c:v>0.39</c:v>
                </c:pt>
                <c:pt idx="3">
                  <c:v>0.48</c:v>
                </c:pt>
                <c:pt idx="4">
                  <c:v>0.53</c:v>
                </c:pt>
                <c:pt idx="5">
                  <c:v>0.57999999999999996</c:v>
                </c:pt>
                <c:pt idx="6">
                  <c:v>0.56999999999999995</c:v>
                </c:pt>
                <c:pt idx="7">
                  <c:v>0.56000000000000005</c:v>
                </c:pt>
                <c:pt idx="8">
                  <c:v>0.55000000000000004</c:v>
                </c:pt>
                <c:pt idx="9">
                  <c:v>0.5</c:v>
                </c:pt>
                <c:pt idx="10">
                  <c:v>0.48</c:v>
                </c:pt>
                <c:pt idx="11">
                  <c:v>0.5</c:v>
                </c:pt>
                <c:pt idx="12">
                  <c:v>0.49</c:v>
                </c:pt>
              </c:numCache>
            </c:numRef>
          </c:val>
          <c:smooth val="0"/>
          <c:extLst>
            <c:ext xmlns:c16="http://schemas.microsoft.com/office/drawing/2014/chart" uri="{C3380CC4-5D6E-409C-BE32-E72D297353CC}">
              <c16:uniqueId val="{00000002-3A81-4192-9F60-08CF857BDC78}"/>
            </c:ext>
          </c:extLst>
        </c:ser>
        <c:dLbls>
          <c:showLegendKey val="0"/>
          <c:showVal val="0"/>
          <c:showCatName val="0"/>
          <c:showSerName val="0"/>
          <c:showPercent val="0"/>
          <c:showBubbleSize val="0"/>
        </c:dLbls>
        <c:smooth val="0"/>
        <c:axId val="1275969519"/>
        <c:axId val="1388225999"/>
      </c:lineChart>
      <c:catAx>
        <c:axId val="1275969519"/>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88225999"/>
        <c:crosses val="autoZero"/>
        <c:auto val="1"/>
        <c:lblAlgn val="ctr"/>
        <c:lblOffset val="100"/>
        <c:noMultiLvlLbl val="0"/>
      </c:catAx>
      <c:valAx>
        <c:axId val="1388225999"/>
        <c:scaling>
          <c:orientation val="minMax"/>
          <c:min val="0.2"/>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a:t>Proportion of all employers</a:t>
                </a:r>
              </a:p>
            </c:rich>
          </c:tx>
          <c:layout>
            <c:manualLayout>
              <c:xMode val="edge"/>
              <c:yMode val="edge"/>
              <c:x val="1.2232413545731697E-2"/>
              <c:y val="6.9841269841269843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75969519"/>
        <c:crosses val="autoZero"/>
        <c:crossBetween val="between"/>
        <c:majorUnit val="0.150000000000000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'[NLD LMU March 23 chart data.xlsx]IV UE timeseries plot (Fig.6)'!$B$1</c:f>
              <c:strCache>
                <c:ptCount val="1"/>
                <c:pt idx="0">
                  <c:v>Seasonally adjusted job advertisements</c:v>
                </c:pt>
              </c:strCache>
            </c:strRef>
          </c:tx>
          <c:spPr>
            <a:solidFill>
              <a:schemeClr val="accent1"/>
            </a:solidFill>
            <a:ln>
              <a:noFill/>
            </a:ln>
            <a:effectLst/>
          </c:spPr>
          <c:invertIfNegative val="0"/>
          <c:cat>
            <c:numRef>
              <c:f>'[NLD LMU March 23 chart data.xlsx]IV UE timeseries plot (Fig.6)'!$A$2:$A$220</c:f>
              <c:numCache>
                <c:formatCode>mmm\-yy</c:formatCode>
                <c:ptCount val="219"/>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pt idx="217">
                  <c:v>45323</c:v>
                </c:pt>
                <c:pt idx="218">
                  <c:v>45352</c:v>
                </c:pt>
              </c:numCache>
            </c:numRef>
          </c:cat>
          <c:val>
            <c:numRef>
              <c:f>'[NLD LMU March 23 chart data.xlsx]IV UE timeseries plot (Fig.6)'!$B$2:$B$220</c:f>
              <c:numCache>
                <c:formatCode>General</c:formatCode>
                <c:ptCount val="219"/>
                <c:pt idx="0">
                  <c:v>211.88275300000001</c:v>
                </c:pt>
                <c:pt idx="1">
                  <c:v>216.342736</c:v>
                </c:pt>
                <c:pt idx="2">
                  <c:v>220.68462400000001</c:v>
                </c:pt>
                <c:pt idx="3">
                  <c:v>221.652343</c:v>
                </c:pt>
                <c:pt idx="4">
                  <c:v>218.7919</c:v>
                </c:pt>
                <c:pt idx="5">
                  <c:v>237.86000700000002</c:v>
                </c:pt>
                <c:pt idx="6">
                  <c:v>219.674858</c:v>
                </c:pt>
                <c:pt idx="7">
                  <c:v>226.43997300000001</c:v>
                </c:pt>
                <c:pt idx="8">
                  <c:v>220.05074500000001</c:v>
                </c:pt>
                <c:pt idx="9">
                  <c:v>238.29848800000002</c:v>
                </c:pt>
                <c:pt idx="10">
                  <c:v>238.38057199999997</c:v>
                </c:pt>
                <c:pt idx="11">
                  <c:v>233.57750200000001</c:v>
                </c:pt>
                <c:pt idx="12">
                  <c:v>249.05393599999999</c:v>
                </c:pt>
                <c:pt idx="13">
                  <c:v>256.55990600000001</c:v>
                </c:pt>
                <c:pt idx="14">
                  <c:v>266.75013000000001</c:v>
                </c:pt>
                <c:pt idx="15">
                  <c:v>266.039604</c:v>
                </c:pt>
                <c:pt idx="16">
                  <c:v>272.51240200000001</c:v>
                </c:pt>
                <c:pt idx="17">
                  <c:v>269.042463</c:v>
                </c:pt>
                <c:pt idx="18">
                  <c:v>281.79778899999997</c:v>
                </c:pt>
                <c:pt idx="19">
                  <c:v>281.34939100000003</c:v>
                </c:pt>
                <c:pt idx="20">
                  <c:v>285.74428</c:v>
                </c:pt>
                <c:pt idx="21">
                  <c:v>283.23204100000004</c:v>
                </c:pt>
                <c:pt idx="22">
                  <c:v>294.65839899999997</c:v>
                </c:pt>
                <c:pt idx="23">
                  <c:v>300.50515200000001</c:v>
                </c:pt>
                <c:pt idx="24">
                  <c:v>305.79785299999998</c:v>
                </c:pt>
                <c:pt idx="25">
                  <c:v>306.071574</c:v>
                </c:pt>
                <c:pt idx="26">
                  <c:v>301.23342700000001</c:v>
                </c:pt>
                <c:pt idx="27">
                  <c:v>305.99656599999997</c:v>
                </c:pt>
                <c:pt idx="28">
                  <c:v>300.97833100000003</c:v>
                </c:pt>
                <c:pt idx="29">
                  <c:v>301.31667499999998</c:v>
                </c:pt>
                <c:pt idx="30">
                  <c:v>288.04554300000001</c:v>
                </c:pt>
                <c:pt idx="31">
                  <c:v>273.43655999999999</c:v>
                </c:pt>
                <c:pt idx="32">
                  <c:v>260.187904</c:v>
                </c:pt>
                <c:pt idx="33">
                  <c:v>251.18014799999997</c:v>
                </c:pt>
                <c:pt idx="34">
                  <c:v>234.28205</c:v>
                </c:pt>
                <c:pt idx="35">
                  <c:v>216.47614400000001</c:v>
                </c:pt>
                <c:pt idx="36">
                  <c:v>196.479376</c:v>
                </c:pt>
                <c:pt idx="37">
                  <c:v>181.96752699999999</c:v>
                </c:pt>
                <c:pt idx="38">
                  <c:v>160.46953200000002</c:v>
                </c:pt>
                <c:pt idx="39">
                  <c:v>164.486401</c:v>
                </c:pt>
                <c:pt idx="40">
                  <c:v>157.44585800000002</c:v>
                </c:pt>
                <c:pt idx="41">
                  <c:v>171.66823499999998</c:v>
                </c:pt>
                <c:pt idx="42">
                  <c:v>158.581729</c:v>
                </c:pt>
                <c:pt idx="43">
                  <c:v>165.10246799999999</c:v>
                </c:pt>
                <c:pt idx="44">
                  <c:v>165.76102799999998</c:v>
                </c:pt>
                <c:pt idx="45">
                  <c:v>166.466644</c:v>
                </c:pt>
                <c:pt idx="46">
                  <c:v>169.790066</c:v>
                </c:pt>
                <c:pt idx="47">
                  <c:v>170.999878</c:v>
                </c:pt>
                <c:pt idx="48">
                  <c:v>183.57903899999999</c:v>
                </c:pt>
                <c:pt idx="49">
                  <c:v>188.53942000000001</c:v>
                </c:pt>
                <c:pt idx="50">
                  <c:v>176.58565900000002</c:v>
                </c:pt>
                <c:pt idx="51">
                  <c:v>170.88713899999999</c:v>
                </c:pt>
                <c:pt idx="52">
                  <c:v>186.767786</c:v>
                </c:pt>
                <c:pt idx="53">
                  <c:v>184.63206700000001</c:v>
                </c:pt>
                <c:pt idx="54">
                  <c:v>191.17028500000001</c:v>
                </c:pt>
                <c:pt idx="55">
                  <c:v>191.93872399999998</c:v>
                </c:pt>
                <c:pt idx="56">
                  <c:v>200.40454099999999</c:v>
                </c:pt>
                <c:pt idx="57">
                  <c:v>204.931757</c:v>
                </c:pt>
                <c:pt idx="58">
                  <c:v>205.64797300000001</c:v>
                </c:pt>
                <c:pt idx="59">
                  <c:v>211.04491200000001</c:v>
                </c:pt>
                <c:pt idx="60">
                  <c:v>212.70776500000002</c:v>
                </c:pt>
                <c:pt idx="61">
                  <c:v>213.20198300000001</c:v>
                </c:pt>
                <c:pt idx="62">
                  <c:v>215.33931899999999</c:v>
                </c:pt>
                <c:pt idx="63">
                  <c:v>213.902421</c:v>
                </c:pt>
                <c:pt idx="64">
                  <c:v>209.12794200000002</c:v>
                </c:pt>
                <c:pt idx="65">
                  <c:v>202.80113200000002</c:v>
                </c:pt>
                <c:pt idx="66">
                  <c:v>208.25514000000001</c:v>
                </c:pt>
                <c:pt idx="67">
                  <c:v>202.29352499999999</c:v>
                </c:pt>
                <c:pt idx="68">
                  <c:v>196.29963699999999</c:v>
                </c:pt>
                <c:pt idx="69">
                  <c:v>196.036765</c:v>
                </c:pt>
                <c:pt idx="70">
                  <c:v>196.18211600000001</c:v>
                </c:pt>
                <c:pt idx="71">
                  <c:v>198.765929</c:v>
                </c:pt>
                <c:pt idx="72">
                  <c:v>190.05059400000002</c:v>
                </c:pt>
                <c:pt idx="73">
                  <c:v>193.569952</c:v>
                </c:pt>
                <c:pt idx="74">
                  <c:v>192.77215699999999</c:v>
                </c:pt>
                <c:pt idx="75">
                  <c:v>187.522268</c:v>
                </c:pt>
                <c:pt idx="76">
                  <c:v>181.43966399999999</c:v>
                </c:pt>
                <c:pt idx="77">
                  <c:v>177.61144399999998</c:v>
                </c:pt>
                <c:pt idx="78">
                  <c:v>168.85997599999999</c:v>
                </c:pt>
                <c:pt idx="79">
                  <c:v>168.72416200000001</c:v>
                </c:pt>
                <c:pt idx="80">
                  <c:v>168.17416</c:v>
                </c:pt>
                <c:pt idx="81">
                  <c:v>159.197113</c:v>
                </c:pt>
                <c:pt idx="82">
                  <c:v>154.94713300000001</c:v>
                </c:pt>
                <c:pt idx="83">
                  <c:v>151.36754399999998</c:v>
                </c:pt>
                <c:pt idx="84">
                  <c:v>148.901107</c:v>
                </c:pt>
                <c:pt idx="85">
                  <c:v>144.85147700000002</c:v>
                </c:pt>
                <c:pt idx="86">
                  <c:v>150.86847899999998</c:v>
                </c:pt>
                <c:pt idx="87">
                  <c:v>139.36210200000002</c:v>
                </c:pt>
                <c:pt idx="88">
                  <c:v>142.52690200000001</c:v>
                </c:pt>
                <c:pt idx="89">
                  <c:v>139.82431500000001</c:v>
                </c:pt>
                <c:pt idx="90">
                  <c:v>141.838224</c:v>
                </c:pt>
                <c:pt idx="91">
                  <c:v>140.26121499999999</c:v>
                </c:pt>
                <c:pt idx="92">
                  <c:v>138.907723</c:v>
                </c:pt>
                <c:pt idx="93">
                  <c:v>139.90599499999999</c:v>
                </c:pt>
                <c:pt idx="94">
                  <c:v>140.99754199999998</c:v>
                </c:pt>
                <c:pt idx="95">
                  <c:v>138.77565900000002</c:v>
                </c:pt>
                <c:pt idx="96">
                  <c:v>149.67294799999999</c:v>
                </c:pt>
                <c:pt idx="97">
                  <c:v>147.163737</c:v>
                </c:pt>
                <c:pt idx="98">
                  <c:v>144.79327600000002</c:v>
                </c:pt>
                <c:pt idx="99">
                  <c:v>143.681217</c:v>
                </c:pt>
                <c:pt idx="100">
                  <c:v>151.787037</c:v>
                </c:pt>
                <c:pt idx="101">
                  <c:v>155.72750399999998</c:v>
                </c:pt>
                <c:pt idx="102">
                  <c:v>151.635446</c:v>
                </c:pt>
                <c:pt idx="103">
                  <c:v>156.76954500000002</c:v>
                </c:pt>
                <c:pt idx="104">
                  <c:v>154.02777399999999</c:v>
                </c:pt>
                <c:pt idx="105">
                  <c:v>157.050183</c:v>
                </c:pt>
                <c:pt idx="106">
                  <c:v>151.83471599999999</c:v>
                </c:pt>
                <c:pt idx="107">
                  <c:v>149.51551699999999</c:v>
                </c:pt>
                <c:pt idx="108">
                  <c:v>156.74990100000002</c:v>
                </c:pt>
                <c:pt idx="109">
                  <c:v>154.54369</c:v>
                </c:pt>
                <c:pt idx="110">
                  <c:v>157.95746800000001</c:v>
                </c:pt>
                <c:pt idx="111">
                  <c:v>158.33400599999999</c:v>
                </c:pt>
                <c:pt idx="112">
                  <c:v>151.04883100000001</c:v>
                </c:pt>
                <c:pt idx="113">
                  <c:v>151.83477999999999</c:v>
                </c:pt>
                <c:pt idx="114">
                  <c:v>157.06417800000003</c:v>
                </c:pt>
                <c:pt idx="115">
                  <c:v>154.496363</c:v>
                </c:pt>
                <c:pt idx="116">
                  <c:v>162.90203700000001</c:v>
                </c:pt>
                <c:pt idx="117">
                  <c:v>159.90372099999999</c:v>
                </c:pt>
                <c:pt idx="118">
                  <c:v>164.91539300000002</c:v>
                </c:pt>
                <c:pt idx="119">
                  <c:v>164.39311600000002</c:v>
                </c:pt>
                <c:pt idx="120">
                  <c:v>163.07912400000001</c:v>
                </c:pt>
                <c:pt idx="121">
                  <c:v>161.301951</c:v>
                </c:pt>
                <c:pt idx="122">
                  <c:v>162.694277</c:v>
                </c:pt>
                <c:pt idx="123">
                  <c:v>165.24587100000002</c:v>
                </c:pt>
                <c:pt idx="124">
                  <c:v>166.01966200000001</c:v>
                </c:pt>
                <c:pt idx="125">
                  <c:v>173.24239399999999</c:v>
                </c:pt>
                <c:pt idx="126">
                  <c:v>164.50012700000002</c:v>
                </c:pt>
                <c:pt idx="127">
                  <c:v>165.42325399999999</c:v>
                </c:pt>
                <c:pt idx="128">
                  <c:v>162.89053700000002</c:v>
                </c:pt>
                <c:pt idx="129">
                  <c:v>163.22070600000001</c:v>
                </c:pt>
                <c:pt idx="130">
                  <c:v>161.94565299999999</c:v>
                </c:pt>
                <c:pt idx="131">
                  <c:v>163.49324999999999</c:v>
                </c:pt>
                <c:pt idx="132">
                  <c:v>162.23575299999999</c:v>
                </c:pt>
                <c:pt idx="133">
                  <c:v>165.897809</c:v>
                </c:pt>
                <c:pt idx="134">
                  <c:v>165.21883099999999</c:v>
                </c:pt>
                <c:pt idx="135">
                  <c:v>170.50283199999998</c:v>
                </c:pt>
                <c:pt idx="136">
                  <c:v>173.45132000000001</c:v>
                </c:pt>
                <c:pt idx="137">
                  <c:v>177.33048000000002</c:v>
                </c:pt>
                <c:pt idx="138">
                  <c:v>176.28971299999998</c:v>
                </c:pt>
                <c:pt idx="139">
                  <c:v>175.54899</c:v>
                </c:pt>
                <c:pt idx="140">
                  <c:v>175.462143</c:v>
                </c:pt>
                <c:pt idx="141">
                  <c:v>177.11720800000001</c:v>
                </c:pt>
                <c:pt idx="142">
                  <c:v>178.27626900000001</c:v>
                </c:pt>
                <c:pt idx="143">
                  <c:v>174.311376</c:v>
                </c:pt>
                <c:pt idx="144">
                  <c:v>178.228722</c:v>
                </c:pt>
                <c:pt idx="145">
                  <c:v>181.37553500000001</c:v>
                </c:pt>
                <c:pt idx="146">
                  <c:v>190.144462</c:v>
                </c:pt>
                <c:pt idx="147">
                  <c:v>186.769058</c:v>
                </c:pt>
                <c:pt idx="148">
                  <c:v>187.04835200000002</c:v>
                </c:pt>
                <c:pt idx="149">
                  <c:v>183.05578400000002</c:v>
                </c:pt>
                <c:pt idx="150">
                  <c:v>184.476438</c:v>
                </c:pt>
                <c:pt idx="151">
                  <c:v>185.33077299999999</c:v>
                </c:pt>
                <c:pt idx="152">
                  <c:v>179.34490599999998</c:v>
                </c:pt>
                <c:pt idx="153">
                  <c:v>177.238124</c:v>
                </c:pt>
                <c:pt idx="154">
                  <c:v>177.44560800000002</c:v>
                </c:pt>
                <c:pt idx="155">
                  <c:v>178.21735000000001</c:v>
                </c:pt>
                <c:pt idx="156">
                  <c:v>185.20927499999999</c:v>
                </c:pt>
                <c:pt idx="157">
                  <c:v>181.887789</c:v>
                </c:pt>
                <c:pt idx="158">
                  <c:v>172.65834700000002</c:v>
                </c:pt>
                <c:pt idx="159">
                  <c:v>175.46941800000002</c:v>
                </c:pt>
                <c:pt idx="160">
                  <c:v>177.707053</c:v>
                </c:pt>
                <c:pt idx="161">
                  <c:v>172.06748899999999</c:v>
                </c:pt>
                <c:pt idx="162">
                  <c:v>173.68193400000001</c:v>
                </c:pt>
                <c:pt idx="163">
                  <c:v>168.82792999999998</c:v>
                </c:pt>
                <c:pt idx="164">
                  <c:v>169.82179199999999</c:v>
                </c:pt>
                <c:pt idx="165">
                  <c:v>162.29113100000001</c:v>
                </c:pt>
                <c:pt idx="166">
                  <c:v>155.71020300000001</c:v>
                </c:pt>
                <c:pt idx="167">
                  <c:v>164.12341499999999</c:v>
                </c:pt>
                <c:pt idx="168">
                  <c:v>167.98681999999999</c:v>
                </c:pt>
                <c:pt idx="169">
                  <c:v>160.503758</c:v>
                </c:pt>
                <c:pt idx="170">
                  <c:v>117.909955</c:v>
                </c:pt>
                <c:pt idx="171">
                  <c:v>67.487369999999999</c:v>
                </c:pt>
                <c:pt idx="172">
                  <c:v>90.297756399999997</c:v>
                </c:pt>
                <c:pt idx="173">
                  <c:v>119.819861</c:v>
                </c:pt>
                <c:pt idx="174">
                  <c:v>134.20294699999999</c:v>
                </c:pt>
                <c:pt idx="175">
                  <c:v>135.83922099999998</c:v>
                </c:pt>
                <c:pt idx="176">
                  <c:v>151.012812</c:v>
                </c:pt>
                <c:pt idx="177">
                  <c:v>160.44623899999999</c:v>
                </c:pt>
                <c:pt idx="178">
                  <c:v>175.84180699999999</c:v>
                </c:pt>
                <c:pt idx="179">
                  <c:v>185.17005499999999</c:v>
                </c:pt>
                <c:pt idx="180">
                  <c:v>189.58531200000002</c:v>
                </c:pt>
                <c:pt idx="181">
                  <c:v>203.315076</c:v>
                </c:pt>
                <c:pt idx="182">
                  <c:v>228.42226500000001</c:v>
                </c:pt>
                <c:pt idx="183">
                  <c:v>231.396761</c:v>
                </c:pt>
                <c:pt idx="184">
                  <c:v>235.373524</c:v>
                </c:pt>
                <c:pt idx="185">
                  <c:v>230.87092100000001</c:v>
                </c:pt>
                <c:pt idx="186">
                  <c:v>228.645533</c:v>
                </c:pt>
                <c:pt idx="187">
                  <c:v>210.44083600000002</c:v>
                </c:pt>
                <c:pt idx="188">
                  <c:v>235.42697799999999</c:v>
                </c:pt>
                <c:pt idx="189">
                  <c:v>255.00842499999999</c:v>
                </c:pt>
                <c:pt idx="190">
                  <c:v>261.48640499999999</c:v>
                </c:pt>
                <c:pt idx="191">
                  <c:v>258.63102400000002</c:v>
                </c:pt>
                <c:pt idx="192">
                  <c:v>269.32660999999996</c:v>
                </c:pt>
                <c:pt idx="193">
                  <c:v>278.66328999999996</c:v>
                </c:pt>
                <c:pt idx="194">
                  <c:v>285.12299200000001</c:v>
                </c:pt>
                <c:pt idx="195">
                  <c:v>289.98955100000001</c:v>
                </c:pt>
                <c:pt idx="196">
                  <c:v>295.66929100000004</c:v>
                </c:pt>
                <c:pt idx="197">
                  <c:v>303.42118800000003</c:v>
                </c:pt>
                <c:pt idx="198">
                  <c:v>291.63442300000003</c:v>
                </c:pt>
                <c:pt idx="199">
                  <c:v>294.96559000000002</c:v>
                </c:pt>
                <c:pt idx="200">
                  <c:v>282.23165</c:v>
                </c:pt>
                <c:pt idx="201">
                  <c:v>285.51534299999997</c:v>
                </c:pt>
                <c:pt idx="202">
                  <c:v>276.57715400000001</c:v>
                </c:pt>
                <c:pt idx="203">
                  <c:v>276.18565699999999</c:v>
                </c:pt>
                <c:pt idx="204">
                  <c:v>282.05694</c:v>
                </c:pt>
                <c:pt idx="205">
                  <c:v>284.75255900000002</c:v>
                </c:pt>
                <c:pt idx="206">
                  <c:v>284.225121</c:v>
                </c:pt>
                <c:pt idx="207">
                  <c:v>291.25320599999998</c:v>
                </c:pt>
                <c:pt idx="208">
                  <c:v>282.92967900000002</c:v>
                </c:pt>
                <c:pt idx="209">
                  <c:v>276.38154200000002</c:v>
                </c:pt>
                <c:pt idx="210">
                  <c:v>279.41019599999998</c:v>
                </c:pt>
                <c:pt idx="211">
                  <c:v>275.71360399999998</c:v>
                </c:pt>
                <c:pt idx="212">
                  <c:v>269.023956</c:v>
                </c:pt>
                <c:pt idx="213">
                  <c:v>258.66358500000001</c:v>
                </c:pt>
                <c:pt idx="214">
                  <c:v>258.173227</c:v>
                </c:pt>
                <c:pt idx="215">
                  <c:v>259.52898199999998</c:v>
                </c:pt>
                <c:pt idx="216">
                  <c:v>254.45379600000001</c:v>
                </c:pt>
                <c:pt idx="217">
                  <c:v>248.55066399999998</c:v>
                </c:pt>
                <c:pt idx="218">
                  <c:v>248.95019399999998</c:v>
                </c:pt>
              </c:numCache>
            </c:numRef>
          </c:val>
          <c:extLst>
            <c:ext xmlns:c16="http://schemas.microsoft.com/office/drawing/2014/chart" uri="{C3380CC4-5D6E-409C-BE32-E72D297353CC}">
              <c16:uniqueId val="{00000000-9B59-4A1A-9051-43EE856BD7EE}"/>
            </c:ext>
          </c:extLst>
        </c:ser>
        <c:dLbls>
          <c:showLegendKey val="0"/>
          <c:showVal val="0"/>
          <c:showCatName val="0"/>
          <c:showSerName val="0"/>
          <c:showPercent val="0"/>
          <c:showBubbleSize val="0"/>
        </c:dLbls>
        <c:gapWidth val="269"/>
        <c:axId val="1615677536"/>
        <c:axId val="989843920"/>
      </c:barChart>
      <c:lineChart>
        <c:grouping val="standard"/>
        <c:varyColors val="0"/>
        <c:ser>
          <c:idx val="1"/>
          <c:order val="1"/>
          <c:tx>
            <c:strRef>
              <c:f>'[NLD LMU March 23 chart data.xlsx]IV UE timeseries plot (Fig.6)'!$C$1</c:f>
              <c:strCache>
                <c:ptCount val="1"/>
                <c:pt idx="0">
                  <c:v>Seasonally adjusted unemployment rate (%)</c:v>
                </c:pt>
              </c:strCache>
            </c:strRef>
          </c:tx>
          <c:spPr>
            <a:ln w="22225" cap="rnd">
              <a:solidFill>
                <a:schemeClr val="accent2"/>
              </a:solidFill>
              <a:round/>
            </a:ln>
            <a:effectLst/>
          </c:spPr>
          <c:marker>
            <c:symbol val="none"/>
          </c:marker>
          <c:cat>
            <c:numRef>
              <c:f>'[NLD LMU March 23 chart data.xlsx]IV UE timeseries plot (Fig.6)'!$A$2:$A$220</c:f>
              <c:numCache>
                <c:formatCode>mmm\-yy</c:formatCode>
                <c:ptCount val="219"/>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pt idx="217">
                  <c:v>45323</c:v>
                </c:pt>
                <c:pt idx="218">
                  <c:v>45352</c:v>
                </c:pt>
              </c:numCache>
            </c:numRef>
          </c:cat>
          <c:val>
            <c:numRef>
              <c:f>'[NLD LMU March 23 chart data.xlsx]IV UE timeseries plot (Fig.6)'!$C$2:$C$220</c:f>
              <c:numCache>
                <c:formatCode>0.0%</c:formatCode>
                <c:ptCount val="219"/>
                <c:pt idx="0">
                  <c:v>5.1612805000000005E-2</c:v>
                </c:pt>
                <c:pt idx="1">
                  <c:v>5.1025824999999997E-2</c:v>
                </c:pt>
                <c:pt idx="2">
                  <c:v>4.8663990000000004E-2</c:v>
                </c:pt>
                <c:pt idx="3">
                  <c:v>4.9646302999999996E-2</c:v>
                </c:pt>
                <c:pt idx="4">
                  <c:v>4.7974878999999998E-2</c:v>
                </c:pt>
                <c:pt idx="5">
                  <c:v>4.8074811000000002E-2</c:v>
                </c:pt>
                <c:pt idx="6">
                  <c:v>4.6558712000000002E-2</c:v>
                </c:pt>
                <c:pt idx="7">
                  <c:v>4.7118191999999996E-2</c:v>
                </c:pt>
                <c:pt idx="8">
                  <c:v>4.6652933000000001E-2</c:v>
                </c:pt>
                <c:pt idx="9">
                  <c:v>4.4625532999999995E-2</c:v>
                </c:pt>
                <c:pt idx="10">
                  <c:v>4.5143671000000003E-2</c:v>
                </c:pt>
                <c:pt idx="11">
                  <c:v>4.5672604000000006E-2</c:v>
                </c:pt>
                <c:pt idx="12">
                  <c:v>4.5528754999999997E-2</c:v>
                </c:pt>
                <c:pt idx="13">
                  <c:v>4.6336202999999992E-2</c:v>
                </c:pt>
                <c:pt idx="14">
                  <c:v>4.4590194E-2</c:v>
                </c:pt>
                <c:pt idx="15">
                  <c:v>4.3851859999999999E-2</c:v>
                </c:pt>
                <c:pt idx="16">
                  <c:v>4.2638255999999999E-2</c:v>
                </c:pt>
                <c:pt idx="17">
                  <c:v>4.323565E-2</c:v>
                </c:pt>
                <c:pt idx="18">
                  <c:v>4.2524182000000001E-2</c:v>
                </c:pt>
                <c:pt idx="19">
                  <c:v>4.2987509E-2</c:v>
                </c:pt>
                <c:pt idx="20">
                  <c:v>4.2126726999999996E-2</c:v>
                </c:pt>
                <c:pt idx="21">
                  <c:v>4.3255223000000002E-2</c:v>
                </c:pt>
                <c:pt idx="22">
                  <c:v>4.4261195000000003E-2</c:v>
                </c:pt>
                <c:pt idx="23">
                  <c:v>4.3076275999999997E-2</c:v>
                </c:pt>
                <c:pt idx="24">
                  <c:v>4.221229E-2</c:v>
                </c:pt>
                <c:pt idx="25">
                  <c:v>3.9781519000000001E-2</c:v>
                </c:pt>
                <c:pt idx="26">
                  <c:v>4.0565178E-2</c:v>
                </c:pt>
                <c:pt idx="27">
                  <c:v>4.2647367000000005E-2</c:v>
                </c:pt>
                <c:pt idx="28">
                  <c:v>4.2658193999999997E-2</c:v>
                </c:pt>
                <c:pt idx="29">
                  <c:v>4.2430750000000003E-2</c:v>
                </c:pt>
                <c:pt idx="30">
                  <c:v>4.2494648000000003E-2</c:v>
                </c:pt>
                <c:pt idx="31">
                  <c:v>4.0151716000000004E-2</c:v>
                </c:pt>
                <c:pt idx="32">
                  <c:v>4.2885198000000006E-2</c:v>
                </c:pt>
                <c:pt idx="33">
                  <c:v>4.2893810999999997E-2</c:v>
                </c:pt>
                <c:pt idx="34">
                  <c:v>4.4621861000000006E-2</c:v>
                </c:pt>
                <c:pt idx="35">
                  <c:v>4.5692776000000004E-2</c:v>
                </c:pt>
                <c:pt idx="36">
                  <c:v>4.9070521999999998E-2</c:v>
                </c:pt>
                <c:pt idx="37">
                  <c:v>5.3010222000000003E-2</c:v>
                </c:pt>
                <c:pt idx="38">
                  <c:v>5.7105678E-2</c:v>
                </c:pt>
                <c:pt idx="39">
                  <c:v>5.5121087999999999E-2</c:v>
                </c:pt>
                <c:pt idx="40">
                  <c:v>5.8114708000000001E-2</c:v>
                </c:pt>
                <c:pt idx="41">
                  <c:v>5.8611994000000001E-2</c:v>
                </c:pt>
                <c:pt idx="42">
                  <c:v>5.6713539E-2</c:v>
                </c:pt>
                <c:pt idx="43">
                  <c:v>5.7147101999999998E-2</c:v>
                </c:pt>
                <c:pt idx="44">
                  <c:v>5.6610649999999998E-2</c:v>
                </c:pt>
                <c:pt idx="45">
                  <c:v>5.6227324000000002E-2</c:v>
                </c:pt>
                <c:pt idx="46">
                  <c:v>5.5578063000000004E-2</c:v>
                </c:pt>
                <c:pt idx="47">
                  <c:v>5.4902851999999995E-2</c:v>
                </c:pt>
                <c:pt idx="48">
                  <c:v>5.2649524999999996E-2</c:v>
                </c:pt>
                <c:pt idx="49">
                  <c:v>5.2963310999999999E-2</c:v>
                </c:pt>
                <c:pt idx="50">
                  <c:v>5.421977E-2</c:v>
                </c:pt>
                <c:pt idx="51">
                  <c:v>5.4976817999999997E-2</c:v>
                </c:pt>
                <c:pt idx="52">
                  <c:v>5.2293741999999997E-2</c:v>
                </c:pt>
                <c:pt idx="53">
                  <c:v>5.1440349999999996E-2</c:v>
                </c:pt>
                <c:pt idx="54">
                  <c:v>5.2863581E-2</c:v>
                </c:pt>
                <c:pt idx="55">
                  <c:v>5.0324463E-2</c:v>
                </c:pt>
                <c:pt idx="56">
                  <c:v>5.0535354000000005E-2</c:v>
                </c:pt>
                <c:pt idx="57">
                  <c:v>5.2838843000000003E-2</c:v>
                </c:pt>
                <c:pt idx="58">
                  <c:v>5.1082983000000005E-2</c:v>
                </c:pt>
                <c:pt idx="59">
                  <c:v>4.8760087000000001E-2</c:v>
                </c:pt>
                <c:pt idx="60">
                  <c:v>5.0020274000000003E-2</c:v>
                </c:pt>
                <c:pt idx="61">
                  <c:v>4.9702196000000004E-2</c:v>
                </c:pt>
                <c:pt idx="62">
                  <c:v>4.9258274999999997E-2</c:v>
                </c:pt>
                <c:pt idx="63">
                  <c:v>4.9584296E-2</c:v>
                </c:pt>
                <c:pt idx="64">
                  <c:v>5.0133703000000002E-2</c:v>
                </c:pt>
                <c:pt idx="65">
                  <c:v>4.9168786999999999E-2</c:v>
                </c:pt>
                <c:pt idx="66">
                  <c:v>5.0906236000000001E-2</c:v>
                </c:pt>
                <c:pt idx="67">
                  <c:v>5.2707137000000001E-2</c:v>
                </c:pt>
                <c:pt idx="68">
                  <c:v>5.2208891E-2</c:v>
                </c:pt>
                <c:pt idx="69">
                  <c:v>5.1869056999999996E-2</c:v>
                </c:pt>
                <c:pt idx="70">
                  <c:v>5.2302625999999998E-2</c:v>
                </c:pt>
                <c:pt idx="71">
                  <c:v>5.1956861999999999E-2</c:v>
                </c:pt>
                <c:pt idx="72">
                  <c:v>5.0461860999999997E-2</c:v>
                </c:pt>
                <c:pt idx="73">
                  <c:v>5.1902891E-2</c:v>
                </c:pt>
                <c:pt idx="74">
                  <c:v>5.1824291000000001E-2</c:v>
                </c:pt>
                <c:pt idx="75">
                  <c:v>4.9935856000000001E-2</c:v>
                </c:pt>
                <c:pt idx="76">
                  <c:v>5.2008184999999998E-2</c:v>
                </c:pt>
                <c:pt idx="77">
                  <c:v>5.1627891000000002E-2</c:v>
                </c:pt>
                <c:pt idx="78">
                  <c:v>5.1797396999999995E-2</c:v>
                </c:pt>
                <c:pt idx="79">
                  <c:v>5.1575392999999997E-2</c:v>
                </c:pt>
                <c:pt idx="80">
                  <c:v>5.4874150000000003E-2</c:v>
                </c:pt>
                <c:pt idx="81">
                  <c:v>5.4096656999999999E-2</c:v>
                </c:pt>
                <c:pt idx="82">
                  <c:v>5.2559411E-2</c:v>
                </c:pt>
                <c:pt idx="83">
                  <c:v>5.4309506E-2</c:v>
                </c:pt>
                <c:pt idx="84">
                  <c:v>5.3876253999999998E-2</c:v>
                </c:pt>
                <c:pt idx="85">
                  <c:v>5.3929891000000001E-2</c:v>
                </c:pt>
                <c:pt idx="86">
                  <c:v>5.6394697999999993E-2</c:v>
                </c:pt>
                <c:pt idx="87">
                  <c:v>5.5875750000000002E-2</c:v>
                </c:pt>
                <c:pt idx="88">
                  <c:v>5.6105366999999996E-2</c:v>
                </c:pt>
                <c:pt idx="89">
                  <c:v>5.6959174000000001E-2</c:v>
                </c:pt>
                <c:pt idx="90">
                  <c:v>5.6328512999999997E-2</c:v>
                </c:pt>
                <c:pt idx="91">
                  <c:v>5.8443413E-2</c:v>
                </c:pt>
                <c:pt idx="92">
                  <c:v>5.7049953999999993E-2</c:v>
                </c:pt>
                <c:pt idx="93">
                  <c:v>5.8229927000000001E-2</c:v>
                </c:pt>
                <c:pt idx="94">
                  <c:v>5.7956369000000001E-2</c:v>
                </c:pt>
                <c:pt idx="95">
                  <c:v>5.8986297E-2</c:v>
                </c:pt>
                <c:pt idx="96">
                  <c:v>5.9433468999999996E-2</c:v>
                </c:pt>
                <c:pt idx="97">
                  <c:v>5.8763321E-2</c:v>
                </c:pt>
                <c:pt idx="98">
                  <c:v>5.8739408999999999E-2</c:v>
                </c:pt>
                <c:pt idx="99">
                  <c:v>5.8031436999999998E-2</c:v>
                </c:pt>
                <c:pt idx="100">
                  <c:v>5.9312180000000006E-2</c:v>
                </c:pt>
                <c:pt idx="101">
                  <c:v>6.0501126999999995E-2</c:v>
                </c:pt>
                <c:pt idx="102">
                  <c:v>6.1806198E-2</c:v>
                </c:pt>
                <c:pt idx="103">
                  <c:v>6.1051630000000003E-2</c:v>
                </c:pt>
                <c:pt idx="104">
                  <c:v>6.2366496E-2</c:v>
                </c:pt>
                <c:pt idx="105">
                  <c:v>6.3580746000000007E-2</c:v>
                </c:pt>
                <c:pt idx="106">
                  <c:v>6.2957980999999996E-2</c:v>
                </c:pt>
                <c:pt idx="107">
                  <c:v>6.1019151000000001E-2</c:v>
                </c:pt>
                <c:pt idx="108">
                  <c:v>6.3467098999999999E-2</c:v>
                </c:pt>
                <c:pt idx="109">
                  <c:v>6.1505009999999999E-2</c:v>
                </c:pt>
                <c:pt idx="110">
                  <c:v>6.1019793000000003E-2</c:v>
                </c:pt>
                <c:pt idx="111">
                  <c:v>6.1114162E-2</c:v>
                </c:pt>
                <c:pt idx="112">
                  <c:v>5.9326060999999999E-2</c:v>
                </c:pt>
                <c:pt idx="113">
                  <c:v>6.0104040999999997E-2</c:v>
                </c:pt>
                <c:pt idx="114">
                  <c:v>6.2845054999999997E-2</c:v>
                </c:pt>
                <c:pt idx="115">
                  <c:v>6.0904409999999999E-2</c:v>
                </c:pt>
                <c:pt idx="116">
                  <c:v>6.1737338000000003E-2</c:v>
                </c:pt>
                <c:pt idx="117">
                  <c:v>5.9146352999999999E-2</c:v>
                </c:pt>
                <c:pt idx="118">
                  <c:v>5.8489852000000002E-2</c:v>
                </c:pt>
                <c:pt idx="119">
                  <c:v>5.7350760000000001E-2</c:v>
                </c:pt>
                <c:pt idx="120">
                  <c:v>6.0347090999999999E-2</c:v>
                </c:pt>
                <c:pt idx="121">
                  <c:v>5.6900999000000001E-2</c:v>
                </c:pt>
                <c:pt idx="122">
                  <c:v>5.6516276000000004E-2</c:v>
                </c:pt>
                <c:pt idx="123">
                  <c:v>5.6445272999999997E-2</c:v>
                </c:pt>
                <c:pt idx="124">
                  <c:v>5.7235129000000003E-2</c:v>
                </c:pt>
                <c:pt idx="125">
                  <c:v>5.6992834999999999E-2</c:v>
                </c:pt>
                <c:pt idx="126">
                  <c:v>5.7057263999999996E-2</c:v>
                </c:pt>
                <c:pt idx="127">
                  <c:v>5.6215097999999998E-2</c:v>
                </c:pt>
                <c:pt idx="128">
                  <c:v>5.6670434999999998E-2</c:v>
                </c:pt>
                <c:pt idx="129">
                  <c:v>5.6033030999999997E-2</c:v>
                </c:pt>
                <c:pt idx="130">
                  <c:v>5.7660720000000006E-2</c:v>
                </c:pt>
                <c:pt idx="131">
                  <c:v>5.8269425000000007E-2</c:v>
                </c:pt>
                <c:pt idx="132">
                  <c:v>5.6755015999999998E-2</c:v>
                </c:pt>
                <c:pt idx="133">
                  <c:v>5.8868251999999996E-2</c:v>
                </c:pt>
                <c:pt idx="134">
                  <c:v>5.8433795000000004E-2</c:v>
                </c:pt>
                <c:pt idx="135">
                  <c:v>5.6077106000000002E-2</c:v>
                </c:pt>
                <c:pt idx="136">
                  <c:v>5.5524427999999994E-2</c:v>
                </c:pt>
                <c:pt idx="137">
                  <c:v>5.6289041999999997E-2</c:v>
                </c:pt>
                <c:pt idx="138">
                  <c:v>5.6199887000000004E-2</c:v>
                </c:pt>
                <c:pt idx="139">
                  <c:v>5.5349646000000002E-2</c:v>
                </c:pt>
                <c:pt idx="140">
                  <c:v>5.4634052999999995E-2</c:v>
                </c:pt>
                <c:pt idx="141">
                  <c:v>5.4092615999999996E-2</c:v>
                </c:pt>
                <c:pt idx="142">
                  <c:v>5.4497303999999996E-2</c:v>
                </c:pt>
                <c:pt idx="143">
                  <c:v>5.6010591999999998E-2</c:v>
                </c:pt>
                <c:pt idx="144">
                  <c:v>5.5126582E-2</c:v>
                </c:pt>
                <c:pt idx="145">
                  <c:v>5.5719545999999995E-2</c:v>
                </c:pt>
                <c:pt idx="146">
                  <c:v>5.5255525E-2</c:v>
                </c:pt>
                <c:pt idx="147">
                  <c:v>5.5424784000000005E-2</c:v>
                </c:pt>
                <c:pt idx="148">
                  <c:v>5.4426157000000003E-2</c:v>
                </c:pt>
                <c:pt idx="149">
                  <c:v>5.3482649E-2</c:v>
                </c:pt>
                <c:pt idx="150">
                  <c:v>5.3169351000000004E-2</c:v>
                </c:pt>
                <c:pt idx="151">
                  <c:v>5.2528855999999999E-2</c:v>
                </c:pt>
                <c:pt idx="152">
                  <c:v>5.0188379000000005E-2</c:v>
                </c:pt>
                <c:pt idx="153">
                  <c:v>5.0111543000000001E-2</c:v>
                </c:pt>
                <c:pt idx="154">
                  <c:v>5.1016825000000002E-2</c:v>
                </c:pt>
                <c:pt idx="155">
                  <c:v>5.0015641000000007E-2</c:v>
                </c:pt>
                <c:pt idx="156">
                  <c:v>5.0352398999999999E-2</c:v>
                </c:pt>
                <c:pt idx="157">
                  <c:v>4.9783352000000003E-2</c:v>
                </c:pt>
                <c:pt idx="158">
                  <c:v>5.0786924000000004E-2</c:v>
                </c:pt>
                <c:pt idx="159">
                  <c:v>5.2212080000000001E-2</c:v>
                </c:pt>
                <c:pt idx="160">
                  <c:v>5.2081368000000003E-2</c:v>
                </c:pt>
                <c:pt idx="161">
                  <c:v>5.2685114999999998E-2</c:v>
                </c:pt>
                <c:pt idx="162">
                  <c:v>5.3076844999999997E-2</c:v>
                </c:pt>
                <c:pt idx="163">
                  <c:v>5.2742801999999998E-2</c:v>
                </c:pt>
                <c:pt idx="164">
                  <c:v>5.2239629000000003E-2</c:v>
                </c:pt>
                <c:pt idx="165">
                  <c:v>5.3166128999999999E-2</c:v>
                </c:pt>
                <c:pt idx="166">
                  <c:v>5.1603521999999999E-2</c:v>
                </c:pt>
                <c:pt idx="167">
                  <c:v>5.0202831999999996E-2</c:v>
                </c:pt>
                <c:pt idx="168">
                  <c:v>5.2306708000000007E-2</c:v>
                </c:pt>
                <c:pt idx="169">
                  <c:v>5.0938555000000003E-2</c:v>
                </c:pt>
                <c:pt idx="170">
                  <c:v>5.1769429999999998E-2</c:v>
                </c:pt>
                <c:pt idx="171">
                  <c:v>6.3080828999999991E-2</c:v>
                </c:pt>
                <c:pt idx="172">
                  <c:v>7.0043954000000005E-2</c:v>
                </c:pt>
                <c:pt idx="173">
                  <c:v>7.4406427999999997E-2</c:v>
                </c:pt>
                <c:pt idx="174">
                  <c:v>7.4965029000000002E-2</c:v>
                </c:pt>
                <c:pt idx="175">
                  <c:v>6.8233835999999992E-2</c:v>
                </c:pt>
                <c:pt idx="176">
                  <c:v>6.9226346000000008E-2</c:v>
                </c:pt>
                <c:pt idx="177">
                  <c:v>6.9776197999999998E-2</c:v>
                </c:pt>
                <c:pt idx="178">
                  <c:v>6.7861748E-2</c:v>
                </c:pt>
                <c:pt idx="179">
                  <c:v>6.5271429000000006E-2</c:v>
                </c:pt>
                <c:pt idx="180">
                  <c:v>6.2556003999999998E-2</c:v>
                </c:pt>
                <c:pt idx="181">
                  <c:v>5.8217932E-2</c:v>
                </c:pt>
                <c:pt idx="182">
                  <c:v>5.6342951000000002E-2</c:v>
                </c:pt>
                <c:pt idx="183">
                  <c:v>5.4816117999999997E-2</c:v>
                </c:pt>
                <c:pt idx="184">
                  <c:v>5.1191553000000001E-2</c:v>
                </c:pt>
                <c:pt idx="185">
                  <c:v>5.0396124999999993E-2</c:v>
                </c:pt>
                <c:pt idx="186">
                  <c:v>4.7702656000000003E-2</c:v>
                </c:pt>
                <c:pt idx="187">
                  <c:v>4.5988781999999999E-2</c:v>
                </c:pt>
                <c:pt idx="188">
                  <c:v>4.7058384999999994E-2</c:v>
                </c:pt>
                <c:pt idx="189">
                  <c:v>5.2676646000000001E-2</c:v>
                </c:pt>
                <c:pt idx="190">
                  <c:v>4.6087727999999994E-2</c:v>
                </c:pt>
                <c:pt idx="191">
                  <c:v>4.1765540999999996E-2</c:v>
                </c:pt>
                <c:pt idx="192">
                  <c:v>4.1511753999999998E-2</c:v>
                </c:pt>
                <c:pt idx="193">
                  <c:v>4.0089984999999995E-2</c:v>
                </c:pt>
                <c:pt idx="194">
                  <c:v>3.9460627999999998E-2</c:v>
                </c:pt>
                <c:pt idx="195">
                  <c:v>3.8647254999999998E-2</c:v>
                </c:pt>
                <c:pt idx="196">
                  <c:v>3.9512961999999999E-2</c:v>
                </c:pt>
                <c:pt idx="197">
                  <c:v>3.6255220999999997E-2</c:v>
                </c:pt>
                <c:pt idx="198">
                  <c:v>3.4893087999999996E-2</c:v>
                </c:pt>
                <c:pt idx="199">
                  <c:v>3.5541112999999999E-2</c:v>
                </c:pt>
                <c:pt idx="200">
                  <c:v>3.6024058999999997E-2</c:v>
                </c:pt>
                <c:pt idx="201">
                  <c:v>3.4581004999999998E-2</c:v>
                </c:pt>
                <c:pt idx="202">
                  <c:v>3.4924369999999996E-2</c:v>
                </c:pt>
                <c:pt idx="203">
                  <c:v>3.4908098999999998E-2</c:v>
                </c:pt>
                <c:pt idx="204">
                  <c:v>3.6446367E-2</c:v>
                </c:pt>
                <c:pt idx="205">
                  <c:v>3.5828733000000001E-2</c:v>
                </c:pt>
                <c:pt idx="206">
                  <c:v>3.5503885999999998E-2</c:v>
                </c:pt>
                <c:pt idx="207">
                  <c:v>3.7205769E-2</c:v>
                </c:pt>
                <c:pt idx="208">
                  <c:v>3.5990231000000004E-2</c:v>
                </c:pt>
                <c:pt idx="209">
                  <c:v>3.5440159999999998E-2</c:v>
                </c:pt>
                <c:pt idx="210">
                  <c:v>3.7636090000000004E-2</c:v>
                </c:pt>
                <c:pt idx="211">
                  <c:v>3.7110140999999999E-2</c:v>
                </c:pt>
                <c:pt idx="212">
                  <c:v>3.5698464999999999E-2</c:v>
                </c:pt>
                <c:pt idx="213">
                  <c:v>3.8000340000000001E-2</c:v>
                </c:pt>
                <c:pt idx="214">
                  <c:v>3.9032204000000001E-2</c:v>
                </c:pt>
                <c:pt idx="215">
                  <c:v>3.9438243999999997E-2</c:v>
                </c:pt>
                <c:pt idx="216">
                  <c:v>4.0689901000000001E-2</c:v>
                </c:pt>
                <c:pt idx="217">
                  <c:v>3.7074704E-2</c:v>
                </c:pt>
                <c:pt idx="218">
                  <c:v>3.8426624E-2</c:v>
                </c:pt>
              </c:numCache>
            </c:numRef>
          </c:val>
          <c:smooth val="0"/>
          <c:extLst>
            <c:ext xmlns:c16="http://schemas.microsoft.com/office/drawing/2014/chart" uri="{C3380CC4-5D6E-409C-BE32-E72D297353CC}">
              <c16:uniqueId val="{00000001-9B59-4A1A-9051-43EE856BD7EE}"/>
            </c:ext>
          </c:extLst>
        </c:ser>
        <c:dLbls>
          <c:showLegendKey val="0"/>
          <c:showVal val="0"/>
          <c:showCatName val="0"/>
          <c:showSerName val="0"/>
          <c:showPercent val="0"/>
          <c:showBubbleSize val="0"/>
        </c:dLbls>
        <c:marker val="1"/>
        <c:smooth val="0"/>
        <c:axId val="1624072144"/>
        <c:axId val="1040526544"/>
      </c:lineChart>
      <c:dateAx>
        <c:axId val="1615677536"/>
        <c:scaling>
          <c:orientation val="minMax"/>
          <c:max val="45352"/>
          <c:min val="38777"/>
        </c:scaling>
        <c:delete val="0"/>
        <c:axPos val="b"/>
        <c:numFmt formatCode="mmm\-yy" sourceLinked="0"/>
        <c:majorTickMark val="out"/>
        <c:minorTickMark val="none"/>
        <c:tickLblPos val="nextTo"/>
        <c:spPr>
          <a:noFill/>
          <a:ln w="9525" cap="flat" cmpd="sng" algn="ctr">
            <a:solidFill>
              <a:schemeClr val="tx1"/>
            </a:solidFill>
            <a:round/>
          </a:ln>
          <a:effectLst/>
        </c:spPr>
        <c:txPr>
          <a:bodyPr rot="-2700000" spcFirstLastPara="1" vertOverflow="ellipsis" wrap="square" anchor="ctr" anchorCtr="1"/>
          <a:lstStyle/>
          <a:p>
            <a:pPr>
              <a:defRPr sz="900" b="0" i="0" u="none" strike="noStrike" kern="1200" cap="none" spc="0" normalizeH="0" baseline="0">
                <a:solidFill>
                  <a:sysClr val="windowText" lastClr="000000"/>
                </a:solidFill>
                <a:latin typeface="+mn-lt"/>
                <a:ea typeface="+mn-ea"/>
                <a:cs typeface="+mn-cs"/>
              </a:defRPr>
            </a:pPr>
            <a:endParaRPr lang="en-US"/>
          </a:p>
        </c:txPr>
        <c:crossAx val="989843920"/>
        <c:crosses val="autoZero"/>
        <c:auto val="1"/>
        <c:lblOffset val="100"/>
        <c:baseTimeUnit val="months"/>
        <c:majorUnit val="1"/>
        <c:majorTimeUnit val="years"/>
      </c:dateAx>
      <c:valAx>
        <c:axId val="98984392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AU" cap="none">
                    <a:solidFill>
                      <a:sysClr val="windowText" lastClr="000000"/>
                    </a:solidFill>
                  </a:rPr>
                  <a:t>Job advertisements </a:t>
                </a:r>
                <a:r>
                  <a:rPr lang="en-AU">
                    <a:solidFill>
                      <a:sysClr val="windowText" lastClr="000000"/>
                    </a:solidFill>
                  </a:rPr>
                  <a:t>('000s)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15677536"/>
        <c:crosses val="autoZero"/>
        <c:crossBetween val="between"/>
      </c:valAx>
      <c:valAx>
        <c:axId val="1040526544"/>
        <c:scaling>
          <c:orientation val="minMax"/>
          <c:min val="0"/>
        </c:scaling>
        <c:delete val="0"/>
        <c:axPos val="r"/>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AU" cap="none">
                    <a:solidFill>
                      <a:sysClr val="windowText" lastClr="000000"/>
                    </a:solidFill>
                  </a:rPr>
                  <a:t>Unemployment rate</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24072144"/>
        <c:crosses val="max"/>
        <c:crossBetween val="between"/>
        <c:majorUnit val="2.0000000000000004E-2"/>
      </c:valAx>
      <c:dateAx>
        <c:axId val="1624072144"/>
        <c:scaling>
          <c:orientation val="minMax"/>
        </c:scaling>
        <c:delete val="1"/>
        <c:axPos val="b"/>
        <c:numFmt formatCode="mmm\-yy" sourceLinked="1"/>
        <c:majorTickMark val="out"/>
        <c:minorTickMark val="none"/>
        <c:tickLblPos val="nextTo"/>
        <c:crossAx val="1040526544"/>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'[NLD LMU March 23 chart data.xlsx]Vacancy rates (Fig.9)'!$D$1</c:f>
              <c:strCache>
                <c:ptCount val="1"/>
                <c:pt idx="0">
                  <c:v>Vacancy rate</c:v>
                </c:pt>
              </c:strCache>
            </c:strRef>
          </c:tx>
          <c:spPr>
            <a:ln w="28575" cap="rnd">
              <a:solidFill>
                <a:srgbClr val="009D9A"/>
              </a:solidFill>
              <a:round/>
            </a:ln>
            <a:effectLst/>
          </c:spPr>
          <c:marker>
            <c:symbol val="none"/>
          </c:marker>
          <c:cat>
            <c:numRef>
              <c:f>'[NLD LMU March 23 chart data.xlsx]Vacancy rates (Fig.9)'!$A$5:$A$220</c:f>
              <c:numCache>
                <c:formatCode>mmm\-yy</c:formatCode>
                <c:ptCount val="216"/>
                <c:pt idx="0">
                  <c:v>38808</c:v>
                </c:pt>
                <c:pt idx="1">
                  <c:v>38838</c:v>
                </c:pt>
                <c:pt idx="2">
                  <c:v>38869</c:v>
                </c:pt>
                <c:pt idx="3">
                  <c:v>38899</c:v>
                </c:pt>
                <c:pt idx="4">
                  <c:v>38930</c:v>
                </c:pt>
                <c:pt idx="5">
                  <c:v>38961</c:v>
                </c:pt>
                <c:pt idx="6">
                  <c:v>38991</c:v>
                </c:pt>
                <c:pt idx="7">
                  <c:v>39022</c:v>
                </c:pt>
                <c:pt idx="8">
                  <c:v>39052</c:v>
                </c:pt>
                <c:pt idx="9">
                  <c:v>39083</c:v>
                </c:pt>
                <c:pt idx="10">
                  <c:v>39114</c:v>
                </c:pt>
                <c:pt idx="11">
                  <c:v>39142</c:v>
                </c:pt>
                <c:pt idx="12">
                  <c:v>39173</c:v>
                </c:pt>
                <c:pt idx="13">
                  <c:v>39203</c:v>
                </c:pt>
                <c:pt idx="14">
                  <c:v>39234</c:v>
                </c:pt>
                <c:pt idx="15">
                  <c:v>39264</c:v>
                </c:pt>
                <c:pt idx="16">
                  <c:v>39295</c:v>
                </c:pt>
                <c:pt idx="17">
                  <c:v>39326</c:v>
                </c:pt>
                <c:pt idx="18">
                  <c:v>39356</c:v>
                </c:pt>
                <c:pt idx="19">
                  <c:v>39387</c:v>
                </c:pt>
                <c:pt idx="20">
                  <c:v>39417</c:v>
                </c:pt>
                <c:pt idx="21">
                  <c:v>39448</c:v>
                </c:pt>
                <c:pt idx="22">
                  <c:v>39479</c:v>
                </c:pt>
                <c:pt idx="23">
                  <c:v>39508</c:v>
                </c:pt>
                <c:pt idx="24">
                  <c:v>39539</c:v>
                </c:pt>
                <c:pt idx="25">
                  <c:v>39569</c:v>
                </c:pt>
                <c:pt idx="26">
                  <c:v>39600</c:v>
                </c:pt>
                <c:pt idx="27">
                  <c:v>39630</c:v>
                </c:pt>
                <c:pt idx="28">
                  <c:v>39661</c:v>
                </c:pt>
                <c:pt idx="29">
                  <c:v>39692</c:v>
                </c:pt>
                <c:pt idx="30">
                  <c:v>39722</c:v>
                </c:pt>
                <c:pt idx="31">
                  <c:v>39753</c:v>
                </c:pt>
                <c:pt idx="32">
                  <c:v>39783</c:v>
                </c:pt>
                <c:pt idx="33">
                  <c:v>39814</c:v>
                </c:pt>
                <c:pt idx="34">
                  <c:v>39845</c:v>
                </c:pt>
                <c:pt idx="35">
                  <c:v>39873</c:v>
                </c:pt>
                <c:pt idx="36">
                  <c:v>39904</c:v>
                </c:pt>
                <c:pt idx="37">
                  <c:v>39934</c:v>
                </c:pt>
                <c:pt idx="38">
                  <c:v>39965</c:v>
                </c:pt>
                <c:pt idx="39">
                  <c:v>39995</c:v>
                </c:pt>
                <c:pt idx="40">
                  <c:v>40026</c:v>
                </c:pt>
                <c:pt idx="41">
                  <c:v>40057</c:v>
                </c:pt>
                <c:pt idx="42">
                  <c:v>40087</c:v>
                </c:pt>
                <c:pt idx="43">
                  <c:v>40118</c:v>
                </c:pt>
                <c:pt idx="44">
                  <c:v>40148</c:v>
                </c:pt>
                <c:pt idx="45">
                  <c:v>40179</c:v>
                </c:pt>
                <c:pt idx="46">
                  <c:v>40210</c:v>
                </c:pt>
                <c:pt idx="47">
                  <c:v>40238</c:v>
                </c:pt>
                <c:pt idx="48">
                  <c:v>40269</c:v>
                </c:pt>
                <c:pt idx="49">
                  <c:v>40299</c:v>
                </c:pt>
                <c:pt idx="50">
                  <c:v>40330</c:v>
                </c:pt>
                <c:pt idx="51">
                  <c:v>40360</c:v>
                </c:pt>
                <c:pt idx="52">
                  <c:v>40391</c:v>
                </c:pt>
                <c:pt idx="53">
                  <c:v>40422</c:v>
                </c:pt>
                <c:pt idx="54">
                  <c:v>40452</c:v>
                </c:pt>
                <c:pt idx="55">
                  <c:v>40483</c:v>
                </c:pt>
                <c:pt idx="56">
                  <c:v>40513</c:v>
                </c:pt>
                <c:pt idx="57">
                  <c:v>40544</c:v>
                </c:pt>
                <c:pt idx="58">
                  <c:v>40575</c:v>
                </c:pt>
                <c:pt idx="59">
                  <c:v>40603</c:v>
                </c:pt>
                <c:pt idx="60">
                  <c:v>40634</c:v>
                </c:pt>
                <c:pt idx="61">
                  <c:v>40664</c:v>
                </c:pt>
                <c:pt idx="62">
                  <c:v>40695</c:v>
                </c:pt>
                <c:pt idx="63">
                  <c:v>40725</c:v>
                </c:pt>
                <c:pt idx="64">
                  <c:v>40756</c:v>
                </c:pt>
                <c:pt idx="65">
                  <c:v>40787</c:v>
                </c:pt>
                <c:pt idx="66">
                  <c:v>40817</c:v>
                </c:pt>
                <c:pt idx="67">
                  <c:v>40848</c:v>
                </c:pt>
                <c:pt idx="68">
                  <c:v>40878</c:v>
                </c:pt>
                <c:pt idx="69">
                  <c:v>40909</c:v>
                </c:pt>
                <c:pt idx="70">
                  <c:v>40940</c:v>
                </c:pt>
                <c:pt idx="71">
                  <c:v>40969</c:v>
                </c:pt>
                <c:pt idx="72">
                  <c:v>41000</c:v>
                </c:pt>
                <c:pt idx="73">
                  <c:v>41030</c:v>
                </c:pt>
                <c:pt idx="74">
                  <c:v>41061</c:v>
                </c:pt>
                <c:pt idx="75">
                  <c:v>41091</c:v>
                </c:pt>
                <c:pt idx="76">
                  <c:v>41122</c:v>
                </c:pt>
                <c:pt idx="77">
                  <c:v>41153</c:v>
                </c:pt>
                <c:pt idx="78">
                  <c:v>41183</c:v>
                </c:pt>
                <c:pt idx="79">
                  <c:v>41214</c:v>
                </c:pt>
                <c:pt idx="80">
                  <c:v>41244</c:v>
                </c:pt>
                <c:pt idx="81">
                  <c:v>41275</c:v>
                </c:pt>
                <c:pt idx="82">
                  <c:v>41306</c:v>
                </c:pt>
                <c:pt idx="83">
                  <c:v>41334</c:v>
                </c:pt>
                <c:pt idx="84">
                  <c:v>41365</c:v>
                </c:pt>
                <c:pt idx="85">
                  <c:v>41395</c:v>
                </c:pt>
                <c:pt idx="86">
                  <c:v>41426</c:v>
                </c:pt>
                <c:pt idx="87">
                  <c:v>41456</c:v>
                </c:pt>
                <c:pt idx="88">
                  <c:v>41487</c:v>
                </c:pt>
                <c:pt idx="89">
                  <c:v>41518</c:v>
                </c:pt>
                <c:pt idx="90">
                  <c:v>41548</c:v>
                </c:pt>
                <c:pt idx="91">
                  <c:v>41579</c:v>
                </c:pt>
                <c:pt idx="92">
                  <c:v>41609</c:v>
                </c:pt>
                <c:pt idx="93">
                  <c:v>41640</c:v>
                </c:pt>
                <c:pt idx="94">
                  <c:v>41671</c:v>
                </c:pt>
                <c:pt idx="95">
                  <c:v>41699</c:v>
                </c:pt>
                <c:pt idx="96">
                  <c:v>41730</c:v>
                </c:pt>
                <c:pt idx="97">
                  <c:v>41760</c:v>
                </c:pt>
                <c:pt idx="98">
                  <c:v>41791</c:v>
                </c:pt>
                <c:pt idx="99">
                  <c:v>41821</c:v>
                </c:pt>
                <c:pt idx="100">
                  <c:v>41852</c:v>
                </c:pt>
                <c:pt idx="101">
                  <c:v>41883</c:v>
                </c:pt>
                <c:pt idx="102">
                  <c:v>41913</c:v>
                </c:pt>
                <c:pt idx="103">
                  <c:v>41944</c:v>
                </c:pt>
                <c:pt idx="104">
                  <c:v>41974</c:v>
                </c:pt>
                <c:pt idx="105">
                  <c:v>42005</c:v>
                </c:pt>
                <c:pt idx="106">
                  <c:v>42036</c:v>
                </c:pt>
                <c:pt idx="107">
                  <c:v>42064</c:v>
                </c:pt>
                <c:pt idx="108">
                  <c:v>42095</c:v>
                </c:pt>
                <c:pt idx="109">
                  <c:v>42125</c:v>
                </c:pt>
                <c:pt idx="110">
                  <c:v>42156</c:v>
                </c:pt>
                <c:pt idx="111">
                  <c:v>42186</c:v>
                </c:pt>
                <c:pt idx="112">
                  <c:v>42217</c:v>
                </c:pt>
                <c:pt idx="113">
                  <c:v>42248</c:v>
                </c:pt>
                <c:pt idx="114">
                  <c:v>42278</c:v>
                </c:pt>
                <c:pt idx="115">
                  <c:v>42309</c:v>
                </c:pt>
                <c:pt idx="116">
                  <c:v>42339</c:v>
                </c:pt>
                <c:pt idx="117">
                  <c:v>42370</c:v>
                </c:pt>
                <c:pt idx="118">
                  <c:v>42401</c:v>
                </c:pt>
                <c:pt idx="119">
                  <c:v>42430</c:v>
                </c:pt>
                <c:pt idx="120">
                  <c:v>42461</c:v>
                </c:pt>
                <c:pt idx="121">
                  <c:v>42491</c:v>
                </c:pt>
                <c:pt idx="122">
                  <c:v>42522</c:v>
                </c:pt>
                <c:pt idx="123">
                  <c:v>42552</c:v>
                </c:pt>
                <c:pt idx="124">
                  <c:v>42583</c:v>
                </c:pt>
                <c:pt idx="125">
                  <c:v>42614</c:v>
                </c:pt>
                <c:pt idx="126">
                  <c:v>42644</c:v>
                </c:pt>
                <c:pt idx="127">
                  <c:v>42675</c:v>
                </c:pt>
                <c:pt idx="128">
                  <c:v>42705</c:v>
                </c:pt>
                <c:pt idx="129">
                  <c:v>42736</c:v>
                </c:pt>
                <c:pt idx="130">
                  <c:v>42767</c:v>
                </c:pt>
                <c:pt idx="131">
                  <c:v>42795</c:v>
                </c:pt>
                <c:pt idx="132">
                  <c:v>42826</c:v>
                </c:pt>
                <c:pt idx="133">
                  <c:v>42856</c:v>
                </c:pt>
                <c:pt idx="134">
                  <c:v>42887</c:v>
                </c:pt>
                <c:pt idx="135">
                  <c:v>42917</c:v>
                </c:pt>
                <c:pt idx="136">
                  <c:v>42948</c:v>
                </c:pt>
                <c:pt idx="137">
                  <c:v>42979</c:v>
                </c:pt>
                <c:pt idx="138">
                  <c:v>43009</c:v>
                </c:pt>
                <c:pt idx="139">
                  <c:v>43040</c:v>
                </c:pt>
                <c:pt idx="140">
                  <c:v>43070</c:v>
                </c:pt>
                <c:pt idx="141">
                  <c:v>43101</c:v>
                </c:pt>
                <c:pt idx="142">
                  <c:v>43132</c:v>
                </c:pt>
                <c:pt idx="143">
                  <c:v>43160</c:v>
                </c:pt>
                <c:pt idx="144">
                  <c:v>43191</c:v>
                </c:pt>
                <c:pt idx="145">
                  <c:v>43221</c:v>
                </c:pt>
                <c:pt idx="146">
                  <c:v>43252</c:v>
                </c:pt>
                <c:pt idx="147">
                  <c:v>43282</c:v>
                </c:pt>
                <c:pt idx="148">
                  <c:v>43313</c:v>
                </c:pt>
                <c:pt idx="149">
                  <c:v>43344</c:v>
                </c:pt>
                <c:pt idx="150">
                  <c:v>43374</c:v>
                </c:pt>
                <c:pt idx="151">
                  <c:v>43405</c:v>
                </c:pt>
                <c:pt idx="152">
                  <c:v>43435</c:v>
                </c:pt>
                <c:pt idx="153">
                  <c:v>43466</c:v>
                </c:pt>
                <c:pt idx="154">
                  <c:v>43497</c:v>
                </c:pt>
                <c:pt idx="155">
                  <c:v>43525</c:v>
                </c:pt>
                <c:pt idx="156">
                  <c:v>43556</c:v>
                </c:pt>
                <c:pt idx="157">
                  <c:v>43586</c:v>
                </c:pt>
                <c:pt idx="158">
                  <c:v>43617</c:v>
                </c:pt>
                <c:pt idx="159">
                  <c:v>43647</c:v>
                </c:pt>
                <c:pt idx="160">
                  <c:v>43678</c:v>
                </c:pt>
                <c:pt idx="161">
                  <c:v>43709</c:v>
                </c:pt>
                <c:pt idx="162">
                  <c:v>43739</c:v>
                </c:pt>
                <c:pt idx="163">
                  <c:v>43770</c:v>
                </c:pt>
                <c:pt idx="164">
                  <c:v>43800</c:v>
                </c:pt>
                <c:pt idx="165">
                  <c:v>43831</c:v>
                </c:pt>
                <c:pt idx="166">
                  <c:v>43862</c:v>
                </c:pt>
                <c:pt idx="167">
                  <c:v>43891</c:v>
                </c:pt>
                <c:pt idx="168">
                  <c:v>43922</c:v>
                </c:pt>
                <c:pt idx="169">
                  <c:v>43952</c:v>
                </c:pt>
                <c:pt idx="170">
                  <c:v>43983</c:v>
                </c:pt>
                <c:pt idx="171">
                  <c:v>44013</c:v>
                </c:pt>
                <c:pt idx="172">
                  <c:v>44044</c:v>
                </c:pt>
                <c:pt idx="173">
                  <c:v>44075</c:v>
                </c:pt>
                <c:pt idx="174">
                  <c:v>44105</c:v>
                </c:pt>
                <c:pt idx="175">
                  <c:v>44136</c:v>
                </c:pt>
                <c:pt idx="176">
                  <c:v>44166</c:v>
                </c:pt>
                <c:pt idx="177">
                  <c:v>44197</c:v>
                </c:pt>
                <c:pt idx="178">
                  <c:v>44228</c:v>
                </c:pt>
                <c:pt idx="179">
                  <c:v>44256</c:v>
                </c:pt>
                <c:pt idx="180">
                  <c:v>44287</c:v>
                </c:pt>
                <c:pt idx="181">
                  <c:v>44317</c:v>
                </c:pt>
                <c:pt idx="182">
                  <c:v>44348</c:v>
                </c:pt>
                <c:pt idx="183">
                  <c:v>44378</c:v>
                </c:pt>
                <c:pt idx="184">
                  <c:v>44409</c:v>
                </c:pt>
                <c:pt idx="185">
                  <c:v>44440</c:v>
                </c:pt>
                <c:pt idx="186">
                  <c:v>44470</c:v>
                </c:pt>
                <c:pt idx="187">
                  <c:v>44501</c:v>
                </c:pt>
                <c:pt idx="188">
                  <c:v>44531</c:v>
                </c:pt>
                <c:pt idx="189">
                  <c:v>44562</c:v>
                </c:pt>
                <c:pt idx="190">
                  <c:v>44593</c:v>
                </c:pt>
                <c:pt idx="191">
                  <c:v>44621</c:v>
                </c:pt>
                <c:pt idx="192">
                  <c:v>44652</c:v>
                </c:pt>
                <c:pt idx="193">
                  <c:v>44682</c:v>
                </c:pt>
                <c:pt idx="194">
                  <c:v>44713</c:v>
                </c:pt>
                <c:pt idx="195">
                  <c:v>44743</c:v>
                </c:pt>
                <c:pt idx="196">
                  <c:v>44774</c:v>
                </c:pt>
                <c:pt idx="197">
                  <c:v>44805</c:v>
                </c:pt>
                <c:pt idx="198">
                  <c:v>44835</c:v>
                </c:pt>
                <c:pt idx="199">
                  <c:v>44866</c:v>
                </c:pt>
                <c:pt idx="200">
                  <c:v>44896</c:v>
                </c:pt>
                <c:pt idx="201">
                  <c:v>44927</c:v>
                </c:pt>
                <c:pt idx="202">
                  <c:v>44958</c:v>
                </c:pt>
                <c:pt idx="203">
                  <c:v>44986</c:v>
                </c:pt>
                <c:pt idx="204">
                  <c:v>45017</c:v>
                </c:pt>
                <c:pt idx="205">
                  <c:v>45047</c:v>
                </c:pt>
                <c:pt idx="206">
                  <c:v>45078</c:v>
                </c:pt>
                <c:pt idx="207">
                  <c:v>45108</c:v>
                </c:pt>
                <c:pt idx="208">
                  <c:v>45139</c:v>
                </c:pt>
                <c:pt idx="209">
                  <c:v>45170</c:v>
                </c:pt>
                <c:pt idx="210">
                  <c:v>45200</c:v>
                </c:pt>
                <c:pt idx="211">
                  <c:v>45231</c:v>
                </c:pt>
                <c:pt idx="212">
                  <c:v>45261</c:v>
                </c:pt>
                <c:pt idx="213">
                  <c:v>45292</c:v>
                </c:pt>
                <c:pt idx="214">
                  <c:v>45323</c:v>
                </c:pt>
                <c:pt idx="215">
                  <c:v>45352</c:v>
                </c:pt>
              </c:numCache>
            </c:numRef>
          </c:cat>
          <c:val>
            <c:numRef>
              <c:f>'[NLD LMU March 23 chart data.xlsx]Vacancy rates (Fig.9)'!$D$5:$D$220</c:f>
              <c:numCache>
                <c:formatCode>0.0%</c:formatCode>
                <c:ptCount val="216"/>
                <c:pt idx="0">
                  <c:v>2.2073374082595354E-2</c:v>
                </c:pt>
                <c:pt idx="1">
                  <c:v>2.1728663040838366E-2</c:v>
                </c:pt>
                <c:pt idx="2">
                  <c:v>2.3529028027463292E-2</c:v>
                </c:pt>
                <c:pt idx="3">
                  <c:v>2.1618883947896291E-2</c:v>
                </c:pt>
                <c:pt idx="4">
                  <c:v>2.2245637636334834E-2</c:v>
                </c:pt>
                <c:pt idx="5">
                  <c:v>2.1524247677085877E-2</c:v>
                </c:pt>
                <c:pt idx="6">
                  <c:v>2.3372194303523788E-2</c:v>
                </c:pt>
                <c:pt idx="7">
                  <c:v>2.3302681112838022E-2</c:v>
                </c:pt>
                <c:pt idx="8">
                  <c:v>2.2716096166513589E-2</c:v>
                </c:pt>
                <c:pt idx="9">
                  <c:v>2.4228692401010075E-2</c:v>
                </c:pt>
                <c:pt idx="10">
                  <c:v>2.4888581808085349E-2</c:v>
                </c:pt>
                <c:pt idx="11">
                  <c:v>2.5805417950455881E-2</c:v>
                </c:pt>
                <c:pt idx="12">
                  <c:v>2.5664161564043067E-2</c:v>
                </c:pt>
                <c:pt idx="13">
                  <c:v>2.6198780340799699E-2</c:v>
                </c:pt>
                <c:pt idx="14">
                  <c:v>2.5809188794133055E-2</c:v>
                </c:pt>
                <c:pt idx="15">
                  <c:v>2.6974153908908546E-2</c:v>
                </c:pt>
                <c:pt idx="16">
                  <c:v>2.6835130252636442E-2</c:v>
                </c:pt>
                <c:pt idx="17">
                  <c:v>2.7177936860790682E-2</c:v>
                </c:pt>
                <c:pt idx="18">
                  <c:v>2.6963523801175594E-2</c:v>
                </c:pt>
                <c:pt idx="19">
                  <c:v>2.7899090048408116E-2</c:v>
                </c:pt>
                <c:pt idx="20">
                  <c:v>2.8396744995591978E-2</c:v>
                </c:pt>
                <c:pt idx="21">
                  <c:v>2.8820451851771425E-2</c:v>
                </c:pt>
                <c:pt idx="22">
                  <c:v>2.8740758450284138E-2</c:v>
                </c:pt>
                <c:pt idx="23">
                  <c:v>2.8232010277185672E-2</c:v>
                </c:pt>
                <c:pt idx="24">
                  <c:v>2.8575042181132708E-2</c:v>
                </c:pt>
                <c:pt idx="25">
                  <c:v>2.8181158262191079E-2</c:v>
                </c:pt>
                <c:pt idx="26">
                  <c:v>2.8072797278604837E-2</c:v>
                </c:pt>
                <c:pt idx="27">
                  <c:v>2.6791430239964373E-2</c:v>
                </c:pt>
                <c:pt idx="28">
                  <c:v>2.5333523809203205E-2</c:v>
                </c:pt>
                <c:pt idx="29">
                  <c:v>2.4140718256780665E-2</c:v>
                </c:pt>
                <c:pt idx="30">
                  <c:v>2.3284196546339841E-2</c:v>
                </c:pt>
                <c:pt idx="31">
                  <c:v>2.1731000545022784E-2</c:v>
                </c:pt>
                <c:pt idx="32">
                  <c:v>2.0063996853708462E-2</c:v>
                </c:pt>
                <c:pt idx="33">
                  <c:v>1.8207223297325211E-2</c:v>
                </c:pt>
                <c:pt idx="34">
                  <c:v>1.6841145928202964E-2</c:v>
                </c:pt>
                <c:pt idx="35">
                  <c:v>1.4898552797621487E-2</c:v>
                </c:pt>
                <c:pt idx="36">
                  <c:v>1.5238167474877568E-2</c:v>
                </c:pt>
                <c:pt idx="37">
                  <c:v>1.4615223094508939E-2</c:v>
                </c:pt>
                <c:pt idx="38">
                  <c:v>1.596148148917375E-2</c:v>
                </c:pt>
                <c:pt idx="39">
                  <c:v>1.4684333375505579E-2</c:v>
                </c:pt>
                <c:pt idx="40">
                  <c:v>1.5302125019710891E-2</c:v>
                </c:pt>
                <c:pt idx="41">
                  <c:v>1.5333593932738556E-2</c:v>
                </c:pt>
                <c:pt idx="42">
                  <c:v>1.538412162291598E-2</c:v>
                </c:pt>
                <c:pt idx="43">
                  <c:v>1.5647761924366059E-2</c:v>
                </c:pt>
                <c:pt idx="44">
                  <c:v>1.5706043949102674E-2</c:v>
                </c:pt>
                <c:pt idx="45">
                  <c:v>1.6784775673832648E-2</c:v>
                </c:pt>
                <c:pt idx="46">
                  <c:v>1.726438813946354E-2</c:v>
                </c:pt>
                <c:pt idx="47">
                  <c:v>1.6162220020595485E-2</c:v>
                </c:pt>
                <c:pt idx="48">
                  <c:v>1.5624121350033817E-2</c:v>
                </c:pt>
                <c:pt idx="49">
                  <c:v>1.7073703003674098E-2</c:v>
                </c:pt>
                <c:pt idx="50">
                  <c:v>1.6795770973722146E-2</c:v>
                </c:pt>
                <c:pt idx="51">
                  <c:v>1.734893221427776E-2</c:v>
                </c:pt>
                <c:pt idx="52">
                  <c:v>1.7352687596492215E-2</c:v>
                </c:pt>
                <c:pt idx="53">
                  <c:v>1.8074710863889277E-2</c:v>
                </c:pt>
                <c:pt idx="54">
                  <c:v>1.8454705220585323E-2</c:v>
                </c:pt>
                <c:pt idx="55">
                  <c:v>1.842212675041072E-2</c:v>
                </c:pt>
                <c:pt idx="56">
                  <c:v>1.8894941519602443E-2</c:v>
                </c:pt>
                <c:pt idx="57">
                  <c:v>1.8988564056067289E-2</c:v>
                </c:pt>
                <c:pt idx="58">
                  <c:v>1.9076269582787946E-2</c:v>
                </c:pt>
                <c:pt idx="59">
                  <c:v>1.9200544697497289E-2</c:v>
                </c:pt>
                <c:pt idx="60">
                  <c:v>1.9128797329012272E-2</c:v>
                </c:pt>
                <c:pt idx="61">
                  <c:v>1.8717624028162433E-2</c:v>
                </c:pt>
                <c:pt idx="62">
                  <c:v>1.8098174165617362E-2</c:v>
                </c:pt>
                <c:pt idx="63">
                  <c:v>1.8577888637898981E-2</c:v>
                </c:pt>
                <c:pt idx="64">
                  <c:v>1.8031530500866724E-2</c:v>
                </c:pt>
                <c:pt idx="65">
                  <c:v>1.745460633959714E-2</c:v>
                </c:pt>
                <c:pt idx="66">
                  <c:v>1.7426422608945325E-2</c:v>
                </c:pt>
                <c:pt idx="67">
                  <c:v>1.7434230032474976E-2</c:v>
                </c:pt>
                <c:pt idx="68">
                  <c:v>1.7696957354663884E-2</c:v>
                </c:pt>
                <c:pt idx="69">
                  <c:v>1.6806136002236852E-2</c:v>
                </c:pt>
                <c:pt idx="70">
                  <c:v>1.7172446524832963E-2</c:v>
                </c:pt>
                <c:pt idx="71">
                  <c:v>1.7009156001983772E-2</c:v>
                </c:pt>
                <c:pt idx="72">
                  <c:v>1.6563121694002821E-2</c:v>
                </c:pt>
                <c:pt idx="73">
                  <c:v>1.5966029368389072E-2</c:v>
                </c:pt>
                <c:pt idx="74">
                  <c:v>1.5664440199979483E-2</c:v>
                </c:pt>
                <c:pt idx="75">
                  <c:v>1.4879253952812163E-2</c:v>
                </c:pt>
                <c:pt idx="76">
                  <c:v>1.4851091942666409E-2</c:v>
                </c:pt>
                <c:pt idx="77">
                  <c:v>1.4764603676864331E-2</c:v>
                </c:pt>
                <c:pt idx="78">
                  <c:v>1.3975501869859601E-2</c:v>
                </c:pt>
                <c:pt idx="79">
                  <c:v>1.3609784292047051E-2</c:v>
                </c:pt>
                <c:pt idx="80">
                  <c:v>1.3282058944009608E-2</c:v>
                </c:pt>
                <c:pt idx="81">
                  <c:v>1.2982543859599426E-2</c:v>
                </c:pt>
                <c:pt idx="82">
                  <c:v>1.2629794519818681E-2</c:v>
                </c:pt>
                <c:pt idx="83">
                  <c:v>1.3193574628373526E-2</c:v>
                </c:pt>
                <c:pt idx="84">
                  <c:v>1.2153435242730354E-2</c:v>
                </c:pt>
                <c:pt idx="85">
                  <c:v>1.2439418713755524E-2</c:v>
                </c:pt>
                <c:pt idx="86">
                  <c:v>1.219037618426796E-2</c:v>
                </c:pt>
                <c:pt idx="87">
                  <c:v>1.2379584525799334E-2</c:v>
                </c:pt>
                <c:pt idx="88">
                  <c:v>1.2239237441199256E-2</c:v>
                </c:pt>
                <c:pt idx="89">
                  <c:v>1.2105629827108087E-2</c:v>
                </c:pt>
                <c:pt idx="90">
                  <c:v>1.2196754748133387E-2</c:v>
                </c:pt>
                <c:pt idx="91">
                  <c:v>1.2315162295021146E-2</c:v>
                </c:pt>
                <c:pt idx="92">
                  <c:v>1.2153722797809356E-2</c:v>
                </c:pt>
                <c:pt idx="93">
                  <c:v>1.3066240831405243E-2</c:v>
                </c:pt>
                <c:pt idx="94">
                  <c:v>1.2818923290624456E-2</c:v>
                </c:pt>
                <c:pt idx="95">
                  <c:v>1.2555773411292727E-2</c:v>
                </c:pt>
                <c:pt idx="96">
                  <c:v>1.2453487977495877E-2</c:v>
                </c:pt>
                <c:pt idx="97">
                  <c:v>1.3184172491157541E-2</c:v>
                </c:pt>
                <c:pt idx="98">
                  <c:v>1.3507962605838947E-2</c:v>
                </c:pt>
                <c:pt idx="99">
                  <c:v>1.3134423650671304E-2</c:v>
                </c:pt>
                <c:pt idx="100">
                  <c:v>1.357452254424062E-2</c:v>
                </c:pt>
                <c:pt idx="101">
                  <c:v>1.3339225889388176E-2</c:v>
                </c:pt>
                <c:pt idx="102">
                  <c:v>1.3606182552815772E-2</c:v>
                </c:pt>
                <c:pt idx="103">
                  <c:v>1.3154434727000494E-2</c:v>
                </c:pt>
                <c:pt idx="104">
                  <c:v>1.2891959455881926E-2</c:v>
                </c:pt>
                <c:pt idx="105">
                  <c:v>1.3501074311005919E-2</c:v>
                </c:pt>
                <c:pt idx="106">
                  <c:v>1.3239958195219333E-2</c:v>
                </c:pt>
                <c:pt idx="107">
                  <c:v>1.3508394452893873E-2</c:v>
                </c:pt>
                <c:pt idx="108">
                  <c:v>1.3542666932724235E-2</c:v>
                </c:pt>
                <c:pt idx="109">
                  <c:v>1.2873477525170035E-2</c:v>
                </c:pt>
                <c:pt idx="110">
                  <c:v>1.2947072992198189E-2</c:v>
                </c:pt>
                <c:pt idx="111">
                  <c:v>1.3355931316183314E-2</c:v>
                </c:pt>
                <c:pt idx="112">
                  <c:v>1.3132647340213906E-2</c:v>
                </c:pt>
                <c:pt idx="113">
                  <c:v>1.3824122769312348E-2</c:v>
                </c:pt>
                <c:pt idx="114">
                  <c:v>1.348144090136327E-2</c:v>
                </c:pt>
                <c:pt idx="115">
                  <c:v>1.3865309102190075E-2</c:v>
                </c:pt>
                <c:pt idx="116">
                  <c:v>1.3807356948644869E-2</c:v>
                </c:pt>
                <c:pt idx="117">
                  <c:v>1.368659876332827E-2</c:v>
                </c:pt>
                <c:pt idx="118">
                  <c:v>1.3526149660868297E-2</c:v>
                </c:pt>
                <c:pt idx="119">
                  <c:v>1.362445423265897E-2</c:v>
                </c:pt>
                <c:pt idx="120">
                  <c:v>1.3831226257502324E-2</c:v>
                </c:pt>
                <c:pt idx="121">
                  <c:v>1.3902929482404E-2</c:v>
                </c:pt>
                <c:pt idx="122">
                  <c:v>1.4481656332376013E-2</c:v>
                </c:pt>
                <c:pt idx="123">
                  <c:v>1.3714793014985778E-2</c:v>
                </c:pt>
                <c:pt idx="124">
                  <c:v>1.3837679774564486E-2</c:v>
                </c:pt>
                <c:pt idx="125">
                  <c:v>1.3640853653161214E-2</c:v>
                </c:pt>
                <c:pt idx="126">
                  <c:v>1.364681711614611E-2</c:v>
                </c:pt>
                <c:pt idx="127">
                  <c:v>1.3509855877556759E-2</c:v>
                </c:pt>
                <c:pt idx="128">
                  <c:v>1.3607363502686194E-2</c:v>
                </c:pt>
                <c:pt idx="129">
                  <c:v>1.3471885406662099E-2</c:v>
                </c:pt>
                <c:pt idx="130">
                  <c:v>1.3808876995549311E-2</c:v>
                </c:pt>
                <c:pt idx="131">
                  <c:v>1.3682940608903352E-2</c:v>
                </c:pt>
                <c:pt idx="132">
                  <c:v>1.4054508133074827E-2</c:v>
                </c:pt>
                <c:pt idx="133">
                  <c:v>1.425899533637855E-2</c:v>
                </c:pt>
                <c:pt idx="134">
                  <c:v>1.4538314434678101E-2</c:v>
                </c:pt>
                <c:pt idx="135">
                  <c:v>1.4412261922752688E-2</c:v>
                </c:pt>
                <c:pt idx="136">
                  <c:v>1.428963913743141E-2</c:v>
                </c:pt>
                <c:pt idx="137">
                  <c:v>1.4236831982106464E-2</c:v>
                </c:pt>
                <c:pt idx="138">
                  <c:v>1.4367004294801974E-2</c:v>
                </c:pt>
                <c:pt idx="139">
                  <c:v>1.441010002857122E-2</c:v>
                </c:pt>
                <c:pt idx="140">
                  <c:v>1.4060038485565134E-2</c:v>
                </c:pt>
                <c:pt idx="141">
                  <c:v>1.432188354193048E-2</c:v>
                </c:pt>
                <c:pt idx="142">
                  <c:v>1.460124105372505E-2</c:v>
                </c:pt>
                <c:pt idx="143">
                  <c:v>1.5281712522140002E-2</c:v>
                </c:pt>
                <c:pt idx="144">
                  <c:v>1.4989918501695933E-2</c:v>
                </c:pt>
                <c:pt idx="145">
                  <c:v>1.5020346147929671E-2</c:v>
                </c:pt>
                <c:pt idx="146">
                  <c:v>1.4617149406727701E-2</c:v>
                </c:pt>
                <c:pt idx="147">
                  <c:v>1.4737604963589241E-2</c:v>
                </c:pt>
                <c:pt idx="148">
                  <c:v>1.4724262676950926E-2</c:v>
                </c:pt>
                <c:pt idx="149">
                  <c:v>1.4231811883053017E-2</c:v>
                </c:pt>
                <c:pt idx="150">
                  <c:v>1.4037888515991505E-2</c:v>
                </c:pt>
                <c:pt idx="151">
                  <c:v>1.4030111422487017E-2</c:v>
                </c:pt>
                <c:pt idx="152">
                  <c:v>1.4068957596334067E-2</c:v>
                </c:pt>
                <c:pt idx="153">
                  <c:v>1.4555371683123484E-2</c:v>
                </c:pt>
                <c:pt idx="154">
                  <c:v>1.4295478417026981E-2</c:v>
                </c:pt>
                <c:pt idx="155">
                  <c:v>1.3544693920496936E-2</c:v>
                </c:pt>
                <c:pt idx="156">
                  <c:v>1.3728143106200717E-2</c:v>
                </c:pt>
                <c:pt idx="157">
                  <c:v>1.3892843585722223E-2</c:v>
                </c:pt>
                <c:pt idx="158">
                  <c:v>1.3437534452297586E-2</c:v>
                </c:pt>
                <c:pt idx="159">
                  <c:v>1.3535896339728954E-2</c:v>
                </c:pt>
                <c:pt idx="160">
                  <c:v>1.310430477743614E-2</c:v>
                </c:pt>
                <c:pt idx="161">
                  <c:v>1.3161238436659275E-2</c:v>
                </c:pt>
                <c:pt idx="162">
                  <c:v>1.2625883798204979E-2</c:v>
                </c:pt>
                <c:pt idx="163">
                  <c:v>1.2090011421652067E-2</c:v>
                </c:pt>
                <c:pt idx="164">
                  <c:v>1.2702349362821202E-2</c:v>
                </c:pt>
                <c:pt idx="165">
                  <c:v>1.297934218355847E-2</c:v>
                </c:pt>
                <c:pt idx="166">
                  <c:v>1.2414885247357777E-2</c:v>
                </c:pt>
                <c:pt idx="167">
                  <c:v>9.1227655819424384E-3</c:v>
                </c:pt>
                <c:pt idx="168">
                  <c:v>5.4683516892218868E-3</c:v>
                </c:pt>
                <c:pt idx="169">
                  <c:v>7.4934233837023988E-3</c:v>
                </c:pt>
                <c:pt idx="170">
                  <c:v>9.7567698820907982E-3</c:v>
                </c:pt>
                <c:pt idx="171">
                  <c:v>1.0813488806694098E-2</c:v>
                </c:pt>
                <c:pt idx="172">
                  <c:v>1.0822712586517295E-2</c:v>
                </c:pt>
                <c:pt idx="173">
                  <c:v>1.2062052250770169E-2</c:v>
                </c:pt>
                <c:pt idx="174">
                  <c:v>1.2675657632158211E-2</c:v>
                </c:pt>
                <c:pt idx="175">
                  <c:v>1.3792466696259761E-2</c:v>
                </c:pt>
                <c:pt idx="176">
                  <c:v>1.4473112925841634E-2</c:v>
                </c:pt>
                <c:pt idx="177">
                  <c:v>1.4761880164043369E-2</c:v>
                </c:pt>
                <c:pt idx="178">
                  <c:v>1.577370184089634E-2</c:v>
                </c:pt>
                <c:pt idx="179">
                  <c:v>1.7631564853310605E-2</c:v>
                </c:pt>
                <c:pt idx="180">
                  <c:v>1.7879739185582184E-2</c:v>
                </c:pt>
                <c:pt idx="181">
                  <c:v>1.8056351713211346E-2</c:v>
                </c:pt>
                <c:pt idx="182">
                  <c:v>1.7676633974754635E-2</c:v>
                </c:pt>
                <c:pt idx="183">
                  <c:v>1.7480962797686978E-2</c:v>
                </c:pt>
                <c:pt idx="184">
                  <c:v>1.6252918328890979E-2</c:v>
                </c:pt>
                <c:pt idx="185">
                  <c:v>1.8354504873887338E-2</c:v>
                </c:pt>
                <c:pt idx="186">
                  <c:v>1.9959289487942119E-2</c:v>
                </c:pt>
                <c:pt idx="187">
                  <c:v>1.988498669328586E-2</c:v>
                </c:pt>
                <c:pt idx="188">
                  <c:v>1.9549778028242353E-2</c:v>
                </c:pt>
                <c:pt idx="189">
                  <c:v>2.0268815683277354E-2</c:v>
                </c:pt>
                <c:pt idx="190">
                  <c:v>2.0842539268969971E-2</c:v>
                </c:pt>
                <c:pt idx="191">
                  <c:v>2.1291103745672713E-2</c:v>
                </c:pt>
                <c:pt idx="192">
                  <c:v>2.1575950802037096E-2</c:v>
                </c:pt>
                <c:pt idx="193">
                  <c:v>2.1934515161108101E-2</c:v>
                </c:pt>
                <c:pt idx="194">
                  <c:v>2.2341803740032543E-2</c:v>
                </c:pt>
                <c:pt idx="195">
                  <c:v>2.146809326591112E-2</c:v>
                </c:pt>
                <c:pt idx="196">
                  <c:v>2.1607453772337686E-2</c:v>
                </c:pt>
                <c:pt idx="197">
                  <c:v>2.064996709081075E-2</c:v>
                </c:pt>
                <c:pt idx="198">
                  <c:v>2.0833624430192602E-2</c:v>
                </c:pt>
                <c:pt idx="199">
                  <c:v>2.0069666428757734E-2</c:v>
                </c:pt>
                <c:pt idx="200">
                  <c:v>2.0062861348101459E-2</c:v>
                </c:pt>
                <c:pt idx="201">
                  <c:v>2.0456260624005105E-2</c:v>
                </c:pt>
                <c:pt idx="202">
                  <c:v>2.0589067719200566E-2</c:v>
                </c:pt>
                <c:pt idx="203">
                  <c:v>2.0414117419549738E-2</c:v>
                </c:pt>
                <c:pt idx="204">
                  <c:v>2.0942092486327963E-2</c:v>
                </c:pt>
                <c:pt idx="205">
                  <c:v>2.0216118795768189E-2</c:v>
                </c:pt>
                <c:pt idx="206">
                  <c:v>1.9719203771092722E-2</c:v>
                </c:pt>
                <c:pt idx="207">
                  <c:v>1.994036478232239E-2</c:v>
                </c:pt>
                <c:pt idx="208">
                  <c:v>1.9589775619280398E-2</c:v>
                </c:pt>
                <c:pt idx="209">
                  <c:v>1.9100454007252358E-2</c:v>
                </c:pt>
                <c:pt idx="210">
                  <c:v>1.8293440135755689E-2</c:v>
                </c:pt>
                <c:pt idx="211">
                  <c:v>1.8181229408949121E-2</c:v>
                </c:pt>
                <c:pt idx="212">
                  <c:v>1.8357298024096087E-2</c:v>
                </c:pt>
                <c:pt idx="213">
                  <c:v>1.7984058970610492E-2</c:v>
                </c:pt>
                <c:pt idx="214">
                  <c:v>1.7421994227698946E-2</c:v>
                </c:pt>
                <c:pt idx="215">
                  <c:v>1.7458056923541038E-2</c:v>
                </c:pt>
              </c:numCache>
            </c:numRef>
          </c:val>
          <c:smooth val="0"/>
          <c:extLst>
            <c:ext xmlns:c16="http://schemas.microsoft.com/office/drawing/2014/chart" uri="{C3380CC4-5D6E-409C-BE32-E72D297353CC}">
              <c16:uniqueId val="{00000000-8FB2-42A5-88E4-B492787AA71D}"/>
            </c:ext>
          </c:extLst>
        </c:ser>
        <c:dLbls>
          <c:showLegendKey val="0"/>
          <c:showVal val="0"/>
          <c:showCatName val="0"/>
          <c:showSerName val="0"/>
          <c:showPercent val="0"/>
          <c:showBubbleSize val="0"/>
        </c:dLbls>
        <c:marker val="1"/>
        <c:smooth val="0"/>
        <c:axId val="980739424"/>
        <c:axId val="1289732352"/>
      </c:lineChart>
      <c:lineChart>
        <c:grouping val="standard"/>
        <c:varyColors val="0"/>
        <c:ser>
          <c:idx val="3"/>
          <c:order val="1"/>
          <c:tx>
            <c:strRef>
              <c:f>'[NLD LMU March 23 chart data.xlsx]Vacancy rates (Fig.9)'!$E$1</c:f>
              <c:strCache>
                <c:ptCount val="1"/>
                <c:pt idx="0">
                  <c:v>Seasonally adjusted unemployment rate</c:v>
                </c:pt>
              </c:strCache>
            </c:strRef>
          </c:tx>
          <c:spPr>
            <a:ln w="28575" cap="rnd">
              <a:solidFill>
                <a:srgbClr val="6929C4"/>
              </a:solidFill>
              <a:round/>
            </a:ln>
            <a:effectLst/>
          </c:spPr>
          <c:marker>
            <c:symbol val="none"/>
          </c:marker>
          <c:cat>
            <c:numRef>
              <c:f>'[NLD LMU March 23 chart data.xlsx]Vacancy rates (Fig.9)'!$A$5:$A$220</c:f>
              <c:numCache>
                <c:formatCode>mmm\-yy</c:formatCode>
                <c:ptCount val="216"/>
                <c:pt idx="0">
                  <c:v>38808</c:v>
                </c:pt>
                <c:pt idx="1">
                  <c:v>38838</c:v>
                </c:pt>
                <c:pt idx="2">
                  <c:v>38869</c:v>
                </c:pt>
                <c:pt idx="3">
                  <c:v>38899</c:v>
                </c:pt>
                <c:pt idx="4">
                  <c:v>38930</c:v>
                </c:pt>
                <c:pt idx="5">
                  <c:v>38961</c:v>
                </c:pt>
                <c:pt idx="6">
                  <c:v>38991</c:v>
                </c:pt>
                <c:pt idx="7">
                  <c:v>39022</c:v>
                </c:pt>
                <c:pt idx="8">
                  <c:v>39052</c:v>
                </c:pt>
                <c:pt idx="9">
                  <c:v>39083</c:v>
                </c:pt>
                <c:pt idx="10">
                  <c:v>39114</c:v>
                </c:pt>
                <c:pt idx="11">
                  <c:v>39142</c:v>
                </c:pt>
                <c:pt idx="12">
                  <c:v>39173</c:v>
                </c:pt>
                <c:pt idx="13">
                  <c:v>39203</c:v>
                </c:pt>
                <c:pt idx="14">
                  <c:v>39234</c:v>
                </c:pt>
                <c:pt idx="15">
                  <c:v>39264</c:v>
                </c:pt>
                <c:pt idx="16">
                  <c:v>39295</c:v>
                </c:pt>
                <c:pt idx="17">
                  <c:v>39326</c:v>
                </c:pt>
                <c:pt idx="18">
                  <c:v>39356</c:v>
                </c:pt>
                <c:pt idx="19">
                  <c:v>39387</c:v>
                </c:pt>
                <c:pt idx="20">
                  <c:v>39417</c:v>
                </c:pt>
                <c:pt idx="21">
                  <c:v>39448</c:v>
                </c:pt>
                <c:pt idx="22">
                  <c:v>39479</c:v>
                </c:pt>
                <c:pt idx="23">
                  <c:v>39508</c:v>
                </c:pt>
                <c:pt idx="24">
                  <c:v>39539</c:v>
                </c:pt>
                <c:pt idx="25">
                  <c:v>39569</c:v>
                </c:pt>
                <c:pt idx="26">
                  <c:v>39600</c:v>
                </c:pt>
                <c:pt idx="27">
                  <c:v>39630</c:v>
                </c:pt>
                <c:pt idx="28">
                  <c:v>39661</c:v>
                </c:pt>
                <c:pt idx="29">
                  <c:v>39692</c:v>
                </c:pt>
                <c:pt idx="30">
                  <c:v>39722</c:v>
                </c:pt>
                <c:pt idx="31">
                  <c:v>39753</c:v>
                </c:pt>
                <c:pt idx="32">
                  <c:v>39783</c:v>
                </c:pt>
                <c:pt idx="33">
                  <c:v>39814</c:v>
                </c:pt>
                <c:pt idx="34">
                  <c:v>39845</c:v>
                </c:pt>
                <c:pt idx="35">
                  <c:v>39873</c:v>
                </c:pt>
                <c:pt idx="36">
                  <c:v>39904</c:v>
                </c:pt>
                <c:pt idx="37">
                  <c:v>39934</c:v>
                </c:pt>
                <c:pt idx="38">
                  <c:v>39965</c:v>
                </c:pt>
                <c:pt idx="39">
                  <c:v>39995</c:v>
                </c:pt>
                <c:pt idx="40">
                  <c:v>40026</c:v>
                </c:pt>
                <c:pt idx="41">
                  <c:v>40057</c:v>
                </c:pt>
                <c:pt idx="42">
                  <c:v>40087</c:v>
                </c:pt>
                <c:pt idx="43">
                  <c:v>40118</c:v>
                </c:pt>
                <c:pt idx="44">
                  <c:v>40148</c:v>
                </c:pt>
                <c:pt idx="45">
                  <c:v>40179</c:v>
                </c:pt>
                <c:pt idx="46">
                  <c:v>40210</c:v>
                </c:pt>
                <c:pt idx="47">
                  <c:v>40238</c:v>
                </c:pt>
                <c:pt idx="48">
                  <c:v>40269</c:v>
                </c:pt>
                <c:pt idx="49">
                  <c:v>40299</c:v>
                </c:pt>
                <c:pt idx="50">
                  <c:v>40330</c:v>
                </c:pt>
                <c:pt idx="51">
                  <c:v>40360</c:v>
                </c:pt>
                <c:pt idx="52">
                  <c:v>40391</c:v>
                </c:pt>
                <c:pt idx="53">
                  <c:v>40422</c:v>
                </c:pt>
                <c:pt idx="54">
                  <c:v>40452</c:v>
                </c:pt>
                <c:pt idx="55">
                  <c:v>40483</c:v>
                </c:pt>
                <c:pt idx="56">
                  <c:v>40513</c:v>
                </c:pt>
                <c:pt idx="57">
                  <c:v>40544</c:v>
                </c:pt>
                <c:pt idx="58">
                  <c:v>40575</c:v>
                </c:pt>
                <c:pt idx="59">
                  <c:v>40603</c:v>
                </c:pt>
                <c:pt idx="60">
                  <c:v>40634</c:v>
                </c:pt>
                <c:pt idx="61">
                  <c:v>40664</c:v>
                </c:pt>
                <c:pt idx="62">
                  <c:v>40695</c:v>
                </c:pt>
                <c:pt idx="63">
                  <c:v>40725</c:v>
                </c:pt>
                <c:pt idx="64">
                  <c:v>40756</c:v>
                </c:pt>
                <c:pt idx="65">
                  <c:v>40787</c:v>
                </c:pt>
                <c:pt idx="66">
                  <c:v>40817</c:v>
                </c:pt>
                <c:pt idx="67">
                  <c:v>40848</c:v>
                </c:pt>
                <c:pt idx="68">
                  <c:v>40878</c:v>
                </c:pt>
                <c:pt idx="69">
                  <c:v>40909</c:v>
                </c:pt>
                <c:pt idx="70">
                  <c:v>40940</c:v>
                </c:pt>
                <c:pt idx="71">
                  <c:v>40969</c:v>
                </c:pt>
                <c:pt idx="72">
                  <c:v>41000</c:v>
                </c:pt>
                <c:pt idx="73">
                  <c:v>41030</c:v>
                </c:pt>
                <c:pt idx="74">
                  <c:v>41061</c:v>
                </c:pt>
                <c:pt idx="75">
                  <c:v>41091</c:v>
                </c:pt>
                <c:pt idx="76">
                  <c:v>41122</c:v>
                </c:pt>
                <c:pt idx="77">
                  <c:v>41153</c:v>
                </c:pt>
                <c:pt idx="78">
                  <c:v>41183</c:v>
                </c:pt>
                <c:pt idx="79">
                  <c:v>41214</c:v>
                </c:pt>
                <c:pt idx="80">
                  <c:v>41244</c:v>
                </c:pt>
                <c:pt idx="81">
                  <c:v>41275</c:v>
                </c:pt>
                <c:pt idx="82">
                  <c:v>41306</c:v>
                </c:pt>
                <c:pt idx="83">
                  <c:v>41334</c:v>
                </c:pt>
                <c:pt idx="84">
                  <c:v>41365</c:v>
                </c:pt>
                <c:pt idx="85">
                  <c:v>41395</c:v>
                </c:pt>
                <c:pt idx="86">
                  <c:v>41426</c:v>
                </c:pt>
                <c:pt idx="87">
                  <c:v>41456</c:v>
                </c:pt>
                <c:pt idx="88">
                  <c:v>41487</c:v>
                </c:pt>
                <c:pt idx="89">
                  <c:v>41518</c:v>
                </c:pt>
                <c:pt idx="90">
                  <c:v>41548</c:v>
                </c:pt>
                <c:pt idx="91">
                  <c:v>41579</c:v>
                </c:pt>
                <c:pt idx="92">
                  <c:v>41609</c:v>
                </c:pt>
                <c:pt idx="93">
                  <c:v>41640</c:v>
                </c:pt>
                <c:pt idx="94">
                  <c:v>41671</c:v>
                </c:pt>
                <c:pt idx="95">
                  <c:v>41699</c:v>
                </c:pt>
                <c:pt idx="96">
                  <c:v>41730</c:v>
                </c:pt>
                <c:pt idx="97">
                  <c:v>41760</c:v>
                </c:pt>
                <c:pt idx="98">
                  <c:v>41791</c:v>
                </c:pt>
                <c:pt idx="99">
                  <c:v>41821</c:v>
                </c:pt>
                <c:pt idx="100">
                  <c:v>41852</c:v>
                </c:pt>
                <c:pt idx="101">
                  <c:v>41883</c:v>
                </c:pt>
                <c:pt idx="102">
                  <c:v>41913</c:v>
                </c:pt>
                <c:pt idx="103">
                  <c:v>41944</c:v>
                </c:pt>
                <c:pt idx="104">
                  <c:v>41974</c:v>
                </c:pt>
                <c:pt idx="105">
                  <c:v>42005</c:v>
                </c:pt>
                <c:pt idx="106">
                  <c:v>42036</c:v>
                </c:pt>
                <c:pt idx="107">
                  <c:v>42064</c:v>
                </c:pt>
                <c:pt idx="108">
                  <c:v>42095</c:v>
                </c:pt>
                <c:pt idx="109">
                  <c:v>42125</c:v>
                </c:pt>
                <c:pt idx="110">
                  <c:v>42156</c:v>
                </c:pt>
                <c:pt idx="111">
                  <c:v>42186</c:v>
                </c:pt>
                <c:pt idx="112">
                  <c:v>42217</c:v>
                </c:pt>
                <c:pt idx="113">
                  <c:v>42248</c:v>
                </c:pt>
                <c:pt idx="114">
                  <c:v>42278</c:v>
                </c:pt>
                <c:pt idx="115">
                  <c:v>42309</c:v>
                </c:pt>
                <c:pt idx="116">
                  <c:v>42339</c:v>
                </c:pt>
                <c:pt idx="117">
                  <c:v>42370</c:v>
                </c:pt>
                <c:pt idx="118">
                  <c:v>42401</c:v>
                </c:pt>
                <c:pt idx="119">
                  <c:v>42430</c:v>
                </c:pt>
                <c:pt idx="120">
                  <c:v>42461</c:v>
                </c:pt>
                <c:pt idx="121">
                  <c:v>42491</c:v>
                </c:pt>
                <c:pt idx="122">
                  <c:v>42522</c:v>
                </c:pt>
                <c:pt idx="123">
                  <c:v>42552</c:v>
                </c:pt>
                <c:pt idx="124">
                  <c:v>42583</c:v>
                </c:pt>
                <c:pt idx="125">
                  <c:v>42614</c:v>
                </c:pt>
                <c:pt idx="126">
                  <c:v>42644</c:v>
                </c:pt>
                <c:pt idx="127">
                  <c:v>42675</c:v>
                </c:pt>
                <c:pt idx="128">
                  <c:v>42705</c:v>
                </c:pt>
                <c:pt idx="129">
                  <c:v>42736</c:v>
                </c:pt>
                <c:pt idx="130">
                  <c:v>42767</c:v>
                </c:pt>
                <c:pt idx="131">
                  <c:v>42795</c:v>
                </c:pt>
                <c:pt idx="132">
                  <c:v>42826</c:v>
                </c:pt>
                <c:pt idx="133">
                  <c:v>42856</c:v>
                </c:pt>
                <c:pt idx="134">
                  <c:v>42887</c:v>
                </c:pt>
                <c:pt idx="135">
                  <c:v>42917</c:v>
                </c:pt>
                <c:pt idx="136">
                  <c:v>42948</c:v>
                </c:pt>
                <c:pt idx="137">
                  <c:v>42979</c:v>
                </c:pt>
                <c:pt idx="138">
                  <c:v>43009</c:v>
                </c:pt>
                <c:pt idx="139">
                  <c:v>43040</c:v>
                </c:pt>
                <c:pt idx="140">
                  <c:v>43070</c:v>
                </c:pt>
                <c:pt idx="141">
                  <c:v>43101</c:v>
                </c:pt>
                <c:pt idx="142">
                  <c:v>43132</c:v>
                </c:pt>
                <c:pt idx="143">
                  <c:v>43160</c:v>
                </c:pt>
                <c:pt idx="144">
                  <c:v>43191</c:v>
                </c:pt>
                <c:pt idx="145">
                  <c:v>43221</c:v>
                </c:pt>
                <c:pt idx="146">
                  <c:v>43252</c:v>
                </c:pt>
                <c:pt idx="147">
                  <c:v>43282</c:v>
                </c:pt>
                <c:pt idx="148">
                  <c:v>43313</c:v>
                </c:pt>
                <c:pt idx="149">
                  <c:v>43344</c:v>
                </c:pt>
                <c:pt idx="150">
                  <c:v>43374</c:v>
                </c:pt>
                <c:pt idx="151">
                  <c:v>43405</c:v>
                </c:pt>
                <c:pt idx="152">
                  <c:v>43435</c:v>
                </c:pt>
                <c:pt idx="153">
                  <c:v>43466</c:v>
                </c:pt>
                <c:pt idx="154">
                  <c:v>43497</c:v>
                </c:pt>
                <c:pt idx="155">
                  <c:v>43525</c:v>
                </c:pt>
                <c:pt idx="156">
                  <c:v>43556</c:v>
                </c:pt>
                <c:pt idx="157">
                  <c:v>43586</c:v>
                </c:pt>
                <c:pt idx="158">
                  <c:v>43617</c:v>
                </c:pt>
                <c:pt idx="159">
                  <c:v>43647</c:v>
                </c:pt>
                <c:pt idx="160">
                  <c:v>43678</c:v>
                </c:pt>
                <c:pt idx="161">
                  <c:v>43709</c:v>
                </c:pt>
                <c:pt idx="162">
                  <c:v>43739</c:v>
                </c:pt>
                <c:pt idx="163">
                  <c:v>43770</c:v>
                </c:pt>
                <c:pt idx="164">
                  <c:v>43800</c:v>
                </c:pt>
                <c:pt idx="165">
                  <c:v>43831</c:v>
                </c:pt>
                <c:pt idx="166">
                  <c:v>43862</c:v>
                </c:pt>
                <c:pt idx="167">
                  <c:v>43891</c:v>
                </c:pt>
                <c:pt idx="168">
                  <c:v>43922</c:v>
                </c:pt>
                <c:pt idx="169">
                  <c:v>43952</c:v>
                </c:pt>
                <c:pt idx="170">
                  <c:v>43983</c:v>
                </c:pt>
                <c:pt idx="171">
                  <c:v>44013</c:v>
                </c:pt>
                <c:pt idx="172">
                  <c:v>44044</c:v>
                </c:pt>
                <c:pt idx="173">
                  <c:v>44075</c:v>
                </c:pt>
                <c:pt idx="174">
                  <c:v>44105</c:v>
                </c:pt>
                <c:pt idx="175">
                  <c:v>44136</c:v>
                </c:pt>
                <c:pt idx="176">
                  <c:v>44166</c:v>
                </c:pt>
                <c:pt idx="177">
                  <c:v>44197</c:v>
                </c:pt>
                <c:pt idx="178">
                  <c:v>44228</c:v>
                </c:pt>
                <c:pt idx="179">
                  <c:v>44256</c:v>
                </c:pt>
                <c:pt idx="180">
                  <c:v>44287</c:v>
                </c:pt>
                <c:pt idx="181">
                  <c:v>44317</c:v>
                </c:pt>
                <c:pt idx="182">
                  <c:v>44348</c:v>
                </c:pt>
                <c:pt idx="183">
                  <c:v>44378</c:v>
                </c:pt>
                <c:pt idx="184">
                  <c:v>44409</c:v>
                </c:pt>
                <c:pt idx="185">
                  <c:v>44440</c:v>
                </c:pt>
                <c:pt idx="186">
                  <c:v>44470</c:v>
                </c:pt>
                <c:pt idx="187">
                  <c:v>44501</c:v>
                </c:pt>
                <c:pt idx="188">
                  <c:v>44531</c:v>
                </c:pt>
                <c:pt idx="189">
                  <c:v>44562</c:v>
                </c:pt>
                <c:pt idx="190">
                  <c:v>44593</c:v>
                </c:pt>
                <c:pt idx="191">
                  <c:v>44621</c:v>
                </c:pt>
                <c:pt idx="192">
                  <c:v>44652</c:v>
                </c:pt>
                <c:pt idx="193">
                  <c:v>44682</c:v>
                </c:pt>
                <c:pt idx="194">
                  <c:v>44713</c:v>
                </c:pt>
                <c:pt idx="195">
                  <c:v>44743</c:v>
                </c:pt>
                <c:pt idx="196">
                  <c:v>44774</c:v>
                </c:pt>
                <c:pt idx="197">
                  <c:v>44805</c:v>
                </c:pt>
                <c:pt idx="198">
                  <c:v>44835</c:v>
                </c:pt>
                <c:pt idx="199">
                  <c:v>44866</c:v>
                </c:pt>
                <c:pt idx="200">
                  <c:v>44896</c:v>
                </c:pt>
                <c:pt idx="201">
                  <c:v>44927</c:v>
                </c:pt>
                <c:pt idx="202">
                  <c:v>44958</c:v>
                </c:pt>
                <c:pt idx="203">
                  <c:v>44986</c:v>
                </c:pt>
                <c:pt idx="204">
                  <c:v>45017</c:v>
                </c:pt>
                <c:pt idx="205">
                  <c:v>45047</c:v>
                </c:pt>
                <c:pt idx="206">
                  <c:v>45078</c:v>
                </c:pt>
                <c:pt idx="207">
                  <c:v>45108</c:v>
                </c:pt>
                <c:pt idx="208">
                  <c:v>45139</c:v>
                </c:pt>
                <c:pt idx="209">
                  <c:v>45170</c:v>
                </c:pt>
                <c:pt idx="210">
                  <c:v>45200</c:v>
                </c:pt>
                <c:pt idx="211">
                  <c:v>45231</c:v>
                </c:pt>
                <c:pt idx="212">
                  <c:v>45261</c:v>
                </c:pt>
                <c:pt idx="213">
                  <c:v>45292</c:v>
                </c:pt>
                <c:pt idx="214">
                  <c:v>45323</c:v>
                </c:pt>
                <c:pt idx="215">
                  <c:v>45352</c:v>
                </c:pt>
              </c:numCache>
            </c:numRef>
          </c:cat>
          <c:val>
            <c:numRef>
              <c:f>'[NLD LMU March 23 chart data.xlsx]Vacancy rates (Fig.9)'!$E$5:$E$220</c:f>
              <c:numCache>
                <c:formatCode>0.0%</c:formatCode>
                <c:ptCount val="216"/>
                <c:pt idx="0">
                  <c:v>4.9646302999999996E-2</c:v>
                </c:pt>
                <c:pt idx="1">
                  <c:v>4.7974878999999998E-2</c:v>
                </c:pt>
                <c:pt idx="2">
                  <c:v>4.8074811000000002E-2</c:v>
                </c:pt>
                <c:pt idx="3">
                  <c:v>4.6558712000000002E-2</c:v>
                </c:pt>
                <c:pt idx="4">
                  <c:v>4.7118191999999996E-2</c:v>
                </c:pt>
                <c:pt idx="5">
                  <c:v>4.6652933000000001E-2</c:v>
                </c:pt>
                <c:pt idx="6">
                  <c:v>4.4625532999999995E-2</c:v>
                </c:pt>
                <c:pt idx="7">
                  <c:v>4.5143671000000003E-2</c:v>
                </c:pt>
                <c:pt idx="8">
                  <c:v>4.5672604000000006E-2</c:v>
                </c:pt>
                <c:pt idx="9">
                  <c:v>4.5528754999999997E-2</c:v>
                </c:pt>
                <c:pt idx="10">
                  <c:v>4.6336202999999992E-2</c:v>
                </c:pt>
                <c:pt idx="11">
                  <c:v>4.4590194E-2</c:v>
                </c:pt>
                <c:pt idx="12">
                  <c:v>4.3851859999999999E-2</c:v>
                </c:pt>
                <c:pt idx="13">
                  <c:v>4.2638255999999999E-2</c:v>
                </c:pt>
                <c:pt idx="14">
                  <c:v>4.323565E-2</c:v>
                </c:pt>
                <c:pt idx="15">
                  <c:v>4.2524182000000001E-2</c:v>
                </c:pt>
                <c:pt idx="16">
                  <c:v>4.2987509E-2</c:v>
                </c:pt>
                <c:pt idx="17">
                  <c:v>4.2126726999999996E-2</c:v>
                </c:pt>
                <c:pt idx="18">
                  <c:v>4.3255223000000002E-2</c:v>
                </c:pt>
                <c:pt idx="19">
                  <c:v>4.4261195000000003E-2</c:v>
                </c:pt>
                <c:pt idx="20">
                  <c:v>4.3076275999999997E-2</c:v>
                </c:pt>
                <c:pt idx="21">
                  <c:v>4.221229E-2</c:v>
                </c:pt>
                <c:pt idx="22">
                  <c:v>3.9781519000000001E-2</c:v>
                </c:pt>
                <c:pt idx="23">
                  <c:v>4.0565178E-2</c:v>
                </c:pt>
                <c:pt idx="24">
                  <c:v>4.2647367000000005E-2</c:v>
                </c:pt>
                <c:pt idx="25">
                  <c:v>4.2658193999999997E-2</c:v>
                </c:pt>
                <c:pt idx="26">
                  <c:v>4.2430750000000003E-2</c:v>
                </c:pt>
                <c:pt idx="27">
                  <c:v>4.2494648000000003E-2</c:v>
                </c:pt>
                <c:pt idx="28">
                  <c:v>4.0151716000000004E-2</c:v>
                </c:pt>
                <c:pt idx="29">
                  <c:v>4.2885198000000006E-2</c:v>
                </c:pt>
                <c:pt idx="30">
                  <c:v>4.2893810999999997E-2</c:v>
                </c:pt>
                <c:pt idx="31">
                  <c:v>4.4621861000000006E-2</c:v>
                </c:pt>
                <c:pt idx="32">
                  <c:v>4.5692776000000004E-2</c:v>
                </c:pt>
                <c:pt idx="33">
                  <c:v>4.9070521999999998E-2</c:v>
                </c:pt>
                <c:pt idx="34">
                  <c:v>5.3010222000000003E-2</c:v>
                </c:pt>
                <c:pt idx="35">
                  <c:v>5.7105678E-2</c:v>
                </c:pt>
                <c:pt idx="36">
                  <c:v>5.5121087999999999E-2</c:v>
                </c:pt>
                <c:pt idx="37">
                  <c:v>5.8114708000000001E-2</c:v>
                </c:pt>
                <c:pt idx="38">
                  <c:v>5.8611994000000001E-2</c:v>
                </c:pt>
                <c:pt idx="39">
                  <c:v>5.6713539E-2</c:v>
                </c:pt>
                <c:pt idx="40">
                  <c:v>5.7147101999999998E-2</c:v>
                </c:pt>
                <c:pt idx="41">
                  <c:v>5.6610649999999998E-2</c:v>
                </c:pt>
                <c:pt idx="42">
                  <c:v>5.6227324000000002E-2</c:v>
                </c:pt>
                <c:pt idx="43">
                  <c:v>5.5578063000000004E-2</c:v>
                </c:pt>
                <c:pt idx="44">
                  <c:v>5.4902851999999995E-2</c:v>
                </c:pt>
                <c:pt idx="45">
                  <c:v>5.2649524999999996E-2</c:v>
                </c:pt>
                <c:pt idx="46">
                  <c:v>5.2963310999999999E-2</c:v>
                </c:pt>
                <c:pt idx="47">
                  <c:v>5.421977E-2</c:v>
                </c:pt>
                <c:pt idx="48">
                  <c:v>5.4976817999999997E-2</c:v>
                </c:pt>
                <c:pt idx="49">
                  <c:v>5.2293741999999997E-2</c:v>
                </c:pt>
                <c:pt idx="50">
                  <c:v>5.1440349999999996E-2</c:v>
                </c:pt>
                <c:pt idx="51">
                  <c:v>5.2863581E-2</c:v>
                </c:pt>
                <c:pt idx="52">
                  <c:v>5.0324463E-2</c:v>
                </c:pt>
                <c:pt idx="53">
                  <c:v>5.0535354000000005E-2</c:v>
                </c:pt>
                <c:pt idx="54">
                  <c:v>5.2838843000000003E-2</c:v>
                </c:pt>
                <c:pt idx="55">
                  <c:v>5.1082983000000005E-2</c:v>
                </c:pt>
                <c:pt idx="56">
                  <c:v>4.8760087000000001E-2</c:v>
                </c:pt>
                <c:pt idx="57">
                  <c:v>5.0020274000000003E-2</c:v>
                </c:pt>
                <c:pt idx="58">
                  <c:v>4.9702196000000004E-2</c:v>
                </c:pt>
                <c:pt idx="59">
                  <c:v>4.9258274999999997E-2</c:v>
                </c:pt>
                <c:pt idx="60">
                  <c:v>4.9584296E-2</c:v>
                </c:pt>
                <c:pt idx="61">
                  <c:v>5.0133703000000002E-2</c:v>
                </c:pt>
                <c:pt idx="62">
                  <c:v>4.9168786999999999E-2</c:v>
                </c:pt>
                <c:pt idx="63">
                  <c:v>5.0906236000000001E-2</c:v>
                </c:pt>
                <c:pt idx="64">
                  <c:v>5.2707137000000001E-2</c:v>
                </c:pt>
                <c:pt idx="65">
                  <c:v>5.2208891E-2</c:v>
                </c:pt>
                <c:pt idx="66">
                  <c:v>5.1869056999999996E-2</c:v>
                </c:pt>
                <c:pt idx="67">
                  <c:v>5.2302625999999998E-2</c:v>
                </c:pt>
                <c:pt idx="68">
                  <c:v>5.1956861999999999E-2</c:v>
                </c:pt>
                <c:pt idx="69">
                  <c:v>5.0461860999999997E-2</c:v>
                </c:pt>
                <c:pt idx="70">
                  <c:v>5.1902891E-2</c:v>
                </c:pt>
                <c:pt idx="71">
                  <c:v>5.1824291000000001E-2</c:v>
                </c:pt>
                <c:pt idx="72">
                  <c:v>4.9935856000000001E-2</c:v>
                </c:pt>
                <c:pt idx="73">
                  <c:v>5.2008184999999998E-2</c:v>
                </c:pt>
                <c:pt idx="74">
                  <c:v>5.1627891000000002E-2</c:v>
                </c:pt>
                <c:pt idx="75">
                  <c:v>5.1797396999999995E-2</c:v>
                </c:pt>
                <c:pt idx="76">
                  <c:v>5.1575392999999997E-2</c:v>
                </c:pt>
                <c:pt idx="77">
                  <c:v>5.4874150000000003E-2</c:v>
                </c:pt>
                <c:pt idx="78">
                  <c:v>5.4096656999999999E-2</c:v>
                </c:pt>
                <c:pt idx="79">
                  <c:v>5.2559411E-2</c:v>
                </c:pt>
                <c:pt idx="80">
                  <c:v>5.4309506E-2</c:v>
                </c:pt>
                <c:pt idx="81">
                  <c:v>5.3876253999999998E-2</c:v>
                </c:pt>
                <c:pt idx="82">
                  <c:v>5.3929891000000001E-2</c:v>
                </c:pt>
                <c:pt idx="83">
                  <c:v>5.6394697999999993E-2</c:v>
                </c:pt>
                <c:pt idx="84">
                  <c:v>5.5875750000000002E-2</c:v>
                </c:pt>
                <c:pt idx="85">
                  <c:v>5.6105366999999996E-2</c:v>
                </c:pt>
                <c:pt idx="86">
                  <c:v>5.6959174000000001E-2</c:v>
                </c:pt>
                <c:pt idx="87">
                  <c:v>5.6328512999999997E-2</c:v>
                </c:pt>
                <c:pt idx="88">
                  <c:v>5.8443413E-2</c:v>
                </c:pt>
                <c:pt idx="89">
                  <c:v>5.7049953999999993E-2</c:v>
                </c:pt>
                <c:pt idx="90">
                  <c:v>5.8229927000000001E-2</c:v>
                </c:pt>
                <c:pt idx="91">
                  <c:v>5.7956369000000001E-2</c:v>
                </c:pt>
                <c:pt idx="92">
                  <c:v>5.8986297E-2</c:v>
                </c:pt>
                <c:pt idx="93">
                  <c:v>5.9433468999999996E-2</c:v>
                </c:pt>
                <c:pt idx="94">
                  <c:v>5.8763321E-2</c:v>
                </c:pt>
                <c:pt idx="95">
                  <c:v>5.8739408999999999E-2</c:v>
                </c:pt>
                <c:pt idx="96">
                  <c:v>5.8031436999999998E-2</c:v>
                </c:pt>
                <c:pt idx="97">
                  <c:v>5.9312180000000006E-2</c:v>
                </c:pt>
                <c:pt idx="98">
                  <c:v>6.0501126999999995E-2</c:v>
                </c:pt>
                <c:pt idx="99">
                  <c:v>6.1806198E-2</c:v>
                </c:pt>
                <c:pt idx="100">
                  <c:v>6.1051630000000003E-2</c:v>
                </c:pt>
                <c:pt idx="101">
                  <c:v>6.2366496E-2</c:v>
                </c:pt>
                <c:pt idx="102">
                  <c:v>6.3580746000000007E-2</c:v>
                </c:pt>
                <c:pt idx="103">
                  <c:v>6.2957980999999996E-2</c:v>
                </c:pt>
                <c:pt idx="104">
                  <c:v>6.1019151000000001E-2</c:v>
                </c:pt>
                <c:pt idx="105">
                  <c:v>6.3467098999999999E-2</c:v>
                </c:pt>
                <c:pt idx="106">
                  <c:v>6.1505009999999999E-2</c:v>
                </c:pt>
                <c:pt idx="107">
                  <c:v>6.1019793000000003E-2</c:v>
                </c:pt>
                <c:pt idx="108">
                  <c:v>6.1114162E-2</c:v>
                </c:pt>
                <c:pt idx="109">
                  <c:v>5.9326060999999999E-2</c:v>
                </c:pt>
                <c:pt idx="110">
                  <c:v>6.0104040999999997E-2</c:v>
                </c:pt>
                <c:pt idx="111">
                  <c:v>6.2845054999999997E-2</c:v>
                </c:pt>
                <c:pt idx="112">
                  <c:v>6.0904409999999999E-2</c:v>
                </c:pt>
                <c:pt idx="113">
                  <c:v>6.1737338000000003E-2</c:v>
                </c:pt>
                <c:pt idx="114">
                  <c:v>5.9146352999999999E-2</c:v>
                </c:pt>
                <c:pt idx="115">
                  <c:v>5.8489852000000002E-2</c:v>
                </c:pt>
                <c:pt idx="116">
                  <c:v>5.7350760000000001E-2</c:v>
                </c:pt>
                <c:pt idx="117">
                  <c:v>6.0347090999999999E-2</c:v>
                </c:pt>
                <c:pt idx="118">
                  <c:v>5.6900999000000001E-2</c:v>
                </c:pt>
                <c:pt idx="119">
                  <c:v>5.6516276000000004E-2</c:v>
                </c:pt>
                <c:pt idx="120">
                  <c:v>5.6445272999999997E-2</c:v>
                </c:pt>
                <c:pt idx="121">
                  <c:v>5.7235129000000003E-2</c:v>
                </c:pt>
                <c:pt idx="122">
                  <c:v>5.6992834999999999E-2</c:v>
                </c:pt>
                <c:pt idx="123">
                  <c:v>5.7057263999999996E-2</c:v>
                </c:pt>
                <c:pt idx="124">
                  <c:v>5.6215097999999998E-2</c:v>
                </c:pt>
                <c:pt idx="125">
                  <c:v>5.6670434999999998E-2</c:v>
                </c:pt>
                <c:pt idx="126">
                  <c:v>5.6033030999999997E-2</c:v>
                </c:pt>
                <c:pt idx="127">
                  <c:v>5.7660720000000006E-2</c:v>
                </c:pt>
                <c:pt idx="128">
                  <c:v>5.8269425000000007E-2</c:v>
                </c:pt>
                <c:pt idx="129">
                  <c:v>5.6755015999999998E-2</c:v>
                </c:pt>
                <c:pt idx="130">
                  <c:v>5.8868251999999996E-2</c:v>
                </c:pt>
                <c:pt idx="131">
                  <c:v>5.8433795000000004E-2</c:v>
                </c:pt>
                <c:pt idx="132">
                  <c:v>5.6077106000000002E-2</c:v>
                </c:pt>
                <c:pt idx="133">
                  <c:v>5.5524427999999994E-2</c:v>
                </c:pt>
                <c:pt idx="134">
                  <c:v>5.6289041999999997E-2</c:v>
                </c:pt>
                <c:pt idx="135">
                  <c:v>5.6199887000000004E-2</c:v>
                </c:pt>
                <c:pt idx="136">
                  <c:v>5.5349646000000002E-2</c:v>
                </c:pt>
                <c:pt idx="137">
                  <c:v>5.4634052999999995E-2</c:v>
                </c:pt>
                <c:pt idx="138">
                  <c:v>5.4092615999999996E-2</c:v>
                </c:pt>
                <c:pt idx="139">
                  <c:v>5.4497303999999996E-2</c:v>
                </c:pt>
                <c:pt idx="140">
                  <c:v>5.6010591999999998E-2</c:v>
                </c:pt>
                <c:pt idx="141">
                  <c:v>5.5126582E-2</c:v>
                </c:pt>
                <c:pt idx="142">
                  <c:v>5.5719545999999995E-2</c:v>
                </c:pt>
                <c:pt idx="143">
                  <c:v>5.5255525E-2</c:v>
                </c:pt>
                <c:pt idx="144">
                  <c:v>5.5424784000000005E-2</c:v>
                </c:pt>
                <c:pt idx="145">
                  <c:v>5.4426157000000003E-2</c:v>
                </c:pt>
                <c:pt idx="146">
                  <c:v>5.3482649E-2</c:v>
                </c:pt>
                <c:pt idx="147">
                  <c:v>5.3169351000000004E-2</c:v>
                </c:pt>
                <c:pt idx="148">
                  <c:v>5.2528855999999999E-2</c:v>
                </c:pt>
                <c:pt idx="149">
                  <c:v>5.0188379000000005E-2</c:v>
                </c:pt>
                <c:pt idx="150">
                  <c:v>5.0111543000000001E-2</c:v>
                </c:pt>
                <c:pt idx="151">
                  <c:v>5.1016825000000002E-2</c:v>
                </c:pt>
                <c:pt idx="152">
                  <c:v>5.0015641000000007E-2</c:v>
                </c:pt>
                <c:pt idx="153">
                  <c:v>5.0352398999999999E-2</c:v>
                </c:pt>
                <c:pt idx="154">
                  <c:v>4.9783352000000003E-2</c:v>
                </c:pt>
                <c:pt idx="155">
                  <c:v>5.0786924000000004E-2</c:v>
                </c:pt>
                <c:pt idx="156">
                  <c:v>5.2212080000000001E-2</c:v>
                </c:pt>
                <c:pt idx="157">
                  <c:v>5.2081368000000003E-2</c:v>
                </c:pt>
                <c:pt idx="158">
                  <c:v>5.2685114999999998E-2</c:v>
                </c:pt>
                <c:pt idx="159">
                  <c:v>5.3076844999999997E-2</c:v>
                </c:pt>
                <c:pt idx="160">
                  <c:v>5.2742801999999998E-2</c:v>
                </c:pt>
                <c:pt idx="161">
                  <c:v>5.2239629000000003E-2</c:v>
                </c:pt>
                <c:pt idx="162">
                  <c:v>5.3166128999999999E-2</c:v>
                </c:pt>
                <c:pt idx="163">
                  <c:v>5.1603521999999999E-2</c:v>
                </c:pt>
                <c:pt idx="164">
                  <c:v>5.0202831999999996E-2</c:v>
                </c:pt>
                <c:pt idx="165">
                  <c:v>5.2306708000000007E-2</c:v>
                </c:pt>
                <c:pt idx="166">
                  <c:v>5.0938555000000003E-2</c:v>
                </c:pt>
                <c:pt idx="167">
                  <c:v>5.1769429999999998E-2</c:v>
                </c:pt>
                <c:pt idx="168">
                  <c:v>6.3080828999999991E-2</c:v>
                </c:pt>
                <c:pt idx="169">
                  <c:v>7.0043954000000005E-2</c:v>
                </c:pt>
                <c:pt idx="170">
                  <c:v>7.4406427999999997E-2</c:v>
                </c:pt>
                <c:pt idx="171">
                  <c:v>7.4965029000000002E-2</c:v>
                </c:pt>
                <c:pt idx="172">
                  <c:v>6.8233835999999992E-2</c:v>
                </c:pt>
                <c:pt idx="173">
                  <c:v>6.9226346000000008E-2</c:v>
                </c:pt>
                <c:pt idx="174">
                  <c:v>6.9776197999999998E-2</c:v>
                </c:pt>
                <c:pt idx="175">
                  <c:v>6.7861748E-2</c:v>
                </c:pt>
                <c:pt idx="176">
                  <c:v>6.5271429000000006E-2</c:v>
                </c:pt>
                <c:pt idx="177">
                  <c:v>6.2556003999999998E-2</c:v>
                </c:pt>
                <c:pt idx="178">
                  <c:v>5.8217932E-2</c:v>
                </c:pt>
                <c:pt idx="179">
                  <c:v>5.6342951000000002E-2</c:v>
                </c:pt>
                <c:pt idx="180">
                  <c:v>5.4816117999999997E-2</c:v>
                </c:pt>
                <c:pt idx="181">
                  <c:v>5.1191553000000001E-2</c:v>
                </c:pt>
                <c:pt idx="182">
                  <c:v>5.0396124999999993E-2</c:v>
                </c:pt>
                <c:pt idx="183">
                  <c:v>4.7702656000000003E-2</c:v>
                </c:pt>
                <c:pt idx="184">
                  <c:v>4.5988781999999999E-2</c:v>
                </c:pt>
                <c:pt idx="185">
                  <c:v>4.7058384999999994E-2</c:v>
                </c:pt>
                <c:pt idx="186">
                  <c:v>5.2676646000000001E-2</c:v>
                </c:pt>
                <c:pt idx="187">
                  <c:v>4.6087727999999994E-2</c:v>
                </c:pt>
                <c:pt idx="188">
                  <c:v>4.1765540999999996E-2</c:v>
                </c:pt>
                <c:pt idx="189">
                  <c:v>4.1511753999999998E-2</c:v>
                </c:pt>
                <c:pt idx="190">
                  <c:v>4.0089984999999995E-2</c:v>
                </c:pt>
                <c:pt idx="191">
                  <c:v>3.9460627999999998E-2</c:v>
                </c:pt>
                <c:pt idx="192">
                  <c:v>3.8647254999999998E-2</c:v>
                </c:pt>
                <c:pt idx="193">
                  <c:v>3.9512961999999999E-2</c:v>
                </c:pt>
                <c:pt idx="194">
                  <c:v>3.6255220999999997E-2</c:v>
                </c:pt>
                <c:pt idx="195">
                  <c:v>3.4893087999999996E-2</c:v>
                </c:pt>
                <c:pt idx="196">
                  <c:v>3.5541112999999999E-2</c:v>
                </c:pt>
                <c:pt idx="197">
                  <c:v>3.6024058999999997E-2</c:v>
                </c:pt>
                <c:pt idx="198">
                  <c:v>3.4581004999999998E-2</c:v>
                </c:pt>
                <c:pt idx="199">
                  <c:v>3.4924369999999996E-2</c:v>
                </c:pt>
                <c:pt idx="200">
                  <c:v>3.4908098999999998E-2</c:v>
                </c:pt>
                <c:pt idx="201">
                  <c:v>3.6446367E-2</c:v>
                </c:pt>
                <c:pt idx="202">
                  <c:v>3.5828733000000001E-2</c:v>
                </c:pt>
                <c:pt idx="203">
                  <c:v>3.5503885999999998E-2</c:v>
                </c:pt>
                <c:pt idx="204">
                  <c:v>3.7205769E-2</c:v>
                </c:pt>
                <c:pt idx="205">
                  <c:v>3.5990231000000004E-2</c:v>
                </c:pt>
                <c:pt idx="206">
                  <c:v>3.5440159999999998E-2</c:v>
                </c:pt>
                <c:pt idx="207">
                  <c:v>3.7636090000000004E-2</c:v>
                </c:pt>
                <c:pt idx="208">
                  <c:v>3.7110140999999999E-2</c:v>
                </c:pt>
                <c:pt idx="209">
                  <c:v>3.5698464999999999E-2</c:v>
                </c:pt>
                <c:pt idx="210">
                  <c:v>3.8000340000000001E-2</c:v>
                </c:pt>
                <c:pt idx="211">
                  <c:v>3.9032204000000001E-2</c:v>
                </c:pt>
                <c:pt idx="212">
                  <c:v>3.9438243999999997E-2</c:v>
                </c:pt>
                <c:pt idx="213">
                  <c:v>4.0689901000000001E-2</c:v>
                </c:pt>
                <c:pt idx="214">
                  <c:v>3.7074704E-2</c:v>
                </c:pt>
                <c:pt idx="215">
                  <c:v>3.8426624E-2</c:v>
                </c:pt>
              </c:numCache>
            </c:numRef>
          </c:val>
          <c:smooth val="0"/>
          <c:extLst>
            <c:ext xmlns:c16="http://schemas.microsoft.com/office/drawing/2014/chart" uri="{C3380CC4-5D6E-409C-BE32-E72D297353CC}">
              <c16:uniqueId val="{00000001-8FB2-42A5-88E4-B492787AA71D}"/>
            </c:ext>
          </c:extLst>
        </c:ser>
        <c:dLbls>
          <c:showLegendKey val="0"/>
          <c:showVal val="0"/>
          <c:showCatName val="0"/>
          <c:showSerName val="0"/>
          <c:showPercent val="0"/>
          <c:showBubbleSize val="0"/>
        </c:dLbls>
        <c:marker val="1"/>
        <c:smooth val="0"/>
        <c:axId val="1181168464"/>
        <c:axId val="1333997152"/>
      </c:lineChart>
      <c:dateAx>
        <c:axId val="980739424"/>
        <c:scaling>
          <c:orientation val="minMax"/>
          <c:min val="38777"/>
        </c:scaling>
        <c:delete val="0"/>
        <c:axPos val="b"/>
        <c:numFmt formatCode="mmm\-yy" sourceLinked="0"/>
        <c:majorTickMark val="out"/>
        <c:minorTickMark val="none"/>
        <c:tickLblPos val="nextTo"/>
        <c:spPr>
          <a:noFill/>
          <a:ln w="9525" cap="flat" cmpd="sng" algn="ctr">
            <a:solidFill>
              <a:schemeClr val="tx1"/>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9732352"/>
        <c:crosses val="autoZero"/>
        <c:auto val="1"/>
        <c:lblOffset val="100"/>
        <c:baseTimeUnit val="months"/>
        <c:majorUnit val="1"/>
        <c:majorTimeUnit val="years"/>
      </c:dateAx>
      <c:valAx>
        <c:axId val="1289732352"/>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IVI vacancy rate</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80739424"/>
        <c:crosses val="autoZero"/>
        <c:crossBetween val="between"/>
        <c:majorUnit val="1.0000000000000002E-2"/>
      </c:valAx>
      <c:valAx>
        <c:axId val="1333997152"/>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Unemployment rate</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81168464"/>
        <c:crosses val="max"/>
        <c:crossBetween val="between"/>
        <c:majorUnit val="2.0000000000000004E-2"/>
      </c:valAx>
      <c:dateAx>
        <c:axId val="1181168464"/>
        <c:scaling>
          <c:orientation val="minMax"/>
        </c:scaling>
        <c:delete val="1"/>
        <c:axPos val="b"/>
        <c:numFmt formatCode="mmm\-yy" sourceLinked="1"/>
        <c:majorTickMark val="out"/>
        <c:minorTickMark val="none"/>
        <c:tickLblPos val="nextTo"/>
        <c:crossAx val="1333997152"/>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565658962472361E-2"/>
          <c:y val="6.947007815114957E-2"/>
          <c:w val="0.80204780241158091"/>
          <c:h val="0.67410405768726123"/>
        </c:manualLayout>
      </c:layout>
      <c:lineChart>
        <c:grouping val="standard"/>
        <c:varyColors val="0"/>
        <c:ser>
          <c:idx val="1"/>
          <c:order val="1"/>
          <c:tx>
            <c:strRef>
              <c:f>'Fig 7'!$C$6</c:f>
              <c:strCache>
                <c:ptCount val="1"/>
                <c:pt idx="0">
                  <c:v>Recruitment difficulty (REOS) - monthly (LHS)</c:v>
                </c:pt>
              </c:strCache>
            </c:strRef>
          </c:tx>
          <c:spPr>
            <a:ln w="28575" cap="rnd">
              <a:solidFill>
                <a:srgbClr val="012749"/>
              </a:solidFill>
              <a:round/>
            </a:ln>
            <a:effectLst/>
          </c:spPr>
          <c:marker>
            <c:symbol val="none"/>
          </c:marker>
          <c:cat>
            <c:numRef>
              <c:f>'Fig 7'!$A$7:$A$31</c:f>
              <c:numCache>
                <c:formatCode>mmm\-yy</c:formatCode>
                <c:ptCount val="25"/>
                <c:pt idx="0">
                  <c:v>44621</c:v>
                </c:pt>
                <c:pt idx="1">
                  <c:v>44652</c:v>
                </c:pt>
                <c:pt idx="2">
                  <c:v>44682</c:v>
                </c:pt>
                <c:pt idx="3">
                  <c:v>44713</c:v>
                </c:pt>
                <c:pt idx="4">
                  <c:v>44743</c:v>
                </c:pt>
                <c:pt idx="5">
                  <c:v>44774</c:v>
                </c:pt>
                <c:pt idx="6">
                  <c:v>44805</c:v>
                </c:pt>
                <c:pt idx="7">
                  <c:v>44835</c:v>
                </c:pt>
                <c:pt idx="8">
                  <c:v>44866</c:v>
                </c:pt>
                <c:pt idx="9">
                  <c:v>44896</c:v>
                </c:pt>
                <c:pt idx="10">
                  <c:v>44927</c:v>
                </c:pt>
                <c:pt idx="11">
                  <c:v>44958</c:v>
                </c:pt>
                <c:pt idx="12">
                  <c:v>44986</c:v>
                </c:pt>
                <c:pt idx="13">
                  <c:v>45017</c:v>
                </c:pt>
                <c:pt idx="14">
                  <c:v>45047</c:v>
                </c:pt>
                <c:pt idx="15">
                  <c:v>45078</c:v>
                </c:pt>
                <c:pt idx="16">
                  <c:v>45108</c:v>
                </c:pt>
                <c:pt idx="17">
                  <c:v>45139</c:v>
                </c:pt>
                <c:pt idx="18">
                  <c:v>45170</c:v>
                </c:pt>
                <c:pt idx="19">
                  <c:v>45200</c:v>
                </c:pt>
                <c:pt idx="20">
                  <c:v>45231</c:v>
                </c:pt>
                <c:pt idx="21">
                  <c:v>45261</c:v>
                </c:pt>
                <c:pt idx="22">
                  <c:v>45292</c:v>
                </c:pt>
                <c:pt idx="23">
                  <c:v>45323</c:v>
                </c:pt>
                <c:pt idx="24">
                  <c:v>45352</c:v>
                </c:pt>
              </c:numCache>
            </c:numRef>
          </c:cat>
          <c:val>
            <c:numRef>
              <c:f>'Fig 7'!$C$7:$C$31</c:f>
              <c:numCache>
                <c:formatCode>0%</c:formatCode>
                <c:ptCount val="25"/>
                <c:pt idx="0">
                  <c:v>0.64</c:v>
                </c:pt>
                <c:pt idx="1">
                  <c:v>0.64</c:v>
                </c:pt>
                <c:pt idx="2">
                  <c:v>0.68</c:v>
                </c:pt>
                <c:pt idx="3">
                  <c:v>0.67</c:v>
                </c:pt>
                <c:pt idx="4">
                  <c:v>0.75</c:v>
                </c:pt>
                <c:pt idx="5">
                  <c:v>0.74</c:v>
                </c:pt>
                <c:pt idx="6">
                  <c:v>0.67</c:v>
                </c:pt>
                <c:pt idx="7">
                  <c:v>0.7</c:v>
                </c:pt>
                <c:pt idx="8">
                  <c:v>0.69</c:v>
                </c:pt>
                <c:pt idx="9">
                  <c:v>0.65</c:v>
                </c:pt>
                <c:pt idx="10">
                  <c:v>0.56000000000000005</c:v>
                </c:pt>
                <c:pt idx="11">
                  <c:v>0.61</c:v>
                </c:pt>
                <c:pt idx="12">
                  <c:v>0.64</c:v>
                </c:pt>
                <c:pt idx="13">
                  <c:v>0.62</c:v>
                </c:pt>
                <c:pt idx="14">
                  <c:v>0.67</c:v>
                </c:pt>
                <c:pt idx="15">
                  <c:v>0.63</c:v>
                </c:pt>
                <c:pt idx="16">
                  <c:v>0.59</c:v>
                </c:pt>
                <c:pt idx="17">
                  <c:v>0.61</c:v>
                </c:pt>
                <c:pt idx="18">
                  <c:v>0.59</c:v>
                </c:pt>
                <c:pt idx="19">
                  <c:v>0.56000000000000005</c:v>
                </c:pt>
                <c:pt idx="20">
                  <c:v>0.56000000000000005</c:v>
                </c:pt>
                <c:pt idx="21">
                  <c:v>0.51</c:v>
                </c:pt>
                <c:pt idx="22">
                  <c:v>0.55000000000000004</c:v>
                </c:pt>
                <c:pt idx="23">
                  <c:v>0.54</c:v>
                </c:pt>
                <c:pt idx="24">
                  <c:v>0.5</c:v>
                </c:pt>
              </c:numCache>
            </c:numRef>
          </c:val>
          <c:smooth val="0"/>
          <c:extLst>
            <c:ext xmlns:c16="http://schemas.microsoft.com/office/drawing/2014/chart" uri="{C3380CC4-5D6E-409C-BE32-E72D297353CC}">
              <c16:uniqueId val="{00000000-39D3-43B5-BE91-6E9422132CCC}"/>
            </c:ext>
          </c:extLst>
        </c:ser>
        <c:ser>
          <c:idx val="2"/>
          <c:order val="2"/>
          <c:tx>
            <c:strRef>
              <c:f>'Fig 7'!$D$6</c:f>
              <c:strCache>
                <c:ptCount val="1"/>
                <c:pt idx="0">
                  <c:v>Fill rate (SERA) - quarterly (LHS)</c:v>
                </c:pt>
              </c:strCache>
            </c:strRef>
          </c:tx>
          <c:spPr>
            <a:ln w="28575" cap="rnd">
              <a:solidFill>
                <a:srgbClr val="6929C4"/>
              </a:solidFill>
              <a:round/>
            </a:ln>
            <a:effectLst/>
          </c:spPr>
          <c:marker>
            <c:symbol val="none"/>
          </c:marker>
          <c:cat>
            <c:numRef>
              <c:f>'Fig 7'!$A$7:$A$31</c:f>
              <c:numCache>
                <c:formatCode>mmm\-yy</c:formatCode>
                <c:ptCount val="25"/>
                <c:pt idx="0">
                  <c:v>44621</c:v>
                </c:pt>
                <c:pt idx="1">
                  <c:v>44652</c:v>
                </c:pt>
                <c:pt idx="2">
                  <c:v>44682</c:v>
                </c:pt>
                <c:pt idx="3">
                  <c:v>44713</c:v>
                </c:pt>
                <c:pt idx="4">
                  <c:v>44743</c:v>
                </c:pt>
                <c:pt idx="5">
                  <c:v>44774</c:v>
                </c:pt>
                <c:pt idx="6">
                  <c:v>44805</c:v>
                </c:pt>
                <c:pt idx="7">
                  <c:v>44835</c:v>
                </c:pt>
                <c:pt idx="8">
                  <c:v>44866</c:v>
                </c:pt>
                <c:pt idx="9">
                  <c:v>44896</c:v>
                </c:pt>
                <c:pt idx="10">
                  <c:v>44927</c:v>
                </c:pt>
                <c:pt idx="11">
                  <c:v>44958</c:v>
                </c:pt>
                <c:pt idx="12">
                  <c:v>44986</c:v>
                </c:pt>
                <c:pt idx="13">
                  <c:v>45017</c:v>
                </c:pt>
                <c:pt idx="14">
                  <c:v>45047</c:v>
                </c:pt>
                <c:pt idx="15">
                  <c:v>45078</c:v>
                </c:pt>
                <c:pt idx="16">
                  <c:v>45108</c:v>
                </c:pt>
                <c:pt idx="17">
                  <c:v>45139</c:v>
                </c:pt>
                <c:pt idx="18">
                  <c:v>45170</c:v>
                </c:pt>
                <c:pt idx="19">
                  <c:v>45200</c:v>
                </c:pt>
                <c:pt idx="20">
                  <c:v>45231</c:v>
                </c:pt>
                <c:pt idx="21">
                  <c:v>45261</c:v>
                </c:pt>
                <c:pt idx="22">
                  <c:v>45292</c:v>
                </c:pt>
                <c:pt idx="23">
                  <c:v>45323</c:v>
                </c:pt>
                <c:pt idx="24">
                  <c:v>45352</c:v>
                </c:pt>
              </c:numCache>
            </c:numRef>
          </c:cat>
          <c:val>
            <c:numRef>
              <c:f>'Fig 7'!$D$7:$D$31</c:f>
              <c:numCache>
                <c:formatCode>General</c:formatCode>
                <c:ptCount val="25"/>
                <c:pt idx="0" formatCode="0.0%">
                  <c:v>0.597111858190709</c:v>
                </c:pt>
                <c:pt idx="3" formatCode="0.0%">
                  <c:v>0.5951591277962035</c:v>
                </c:pt>
                <c:pt idx="6" formatCode="0.0%">
                  <c:v>0.58049609242269795</c:v>
                </c:pt>
                <c:pt idx="9" formatCode="0.0%">
                  <c:v>0.58494758036520167</c:v>
                </c:pt>
                <c:pt idx="12" formatCode="0.0%">
                  <c:v>0.60165916760404947</c:v>
                </c:pt>
                <c:pt idx="15" formatCode="0.0%">
                  <c:v>0.61367775005058345</c:v>
                </c:pt>
                <c:pt idx="18" formatCode="0.0%">
                  <c:v>0.62063436737539213</c:v>
                </c:pt>
                <c:pt idx="21" formatCode="0.0%">
                  <c:v>0.63456130483689543</c:v>
                </c:pt>
                <c:pt idx="24" formatCode="0.0%">
                  <c:v>0.64342277235334822</c:v>
                </c:pt>
              </c:numCache>
            </c:numRef>
          </c:val>
          <c:smooth val="0"/>
          <c:extLst>
            <c:ext xmlns:c16="http://schemas.microsoft.com/office/drawing/2014/chart" uri="{C3380CC4-5D6E-409C-BE32-E72D297353CC}">
              <c16:uniqueId val="{00000001-39D3-43B5-BE91-6E9422132CCC}"/>
            </c:ext>
          </c:extLst>
        </c:ser>
        <c:dLbls>
          <c:showLegendKey val="0"/>
          <c:showVal val="0"/>
          <c:showCatName val="0"/>
          <c:showSerName val="0"/>
          <c:showPercent val="0"/>
          <c:showBubbleSize val="0"/>
        </c:dLbls>
        <c:marker val="1"/>
        <c:smooth val="0"/>
        <c:axId val="932218352"/>
        <c:axId val="932219184"/>
      </c:lineChart>
      <c:lineChart>
        <c:grouping val="standard"/>
        <c:varyColors val="0"/>
        <c:ser>
          <c:idx val="0"/>
          <c:order val="0"/>
          <c:tx>
            <c:strRef>
              <c:f>'Fig 7'!$B$6</c:f>
              <c:strCache>
                <c:ptCount val="1"/>
                <c:pt idx="0">
                  <c:v>Internet vacancies (IVI) - monthly (RHS)</c:v>
                </c:pt>
              </c:strCache>
            </c:strRef>
          </c:tx>
          <c:spPr>
            <a:ln w="28575" cap="rnd">
              <a:solidFill>
                <a:srgbClr val="009D9A"/>
              </a:solidFill>
              <a:round/>
            </a:ln>
            <a:effectLst/>
          </c:spPr>
          <c:marker>
            <c:symbol val="none"/>
          </c:marker>
          <c:cat>
            <c:numRef>
              <c:f>'Fig 7'!$A$7:$A$31</c:f>
              <c:numCache>
                <c:formatCode>mmm\-yy</c:formatCode>
                <c:ptCount val="25"/>
                <c:pt idx="0">
                  <c:v>44621</c:v>
                </c:pt>
                <c:pt idx="1">
                  <c:v>44652</c:v>
                </c:pt>
                <c:pt idx="2">
                  <c:v>44682</c:v>
                </c:pt>
                <c:pt idx="3">
                  <c:v>44713</c:v>
                </c:pt>
                <c:pt idx="4">
                  <c:v>44743</c:v>
                </c:pt>
                <c:pt idx="5">
                  <c:v>44774</c:v>
                </c:pt>
                <c:pt idx="6">
                  <c:v>44805</c:v>
                </c:pt>
                <c:pt idx="7">
                  <c:v>44835</c:v>
                </c:pt>
                <c:pt idx="8">
                  <c:v>44866</c:v>
                </c:pt>
                <c:pt idx="9">
                  <c:v>44896</c:v>
                </c:pt>
                <c:pt idx="10">
                  <c:v>44927</c:v>
                </c:pt>
                <c:pt idx="11">
                  <c:v>44958</c:v>
                </c:pt>
                <c:pt idx="12">
                  <c:v>44986</c:v>
                </c:pt>
                <c:pt idx="13">
                  <c:v>45017</c:v>
                </c:pt>
                <c:pt idx="14">
                  <c:v>45047</c:v>
                </c:pt>
                <c:pt idx="15">
                  <c:v>45078</c:v>
                </c:pt>
                <c:pt idx="16">
                  <c:v>45108</c:v>
                </c:pt>
                <c:pt idx="17">
                  <c:v>45139</c:v>
                </c:pt>
                <c:pt idx="18">
                  <c:v>45170</c:v>
                </c:pt>
                <c:pt idx="19">
                  <c:v>45200</c:v>
                </c:pt>
                <c:pt idx="20">
                  <c:v>45231</c:v>
                </c:pt>
                <c:pt idx="21">
                  <c:v>45261</c:v>
                </c:pt>
                <c:pt idx="22">
                  <c:v>45292</c:v>
                </c:pt>
                <c:pt idx="23">
                  <c:v>45323</c:v>
                </c:pt>
                <c:pt idx="24">
                  <c:v>45352</c:v>
                </c:pt>
              </c:numCache>
            </c:numRef>
          </c:cat>
          <c:val>
            <c:numRef>
              <c:f>'Fig 7'!$B$7:$B$31</c:f>
              <c:numCache>
                <c:formatCode>#,##0</c:formatCode>
                <c:ptCount val="25"/>
                <c:pt idx="0">
                  <c:v>285122.99200000003</c:v>
                </c:pt>
                <c:pt idx="1">
                  <c:v>289989.55099999998</c:v>
                </c:pt>
                <c:pt idx="2">
                  <c:v>295669.29100000003</c:v>
                </c:pt>
                <c:pt idx="3">
                  <c:v>303421.18800000002</c:v>
                </c:pt>
                <c:pt idx="4">
                  <c:v>291634.42300000001</c:v>
                </c:pt>
                <c:pt idx="5">
                  <c:v>294965.59000000003</c:v>
                </c:pt>
                <c:pt idx="6">
                  <c:v>282231.65000000002</c:v>
                </c:pt>
                <c:pt idx="7">
                  <c:v>285515.34299999999</c:v>
                </c:pt>
                <c:pt idx="8">
                  <c:v>276577.15399999998</c:v>
                </c:pt>
                <c:pt idx="9">
                  <c:v>276185.65700000001</c:v>
                </c:pt>
                <c:pt idx="10">
                  <c:v>282056.94</c:v>
                </c:pt>
                <c:pt idx="11">
                  <c:v>284752.55900000001</c:v>
                </c:pt>
                <c:pt idx="12">
                  <c:v>284225.12099999998</c:v>
                </c:pt>
                <c:pt idx="13">
                  <c:v>291253.20600000001</c:v>
                </c:pt>
                <c:pt idx="14">
                  <c:v>282929.679</c:v>
                </c:pt>
                <c:pt idx="15">
                  <c:v>276381.54200000002</c:v>
                </c:pt>
                <c:pt idx="16">
                  <c:v>279410.196</c:v>
                </c:pt>
                <c:pt idx="17">
                  <c:v>275713.60399999999</c:v>
                </c:pt>
                <c:pt idx="18">
                  <c:v>269023.95600000001</c:v>
                </c:pt>
                <c:pt idx="19">
                  <c:v>258663.58499999999</c:v>
                </c:pt>
                <c:pt idx="20">
                  <c:v>258173.22700000001</c:v>
                </c:pt>
                <c:pt idx="21">
                  <c:v>259528.98199999999</c:v>
                </c:pt>
                <c:pt idx="22">
                  <c:v>254453.796</c:v>
                </c:pt>
                <c:pt idx="23">
                  <c:v>248550.66399999999</c:v>
                </c:pt>
                <c:pt idx="24">
                  <c:v>248950.19399999999</c:v>
                </c:pt>
              </c:numCache>
            </c:numRef>
          </c:val>
          <c:smooth val="0"/>
          <c:extLst>
            <c:ext xmlns:c16="http://schemas.microsoft.com/office/drawing/2014/chart" uri="{C3380CC4-5D6E-409C-BE32-E72D297353CC}">
              <c16:uniqueId val="{00000002-39D3-43B5-BE91-6E9422132CCC}"/>
            </c:ext>
          </c:extLst>
        </c:ser>
        <c:dLbls>
          <c:showLegendKey val="0"/>
          <c:showVal val="0"/>
          <c:showCatName val="0"/>
          <c:showSerName val="0"/>
          <c:showPercent val="0"/>
          <c:showBubbleSize val="0"/>
        </c:dLbls>
        <c:marker val="1"/>
        <c:smooth val="0"/>
        <c:axId val="855454288"/>
        <c:axId val="855463856"/>
      </c:lineChart>
      <c:dateAx>
        <c:axId val="932218352"/>
        <c:scaling>
          <c:orientation val="minMax"/>
        </c:scaling>
        <c:delete val="0"/>
        <c:axPos val="b"/>
        <c:numFmt formatCode="mmm\-yy" sourceLinked="1"/>
        <c:majorTickMark val="out"/>
        <c:minorTickMark val="none"/>
        <c:tickLblPos val="nextTo"/>
        <c:spPr>
          <a:noFill/>
          <a:ln w="9525" cap="flat" cmpd="sng" algn="ctr">
            <a:solidFill>
              <a:schemeClr val="tx1"/>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932219184"/>
        <c:crosses val="autoZero"/>
        <c:auto val="1"/>
        <c:lblOffset val="100"/>
        <c:baseTimeUnit val="months"/>
        <c:majorUnit val="3"/>
        <c:majorTimeUnit val="months"/>
      </c:dateAx>
      <c:valAx>
        <c:axId val="932219184"/>
        <c:scaling>
          <c:orientation val="minMax"/>
          <c:max val="0.9"/>
          <c:min val="0.30000000000000004"/>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Rate</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32218352"/>
        <c:crosses val="autoZero"/>
        <c:crossBetween val="between"/>
      </c:valAx>
      <c:valAx>
        <c:axId val="855463856"/>
        <c:scaling>
          <c:orientation val="minMax"/>
          <c:max val="350000"/>
          <c:min val="200000"/>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'000s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55454288"/>
        <c:crosses val="max"/>
        <c:crossBetween val="between"/>
        <c:majorUnit val="20000"/>
        <c:dispUnits>
          <c:builtInUnit val="thousands"/>
        </c:dispUnits>
      </c:valAx>
      <c:dateAx>
        <c:axId val="855454288"/>
        <c:scaling>
          <c:orientation val="minMax"/>
        </c:scaling>
        <c:delete val="1"/>
        <c:axPos val="b"/>
        <c:numFmt formatCode="mmm\-yy" sourceLinked="1"/>
        <c:majorTickMark val="out"/>
        <c:minorTickMark val="none"/>
        <c:tickLblPos val="nextTo"/>
        <c:crossAx val="855463856"/>
        <c:crosses val="autoZero"/>
        <c:auto val="1"/>
        <c:lblOffset val="100"/>
        <c:baseTimeUnit val="months"/>
        <c:majorUnit val="1"/>
        <c:minorUnit val="1"/>
      </c:dateAx>
      <c:spPr>
        <a:noFill/>
        <a:ln>
          <a:noFill/>
        </a:ln>
        <a:effectLst/>
      </c:spPr>
    </c:plotArea>
    <c:legend>
      <c:legendPos val="b"/>
      <c:layout>
        <c:manualLayout>
          <c:xMode val="edge"/>
          <c:yMode val="edge"/>
          <c:x val="6.7969291629101314E-2"/>
          <c:y val="0.88444240706739163"/>
          <c:w val="0.92872235413486626"/>
          <c:h val="0.1009420091176548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74426807308822E-2"/>
          <c:y val="3.1432458734944803E-2"/>
          <c:w val="0.78573993655407948"/>
          <c:h val="0.78026419802839608"/>
        </c:manualLayout>
      </c:layout>
      <c:barChart>
        <c:barDir val="col"/>
        <c:grouping val="clustered"/>
        <c:varyColors val="0"/>
        <c:ser>
          <c:idx val="1"/>
          <c:order val="1"/>
          <c:tx>
            <c:strRef>
              <c:f>'Fig 8'!$C$3</c:f>
              <c:strCache>
                <c:ptCount val="1"/>
                <c:pt idx="0">
                  <c:v>Applicants per vacancy (LHS)</c:v>
                </c:pt>
              </c:strCache>
            </c:strRef>
          </c:tx>
          <c:spPr>
            <a:solidFill>
              <a:srgbClr val="009D9A"/>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8'!$A$4:$A$8</c:f>
              <c:strCache>
                <c:ptCount val="5"/>
                <c:pt idx="0">
                  <c:v>Q1 2023</c:v>
                </c:pt>
                <c:pt idx="1">
                  <c:v>Q2 2023</c:v>
                </c:pt>
                <c:pt idx="2">
                  <c:v>Q3 2023</c:v>
                </c:pt>
                <c:pt idx="3">
                  <c:v>Q4 2023</c:v>
                </c:pt>
                <c:pt idx="4">
                  <c:v>Q1 2024</c:v>
                </c:pt>
              </c:strCache>
            </c:strRef>
          </c:cat>
          <c:val>
            <c:numRef>
              <c:f>'Fig 8'!$C$4:$C$8</c:f>
              <c:numCache>
                <c:formatCode>0.0</c:formatCode>
                <c:ptCount val="5"/>
                <c:pt idx="0">
                  <c:v>14.66310461192351</c:v>
                </c:pt>
                <c:pt idx="1">
                  <c:v>15.982801645646456</c:v>
                </c:pt>
                <c:pt idx="2">
                  <c:v>17.007598466364588</c:v>
                </c:pt>
                <c:pt idx="3">
                  <c:v>18.281003937007874</c:v>
                </c:pt>
                <c:pt idx="4">
                  <c:v>20.556238948258631</c:v>
                </c:pt>
              </c:numCache>
            </c:numRef>
          </c:val>
          <c:extLst>
            <c:ext xmlns:c16="http://schemas.microsoft.com/office/drawing/2014/chart" uri="{C3380CC4-5D6E-409C-BE32-E72D297353CC}">
              <c16:uniqueId val="{00000000-FD68-430E-86D4-304AA7277DCD}"/>
            </c:ext>
          </c:extLst>
        </c:ser>
        <c:ser>
          <c:idx val="2"/>
          <c:order val="2"/>
          <c:tx>
            <c:strRef>
              <c:f>'Fig 8'!$D$3</c:f>
              <c:strCache>
                <c:ptCount val="1"/>
                <c:pt idx="0">
                  <c:v>Suitable applicants per vacancy (LHS)</c:v>
                </c:pt>
              </c:strCache>
            </c:strRef>
          </c:tx>
          <c:spPr>
            <a:solidFill>
              <a:srgbClr val="01274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8'!$A$4:$A$8</c:f>
              <c:strCache>
                <c:ptCount val="5"/>
                <c:pt idx="0">
                  <c:v>Q1 2023</c:v>
                </c:pt>
                <c:pt idx="1">
                  <c:v>Q2 2023</c:v>
                </c:pt>
                <c:pt idx="2">
                  <c:v>Q3 2023</c:v>
                </c:pt>
                <c:pt idx="3">
                  <c:v>Q4 2023</c:v>
                </c:pt>
                <c:pt idx="4">
                  <c:v>Q1 2024</c:v>
                </c:pt>
              </c:strCache>
            </c:strRef>
          </c:cat>
          <c:val>
            <c:numRef>
              <c:f>'Fig 8'!$D$4:$D$8</c:f>
              <c:numCache>
                <c:formatCode>0.0</c:formatCode>
                <c:ptCount val="5"/>
                <c:pt idx="0">
                  <c:v>2.4371484814398201</c:v>
                </c:pt>
                <c:pt idx="1">
                  <c:v>2.5912861671275378</c:v>
                </c:pt>
                <c:pt idx="2">
                  <c:v>2.6365284071104913</c:v>
                </c:pt>
                <c:pt idx="3">
                  <c:v>2.6612064116985379</c:v>
                </c:pt>
                <c:pt idx="4">
                  <c:v>2.8315522411009457</c:v>
                </c:pt>
              </c:numCache>
            </c:numRef>
          </c:val>
          <c:extLst>
            <c:ext xmlns:c16="http://schemas.microsoft.com/office/drawing/2014/chart" uri="{C3380CC4-5D6E-409C-BE32-E72D297353CC}">
              <c16:uniqueId val="{00000001-FD68-430E-86D4-304AA7277DCD}"/>
            </c:ext>
          </c:extLst>
        </c:ser>
        <c:dLbls>
          <c:showLegendKey val="0"/>
          <c:showVal val="0"/>
          <c:showCatName val="0"/>
          <c:showSerName val="0"/>
          <c:showPercent val="0"/>
          <c:showBubbleSize val="0"/>
        </c:dLbls>
        <c:gapWidth val="180"/>
        <c:axId val="1336426560"/>
        <c:axId val="1767442272"/>
      </c:barChart>
      <c:lineChart>
        <c:grouping val="stacked"/>
        <c:varyColors val="0"/>
        <c:ser>
          <c:idx val="0"/>
          <c:order val="0"/>
          <c:tx>
            <c:strRef>
              <c:f>'Fig 8'!$B$3</c:f>
              <c:strCache>
                <c:ptCount val="1"/>
                <c:pt idx="0">
                  <c:v>Proportion of vacancies filled (RHS)</c:v>
                </c:pt>
              </c:strCache>
            </c:strRef>
          </c:tx>
          <c:spPr>
            <a:ln w="28575" cap="rnd">
              <a:noFill/>
              <a:round/>
            </a:ln>
            <a:effectLst/>
          </c:spPr>
          <c:marker>
            <c:symbol val="dash"/>
            <c:size val="22"/>
            <c:spPr>
              <a:solidFill>
                <a:srgbClr val="6929C4"/>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8'!$A$4:$A$8</c:f>
              <c:strCache>
                <c:ptCount val="5"/>
                <c:pt idx="0">
                  <c:v>Q1 2023</c:v>
                </c:pt>
                <c:pt idx="1">
                  <c:v>Q2 2023</c:v>
                </c:pt>
                <c:pt idx="2">
                  <c:v>Q3 2023</c:v>
                </c:pt>
                <c:pt idx="3">
                  <c:v>Q4 2023</c:v>
                </c:pt>
                <c:pt idx="4">
                  <c:v>Q1 2024</c:v>
                </c:pt>
              </c:strCache>
            </c:strRef>
          </c:cat>
          <c:val>
            <c:numRef>
              <c:f>'Fig 8'!$B$4:$B$8</c:f>
              <c:numCache>
                <c:formatCode>0.0%</c:formatCode>
                <c:ptCount val="5"/>
                <c:pt idx="0">
                  <c:v>0.60165916760404947</c:v>
                </c:pt>
                <c:pt idx="1">
                  <c:v>0.61367775005058345</c:v>
                </c:pt>
                <c:pt idx="2">
                  <c:v>0.62063436737539213</c:v>
                </c:pt>
                <c:pt idx="3">
                  <c:v>0.63456130483689543</c:v>
                </c:pt>
                <c:pt idx="4">
                  <c:v>0.64342277235334822</c:v>
                </c:pt>
              </c:numCache>
            </c:numRef>
          </c:val>
          <c:smooth val="0"/>
          <c:extLst>
            <c:ext xmlns:c16="http://schemas.microsoft.com/office/drawing/2014/chart" uri="{C3380CC4-5D6E-409C-BE32-E72D297353CC}">
              <c16:uniqueId val="{00000002-FD68-430E-86D4-304AA7277DCD}"/>
            </c:ext>
          </c:extLst>
        </c:ser>
        <c:dLbls>
          <c:showLegendKey val="0"/>
          <c:showVal val="0"/>
          <c:showCatName val="0"/>
          <c:showSerName val="0"/>
          <c:showPercent val="0"/>
          <c:showBubbleSize val="0"/>
        </c:dLbls>
        <c:marker val="1"/>
        <c:smooth val="0"/>
        <c:axId val="420370976"/>
        <c:axId val="1909028384"/>
      </c:lineChart>
      <c:catAx>
        <c:axId val="1336426560"/>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7442272"/>
        <c:crosses val="autoZero"/>
        <c:auto val="1"/>
        <c:lblAlgn val="ctr"/>
        <c:lblOffset val="100"/>
        <c:noMultiLvlLbl val="0"/>
      </c:catAx>
      <c:valAx>
        <c:axId val="1767442272"/>
        <c:scaling>
          <c:orientation val="minMax"/>
          <c:max val="3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a:t>Applicants (no.)</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36426560"/>
        <c:crosses val="autoZero"/>
        <c:crossBetween val="between"/>
      </c:valAx>
      <c:valAx>
        <c:axId val="1909028384"/>
        <c:scaling>
          <c:orientation val="minMax"/>
          <c:max val="0.8"/>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a:t>Fill rate</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0370976"/>
        <c:crosses val="max"/>
        <c:crossBetween val="between"/>
      </c:valAx>
      <c:catAx>
        <c:axId val="420370976"/>
        <c:scaling>
          <c:orientation val="minMax"/>
        </c:scaling>
        <c:delete val="1"/>
        <c:axPos val="b"/>
        <c:numFmt formatCode="General" sourceLinked="1"/>
        <c:majorTickMark val="out"/>
        <c:minorTickMark val="none"/>
        <c:tickLblPos val="nextTo"/>
        <c:crossAx val="1909028384"/>
        <c:crosses val="autoZero"/>
        <c:auto val="1"/>
        <c:lblAlgn val="ctr"/>
        <c:lblOffset val="100"/>
        <c:noMultiLvlLbl val="0"/>
      </c:catAx>
      <c:spPr>
        <a:noFill/>
        <a:ln>
          <a:noFill/>
        </a:ln>
        <a:effectLst/>
      </c:spPr>
    </c:plotArea>
    <c:legend>
      <c:legendPos val="b"/>
      <c:layout>
        <c:manualLayout>
          <c:xMode val="edge"/>
          <c:yMode val="edge"/>
          <c:x val="9.380456155851806E-2"/>
          <c:y val="0.88946536556905498"/>
          <c:w val="0.80358999679495491"/>
          <c:h val="9.231416677227523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'I:\LMM Branch\ERSA\6. Briefings and Requests\2024\LMU - Dec 23 edition\Data files\[Quarterly chart builder1 Dec Quarter 2023.xlsx]Output - State data'!$E$21</c:f>
              <c:strCache>
                <c:ptCount val="1"/>
                <c:pt idx="0">
                  <c:v>Mar qtr 2023</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9'!$A$7:$A$12</c:f>
              <c:strCache>
                <c:ptCount val="6"/>
                <c:pt idx="0">
                  <c:v>New South Wales</c:v>
                </c:pt>
                <c:pt idx="1">
                  <c:v>Victoria</c:v>
                </c:pt>
                <c:pt idx="2">
                  <c:v>Queensland</c:v>
                </c:pt>
                <c:pt idx="3">
                  <c:v>South Australia</c:v>
                </c:pt>
                <c:pt idx="4">
                  <c:v>Western Australia</c:v>
                </c:pt>
                <c:pt idx="5">
                  <c:v>Tasmania</c:v>
                </c:pt>
              </c:strCache>
            </c:strRef>
          </c:cat>
          <c:val>
            <c:numRef>
              <c:f>'[1]Output - State data'!$E$22:$E$27</c:f>
              <c:numCache>
                <c:formatCode>General</c:formatCode>
                <c:ptCount val="6"/>
                <c:pt idx="0">
                  <c:v>0.56999999999999995</c:v>
                </c:pt>
                <c:pt idx="1">
                  <c:v>0.53</c:v>
                </c:pt>
                <c:pt idx="2">
                  <c:v>0.6</c:v>
                </c:pt>
                <c:pt idx="3">
                  <c:v>0.49</c:v>
                </c:pt>
                <c:pt idx="4">
                  <c:v>0.53</c:v>
                </c:pt>
                <c:pt idx="5">
                  <c:v>0.5</c:v>
                </c:pt>
              </c:numCache>
            </c:numRef>
          </c:val>
          <c:extLst>
            <c:ext xmlns:c16="http://schemas.microsoft.com/office/drawing/2014/chart" uri="{C3380CC4-5D6E-409C-BE32-E72D297353CC}">
              <c16:uniqueId val="{00000000-E829-418F-8055-AE17BB1E2C59}"/>
            </c:ext>
          </c:extLst>
        </c:ser>
        <c:ser>
          <c:idx val="2"/>
          <c:order val="1"/>
          <c:tx>
            <c:strRef>
              <c:f>'I:\LMM Branch\ERSA\6. Briefings and Requests\2024\LMU - Dec 23 edition\Data files\[Quarterly chart builder1 Dec Quarter 2023.xlsx]Output - State data'!$F$21</c:f>
              <c:strCache>
                <c:ptCount val="1"/>
                <c:pt idx="0">
                  <c:v>June qtr 2023</c:v>
                </c:pt>
              </c:strCache>
            </c:strRef>
          </c:tx>
          <c:spPr>
            <a:solidFill>
              <a:schemeClr val="accent2"/>
            </a:solidFill>
            <a:ln>
              <a:noFill/>
            </a:ln>
            <a:effectLst/>
          </c:spPr>
          <c:invertIfNegative val="0"/>
          <c:cat>
            <c:strRef>
              <c:f>'Figure 9'!$A$7:$A$12</c:f>
              <c:strCache>
                <c:ptCount val="6"/>
                <c:pt idx="0">
                  <c:v>New South Wales</c:v>
                </c:pt>
                <c:pt idx="1">
                  <c:v>Victoria</c:v>
                </c:pt>
                <c:pt idx="2">
                  <c:v>Queensland</c:v>
                </c:pt>
                <c:pt idx="3">
                  <c:v>South Australia</c:v>
                </c:pt>
                <c:pt idx="4">
                  <c:v>Western Australia</c:v>
                </c:pt>
                <c:pt idx="5">
                  <c:v>Tasmania</c:v>
                </c:pt>
              </c:strCache>
            </c:strRef>
          </c:cat>
          <c:val>
            <c:numRef>
              <c:f>'[1]Output - State data'!$F$22:$F$27</c:f>
              <c:numCache>
                <c:formatCode>General</c:formatCode>
                <c:ptCount val="6"/>
                <c:pt idx="0">
                  <c:v>0.48</c:v>
                </c:pt>
                <c:pt idx="1">
                  <c:v>0.47</c:v>
                </c:pt>
                <c:pt idx="2">
                  <c:v>0.56000000000000005</c:v>
                </c:pt>
                <c:pt idx="3">
                  <c:v>0.44</c:v>
                </c:pt>
                <c:pt idx="4">
                  <c:v>0.5</c:v>
                </c:pt>
                <c:pt idx="5">
                  <c:v>0.43</c:v>
                </c:pt>
              </c:numCache>
            </c:numRef>
          </c:val>
          <c:extLst>
            <c:ext xmlns:c16="http://schemas.microsoft.com/office/drawing/2014/chart" uri="{C3380CC4-5D6E-409C-BE32-E72D297353CC}">
              <c16:uniqueId val="{00000001-E829-418F-8055-AE17BB1E2C59}"/>
            </c:ext>
          </c:extLst>
        </c:ser>
        <c:ser>
          <c:idx val="3"/>
          <c:order val="2"/>
          <c:tx>
            <c:strRef>
              <c:f>'I:\LMM Branch\ERSA\6. Briefings and Requests\2024\LMU - Dec 23 edition\Data files\[Quarterly chart builder1 Dec Quarter 2023.xlsx]Output - State data'!$G$21</c:f>
              <c:strCache>
                <c:ptCount val="1"/>
                <c:pt idx="0">
                  <c:v>Sept qtr 2023</c:v>
                </c:pt>
              </c:strCache>
            </c:strRef>
          </c:tx>
          <c:spPr>
            <a:solidFill>
              <a:schemeClr val="accent3"/>
            </a:solidFill>
            <a:ln>
              <a:noFill/>
            </a:ln>
            <a:effectLst/>
          </c:spPr>
          <c:invertIfNegative val="0"/>
          <c:cat>
            <c:strRef>
              <c:f>'Figure 9'!$A$7:$A$12</c:f>
              <c:strCache>
                <c:ptCount val="6"/>
                <c:pt idx="0">
                  <c:v>New South Wales</c:v>
                </c:pt>
                <c:pt idx="1">
                  <c:v>Victoria</c:v>
                </c:pt>
                <c:pt idx="2">
                  <c:v>Queensland</c:v>
                </c:pt>
                <c:pt idx="3">
                  <c:v>South Australia</c:v>
                </c:pt>
                <c:pt idx="4">
                  <c:v>Western Australia</c:v>
                </c:pt>
                <c:pt idx="5">
                  <c:v>Tasmania</c:v>
                </c:pt>
              </c:strCache>
            </c:strRef>
          </c:cat>
          <c:val>
            <c:numRef>
              <c:f>'[1]Output - State data'!$G$22:$G$27</c:f>
              <c:numCache>
                <c:formatCode>General</c:formatCode>
                <c:ptCount val="6"/>
                <c:pt idx="0">
                  <c:v>0.48</c:v>
                </c:pt>
                <c:pt idx="1">
                  <c:v>0.43</c:v>
                </c:pt>
                <c:pt idx="2">
                  <c:v>0.54</c:v>
                </c:pt>
                <c:pt idx="3">
                  <c:v>0.47</c:v>
                </c:pt>
                <c:pt idx="4">
                  <c:v>0.55000000000000004</c:v>
                </c:pt>
                <c:pt idx="5">
                  <c:v>0.44</c:v>
                </c:pt>
              </c:numCache>
            </c:numRef>
          </c:val>
          <c:extLst>
            <c:ext xmlns:c16="http://schemas.microsoft.com/office/drawing/2014/chart" uri="{C3380CC4-5D6E-409C-BE32-E72D297353CC}">
              <c16:uniqueId val="{00000002-E829-418F-8055-AE17BB1E2C59}"/>
            </c:ext>
          </c:extLst>
        </c:ser>
        <c:ser>
          <c:idx val="4"/>
          <c:order val="3"/>
          <c:tx>
            <c:strRef>
              <c:f>'I:\LMM Branch\ERSA\6. Briefings and Requests\2024\LMU - Dec 23 edition\Data files\[Quarterly chart builder1 Dec Quarter 2023.xlsx]Output - State data'!$H$21</c:f>
              <c:strCache>
                <c:ptCount val="1"/>
                <c:pt idx="0">
                  <c:v>Dec qtr 2023</c:v>
                </c:pt>
              </c:strCache>
            </c:strRef>
          </c:tx>
          <c:spPr>
            <a:solidFill>
              <a:schemeClr val="accent4"/>
            </a:solidFill>
            <a:ln>
              <a:noFill/>
            </a:ln>
            <a:effectLst/>
          </c:spPr>
          <c:invertIfNegative val="0"/>
          <c:cat>
            <c:strRef>
              <c:f>'Figure 9'!$A$7:$A$12</c:f>
              <c:strCache>
                <c:ptCount val="6"/>
                <c:pt idx="0">
                  <c:v>New South Wales</c:v>
                </c:pt>
                <c:pt idx="1">
                  <c:v>Victoria</c:v>
                </c:pt>
                <c:pt idx="2">
                  <c:v>Queensland</c:v>
                </c:pt>
                <c:pt idx="3">
                  <c:v>South Australia</c:v>
                </c:pt>
                <c:pt idx="4">
                  <c:v>Western Australia</c:v>
                </c:pt>
                <c:pt idx="5">
                  <c:v>Tasmania</c:v>
                </c:pt>
              </c:strCache>
            </c:strRef>
          </c:cat>
          <c:val>
            <c:numRef>
              <c:f>'[1]Output - State data'!$H$22:$H$27</c:f>
              <c:numCache>
                <c:formatCode>General</c:formatCode>
                <c:ptCount val="6"/>
                <c:pt idx="0">
                  <c:v>0.49</c:v>
                </c:pt>
                <c:pt idx="1">
                  <c:v>0.47</c:v>
                </c:pt>
                <c:pt idx="2">
                  <c:v>0.55000000000000004</c:v>
                </c:pt>
                <c:pt idx="3">
                  <c:v>0.46</c:v>
                </c:pt>
                <c:pt idx="4">
                  <c:v>0.49</c:v>
                </c:pt>
                <c:pt idx="5">
                  <c:v>0.49</c:v>
                </c:pt>
              </c:numCache>
            </c:numRef>
          </c:val>
          <c:extLst>
            <c:ext xmlns:c16="http://schemas.microsoft.com/office/drawing/2014/chart" uri="{C3380CC4-5D6E-409C-BE32-E72D297353CC}">
              <c16:uniqueId val="{00000003-E829-418F-8055-AE17BB1E2C59}"/>
            </c:ext>
          </c:extLst>
        </c:ser>
        <c:ser>
          <c:idx val="5"/>
          <c:order val="4"/>
          <c:tx>
            <c:strRef>
              <c:f>'Figure 9'!$F$6</c:f>
              <c:strCache>
                <c:ptCount val="1"/>
                <c:pt idx="0">
                  <c:v>Mar qtr 2024</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9'!$A$7:$A$12</c:f>
              <c:strCache>
                <c:ptCount val="6"/>
                <c:pt idx="0">
                  <c:v>New South Wales</c:v>
                </c:pt>
                <c:pt idx="1">
                  <c:v>Victoria</c:v>
                </c:pt>
                <c:pt idx="2">
                  <c:v>Queensland</c:v>
                </c:pt>
                <c:pt idx="3">
                  <c:v>South Australia</c:v>
                </c:pt>
                <c:pt idx="4">
                  <c:v>Western Australia</c:v>
                </c:pt>
                <c:pt idx="5">
                  <c:v>Tasmania</c:v>
                </c:pt>
              </c:strCache>
            </c:strRef>
          </c:cat>
          <c:val>
            <c:numRef>
              <c:f>'Figure 9'!$F$7:$F$12</c:f>
              <c:numCache>
                <c:formatCode>0%</c:formatCode>
                <c:ptCount val="6"/>
                <c:pt idx="0">
                  <c:v>0.45</c:v>
                </c:pt>
                <c:pt idx="1">
                  <c:v>0.46</c:v>
                </c:pt>
                <c:pt idx="2">
                  <c:v>0.56000000000000005</c:v>
                </c:pt>
                <c:pt idx="3">
                  <c:v>0.45</c:v>
                </c:pt>
                <c:pt idx="4">
                  <c:v>0.52</c:v>
                </c:pt>
                <c:pt idx="5">
                  <c:v>0.5</c:v>
                </c:pt>
              </c:numCache>
            </c:numRef>
          </c:val>
          <c:extLst>
            <c:ext xmlns:c16="http://schemas.microsoft.com/office/drawing/2014/chart" uri="{C3380CC4-5D6E-409C-BE32-E72D297353CC}">
              <c16:uniqueId val="{00000004-E829-418F-8055-AE17BB1E2C59}"/>
            </c:ext>
          </c:extLst>
        </c:ser>
        <c:dLbls>
          <c:showLegendKey val="0"/>
          <c:showVal val="0"/>
          <c:showCatName val="0"/>
          <c:showSerName val="0"/>
          <c:showPercent val="0"/>
          <c:showBubbleSize val="0"/>
        </c:dLbls>
        <c:gapWidth val="219"/>
        <c:overlap val="-27"/>
        <c:axId val="1065368751"/>
        <c:axId val="510140415"/>
      </c:barChart>
      <c:catAx>
        <c:axId val="1065368751"/>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10140415"/>
        <c:crosses val="autoZero"/>
        <c:auto val="1"/>
        <c:lblAlgn val="ctr"/>
        <c:lblOffset val="100"/>
        <c:noMultiLvlLbl val="0"/>
      </c:catAx>
      <c:valAx>
        <c:axId val="510140415"/>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Proportion of all employers</a:t>
                </a:r>
              </a:p>
            </c:rich>
          </c:tx>
          <c:layout>
            <c:manualLayout>
              <c:xMode val="edge"/>
              <c:yMode val="edge"/>
              <c:x val="1.33973428603327E-2"/>
              <c:y val="0.1020445128065062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65368751"/>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A3DBA928-58D1-4870-A7CC-565650C9962B}">
    <t:Anchor>
      <t:Comment id="400116399"/>
    </t:Anchor>
    <t:History>
      <t:Event id="{A9CF2BDE-1A83-46E2-BE7D-286902A38B9B}" time="2024-02-02T01:21:57.641Z">
        <t:Attribution userId="S::Marjorie.Rego@jobsandskills.gov.au::e6769e50-e291-4b7a-a6f8-5b392519ad55" userProvider="AD" userName="REGO,Marjorie"/>
        <t:Anchor>
          <t:Comment id="400116399"/>
        </t:Anchor>
        <t:Create/>
      </t:Event>
      <t:Event id="{3272A713-C015-454F-B643-F544C22EC9A3}" time="2024-02-02T01:21:57.641Z">
        <t:Attribution userId="S::Marjorie.Rego@jobsandskills.gov.au::e6769e50-e291-4b7a-a6f8-5b392519ad55" userProvider="AD" userName="REGO,Marjorie"/>
        <t:Anchor>
          <t:Comment id="400116399"/>
        </t:Anchor>
        <t:Assign userId="S::Vivienne.CHENG@jobsandskills.gov.au::3b7b7fcd-bce3-46c2-88ab-6792f1310e5e" userProvider="AD" userName="CHENG,Vivienne"/>
      </t:Event>
      <t:Event id="{2A180B78-8B47-48BD-9AAB-1BA14B568A72}" time="2024-02-02T01:21:57.641Z">
        <t:Attribution userId="S::Marjorie.Rego@jobsandskills.gov.au::e6769e50-e291-4b7a-a6f8-5b392519ad55" userProvider="AD" userName="REGO,Marjorie"/>
        <t:Anchor>
          <t:Comment id="400116399"/>
        </t:Anchor>
        <t:SetTitle title="@CHENG,Vivienne should the axis be 1DP because of the data points?"/>
      </t:Event>
      <t:Event id="{F985F5FF-633E-424A-A550-166930CC09B1}" time="2024-02-02T07:30:49.643Z">
        <t:Attribution userId="S::Marjorie.Rego@jobsandskills.gov.au::e6769e50-e291-4b7a-a6f8-5b392519ad55" userProvider="AD" userName="REGO,Marjorie"/>
        <t:Anchor>
          <t:Comment id="1594039020"/>
        </t:Anchor>
        <t:UnassignAll/>
      </t:Event>
      <t:Event id="{30045961-BC7F-4D83-9D65-56ADF5A98509}" time="2024-02-02T07:30:49.643Z">
        <t:Attribution userId="S::Marjorie.Rego@jobsandskills.gov.au::e6769e50-e291-4b7a-a6f8-5b392519ad55" userProvider="AD" userName="REGO,Marjorie"/>
        <t:Anchor>
          <t:Comment id="1594039020"/>
        </t:Anchor>
        <t:Assign userId="S::Alexander.Vilagosh@jobsandskills.gov.au::3ec888d7-3b3b-4aea-ac1a-b220fb0a5659" userProvider="AD" userName="VILAGOSH,Alexander"/>
      </t:Event>
    </t:History>
  </t:Task>
</t:Tasks>
</file>

<file path=word/theme/theme1.xml><?xml version="1.0" encoding="utf-8"?>
<a:theme xmlns:a="http://schemas.openxmlformats.org/drawingml/2006/main" name="Office Theme">
  <a:themeElements>
    <a:clrScheme name="New JSA purple fix">
      <a:dk1>
        <a:sysClr val="windowText" lastClr="000000"/>
      </a:dk1>
      <a:lt1>
        <a:sysClr val="window" lastClr="FFFFFF"/>
      </a:lt1>
      <a:dk2>
        <a:srgbClr val="4B0885"/>
      </a:dk2>
      <a:lt2>
        <a:srgbClr val="D2DE5A"/>
      </a:lt2>
      <a:accent1>
        <a:srgbClr val="6929C4"/>
      </a:accent1>
      <a:accent2>
        <a:srgbClr val="009D9A"/>
      </a:accent2>
      <a:accent3>
        <a:srgbClr val="012749"/>
      </a:accent3>
      <a:accent4>
        <a:srgbClr val="EE538B"/>
      </a:accent4>
      <a:accent5>
        <a:srgbClr val="1192E8"/>
      </a:accent5>
      <a:accent6>
        <a:srgbClr val="9F1853"/>
      </a:accent6>
      <a:hlink>
        <a:srgbClr val="013D74"/>
      </a:hlink>
      <a:folHlink>
        <a:srgbClr val="4B08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59156b7-e154-4504-96ef-5b0195e873a0" xsi:nil="true"/>
    <lcf76f155ced4ddcb4097134ff3c332f xmlns="1f6a489c-5e20-41d8-abe5-d6fc991e4b5e">
      <Terms xmlns="http://schemas.microsoft.com/office/infopath/2007/PartnerControls"/>
    </lcf76f155ced4ddcb4097134ff3c332f>
    <SharedWithUsers xmlns="e59156b7-e154-4504-96ef-5b0195e873a0">
      <UserInfo>
        <DisplayName>SIROTICH,Christina</DisplayName>
        <AccountId>64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F34836EA3F784AB5A1E15E26B43A6C" ma:contentTypeVersion="15" ma:contentTypeDescription="Create a new document." ma:contentTypeScope="" ma:versionID="0ff038528137ef8039f73f00cf91bb95">
  <xsd:schema xmlns:xsd="http://www.w3.org/2001/XMLSchema" xmlns:xs="http://www.w3.org/2001/XMLSchema" xmlns:p="http://schemas.microsoft.com/office/2006/metadata/properties" xmlns:ns2="1f6a489c-5e20-41d8-abe5-d6fc991e4b5e" xmlns:ns3="e59156b7-e154-4504-96ef-5b0195e873a0" targetNamespace="http://schemas.microsoft.com/office/2006/metadata/properties" ma:root="true" ma:fieldsID="32ef458850b2a4e43189bba976471275" ns2:_="" ns3:_="">
    <xsd:import namespace="1f6a489c-5e20-41d8-abe5-d6fc991e4b5e"/>
    <xsd:import namespace="e59156b7-e154-4504-96ef-5b0195e873a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bjectDetectorVersions" minOccurs="0"/>
                <xsd:element ref="ns2:MediaServiceLocation"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6a489c-5e20-41d8-abe5-d6fc991e4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9156b7-e154-4504-96ef-5b0195e873a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51eab69-db08-4a22-95f2-7833c778c5ab}" ma:internalName="TaxCatchAll" ma:showField="CatchAllData" ma:web="e59156b7-e154-4504-96ef-5b0195e873a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C13C45-35B6-4328-902D-9D971E6BC7F7}">
  <ds:schemaRefs>
    <ds:schemaRef ds:uri="http://schemas.microsoft.com/office/2006/metadata/properties"/>
    <ds:schemaRef ds:uri="http://purl.org/dc/dcmitype/"/>
    <ds:schemaRef ds:uri="http://www.w3.org/XML/1998/namespace"/>
    <ds:schemaRef ds:uri="e59156b7-e154-4504-96ef-5b0195e873a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fopath/2007/PartnerControls"/>
    <ds:schemaRef ds:uri="1f6a489c-5e20-41d8-abe5-d6fc991e4b5e"/>
  </ds:schemaRefs>
</ds:datastoreItem>
</file>

<file path=customXml/itemProps2.xml><?xml version="1.0" encoding="utf-8"?>
<ds:datastoreItem xmlns:ds="http://schemas.openxmlformats.org/officeDocument/2006/customXml" ds:itemID="{DE80F125-B3F2-4B72-A774-0E1782E5E4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6a489c-5e20-41d8-abe5-d6fc991e4b5e"/>
    <ds:schemaRef ds:uri="e59156b7-e154-4504-96ef-5b0195e873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4CE4EB-35B3-48ED-B42F-23E6A5FD733F}">
  <ds:schemaRefs>
    <ds:schemaRef ds:uri="http://schemas.openxmlformats.org/officeDocument/2006/bibliography"/>
  </ds:schemaRefs>
</ds:datastoreItem>
</file>

<file path=customXml/itemProps4.xml><?xml version="1.0" encoding="utf-8"?>
<ds:datastoreItem xmlns:ds="http://schemas.openxmlformats.org/officeDocument/2006/customXml" ds:itemID="{EE501082-E5B3-49A0-AFD7-A3513B4878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33</Pages>
  <Words>9408</Words>
  <Characters>51937</Characters>
  <Application>Microsoft Office Word</Application>
  <DocSecurity>0</DocSecurity>
  <Lines>1731</Lines>
  <Paragraphs>1251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60094</CharactersWithSpaces>
  <SharedDoc>false</SharedDoc>
  <HLinks>
    <vt:vector size="246" baseType="variant">
      <vt:variant>
        <vt:i4>8323189</vt:i4>
      </vt:variant>
      <vt:variant>
        <vt:i4>186</vt:i4>
      </vt:variant>
      <vt:variant>
        <vt:i4>0</vt:i4>
      </vt:variant>
      <vt:variant>
        <vt:i4>5</vt:i4>
      </vt:variant>
      <vt:variant>
        <vt:lpwstr>https://www.jobsandskills.gov.au/publications/international-labour-market-update-september-2023</vt:lpwstr>
      </vt:variant>
      <vt:variant>
        <vt:lpwstr/>
      </vt:variant>
      <vt:variant>
        <vt:i4>6488186</vt:i4>
      </vt:variant>
      <vt:variant>
        <vt:i4>183</vt:i4>
      </vt:variant>
      <vt:variant>
        <vt:i4>0</vt:i4>
      </vt:variant>
      <vt:variant>
        <vt:i4>5</vt:i4>
      </vt:variant>
      <vt:variant>
        <vt:lpwstr>https://www.jobsandskills.gov.au/data/nero</vt:lpwstr>
      </vt:variant>
      <vt:variant>
        <vt:lpwstr/>
      </vt:variant>
      <vt:variant>
        <vt:i4>2490422</vt:i4>
      </vt:variant>
      <vt:variant>
        <vt:i4>180</vt:i4>
      </vt:variant>
      <vt:variant>
        <vt:i4>0</vt:i4>
      </vt:variant>
      <vt:variant>
        <vt:i4>5</vt:i4>
      </vt:variant>
      <vt:variant>
        <vt:lpwstr>https://www.jobsandskills.gov.au/data/employment-region-dashboards-and-profiles</vt:lpwstr>
      </vt:variant>
      <vt:variant>
        <vt:lpwstr/>
      </vt:variant>
      <vt:variant>
        <vt:i4>4063353</vt:i4>
      </vt:variant>
      <vt:variant>
        <vt:i4>177</vt:i4>
      </vt:variant>
      <vt:variant>
        <vt:i4>0</vt:i4>
      </vt:variant>
      <vt:variant>
        <vt:i4>5</vt:i4>
      </vt:variant>
      <vt:variant>
        <vt:lpwstr>https://www.jobsandskills.gov.au/data/jobs-and-skills-atlas</vt:lpwstr>
      </vt:variant>
      <vt:variant>
        <vt:lpwstr/>
      </vt:variant>
      <vt:variant>
        <vt:i4>2883645</vt:i4>
      </vt:variant>
      <vt:variant>
        <vt:i4>174</vt:i4>
      </vt:variant>
      <vt:variant>
        <vt:i4>0</vt:i4>
      </vt:variant>
      <vt:variant>
        <vt:i4>5</vt:i4>
      </vt:variant>
      <vt:variant>
        <vt:lpwstr>https://www.jobsandskills.gov.au/data/australian-skills-classification</vt:lpwstr>
      </vt:variant>
      <vt:variant>
        <vt:lpwstr/>
      </vt:variant>
      <vt:variant>
        <vt:i4>8257591</vt:i4>
      </vt:variant>
      <vt:variant>
        <vt:i4>171</vt:i4>
      </vt:variant>
      <vt:variant>
        <vt:i4>0</vt:i4>
      </vt:variant>
      <vt:variant>
        <vt:i4>5</vt:i4>
      </vt:variant>
      <vt:variant>
        <vt:lpwstr>https://www.jobsandskills.gov.au/data/small-area-labour-markets</vt:lpwstr>
      </vt:variant>
      <vt:variant>
        <vt:lpwstr/>
      </vt:variant>
      <vt:variant>
        <vt:i4>7405695</vt:i4>
      </vt:variant>
      <vt:variant>
        <vt:i4>168</vt:i4>
      </vt:variant>
      <vt:variant>
        <vt:i4>0</vt:i4>
      </vt:variant>
      <vt:variant>
        <vt:i4>5</vt:i4>
      </vt:variant>
      <vt:variant>
        <vt:lpwstr>https://www.jobsandskills.gov.au/data/skills-shortages-analysis</vt:lpwstr>
      </vt:variant>
      <vt:variant>
        <vt:lpwstr/>
      </vt:variant>
      <vt:variant>
        <vt:i4>589835</vt:i4>
      </vt:variant>
      <vt:variant>
        <vt:i4>165</vt:i4>
      </vt:variant>
      <vt:variant>
        <vt:i4>0</vt:i4>
      </vt:variant>
      <vt:variant>
        <vt:i4>5</vt:i4>
      </vt:variant>
      <vt:variant>
        <vt:lpwstr>https://www.jobsandskills.gov.au/data/recruitment-experiences-and-outlook-survey</vt:lpwstr>
      </vt:variant>
      <vt:variant>
        <vt:lpwstr/>
      </vt:variant>
      <vt:variant>
        <vt:i4>983044</vt:i4>
      </vt:variant>
      <vt:variant>
        <vt:i4>162</vt:i4>
      </vt:variant>
      <vt:variant>
        <vt:i4>0</vt:i4>
      </vt:variant>
      <vt:variant>
        <vt:i4>5</vt:i4>
      </vt:variant>
      <vt:variant>
        <vt:lpwstr>https://www.jobsandskills.gov.au/data/internet-vacancy-index</vt:lpwstr>
      </vt:variant>
      <vt:variant>
        <vt:lpwstr/>
      </vt:variant>
      <vt:variant>
        <vt:i4>5636169</vt:i4>
      </vt:variant>
      <vt:variant>
        <vt:i4>159</vt:i4>
      </vt:variant>
      <vt:variant>
        <vt:i4>0</vt:i4>
      </vt:variant>
      <vt:variant>
        <vt:i4>5</vt:i4>
      </vt:variant>
      <vt:variant>
        <vt:lpwstr>https://www.jobsandskills.gov.au/</vt:lpwstr>
      </vt:variant>
      <vt:variant>
        <vt:lpwstr/>
      </vt:variant>
      <vt:variant>
        <vt:i4>1310780</vt:i4>
      </vt:variant>
      <vt:variant>
        <vt:i4>152</vt:i4>
      </vt:variant>
      <vt:variant>
        <vt:i4>0</vt:i4>
      </vt:variant>
      <vt:variant>
        <vt:i4>5</vt:i4>
      </vt:variant>
      <vt:variant>
        <vt:lpwstr/>
      </vt:variant>
      <vt:variant>
        <vt:lpwstr>_Toc158648188</vt:lpwstr>
      </vt:variant>
      <vt:variant>
        <vt:i4>1310780</vt:i4>
      </vt:variant>
      <vt:variant>
        <vt:i4>146</vt:i4>
      </vt:variant>
      <vt:variant>
        <vt:i4>0</vt:i4>
      </vt:variant>
      <vt:variant>
        <vt:i4>5</vt:i4>
      </vt:variant>
      <vt:variant>
        <vt:lpwstr/>
      </vt:variant>
      <vt:variant>
        <vt:lpwstr>_Toc158648187</vt:lpwstr>
      </vt:variant>
      <vt:variant>
        <vt:i4>1310780</vt:i4>
      </vt:variant>
      <vt:variant>
        <vt:i4>140</vt:i4>
      </vt:variant>
      <vt:variant>
        <vt:i4>0</vt:i4>
      </vt:variant>
      <vt:variant>
        <vt:i4>5</vt:i4>
      </vt:variant>
      <vt:variant>
        <vt:lpwstr/>
      </vt:variant>
      <vt:variant>
        <vt:lpwstr>_Toc158648186</vt:lpwstr>
      </vt:variant>
      <vt:variant>
        <vt:i4>1310780</vt:i4>
      </vt:variant>
      <vt:variant>
        <vt:i4>134</vt:i4>
      </vt:variant>
      <vt:variant>
        <vt:i4>0</vt:i4>
      </vt:variant>
      <vt:variant>
        <vt:i4>5</vt:i4>
      </vt:variant>
      <vt:variant>
        <vt:lpwstr/>
      </vt:variant>
      <vt:variant>
        <vt:lpwstr>_Toc158648185</vt:lpwstr>
      </vt:variant>
      <vt:variant>
        <vt:i4>1310780</vt:i4>
      </vt:variant>
      <vt:variant>
        <vt:i4>128</vt:i4>
      </vt:variant>
      <vt:variant>
        <vt:i4>0</vt:i4>
      </vt:variant>
      <vt:variant>
        <vt:i4>5</vt:i4>
      </vt:variant>
      <vt:variant>
        <vt:lpwstr/>
      </vt:variant>
      <vt:variant>
        <vt:lpwstr>_Toc158648184</vt:lpwstr>
      </vt:variant>
      <vt:variant>
        <vt:i4>1310780</vt:i4>
      </vt:variant>
      <vt:variant>
        <vt:i4>122</vt:i4>
      </vt:variant>
      <vt:variant>
        <vt:i4>0</vt:i4>
      </vt:variant>
      <vt:variant>
        <vt:i4>5</vt:i4>
      </vt:variant>
      <vt:variant>
        <vt:lpwstr/>
      </vt:variant>
      <vt:variant>
        <vt:lpwstr>_Toc158648183</vt:lpwstr>
      </vt:variant>
      <vt:variant>
        <vt:i4>1310780</vt:i4>
      </vt:variant>
      <vt:variant>
        <vt:i4>116</vt:i4>
      </vt:variant>
      <vt:variant>
        <vt:i4>0</vt:i4>
      </vt:variant>
      <vt:variant>
        <vt:i4>5</vt:i4>
      </vt:variant>
      <vt:variant>
        <vt:lpwstr/>
      </vt:variant>
      <vt:variant>
        <vt:lpwstr>_Toc158648182</vt:lpwstr>
      </vt:variant>
      <vt:variant>
        <vt:i4>1310780</vt:i4>
      </vt:variant>
      <vt:variant>
        <vt:i4>110</vt:i4>
      </vt:variant>
      <vt:variant>
        <vt:i4>0</vt:i4>
      </vt:variant>
      <vt:variant>
        <vt:i4>5</vt:i4>
      </vt:variant>
      <vt:variant>
        <vt:lpwstr/>
      </vt:variant>
      <vt:variant>
        <vt:lpwstr>_Toc158648181</vt:lpwstr>
      </vt:variant>
      <vt:variant>
        <vt:i4>1310780</vt:i4>
      </vt:variant>
      <vt:variant>
        <vt:i4>104</vt:i4>
      </vt:variant>
      <vt:variant>
        <vt:i4>0</vt:i4>
      </vt:variant>
      <vt:variant>
        <vt:i4>5</vt:i4>
      </vt:variant>
      <vt:variant>
        <vt:lpwstr/>
      </vt:variant>
      <vt:variant>
        <vt:lpwstr>_Toc158648180</vt:lpwstr>
      </vt:variant>
      <vt:variant>
        <vt:i4>1769532</vt:i4>
      </vt:variant>
      <vt:variant>
        <vt:i4>98</vt:i4>
      </vt:variant>
      <vt:variant>
        <vt:i4>0</vt:i4>
      </vt:variant>
      <vt:variant>
        <vt:i4>5</vt:i4>
      </vt:variant>
      <vt:variant>
        <vt:lpwstr/>
      </vt:variant>
      <vt:variant>
        <vt:lpwstr>_Toc158648179</vt:lpwstr>
      </vt:variant>
      <vt:variant>
        <vt:i4>1769532</vt:i4>
      </vt:variant>
      <vt:variant>
        <vt:i4>92</vt:i4>
      </vt:variant>
      <vt:variant>
        <vt:i4>0</vt:i4>
      </vt:variant>
      <vt:variant>
        <vt:i4>5</vt:i4>
      </vt:variant>
      <vt:variant>
        <vt:lpwstr/>
      </vt:variant>
      <vt:variant>
        <vt:lpwstr>_Toc158648178</vt:lpwstr>
      </vt:variant>
      <vt:variant>
        <vt:i4>1769532</vt:i4>
      </vt:variant>
      <vt:variant>
        <vt:i4>86</vt:i4>
      </vt:variant>
      <vt:variant>
        <vt:i4>0</vt:i4>
      </vt:variant>
      <vt:variant>
        <vt:i4>5</vt:i4>
      </vt:variant>
      <vt:variant>
        <vt:lpwstr/>
      </vt:variant>
      <vt:variant>
        <vt:lpwstr>_Toc158648177</vt:lpwstr>
      </vt:variant>
      <vt:variant>
        <vt:i4>1769532</vt:i4>
      </vt:variant>
      <vt:variant>
        <vt:i4>80</vt:i4>
      </vt:variant>
      <vt:variant>
        <vt:i4>0</vt:i4>
      </vt:variant>
      <vt:variant>
        <vt:i4>5</vt:i4>
      </vt:variant>
      <vt:variant>
        <vt:lpwstr/>
      </vt:variant>
      <vt:variant>
        <vt:lpwstr>_Toc158648176</vt:lpwstr>
      </vt:variant>
      <vt:variant>
        <vt:i4>1769532</vt:i4>
      </vt:variant>
      <vt:variant>
        <vt:i4>74</vt:i4>
      </vt:variant>
      <vt:variant>
        <vt:i4>0</vt:i4>
      </vt:variant>
      <vt:variant>
        <vt:i4>5</vt:i4>
      </vt:variant>
      <vt:variant>
        <vt:lpwstr/>
      </vt:variant>
      <vt:variant>
        <vt:lpwstr>_Toc158648175</vt:lpwstr>
      </vt:variant>
      <vt:variant>
        <vt:i4>1769532</vt:i4>
      </vt:variant>
      <vt:variant>
        <vt:i4>68</vt:i4>
      </vt:variant>
      <vt:variant>
        <vt:i4>0</vt:i4>
      </vt:variant>
      <vt:variant>
        <vt:i4>5</vt:i4>
      </vt:variant>
      <vt:variant>
        <vt:lpwstr/>
      </vt:variant>
      <vt:variant>
        <vt:lpwstr>_Toc158648174</vt:lpwstr>
      </vt:variant>
      <vt:variant>
        <vt:i4>1769532</vt:i4>
      </vt:variant>
      <vt:variant>
        <vt:i4>62</vt:i4>
      </vt:variant>
      <vt:variant>
        <vt:i4>0</vt:i4>
      </vt:variant>
      <vt:variant>
        <vt:i4>5</vt:i4>
      </vt:variant>
      <vt:variant>
        <vt:lpwstr/>
      </vt:variant>
      <vt:variant>
        <vt:lpwstr>_Toc158648173</vt:lpwstr>
      </vt:variant>
      <vt:variant>
        <vt:i4>1769532</vt:i4>
      </vt:variant>
      <vt:variant>
        <vt:i4>56</vt:i4>
      </vt:variant>
      <vt:variant>
        <vt:i4>0</vt:i4>
      </vt:variant>
      <vt:variant>
        <vt:i4>5</vt:i4>
      </vt:variant>
      <vt:variant>
        <vt:lpwstr/>
      </vt:variant>
      <vt:variant>
        <vt:lpwstr>_Toc158648172</vt:lpwstr>
      </vt:variant>
      <vt:variant>
        <vt:i4>1769532</vt:i4>
      </vt:variant>
      <vt:variant>
        <vt:i4>50</vt:i4>
      </vt:variant>
      <vt:variant>
        <vt:i4>0</vt:i4>
      </vt:variant>
      <vt:variant>
        <vt:i4>5</vt:i4>
      </vt:variant>
      <vt:variant>
        <vt:lpwstr/>
      </vt:variant>
      <vt:variant>
        <vt:lpwstr>_Toc158648171</vt:lpwstr>
      </vt:variant>
      <vt:variant>
        <vt:i4>1769532</vt:i4>
      </vt:variant>
      <vt:variant>
        <vt:i4>44</vt:i4>
      </vt:variant>
      <vt:variant>
        <vt:i4>0</vt:i4>
      </vt:variant>
      <vt:variant>
        <vt:i4>5</vt:i4>
      </vt:variant>
      <vt:variant>
        <vt:lpwstr/>
      </vt:variant>
      <vt:variant>
        <vt:lpwstr>_Toc158648170</vt:lpwstr>
      </vt:variant>
      <vt:variant>
        <vt:i4>1703996</vt:i4>
      </vt:variant>
      <vt:variant>
        <vt:i4>38</vt:i4>
      </vt:variant>
      <vt:variant>
        <vt:i4>0</vt:i4>
      </vt:variant>
      <vt:variant>
        <vt:i4>5</vt:i4>
      </vt:variant>
      <vt:variant>
        <vt:lpwstr/>
      </vt:variant>
      <vt:variant>
        <vt:lpwstr>_Toc158648169</vt:lpwstr>
      </vt:variant>
      <vt:variant>
        <vt:i4>1703996</vt:i4>
      </vt:variant>
      <vt:variant>
        <vt:i4>32</vt:i4>
      </vt:variant>
      <vt:variant>
        <vt:i4>0</vt:i4>
      </vt:variant>
      <vt:variant>
        <vt:i4>5</vt:i4>
      </vt:variant>
      <vt:variant>
        <vt:lpwstr/>
      </vt:variant>
      <vt:variant>
        <vt:lpwstr>_Toc158648168</vt:lpwstr>
      </vt:variant>
      <vt:variant>
        <vt:i4>1703996</vt:i4>
      </vt:variant>
      <vt:variant>
        <vt:i4>26</vt:i4>
      </vt:variant>
      <vt:variant>
        <vt:i4>0</vt:i4>
      </vt:variant>
      <vt:variant>
        <vt:i4>5</vt:i4>
      </vt:variant>
      <vt:variant>
        <vt:lpwstr/>
      </vt:variant>
      <vt:variant>
        <vt:lpwstr>_Toc158648167</vt:lpwstr>
      </vt:variant>
      <vt:variant>
        <vt:i4>1703996</vt:i4>
      </vt:variant>
      <vt:variant>
        <vt:i4>20</vt:i4>
      </vt:variant>
      <vt:variant>
        <vt:i4>0</vt:i4>
      </vt:variant>
      <vt:variant>
        <vt:i4>5</vt:i4>
      </vt:variant>
      <vt:variant>
        <vt:lpwstr/>
      </vt:variant>
      <vt:variant>
        <vt:lpwstr>_Toc158648166</vt:lpwstr>
      </vt:variant>
      <vt:variant>
        <vt:i4>1703996</vt:i4>
      </vt:variant>
      <vt:variant>
        <vt:i4>14</vt:i4>
      </vt:variant>
      <vt:variant>
        <vt:i4>0</vt:i4>
      </vt:variant>
      <vt:variant>
        <vt:i4>5</vt:i4>
      </vt:variant>
      <vt:variant>
        <vt:lpwstr/>
      </vt:variant>
      <vt:variant>
        <vt:lpwstr>_Toc158648165</vt:lpwstr>
      </vt:variant>
      <vt:variant>
        <vt:i4>1703996</vt:i4>
      </vt:variant>
      <vt:variant>
        <vt:i4>8</vt:i4>
      </vt:variant>
      <vt:variant>
        <vt:i4>0</vt:i4>
      </vt:variant>
      <vt:variant>
        <vt:i4>5</vt:i4>
      </vt:variant>
      <vt:variant>
        <vt:lpwstr/>
      </vt:variant>
      <vt:variant>
        <vt:lpwstr>_Toc158648164</vt:lpwstr>
      </vt:variant>
      <vt:variant>
        <vt:i4>1703996</vt:i4>
      </vt:variant>
      <vt:variant>
        <vt:i4>2</vt:i4>
      </vt:variant>
      <vt:variant>
        <vt:i4>0</vt:i4>
      </vt:variant>
      <vt:variant>
        <vt:i4>5</vt:i4>
      </vt:variant>
      <vt:variant>
        <vt:lpwstr/>
      </vt:variant>
      <vt:variant>
        <vt:lpwstr>_Toc158648163</vt:lpwstr>
      </vt:variant>
      <vt:variant>
        <vt:i4>2424930</vt:i4>
      </vt:variant>
      <vt:variant>
        <vt:i4>12</vt:i4>
      </vt:variant>
      <vt:variant>
        <vt:i4>0</vt:i4>
      </vt:variant>
      <vt:variant>
        <vt:i4>5</vt:i4>
      </vt:variant>
      <vt:variant>
        <vt:lpwstr>https://www.jobsandskills.gov.au/data/recruitment-experiences-and-outlook-survey/recruitment-methods-used-by-employers</vt:lpwstr>
      </vt:variant>
      <vt:variant>
        <vt:lpwstr/>
      </vt:variant>
      <vt:variant>
        <vt:i4>4849735</vt:i4>
      </vt:variant>
      <vt:variant>
        <vt:i4>9</vt:i4>
      </vt:variant>
      <vt:variant>
        <vt:i4>0</vt:i4>
      </vt:variant>
      <vt:variant>
        <vt:i4>5</vt:i4>
      </vt:variant>
      <vt:variant>
        <vt:lpwstr>https://www.abs.gov.au/statistics/microdata-tablebuilder/tablebuilder</vt:lpwstr>
      </vt:variant>
      <vt:variant>
        <vt:lpwstr/>
      </vt:variant>
      <vt:variant>
        <vt:i4>2424930</vt:i4>
      </vt:variant>
      <vt:variant>
        <vt:i4>6</vt:i4>
      </vt:variant>
      <vt:variant>
        <vt:i4>0</vt:i4>
      </vt:variant>
      <vt:variant>
        <vt:i4>5</vt:i4>
      </vt:variant>
      <vt:variant>
        <vt:lpwstr>https://www.jobsandskills.gov.au/data/recruitment-experiences-and-outlook-survey/recruitment-methods-used-by-employers</vt:lpwstr>
      </vt:variant>
      <vt:variant>
        <vt:lpwstr/>
      </vt:variant>
      <vt:variant>
        <vt:i4>3276847</vt:i4>
      </vt:variant>
      <vt:variant>
        <vt:i4>3</vt:i4>
      </vt:variant>
      <vt:variant>
        <vt:i4>0</vt:i4>
      </vt:variant>
      <vt:variant>
        <vt:i4>5</vt:i4>
      </vt:variant>
      <vt:variant>
        <vt:lpwstr>https://www.jobsandskills.gov.au/data/skills-priority-list</vt:lpwstr>
      </vt:variant>
      <vt:variant>
        <vt:lpwstr/>
      </vt:variant>
      <vt:variant>
        <vt:i4>983044</vt:i4>
      </vt:variant>
      <vt:variant>
        <vt:i4>0</vt:i4>
      </vt:variant>
      <vt:variant>
        <vt:i4>0</vt:i4>
      </vt:variant>
      <vt:variant>
        <vt:i4>5</vt:i4>
      </vt:variant>
      <vt:variant>
        <vt:lpwstr>https://www.jobsandskills.gov.au/data/internet-vacancy-index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CHENG,Vivienne</dc:creator>
  <cp:keywords/>
  <dc:description/>
  <cp:lastModifiedBy>MCLOUGHLIN,Christopher</cp:lastModifiedBy>
  <cp:revision>4</cp:revision>
  <cp:lastPrinted>2024-05-15T07:02:00Z</cp:lastPrinted>
  <dcterms:created xsi:type="dcterms:W3CDTF">2024-05-15T06:20:00Z</dcterms:created>
  <dcterms:modified xsi:type="dcterms:W3CDTF">2024-05-15T07:03:00Z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2023-12-01T00:59:34Z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457eacff-c036-4f58-b25f-90a99bd92b87</vt:lpwstr>
  </property>
  <property fmtid="{D5CDD505-2E9C-101B-9397-08002B2CF9AE}" pid="8" name="MSIP_Label_79d889eb-932f-4752-8739-64d25806ef64_ContentBits">
    <vt:lpwstr>0</vt:lpwstr>
  </property>
  <property fmtid="{D5CDD505-2E9C-101B-9397-08002B2CF9AE}" pid="9" name="ContentTypeId">
    <vt:lpwstr>0x010100E3F34836EA3F784AB5A1E15E26B43A6C</vt:lpwstr>
  </property>
  <property fmtid="{D5CDD505-2E9C-101B-9397-08002B2CF9AE}" pid="10" name="MediaServiceImageTags">
    <vt:lpwstr/>
  </property>
</Properties>
</file>