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A018" w14:textId="67A9CE4C" w:rsidR="00D31218" w:rsidRPr="00E85606" w:rsidRDefault="00CE1FA2" w:rsidP="006A4F70">
      <w:pPr>
        <w:spacing w:after="0" w:line="276" w:lineRule="auto"/>
      </w:pPr>
      <w:bookmarkStart w:id="0" w:name="_Hlk147935295"/>
      <w:bookmarkEnd w:id="0"/>
      <w:r>
        <w:rPr>
          <w:noProof/>
        </w:rPr>
        <w:drawing>
          <wp:anchor distT="0" distB="0" distL="114300" distR="114300" simplePos="0" relativeHeight="251659264" behindDoc="0" locked="0" layoutInCell="1" allowOverlap="1" wp14:anchorId="3D40CFA7" wp14:editId="49CF6A35">
            <wp:simplePos x="0" y="0"/>
            <wp:positionH relativeFrom="page">
              <wp:posOffset>-19050</wp:posOffset>
            </wp:positionH>
            <wp:positionV relativeFrom="paragraph">
              <wp:posOffset>-932180</wp:posOffset>
            </wp:positionV>
            <wp:extent cx="7594600" cy="1624234"/>
            <wp:effectExtent l="0" t="0" r="635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610190" cy="1627568"/>
                    </a:xfrm>
                    <a:prstGeom prst="rect">
                      <a:avLst/>
                    </a:prstGeom>
                  </pic:spPr>
                </pic:pic>
              </a:graphicData>
            </a:graphic>
            <wp14:sizeRelH relativeFrom="page">
              <wp14:pctWidth>0</wp14:pctWidth>
            </wp14:sizeRelH>
            <wp14:sizeRelV relativeFrom="page">
              <wp14:pctHeight>0</wp14:pctHeight>
            </wp14:sizeRelV>
          </wp:anchor>
        </w:drawing>
      </w:r>
      <w:r w:rsidR="008F323E">
        <w:t>l</w:t>
      </w:r>
    </w:p>
    <w:p w14:paraId="7DC984C5" w14:textId="07CF6926" w:rsidR="00D31218" w:rsidRPr="00E85606" w:rsidRDefault="00D31218" w:rsidP="006A4F70">
      <w:pPr>
        <w:spacing w:after="0" w:line="276" w:lineRule="auto"/>
      </w:pPr>
    </w:p>
    <w:p w14:paraId="4D833DB2" w14:textId="1E4BDE5A" w:rsidR="00D31218" w:rsidRPr="00E85606" w:rsidRDefault="00D31218" w:rsidP="006A4F70">
      <w:pPr>
        <w:spacing w:after="0" w:line="276" w:lineRule="auto"/>
      </w:pPr>
    </w:p>
    <w:p w14:paraId="02692734" w14:textId="77777777" w:rsidR="006A4F70" w:rsidRPr="00FF5B62" w:rsidRDefault="006A4F70" w:rsidP="006A4F70">
      <w:pPr>
        <w:pStyle w:val="Title"/>
        <w:spacing w:before="0"/>
        <w:rPr>
          <w:b w:val="0"/>
          <w:bCs/>
          <w:color w:val="auto"/>
          <w:sz w:val="48"/>
          <w:szCs w:val="48"/>
        </w:rPr>
      </w:pPr>
    </w:p>
    <w:p w14:paraId="199C8218" w14:textId="16B2C9E7" w:rsidR="001B3730" w:rsidRPr="001B3730" w:rsidRDefault="00A379EE" w:rsidP="0056697D">
      <w:pPr>
        <w:pStyle w:val="Title"/>
        <w:spacing w:before="0"/>
      </w:pPr>
      <w:r>
        <w:t>Australian Labour Market for Migrants</w:t>
      </w:r>
    </w:p>
    <w:p w14:paraId="32FA9612" w14:textId="77777777" w:rsidR="00752098" w:rsidRDefault="00752098" w:rsidP="00752098">
      <w:pPr>
        <w:spacing w:line="240" w:lineRule="auto"/>
      </w:pPr>
    </w:p>
    <w:p w14:paraId="05B789B6" w14:textId="2E9F5E8A" w:rsidR="00294839" w:rsidRDefault="00294839" w:rsidP="00752098">
      <w:pPr>
        <w:spacing w:line="240" w:lineRule="auto"/>
      </w:pPr>
      <w:r>
        <w:t>The Australian Labour Market for Migrants publication provides information on the Australian labour market. It is intended to inform recent migrants to Australia, people interested in working in Australia on a temporary or permanent basis, and organisations providing services to migrants and potential visa applicants.</w:t>
      </w:r>
    </w:p>
    <w:p w14:paraId="6D2AC5C9" w14:textId="762C04AB" w:rsidR="00294839" w:rsidRPr="00664757" w:rsidRDefault="00633C42" w:rsidP="00752098">
      <w:pPr>
        <w:spacing w:line="240" w:lineRule="auto"/>
      </w:pPr>
      <w:r w:rsidRPr="004B5527">
        <w:t>The Australian labour market continues to perform well.</w:t>
      </w:r>
      <w:r w:rsidR="00022F34" w:rsidRPr="004B5527">
        <w:t xml:space="preserve"> </w:t>
      </w:r>
      <w:r w:rsidR="00294839" w:rsidRPr="004B5527">
        <w:t xml:space="preserve">However, </w:t>
      </w:r>
      <w:r w:rsidR="004B5527" w:rsidRPr="004B5527">
        <w:t>some</w:t>
      </w:r>
      <w:r w:rsidR="00294839" w:rsidRPr="004B5527">
        <w:t xml:space="preserve"> forward indicators suggest </w:t>
      </w:r>
      <w:r w:rsidR="00BE65CB" w:rsidRPr="004B5527">
        <w:t>th</w:t>
      </w:r>
      <w:r w:rsidR="00294839" w:rsidRPr="004B5527">
        <w:t xml:space="preserve">e Australian labour market is softening and </w:t>
      </w:r>
      <w:r w:rsidRPr="004B5527">
        <w:t>may</w:t>
      </w:r>
      <w:r w:rsidR="00294839" w:rsidRPr="004B5527">
        <w:t xml:space="preserve"> experience subdued conditions over the period ahead. See </w:t>
      </w:r>
      <w:r w:rsidR="00294839" w:rsidRPr="00664757">
        <w:t xml:space="preserve">the </w:t>
      </w:r>
      <w:hyperlink r:id="rId13" w:history="1">
        <w:r w:rsidR="00294839" w:rsidRPr="00664757">
          <w:rPr>
            <w:rStyle w:val="Hyperlink"/>
          </w:rPr>
          <w:t>Jobs and Skills Australia</w:t>
        </w:r>
      </w:hyperlink>
      <w:r w:rsidR="00294839" w:rsidRPr="00664757">
        <w:t xml:space="preserve"> website for recent labour market data and analysis.</w:t>
      </w:r>
    </w:p>
    <w:p w14:paraId="7973E8BB" w14:textId="01569AA4" w:rsidR="00DD5BA9" w:rsidRPr="00664757" w:rsidRDefault="00294839" w:rsidP="00752098">
      <w:pPr>
        <w:spacing w:line="240" w:lineRule="auto"/>
        <w:rPr>
          <w:rStyle w:val="StrongandEmphasis"/>
          <w:i w:val="0"/>
          <w:iCs/>
        </w:rPr>
      </w:pPr>
      <w:r w:rsidRPr="00664757">
        <w:t xml:space="preserve">Unless otherwise stated, data in this publication are from the Australian Bureau of Statistics (ABS) Labour Force Survey, </w:t>
      </w:r>
      <w:r w:rsidR="001F0D48" w:rsidRPr="00664757">
        <w:t>February</w:t>
      </w:r>
      <w:r w:rsidRPr="00664757">
        <w:t xml:space="preserve"> 202</w:t>
      </w:r>
      <w:r w:rsidR="000E7CFE" w:rsidRPr="00664757">
        <w:t>4</w:t>
      </w:r>
      <w:r w:rsidRPr="00664757">
        <w:rPr>
          <w:rStyle w:val="StrongandEmphasis"/>
        </w:rPr>
        <w:t>.</w:t>
      </w:r>
      <w:r w:rsidRPr="00664757">
        <w:rPr>
          <w:rStyle w:val="FootnoteReference"/>
        </w:rPr>
        <w:footnoteReference w:id="2"/>
      </w:r>
    </w:p>
    <w:p w14:paraId="39C5FF01" w14:textId="16D28856" w:rsidR="00D707E6" w:rsidRPr="008C69B0" w:rsidRDefault="00D707E6" w:rsidP="008C69B0">
      <w:pPr>
        <w:pStyle w:val="Heading1"/>
      </w:pPr>
      <w:r w:rsidRPr="008C69B0">
        <w:t>Employment</w:t>
      </w:r>
    </w:p>
    <w:p w14:paraId="0A17140E" w14:textId="120C8AD2" w:rsidR="00D707E6" w:rsidRPr="00B46300" w:rsidRDefault="00D707E6" w:rsidP="00752098">
      <w:pPr>
        <w:pStyle w:val="Caption"/>
        <w:keepNext w:val="0"/>
        <w:spacing w:before="120" w:after="100"/>
        <w:rPr>
          <w:b w:val="0"/>
          <w:color w:val="000000" w:themeColor="text1"/>
          <w:sz w:val="22"/>
          <w:szCs w:val="22"/>
        </w:rPr>
      </w:pPr>
      <w:r w:rsidRPr="00341DAC">
        <w:rPr>
          <w:b w:val="0"/>
          <w:color w:val="000000" w:themeColor="text1"/>
          <w:sz w:val="22"/>
          <w:szCs w:val="22"/>
        </w:rPr>
        <w:t xml:space="preserve">Over the 12 months to </w:t>
      </w:r>
      <w:bookmarkStart w:id="1" w:name="_Hlk161931022"/>
      <w:r w:rsidR="001F0D48">
        <w:rPr>
          <w:b w:val="0"/>
          <w:color w:val="000000" w:themeColor="text1"/>
          <w:sz w:val="22"/>
          <w:szCs w:val="22"/>
        </w:rPr>
        <w:t xml:space="preserve">February </w:t>
      </w:r>
      <w:bookmarkEnd w:id="1"/>
      <w:r w:rsidRPr="00341DAC">
        <w:rPr>
          <w:b w:val="0"/>
          <w:color w:val="000000" w:themeColor="text1"/>
          <w:sz w:val="22"/>
          <w:szCs w:val="22"/>
        </w:rPr>
        <w:t>202</w:t>
      </w:r>
      <w:r w:rsidR="00840CEB">
        <w:rPr>
          <w:b w:val="0"/>
          <w:color w:val="000000" w:themeColor="text1"/>
          <w:sz w:val="22"/>
          <w:szCs w:val="22"/>
        </w:rPr>
        <w:t>4</w:t>
      </w:r>
      <w:r w:rsidRPr="00341DAC">
        <w:rPr>
          <w:b w:val="0"/>
          <w:color w:val="000000" w:themeColor="text1"/>
          <w:sz w:val="22"/>
          <w:szCs w:val="22"/>
        </w:rPr>
        <w:t xml:space="preserve">, employment opportunities and growth varied widely across industries. The largest increases </w:t>
      </w:r>
      <w:r w:rsidRPr="00B46300">
        <w:rPr>
          <w:b w:val="0"/>
          <w:color w:val="000000" w:themeColor="text1"/>
          <w:sz w:val="22"/>
          <w:szCs w:val="22"/>
        </w:rPr>
        <w:t xml:space="preserve">in trend employment occurred in Health Care and Social Assistance (up by </w:t>
      </w:r>
      <w:r w:rsidR="00B46300" w:rsidRPr="00B46300">
        <w:rPr>
          <w:b w:val="0"/>
          <w:color w:val="000000" w:themeColor="text1"/>
          <w:sz w:val="22"/>
          <w:szCs w:val="22"/>
        </w:rPr>
        <w:t>108,00</w:t>
      </w:r>
      <w:r w:rsidR="00EF0506">
        <w:rPr>
          <w:b w:val="0"/>
          <w:color w:val="000000" w:themeColor="text1"/>
          <w:sz w:val="22"/>
          <w:szCs w:val="22"/>
        </w:rPr>
        <w:t>0</w:t>
      </w:r>
      <w:r w:rsidRPr="00B46300">
        <w:rPr>
          <w:b w:val="0"/>
          <w:color w:val="000000" w:themeColor="text1"/>
          <w:sz w:val="22"/>
          <w:szCs w:val="22"/>
        </w:rPr>
        <w:t xml:space="preserve">), </w:t>
      </w:r>
      <w:r w:rsidR="00B46300" w:rsidRPr="00B46300">
        <w:rPr>
          <w:b w:val="0"/>
          <w:color w:val="000000" w:themeColor="text1"/>
          <w:sz w:val="22"/>
          <w:szCs w:val="22"/>
        </w:rPr>
        <w:t xml:space="preserve">Education and Training </w:t>
      </w:r>
      <w:r w:rsidRPr="00B46300">
        <w:rPr>
          <w:b w:val="0"/>
          <w:color w:val="000000" w:themeColor="text1"/>
          <w:sz w:val="22"/>
          <w:szCs w:val="22"/>
        </w:rPr>
        <w:t xml:space="preserve">(up by </w:t>
      </w:r>
      <w:r w:rsidR="00B46300" w:rsidRPr="00B46300">
        <w:rPr>
          <w:b w:val="0"/>
          <w:color w:val="000000" w:themeColor="text1"/>
          <w:sz w:val="22"/>
          <w:szCs w:val="22"/>
        </w:rPr>
        <w:t>51,900</w:t>
      </w:r>
      <w:r w:rsidRPr="00B46300">
        <w:rPr>
          <w:b w:val="0"/>
          <w:color w:val="000000" w:themeColor="text1"/>
          <w:sz w:val="22"/>
          <w:szCs w:val="22"/>
        </w:rPr>
        <w:t xml:space="preserve">) and </w:t>
      </w:r>
      <w:r w:rsidR="00B46300" w:rsidRPr="00B46300">
        <w:rPr>
          <w:b w:val="0"/>
          <w:color w:val="000000" w:themeColor="text1"/>
          <w:sz w:val="22"/>
          <w:szCs w:val="22"/>
        </w:rPr>
        <w:t xml:space="preserve">Construction </w:t>
      </w:r>
      <w:r w:rsidRPr="00B46300">
        <w:rPr>
          <w:b w:val="0"/>
          <w:color w:val="000000" w:themeColor="text1"/>
          <w:sz w:val="22"/>
          <w:szCs w:val="22"/>
        </w:rPr>
        <w:t xml:space="preserve">(up by </w:t>
      </w:r>
      <w:r w:rsidR="00B46300" w:rsidRPr="00B46300">
        <w:rPr>
          <w:b w:val="0"/>
          <w:color w:val="000000" w:themeColor="text1"/>
          <w:sz w:val="22"/>
          <w:szCs w:val="22"/>
        </w:rPr>
        <w:t>36,300</w:t>
      </w:r>
      <w:r w:rsidRPr="00B46300">
        <w:rPr>
          <w:b w:val="0"/>
          <w:color w:val="000000" w:themeColor="text1"/>
          <w:sz w:val="22"/>
          <w:szCs w:val="22"/>
        </w:rPr>
        <w:t xml:space="preserve">). The largest decreases in employment occurred in Accommodation and Food Services (down by </w:t>
      </w:r>
      <w:r w:rsidR="00B46300" w:rsidRPr="00B46300">
        <w:rPr>
          <w:b w:val="0"/>
          <w:color w:val="000000" w:themeColor="text1"/>
          <w:sz w:val="22"/>
          <w:szCs w:val="22"/>
        </w:rPr>
        <w:t>18,000</w:t>
      </w:r>
      <w:r w:rsidRPr="00B46300">
        <w:rPr>
          <w:b w:val="0"/>
          <w:color w:val="000000" w:themeColor="text1"/>
          <w:sz w:val="22"/>
          <w:szCs w:val="22"/>
        </w:rPr>
        <w:t xml:space="preserve">), </w:t>
      </w:r>
      <w:r w:rsidR="00B46300" w:rsidRPr="00B46300">
        <w:rPr>
          <w:b w:val="0"/>
          <w:color w:val="000000" w:themeColor="text1"/>
          <w:sz w:val="22"/>
          <w:szCs w:val="22"/>
        </w:rPr>
        <w:t>Financial and Insurance Services</w:t>
      </w:r>
      <w:r w:rsidRPr="00B46300">
        <w:rPr>
          <w:b w:val="0"/>
          <w:color w:val="000000" w:themeColor="text1"/>
          <w:sz w:val="22"/>
          <w:szCs w:val="22"/>
        </w:rPr>
        <w:t xml:space="preserve"> (down by </w:t>
      </w:r>
      <w:r w:rsidR="00B46300" w:rsidRPr="00B46300">
        <w:rPr>
          <w:b w:val="0"/>
          <w:color w:val="000000" w:themeColor="text1"/>
          <w:sz w:val="22"/>
          <w:szCs w:val="22"/>
        </w:rPr>
        <w:t>6,600</w:t>
      </w:r>
      <w:r w:rsidRPr="00B46300">
        <w:rPr>
          <w:b w:val="0"/>
          <w:color w:val="000000" w:themeColor="text1"/>
          <w:sz w:val="22"/>
          <w:szCs w:val="22"/>
        </w:rPr>
        <w:t xml:space="preserve">) and </w:t>
      </w:r>
      <w:r w:rsidR="00B46300" w:rsidRPr="00B46300">
        <w:rPr>
          <w:b w:val="0"/>
          <w:color w:val="000000" w:themeColor="text1"/>
          <w:sz w:val="22"/>
          <w:szCs w:val="22"/>
        </w:rPr>
        <w:t xml:space="preserve">Administrative and Support Services </w:t>
      </w:r>
      <w:r w:rsidRPr="00B46300">
        <w:rPr>
          <w:b w:val="0"/>
          <w:color w:val="000000" w:themeColor="text1"/>
          <w:sz w:val="22"/>
          <w:szCs w:val="22"/>
        </w:rPr>
        <w:t xml:space="preserve">(down by </w:t>
      </w:r>
      <w:r w:rsidR="00B46300" w:rsidRPr="00B46300">
        <w:rPr>
          <w:b w:val="0"/>
          <w:color w:val="000000" w:themeColor="text1"/>
          <w:sz w:val="22"/>
          <w:szCs w:val="22"/>
        </w:rPr>
        <w:t>2,400</w:t>
      </w:r>
      <w:r w:rsidRPr="00B46300">
        <w:rPr>
          <w:b w:val="0"/>
          <w:color w:val="000000" w:themeColor="text1"/>
          <w:sz w:val="22"/>
          <w:szCs w:val="22"/>
        </w:rPr>
        <w:t>).</w:t>
      </w:r>
      <w:r w:rsidR="000E031E" w:rsidRPr="00B46300">
        <w:rPr>
          <w:rStyle w:val="FootnoteReference"/>
          <w:b w:val="0"/>
          <w:color w:val="000000" w:themeColor="text1"/>
          <w:sz w:val="22"/>
          <w:szCs w:val="22"/>
        </w:rPr>
        <w:footnoteReference w:id="3"/>
      </w:r>
    </w:p>
    <w:p w14:paraId="3269174E" w14:textId="11BC1108" w:rsidR="00D707E6" w:rsidRPr="001A7D13" w:rsidRDefault="00D707E6" w:rsidP="00752098">
      <w:pPr>
        <w:pStyle w:val="Caption"/>
        <w:keepNext w:val="0"/>
        <w:spacing w:before="120" w:after="100"/>
        <w:rPr>
          <w:b w:val="0"/>
          <w:iCs/>
          <w:color w:val="000000" w:themeColor="text1"/>
          <w:sz w:val="22"/>
          <w:szCs w:val="22"/>
        </w:rPr>
      </w:pPr>
      <w:r w:rsidRPr="00B46300">
        <w:rPr>
          <w:b w:val="0"/>
          <w:color w:val="000000" w:themeColor="text1"/>
          <w:sz w:val="22"/>
          <w:szCs w:val="22"/>
        </w:rPr>
        <w:t xml:space="preserve">Changes in employment by industry are shown in Figure 1. The strongest rates of employment growth were in </w:t>
      </w:r>
      <w:r w:rsidR="00B46300" w:rsidRPr="00B46300">
        <w:rPr>
          <w:b w:val="0"/>
          <w:color w:val="000000" w:themeColor="text1"/>
          <w:sz w:val="22"/>
          <w:szCs w:val="22"/>
        </w:rPr>
        <w:t xml:space="preserve">Health Care and Social Assistance </w:t>
      </w:r>
      <w:r w:rsidRPr="00B46300">
        <w:rPr>
          <w:b w:val="0"/>
          <w:color w:val="000000" w:themeColor="text1"/>
          <w:sz w:val="22"/>
          <w:szCs w:val="22"/>
        </w:rPr>
        <w:t xml:space="preserve">(up by </w:t>
      </w:r>
      <w:r w:rsidR="00B46300" w:rsidRPr="00B46300">
        <w:rPr>
          <w:b w:val="0"/>
          <w:color w:val="000000" w:themeColor="text1"/>
          <w:sz w:val="22"/>
          <w:szCs w:val="22"/>
        </w:rPr>
        <w:t>5.1</w:t>
      </w:r>
      <w:r w:rsidRPr="00B46300">
        <w:rPr>
          <w:b w:val="0"/>
          <w:color w:val="000000" w:themeColor="text1"/>
          <w:sz w:val="22"/>
          <w:szCs w:val="22"/>
        </w:rPr>
        <w:t xml:space="preserve">%), </w:t>
      </w:r>
      <w:r w:rsidR="00B46300" w:rsidRPr="00B46300">
        <w:rPr>
          <w:b w:val="0"/>
          <w:color w:val="000000" w:themeColor="text1"/>
          <w:sz w:val="22"/>
          <w:szCs w:val="22"/>
        </w:rPr>
        <w:t xml:space="preserve">Education and Training </w:t>
      </w:r>
      <w:r w:rsidRPr="00B46300">
        <w:rPr>
          <w:b w:val="0"/>
          <w:color w:val="000000" w:themeColor="text1"/>
          <w:sz w:val="22"/>
          <w:szCs w:val="22"/>
        </w:rPr>
        <w:t>(up by</w:t>
      </w:r>
      <w:r w:rsidR="00840CEB" w:rsidRPr="00B46300">
        <w:rPr>
          <w:b w:val="0"/>
          <w:color w:val="000000" w:themeColor="text1"/>
          <w:sz w:val="22"/>
          <w:szCs w:val="22"/>
        </w:rPr>
        <w:t xml:space="preserve"> </w:t>
      </w:r>
      <w:r w:rsidR="00B46300" w:rsidRPr="00B46300">
        <w:rPr>
          <w:b w:val="0"/>
          <w:color w:val="000000" w:themeColor="text1"/>
          <w:sz w:val="22"/>
          <w:szCs w:val="22"/>
        </w:rPr>
        <w:t>4.5</w:t>
      </w:r>
      <w:r w:rsidR="00840CEB" w:rsidRPr="00B46300">
        <w:rPr>
          <w:b w:val="0"/>
          <w:color w:val="000000" w:themeColor="text1"/>
          <w:sz w:val="22"/>
          <w:szCs w:val="22"/>
        </w:rPr>
        <w:t xml:space="preserve">%) </w:t>
      </w:r>
      <w:r w:rsidRPr="00B46300">
        <w:rPr>
          <w:b w:val="0"/>
          <w:color w:val="000000" w:themeColor="text1"/>
          <w:sz w:val="22"/>
          <w:szCs w:val="22"/>
        </w:rPr>
        <w:t xml:space="preserve">and </w:t>
      </w:r>
      <w:r w:rsidR="00D12811" w:rsidRPr="00D12811">
        <w:rPr>
          <w:b w:val="0"/>
          <w:color w:val="000000" w:themeColor="text1"/>
          <w:sz w:val="22"/>
          <w:szCs w:val="22"/>
        </w:rPr>
        <w:t xml:space="preserve">Arts and Recreation Services </w:t>
      </w:r>
      <w:r w:rsidRPr="00B46300">
        <w:rPr>
          <w:b w:val="0"/>
          <w:color w:val="000000" w:themeColor="text1"/>
          <w:sz w:val="22"/>
          <w:szCs w:val="22"/>
        </w:rPr>
        <w:t xml:space="preserve">(up by </w:t>
      </w:r>
      <w:r w:rsidR="00B46300" w:rsidRPr="00B46300">
        <w:rPr>
          <w:b w:val="0"/>
          <w:color w:val="000000" w:themeColor="text1"/>
          <w:sz w:val="22"/>
          <w:szCs w:val="22"/>
        </w:rPr>
        <w:t>4.1</w:t>
      </w:r>
      <w:r w:rsidR="00840CEB" w:rsidRPr="00B46300">
        <w:rPr>
          <w:b w:val="0"/>
          <w:color w:val="000000" w:themeColor="text1"/>
          <w:sz w:val="22"/>
          <w:szCs w:val="22"/>
        </w:rPr>
        <w:t>%).</w:t>
      </w:r>
    </w:p>
    <w:p w14:paraId="04AFEA59" w14:textId="0DE60FDA" w:rsidR="00D707E6" w:rsidRPr="008C69B0" w:rsidRDefault="00D707E6" w:rsidP="008C69B0">
      <w:pPr>
        <w:pStyle w:val="Caption"/>
      </w:pPr>
      <w:r w:rsidRPr="008C69B0">
        <w:lastRenderedPageBreak/>
        <w:t xml:space="preserve">Figure </w:t>
      </w:r>
      <w:r w:rsidR="00521965" w:rsidRPr="008C69B0">
        <w:fldChar w:fldCharType="begin"/>
      </w:r>
      <w:r w:rsidR="00521965" w:rsidRPr="008C69B0">
        <w:instrText xml:space="preserve"> SEQ Figure \* ARABIC </w:instrText>
      </w:r>
      <w:r w:rsidR="00521965" w:rsidRPr="008C69B0">
        <w:fldChar w:fldCharType="separate"/>
      </w:r>
      <w:r w:rsidR="00F34424">
        <w:rPr>
          <w:noProof/>
        </w:rPr>
        <w:t>1</w:t>
      </w:r>
      <w:r w:rsidR="00521965" w:rsidRPr="008C69B0">
        <w:fldChar w:fldCharType="end"/>
      </w:r>
      <w:r w:rsidRPr="008C69B0">
        <w:t xml:space="preserve">: Employment growth by industry (’000s persons) — </w:t>
      </w:r>
      <w:r w:rsidR="001F0D48" w:rsidRPr="008C69B0">
        <w:t xml:space="preserve">February </w:t>
      </w:r>
      <w:r w:rsidRPr="008C69B0">
        <w:t>202</w:t>
      </w:r>
      <w:r w:rsidR="00840CEB" w:rsidRPr="008C69B0">
        <w:t>3</w:t>
      </w:r>
      <w:r w:rsidRPr="008C69B0">
        <w:t xml:space="preserve"> to </w:t>
      </w:r>
      <w:r w:rsidR="001F0D48" w:rsidRPr="008C69B0">
        <w:t xml:space="preserve">February </w:t>
      </w:r>
      <w:r w:rsidR="00840CEB" w:rsidRPr="008C69B0">
        <w:t>2024</w:t>
      </w:r>
    </w:p>
    <w:p w14:paraId="0BEDA8F0" w14:textId="052F22AC" w:rsidR="000E031E" w:rsidRPr="00BE65CB" w:rsidRDefault="00B46300" w:rsidP="006A4F70">
      <w:pPr>
        <w:pStyle w:val="Title-Subtitle"/>
        <w:spacing w:after="0" w:line="276" w:lineRule="auto"/>
        <w:rPr>
          <w:b w:val="0"/>
          <w:bCs/>
          <w:sz w:val="22"/>
          <w:szCs w:val="22"/>
        </w:rPr>
      </w:pPr>
      <w:r>
        <w:rPr>
          <w:noProof/>
        </w:rPr>
        <w:drawing>
          <wp:inline distT="0" distB="0" distL="0" distR="0" wp14:anchorId="7C51E378" wp14:editId="09D8E87B">
            <wp:extent cx="5716905" cy="3719015"/>
            <wp:effectExtent l="0" t="0" r="0" b="0"/>
            <wp:docPr id="501721686" name="Chart 1" descr="Figure 1: Trend unemployment rates by State/Territory at February 2024. Industry of Employment.     &#10;Health Care and Social Assistance increased 108000.     &#10;Education and Training increased 51900.     &#10;Construction increased 36300.     &#10;Professional, Scientific and Technical Services increased 35300.     &#10;Manufacturing increased 32900.     &#10;Public Administration and Safety increased 31900.     &#10;Transport, Postal and Warehousing increased 19300.     &#10;Wholesale Trade increased 11300.     &#10;Arts and Recreation Services increased 10000.     &#10;Mining increased 6500.     &#10;Retail Trade increased 5600.     &#10;Other Services increased 4700.     &#10;Electricity, Gas, Water and Waste Services increased 4200.     &#10;Rental, Hiring and Real Estate Services increased 400.     &#10;Agriculture, Forestry and Fishing decreased 200.     &#10;Information Media and Telecommunications decreased 2200.     &#10;Administrative and Support Services decreased 2400.     &#10;Financial and Insurance Services decreased 6600.     &#10;Accommodation and Food Services decreased 18000.     &#10;">
              <a:extLst xmlns:a="http://schemas.openxmlformats.org/drawingml/2006/main">
                <a:ext uri="{FF2B5EF4-FFF2-40B4-BE49-F238E27FC236}">
                  <a16:creationId xmlns:a16="http://schemas.microsoft.com/office/drawing/2014/main" id="{F5C3F87E-B781-4150-AF1D-093ED254F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74270F" w14:textId="204C1A58" w:rsidR="00294839" w:rsidRPr="00022F34" w:rsidRDefault="00294839" w:rsidP="00836311">
      <w:pPr>
        <w:pStyle w:val="Caption"/>
        <w:rPr>
          <w:rStyle w:val="Hyperlink"/>
          <w:sz w:val="16"/>
          <w:szCs w:val="16"/>
        </w:rPr>
      </w:pPr>
      <w:r w:rsidRPr="00FD742F">
        <w:t xml:space="preserve">Source: </w:t>
      </w:r>
      <w:r w:rsidR="000E031E" w:rsidRPr="00BE65CB">
        <w:rPr>
          <w:rFonts w:cs="Arial"/>
        </w:rPr>
        <w:t>ABS</w:t>
      </w:r>
      <w:r w:rsidR="000E031E" w:rsidRPr="00BE65CB">
        <w:t xml:space="preserve">, </w:t>
      </w:r>
      <w:r w:rsidR="000E031E" w:rsidRPr="00D01812">
        <w:rPr>
          <w:i/>
          <w:iCs/>
        </w:rPr>
        <w:t>Detailed Labour Force Survey</w:t>
      </w:r>
      <w:r w:rsidR="000E031E" w:rsidRPr="00BE65CB">
        <w:rPr>
          <w:rFonts w:cs="Arial"/>
        </w:rPr>
        <w:t xml:space="preserve">, </w:t>
      </w:r>
      <w:r w:rsidR="001F0D48" w:rsidRPr="001F0D48">
        <w:t xml:space="preserve">February </w:t>
      </w:r>
      <w:r w:rsidR="00840CEB" w:rsidRPr="0086294C">
        <w:t xml:space="preserve">2024 </w:t>
      </w:r>
      <w:r w:rsidR="000E031E" w:rsidRPr="0086294C">
        <w:t xml:space="preserve">(Table </w:t>
      </w:r>
      <w:r w:rsidR="00F70C27" w:rsidRPr="0086294C">
        <w:t>04</w:t>
      </w:r>
      <w:r w:rsidR="000E031E" w:rsidRPr="0086294C">
        <w:t>)</w:t>
      </w:r>
      <w:r w:rsidR="000E031E" w:rsidRPr="0086294C">
        <w:rPr>
          <w:rFonts w:cs="Arial"/>
        </w:rPr>
        <w:t>.</w:t>
      </w:r>
      <w:r w:rsidR="000E031E" w:rsidRPr="0086294C">
        <w:t xml:space="preserve"> Data</w:t>
      </w:r>
      <w:r w:rsidR="000E031E" w:rsidRPr="00BE65CB">
        <w:t xml:space="preserve"> trended by Jobs and Skills Australia</w:t>
      </w:r>
      <w:r w:rsidR="000E031E" w:rsidRPr="00BE65CB">
        <w:rPr>
          <w:rFonts w:cs="Arial"/>
        </w:rPr>
        <w:t>.</w:t>
      </w:r>
      <w:r w:rsidR="002E16A0" w:rsidRPr="002E16A0">
        <w:t xml:space="preserve"> </w:t>
      </w:r>
    </w:p>
    <w:p w14:paraId="293214F5" w14:textId="77777777" w:rsidR="000D14B7" w:rsidRPr="007B3938" w:rsidRDefault="000D14B7" w:rsidP="00286E10">
      <w:pPr>
        <w:pStyle w:val="Heading1"/>
      </w:pPr>
      <w:r w:rsidRPr="0056697D">
        <w:t>Occupation by state/territory</w:t>
      </w:r>
    </w:p>
    <w:p w14:paraId="015ABF7E" w14:textId="1F9AA3A9" w:rsidR="000D14B7" w:rsidRPr="00BD6F37" w:rsidRDefault="000D14B7" w:rsidP="004B5527">
      <w:pPr>
        <w:spacing w:line="240" w:lineRule="auto"/>
      </w:pPr>
      <w:r w:rsidRPr="00BD6F37">
        <w:rPr>
          <w:rFonts w:cs="Arial"/>
        </w:rPr>
        <w:fldChar w:fldCharType="begin"/>
      </w:r>
      <w:r w:rsidRPr="00BD6F37">
        <w:rPr>
          <w:rFonts w:cs="Arial"/>
        </w:rPr>
        <w:instrText xml:space="preserve"> REF _Ref147924426 \h  \* MERGEFORMAT </w:instrText>
      </w:r>
      <w:r w:rsidRPr="00BD6F37">
        <w:rPr>
          <w:rFonts w:cs="Arial"/>
        </w:rPr>
      </w:r>
      <w:r w:rsidRPr="00BD6F37">
        <w:rPr>
          <w:rFonts w:cs="Arial"/>
        </w:rPr>
        <w:fldChar w:fldCharType="separate"/>
      </w:r>
      <w:r w:rsidR="00F34424" w:rsidRPr="008C30BC">
        <w:t xml:space="preserve">Figure </w:t>
      </w:r>
      <w:r w:rsidR="00F34424">
        <w:rPr>
          <w:noProof/>
        </w:rPr>
        <w:t>2</w:t>
      </w:r>
      <w:r w:rsidRPr="00BD6F37">
        <w:rPr>
          <w:rFonts w:cs="Arial"/>
        </w:rPr>
        <w:fldChar w:fldCharType="end"/>
      </w:r>
      <w:r w:rsidRPr="00BD6F37">
        <w:rPr>
          <w:rFonts w:cs="Arial"/>
        </w:rPr>
        <w:t xml:space="preserve"> shows that in </w:t>
      </w:r>
      <w:r w:rsidR="001F0D48" w:rsidRPr="00BD6F37">
        <w:rPr>
          <w:rFonts w:cs="Arial"/>
        </w:rPr>
        <w:t xml:space="preserve">February </w:t>
      </w:r>
      <w:r w:rsidR="00840CEB" w:rsidRPr="00BD6F37">
        <w:rPr>
          <w:rFonts w:cs="Arial"/>
        </w:rPr>
        <w:t>2024</w:t>
      </w:r>
      <w:r w:rsidRPr="00BD6F37">
        <w:rPr>
          <w:rFonts w:cs="Arial"/>
        </w:rPr>
        <w:t xml:space="preserve"> (trend data</w:t>
      </w:r>
      <w:r w:rsidRPr="00BD6F37">
        <w:rPr>
          <w:rStyle w:val="FootnoteReference"/>
          <w:rFonts w:cs="Arial"/>
        </w:rPr>
        <w:footnoteReference w:id="4"/>
      </w:r>
      <w:r w:rsidRPr="00BD6F37">
        <w:rPr>
          <w:rFonts w:cs="Arial"/>
        </w:rPr>
        <w:t>), the Australian Capital Territory (ACT) had the highest share (</w:t>
      </w:r>
      <w:r w:rsidR="00BD6F37" w:rsidRPr="00BD6F37">
        <w:rPr>
          <w:bCs/>
        </w:rPr>
        <w:t>60.8</w:t>
      </w:r>
      <w:r w:rsidR="00840CEB" w:rsidRPr="00BD6F37">
        <w:t>%</w:t>
      </w:r>
      <w:r w:rsidRPr="00BD6F37">
        <w:rPr>
          <w:rFonts w:cs="Arial"/>
        </w:rPr>
        <w:t>) of employed workers in selected occupation groups (i.e. Managers, Professionals, and Technicians and Trade Workers), followed by Victoria (</w:t>
      </w:r>
      <w:r w:rsidR="00BD6F37" w:rsidRPr="00BD6F37">
        <w:rPr>
          <w:bCs/>
        </w:rPr>
        <w:t>54.</w:t>
      </w:r>
      <w:r w:rsidR="0072045B">
        <w:rPr>
          <w:bCs/>
        </w:rPr>
        <w:t>8</w:t>
      </w:r>
      <w:r w:rsidR="00840CEB" w:rsidRPr="00BD6F37">
        <w:t>%</w:t>
      </w:r>
      <w:r w:rsidRPr="00BD6F37">
        <w:rPr>
          <w:rFonts w:cs="Arial"/>
        </w:rPr>
        <w:t xml:space="preserve">) and New South Wales (NSW, </w:t>
      </w:r>
      <w:r w:rsidR="00BD6F37" w:rsidRPr="00BD6F37">
        <w:rPr>
          <w:bCs/>
        </w:rPr>
        <w:t>5</w:t>
      </w:r>
      <w:r w:rsidR="0072045B">
        <w:rPr>
          <w:bCs/>
        </w:rPr>
        <w:t>3.7</w:t>
      </w:r>
      <w:r w:rsidR="00840CEB" w:rsidRPr="00BD6F37">
        <w:t>%</w:t>
      </w:r>
      <w:r w:rsidRPr="00BD6F37">
        <w:rPr>
          <w:rFonts w:cs="Arial"/>
        </w:rPr>
        <w:t>).</w:t>
      </w:r>
    </w:p>
    <w:p w14:paraId="1170F900" w14:textId="35E5FC91" w:rsidR="000D14B7" w:rsidRPr="007B3938" w:rsidRDefault="000D14B7" w:rsidP="004B5527">
      <w:pPr>
        <w:spacing w:line="240" w:lineRule="auto"/>
        <w:rPr>
          <w:rFonts w:cs="Arial"/>
        </w:rPr>
      </w:pPr>
      <w:r w:rsidRPr="00BD6F37">
        <w:rPr>
          <w:rFonts w:cs="Arial"/>
        </w:rPr>
        <w:t xml:space="preserve">In the 12 months to </w:t>
      </w:r>
      <w:r w:rsidR="001F0D48" w:rsidRPr="00BD6F37">
        <w:rPr>
          <w:rFonts w:cs="Arial"/>
        </w:rPr>
        <w:t xml:space="preserve">February </w:t>
      </w:r>
      <w:r w:rsidR="00F70C27" w:rsidRPr="00BD6F37">
        <w:rPr>
          <w:rFonts w:cs="Arial"/>
        </w:rPr>
        <w:t>2024</w:t>
      </w:r>
      <w:r w:rsidRPr="00BD6F37">
        <w:rPr>
          <w:rFonts w:cs="Arial"/>
        </w:rPr>
        <w:t xml:space="preserve">, the share of workers employed in these selected occupation groups increased in all states and territories except </w:t>
      </w:r>
      <w:r w:rsidR="00BE65CB" w:rsidRPr="00BD6F37">
        <w:rPr>
          <w:rFonts w:cs="Arial"/>
        </w:rPr>
        <w:t>for</w:t>
      </w:r>
      <w:r w:rsidRPr="00BD6F37">
        <w:rPr>
          <w:rFonts w:cs="Arial"/>
        </w:rPr>
        <w:t xml:space="preserve"> NSW (down by </w:t>
      </w:r>
      <w:r w:rsidR="00BD6F37" w:rsidRPr="00BD6F37">
        <w:rPr>
          <w:rFonts w:cs="Arial"/>
        </w:rPr>
        <w:t>0.3</w:t>
      </w:r>
      <w:r w:rsidRPr="00BD6F37">
        <w:rPr>
          <w:rFonts w:cs="Arial"/>
        </w:rPr>
        <w:t>pp</w:t>
      </w:r>
      <w:r w:rsidRPr="00BD6F37">
        <w:rPr>
          <w:rStyle w:val="FootnoteReference"/>
          <w:rFonts w:cs="Arial"/>
        </w:rPr>
        <w:footnoteReference w:id="5"/>
      </w:r>
      <w:r w:rsidRPr="00BD6F37">
        <w:rPr>
          <w:rFonts w:cs="Arial"/>
        </w:rPr>
        <w:t>)</w:t>
      </w:r>
      <w:r w:rsidR="008C30BC" w:rsidRPr="00BD6F37">
        <w:rPr>
          <w:rFonts w:cs="Arial"/>
        </w:rPr>
        <w:t>.</w:t>
      </w:r>
      <w:r w:rsidRPr="00BD6F37">
        <w:rPr>
          <w:rFonts w:cs="Arial"/>
        </w:rPr>
        <w:t xml:space="preserve"> The largest increases were in the </w:t>
      </w:r>
      <w:r w:rsidR="008C30BC" w:rsidRPr="00BD6F37">
        <w:rPr>
          <w:rFonts w:cs="Arial"/>
        </w:rPr>
        <w:t xml:space="preserve">ACT </w:t>
      </w:r>
      <w:r w:rsidR="008B13EA">
        <w:rPr>
          <w:rFonts w:cs="Arial"/>
        </w:rPr>
        <w:t>(</w:t>
      </w:r>
      <w:r w:rsidR="008C30BC" w:rsidRPr="00BD6F37">
        <w:rPr>
          <w:rFonts w:cs="Arial"/>
        </w:rPr>
        <w:t xml:space="preserve">up by </w:t>
      </w:r>
      <w:r w:rsidR="00BD6F37" w:rsidRPr="00BD6F37">
        <w:rPr>
          <w:rFonts w:cs="Arial"/>
        </w:rPr>
        <w:t>1.0</w:t>
      </w:r>
      <w:r w:rsidR="008C30BC" w:rsidRPr="00BD6F37">
        <w:rPr>
          <w:rFonts w:cs="Arial"/>
        </w:rPr>
        <w:t xml:space="preserve">pp), </w:t>
      </w:r>
      <w:r w:rsidR="00D01812" w:rsidRPr="00BD6F37">
        <w:rPr>
          <w:rFonts w:cs="Arial"/>
        </w:rPr>
        <w:t xml:space="preserve">Tasmania </w:t>
      </w:r>
      <w:r w:rsidRPr="00BD6F37">
        <w:rPr>
          <w:rFonts w:cs="Arial"/>
        </w:rPr>
        <w:t xml:space="preserve">and </w:t>
      </w:r>
      <w:r w:rsidR="005E3E1F">
        <w:rPr>
          <w:rFonts w:cs="Arial"/>
        </w:rPr>
        <w:t xml:space="preserve">the </w:t>
      </w:r>
      <w:r w:rsidR="00132ECB" w:rsidRPr="00BD6F37">
        <w:rPr>
          <w:rFonts w:cs="Arial"/>
        </w:rPr>
        <w:t xml:space="preserve">Northern Territory </w:t>
      </w:r>
      <w:r w:rsidRPr="00BD6F37">
        <w:rPr>
          <w:rFonts w:cs="Arial"/>
        </w:rPr>
        <w:t>(</w:t>
      </w:r>
      <w:r w:rsidR="00132ECB" w:rsidRPr="00BD6F37">
        <w:rPr>
          <w:rFonts w:cs="Arial"/>
        </w:rPr>
        <w:t>NT,</w:t>
      </w:r>
      <w:r w:rsidR="00BD6F37" w:rsidRPr="00BD6F37">
        <w:rPr>
          <w:rFonts w:cs="Arial"/>
        </w:rPr>
        <w:t xml:space="preserve"> both</w:t>
      </w:r>
      <w:r w:rsidR="00132ECB" w:rsidRPr="00BD6F37">
        <w:rPr>
          <w:rFonts w:cs="Arial"/>
        </w:rPr>
        <w:t xml:space="preserve"> </w:t>
      </w:r>
      <w:r w:rsidRPr="00BD6F37">
        <w:rPr>
          <w:rFonts w:cs="Arial"/>
        </w:rPr>
        <w:t xml:space="preserve">up by </w:t>
      </w:r>
      <w:r w:rsidR="00BD6F37" w:rsidRPr="00BD6F37">
        <w:rPr>
          <w:rFonts w:cs="Arial"/>
        </w:rPr>
        <w:t>0.5</w:t>
      </w:r>
      <w:r w:rsidR="00F70C27" w:rsidRPr="00BD6F37">
        <w:rPr>
          <w:rFonts w:cs="Arial"/>
        </w:rPr>
        <w:t>pp</w:t>
      </w:r>
      <w:r w:rsidRPr="00BD6F37">
        <w:rPr>
          <w:rFonts w:cs="Arial"/>
        </w:rPr>
        <w:t xml:space="preserve">). Increases </w:t>
      </w:r>
      <w:r w:rsidR="00184C90" w:rsidRPr="00BD6F37">
        <w:rPr>
          <w:rFonts w:cs="Arial"/>
        </w:rPr>
        <w:t xml:space="preserve">were also </w:t>
      </w:r>
      <w:r w:rsidR="00BE65CB" w:rsidRPr="00BD6F37">
        <w:rPr>
          <w:rFonts w:cs="Arial"/>
        </w:rPr>
        <w:t>estimated for</w:t>
      </w:r>
      <w:r w:rsidRPr="00BD6F37">
        <w:rPr>
          <w:rFonts w:cs="Arial"/>
        </w:rPr>
        <w:t xml:space="preserve"> the remaining states, South Australia (</w:t>
      </w:r>
      <w:r w:rsidR="00D01812" w:rsidRPr="00BD6F37">
        <w:rPr>
          <w:rFonts w:cs="Arial"/>
        </w:rPr>
        <w:t xml:space="preserve">SA, </w:t>
      </w:r>
      <w:r w:rsidR="00184C90" w:rsidRPr="00BD6F37">
        <w:rPr>
          <w:rFonts w:cs="Arial"/>
        </w:rPr>
        <w:t xml:space="preserve">up by </w:t>
      </w:r>
      <w:r w:rsidR="00BD6F37" w:rsidRPr="00BD6F37">
        <w:rPr>
          <w:rFonts w:cs="Arial"/>
        </w:rPr>
        <w:t>0.3</w:t>
      </w:r>
      <w:r w:rsidR="00F70C27" w:rsidRPr="00BD6F37">
        <w:rPr>
          <w:rFonts w:cs="Arial"/>
        </w:rPr>
        <w:t>pp</w:t>
      </w:r>
      <w:r w:rsidRPr="00BD6F37">
        <w:rPr>
          <w:rFonts w:cs="Arial"/>
        </w:rPr>
        <w:t xml:space="preserve">), </w:t>
      </w:r>
      <w:r w:rsidR="00184C90" w:rsidRPr="00BD6F37">
        <w:rPr>
          <w:rFonts w:cs="Arial"/>
        </w:rPr>
        <w:t>Queensland</w:t>
      </w:r>
      <w:r w:rsidR="00BD6F37" w:rsidRPr="00BD6F37">
        <w:rPr>
          <w:rFonts w:cs="Arial"/>
        </w:rPr>
        <w:t xml:space="preserve">, </w:t>
      </w:r>
      <w:r w:rsidRPr="00BD6F37">
        <w:rPr>
          <w:rFonts w:cs="Arial"/>
        </w:rPr>
        <w:t>Western Australia</w:t>
      </w:r>
      <w:r w:rsidR="005E3E1F">
        <w:rPr>
          <w:rFonts w:cs="Arial"/>
        </w:rPr>
        <w:t xml:space="preserve"> (WA)</w:t>
      </w:r>
      <w:r w:rsidRPr="00BD6F37">
        <w:rPr>
          <w:rFonts w:cs="Arial"/>
        </w:rPr>
        <w:t xml:space="preserve"> </w:t>
      </w:r>
      <w:r w:rsidR="007B3938" w:rsidRPr="00BD6F37">
        <w:rPr>
          <w:rFonts w:cs="Arial"/>
        </w:rPr>
        <w:t>and Victoria (</w:t>
      </w:r>
      <w:r w:rsidR="00BD6F37" w:rsidRPr="00BD6F37">
        <w:rPr>
          <w:rFonts w:cs="Arial"/>
        </w:rPr>
        <w:t xml:space="preserve">all </w:t>
      </w:r>
      <w:r w:rsidR="007B3938" w:rsidRPr="00BD6F37">
        <w:rPr>
          <w:rFonts w:cs="Arial"/>
        </w:rPr>
        <w:t xml:space="preserve">up by </w:t>
      </w:r>
      <w:r w:rsidR="00BD6F37" w:rsidRPr="00BD6F37">
        <w:rPr>
          <w:rFonts w:cs="Arial"/>
        </w:rPr>
        <w:t>0.2</w:t>
      </w:r>
      <w:r w:rsidR="00F70C27" w:rsidRPr="00BD6F37">
        <w:rPr>
          <w:rFonts w:cs="Arial"/>
        </w:rPr>
        <w:t>pp</w:t>
      </w:r>
      <w:r w:rsidR="007B3938" w:rsidRPr="00BD6F37">
        <w:rPr>
          <w:rFonts w:cs="Arial"/>
        </w:rPr>
        <w:t>)</w:t>
      </w:r>
      <w:r w:rsidRPr="00BD6F37">
        <w:rPr>
          <w:rFonts w:cs="Arial"/>
        </w:rPr>
        <w:t>.</w:t>
      </w:r>
    </w:p>
    <w:p w14:paraId="360D3FA1" w14:textId="0AB36EC0" w:rsidR="000D14B7" w:rsidRDefault="000D14B7" w:rsidP="006A4F70">
      <w:pPr>
        <w:pStyle w:val="Caption"/>
        <w:spacing w:after="0" w:line="276" w:lineRule="auto"/>
      </w:pPr>
      <w:bookmarkStart w:id="2" w:name="_Ref147924426"/>
      <w:bookmarkStart w:id="3" w:name="_Hlk147924727"/>
      <w:r w:rsidRPr="008C30BC">
        <w:lastRenderedPageBreak/>
        <w:t xml:space="preserve">Figure </w:t>
      </w:r>
      <w:r w:rsidR="00521965">
        <w:fldChar w:fldCharType="begin"/>
      </w:r>
      <w:r w:rsidR="00521965">
        <w:instrText xml:space="preserve"> SEQ Figure \* ARABIC </w:instrText>
      </w:r>
      <w:r w:rsidR="00521965">
        <w:fldChar w:fldCharType="separate"/>
      </w:r>
      <w:r w:rsidR="00F34424">
        <w:rPr>
          <w:noProof/>
        </w:rPr>
        <w:t>2</w:t>
      </w:r>
      <w:r w:rsidR="00521965">
        <w:rPr>
          <w:noProof/>
        </w:rPr>
        <w:fldChar w:fldCharType="end"/>
      </w:r>
      <w:bookmarkEnd w:id="2"/>
      <w:r w:rsidRPr="008C30BC">
        <w:t xml:space="preserve">: Share of employment in selected </w:t>
      </w:r>
      <w:r w:rsidR="0056697D">
        <w:t>o</w:t>
      </w:r>
      <w:r w:rsidRPr="008C30BC">
        <w:t xml:space="preserve">ccupation </w:t>
      </w:r>
      <w:r w:rsidR="0056697D">
        <w:t>g</w:t>
      </w:r>
      <w:r w:rsidRPr="008C30BC">
        <w:t>roups</w:t>
      </w:r>
      <w:r w:rsidRPr="008C30BC">
        <w:rPr>
          <w:rStyle w:val="FootnoteReference"/>
        </w:rPr>
        <w:footnoteReference w:id="6"/>
      </w:r>
      <w:r w:rsidRPr="008C30BC">
        <w:t xml:space="preserve"> by state/territory, </w:t>
      </w:r>
      <w:r w:rsidR="001F0D48">
        <w:t xml:space="preserve">February </w:t>
      </w:r>
      <w:r w:rsidR="00F70C27" w:rsidRPr="005F0266">
        <w:t>202</w:t>
      </w:r>
      <w:r w:rsidR="00F70C27">
        <w:t>3</w:t>
      </w:r>
      <w:r w:rsidR="00F70C27" w:rsidRPr="005F0266">
        <w:t xml:space="preserve"> to </w:t>
      </w:r>
      <w:r w:rsidR="001F0D48">
        <w:t xml:space="preserve">February </w:t>
      </w:r>
      <w:r w:rsidR="00F70C27">
        <w:t>2024</w:t>
      </w:r>
    </w:p>
    <w:p w14:paraId="564340B7" w14:textId="2CE7C64B" w:rsidR="00FA5B70" w:rsidRPr="00FA5B70" w:rsidRDefault="00BD6F37" w:rsidP="006A4F70">
      <w:pPr>
        <w:spacing w:line="276" w:lineRule="auto"/>
      </w:pPr>
      <w:r>
        <w:rPr>
          <w:noProof/>
        </w:rPr>
        <w:drawing>
          <wp:inline distT="0" distB="0" distL="0" distR="0" wp14:anchorId="52AEE46A" wp14:editId="5DE00E1C">
            <wp:extent cx="5840095" cy="2481943"/>
            <wp:effectExtent l="0" t="0" r="8255" b="0"/>
            <wp:docPr id="1112531069" name="Chart 1" descr="Figure 2: Share of Employment for Selected Occupation Groups by State/Territory, for February 2023 and February 2024 (Trend data). In Figure 2, Selected Occupation Groups are ANZSCO Major Groups 1 to 3 (that is, Managers; Professionals; and Technicians and Trades Workers).&#10;State/Territory.&#10;New South Wales: February 2023 - 54%; February 2024 - 53.7%.&#10;Victoria: February 2023 - 54.7%; February 2024 - 54.8%.&#10;Queensland: February 2023 - 50.3%; February 2024 - 50.4%.&#10;South Australia: February 2023 - 49.7%; February 2024 - 49.9%.&#10;Western Australia: February 2023 - 51%; February 2024 - 51.2%.&#10;Tasmania: February 2023 - 49.8%; February 2024 - 50.4%.&#10;Northern Territory: February 2023 - 50.6%; February 2024 - 51.1%.&#10;Australian Capital Territory: February 2023 - 59.8%; February 2024 - 60.8%.&#10;">
              <a:extLst xmlns:a="http://schemas.openxmlformats.org/drawingml/2006/main">
                <a:ext uri="{FF2B5EF4-FFF2-40B4-BE49-F238E27FC236}">
                  <a16:creationId xmlns:a16="http://schemas.microsoft.com/office/drawing/2014/main" id="{914D3FBD-F340-39A4-3114-D62F31CDB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3"/>
    <w:p w14:paraId="45F16EA1" w14:textId="723DB83D" w:rsidR="00CE1FA2" w:rsidRDefault="000D14B7" w:rsidP="00286E10">
      <w:pPr>
        <w:pStyle w:val="Source"/>
        <w:rPr>
          <w:rStyle w:val="Hyperlink"/>
          <w:bCs w:val="0"/>
          <w:color w:val="auto"/>
          <w:sz w:val="16"/>
          <w:u w:val="none"/>
        </w:rPr>
      </w:pPr>
      <w:r w:rsidRPr="008C30BC">
        <w:t xml:space="preserve">Source: ABS, </w:t>
      </w:r>
      <w:r w:rsidRPr="008C30BC">
        <w:rPr>
          <w:i/>
          <w:iCs/>
        </w:rPr>
        <w:t xml:space="preserve">Detailed Labour Force </w:t>
      </w:r>
      <w:r w:rsidRPr="0086294C">
        <w:rPr>
          <w:i/>
          <w:iCs/>
        </w:rPr>
        <w:t>Survey (Table EQ08)</w:t>
      </w:r>
      <w:r w:rsidRPr="0086294C">
        <w:t xml:space="preserve">, </w:t>
      </w:r>
      <w:r w:rsidR="001F0D48" w:rsidRPr="0086294C">
        <w:t>February</w:t>
      </w:r>
      <w:r w:rsidR="001F0D48" w:rsidRPr="001F0D48">
        <w:t xml:space="preserve"> </w:t>
      </w:r>
      <w:r w:rsidR="00F70C27">
        <w:t>2024</w:t>
      </w:r>
      <w:r w:rsidRPr="008C30BC">
        <w:t xml:space="preserve">. Data trended by Jobs and Skills </w:t>
      </w:r>
      <w:r w:rsidRPr="00BE65CB">
        <w:t>Australia</w:t>
      </w:r>
    </w:p>
    <w:p w14:paraId="011C8177" w14:textId="41AE3DE8" w:rsidR="0036730B" w:rsidRPr="003D440B" w:rsidRDefault="0036730B" w:rsidP="003D440B">
      <w:pPr>
        <w:pStyle w:val="Heading1"/>
      </w:pPr>
      <w:r w:rsidRPr="003D440B">
        <w:t>Unemployment</w:t>
      </w:r>
    </w:p>
    <w:p w14:paraId="622BFA2D" w14:textId="5CFA1305" w:rsidR="007B1D10" w:rsidRDefault="007B1D10" w:rsidP="004B5527">
      <w:pPr>
        <w:pStyle w:val="Bodycopy"/>
        <w:spacing w:after="0" w:line="240" w:lineRule="auto"/>
      </w:pPr>
      <w:bookmarkStart w:id="4" w:name="_Toc118443205"/>
      <w:bookmarkStart w:id="5" w:name="_Toc118443346"/>
      <w:r>
        <w:t xml:space="preserve">The </w:t>
      </w:r>
      <w:r w:rsidR="004C0FFC">
        <w:t xml:space="preserve">trend </w:t>
      </w:r>
      <w:r>
        <w:t xml:space="preserve">unemployment rate </w:t>
      </w:r>
      <w:r w:rsidR="00DC6D02">
        <w:t xml:space="preserve">in Australia </w:t>
      </w:r>
      <w:r w:rsidRPr="00B54CCF">
        <w:t xml:space="preserve">was </w:t>
      </w:r>
      <w:r w:rsidR="00B54CCF" w:rsidRPr="00B54CCF">
        <w:t>3.8</w:t>
      </w:r>
      <w:r w:rsidRPr="00B54CCF">
        <w:t>% in</w:t>
      </w:r>
      <w:r>
        <w:t xml:space="preserve"> </w:t>
      </w:r>
      <w:r w:rsidR="00B54CCF">
        <w:rPr>
          <w:rFonts w:cs="Arial"/>
        </w:rPr>
        <w:t>February</w:t>
      </w:r>
      <w:r w:rsidR="00F70C27">
        <w:rPr>
          <w:rFonts w:cs="Arial"/>
        </w:rPr>
        <w:t xml:space="preserve"> 2024</w:t>
      </w:r>
      <w:r>
        <w:t>, compared with</w:t>
      </w:r>
      <w:r w:rsidR="00F70C27">
        <w:t xml:space="preserve"> </w:t>
      </w:r>
      <w:r w:rsidR="00B54CCF">
        <w:t xml:space="preserve">3.5% </w:t>
      </w:r>
      <w:r>
        <w:t xml:space="preserve">in </w:t>
      </w:r>
      <w:r w:rsidR="00B54CCF">
        <w:rPr>
          <w:rFonts w:cs="Arial"/>
        </w:rPr>
        <w:t xml:space="preserve">February </w:t>
      </w:r>
      <w:r w:rsidR="00F70C27">
        <w:rPr>
          <w:rFonts w:cs="Arial"/>
        </w:rPr>
        <w:t>2023</w:t>
      </w:r>
      <w:r>
        <w:t>.</w:t>
      </w:r>
    </w:p>
    <w:p w14:paraId="5722B404" w14:textId="7343AB1C" w:rsidR="007B1D10" w:rsidRDefault="007B1D10" w:rsidP="004B5527">
      <w:pPr>
        <w:pStyle w:val="Bodycopy"/>
        <w:spacing w:after="0" w:line="240" w:lineRule="auto"/>
      </w:pPr>
      <w:r>
        <w:t xml:space="preserve">Over the 12 months to </w:t>
      </w:r>
      <w:r w:rsidR="00B54CCF">
        <w:rPr>
          <w:rFonts w:cs="Arial"/>
        </w:rPr>
        <w:t>February</w:t>
      </w:r>
      <w:r w:rsidR="00DB1D2D">
        <w:rPr>
          <w:rFonts w:cs="Arial"/>
        </w:rPr>
        <w:t xml:space="preserve"> 2024</w:t>
      </w:r>
      <w:r>
        <w:t xml:space="preserve">, the unemployment rate </w:t>
      </w:r>
      <w:r w:rsidRPr="00B54CCF">
        <w:t>decreased in S</w:t>
      </w:r>
      <w:r w:rsidR="004C0FFC" w:rsidRPr="00B54CCF">
        <w:t>A</w:t>
      </w:r>
      <w:r w:rsidRPr="00B54CCF">
        <w:t> (</w:t>
      </w:r>
      <w:r w:rsidR="00B54CCF" w:rsidRPr="00B54CCF">
        <w:t>4.0%</w:t>
      </w:r>
      <w:r w:rsidR="00B54CCF">
        <w:t xml:space="preserve"> to 3.8%</w:t>
      </w:r>
      <w:r w:rsidR="00DB1D2D">
        <w:t>)</w:t>
      </w:r>
      <w:r>
        <w:t xml:space="preserve">. The unemployment rate rose in </w:t>
      </w:r>
      <w:r w:rsidR="004C0FFC" w:rsidRPr="00B54CCF">
        <w:t>NSW</w:t>
      </w:r>
      <w:r w:rsidRPr="00B54CCF">
        <w:t xml:space="preserve"> (</w:t>
      </w:r>
      <w:r w:rsidR="00B54CCF" w:rsidRPr="00B54CCF">
        <w:t>3.2% to 3.6%</w:t>
      </w:r>
      <w:r w:rsidRPr="00B54CCF">
        <w:t>), Victoria (</w:t>
      </w:r>
      <w:r w:rsidR="00B54CCF" w:rsidRPr="00B54CCF">
        <w:t>3.8% to 3.9%</w:t>
      </w:r>
      <w:r w:rsidRPr="00B54CCF">
        <w:t>), Queensland (</w:t>
      </w:r>
      <w:r w:rsidR="00B54CCF" w:rsidRPr="00B54CCF">
        <w:t>3.8% to 4.0%)</w:t>
      </w:r>
      <w:r w:rsidRPr="00B54CCF">
        <w:t>, W</w:t>
      </w:r>
      <w:r w:rsidR="004C0FFC" w:rsidRPr="00B54CCF">
        <w:t>A</w:t>
      </w:r>
      <w:r w:rsidRPr="00B54CCF">
        <w:t xml:space="preserve"> (</w:t>
      </w:r>
      <w:r w:rsidR="00B54CCF" w:rsidRPr="00B54CCF">
        <w:t>3.7% to 3.8%</w:t>
      </w:r>
      <w:r w:rsidRPr="00B54CCF">
        <w:t>), Tasmania (</w:t>
      </w:r>
      <w:r w:rsidR="00B54CCF" w:rsidRPr="00B54CCF">
        <w:t>4.0% to 4.3%</w:t>
      </w:r>
      <w:r w:rsidRPr="00B54CCF">
        <w:t>), N</w:t>
      </w:r>
      <w:r w:rsidR="004C0FFC" w:rsidRPr="00B54CCF">
        <w:t>T</w:t>
      </w:r>
      <w:r w:rsidRPr="00B54CCF">
        <w:t xml:space="preserve"> (</w:t>
      </w:r>
      <w:r w:rsidR="00B54CCF" w:rsidRPr="00B54CCF">
        <w:t>4.3% to 4.5%</w:t>
      </w:r>
      <w:r w:rsidRPr="00B54CCF">
        <w:t>)</w:t>
      </w:r>
      <w:r w:rsidR="0065299E" w:rsidRPr="00B54CCF">
        <w:t xml:space="preserve"> and </w:t>
      </w:r>
      <w:r w:rsidR="004C0FFC" w:rsidRPr="00B54CCF">
        <w:t>the ACT</w:t>
      </w:r>
      <w:r w:rsidR="0065299E" w:rsidRPr="00B54CCF">
        <w:t xml:space="preserve"> (</w:t>
      </w:r>
      <w:r w:rsidR="00B54CCF" w:rsidRPr="00B54CCF">
        <w:t>3.0% to 4.2%</w:t>
      </w:r>
      <w:r w:rsidR="0065299E" w:rsidRPr="00B54CCF">
        <w:t>).</w:t>
      </w:r>
    </w:p>
    <w:p w14:paraId="25EF11D7" w14:textId="6653420A" w:rsidR="00852640" w:rsidRDefault="00852640" w:rsidP="006A4F70">
      <w:pPr>
        <w:pStyle w:val="Caption"/>
        <w:spacing w:after="0" w:line="276" w:lineRule="auto"/>
        <w:rPr>
          <w:noProof/>
        </w:rPr>
      </w:pPr>
      <w:bookmarkStart w:id="6" w:name="_Ref147924640"/>
      <w:r>
        <w:t xml:space="preserve">Figure </w:t>
      </w:r>
      <w:r w:rsidR="00521965">
        <w:fldChar w:fldCharType="begin"/>
      </w:r>
      <w:r w:rsidR="00521965">
        <w:instrText xml:space="preserve"> SEQ Figure \* ARABIC </w:instrText>
      </w:r>
      <w:r w:rsidR="00521965">
        <w:fldChar w:fldCharType="separate"/>
      </w:r>
      <w:r w:rsidR="00F34424">
        <w:rPr>
          <w:noProof/>
        </w:rPr>
        <w:t>3</w:t>
      </w:r>
      <w:r w:rsidR="00521965">
        <w:rPr>
          <w:noProof/>
        </w:rPr>
        <w:fldChar w:fldCharType="end"/>
      </w:r>
      <w:bookmarkEnd w:id="6"/>
      <w:r w:rsidRPr="00184811">
        <w:t xml:space="preserve">: Unemployment rates (%) by </w:t>
      </w:r>
      <w:r>
        <w:t>s</w:t>
      </w:r>
      <w:r w:rsidRPr="00184811">
        <w:t>tate/</w:t>
      </w:r>
      <w:r>
        <w:t>t</w:t>
      </w:r>
      <w:r w:rsidRPr="00184811">
        <w:t>erritory</w:t>
      </w:r>
      <w:r>
        <w:t xml:space="preserve"> </w:t>
      </w:r>
      <w:r w:rsidRPr="00184811">
        <w:t>—</w:t>
      </w:r>
      <w:r>
        <w:t xml:space="preserve"> </w:t>
      </w:r>
      <w:r w:rsidR="00D93A9F">
        <w:t>February</w:t>
      </w:r>
      <w:r w:rsidR="00F623EB">
        <w:t xml:space="preserve"> 2024</w:t>
      </w:r>
    </w:p>
    <w:p w14:paraId="700E92AF" w14:textId="16DA1FA1" w:rsidR="00705A26" w:rsidRPr="00BE65CB" w:rsidRDefault="00B54CCF" w:rsidP="00256470">
      <w:pPr>
        <w:pStyle w:val="Source"/>
        <w:rPr>
          <w:rStyle w:val="Hyperlink"/>
          <w:color w:val="auto"/>
        </w:rPr>
      </w:pPr>
      <w:r>
        <w:rPr>
          <w:noProof/>
        </w:rPr>
        <w:drawing>
          <wp:inline distT="0" distB="0" distL="0" distR="0" wp14:anchorId="7A0D320A" wp14:editId="2F3DBEA7">
            <wp:extent cx="5700395" cy="2538484"/>
            <wp:effectExtent l="0" t="0" r="0" b="0"/>
            <wp:docPr id="1865128551" name="Chart 1" descr="Figure 3: Trend unemployment rates by State/Territory at February 2024. &#10; &#10;New South Wales 3.6%. &#10;Victoria 3.9%. &#10;Queensland 4%. &#10;South Australia 3.8%. &#10;Western Australia 3.8%. &#10;Tasmania 4.3%. &#10;Northern Territory 4.5%. &#10;Australian Capital Territory 4.2%. &#10;Australia 3.8%. ">
              <a:extLst xmlns:a="http://schemas.openxmlformats.org/drawingml/2006/main">
                <a:ext uri="{FF2B5EF4-FFF2-40B4-BE49-F238E27FC236}">
                  <a16:creationId xmlns:a16="http://schemas.microsoft.com/office/drawing/2014/main" id="{6CA7B11D-34C4-A593-50CB-96AAD9A6D4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65299E" w:rsidRPr="00154670">
        <w:t xml:space="preserve">Source: ABS Labour Force, Australia, </w:t>
      </w:r>
      <w:r w:rsidRPr="00154670">
        <w:t>February</w:t>
      </w:r>
      <w:r w:rsidR="00F623EB" w:rsidRPr="00154670">
        <w:t xml:space="preserve"> 2024</w:t>
      </w:r>
      <w:r w:rsidR="0065299E" w:rsidRPr="00154670">
        <w:t xml:space="preserve">. Table </w:t>
      </w:r>
      <w:r w:rsidR="003171EE" w:rsidRPr="00154670">
        <w:t>12</w:t>
      </w:r>
      <w:r w:rsidR="0065299E" w:rsidRPr="00154670">
        <w:t xml:space="preserve">: </w:t>
      </w:r>
      <w:r w:rsidR="003171EE" w:rsidRPr="00154670">
        <w:t>trend</w:t>
      </w:r>
      <w:r w:rsidR="0065299E" w:rsidRPr="00154670">
        <w:t xml:space="preserve"> unemployment rate. Retrieved</w:t>
      </w:r>
      <w:r w:rsidR="00F623EB" w:rsidRPr="00154670">
        <w:t xml:space="preserve"> </w:t>
      </w:r>
      <w:r w:rsidRPr="00154670">
        <w:t>21</w:t>
      </w:r>
      <w:r w:rsidR="0065299E" w:rsidRPr="00154670">
        <w:t xml:space="preserve"> </w:t>
      </w:r>
      <w:r w:rsidR="001F0D48" w:rsidRPr="00154670">
        <w:t xml:space="preserve">February </w:t>
      </w:r>
      <w:r w:rsidR="00F623EB" w:rsidRPr="00154670">
        <w:t>2024</w:t>
      </w:r>
      <w:r w:rsidR="0065299E" w:rsidRPr="00154670">
        <w:t>.</w:t>
      </w:r>
      <w:r w:rsidR="0065299E">
        <w:t xml:space="preserve"> </w:t>
      </w:r>
      <w:hyperlink r:id="rId17" w:history="1">
        <w:r w:rsidR="00901BD9" w:rsidRPr="001D3F13">
          <w:rPr>
            <w:rStyle w:val="Hyperlink"/>
            <w:szCs w:val="18"/>
          </w:rPr>
          <w:t>https://www.abs.gov.au/statistics/labour/employment-and-unemployment/labour-force-australia/feb-2024</w:t>
        </w:r>
      </w:hyperlink>
    </w:p>
    <w:bookmarkEnd w:id="4"/>
    <w:bookmarkEnd w:id="5"/>
    <w:p w14:paraId="7891EC60" w14:textId="4FE9733D" w:rsidR="00B545CC" w:rsidRPr="003D440B" w:rsidRDefault="00705A26" w:rsidP="003D440B">
      <w:pPr>
        <w:pStyle w:val="Heading1"/>
      </w:pPr>
      <w:r w:rsidRPr="003D440B">
        <w:lastRenderedPageBreak/>
        <w:t xml:space="preserve">Migrant </w:t>
      </w:r>
      <w:r w:rsidR="006555CD" w:rsidRPr="003D440B">
        <w:t>e</w:t>
      </w:r>
      <w:r w:rsidRPr="003D440B">
        <w:t>mployment</w:t>
      </w:r>
    </w:p>
    <w:p w14:paraId="7B43D00E" w14:textId="7391AEE8" w:rsidR="006A4F70" w:rsidRDefault="00784422" w:rsidP="004B5527">
      <w:pPr>
        <w:pStyle w:val="Bodycopy"/>
        <w:spacing w:line="240" w:lineRule="auto"/>
      </w:pPr>
      <w:r w:rsidRPr="00784422">
        <w:t>Austra</w:t>
      </w:r>
      <w:r>
        <w:t xml:space="preserve">lian-born </w:t>
      </w:r>
      <w:r w:rsidRPr="000D6188">
        <w:t>people represent the highest share of employed people in Tasmania (</w:t>
      </w:r>
      <w:r w:rsidR="000D6188" w:rsidRPr="000D6188">
        <w:t>84.4</w:t>
      </w:r>
      <w:r w:rsidRPr="000D6188">
        <w:t>%) and the lowest share in W</w:t>
      </w:r>
      <w:r w:rsidR="004C0FFC" w:rsidRPr="000D6188">
        <w:t>A</w:t>
      </w:r>
      <w:r w:rsidRPr="000D6188">
        <w:t xml:space="preserve"> (</w:t>
      </w:r>
      <w:r w:rsidR="000D6188" w:rsidRPr="000D6188">
        <w:t>58.</w:t>
      </w:r>
      <w:r w:rsidR="00A821D4">
        <w:t>6</w:t>
      </w:r>
      <w:r w:rsidR="00A27389">
        <w:t>%</w:t>
      </w:r>
      <w:r w:rsidRPr="000D6188">
        <w:t xml:space="preserve">). The share of employed people </w:t>
      </w:r>
      <w:r w:rsidR="001178AC" w:rsidRPr="000D6188">
        <w:t>born</w:t>
      </w:r>
      <w:r w:rsidRPr="000D6188">
        <w:t xml:space="preserve"> in other than main English-speaking countries (OTMESC)</w:t>
      </w:r>
      <w:r w:rsidRPr="000D6188">
        <w:rPr>
          <w:rStyle w:val="FootnoteReference"/>
        </w:rPr>
        <w:footnoteReference w:id="7"/>
      </w:r>
      <w:r w:rsidR="001178AC" w:rsidRPr="000D6188">
        <w:t xml:space="preserve"> is highest in Victoria, N</w:t>
      </w:r>
      <w:r w:rsidR="004C0FFC" w:rsidRPr="000D6188">
        <w:t>SW</w:t>
      </w:r>
      <w:r w:rsidR="001178AC" w:rsidRPr="000D6188">
        <w:t xml:space="preserve"> and </w:t>
      </w:r>
      <w:r w:rsidR="004C0FFC" w:rsidRPr="000D6188">
        <w:t xml:space="preserve">the </w:t>
      </w:r>
      <w:r w:rsidR="000D6188" w:rsidRPr="000D6188">
        <w:t>ACT</w:t>
      </w:r>
      <w:r w:rsidR="001178AC" w:rsidRPr="000D6188">
        <w:t xml:space="preserve"> (</w:t>
      </w:r>
      <w:r w:rsidR="000D6188" w:rsidRPr="000D6188">
        <w:t>29.8%, 28.4% and 27.4</w:t>
      </w:r>
      <w:r w:rsidR="001178AC" w:rsidRPr="000D6188">
        <w:t>% respectively).</w:t>
      </w:r>
      <w:r w:rsidR="001178AC">
        <w:t xml:space="preserve"> See Figure 4.</w:t>
      </w:r>
    </w:p>
    <w:p w14:paraId="5CCE65E9" w14:textId="6A891E40" w:rsidR="00784422" w:rsidRPr="00784422" w:rsidRDefault="00784422" w:rsidP="00002C6B">
      <w:pPr>
        <w:pStyle w:val="Caption"/>
      </w:pPr>
      <w:r>
        <w:t xml:space="preserve">Figure 4: Share of employment by state/territory and place of birth, </w:t>
      </w:r>
      <w:r w:rsidR="001F0D48" w:rsidRPr="001F0D48">
        <w:t xml:space="preserve">February </w:t>
      </w:r>
      <w:r w:rsidR="00F623EB">
        <w:t>2024</w:t>
      </w:r>
    </w:p>
    <w:p w14:paraId="0ED398B7" w14:textId="5A4E3ECA" w:rsidR="00DC3CF8" w:rsidRPr="00DC3CF8" w:rsidRDefault="00A821D4" w:rsidP="006A4F70">
      <w:pPr>
        <w:spacing w:line="276" w:lineRule="auto"/>
      </w:pPr>
      <w:r>
        <w:rPr>
          <w:noProof/>
        </w:rPr>
        <w:drawing>
          <wp:inline distT="0" distB="0" distL="0" distR="0" wp14:anchorId="06CBB81C" wp14:editId="4D9A7CD6">
            <wp:extent cx="5731510" cy="2927445"/>
            <wp:effectExtent l="0" t="0" r="2540" b="6350"/>
            <wp:docPr id="1170742919" name="Chart 1" descr="Figure 4: Share of Employment by State/Territory and Place of Birth, February 2024&#10;Share of Employment by State/Territory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New South Wales: MESC-born persons - 7.6% OTMESC-born persons - 28.4% Australia-born persons - 64.1% &#10;Victoria: MESC-born persons - 6.8% OTMESC-born persons - 29.8% Australia-born persons - 63.4% &#10;Queensland: MESC-born persons - 13% OTMESC-born persons - 16.9% Australia-born persons - 70.2% &#10;South Australia: MESC-born persons - 7.1% OTMESC-born persons - 19% Australia-born persons - 73.9% &#10;Western Australia: MESC-born persons - 17.8% OTMESC-born persons - 23.5% Australia-born persons - 58.6% &#10;Tasmania: MESC-born persons - 4.7% OTMESC-born persons - 10.9% Australia-born persons - 84.4% &#10;Northern Territory: MESC-born persons - 7.4% OTMESC-born persons - 26.6% Australia-born persons - 65.9% &#10;Australian Capital Territory: MESC-born persons - 3.8% OTMESC-born persons - 27.4% Australia-born persons - 68.7% &#10;">
              <a:extLst xmlns:a="http://schemas.openxmlformats.org/drawingml/2006/main">
                <a:ext uri="{FF2B5EF4-FFF2-40B4-BE49-F238E27FC236}">
                  <a16:creationId xmlns:a16="http://schemas.microsoft.com/office/drawing/2014/main" id="{501E18EE-1809-8B78-5B1D-3AE3A933B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2189F0" w14:textId="0019C2A2" w:rsidR="00B40702" w:rsidRPr="00022F34" w:rsidRDefault="005E7850" w:rsidP="006A4F70">
      <w:pPr>
        <w:spacing w:line="276" w:lineRule="auto"/>
        <w:rPr>
          <w:sz w:val="16"/>
          <w:szCs w:val="16"/>
        </w:rPr>
      </w:pPr>
      <w:bookmarkStart w:id="7" w:name="_Toc118443206"/>
      <w:r w:rsidRPr="005E7850">
        <w:rPr>
          <w:rFonts w:cs="Arial"/>
          <w:bCs/>
          <w:sz w:val="16"/>
          <w:szCs w:val="16"/>
        </w:rPr>
        <w:t xml:space="preserve">Source: ABS, Labour Force, Australia, Detailed, </w:t>
      </w:r>
      <w:r w:rsidR="001F0D48" w:rsidRPr="001F0D48">
        <w:rPr>
          <w:rFonts w:cs="Arial"/>
          <w:bCs/>
          <w:sz w:val="16"/>
          <w:szCs w:val="16"/>
        </w:rPr>
        <w:t xml:space="preserve">February </w:t>
      </w:r>
      <w:r w:rsidR="00F623EB">
        <w:rPr>
          <w:rFonts w:cs="Arial"/>
          <w:bCs/>
          <w:sz w:val="16"/>
          <w:szCs w:val="16"/>
        </w:rPr>
        <w:t>2024</w:t>
      </w:r>
      <w:r w:rsidRPr="005E7850">
        <w:rPr>
          <w:rFonts w:cs="Arial"/>
          <w:bCs/>
          <w:sz w:val="16"/>
          <w:szCs w:val="16"/>
        </w:rPr>
        <w:t xml:space="preserve">. Table LM7: Labour force status by elapsed years since arrival, main English-speaking countries, sex, state and territory. Retrieved </w:t>
      </w:r>
      <w:r w:rsidR="000D6188">
        <w:rPr>
          <w:rFonts w:cs="Arial"/>
          <w:bCs/>
          <w:sz w:val="16"/>
          <w:szCs w:val="16"/>
        </w:rPr>
        <w:t>28 March 2024</w:t>
      </w:r>
      <w:r w:rsidR="00F623EB">
        <w:rPr>
          <w:rFonts w:cs="Arial"/>
          <w:bCs/>
          <w:sz w:val="16"/>
          <w:szCs w:val="16"/>
        </w:rPr>
        <w:t xml:space="preserve">. </w:t>
      </w:r>
      <w:hyperlink r:id="rId19" w:history="1">
        <w:r w:rsidR="00901BD9" w:rsidRPr="00112BA9">
          <w:rPr>
            <w:rStyle w:val="Hyperlink"/>
            <w:rFonts w:cs="Arial"/>
            <w:bCs/>
            <w:sz w:val="16"/>
            <w:szCs w:val="16"/>
          </w:rPr>
          <w:t>https://www.abs.gov.au/statistics/labour/employment-and-unemployment/labour-force-australia-detailed/feb-2024</w:t>
        </w:r>
      </w:hyperlink>
    </w:p>
    <w:p w14:paraId="351AC232" w14:textId="6FB3CDCF" w:rsidR="00B40702" w:rsidRPr="003D440B" w:rsidRDefault="00B40702" w:rsidP="003D440B">
      <w:pPr>
        <w:pStyle w:val="Heading1"/>
      </w:pPr>
      <w:r w:rsidRPr="003D440B">
        <w:t xml:space="preserve">Migrant </w:t>
      </w:r>
      <w:r w:rsidR="006555CD" w:rsidRPr="003D440B">
        <w:t>u</w:t>
      </w:r>
      <w:r w:rsidRPr="003D440B">
        <w:t>nemployment</w:t>
      </w:r>
    </w:p>
    <w:p w14:paraId="7259BDD4" w14:textId="25BAF6CB" w:rsidR="00B40702" w:rsidRDefault="00B40702" w:rsidP="004B5527">
      <w:pPr>
        <w:pStyle w:val="Bodycopy"/>
        <w:spacing w:before="0" w:after="160" w:line="240" w:lineRule="auto"/>
      </w:pPr>
      <w:r w:rsidRPr="00B40702">
        <w:t>The unemployment rates for people who migrate to Australia vary appreciably. Several</w:t>
      </w:r>
      <w:r w:rsidR="004C0FFC">
        <w:t xml:space="preserve"> </w:t>
      </w:r>
      <w:r w:rsidRPr="00B40702">
        <w:t>factors influence migrant unemployment rates including skill level, age, English language</w:t>
      </w:r>
      <w:r w:rsidR="004C0FFC">
        <w:t xml:space="preserve"> </w:t>
      </w:r>
      <w:r w:rsidRPr="00B40702">
        <w:t>proficiency, recent and relevant work experience and the period since arrival in Australia.</w:t>
      </w:r>
      <w:r w:rsidR="004C0FFC">
        <w:t xml:space="preserve"> </w:t>
      </w:r>
      <w:r w:rsidRPr="00B40702">
        <w:t>Data consistently shows that recently arrived migrants have a higher unemployment rate on</w:t>
      </w:r>
      <w:r w:rsidR="004C0FFC">
        <w:t xml:space="preserve"> </w:t>
      </w:r>
      <w:r w:rsidRPr="00B40702">
        <w:t>average than those who have lived in Australia for some years.</w:t>
      </w:r>
    </w:p>
    <w:p w14:paraId="1FDB607A" w14:textId="00FD6676" w:rsidR="00F00258" w:rsidRDefault="00B40702">
      <w:r w:rsidRPr="00B40702">
        <w:t>Figure 5 shows the participation and unemployment rates of the Australian-born and</w:t>
      </w:r>
      <w:r w:rsidR="004C0FFC">
        <w:t xml:space="preserve"> </w:t>
      </w:r>
      <w:r w:rsidRPr="00B40702">
        <w:t>migrants by broad country of birth groups and period of residence in Australia (average of the</w:t>
      </w:r>
      <w:r>
        <w:t xml:space="preserve"> </w:t>
      </w:r>
      <w:r w:rsidRPr="00B40702">
        <w:t xml:space="preserve">last 12 months to </w:t>
      </w:r>
      <w:r w:rsidR="001F0D48" w:rsidRPr="001F0D48">
        <w:t xml:space="preserve">February </w:t>
      </w:r>
      <w:r w:rsidR="00F623EB">
        <w:t>2024</w:t>
      </w:r>
      <w:r w:rsidRPr="00B40702">
        <w:t>).</w:t>
      </w:r>
      <w:r w:rsidR="00F00258">
        <w:br w:type="page"/>
      </w:r>
    </w:p>
    <w:p w14:paraId="1F056AEA" w14:textId="4A39D964" w:rsidR="00F064B4" w:rsidRPr="00002C6B" w:rsidRDefault="00B40702" w:rsidP="00002C6B">
      <w:pPr>
        <w:pStyle w:val="Caption"/>
      </w:pPr>
      <w:r w:rsidRPr="00002C6B">
        <w:lastRenderedPageBreak/>
        <w:t>Figure 5: Labour force participation rate and unemployment rate, by years since arrival in Australia for</w:t>
      </w:r>
      <w:r w:rsidR="004C0FFC" w:rsidRPr="00002C6B">
        <w:t xml:space="preserve"> </w:t>
      </w:r>
      <w:r w:rsidRPr="00002C6B">
        <w:t xml:space="preserve">broad country of birth groups — 12 months to </w:t>
      </w:r>
      <w:r w:rsidR="001F0D48" w:rsidRPr="00002C6B">
        <w:t xml:space="preserve">February </w:t>
      </w:r>
      <w:r w:rsidR="00F623EB" w:rsidRPr="00002C6B">
        <w:t>2024</w:t>
      </w:r>
      <w:r w:rsidRPr="00002C6B">
        <w:t xml:space="preserve"> average</w:t>
      </w:r>
    </w:p>
    <w:p w14:paraId="0735A521" w14:textId="7A63D865" w:rsidR="00F064B4" w:rsidRPr="0089631D" w:rsidRDefault="00A27389" w:rsidP="006A4F70">
      <w:pPr>
        <w:pStyle w:val="Bodycopy"/>
        <w:spacing w:before="0" w:after="160" w:line="276" w:lineRule="auto"/>
        <w:rPr>
          <w:color w:val="auto"/>
          <w:sz w:val="18"/>
          <w:szCs w:val="18"/>
        </w:rPr>
      </w:pPr>
      <w:r>
        <w:rPr>
          <w:noProof/>
        </w:rPr>
        <w:drawing>
          <wp:inline distT="0" distB="0" distL="0" distR="0" wp14:anchorId="6371A53B" wp14:editId="717373F4">
            <wp:extent cx="5731510" cy="2913797"/>
            <wp:effectExtent l="0" t="0" r="2540" b="1270"/>
            <wp:docPr id="204152257" name="Chart 1" descr="Figure 5: Years since arrival in Australia by labour force participation rates (%) and unemployment rates (%) for broad country of birth groups—12 months to February 2024.&#10;Labour force participation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84.8%; OTMESC-born persons - 70.2%.&#10;Arrived 5-9          years ago: MESC-born persons - 84.7%; OTMESC-born persons - 78.7%.&#10;Arrived 10-14      years ago: MESC-born persons - 83.9%; OTMESC-born persons - 78.2%.&#10;Arrived 15-19      years ago: MESC-born persons - 82.6%; OTMESC-born persons - 81.7%.&#10;Arrived 20 or more years ago: MESC-born persons - 53.2%; OTMESC-born persons - 52.6%.&#10;Born in Australia: 67.7%.&#10;">
              <a:extLst xmlns:a="http://schemas.openxmlformats.org/drawingml/2006/main">
                <a:ext uri="{FF2B5EF4-FFF2-40B4-BE49-F238E27FC236}">
                  <a16:creationId xmlns:a16="http://schemas.microsoft.com/office/drawing/2014/main" id="{C401A6A3-1454-4734-CC2E-3F64D5684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36BC5E" w14:textId="5DC795FB" w:rsidR="00A821D4" w:rsidRDefault="00A821D4" w:rsidP="006A4F70">
      <w:pPr>
        <w:pStyle w:val="Bodycopy"/>
        <w:spacing w:before="0" w:after="0" w:line="276" w:lineRule="auto"/>
      </w:pPr>
      <w:r>
        <w:rPr>
          <w:noProof/>
        </w:rPr>
        <w:drawing>
          <wp:inline distT="0" distB="0" distL="0" distR="0" wp14:anchorId="0EE73FEE" wp14:editId="40495F47">
            <wp:extent cx="5731510" cy="2681785"/>
            <wp:effectExtent l="0" t="0" r="2540" b="4445"/>
            <wp:docPr id="1620335200" name="Chart 2" descr="Figure 5: Years since arrival in Australia by labour force participation rates (%) and unemployment rates (%) for broad country of birth groups—12 months to February 2024.&#10;Labour force participation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84.8%; OTMESC-born persons - 70.2%.&#10;Arrived 5-9          years ago: MESC-born persons - 84.7%; OTMESC-born persons - 78.7%.&#10;Arrived 10-14      years ago: MESC-born persons - 83.9%; OTMESC-born persons - 78.2%.&#10;Arrived 15-19      years ago: MESC-born persons - 82.6%; OTMESC-born persons - 81.7%.&#10;Arrived 20 or more years ago: MESC-born persons - 53.2%; OTMESC-born persons - 52.6%.&#10;Born in Australia: 67.7%.&#10;&#10;Unemployment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4.6%; OTMESC-born persons - 6.1%.&#10;Arrived 5-9          years ago: MESC-born persons - 3.2%; OTMESC-born persons - 3.7%.&#10;Arrived 10-14      years ago: MESC-born persons - 2.5%; OTMESC-born persons - 4.3%.&#10;Arrived 15-19      years ago: MESC-born persons - 2.7%; OTMESC-born persons - 3.4%.&#10;Arrived 20 or more years ago: MESC-born persons - 2.6%; OTMESC-born persons - 3%.&#10;Born in Australia: 3.8%.&#10;">
              <a:extLst xmlns:a="http://schemas.openxmlformats.org/drawingml/2006/main">
                <a:ext uri="{FF2B5EF4-FFF2-40B4-BE49-F238E27FC236}">
                  <a16:creationId xmlns:a16="http://schemas.microsoft.com/office/drawing/2014/main" id="{0E59308C-9C18-6B95-B5A4-14DBA2D89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BAA882" w14:textId="774C7C6B" w:rsidR="00525212" w:rsidRDefault="00A27389" w:rsidP="006A4F70">
      <w:pPr>
        <w:pStyle w:val="Bodycopy"/>
        <w:spacing w:line="276" w:lineRule="auto"/>
      </w:pPr>
      <w:r w:rsidRPr="00BC5BFF">
        <w:rPr>
          <w:rStyle w:val="SourceChar"/>
        </w:rPr>
        <w:t xml:space="preserve">Source: ABS Labour Force, Australia, February 2024. Table LM7: Labour force status by elapsed years since arrival, main English-speaking countries, sex, state and territory. Retrieved 28 March 2024. </w:t>
      </w:r>
      <w:hyperlink r:id="rId22" w:history="1">
        <w:r w:rsidR="00901BD9" w:rsidRPr="00BC5BFF">
          <w:rPr>
            <w:rStyle w:val="Hyperlink"/>
            <w:rFonts w:cs="Arial"/>
            <w:bCs/>
            <w:sz w:val="18"/>
            <w:szCs w:val="18"/>
          </w:rPr>
          <w:t>https://www.abs.gov.au/statistics/labour/employment-and-unemployment/labour-force-australia-detailed/feb-2024</w:t>
        </w:r>
      </w:hyperlink>
    </w:p>
    <w:p w14:paraId="74D8822B" w14:textId="660628B1" w:rsidR="00680BF1" w:rsidRDefault="00DD5BA9" w:rsidP="004B5527">
      <w:pPr>
        <w:pStyle w:val="Bodycopy"/>
        <w:spacing w:before="0" w:after="160" w:line="240" w:lineRule="auto"/>
      </w:pPr>
      <w:r>
        <w:t xml:space="preserve">Figure 6 shows </w:t>
      </w:r>
      <w:r w:rsidR="005E3E1F">
        <w:t xml:space="preserve">average </w:t>
      </w:r>
      <w:r>
        <w:t xml:space="preserve">unemployment rates </w:t>
      </w:r>
      <w:r w:rsidR="005E3E1F">
        <w:t>for</w:t>
      </w:r>
      <w:r>
        <w:t xml:space="preserve"> the 12 months to </w:t>
      </w:r>
      <w:r w:rsidR="001F0D48" w:rsidRPr="001F0D48">
        <w:t xml:space="preserve">February </w:t>
      </w:r>
      <w:r w:rsidR="002E1B1C">
        <w:t>2024</w:t>
      </w:r>
      <w:r>
        <w:t xml:space="preserve"> for people resident in Australia by their major birth country groups (by subcontinent). People born </w:t>
      </w:r>
      <w:r w:rsidRPr="00D72AE3">
        <w:t xml:space="preserve">in </w:t>
      </w:r>
      <w:r w:rsidR="00902FB8" w:rsidRPr="00D72AE3">
        <w:t>North-West</w:t>
      </w:r>
      <w:r w:rsidRPr="00D72AE3">
        <w:t xml:space="preserve"> Europe had the lowest unemployment rate</w:t>
      </w:r>
      <w:r w:rsidR="00902FB8" w:rsidRPr="00D72AE3">
        <w:t xml:space="preserve"> (at </w:t>
      </w:r>
      <w:r w:rsidR="00D72AE3" w:rsidRPr="00D72AE3">
        <w:t>2.5%),</w:t>
      </w:r>
      <w:r w:rsidR="00902FB8" w:rsidRPr="00D72AE3">
        <w:t xml:space="preserve"> while the unemployment rate for people born in North Africa and the Middle East (</w:t>
      </w:r>
      <w:r w:rsidR="00D72AE3" w:rsidRPr="00D72AE3">
        <w:t>7.7</w:t>
      </w:r>
      <w:r w:rsidR="00902FB8" w:rsidRPr="00D72AE3">
        <w:t xml:space="preserve">%) </w:t>
      </w:r>
      <w:r w:rsidR="00581331" w:rsidRPr="00D72AE3">
        <w:t>w</w:t>
      </w:r>
      <w:r w:rsidR="00902FB8" w:rsidRPr="00D72AE3">
        <w:t>as relatively high (possibly reflecting English language proficiency and period of residence</w:t>
      </w:r>
      <w:r w:rsidR="00902FB8">
        <w:t xml:space="preserve"> in Australia).</w:t>
      </w:r>
    </w:p>
    <w:p w14:paraId="79573328" w14:textId="77777777" w:rsidR="00664757" w:rsidRDefault="00664757">
      <w:pPr>
        <w:rPr>
          <w:rFonts w:cs="Arial"/>
          <w:b/>
          <w:bCs/>
          <w:color w:val="auto"/>
          <w:sz w:val="18"/>
          <w:szCs w:val="18"/>
        </w:rPr>
      </w:pPr>
      <w:r>
        <w:rPr>
          <w:rFonts w:cs="Arial"/>
          <w:b/>
          <w:bCs/>
          <w:color w:val="auto"/>
          <w:sz w:val="18"/>
          <w:szCs w:val="18"/>
        </w:rPr>
        <w:br w:type="page"/>
      </w:r>
    </w:p>
    <w:p w14:paraId="6D0F9152" w14:textId="7ED00086" w:rsidR="00902FB8" w:rsidRPr="00680BF1" w:rsidRDefault="00DC4A52" w:rsidP="00002C6B">
      <w:pPr>
        <w:pStyle w:val="Caption"/>
      </w:pPr>
      <w:r>
        <w:lastRenderedPageBreak/>
        <w:t>F</w:t>
      </w:r>
      <w:r w:rsidR="00902FB8">
        <w:t xml:space="preserve">igure 6: </w:t>
      </w:r>
      <w:r w:rsidR="00CE1FA2">
        <w:t>U</w:t>
      </w:r>
      <w:r w:rsidR="00902FB8">
        <w:t>nemployment rate by</w:t>
      </w:r>
      <w:r w:rsidR="00022F34">
        <w:t xml:space="preserve"> </w:t>
      </w:r>
      <w:r w:rsidR="00902FB8">
        <w:t xml:space="preserve">broad country of birth groups </w:t>
      </w:r>
      <w:r w:rsidR="00902FB8">
        <w:rPr>
          <w:rFonts w:ascii="Arial-BoldMT" w:hAnsi="Arial-BoldMT" w:cs="Arial-BoldMT"/>
        </w:rPr>
        <w:t xml:space="preserve">— </w:t>
      </w:r>
      <w:r w:rsidR="00902FB8">
        <w:t>12</w:t>
      </w:r>
      <w:r w:rsidR="00DC316B">
        <w:t> </w:t>
      </w:r>
      <w:r w:rsidR="00FC7A57">
        <w:t>m</w:t>
      </w:r>
      <w:r w:rsidR="00902FB8">
        <w:t xml:space="preserve">onths to </w:t>
      </w:r>
      <w:r w:rsidR="001F0D48" w:rsidRPr="001F0D48">
        <w:t xml:space="preserve">February </w:t>
      </w:r>
      <w:r w:rsidR="002E1B1C">
        <w:t>2024</w:t>
      </w:r>
      <w:r w:rsidR="00902FB8">
        <w:t xml:space="preserve"> average</w:t>
      </w:r>
      <w:r w:rsidR="00902FB8">
        <w:rPr>
          <w:rStyle w:val="FootnoteReference"/>
          <w:rFonts w:cs="Arial"/>
        </w:rPr>
        <w:footnoteReference w:id="8"/>
      </w:r>
    </w:p>
    <w:p w14:paraId="0BC2CC0F" w14:textId="52BAB3AF" w:rsidR="00570ABE" w:rsidRDefault="008B42B7" w:rsidP="006A4F70">
      <w:pPr>
        <w:pStyle w:val="Bodycopy"/>
        <w:spacing w:before="0" w:after="0" w:line="276" w:lineRule="auto"/>
        <w:rPr>
          <w:sz w:val="16"/>
          <w:szCs w:val="16"/>
        </w:rPr>
      </w:pPr>
      <w:r>
        <w:rPr>
          <w:noProof/>
        </w:rPr>
        <w:drawing>
          <wp:inline distT="0" distB="0" distL="0" distR="0" wp14:anchorId="1AADF33A" wp14:editId="53F4021E">
            <wp:extent cx="5731510" cy="3485071"/>
            <wp:effectExtent l="0" t="0" r="2540" b="1270"/>
            <wp:docPr id="1187410158" name="Chart 1" descr="Figure 6: Unemployment rates by major country groups (subcontinent) of birth (average of the last 12 months to February 2024 ; original data).&#10;Australia (includes External Territories) 3.8%.&#10;Oceania and Antarctica 3.8%.&#10;North-West Europe 2.5%.&#10;Southern and Eastern Europe 2.9%.&#10;North Africa and the Middle East 7.7%.&#10;South-East Asia 3.3%.&#10;North-East Asia 3.5%.&#10;Southern and Central Asia 3.9%.&#10;Americas 3.6%.&#10;Sub-Saharan Africa 4.2%.&#10;MESC 2.8%.&#10;OTMESC 3.9%.&#10;">
              <a:extLst xmlns:a="http://schemas.openxmlformats.org/drawingml/2006/main">
                <a:ext uri="{FF2B5EF4-FFF2-40B4-BE49-F238E27FC236}">
                  <a16:creationId xmlns:a16="http://schemas.microsoft.com/office/drawing/2014/main" id="{BDE02916-74F1-657E-81C4-38B449DC7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673812" w14:textId="77777777" w:rsidR="00CC0EE3" w:rsidRPr="00903925" w:rsidRDefault="002822F3" w:rsidP="00903925">
      <w:pPr>
        <w:pStyle w:val="Source"/>
      </w:pPr>
      <w:r w:rsidRPr="00903925">
        <w:t xml:space="preserve">Source: ABS Labour Force, Australia, Detailed, </w:t>
      </w:r>
      <w:r w:rsidR="001F0D48" w:rsidRPr="00903925">
        <w:t xml:space="preserve">February </w:t>
      </w:r>
      <w:r w:rsidR="002E1B1C" w:rsidRPr="00903925">
        <w:t>2024</w:t>
      </w:r>
      <w:r w:rsidRPr="00903925">
        <w:t xml:space="preserve">. Table LM5: Labour force status by age, major country group (subcontinent) of birth (SACC) and sex; and Table LM7: Labour force status by elapsed years since arrival, main English-speaking countries, sex, state and territory. Retrieved </w:t>
      </w:r>
      <w:r w:rsidR="00D72AE3" w:rsidRPr="00903925">
        <w:t xml:space="preserve">28 March 2024. </w:t>
      </w:r>
    </w:p>
    <w:p w14:paraId="770198F2" w14:textId="2FB0B0A3" w:rsidR="002822F3" w:rsidRPr="00BC5BFF" w:rsidRDefault="00000000" w:rsidP="006A4F70">
      <w:pPr>
        <w:spacing w:line="276" w:lineRule="auto"/>
        <w:rPr>
          <w:rStyle w:val="Hyperlink"/>
          <w:sz w:val="18"/>
          <w:szCs w:val="18"/>
        </w:rPr>
      </w:pPr>
      <w:hyperlink r:id="rId24" w:history="1">
        <w:r w:rsidR="00CC0EE3" w:rsidRPr="00BC5BFF">
          <w:rPr>
            <w:rStyle w:val="Hyperlink"/>
            <w:rFonts w:cs="Arial"/>
            <w:bCs/>
            <w:sz w:val="18"/>
            <w:szCs w:val="18"/>
          </w:rPr>
          <w:t>https://www.abs.gov.au/statistics/labour/employment-and-unemployment/labour-force-australia-detailed/feb-2024</w:t>
        </w:r>
      </w:hyperlink>
      <w:r w:rsidR="00901BD9" w:rsidRPr="00BC5BFF">
        <w:rPr>
          <w:rFonts w:cs="Arial"/>
          <w:bCs/>
          <w:sz w:val="18"/>
          <w:szCs w:val="18"/>
        </w:rPr>
        <w:t xml:space="preserve"> </w:t>
      </w:r>
    </w:p>
    <w:p w14:paraId="3381B6B7" w14:textId="7120D0EA" w:rsidR="002822F3" w:rsidRPr="003D440B" w:rsidRDefault="00444D9E" w:rsidP="003D440B">
      <w:pPr>
        <w:pStyle w:val="Heading1"/>
      </w:pPr>
      <w:r w:rsidRPr="003D440B">
        <w:t>Employment by occupation</w:t>
      </w:r>
    </w:p>
    <w:p w14:paraId="79AA60AC" w14:textId="7AFC3752" w:rsidR="00DC4A52" w:rsidRDefault="002E6BF7" w:rsidP="00DC4A52">
      <w:r w:rsidRPr="00117F15">
        <w:rPr>
          <w:rFonts w:cs="Arial"/>
        </w:rPr>
        <w:t xml:space="preserve">Over the 12 </w:t>
      </w:r>
      <w:r w:rsidRPr="00BB15E3">
        <w:rPr>
          <w:rFonts w:cs="Arial"/>
        </w:rPr>
        <w:t xml:space="preserve">months to </w:t>
      </w:r>
      <w:r w:rsidR="001F0D48" w:rsidRPr="00BB15E3">
        <w:rPr>
          <w:rFonts w:cs="Arial"/>
        </w:rPr>
        <w:t xml:space="preserve">February </w:t>
      </w:r>
      <w:r w:rsidR="002E1B1C" w:rsidRPr="00BB15E3">
        <w:rPr>
          <w:rFonts w:cs="Arial"/>
        </w:rPr>
        <w:t>2024</w:t>
      </w:r>
      <w:r w:rsidRPr="00BB15E3">
        <w:rPr>
          <w:rFonts w:cs="Arial"/>
        </w:rPr>
        <w:t>, the largest increases in employment (trend data</w:t>
      </w:r>
      <w:r w:rsidRPr="00BB15E3">
        <w:rPr>
          <w:rStyle w:val="FootnoteReference"/>
          <w:rFonts w:cs="Arial"/>
        </w:rPr>
        <w:footnoteReference w:id="9"/>
      </w:r>
      <w:r w:rsidRPr="00BB15E3">
        <w:rPr>
          <w:rFonts w:cs="Arial"/>
        </w:rPr>
        <w:t xml:space="preserve">) occurred for </w:t>
      </w:r>
      <w:r w:rsidR="00C361CD" w:rsidRPr="00BB15E3">
        <w:rPr>
          <w:rFonts w:cs="Arial"/>
        </w:rPr>
        <w:t xml:space="preserve">Professionals (up by </w:t>
      </w:r>
      <w:r w:rsidR="00BB15E3" w:rsidRPr="00BB15E3">
        <w:rPr>
          <w:rFonts w:cs="Arial"/>
        </w:rPr>
        <w:t>152,500</w:t>
      </w:r>
      <w:r w:rsidR="00C361CD" w:rsidRPr="00BB15E3">
        <w:rPr>
          <w:rFonts w:cs="Arial"/>
        </w:rPr>
        <w:t xml:space="preserve">), </w:t>
      </w:r>
      <w:r w:rsidRPr="00BB15E3">
        <w:rPr>
          <w:rFonts w:cs="Arial"/>
        </w:rPr>
        <w:t xml:space="preserve">Clerical and Administrative Workers (up by </w:t>
      </w:r>
      <w:r w:rsidR="00BB15E3" w:rsidRPr="00BB15E3">
        <w:rPr>
          <w:rFonts w:cs="Arial"/>
        </w:rPr>
        <w:t>86,600</w:t>
      </w:r>
      <w:r w:rsidRPr="00BB15E3">
        <w:rPr>
          <w:rFonts w:cs="Arial"/>
        </w:rPr>
        <w:t xml:space="preserve">), </w:t>
      </w:r>
      <w:r w:rsidR="00C361CD" w:rsidRPr="00BB15E3">
        <w:rPr>
          <w:rFonts w:cs="Arial"/>
        </w:rPr>
        <w:t xml:space="preserve">and </w:t>
      </w:r>
      <w:r w:rsidRPr="00BB15E3">
        <w:rPr>
          <w:rFonts w:cs="Arial"/>
        </w:rPr>
        <w:t xml:space="preserve">Community and Personal Service Workers (up by </w:t>
      </w:r>
      <w:r w:rsidR="00BB15E3" w:rsidRPr="00BB15E3">
        <w:rPr>
          <w:rFonts w:cs="Arial"/>
        </w:rPr>
        <w:t>84,100</w:t>
      </w:r>
      <w:r w:rsidRPr="00BB15E3">
        <w:rPr>
          <w:rFonts w:cs="Arial"/>
        </w:rPr>
        <w:t xml:space="preserve">). The smallest increase occurred for </w:t>
      </w:r>
      <w:r w:rsidR="00CF609A" w:rsidRPr="00BB15E3">
        <w:rPr>
          <w:rFonts w:cs="Arial"/>
        </w:rPr>
        <w:t>Sales Workers</w:t>
      </w:r>
      <w:r w:rsidR="00C361CD" w:rsidRPr="00BB15E3">
        <w:rPr>
          <w:rFonts w:cs="Arial"/>
        </w:rPr>
        <w:t xml:space="preserve"> </w:t>
      </w:r>
      <w:r w:rsidRPr="00BB15E3">
        <w:rPr>
          <w:rFonts w:cs="Arial"/>
        </w:rPr>
        <w:t xml:space="preserve">(up by </w:t>
      </w:r>
      <w:r w:rsidR="00BB15E3" w:rsidRPr="00BB15E3">
        <w:rPr>
          <w:rFonts w:cs="Arial"/>
        </w:rPr>
        <w:t>400</w:t>
      </w:r>
      <w:r w:rsidRPr="00BB15E3">
        <w:rPr>
          <w:rFonts w:cs="Arial"/>
        </w:rPr>
        <w:t xml:space="preserve">). Employment growth for the major occupation groups is shown in </w:t>
      </w:r>
      <w:r w:rsidRPr="00BB15E3">
        <w:rPr>
          <w:rFonts w:cs="Arial"/>
          <w:b/>
          <w:iCs/>
        </w:rPr>
        <w:fldChar w:fldCharType="begin"/>
      </w:r>
      <w:r w:rsidRPr="00BB15E3">
        <w:rPr>
          <w:rFonts w:cs="Arial"/>
        </w:rPr>
        <w:instrText xml:space="preserve"> REF _Ref147925073 \h </w:instrText>
      </w:r>
      <w:r w:rsidRPr="00BB15E3">
        <w:rPr>
          <w:rFonts w:cs="Arial"/>
          <w:iCs/>
        </w:rPr>
        <w:instrText xml:space="preserve"> \* MERGEFORMAT </w:instrText>
      </w:r>
      <w:r w:rsidRPr="00BB15E3">
        <w:rPr>
          <w:rFonts w:cs="Arial"/>
          <w:b/>
          <w:iCs/>
        </w:rPr>
      </w:r>
      <w:r w:rsidRPr="00BB15E3">
        <w:rPr>
          <w:rFonts w:cs="Arial"/>
          <w:b/>
          <w:iCs/>
        </w:rPr>
        <w:fldChar w:fldCharType="separate"/>
      </w:r>
      <w:r w:rsidR="00F34424" w:rsidRPr="00F34424">
        <w:rPr>
          <w:rFonts w:cs="Arial"/>
        </w:rPr>
        <w:t xml:space="preserve">Table </w:t>
      </w:r>
      <w:r w:rsidR="00F34424" w:rsidRPr="00F34424">
        <w:rPr>
          <w:rFonts w:cs="Arial"/>
          <w:noProof/>
        </w:rPr>
        <w:t>1</w:t>
      </w:r>
      <w:r w:rsidRPr="00BB15E3">
        <w:rPr>
          <w:rFonts w:cs="Arial"/>
          <w:b/>
          <w:iCs/>
        </w:rPr>
        <w:fldChar w:fldCharType="end"/>
      </w:r>
      <w:r w:rsidRPr="00BB15E3">
        <w:rPr>
          <w:rFonts w:cs="Arial"/>
        </w:rPr>
        <w:t>.</w:t>
      </w:r>
    </w:p>
    <w:p w14:paraId="0A86B189" w14:textId="54B7132C" w:rsidR="002E6BF7" w:rsidRDefault="002E6BF7" w:rsidP="00DC4A52">
      <w:pPr>
        <w:pStyle w:val="Caption"/>
        <w:spacing w:before="120" w:line="276" w:lineRule="auto"/>
      </w:pPr>
      <w:bookmarkStart w:id="8" w:name="_Ref147925073"/>
      <w:bookmarkEnd w:id="7"/>
      <w:r>
        <w:t xml:space="preserve">Table </w:t>
      </w:r>
      <w:r w:rsidR="00521965">
        <w:fldChar w:fldCharType="begin"/>
      </w:r>
      <w:r w:rsidR="00521965">
        <w:instrText xml:space="preserve"> SEQ Table \* ARABIC </w:instrText>
      </w:r>
      <w:r w:rsidR="00521965">
        <w:fldChar w:fldCharType="separate"/>
      </w:r>
      <w:r w:rsidR="00F34424">
        <w:rPr>
          <w:noProof/>
        </w:rPr>
        <w:t>1</w:t>
      </w:r>
      <w:r w:rsidR="00521965">
        <w:rPr>
          <w:noProof/>
        </w:rPr>
        <w:fldChar w:fldCharType="end"/>
      </w:r>
      <w:bookmarkEnd w:id="8"/>
      <w:r w:rsidRPr="00B00C90">
        <w:t>: Trend employment growth by occupation</w:t>
      </w:r>
      <w:r>
        <w:t xml:space="preserve"> </w:t>
      </w:r>
      <w:r w:rsidRPr="00B00C90">
        <w:t>—</w:t>
      </w:r>
      <w:r>
        <w:t xml:space="preserve"> </w:t>
      </w:r>
      <w:r w:rsidRPr="00B00C90">
        <w:t xml:space="preserve">12 months to </w:t>
      </w:r>
      <w:r w:rsidR="001F0D48" w:rsidRPr="001F0D48">
        <w:t xml:space="preserve">February </w:t>
      </w:r>
      <w:r w:rsidR="002E1B1C">
        <w:t>2024</w:t>
      </w:r>
      <w:r>
        <w:rPr>
          <w:rStyle w:val="FootnoteReference"/>
        </w:rPr>
        <w:footnoteReference w:id="10"/>
      </w:r>
    </w:p>
    <w:tbl>
      <w:tblPr>
        <w:tblStyle w:val="JSATable1"/>
        <w:tblW w:w="9071" w:type="dxa"/>
        <w:tblLayout w:type="fixed"/>
        <w:tblLook w:val="0020" w:firstRow="1" w:lastRow="0" w:firstColumn="0" w:lastColumn="0" w:noHBand="0" w:noVBand="0"/>
      </w:tblPr>
      <w:tblGrid>
        <w:gridCol w:w="4535"/>
        <w:gridCol w:w="2268"/>
        <w:gridCol w:w="2268"/>
      </w:tblGrid>
      <w:tr w:rsidR="002E6BF7" w:rsidRPr="002E6BF7" w14:paraId="7D1D9CCA" w14:textId="77777777" w:rsidTr="00BB15E3">
        <w:trPr>
          <w:cnfStyle w:val="100000000000" w:firstRow="1" w:lastRow="0" w:firstColumn="0" w:lastColumn="0" w:oddVBand="0" w:evenVBand="0" w:oddHBand="0" w:evenHBand="0" w:firstRowFirstColumn="0" w:firstRowLastColumn="0" w:lastRowFirstColumn="0" w:lastRowLastColumn="0"/>
        </w:trPr>
        <w:tc>
          <w:tcPr>
            <w:tcW w:w="4535" w:type="dxa"/>
            <w:vAlign w:val="center"/>
          </w:tcPr>
          <w:p w14:paraId="6C557C67" w14:textId="77777777" w:rsidR="002E6BF7" w:rsidRPr="0054590F" w:rsidRDefault="002E6BF7" w:rsidP="006A4F70">
            <w:pPr>
              <w:spacing w:line="276" w:lineRule="auto"/>
              <w:jc w:val="center"/>
              <w:rPr>
                <w:color w:val="FFFFFF" w:themeColor="background1"/>
                <w:sz w:val="18"/>
                <w:szCs w:val="18"/>
              </w:rPr>
            </w:pPr>
            <w:r w:rsidRPr="0054590F">
              <w:rPr>
                <w:color w:val="FFFFFF" w:themeColor="background1"/>
                <w:sz w:val="18"/>
                <w:szCs w:val="18"/>
              </w:rPr>
              <w:t>Occupational Group</w:t>
            </w:r>
          </w:p>
        </w:tc>
        <w:tc>
          <w:tcPr>
            <w:tcW w:w="2268" w:type="dxa"/>
            <w:vAlign w:val="center"/>
          </w:tcPr>
          <w:p w14:paraId="26927EFE" w14:textId="77777777" w:rsidR="002E6BF7" w:rsidRPr="0054590F" w:rsidRDefault="002E6BF7" w:rsidP="00402E52">
            <w:pPr>
              <w:spacing w:line="276" w:lineRule="auto"/>
              <w:jc w:val="right"/>
              <w:rPr>
                <w:color w:val="FFFFFF" w:themeColor="background1"/>
                <w:sz w:val="18"/>
                <w:szCs w:val="18"/>
              </w:rPr>
            </w:pPr>
            <w:r w:rsidRPr="0054590F">
              <w:rPr>
                <w:color w:val="FFFFFF" w:themeColor="background1"/>
                <w:sz w:val="18"/>
                <w:szCs w:val="18"/>
              </w:rPr>
              <w:t xml:space="preserve">1 Year Change </w:t>
            </w:r>
            <w:r w:rsidRPr="0054590F">
              <w:rPr>
                <w:color w:val="FFFFFF" w:themeColor="background1"/>
                <w:sz w:val="18"/>
                <w:szCs w:val="18"/>
              </w:rPr>
              <w:br/>
              <w:t>(‘000 persons)</w:t>
            </w:r>
          </w:p>
        </w:tc>
        <w:tc>
          <w:tcPr>
            <w:tcW w:w="2268" w:type="dxa"/>
            <w:vAlign w:val="center"/>
          </w:tcPr>
          <w:p w14:paraId="5D1EAE9D" w14:textId="77777777" w:rsidR="002E6BF7" w:rsidRPr="0054590F" w:rsidRDefault="002E6BF7" w:rsidP="00402E52">
            <w:pPr>
              <w:spacing w:line="276" w:lineRule="auto"/>
              <w:jc w:val="right"/>
              <w:rPr>
                <w:color w:val="FFFFFF" w:themeColor="background1"/>
                <w:sz w:val="18"/>
                <w:szCs w:val="18"/>
              </w:rPr>
            </w:pPr>
            <w:r w:rsidRPr="0054590F">
              <w:rPr>
                <w:color w:val="FFFFFF" w:themeColor="background1"/>
                <w:sz w:val="18"/>
                <w:szCs w:val="18"/>
              </w:rPr>
              <w:t xml:space="preserve">1 Year Change </w:t>
            </w:r>
            <w:r w:rsidRPr="0054590F">
              <w:rPr>
                <w:color w:val="FFFFFF" w:themeColor="background1"/>
                <w:sz w:val="18"/>
                <w:szCs w:val="18"/>
              </w:rPr>
              <w:br/>
              <w:t>(%)</w:t>
            </w:r>
          </w:p>
        </w:tc>
      </w:tr>
      <w:tr w:rsidR="00BB15E3" w:rsidRPr="00B26C3D" w14:paraId="731C5B7B" w14:textId="77777777" w:rsidTr="00BB15E3">
        <w:tc>
          <w:tcPr>
            <w:tcW w:w="4535" w:type="dxa"/>
            <w:vAlign w:val="center"/>
          </w:tcPr>
          <w:p w14:paraId="7414F6D4" w14:textId="77777777" w:rsidR="00BB15E3" w:rsidRPr="0054590F" w:rsidRDefault="00BB15E3" w:rsidP="00B10974">
            <w:pPr>
              <w:spacing w:line="276" w:lineRule="auto"/>
              <w:rPr>
                <w:sz w:val="18"/>
                <w:szCs w:val="18"/>
              </w:rPr>
            </w:pPr>
            <w:r w:rsidRPr="0054590F">
              <w:rPr>
                <w:sz w:val="18"/>
                <w:szCs w:val="18"/>
              </w:rPr>
              <w:t>Managers</w:t>
            </w:r>
          </w:p>
        </w:tc>
        <w:tc>
          <w:tcPr>
            <w:tcW w:w="2268" w:type="dxa"/>
            <w:vAlign w:val="center"/>
          </w:tcPr>
          <w:p w14:paraId="634E102F" w14:textId="7B577CAF" w:rsidR="00BB15E3" w:rsidRPr="0054590F" w:rsidRDefault="00BB15E3" w:rsidP="00402E52">
            <w:pPr>
              <w:spacing w:line="276" w:lineRule="auto"/>
              <w:jc w:val="right"/>
              <w:rPr>
                <w:sz w:val="18"/>
                <w:szCs w:val="18"/>
              </w:rPr>
            </w:pPr>
            <w:r w:rsidRPr="0054590F">
              <w:rPr>
                <w:sz w:val="18"/>
                <w:szCs w:val="18"/>
              </w:rPr>
              <w:t>1.1</w:t>
            </w:r>
          </w:p>
        </w:tc>
        <w:tc>
          <w:tcPr>
            <w:tcW w:w="2268" w:type="dxa"/>
            <w:vAlign w:val="center"/>
          </w:tcPr>
          <w:p w14:paraId="44CFCDF0" w14:textId="66574B52" w:rsidR="00BB15E3" w:rsidRPr="0054590F" w:rsidRDefault="00BB15E3" w:rsidP="00402E52">
            <w:pPr>
              <w:spacing w:line="276" w:lineRule="auto"/>
              <w:jc w:val="right"/>
              <w:rPr>
                <w:sz w:val="18"/>
                <w:szCs w:val="18"/>
              </w:rPr>
            </w:pPr>
            <w:r w:rsidRPr="0054590F">
              <w:rPr>
                <w:sz w:val="18"/>
                <w:szCs w:val="18"/>
              </w:rPr>
              <w:t>0.1</w:t>
            </w:r>
          </w:p>
        </w:tc>
      </w:tr>
      <w:tr w:rsidR="00BB15E3" w:rsidRPr="00B26C3D" w14:paraId="5F3FFE47" w14:textId="77777777" w:rsidTr="00BB15E3">
        <w:trPr>
          <w:cnfStyle w:val="000000010000" w:firstRow="0" w:lastRow="0" w:firstColumn="0" w:lastColumn="0" w:oddVBand="0" w:evenVBand="0" w:oddHBand="0" w:evenHBand="1" w:firstRowFirstColumn="0" w:firstRowLastColumn="0" w:lastRowFirstColumn="0" w:lastRowLastColumn="0"/>
        </w:trPr>
        <w:tc>
          <w:tcPr>
            <w:tcW w:w="4535" w:type="dxa"/>
            <w:vAlign w:val="center"/>
          </w:tcPr>
          <w:p w14:paraId="21EE8216" w14:textId="77777777" w:rsidR="00BB15E3" w:rsidRPr="0054590F" w:rsidRDefault="00BB15E3" w:rsidP="00B10974">
            <w:pPr>
              <w:spacing w:line="276" w:lineRule="auto"/>
              <w:rPr>
                <w:sz w:val="18"/>
                <w:szCs w:val="18"/>
              </w:rPr>
            </w:pPr>
            <w:r w:rsidRPr="0054590F">
              <w:rPr>
                <w:sz w:val="18"/>
                <w:szCs w:val="18"/>
              </w:rPr>
              <w:t>Professionals</w:t>
            </w:r>
          </w:p>
        </w:tc>
        <w:tc>
          <w:tcPr>
            <w:tcW w:w="2268" w:type="dxa"/>
            <w:vAlign w:val="center"/>
          </w:tcPr>
          <w:p w14:paraId="560137F8" w14:textId="3DF16B78" w:rsidR="00BB15E3" w:rsidRPr="0054590F" w:rsidRDefault="00BB15E3" w:rsidP="00402E52">
            <w:pPr>
              <w:spacing w:line="276" w:lineRule="auto"/>
              <w:jc w:val="right"/>
              <w:rPr>
                <w:sz w:val="18"/>
                <w:szCs w:val="18"/>
              </w:rPr>
            </w:pPr>
            <w:r w:rsidRPr="0054590F">
              <w:rPr>
                <w:sz w:val="18"/>
                <w:szCs w:val="18"/>
              </w:rPr>
              <w:t>152.5</w:t>
            </w:r>
          </w:p>
        </w:tc>
        <w:tc>
          <w:tcPr>
            <w:tcW w:w="2268" w:type="dxa"/>
            <w:vAlign w:val="center"/>
          </w:tcPr>
          <w:p w14:paraId="07CD04DB" w14:textId="71B4BCE6" w:rsidR="00BB15E3" w:rsidRPr="0054590F" w:rsidRDefault="00BB15E3" w:rsidP="00402E52">
            <w:pPr>
              <w:spacing w:line="276" w:lineRule="auto"/>
              <w:jc w:val="right"/>
              <w:rPr>
                <w:sz w:val="18"/>
                <w:szCs w:val="18"/>
              </w:rPr>
            </w:pPr>
            <w:r w:rsidRPr="0054590F">
              <w:rPr>
                <w:sz w:val="18"/>
                <w:szCs w:val="18"/>
              </w:rPr>
              <w:t>4.2</w:t>
            </w:r>
          </w:p>
        </w:tc>
      </w:tr>
      <w:tr w:rsidR="00BB15E3" w:rsidRPr="00B26C3D" w14:paraId="6E5C2206" w14:textId="77777777" w:rsidTr="00BB15E3">
        <w:tc>
          <w:tcPr>
            <w:tcW w:w="4535" w:type="dxa"/>
            <w:vAlign w:val="center"/>
          </w:tcPr>
          <w:p w14:paraId="350AD6E4" w14:textId="77777777" w:rsidR="00BB15E3" w:rsidRPr="0054590F" w:rsidRDefault="00BB15E3" w:rsidP="00B10974">
            <w:pPr>
              <w:spacing w:line="276" w:lineRule="auto"/>
              <w:rPr>
                <w:sz w:val="18"/>
                <w:szCs w:val="18"/>
              </w:rPr>
            </w:pPr>
            <w:r w:rsidRPr="0054590F">
              <w:rPr>
                <w:sz w:val="18"/>
                <w:szCs w:val="18"/>
              </w:rPr>
              <w:t>Technicians and Trades Workers</w:t>
            </w:r>
          </w:p>
        </w:tc>
        <w:tc>
          <w:tcPr>
            <w:tcW w:w="2268" w:type="dxa"/>
            <w:vAlign w:val="center"/>
          </w:tcPr>
          <w:p w14:paraId="7BE2AE49" w14:textId="3DBFA962" w:rsidR="00BB15E3" w:rsidRPr="0054590F" w:rsidRDefault="00BB15E3" w:rsidP="00402E52">
            <w:pPr>
              <w:spacing w:line="276" w:lineRule="auto"/>
              <w:jc w:val="right"/>
              <w:rPr>
                <w:sz w:val="18"/>
                <w:szCs w:val="18"/>
              </w:rPr>
            </w:pPr>
            <w:r w:rsidRPr="0054590F">
              <w:rPr>
                <w:sz w:val="18"/>
                <w:szCs w:val="18"/>
              </w:rPr>
              <w:t>26.2</w:t>
            </w:r>
          </w:p>
        </w:tc>
        <w:tc>
          <w:tcPr>
            <w:tcW w:w="2268" w:type="dxa"/>
            <w:vAlign w:val="center"/>
          </w:tcPr>
          <w:p w14:paraId="42450EF8" w14:textId="7CD1E8BE" w:rsidR="00BB15E3" w:rsidRPr="0054590F" w:rsidRDefault="00BB15E3" w:rsidP="00402E52">
            <w:pPr>
              <w:spacing w:line="276" w:lineRule="auto"/>
              <w:jc w:val="right"/>
              <w:rPr>
                <w:sz w:val="18"/>
                <w:szCs w:val="18"/>
              </w:rPr>
            </w:pPr>
            <w:r w:rsidRPr="0054590F">
              <w:rPr>
                <w:sz w:val="18"/>
                <w:szCs w:val="18"/>
              </w:rPr>
              <w:t>1.4</w:t>
            </w:r>
          </w:p>
        </w:tc>
      </w:tr>
      <w:tr w:rsidR="00BB15E3" w:rsidRPr="00B26C3D" w14:paraId="0DBC5375" w14:textId="77777777" w:rsidTr="00BB15E3">
        <w:trPr>
          <w:cnfStyle w:val="000000010000" w:firstRow="0" w:lastRow="0" w:firstColumn="0" w:lastColumn="0" w:oddVBand="0" w:evenVBand="0" w:oddHBand="0" w:evenHBand="1" w:firstRowFirstColumn="0" w:firstRowLastColumn="0" w:lastRowFirstColumn="0" w:lastRowLastColumn="0"/>
        </w:trPr>
        <w:tc>
          <w:tcPr>
            <w:tcW w:w="4535" w:type="dxa"/>
            <w:vAlign w:val="center"/>
          </w:tcPr>
          <w:p w14:paraId="5F922987" w14:textId="77777777" w:rsidR="00BB15E3" w:rsidRPr="0054590F" w:rsidRDefault="00BB15E3" w:rsidP="00B10974">
            <w:pPr>
              <w:spacing w:line="276" w:lineRule="auto"/>
              <w:rPr>
                <w:sz w:val="18"/>
                <w:szCs w:val="18"/>
              </w:rPr>
            </w:pPr>
            <w:r w:rsidRPr="0054590F">
              <w:rPr>
                <w:sz w:val="18"/>
                <w:szCs w:val="18"/>
              </w:rPr>
              <w:t>Community and Personal Service Workers</w:t>
            </w:r>
          </w:p>
        </w:tc>
        <w:tc>
          <w:tcPr>
            <w:tcW w:w="2268" w:type="dxa"/>
            <w:vAlign w:val="center"/>
          </w:tcPr>
          <w:p w14:paraId="055008DF" w14:textId="1BDAC08E" w:rsidR="00BB15E3" w:rsidRPr="0054590F" w:rsidRDefault="00BB15E3" w:rsidP="00402E52">
            <w:pPr>
              <w:spacing w:line="276" w:lineRule="auto"/>
              <w:jc w:val="right"/>
              <w:rPr>
                <w:sz w:val="18"/>
                <w:szCs w:val="18"/>
              </w:rPr>
            </w:pPr>
            <w:r w:rsidRPr="0054590F">
              <w:rPr>
                <w:sz w:val="18"/>
                <w:szCs w:val="18"/>
              </w:rPr>
              <w:t>84.1</w:t>
            </w:r>
          </w:p>
        </w:tc>
        <w:tc>
          <w:tcPr>
            <w:tcW w:w="2268" w:type="dxa"/>
            <w:vAlign w:val="center"/>
          </w:tcPr>
          <w:p w14:paraId="6A710AE8" w14:textId="3219C10F" w:rsidR="00BB15E3" w:rsidRPr="0054590F" w:rsidRDefault="00BB15E3" w:rsidP="00402E52">
            <w:pPr>
              <w:spacing w:line="276" w:lineRule="auto"/>
              <w:jc w:val="right"/>
              <w:rPr>
                <w:sz w:val="18"/>
                <w:szCs w:val="18"/>
              </w:rPr>
            </w:pPr>
            <w:r w:rsidRPr="0054590F">
              <w:rPr>
                <w:sz w:val="18"/>
                <w:szCs w:val="18"/>
              </w:rPr>
              <w:t>5.5</w:t>
            </w:r>
          </w:p>
        </w:tc>
      </w:tr>
      <w:tr w:rsidR="00BB15E3" w:rsidRPr="00B26C3D" w14:paraId="3E4A2E35" w14:textId="77777777" w:rsidTr="00BB15E3">
        <w:tc>
          <w:tcPr>
            <w:tcW w:w="4535" w:type="dxa"/>
            <w:vAlign w:val="center"/>
          </w:tcPr>
          <w:p w14:paraId="0CDA5592" w14:textId="77777777" w:rsidR="00BB15E3" w:rsidRPr="0054590F" w:rsidRDefault="00BB15E3" w:rsidP="00B10974">
            <w:pPr>
              <w:spacing w:line="276" w:lineRule="auto"/>
              <w:rPr>
                <w:sz w:val="18"/>
                <w:szCs w:val="18"/>
              </w:rPr>
            </w:pPr>
            <w:r w:rsidRPr="0054590F">
              <w:rPr>
                <w:sz w:val="18"/>
                <w:szCs w:val="18"/>
              </w:rPr>
              <w:t>Clerical and Administrative Workers</w:t>
            </w:r>
          </w:p>
        </w:tc>
        <w:tc>
          <w:tcPr>
            <w:tcW w:w="2268" w:type="dxa"/>
            <w:vAlign w:val="center"/>
          </w:tcPr>
          <w:p w14:paraId="2F118002" w14:textId="21101C24" w:rsidR="00BB15E3" w:rsidRPr="0054590F" w:rsidRDefault="00BB15E3" w:rsidP="00402E52">
            <w:pPr>
              <w:spacing w:line="276" w:lineRule="auto"/>
              <w:jc w:val="right"/>
              <w:rPr>
                <w:sz w:val="18"/>
                <w:szCs w:val="18"/>
              </w:rPr>
            </w:pPr>
            <w:r w:rsidRPr="0054590F">
              <w:rPr>
                <w:sz w:val="18"/>
                <w:szCs w:val="18"/>
              </w:rPr>
              <w:t>86.6</w:t>
            </w:r>
          </w:p>
        </w:tc>
        <w:tc>
          <w:tcPr>
            <w:tcW w:w="2268" w:type="dxa"/>
            <w:vAlign w:val="center"/>
          </w:tcPr>
          <w:p w14:paraId="4D688885" w14:textId="021453B2" w:rsidR="00BB15E3" w:rsidRPr="0054590F" w:rsidRDefault="00BB15E3" w:rsidP="00402E52">
            <w:pPr>
              <w:spacing w:line="276" w:lineRule="auto"/>
              <w:jc w:val="right"/>
              <w:rPr>
                <w:sz w:val="18"/>
                <w:szCs w:val="18"/>
              </w:rPr>
            </w:pPr>
            <w:r w:rsidRPr="0054590F">
              <w:rPr>
                <w:sz w:val="18"/>
                <w:szCs w:val="18"/>
              </w:rPr>
              <w:t>4.8</w:t>
            </w:r>
          </w:p>
        </w:tc>
      </w:tr>
      <w:tr w:rsidR="00BB15E3" w:rsidRPr="00B26C3D" w14:paraId="00EFD7C4" w14:textId="77777777" w:rsidTr="00BB15E3">
        <w:trPr>
          <w:cnfStyle w:val="000000010000" w:firstRow="0" w:lastRow="0" w:firstColumn="0" w:lastColumn="0" w:oddVBand="0" w:evenVBand="0" w:oddHBand="0" w:evenHBand="1" w:firstRowFirstColumn="0" w:firstRowLastColumn="0" w:lastRowFirstColumn="0" w:lastRowLastColumn="0"/>
        </w:trPr>
        <w:tc>
          <w:tcPr>
            <w:tcW w:w="4535" w:type="dxa"/>
            <w:vAlign w:val="center"/>
          </w:tcPr>
          <w:p w14:paraId="3EDB8391" w14:textId="77777777" w:rsidR="00BB15E3" w:rsidRPr="0054590F" w:rsidRDefault="00BB15E3" w:rsidP="00B10974">
            <w:pPr>
              <w:spacing w:line="276" w:lineRule="auto"/>
              <w:rPr>
                <w:sz w:val="18"/>
                <w:szCs w:val="18"/>
              </w:rPr>
            </w:pPr>
            <w:r w:rsidRPr="0054590F">
              <w:rPr>
                <w:sz w:val="18"/>
                <w:szCs w:val="18"/>
              </w:rPr>
              <w:t>Sales Workers</w:t>
            </w:r>
          </w:p>
        </w:tc>
        <w:tc>
          <w:tcPr>
            <w:tcW w:w="2268" w:type="dxa"/>
            <w:vAlign w:val="center"/>
          </w:tcPr>
          <w:p w14:paraId="06532320" w14:textId="60DB7322" w:rsidR="00BB15E3" w:rsidRPr="0054590F" w:rsidRDefault="00BB15E3" w:rsidP="00402E52">
            <w:pPr>
              <w:spacing w:line="276" w:lineRule="auto"/>
              <w:jc w:val="right"/>
              <w:rPr>
                <w:sz w:val="18"/>
                <w:szCs w:val="18"/>
              </w:rPr>
            </w:pPr>
            <w:r w:rsidRPr="0054590F">
              <w:rPr>
                <w:sz w:val="18"/>
                <w:szCs w:val="18"/>
              </w:rPr>
              <w:t>0.4</w:t>
            </w:r>
          </w:p>
        </w:tc>
        <w:tc>
          <w:tcPr>
            <w:tcW w:w="2268" w:type="dxa"/>
            <w:vAlign w:val="center"/>
          </w:tcPr>
          <w:p w14:paraId="3E77471C" w14:textId="5DDCC448" w:rsidR="00BB15E3" w:rsidRPr="0054590F" w:rsidRDefault="00BB15E3" w:rsidP="00402E52">
            <w:pPr>
              <w:spacing w:line="276" w:lineRule="auto"/>
              <w:jc w:val="right"/>
              <w:rPr>
                <w:sz w:val="18"/>
                <w:szCs w:val="18"/>
              </w:rPr>
            </w:pPr>
            <w:r w:rsidRPr="0054590F">
              <w:rPr>
                <w:sz w:val="18"/>
                <w:szCs w:val="18"/>
              </w:rPr>
              <w:t>0.0</w:t>
            </w:r>
          </w:p>
        </w:tc>
      </w:tr>
      <w:tr w:rsidR="00BB15E3" w:rsidRPr="00B26C3D" w14:paraId="5186B306" w14:textId="77777777" w:rsidTr="00DC4A52">
        <w:trPr>
          <w:trHeight w:val="80"/>
        </w:trPr>
        <w:tc>
          <w:tcPr>
            <w:tcW w:w="4535" w:type="dxa"/>
          </w:tcPr>
          <w:p w14:paraId="0C351E79" w14:textId="77777777" w:rsidR="00BB15E3" w:rsidRPr="0054590F" w:rsidRDefault="00BB15E3" w:rsidP="00B10974">
            <w:pPr>
              <w:spacing w:line="276" w:lineRule="auto"/>
              <w:rPr>
                <w:sz w:val="18"/>
                <w:szCs w:val="18"/>
              </w:rPr>
            </w:pPr>
            <w:r w:rsidRPr="0054590F">
              <w:rPr>
                <w:sz w:val="18"/>
                <w:szCs w:val="18"/>
              </w:rPr>
              <w:t>Machinery Operators and Drivers</w:t>
            </w:r>
          </w:p>
        </w:tc>
        <w:tc>
          <w:tcPr>
            <w:tcW w:w="2268" w:type="dxa"/>
            <w:vAlign w:val="center"/>
          </w:tcPr>
          <w:p w14:paraId="6CDEB822" w14:textId="1845686C" w:rsidR="00BB15E3" w:rsidRPr="0054590F" w:rsidRDefault="00BB15E3" w:rsidP="00402E52">
            <w:pPr>
              <w:spacing w:line="276" w:lineRule="auto"/>
              <w:jc w:val="right"/>
              <w:rPr>
                <w:sz w:val="18"/>
                <w:szCs w:val="18"/>
              </w:rPr>
            </w:pPr>
            <w:r w:rsidRPr="0054590F">
              <w:rPr>
                <w:sz w:val="18"/>
                <w:szCs w:val="18"/>
              </w:rPr>
              <w:t>24.9</w:t>
            </w:r>
          </w:p>
        </w:tc>
        <w:tc>
          <w:tcPr>
            <w:tcW w:w="2268" w:type="dxa"/>
            <w:vAlign w:val="center"/>
          </w:tcPr>
          <w:p w14:paraId="374AF430" w14:textId="79A5FD13" w:rsidR="00BB15E3" w:rsidRPr="0054590F" w:rsidRDefault="00BB15E3" w:rsidP="00402E52">
            <w:pPr>
              <w:spacing w:line="276" w:lineRule="auto"/>
              <w:jc w:val="right"/>
              <w:rPr>
                <w:sz w:val="18"/>
                <w:szCs w:val="18"/>
              </w:rPr>
            </w:pPr>
            <w:r w:rsidRPr="0054590F">
              <w:rPr>
                <w:sz w:val="18"/>
                <w:szCs w:val="18"/>
              </w:rPr>
              <w:t>2.8</w:t>
            </w:r>
          </w:p>
        </w:tc>
      </w:tr>
      <w:tr w:rsidR="00BB15E3" w:rsidRPr="00B26C3D" w14:paraId="5F990943" w14:textId="77777777" w:rsidTr="00BB15E3">
        <w:trPr>
          <w:cnfStyle w:val="000000010000" w:firstRow="0" w:lastRow="0" w:firstColumn="0" w:lastColumn="0" w:oddVBand="0" w:evenVBand="0" w:oddHBand="0" w:evenHBand="1" w:firstRowFirstColumn="0" w:firstRowLastColumn="0" w:lastRowFirstColumn="0" w:lastRowLastColumn="0"/>
        </w:trPr>
        <w:tc>
          <w:tcPr>
            <w:tcW w:w="4535" w:type="dxa"/>
          </w:tcPr>
          <w:p w14:paraId="378EC200" w14:textId="77777777" w:rsidR="00BB15E3" w:rsidRPr="0054590F" w:rsidRDefault="00BB15E3" w:rsidP="00B10974">
            <w:pPr>
              <w:spacing w:line="276" w:lineRule="auto"/>
              <w:rPr>
                <w:sz w:val="18"/>
                <w:szCs w:val="18"/>
              </w:rPr>
            </w:pPr>
            <w:r w:rsidRPr="0054590F">
              <w:rPr>
                <w:sz w:val="18"/>
                <w:szCs w:val="18"/>
              </w:rPr>
              <w:t>Labourers</w:t>
            </w:r>
          </w:p>
        </w:tc>
        <w:tc>
          <w:tcPr>
            <w:tcW w:w="2268" w:type="dxa"/>
            <w:vAlign w:val="center"/>
          </w:tcPr>
          <w:p w14:paraId="7AB54526" w14:textId="26A069F1" w:rsidR="00BB15E3" w:rsidRPr="0054590F" w:rsidRDefault="00BB15E3" w:rsidP="00402E52">
            <w:pPr>
              <w:spacing w:line="276" w:lineRule="auto"/>
              <w:jc w:val="right"/>
              <w:rPr>
                <w:sz w:val="18"/>
                <w:szCs w:val="18"/>
              </w:rPr>
            </w:pPr>
            <w:r w:rsidRPr="0054590F">
              <w:rPr>
                <w:sz w:val="18"/>
                <w:szCs w:val="18"/>
              </w:rPr>
              <w:t>2.3</w:t>
            </w:r>
          </w:p>
        </w:tc>
        <w:tc>
          <w:tcPr>
            <w:tcW w:w="2268" w:type="dxa"/>
            <w:vAlign w:val="center"/>
          </w:tcPr>
          <w:p w14:paraId="172ACA21" w14:textId="1CC09093" w:rsidR="00BB15E3" w:rsidRPr="0054590F" w:rsidRDefault="00BB15E3" w:rsidP="00402E52">
            <w:pPr>
              <w:spacing w:line="276" w:lineRule="auto"/>
              <w:jc w:val="right"/>
              <w:rPr>
                <w:sz w:val="18"/>
                <w:szCs w:val="18"/>
              </w:rPr>
            </w:pPr>
            <w:r w:rsidRPr="0054590F">
              <w:rPr>
                <w:sz w:val="18"/>
                <w:szCs w:val="18"/>
              </w:rPr>
              <w:t>0.2</w:t>
            </w:r>
          </w:p>
        </w:tc>
      </w:tr>
    </w:tbl>
    <w:p w14:paraId="58F92DF6" w14:textId="52310157" w:rsidR="00BB15E3" w:rsidRPr="00BB15E3" w:rsidRDefault="0058026A" w:rsidP="006A4F70">
      <w:pPr>
        <w:spacing w:before="240" w:line="276" w:lineRule="auto"/>
        <w:rPr>
          <w:rStyle w:val="StrongandEmphasis"/>
          <w:b w:val="0"/>
          <w:bCs/>
          <w:i w:val="0"/>
          <w:iCs/>
        </w:rPr>
      </w:pPr>
      <w:r w:rsidRPr="00542F7C">
        <w:lastRenderedPageBreak/>
        <w:t xml:space="preserve">Additional information on occupational groups is provided in the following section on internet </w:t>
      </w:r>
      <w:r w:rsidRPr="000D4B57">
        <w:t>vacancy data</w:t>
      </w:r>
      <w:r w:rsidRPr="000D4B57">
        <w:rPr>
          <w:rStyle w:val="StrongandEmphasis"/>
        </w:rPr>
        <w:t>.</w:t>
      </w:r>
    </w:p>
    <w:p w14:paraId="779A7A16" w14:textId="574D1681" w:rsidR="00105334" w:rsidRDefault="00105334" w:rsidP="006A4F70">
      <w:pPr>
        <w:pStyle w:val="Heading1"/>
        <w:spacing w:after="0" w:line="276" w:lineRule="auto"/>
        <w:rPr>
          <w:color w:val="auto"/>
        </w:rPr>
      </w:pPr>
      <w:bookmarkStart w:id="9" w:name="_Hlk161843123"/>
      <w:r w:rsidRPr="003D440B">
        <w:t>Internet Vacancy data</w:t>
      </w:r>
      <w:bookmarkEnd w:id="9"/>
      <w:r w:rsidRPr="00E00432">
        <w:rPr>
          <w:rStyle w:val="FootnoteReference"/>
          <w:sz w:val="28"/>
          <w:szCs w:val="28"/>
        </w:rPr>
        <w:footnoteReference w:id="11"/>
      </w:r>
    </w:p>
    <w:p w14:paraId="11D647FF" w14:textId="53C20F36" w:rsidR="005343FB" w:rsidRDefault="00105334" w:rsidP="004B5527">
      <w:pPr>
        <w:spacing w:line="240" w:lineRule="auto"/>
      </w:pPr>
      <w:r>
        <w:t xml:space="preserve">Jobs and Skills Australia produces the monthly Vacancy Report which contains the Internet Vacancy Index (IVI). Over the year </w:t>
      </w:r>
      <w:r w:rsidR="005343FB">
        <w:t xml:space="preserve">to </w:t>
      </w:r>
      <w:r w:rsidR="00FA77AB">
        <w:t>February</w:t>
      </w:r>
      <w:r w:rsidR="001F0D48" w:rsidRPr="001F0D48">
        <w:t xml:space="preserve"> </w:t>
      </w:r>
      <w:r w:rsidR="002E1B1C">
        <w:t>2024</w:t>
      </w:r>
      <w:r w:rsidR="005343FB">
        <w:t xml:space="preserve">, the trend IVI </w:t>
      </w:r>
      <w:r w:rsidR="005343FB" w:rsidRPr="00D72054">
        <w:t>decreased for all occupation groups</w:t>
      </w:r>
      <w:r w:rsidR="00A45035" w:rsidRPr="00D72054">
        <w:t xml:space="preserve"> </w:t>
      </w:r>
      <w:r w:rsidR="00A45035" w:rsidRPr="002928E3">
        <w:t>but remained high compared to pre-pandemic levels</w:t>
      </w:r>
      <w:r w:rsidR="005343FB" w:rsidRPr="002928E3">
        <w:t xml:space="preserve">: Labourers (down by </w:t>
      </w:r>
      <w:r w:rsidR="00D72054" w:rsidRPr="002928E3">
        <w:t>23.7</w:t>
      </w:r>
      <w:r w:rsidR="005343FB" w:rsidRPr="002928E3">
        <w:t xml:space="preserve">%), </w:t>
      </w:r>
      <w:r w:rsidR="00525212" w:rsidRPr="00D72054">
        <w:t xml:space="preserve">Machinery Operators and Drivers (down by 13.7%), Community and Personal Service Workers (down by 12.3%), </w:t>
      </w:r>
      <w:r w:rsidR="00525212" w:rsidRPr="002928E3">
        <w:t>Clerical and Administrative Workers (down</w:t>
      </w:r>
      <w:r w:rsidR="00525212" w:rsidRPr="00D72054">
        <w:t xml:space="preserve"> by 12.2%), Technicians and Trades Workers (down by 10.8%)</w:t>
      </w:r>
      <w:r w:rsidR="00525212">
        <w:t xml:space="preserve">, </w:t>
      </w:r>
      <w:r w:rsidR="00525212" w:rsidRPr="00D72054">
        <w:t>Professionals (down by 10.8%)</w:t>
      </w:r>
      <w:r w:rsidR="0012183B">
        <w:t>, S</w:t>
      </w:r>
      <w:r w:rsidR="005343FB" w:rsidRPr="002928E3">
        <w:t xml:space="preserve">ales Workers (down by </w:t>
      </w:r>
      <w:r w:rsidR="00D72054" w:rsidRPr="002928E3">
        <w:t>9.9</w:t>
      </w:r>
      <w:r w:rsidR="005343FB" w:rsidRPr="002928E3">
        <w:t>%)</w:t>
      </w:r>
      <w:r w:rsidR="00525212">
        <w:t xml:space="preserve"> and </w:t>
      </w:r>
      <w:r w:rsidR="005343FB" w:rsidRPr="00D72054">
        <w:t xml:space="preserve">Managers (down by </w:t>
      </w:r>
      <w:r w:rsidR="00D72054" w:rsidRPr="00D72054">
        <w:t>9.0</w:t>
      </w:r>
      <w:r w:rsidR="00042403" w:rsidRPr="00D72054">
        <w:t>%</w:t>
      </w:r>
      <w:r w:rsidR="005343FB" w:rsidRPr="00D72054">
        <w:t>)</w:t>
      </w:r>
      <w:r w:rsidR="00525212">
        <w:t>.</w:t>
      </w:r>
      <w:r w:rsidR="005343FB" w:rsidRPr="00D72054">
        <w:t xml:space="preserve"> </w:t>
      </w:r>
      <w:r w:rsidR="00377A3E" w:rsidRPr="00D72054">
        <w:t>See</w:t>
      </w:r>
      <w:r w:rsidR="00377A3E">
        <w:t xml:space="preserve"> Figure 7.</w:t>
      </w:r>
    </w:p>
    <w:p w14:paraId="1924E7D1" w14:textId="411F9050" w:rsidR="004F3D9B" w:rsidRDefault="000C65EA" w:rsidP="004B5527">
      <w:pPr>
        <w:spacing w:line="240" w:lineRule="auto"/>
      </w:pPr>
      <w:r>
        <w:t>At the more detailed occupation level, trend vacancies increase</w:t>
      </w:r>
      <w:r w:rsidRPr="00D72054">
        <w:t xml:space="preserve">d in </w:t>
      </w:r>
      <w:r w:rsidR="00D72054" w:rsidRPr="00D72054">
        <w:t>2</w:t>
      </w:r>
      <w:r w:rsidRPr="00D72054">
        <w:t xml:space="preserve"> of the 48 occupation clusters over the year to </w:t>
      </w:r>
      <w:r w:rsidR="00FA77AB" w:rsidRPr="00FA77AB">
        <w:t xml:space="preserve">February </w:t>
      </w:r>
      <w:r w:rsidR="00042403" w:rsidRPr="00D72054">
        <w:t>2024</w:t>
      </w:r>
      <w:r w:rsidR="00D72054" w:rsidRPr="00D72054">
        <w:t xml:space="preserve"> being</w:t>
      </w:r>
      <w:r w:rsidRPr="00D72054">
        <w:t xml:space="preserve"> Education Professionals (up by </w:t>
      </w:r>
      <w:r w:rsidR="00D72054" w:rsidRPr="00D72054">
        <w:t>3.4</w:t>
      </w:r>
      <w:r w:rsidR="00042403" w:rsidRPr="00D72054">
        <w:t>%</w:t>
      </w:r>
      <w:r w:rsidRPr="00D72054">
        <w:t>)</w:t>
      </w:r>
      <w:r w:rsidR="00D72054" w:rsidRPr="00D72054">
        <w:t xml:space="preserve"> and Sales Representatives and Agents (up by 1.6%)</w:t>
      </w:r>
      <w:r w:rsidRPr="00D72054">
        <w:t xml:space="preserve">. The largest decreases were for Food Preparation Assistants (down by </w:t>
      </w:r>
      <w:r w:rsidR="00D72054" w:rsidRPr="00D72054">
        <w:t>32.2</w:t>
      </w:r>
      <w:r w:rsidR="00042403" w:rsidRPr="00D72054">
        <w:t>%</w:t>
      </w:r>
      <w:r w:rsidRPr="00D72054">
        <w:t xml:space="preserve">), </w:t>
      </w:r>
      <w:r w:rsidR="00D72054" w:rsidRPr="00D72054">
        <w:t>Protective Service</w:t>
      </w:r>
      <w:r w:rsidRPr="00D72054">
        <w:t xml:space="preserve"> Workers (down by </w:t>
      </w:r>
      <w:r w:rsidR="00D72054" w:rsidRPr="00D72054">
        <w:t>30.7</w:t>
      </w:r>
      <w:r w:rsidR="00042403" w:rsidRPr="00D72054">
        <w:t>%</w:t>
      </w:r>
      <w:r w:rsidRPr="00D72054">
        <w:t xml:space="preserve">) and ICT Professionals (down by </w:t>
      </w:r>
      <w:r w:rsidR="00D72054" w:rsidRPr="00D72054">
        <w:t>29.1</w:t>
      </w:r>
      <w:r w:rsidR="00042403" w:rsidRPr="00D72054">
        <w:t>%</w:t>
      </w:r>
      <w:r w:rsidRPr="00D72054">
        <w:t>).</w:t>
      </w:r>
    </w:p>
    <w:p w14:paraId="331B2E80" w14:textId="54BB2269" w:rsidR="00CF064E" w:rsidRDefault="00CF064E" w:rsidP="004B5527">
      <w:pPr>
        <w:spacing w:line="240" w:lineRule="auto"/>
      </w:pPr>
      <w:r>
        <w:t xml:space="preserve">Over the year to </w:t>
      </w:r>
      <w:r w:rsidR="00FA77AB" w:rsidRPr="00FA77AB">
        <w:t xml:space="preserve">February </w:t>
      </w:r>
      <w:r w:rsidR="0030174C">
        <w:t>2024</w:t>
      </w:r>
      <w:r>
        <w:t xml:space="preserve">, </w:t>
      </w:r>
      <w:r w:rsidRPr="00D72054">
        <w:t xml:space="preserve">trend vacancies increased in </w:t>
      </w:r>
      <w:r w:rsidR="00C75CBC" w:rsidRPr="00D72054">
        <w:t>Tasmania (up by 13.7%)</w:t>
      </w:r>
      <w:r w:rsidR="00C75CBC">
        <w:t xml:space="preserve"> and t</w:t>
      </w:r>
      <w:r w:rsidRPr="00D72054">
        <w:t>he N</w:t>
      </w:r>
      <w:r w:rsidR="003E0471" w:rsidRPr="00D72054">
        <w:t>T</w:t>
      </w:r>
      <w:r w:rsidRPr="00D72054">
        <w:t xml:space="preserve"> (up by </w:t>
      </w:r>
      <w:r w:rsidR="00D72054" w:rsidRPr="00D72054">
        <w:t>5.7</w:t>
      </w:r>
      <w:r w:rsidR="0030174C" w:rsidRPr="00D72054">
        <w:t>%</w:t>
      </w:r>
      <w:r w:rsidRPr="00D72054">
        <w:t>)</w:t>
      </w:r>
      <w:r w:rsidR="00C75CBC">
        <w:t xml:space="preserve">. </w:t>
      </w:r>
      <w:r w:rsidRPr="00D72054">
        <w:t xml:space="preserve">Vacancies fell in Victoria (down by </w:t>
      </w:r>
      <w:r w:rsidR="00D72054" w:rsidRPr="00D72054">
        <w:t>18.6</w:t>
      </w:r>
      <w:r w:rsidR="0030174C" w:rsidRPr="00D72054">
        <w:t>%</w:t>
      </w:r>
      <w:r w:rsidRPr="00D72054">
        <w:t xml:space="preserve">), </w:t>
      </w:r>
      <w:r w:rsidR="003E0471" w:rsidRPr="00D72054">
        <w:t>NSW</w:t>
      </w:r>
      <w:r w:rsidRPr="00D72054">
        <w:t xml:space="preserve"> (down by </w:t>
      </w:r>
      <w:r w:rsidR="00D72054" w:rsidRPr="00D72054">
        <w:t>15.7</w:t>
      </w:r>
      <w:r w:rsidR="0030174C" w:rsidRPr="00D72054">
        <w:t>%</w:t>
      </w:r>
      <w:r w:rsidRPr="00D72054">
        <w:t xml:space="preserve">), </w:t>
      </w:r>
      <w:r w:rsidR="003E0471" w:rsidRPr="00D72054">
        <w:t>the ACT</w:t>
      </w:r>
      <w:r w:rsidRPr="00D72054">
        <w:t xml:space="preserve"> (down by </w:t>
      </w:r>
      <w:r w:rsidR="00D72054" w:rsidRPr="00D72054">
        <w:t>13.2</w:t>
      </w:r>
      <w:r w:rsidR="0030174C" w:rsidRPr="00D72054">
        <w:t>%</w:t>
      </w:r>
      <w:r w:rsidRPr="00D72054">
        <w:t>)</w:t>
      </w:r>
      <w:r w:rsidR="00C75CBC">
        <w:t>,</w:t>
      </w:r>
      <w:r w:rsidRPr="00D72054">
        <w:t xml:space="preserve"> </w:t>
      </w:r>
      <w:r w:rsidR="00C75CBC" w:rsidRPr="00D72054">
        <w:t>Queensland (down by 6.3%)</w:t>
      </w:r>
      <w:r w:rsidR="00C75CBC">
        <w:t xml:space="preserve">, </w:t>
      </w:r>
      <w:r w:rsidR="00D72054" w:rsidRPr="00D72054">
        <w:t>WA (down by 4.5%)</w:t>
      </w:r>
      <w:r w:rsidR="00C75CBC">
        <w:t xml:space="preserve"> and </w:t>
      </w:r>
      <w:r w:rsidR="00D72054" w:rsidRPr="00D72054">
        <w:t>SA (down by 2.1%)</w:t>
      </w:r>
      <w:r w:rsidR="00C75CBC">
        <w:t>.</w:t>
      </w:r>
      <w:r w:rsidR="00D72054" w:rsidRPr="00D72054">
        <w:t xml:space="preserve"> </w:t>
      </w:r>
      <w:r w:rsidRPr="00D72054">
        <w:t>and For a full list of occupations</w:t>
      </w:r>
      <w:r>
        <w:t xml:space="preserve"> and their recent growth in vacancies, see the </w:t>
      </w:r>
      <w:hyperlink r:id="rId25" w:history="1">
        <w:r w:rsidR="00641C25" w:rsidRPr="00641C25">
          <w:rPr>
            <w:rStyle w:val="Hyperlink"/>
          </w:rPr>
          <w:t>Vacancy Report</w:t>
        </w:r>
      </w:hyperlink>
      <w:r>
        <w:t xml:space="preserve"> and supporting datafiles.</w:t>
      </w:r>
    </w:p>
    <w:p w14:paraId="63D94789" w14:textId="26C9A5F4" w:rsidR="00105334" w:rsidRPr="00002C6B" w:rsidRDefault="00237D42" w:rsidP="00002C6B">
      <w:pPr>
        <w:pStyle w:val="Caption"/>
      </w:pPr>
      <w:r w:rsidRPr="00002C6B">
        <w:t xml:space="preserve">Figure </w:t>
      </w:r>
      <w:r w:rsidR="007B2D98" w:rsidRPr="00002C6B">
        <w:t>7</w:t>
      </w:r>
      <w:r w:rsidRPr="00002C6B">
        <w:t xml:space="preserve">: Internet Vacancy Index, January 2006 to </w:t>
      </w:r>
      <w:r w:rsidR="00FA77AB" w:rsidRPr="00002C6B">
        <w:t>February</w:t>
      </w:r>
      <w:r w:rsidR="001F0D48" w:rsidRPr="00002C6B">
        <w:t xml:space="preserve"> </w:t>
      </w:r>
      <w:r w:rsidR="0030174C" w:rsidRPr="00002C6B">
        <w:t>2024</w:t>
      </w:r>
    </w:p>
    <w:p w14:paraId="0ED7D341" w14:textId="4AD9D6E2" w:rsidR="00DB639E" w:rsidRDefault="008F4703" w:rsidP="008F4703">
      <w:r>
        <w:rPr>
          <w:noProof/>
        </w:rPr>
        <w:drawing>
          <wp:inline distT="0" distB="0" distL="0" distR="0" wp14:anchorId="1F4FC0A8" wp14:editId="3E0BDFC8">
            <wp:extent cx="5731510" cy="3286125"/>
            <wp:effectExtent l="0" t="0" r="2540" b="0"/>
            <wp:docPr id="2103449635" name="Chart 1" descr="Figure 7: Internet Vacancy Index, January 2006 to February 2024.&#10;The IVI graph details the monthly Trend Index for Professionals, Technicians and Trades Workers and the Australian Total from January 2006 to February 2024.&#10;">
              <a:extLst xmlns:a="http://schemas.openxmlformats.org/drawingml/2006/main">
                <a:ext uri="{FF2B5EF4-FFF2-40B4-BE49-F238E27FC236}">
                  <a16:creationId xmlns:a16="http://schemas.microsoft.com/office/drawing/2014/main" id="{6C8B1EF5-42A0-4074-BCF8-1D656B7D8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1588D3" w14:textId="77777777" w:rsidR="00DB639E" w:rsidRDefault="00DB639E">
      <w:r>
        <w:br w:type="page"/>
      </w:r>
    </w:p>
    <w:p w14:paraId="05116E5E" w14:textId="732ED9B9" w:rsidR="00DB639E" w:rsidRDefault="00D973DB" w:rsidP="006A4F70">
      <w:pPr>
        <w:spacing w:line="276" w:lineRule="auto"/>
        <w:rPr>
          <w:noProof/>
        </w:rPr>
      </w:pPr>
      <w:r>
        <w:rPr>
          <w:noProof/>
        </w:rPr>
        <w:lastRenderedPageBreak/>
        <w:drawing>
          <wp:anchor distT="0" distB="0" distL="114300" distR="114300" simplePos="0" relativeHeight="251661312" behindDoc="0" locked="0" layoutInCell="1" allowOverlap="1" wp14:anchorId="4E7A5B42" wp14:editId="5AC08ADF">
            <wp:simplePos x="0" y="0"/>
            <wp:positionH relativeFrom="page">
              <wp:posOffset>-27131</wp:posOffset>
            </wp:positionH>
            <wp:positionV relativeFrom="paragraph">
              <wp:posOffset>-880745</wp:posOffset>
            </wp:positionV>
            <wp:extent cx="7594406" cy="1624234"/>
            <wp:effectExtent l="0" t="0" r="6985" b="0"/>
            <wp:wrapNone/>
            <wp:docPr id="406722785" name="Graphic 406722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94406" cy="1624234"/>
                    </a:xfrm>
                    <a:prstGeom prst="rect">
                      <a:avLst/>
                    </a:prstGeom>
                  </pic:spPr>
                </pic:pic>
              </a:graphicData>
            </a:graphic>
            <wp14:sizeRelH relativeFrom="page">
              <wp14:pctWidth>0</wp14:pctWidth>
            </wp14:sizeRelH>
            <wp14:sizeRelV relativeFrom="page">
              <wp14:pctHeight>0</wp14:pctHeight>
            </wp14:sizeRelV>
          </wp:anchor>
        </w:drawing>
      </w:r>
    </w:p>
    <w:p w14:paraId="20AB6FDC" w14:textId="77777777" w:rsidR="00DB639E" w:rsidRDefault="00DB639E" w:rsidP="006A4F70">
      <w:pPr>
        <w:spacing w:line="276" w:lineRule="auto"/>
        <w:rPr>
          <w:noProof/>
        </w:rPr>
      </w:pPr>
    </w:p>
    <w:p w14:paraId="1CF38665" w14:textId="77777777" w:rsidR="00DB639E" w:rsidRDefault="00DB639E" w:rsidP="006A4F70">
      <w:pPr>
        <w:spacing w:line="276" w:lineRule="auto"/>
        <w:rPr>
          <w:noProof/>
        </w:rPr>
      </w:pPr>
    </w:p>
    <w:p w14:paraId="10001B8C" w14:textId="58F0F3E0" w:rsidR="00DF6967" w:rsidRPr="00D6625D" w:rsidRDefault="00B42354" w:rsidP="006A4F70">
      <w:pPr>
        <w:pStyle w:val="Heading1"/>
        <w:spacing w:before="400" w:after="0" w:line="276" w:lineRule="auto"/>
        <w:rPr>
          <w:sz w:val="52"/>
          <w:szCs w:val="52"/>
        </w:rPr>
      </w:pPr>
      <w:bookmarkStart w:id="10" w:name="_Hlk153279123"/>
      <w:bookmarkEnd w:id="10"/>
      <w:r w:rsidRPr="00DF6967">
        <w:rPr>
          <w:sz w:val="60"/>
          <w:szCs w:val="60"/>
        </w:rPr>
        <w:t xml:space="preserve">Hot Topic: </w:t>
      </w:r>
      <w:bookmarkStart w:id="11" w:name="_Toc118443202"/>
      <w:bookmarkStart w:id="12" w:name="_Toc118443343"/>
      <w:r w:rsidR="0030174C">
        <w:rPr>
          <w:sz w:val="60"/>
          <w:szCs w:val="60"/>
        </w:rPr>
        <w:t>Australia – States and Territories</w:t>
      </w:r>
    </w:p>
    <w:p w14:paraId="30AAC8CD" w14:textId="52714A89" w:rsidR="0030174C" w:rsidRPr="006A4F70" w:rsidRDefault="0030174C" w:rsidP="004B5527">
      <w:pPr>
        <w:spacing w:line="240" w:lineRule="auto"/>
      </w:pPr>
      <w:bookmarkStart w:id="13" w:name="_Toc118443207"/>
      <w:bookmarkEnd w:id="11"/>
      <w:bookmarkEnd w:id="12"/>
      <w:r w:rsidRPr="006A4F70">
        <w:t xml:space="preserve">This Hot Topic provides an overview of the Australian population; its regional, state and territory distribution; and labour market. Unless otherwise stated, data are from the Australian Bureau of Statistics (ABS) Labour Force Survey, </w:t>
      </w:r>
      <w:r w:rsidR="001F0D48" w:rsidRPr="006A4F70">
        <w:t xml:space="preserve">February </w:t>
      </w:r>
      <w:r w:rsidRPr="006A4F70">
        <w:t>2024.</w:t>
      </w:r>
    </w:p>
    <w:p w14:paraId="70F3F34C" w14:textId="0846811E" w:rsidR="0030174C" w:rsidRPr="006A4F70" w:rsidRDefault="0030174C" w:rsidP="004B5527">
      <w:pPr>
        <w:spacing w:line="240" w:lineRule="auto"/>
      </w:pPr>
      <w:r w:rsidRPr="006A4F70">
        <w:t>In December 202</w:t>
      </w:r>
      <w:r w:rsidR="00594084">
        <w:t>3</w:t>
      </w:r>
      <w:r w:rsidRPr="006A4F70">
        <w:t xml:space="preserve">, the Australian Government released its </w:t>
      </w:r>
      <w:r w:rsidR="00594084">
        <w:t>fourth</w:t>
      </w:r>
      <w:r w:rsidRPr="006A4F70">
        <w:t xml:space="preserve"> Population Statement</w:t>
      </w:r>
      <w:r w:rsidR="00660C51">
        <w:rPr>
          <w:rStyle w:val="FootnoteReference"/>
        </w:rPr>
        <w:footnoteReference w:id="12"/>
      </w:r>
      <w:r w:rsidRPr="006A4F70">
        <w:t xml:space="preserve"> which </w:t>
      </w:r>
      <w:r w:rsidR="00594084">
        <w:t>explores the continued recovery of Australia’s population following the COVID-19 pandemic.</w:t>
      </w:r>
      <w:r w:rsidRPr="006A4F70">
        <w:t xml:space="preserve"> The Statement notes that population growth is forecast to increase from </w:t>
      </w:r>
      <w:r w:rsidR="00660C51">
        <w:t xml:space="preserve">1.3% in 2021-22 to 2.4% in 2022-23 and 1.9% in 2023-24. </w:t>
      </w:r>
      <w:r w:rsidR="00664757">
        <w:t>Population g</w:t>
      </w:r>
      <w:r w:rsidR="00660C51">
        <w:t xml:space="preserve">rowth </w:t>
      </w:r>
      <w:r w:rsidR="00664757">
        <w:t xml:space="preserve">in Australia </w:t>
      </w:r>
      <w:r w:rsidR="00660C51">
        <w:t>is then projected to gradually ease, reaching 1.2% by 2033-34.</w:t>
      </w:r>
    </w:p>
    <w:bookmarkEnd w:id="13"/>
    <w:p w14:paraId="508EBC91" w14:textId="5B7E8A44" w:rsidR="00BB3A39" w:rsidRPr="00B92B44" w:rsidRDefault="00BB3A39" w:rsidP="00B92B44">
      <w:pPr>
        <w:pStyle w:val="Heading1"/>
      </w:pPr>
      <w:r w:rsidRPr="00B92B44">
        <w:t xml:space="preserve">The Australian </w:t>
      </w:r>
      <w:r w:rsidR="0056697D" w:rsidRPr="00B92B44">
        <w:t>p</w:t>
      </w:r>
      <w:r w:rsidRPr="00B92B44">
        <w:t>opulation</w:t>
      </w:r>
    </w:p>
    <w:p w14:paraId="5D53D6EE" w14:textId="6AC6B6D7" w:rsidR="00BB3A39" w:rsidRPr="00BB3A39" w:rsidRDefault="00BB3A39" w:rsidP="004B5527">
      <w:pPr>
        <w:spacing w:line="240" w:lineRule="auto"/>
      </w:pPr>
      <w:r w:rsidRPr="00BB3A39">
        <w:t>Australia’s population is concentrated in New South Wales</w:t>
      </w:r>
      <w:r w:rsidR="0056697D">
        <w:t xml:space="preserve"> (NSW)</w:t>
      </w:r>
      <w:r w:rsidRPr="00BB3A39">
        <w:t xml:space="preserve"> and Victoria (with 31.</w:t>
      </w:r>
      <w:r w:rsidR="00B25CDF">
        <w:t>3</w:t>
      </w:r>
      <w:r w:rsidRPr="00BB3A39">
        <w:t>% and 25.</w:t>
      </w:r>
      <w:r w:rsidR="00B25CDF">
        <w:t>6</w:t>
      </w:r>
      <w:r w:rsidRPr="00BB3A39">
        <w:t xml:space="preserve">% of the total population respectively). As of </w:t>
      </w:r>
      <w:r w:rsidR="005B2DEE">
        <w:t>June 2023</w:t>
      </w:r>
      <w:r w:rsidRPr="00BB3A39">
        <w:t xml:space="preserve">, </w:t>
      </w:r>
      <w:r w:rsidR="004D2BC4">
        <w:t xml:space="preserve">just </w:t>
      </w:r>
      <w:r w:rsidR="004D2BC4" w:rsidRPr="004D2BC4">
        <w:t xml:space="preserve">over </w:t>
      </w:r>
      <w:r w:rsidRPr="004D2BC4">
        <w:t>two-thirds of Australians live in capital cities. Tasmania and Queensland had the highest share of their populations living outside their capital cities (</w:t>
      </w:r>
      <w:r w:rsidR="004D2BC4" w:rsidRPr="004D2BC4">
        <w:t>55.7% and 50.</w:t>
      </w:r>
      <w:r w:rsidR="005B2DEE">
        <w:t>4</w:t>
      </w:r>
      <w:r w:rsidR="004D2BC4" w:rsidRPr="004D2BC4">
        <w:t>%,</w:t>
      </w:r>
      <w:r w:rsidRPr="004D2BC4">
        <w:t xml:space="preserve"> respectively).</w:t>
      </w:r>
    </w:p>
    <w:p w14:paraId="5FF2EBDB" w14:textId="60DC1AA0" w:rsidR="00DB639E" w:rsidRDefault="00BB3A39" w:rsidP="0054590F">
      <w:pPr>
        <w:spacing w:line="240" w:lineRule="auto"/>
      </w:pPr>
      <w:r w:rsidRPr="00BB3A39">
        <w:t xml:space="preserve">Net Overseas Migration (NOM) was </w:t>
      </w:r>
      <w:r w:rsidR="005B2DEE" w:rsidRPr="005B2DEE">
        <w:t>528,421</w:t>
      </w:r>
      <w:r w:rsidR="005B2DEE">
        <w:t xml:space="preserve"> </w:t>
      </w:r>
      <w:r w:rsidRPr="00BB3A39">
        <w:t>in the 202</w:t>
      </w:r>
      <w:r w:rsidR="0007090C">
        <w:t>2</w:t>
      </w:r>
      <w:r w:rsidRPr="00BB3A39">
        <w:t>-2</w:t>
      </w:r>
      <w:r w:rsidR="0007090C">
        <w:t>3</w:t>
      </w:r>
      <w:r w:rsidRPr="00BB3A39">
        <w:t xml:space="preserve"> financial year</w:t>
      </w:r>
      <w:r w:rsidR="00C3103A">
        <w:t>.</w:t>
      </w:r>
      <w:r w:rsidR="0007090C">
        <w:t xml:space="preserve"> </w:t>
      </w:r>
      <w:r w:rsidR="0007090C" w:rsidRPr="0007090C">
        <w:t xml:space="preserve">This was the largest </w:t>
      </w:r>
      <w:r w:rsidR="001920C1">
        <w:t>NOM</w:t>
      </w:r>
      <w:r w:rsidR="0007090C" w:rsidRPr="0007090C">
        <w:t xml:space="preserve"> estimate since records began.</w:t>
      </w:r>
      <w:r w:rsidRPr="00BB3A39">
        <w:t xml:space="preserve"> NOM was highest in NSW and Victoria (receiving </w:t>
      </w:r>
      <w:r w:rsidR="005B2DEE" w:rsidRPr="005B2DEE">
        <w:t>177,140</w:t>
      </w:r>
      <w:r w:rsidR="005B2DEE">
        <w:t xml:space="preserve"> </w:t>
      </w:r>
      <w:r w:rsidR="0007090C">
        <w:t xml:space="preserve">and </w:t>
      </w:r>
      <w:r w:rsidR="005B2DEE" w:rsidRPr="005B2DEE">
        <w:t>157,220</w:t>
      </w:r>
      <w:r w:rsidR="005B2DEE">
        <w:t xml:space="preserve"> </w:t>
      </w:r>
      <w:r w:rsidRPr="00BB3A39">
        <w:t>persons, respectively) and the lowest in</w:t>
      </w:r>
      <w:r w:rsidR="0007090C">
        <w:t xml:space="preserve"> </w:t>
      </w:r>
      <w:r w:rsidR="0007090C" w:rsidRPr="00BB3A39">
        <w:t>Tasmania (</w:t>
      </w:r>
      <w:r w:rsidR="005B2DEE" w:rsidRPr="005B2DEE">
        <w:t>4,408</w:t>
      </w:r>
      <w:r w:rsidR="005B2DEE">
        <w:t xml:space="preserve"> </w:t>
      </w:r>
      <w:r w:rsidR="0007090C" w:rsidRPr="00BB3A39">
        <w:t>persons)</w:t>
      </w:r>
      <w:r w:rsidR="0007090C">
        <w:t xml:space="preserve"> and</w:t>
      </w:r>
      <w:r w:rsidRPr="00BB3A39">
        <w:t xml:space="preserve"> the Northern Territory (NT, </w:t>
      </w:r>
      <w:r w:rsidR="005B2DEE" w:rsidRPr="005B2DEE">
        <w:t>3,391</w:t>
      </w:r>
      <w:r w:rsidR="005B2DEE">
        <w:t xml:space="preserve"> </w:t>
      </w:r>
      <w:r w:rsidRPr="00BB3A39">
        <w:t>persons)</w:t>
      </w:r>
      <w:r w:rsidR="0007090C">
        <w:t>.</w:t>
      </w:r>
    </w:p>
    <w:p w14:paraId="6E78CE71" w14:textId="05414282" w:rsidR="009E0BE5" w:rsidRPr="009E0BE5" w:rsidRDefault="00516607" w:rsidP="00002C6B">
      <w:pPr>
        <w:pStyle w:val="Caption"/>
      </w:pPr>
      <w:r w:rsidRPr="00516607">
        <w:t xml:space="preserve">Table A: Distribution of the Australian </w:t>
      </w:r>
      <w:r w:rsidR="0056697D">
        <w:t>r</w:t>
      </w:r>
      <w:r w:rsidRPr="00516607">
        <w:t xml:space="preserve">esident </w:t>
      </w:r>
      <w:r w:rsidR="0056697D">
        <w:t>p</w:t>
      </w:r>
      <w:r w:rsidRPr="00516607">
        <w:t>opulation</w:t>
      </w:r>
      <w:r w:rsidR="002A4BE2">
        <w:t xml:space="preserve"> as</w:t>
      </w:r>
      <w:r w:rsidRPr="00516607">
        <w:t xml:space="preserve"> at </w:t>
      </w:r>
      <w:r w:rsidR="00690DEF">
        <w:t>June 2023</w:t>
      </w:r>
      <w:r w:rsidRPr="00516607">
        <w:t>*</w:t>
      </w:r>
    </w:p>
    <w:tbl>
      <w:tblPr>
        <w:tblStyle w:val="JSATable1"/>
        <w:tblW w:w="10266" w:type="dxa"/>
        <w:tblInd w:w="-709" w:type="dxa"/>
        <w:tblLook w:val="0020" w:firstRow="1" w:lastRow="0" w:firstColumn="0" w:lastColumn="0" w:noHBand="0" w:noVBand="0"/>
      </w:tblPr>
      <w:tblGrid>
        <w:gridCol w:w="1841"/>
        <w:gridCol w:w="973"/>
        <w:gridCol w:w="973"/>
        <w:gridCol w:w="973"/>
        <w:gridCol w:w="973"/>
        <w:gridCol w:w="973"/>
        <w:gridCol w:w="831"/>
        <w:gridCol w:w="831"/>
        <w:gridCol w:w="831"/>
        <w:gridCol w:w="1067"/>
      </w:tblGrid>
      <w:tr w:rsidR="00F6784A" w:rsidRPr="00281073" w14:paraId="0E0F630E" w14:textId="03B9AFB8" w:rsidTr="00690DEF">
        <w:trPr>
          <w:cnfStyle w:val="100000000000" w:firstRow="1" w:lastRow="0" w:firstColumn="0" w:lastColumn="0" w:oddVBand="0" w:evenVBand="0" w:oddHBand="0" w:evenHBand="0" w:firstRowFirstColumn="0" w:firstRowLastColumn="0" w:lastRowFirstColumn="0" w:lastRowLastColumn="0"/>
          <w:trHeight w:val="379"/>
        </w:trPr>
        <w:tc>
          <w:tcPr>
            <w:tcW w:w="0" w:type="auto"/>
            <w:vAlign w:val="center"/>
          </w:tcPr>
          <w:p w14:paraId="2B94B598" w14:textId="77777777" w:rsidR="009E0BE5" w:rsidRPr="00281073" w:rsidRDefault="009E0BE5" w:rsidP="00690DEF">
            <w:pPr>
              <w:spacing w:after="100" w:line="276" w:lineRule="auto"/>
              <w:jc w:val="center"/>
              <w:rPr>
                <w:rFonts w:eastAsia="Arial Nova" w:cs="Arial"/>
                <w:color w:val="FFFFFF" w:themeColor="background1"/>
                <w:sz w:val="17"/>
                <w:szCs w:val="17"/>
              </w:rPr>
            </w:pPr>
            <w:bookmarkStart w:id="14" w:name="_Hlk161846887"/>
          </w:p>
        </w:tc>
        <w:tc>
          <w:tcPr>
            <w:tcW w:w="0" w:type="auto"/>
            <w:vAlign w:val="center"/>
          </w:tcPr>
          <w:p w14:paraId="03075B78" w14:textId="1CF8F399" w:rsidR="009E0BE5" w:rsidRPr="00281073" w:rsidRDefault="009E0BE5" w:rsidP="00690DEF">
            <w:pPr>
              <w:spacing w:after="100" w:line="276" w:lineRule="auto"/>
              <w:jc w:val="center"/>
              <w:rPr>
                <w:rFonts w:eastAsia="Arial Nova" w:cs="Arial"/>
                <w:color w:val="FFFFFF" w:themeColor="background1"/>
                <w:sz w:val="17"/>
                <w:szCs w:val="17"/>
              </w:rPr>
            </w:pPr>
            <w:r w:rsidRPr="00281073">
              <w:rPr>
                <w:rFonts w:cs="Arial"/>
                <w:color w:val="FFFFFF" w:themeColor="background1"/>
                <w:sz w:val="17"/>
                <w:szCs w:val="17"/>
              </w:rPr>
              <w:t>NSW</w:t>
            </w:r>
          </w:p>
        </w:tc>
        <w:tc>
          <w:tcPr>
            <w:tcW w:w="0" w:type="auto"/>
            <w:vAlign w:val="center"/>
          </w:tcPr>
          <w:p w14:paraId="4C4CB680" w14:textId="15A5EF54" w:rsidR="009E0BE5" w:rsidRPr="00281073" w:rsidRDefault="009E0BE5" w:rsidP="00690DEF">
            <w:pPr>
              <w:spacing w:after="100" w:line="276" w:lineRule="auto"/>
              <w:jc w:val="center"/>
              <w:rPr>
                <w:rFonts w:eastAsia="Arial Nova" w:cs="Arial"/>
                <w:color w:val="FFFFFF" w:themeColor="background1"/>
                <w:sz w:val="17"/>
                <w:szCs w:val="17"/>
              </w:rPr>
            </w:pPr>
            <w:r w:rsidRPr="00281073">
              <w:rPr>
                <w:rFonts w:cs="Arial"/>
                <w:color w:val="FFFFFF" w:themeColor="background1"/>
                <w:sz w:val="17"/>
                <w:szCs w:val="17"/>
              </w:rPr>
              <w:t>VIC</w:t>
            </w:r>
          </w:p>
        </w:tc>
        <w:tc>
          <w:tcPr>
            <w:tcW w:w="0" w:type="auto"/>
            <w:vAlign w:val="center"/>
          </w:tcPr>
          <w:p w14:paraId="36023747" w14:textId="19DB2C94" w:rsidR="009E0BE5" w:rsidRPr="00281073" w:rsidRDefault="009E0BE5" w:rsidP="00690DEF">
            <w:pPr>
              <w:spacing w:after="100" w:line="276" w:lineRule="auto"/>
              <w:jc w:val="center"/>
              <w:rPr>
                <w:rFonts w:eastAsia="Arial Nova" w:cs="Arial"/>
                <w:color w:val="FFFFFF" w:themeColor="background1"/>
                <w:sz w:val="17"/>
                <w:szCs w:val="17"/>
              </w:rPr>
            </w:pPr>
            <w:r w:rsidRPr="00281073">
              <w:rPr>
                <w:rFonts w:cs="Arial"/>
                <w:color w:val="FFFFFF" w:themeColor="background1"/>
                <w:sz w:val="17"/>
                <w:szCs w:val="17"/>
              </w:rPr>
              <w:t>QLD</w:t>
            </w:r>
          </w:p>
        </w:tc>
        <w:tc>
          <w:tcPr>
            <w:tcW w:w="0" w:type="auto"/>
            <w:vAlign w:val="center"/>
          </w:tcPr>
          <w:p w14:paraId="61DFEB09" w14:textId="0849F30D" w:rsidR="009E0BE5" w:rsidRPr="00281073" w:rsidRDefault="009E0BE5" w:rsidP="00690DEF">
            <w:pPr>
              <w:spacing w:after="100" w:line="276" w:lineRule="auto"/>
              <w:jc w:val="center"/>
              <w:rPr>
                <w:rFonts w:eastAsia="Arial Nova" w:cs="Arial"/>
                <w:color w:val="FFFFFF" w:themeColor="background1"/>
                <w:sz w:val="17"/>
                <w:szCs w:val="17"/>
              </w:rPr>
            </w:pPr>
            <w:r w:rsidRPr="00281073">
              <w:rPr>
                <w:rFonts w:cs="Arial"/>
                <w:color w:val="FFFFFF" w:themeColor="background1"/>
                <w:sz w:val="17"/>
                <w:szCs w:val="17"/>
              </w:rPr>
              <w:t>SA</w:t>
            </w:r>
          </w:p>
        </w:tc>
        <w:tc>
          <w:tcPr>
            <w:tcW w:w="0" w:type="auto"/>
            <w:vAlign w:val="center"/>
          </w:tcPr>
          <w:p w14:paraId="01221D91" w14:textId="17FDDF90" w:rsidR="009E0BE5" w:rsidRPr="00281073" w:rsidRDefault="009E0BE5" w:rsidP="00690DEF">
            <w:pPr>
              <w:spacing w:after="100" w:line="276" w:lineRule="auto"/>
              <w:jc w:val="center"/>
              <w:rPr>
                <w:rFonts w:eastAsia="Arial Nova" w:cs="Arial"/>
                <w:color w:val="FFFFFF" w:themeColor="background1"/>
                <w:sz w:val="17"/>
                <w:szCs w:val="17"/>
              </w:rPr>
            </w:pPr>
            <w:r w:rsidRPr="00281073">
              <w:rPr>
                <w:rFonts w:cs="Arial"/>
                <w:color w:val="FFFFFF" w:themeColor="background1"/>
                <w:sz w:val="17"/>
                <w:szCs w:val="17"/>
              </w:rPr>
              <w:t>WA</w:t>
            </w:r>
          </w:p>
        </w:tc>
        <w:tc>
          <w:tcPr>
            <w:tcW w:w="0" w:type="auto"/>
            <w:vAlign w:val="center"/>
          </w:tcPr>
          <w:p w14:paraId="38FB4EE9" w14:textId="017666BE" w:rsidR="009E0BE5" w:rsidRPr="00281073" w:rsidRDefault="009E0BE5" w:rsidP="00690DEF">
            <w:pPr>
              <w:spacing w:after="100" w:line="276" w:lineRule="auto"/>
              <w:jc w:val="center"/>
              <w:rPr>
                <w:rFonts w:eastAsia="Arial Nova" w:cs="Arial"/>
                <w:color w:val="FFFFFF" w:themeColor="background1"/>
                <w:sz w:val="17"/>
                <w:szCs w:val="17"/>
              </w:rPr>
            </w:pPr>
            <w:r w:rsidRPr="00281073">
              <w:rPr>
                <w:rFonts w:cs="Arial"/>
                <w:color w:val="FFFFFF" w:themeColor="background1"/>
                <w:sz w:val="17"/>
                <w:szCs w:val="17"/>
              </w:rPr>
              <w:t>TAS</w:t>
            </w:r>
          </w:p>
        </w:tc>
        <w:tc>
          <w:tcPr>
            <w:tcW w:w="0" w:type="auto"/>
            <w:vAlign w:val="center"/>
          </w:tcPr>
          <w:p w14:paraId="3F75F769" w14:textId="365028D1" w:rsidR="009E0BE5" w:rsidRPr="00281073" w:rsidRDefault="009E0BE5" w:rsidP="00690DEF">
            <w:pPr>
              <w:spacing w:after="100" w:line="276" w:lineRule="auto"/>
              <w:jc w:val="center"/>
              <w:rPr>
                <w:rFonts w:eastAsia="Arial Nova" w:cs="Arial"/>
                <w:color w:val="FFFFFF" w:themeColor="background1"/>
                <w:sz w:val="17"/>
                <w:szCs w:val="17"/>
              </w:rPr>
            </w:pPr>
            <w:r w:rsidRPr="00281073">
              <w:rPr>
                <w:rFonts w:cs="Arial"/>
                <w:color w:val="FFFFFF" w:themeColor="background1"/>
                <w:sz w:val="17"/>
                <w:szCs w:val="17"/>
              </w:rPr>
              <w:t>NT</w:t>
            </w:r>
          </w:p>
        </w:tc>
        <w:tc>
          <w:tcPr>
            <w:tcW w:w="0" w:type="auto"/>
            <w:vAlign w:val="center"/>
          </w:tcPr>
          <w:p w14:paraId="3D634ABF" w14:textId="3C3AB0B2" w:rsidR="009E0BE5" w:rsidRPr="00281073" w:rsidRDefault="009E0BE5" w:rsidP="00690DEF">
            <w:pPr>
              <w:spacing w:after="100" w:line="276" w:lineRule="auto"/>
              <w:jc w:val="center"/>
              <w:rPr>
                <w:rFonts w:eastAsia="Arial Nova" w:cs="Arial"/>
                <w:color w:val="FFFFFF" w:themeColor="background1"/>
                <w:sz w:val="17"/>
                <w:szCs w:val="17"/>
              </w:rPr>
            </w:pPr>
            <w:r w:rsidRPr="00281073">
              <w:rPr>
                <w:rFonts w:cs="Arial"/>
                <w:color w:val="FFFFFF" w:themeColor="background1"/>
                <w:sz w:val="17"/>
                <w:szCs w:val="17"/>
              </w:rPr>
              <w:t>ACT</w:t>
            </w:r>
          </w:p>
        </w:tc>
        <w:tc>
          <w:tcPr>
            <w:tcW w:w="0" w:type="auto"/>
            <w:vAlign w:val="center"/>
          </w:tcPr>
          <w:p w14:paraId="0596EA2F" w14:textId="329968A4" w:rsidR="009E0BE5" w:rsidRPr="00281073" w:rsidRDefault="009E0BE5" w:rsidP="00690DEF">
            <w:pPr>
              <w:spacing w:after="100" w:line="276" w:lineRule="auto"/>
              <w:jc w:val="center"/>
              <w:rPr>
                <w:rFonts w:eastAsia="Arial Nova" w:cs="Arial"/>
                <w:color w:val="FFFFFF" w:themeColor="background1"/>
                <w:sz w:val="17"/>
                <w:szCs w:val="17"/>
              </w:rPr>
            </w:pPr>
            <w:r w:rsidRPr="00281073">
              <w:rPr>
                <w:rFonts w:cs="Arial"/>
                <w:color w:val="FFFFFF" w:themeColor="background1"/>
                <w:sz w:val="17"/>
                <w:szCs w:val="17"/>
              </w:rPr>
              <w:t>AUST</w:t>
            </w:r>
          </w:p>
        </w:tc>
      </w:tr>
      <w:tr w:rsidR="00773CD8" w:rsidRPr="00281073" w14:paraId="599CBFD1" w14:textId="09A2B35E" w:rsidTr="00690DEF">
        <w:trPr>
          <w:trHeight w:val="587"/>
        </w:trPr>
        <w:tc>
          <w:tcPr>
            <w:tcW w:w="0" w:type="auto"/>
            <w:vAlign w:val="center"/>
          </w:tcPr>
          <w:p w14:paraId="7F57D5C4" w14:textId="539D008A"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Population</w:t>
            </w:r>
          </w:p>
        </w:tc>
        <w:tc>
          <w:tcPr>
            <w:tcW w:w="0" w:type="auto"/>
            <w:vAlign w:val="center"/>
          </w:tcPr>
          <w:p w14:paraId="67B0BD8E" w14:textId="0978E5A4"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8,342,285</w:t>
            </w:r>
          </w:p>
        </w:tc>
        <w:tc>
          <w:tcPr>
            <w:tcW w:w="0" w:type="auto"/>
            <w:vAlign w:val="center"/>
          </w:tcPr>
          <w:p w14:paraId="0264EC72" w14:textId="1089210F"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6,815,441</w:t>
            </w:r>
          </w:p>
        </w:tc>
        <w:tc>
          <w:tcPr>
            <w:tcW w:w="0" w:type="auto"/>
            <w:vAlign w:val="center"/>
          </w:tcPr>
          <w:p w14:paraId="74CF8E8D" w14:textId="7FA927BB"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5,460,420</w:t>
            </w:r>
          </w:p>
        </w:tc>
        <w:tc>
          <w:tcPr>
            <w:tcW w:w="0" w:type="auto"/>
            <w:vAlign w:val="center"/>
          </w:tcPr>
          <w:p w14:paraId="0964CA7C" w14:textId="473B54AB"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1,852,284</w:t>
            </w:r>
          </w:p>
        </w:tc>
        <w:tc>
          <w:tcPr>
            <w:tcW w:w="0" w:type="auto"/>
            <w:vAlign w:val="center"/>
          </w:tcPr>
          <w:p w14:paraId="4B33ECA8" w14:textId="13F440F7"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2,881,227</w:t>
            </w:r>
          </w:p>
        </w:tc>
        <w:tc>
          <w:tcPr>
            <w:tcW w:w="0" w:type="auto"/>
            <w:vAlign w:val="center"/>
          </w:tcPr>
          <w:p w14:paraId="06E8A1B8" w14:textId="1C6D0692"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573,156</w:t>
            </w:r>
          </w:p>
        </w:tc>
        <w:tc>
          <w:tcPr>
            <w:tcW w:w="0" w:type="auto"/>
            <w:vAlign w:val="center"/>
          </w:tcPr>
          <w:p w14:paraId="669B65FE" w14:textId="1DA1C36B"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252,529</w:t>
            </w:r>
          </w:p>
        </w:tc>
        <w:tc>
          <w:tcPr>
            <w:tcW w:w="0" w:type="auto"/>
            <w:vAlign w:val="center"/>
          </w:tcPr>
          <w:p w14:paraId="57745496" w14:textId="61D29212"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466,566</w:t>
            </w:r>
          </w:p>
        </w:tc>
        <w:tc>
          <w:tcPr>
            <w:tcW w:w="0" w:type="auto"/>
            <w:vAlign w:val="center"/>
          </w:tcPr>
          <w:p w14:paraId="41C7C9A8" w14:textId="74ACEA9C" w:rsidR="00773CD8" w:rsidRPr="00281073" w:rsidRDefault="00773CD8" w:rsidP="00690DEF">
            <w:pPr>
              <w:spacing w:after="100" w:line="276" w:lineRule="auto"/>
              <w:jc w:val="center"/>
              <w:rPr>
                <w:rFonts w:cs="Arial"/>
                <w:sz w:val="17"/>
                <w:szCs w:val="17"/>
              </w:rPr>
            </w:pPr>
            <w:r w:rsidRPr="00281073">
              <w:rPr>
                <w:rFonts w:cs="Arial"/>
                <w:sz w:val="17"/>
                <w:szCs w:val="17"/>
              </w:rPr>
              <w:t>26,648,878</w:t>
            </w:r>
          </w:p>
        </w:tc>
      </w:tr>
      <w:tr w:rsidR="00773CD8" w:rsidRPr="00281073" w14:paraId="62DB5CB8" w14:textId="289007D3" w:rsidTr="00690DEF">
        <w:trPr>
          <w:cnfStyle w:val="000000010000" w:firstRow="0" w:lastRow="0" w:firstColumn="0" w:lastColumn="0" w:oddVBand="0" w:evenVBand="0" w:oddHBand="0" w:evenHBand="1" w:firstRowFirstColumn="0" w:firstRowLastColumn="0" w:lastRowFirstColumn="0" w:lastRowLastColumn="0"/>
          <w:trHeight w:val="425"/>
        </w:trPr>
        <w:tc>
          <w:tcPr>
            <w:tcW w:w="0" w:type="auto"/>
            <w:vAlign w:val="center"/>
          </w:tcPr>
          <w:p w14:paraId="6D77AAC9" w14:textId="5D2730D2"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Share of Australian Population (%)</w:t>
            </w:r>
          </w:p>
        </w:tc>
        <w:tc>
          <w:tcPr>
            <w:tcW w:w="0" w:type="auto"/>
            <w:vAlign w:val="center"/>
          </w:tcPr>
          <w:p w14:paraId="22DFD682" w14:textId="0111B08A"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31.3</w:t>
            </w:r>
          </w:p>
        </w:tc>
        <w:tc>
          <w:tcPr>
            <w:tcW w:w="0" w:type="auto"/>
            <w:vAlign w:val="center"/>
          </w:tcPr>
          <w:p w14:paraId="00350BE0" w14:textId="2177B419"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25.6</w:t>
            </w:r>
          </w:p>
        </w:tc>
        <w:tc>
          <w:tcPr>
            <w:tcW w:w="0" w:type="auto"/>
            <w:vAlign w:val="center"/>
          </w:tcPr>
          <w:p w14:paraId="0E155144" w14:textId="5393316F"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20.5</w:t>
            </w:r>
          </w:p>
        </w:tc>
        <w:tc>
          <w:tcPr>
            <w:tcW w:w="0" w:type="auto"/>
            <w:vAlign w:val="center"/>
          </w:tcPr>
          <w:p w14:paraId="1A921B6C" w14:textId="31B6E660"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7.0</w:t>
            </w:r>
          </w:p>
        </w:tc>
        <w:tc>
          <w:tcPr>
            <w:tcW w:w="0" w:type="auto"/>
            <w:vAlign w:val="center"/>
          </w:tcPr>
          <w:p w14:paraId="13095965" w14:textId="27EDB0B5"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10.8</w:t>
            </w:r>
          </w:p>
        </w:tc>
        <w:tc>
          <w:tcPr>
            <w:tcW w:w="0" w:type="auto"/>
            <w:vAlign w:val="center"/>
          </w:tcPr>
          <w:p w14:paraId="3DDE4FBF" w14:textId="0AAD0F39"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2.2</w:t>
            </w:r>
          </w:p>
        </w:tc>
        <w:tc>
          <w:tcPr>
            <w:tcW w:w="0" w:type="auto"/>
            <w:vAlign w:val="center"/>
          </w:tcPr>
          <w:p w14:paraId="3382CF4E" w14:textId="72269065"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0.9</w:t>
            </w:r>
          </w:p>
        </w:tc>
        <w:tc>
          <w:tcPr>
            <w:tcW w:w="0" w:type="auto"/>
            <w:vAlign w:val="center"/>
          </w:tcPr>
          <w:p w14:paraId="6FC66F45" w14:textId="29A8D156"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1.8</w:t>
            </w:r>
          </w:p>
        </w:tc>
        <w:tc>
          <w:tcPr>
            <w:tcW w:w="0" w:type="auto"/>
            <w:vAlign w:val="center"/>
          </w:tcPr>
          <w:p w14:paraId="388902AB" w14:textId="0B4B2513"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100.0</w:t>
            </w:r>
          </w:p>
        </w:tc>
      </w:tr>
      <w:tr w:rsidR="00773CD8" w:rsidRPr="00281073" w14:paraId="3298893D" w14:textId="7B382BDD" w:rsidTr="00690DEF">
        <w:trPr>
          <w:trHeight w:val="547"/>
        </w:trPr>
        <w:tc>
          <w:tcPr>
            <w:tcW w:w="0" w:type="auto"/>
            <w:vAlign w:val="center"/>
          </w:tcPr>
          <w:p w14:paraId="1480DDD6" w14:textId="4388D981"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Capital City (%)</w:t>
            </w:r>
          </w:p>
        </w:tc>
        <w:tc>
          <w:tcPr>
            <w:tcW w:w="0" w:type="auto"/>
            <w:vAlign w:val="center"/>
          </w:tcPr>
          <w:p w14:paraId="2ECB2260" w14:textId="307E738F"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65.3</w:t>
            </w:r>
          </w:p>
        </w:tc>
        <w:tc>
          <w:tcPr>
            <w:tcW w:w="0" w:type="auto"/>
            <w:vAlign w:val="center"/>
          </w:tcPr>
          <w:p w14:paraId="41F2893A" w14:textId="48440DF6"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76.4</w:t>
            </w:r>
          </w:p>
        </w:tc>
        <w:tc>
          <w:tcPr>
            <w:tcW w:w="0" w:type="auto"/>
            <w:vAlign w:val="center"/>
          </w:tcPr>
          <w:p w14:paraId="1087536F" w14:textId="09DA0400"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49.6</w:t>
            </w:r>
          </w:p>
        </w:tc>
        <w:tc>
          <w:tcPr>
            <w:tcW w:w="0" w:type="auto"/>
            <w:vAlign w:val="center"/>
          </w:tcPr>
          <w:p w14:paraId="1F48543D" w14:textId="7F6C399C"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78.1</w:t>
            </w:r>
          </w:p>
        </w:tc>
        <w:tc>
          <w:tcPr>
            <w:tcW w:w="0" w:type="auto"/>
            <w:vAlign w:val="center"/>
          </w:tcPr>
          <w:p w14:paraId="555929CB" w14:textId="5406E2E7"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80.2</w:t>
            </w:r>
          </w:p>
        </w:tc>
        <w:tc>
          <w:tcPr>
            <w:tcW w:w="0" w:type="auto"/>
            <w:vAlign w:val="center"/>
          </w:tcPr>
          <w:p w14:paraId="4471B076" w14:textId="31D2627B"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44.3</w:t>
            </w:r>
          </w:p>
        </w:tc>
        <w:tc>
          <w:tcPr>
            <w:tcW w:w="0" w:type="auto"/>
            <w:vAlign w:val="center"/>
          </w:tcPr>
          <w:p w14:paraId="0E152C9C" w14:textId="252AA938"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59.7</w:t>
            </w:r>
          </w:p>
        </w:tc>
        <w:tc>
          <w:tcPr>
            <w:tcW w:w="0" w:type="auto"/>
            <w:vAlign w:val="center"/>
          </w:tcPr>
          <w:p w14:paraId="7B3C41D4" w14:textId="5CE717E2"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100.0</w:t>
            </w:r>
          </w:p>
        </w:tc>
        <w:tc>
          <w:tcPr>
            <w:tcW w:w="0" w:type="auto"/>
            <w:vAlign w:val="center"/>
          </w:tcPr>
          <w:p w14:paraId="34F7C402" w14:textId="2337DCC6"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67.5</w:t>
            </w:r>
          </w:p>
        </w:tc>
      </w:tr>
      <w:tr w:rsidR="00773CD8" w:rsidRPr="00281073" w14:paraId="02D36D43" w14:textId="20274AFC" w:rsidTr="00690DEF">
        <w:trPr>
          <w:cnfStyle w:val="000000010000" w:firstRow="0" w:lastRow="0" w:firstColumn="0" w:lastColumn="0" w:oddVBand="0" w:evenVBand="0" w:oddHBand="0" w:evenHBand="1" w:firstRowFirstColumn="0" w:firstRowLastColumn="0" w:lastRowFirstColumn="0" w:lastRowLastColumn="0"/>
          <w:trHeight w:val="557"/>
        </w:trPr>
        <w:tc>
          <w:tcPr>
            <w:tcW w:w="0" w:type="auto"/>
            <w:vAlign w:val="center"/>
          </w:tcPr>
          <w:p w14:paraId="20D5C0AE" w14:textId="740D154F"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Balance of State (%)</w:t>
            </w:r>
          </w:p>
        </w:tc>
        <w:tc>
          <w:tcPr>
            <w:tcW w:w="0" w:type="auto"/>
            <w:vAlign w:val="center"/>
          </w:tcPr>
          <w:p w14:paraId="434D8CAE" w14:textId="4DEDCEEA"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34.7</w:t>
            </w:r>
          </w:p>
        </w:tc>
        <w:tc>
          <w:tcPr>
            <w:tcW w:w="0" w:type="auto"/>
            <w:vAlign w:val="center"/>
          </w:tcPr>
          <w:p w14:paraId="111AD544" w14:textId="0DA1F98A"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23.6</w:t>
            </w:r>
          </w:p>
        </w:tc>
        <w:tc>
          <w:tcPr>
            <w:tcW w:w="0" w:type="auto"/>
            <w:vAlign w:val="center"/>
          </w:tcPr>
          <w:p w14:paraId="4D745450" w14:textId="7A3EB541"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50.4</w:t>
            </w:r>
          </w:p>
        </w:tc>
        <w:tc>
          <w:tcPr>
            <w:tcW w:w="0" w:type="auto"/>
            <w:vAlign w:val="center"/>
          </w:tcPr>
          <w:p w14:paraId="5330BDD9" w14:textId="24C16505"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21.9</w:t>
            </w:r>
          </w:p>
        </w:tc>
        <w:tc>
          <w:tcPr>
            <w:tcW w:w="0" w:type="auto"/>
            <w:vAlign w:val="center"/>
          </w:tcPr>
          <w:p w14:paraId="54A17FAE" w14:textId="6E33AEDF"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19.8</w:t>
            </w:r>
          </w:p>
        </w:tc>
        <w:tc>
          <w:tcPr>
            <w:tcW w:w="0" w:type="auto"/>
            <w:vAlign w:val="center"/>
          </w:tcPr>
          <w:p w14:paraId="77F07CF3" w14:textId="5B0F187E"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55.7</w:t>
            </w:r>
          </w:p>
        </w:tc>
        <w:tc>
          <w:tcPr>
            <w:tcW w:w="0" w:type="auto"/>
            <w:vAlign w:val="center"/>
          </w:tcPr>
          <w:p w14:paraId="546428F2" w14:textId="395224F0"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40.3</w:t>
            </w:r>
          </w:p>
        </w:tc>
        <w:tc>
          <w:tcPr>
            <w:tcW w:w="0" w:type="auto"/>
            <w:vAlign w:val="center"/>
          </w:tcPr>
          <w:p w14:paraId="5E8F1CBF" w14:textId="3B77DF83"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0.0</w:t>
            </w:r>
          </w:p>
        </w:tc>
        <w:tc>
          <w:tcPr>
            <w:tcW w:w="0" w:type="auto"/>
            <w:vAlign w:val="center"/>
          </w:tcPr>
          <w:p w14:paraId="1E745940" w14:textId="572FB330"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32.5</w:t>
            </w:r>
          </w:p>
        </w:tc>
      </w:tr>
      <w:tr w:rsidR="00773CD8" w:rsidRPr="00281073" w14:paraId="1C55A401" w14:textId="7090AC76" w:rsidTr="00690DEF">
        <w:trPr>
          <w:trHeight w:val="566"/>
        </w:trPr>
        <w:tc>
          <w:tcPr>
            <w:tcW w:w="0" w:type="auto"/>
            <w:vAlign w:val="center"/>
          </w:tcPr>
          <w:p w14:paraId="041361E9" w14:textId="34F763AC"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Net Overseas Migration**</w:t>
            </w:r>
          </w:p>
        </w:tc>
        <w:tc>
          <w:tcPr>
            <w:tcW w:w="0" w:type="auto"/>
            <w:vAlign w:val="center"/>
          </w:tcPr>
          <w:p w14:paraId="769FCE75" w14:textId="28B150E5"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177,140</w:t>
            </w:r>
          </w:p>
        </w:tc>
        <w:tc>
          <w:tcPr>
            <w:tcW w:w="0" w:type="auto"/>
            <w:vAlign w:val="center"/>
          </w:tcPr>
          <w:p w14:paraId="6BC052C8" w14:textId="35791C29"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157,220</w:t>
            </w:r>
          </w:p>
        </w:tc>
        <w:tc>
          <w:tcPr>
            <w:tcW w:w="0" w:type="auto"/>
            <w:vAlign w:val="center"/>
          </w:tcPr>
          <w:p w14:paraId="4C34B020" w14:textId="023A28DD"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85,002</w:t>
            </w:r>
          </w:p>
        </w:tc>
        <w:tc>
          <w:tcPr>
            <w:tcW w:w="0" w:type="auto"/>
            <w:vAlign w:val="center"/>
          </w:tcPr>
          <w:p w14:paraId="0A3A36EE" w14:textId="0C3E6335"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28,435</w:t>
            </w:r>
          </w:p>
        </w:tc>
        <w:tc>
          <w:tcPr>
            <w:tcW w:w="0" w:type="auto"/>
            <w:vAlign w:val="center"/>
          </w:tcPr>
          <w:p w14:paraId="2DB1573E" w14:textId="50708F38"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64,255</w:t>
            </w:r>
          </w:p>
        </w:tc>
        <w:tc>
          <w:tcPr>
            <w:tcW w:w="0" w:type="auto"/>
            <w:vAlign w:val="center"/>
          </w:tcPr>
          <w:p w14:paraId="0E5FB0AC" w14:textId="09333333"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4,408</w:t>
            </w:r>
          </w:p>
        </w:tc>
        <w:tc>
          <w:tcPr>
            <w:tcW w:w="0" w:type="auto"/>
            <w:vAlign w:val="center"/>
          </w:tcPr>
          <w:p w14:paraId="51723AAF" w14:textId="0C3FEA3F"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3,391</w:t>
            </w:r>
          </w:p>
        </w:tc>
        <w:tc>
          <w:tcPr>
            <w:tcW w:w="0" w:type="auto"/>
            <w:vAlign w:val="center"/>
          </w:tcPr>
          <w:p w14:paraId="6B0B94E7" w14:textId="0B0A27A4"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8,541</w:t>
            </w:r>
          </w:p>
        </w:tc>
        <w:tc>
          <w:tcPr>
            <w:tcW w:w="0" w:type="auto"/>
            <w:vAlign w:val="center"/>
          </w:tcPr>
          <w:p w14:paraId="79351E41" w14:textId="2E10F6DD" w:rsidR="00773CD8" w:rsidRPr="00281073" w:rsidRDefault="00773CD8" w:rsidP="00690DEF">
            <w:pPr>
              <w:spacing w:after="100" w:line="276" w:lineRule="auto"/>
              <w:jc w:val="center"/>
              <w:rPr>
                <w:rFonts w:eastAsia="Arial Nova" w:cs="Arial"/>
                <w:color w:val="auto"/>
                <w:sz w:val="17"/>
                <w:szCs w:val="17"/>
              </w:rPr>
            </w:pPr>
            <w:r w:rsidRPr="00281073">
              <w:rPr>
                <w:rFonts w:cs="Arial"/>
                <w:sz w:val="17"/>
                <w:szCs w:val="17"/>
              </w:rPr>
              <w:t>528,421</w:t>
            </w:r>
          </w:p>
        </w:tc>
      </w:tr>
    </w:tbl>
    <w:bookmarkEnd w:id="14"/>
    <w:p w14:paraId="4FA89AAD" w14:textId="7B51B3EB" w:rsidR="00550B5D" w:rsidRPr="001F0D48" w:rsidRDefault="00550B5D" w:rsidP="00B92B44">
      <w:pPr>
        <w:pStyle w:val="Source"/>
        <w:spacing w:before="0" w:after="0"/>
      </w:pPr>
      <w:r w:rsidRPr="001F0D48">
        <w:t>*Source: ABS (</w:t>
      </w:r>
      <w:r w:rsidR="004D2BC4">
        <w:t>2024</w:t>
      </w:r>
      <w:r w:rsidRPr="001F0D48">
        <w:t>). National, State and Territory Population. Regional Population 202</w:t>
      </w:r>
      <w:r w:rsidR="004D2BC4">
        <w:t>2</w:t>
      </w:r>
      <w:r w:rsidR="004642BE" w:rsidRPr="001F0D48">
        <w:t>-2</w:t>
      </w:r>
      <w:r w:rsidR="004D2BC4">
        <w:t>3</w:t>
      </w:r>
    </w:p>
    <w:p w14:paraId="04335888" w14:textId="5D7EEFE4" w:rsidR="001920C1" w:rsidRDefault="00550B5D" w:rsidP="00B92B44">
      <w:pPr>
        <w:pStyle w:val="Source"/>
        <w:spacing w:before="0" w:after="0"/>
      </w:pPr>
      <w:r w:rsidRPr="001F0D48">
        <w:t xml:space="preserve">** Source: Net overseas migration: Arrivals, departures and net, </w:t>
      </w:r>
      <w:r w:rsidR="004D2BC4">
        <w:t>s</w:t>
      </w:r>
      <w:r w:rsidRPr="001F0D48">
        <w:t xml:space="preserve">tate/territory, </w:t>
      </w:r>
      <w:r w:rsidR="004D2BC4">
        <w:t>a</w:t>
      </w:r>
      <w:r w:rsidRPr="001F0D48">
        <w:t xml:space="preserve">ge and sex – Financial years, 2004-05 onwards. Year to </w:t>
      </w:r>
      <w:r w:rsidR="00773CD8">
        <w:t>30 June</w:t>
      </w:r>
      <w:r w:rsidRPr="001F0D48">
        <w:t xml:space="preserve"> 202</w:t>
      </w:r>
      <w:r w:rsidR="004642BE" w:rsidRPr="001F0D48">
        <w:t>3</w:t>
      </w:r>
      <w:r w:rsidRPr="001F0D48">
        <w:t xml:space="preserve">. Retrieved </w:t>
      </w:r>
      <w:r w:rsidR="004642BE" w:rsidRPr="001F0D48">
        <w:t>2</w:t>
      </w:r>
      <w:r w:rsidR="004D2BC4">
        <w:t>6</w:t>
      </w:r>
      <w:r w:rsidR="004642BE" w:rsidRPr="001F0D48">
        <w:t xml:space="preserve"> March 2024</w:t>
      </w:r>
    </w:p>
    <w:p w14:paraId="7ECE51FE" w14:textId="0C541361" w:rsidR="001920C1" w:rsidRPr="00EB7330" w:rsidRDefault="00000000" w:rsidP="00EB7330">
      <w:pPr>
        <w:tabs>
          <w:tab w:val="left" w:pos="284"/>
        </w:tabs>
        <w:spacing w:line="276" w:lineRule="auto"/>
        <w:jc w:val="both"/>
        <w:rPr>
          <w:rFonts w:cs="Arial"/>
          <w:bCs/>
          <w:iCs/>
          <w:sz w:val="16"/>
          <w:szCs w:val="16"/>
        </w:rPr>
      </w:pPr>
      <w:hyperlink r:id="rId27" w:history="1">
        <w:r w:rsidR="001920C1" w:rsidRPr="0010626B">
          <w:rPr>
            <w:rStyle w:val="Hyperlink"/>
            <w:rFonts w:cs="Arial"/>
            <w:bCs/>
            <w:iCs/>
            <w:sz w:val="16"/>
            <w:szCs w:val="16"/>
          </w:rPr>
          <w:t>https://www.abs.gov.au/statistics/people/population/overseas-migration/2022-23-financial-year</w:t>
        </w:r>
      </w:hyperlink>
    </w:p>
    <w:p w14:paraId="443A69C0" w14:textId="1C50C248" w:rsidR="00876B04" w:rsidRPr="00876B04" w:rsidRDefault="00876B04" w:rsidP="00B92B44">
      <w:pPr>
        <w:pStyle w:val="Heading1"/>
      </w:pPr>
      <w:r w:rsidRPr="0056697D">
        <w:lastRenderedPageBreak/>
        <w:t xml:space="preserve">State and </w:t>
      </w:r>
      <w:r w:rsidR="006B1D6B">
        <w:t>t</w:t>
      </w:r>
      <w:r w:rsidRPr="0056697D">
        <w:t xml:space="preserve">erritory </w:t>
      </w:r>
      <w:r w:rsidR="0056697D">
        <w:t>l</w:t>
      </w:r>
      <w:r w:rsidRPr="0056697D">
        <w:t xml:space="preserve">abour </w:t>
      </w:r>
      <w:r w:rsidR="0056697D">
        <w:t>f</w:t>
      </w:r>
      <w:r w:rsidRPr="0056697D">
        <w:t>orce</w:t>
      </w:r>
    </w:p>
    <w:p w14:paraId="0FF7BB60" w14:textId="77777777" w:rsidR="00876B04" w:rsidRPr="00B70F76" w:rsidRDefault="00876B04" w:rsidP="004B5527">
      <w:pPr>
        <w:spacing w:line="240" w:lineRule="auto"/>
      </w:pPr>
      <w:r>
        <w:t xml:space="preserve">The labour force participation rate is calculated by expressing the labour force as a percentage of the civilian population aged 15 and over. The labour force is based on </w:t>
      </w:r>
      <w:r w:rsidRPr="00B70F76">
        <w:t>employed persons plus unemployed persons.</w:t>
      </w:r>
    </w:p>
    <w:p w14:paraId="2B5676D9" w14:textId="03EF9D4C" w:rsidR="00EB7330" w:rsidRDefault="00876B04" w:rsidP="004B5527">
      <w:pPr>
        <w:spacing w:line="240" w:lineRule="auto"/>
      </w:pPr>
      <w:r w:rsidRPr="00B70F76">
        <w:t xml:space="preserve">Over the 12 months to </w:t>
      </w:r>
      <w:r w:rsidR="00351CF8" w:rsidRPr="00B70F76">
        <w:t>February</w:t>
      </w:r>
      <w:r w:rsidRPr="00B70F76">
        <w:t xml:space="preserve"> 202</w:t>
      </w:r>
      <w:r w:rsidR="003A267B">
        <w:t>4,</w:t>
      </w:r>
      <w:r w:rsidRPr="00B70F76">
        <w:t xml:space="preserve"> the labour force participation rate for Australia (trend data) increased by </w:t>
      </w:r>
      <w:r w:rsidR="00B70F76" w:rsidRPr="00B70F76">
        <w:t>0.1</w:t>
      </w:r>
      <w:r w:rsidRPr="00B70F76">
        <w:t xml:space="preserve">pp to </w:t>
      </w:r>
      <w:r w:rsidR="00B70F76" w:rsidRPr="00B70F76">
        <w:t>66.6</w:t>
      </w:r>
      <w:r w:rsidRPr="00B70F76">
        <w:t xml:space="preserve">% (see Figure A). The NT and </w:t>
      </w:r>
      <w:r w:rsidR="000F2413">
        <w:t>Queensland</w:t>
      </w:r>
      <w:r w:rsidR="000F2413" w:rsidRPr="00B70F76">
        <w:t xml:space="preserve"> </w:t>
      </w:r>
      <w:r w:rsidRPr="00B70F76">
        <w:t>recorded the largest increases in the participation rate (</w:t>
      </w:r>
      <w:r w:rsidR="00B70F76" w:rsidRPr="00B70F76">
        <w:t>1.0</w:t>
      </w:r>
      <w:r w:rsidRPr="00B70F76">
        <w:t xml:space="preserve">pp and </w:t>
      </w:r>
      <w:r w:rsidR="00B70F76" w:rsidRPr="00B70F76">
        <w:t>0.6</w:t>
      </w:r>
      <w:r w:rsidRPr="00B70F76">
        <w:t xml:space="preserve">pp respectively), with </w:t>
      </w:r>
      <w:r w:rsidR="001920C1" w:rsidRPr="00B70F76">
        <w:t xml:space="preserve">Tasmania </w:t>
      </w:r>
      <w:r w:rsidR="001920C1">
        <w:t xml:space="preserve">and </w:t>
      </w:r>
      <w:r w:rsidRPr="00B70F76">
        <w:t xml:space="preserve">South Australia (SA) recording decreases (down by </w:t>
      </w:r>
      <w:r w:rsidR="001920C1" w:rsidRPr="00B70F76">
        <w:t xml:space="preserve">1.4pp </w:t>
      </w:r>
      <w:r w:rsidRPr="00B70F76">
        <w:t>and</w:t>
      </w:r>
      <w:r w:rsidR="001920C1">
        <w:t xml:space="preserve"> </w:t>
      </w:r>
      <w:r w:rsidR="001920C1" w:rsidRPr="00B70F76">
        <w:t>0.6pp</w:t>
      </w:r>
      <w:r w:rsidRPr="00B70F76">
        <w:t>, respectively).</w:t>
      </w:r>
    </w:p>
    <w:p w14:paraId="675E4391" w14:textId="26AC93D7" w:rsidR="00B70F76" w:rsidRPr="009E0BE5" w:rsidRDefault="00B70F76" w:rsidP="00002C6B">
      <w:pPr>
        <w:pStyle w:val="Caption"/>
      </w:pPr>
      <w:r>
        <w:t>Figure</w:t>
      </w:r>
      <w:r w:rsidRPr="00516607">
        <w:t xml:space="preserve"> A:</w:t>
      </w:r>
      <w:r>
        <w:t xml:space="preserve"> Labour force participation</w:t>
      </w:r>
      <w:r w:rsidRPr="00516607">
        <w:t xml:space="preserve"> </w:t>
      </w:r>
      <w:r>
        <w:t>rates (trend) by</w:t>
      </w:r>
      <w:r w:rsidR="00AF4600">
        <w:t xml:space="preserve"> </w:t>
      </w:r>
      <w:r w:rsidR="006B1D6B">
        <w:t>s</w:t>
      </w:r>
      <w:r>
        <w:t xml:space="preserve">tate (%) </w:t>
      </w:r>
      <w:r w:rsidR="00F6784A">
        <w:t xml:space="preserve">as </w:t>
      </w:r>
      <w:r>
        <w:t>at February</w:t>
      </w:r>
      <w:r w:rsidRPr="00516607">
        <w:t xml:space="preserve"> 202</w:t>
      </w:r>
      <w:r>
        <w:t>4</w:t>
      </w:r>
    </w:p>
    <w:p w14:paraId="6BA2E5D9" w14:textId="306366CF" w:rsidR="00FA77AB" w:rsidRDefault="00B70F76" w:rsidP="00FA77AB">
      <w:pPr>
        <w:spacing w:line="276" w:lineRule="auto"/>
        <w:rPr>
          <w:rStyle w:val="Hyperlink"/>
          <w:color w:val="000000" w:themeColor="text1"/>
          <w:u w:val="none"/>
        </w:rPr>
      </w:pPr>
      <w:r>
        <w:rPr>
          <w:noProof/>
        </w:rPr>
        <w:drawing>
          <wp:inline distT="0" distB="0" distL="0" distR="0" wp14:anchorId="19467165" wp14:editId="034DEFB5">
            <wp:extent cx="5716988" cy="3201670"/>
            <wp:effectExtent l="0" t="0" r="0" b="0"/>
            <wp:docPr id="1584246198" name="Chart 1" descr="Figure A: Trend labour force participation rates by State/Territory at February 2023 and February 2024. State/territory/Country. Trend Labour Force Participation Rate. &#10;New South Wales: February 2023 66%, February 2024 66%. &#10;Victoria: February 2023 67%, February 2024 67.2%. &#10;Queensland: February 2023 66.3%, February 2024 66.8%. &#10;South Australia: February 2023 63.8%, February 2024 63.2%. &#10;Western Australia: February 2023 68.8%, February 2024 69%. &#10;Tasmania: February 2023 62.5%, February 2024 61.2%. &#10;Northern Territory: February 2023 72.8%, February 2024 73.8%. &#10;Australian Capital Territory: February 2023 72.3%, February 2024 71.9%. &#10;Australia: February 2023 66.5%, February 2024 66.6%. &#10;">
              <a:extLst xmlns:a="http://schemas.openxmlformats.org/drawingml/2006/main">
                <a:ext uri="{FF2B5EF4-FFF2-40B4-BE49-F238E27FC236}">
                  <a16:creationId xmlns:a16="http://schemas.microsoft.com/office/drawing/2014/main" id="{1DC508D5-F37F-E62C-ED81-2AF0371AF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AF4600" w:rsidRPr="00B92B44">
        <w:rPr>
          <w:rStyle w:val="SourceChar"/>
        </w:rPr>
        <w:t xml:space="preserve">Source: ABS Labour Force, Australia, February 2024. Table 12: trend participation rate. Retrieved 21 March 2024. </w:t>
      </w:r>
      <w:hyperlink r:id="rId29" w:history="1">
        <w:r w:rsidR="001920C1" w:rsidRPr="00B92B44">
          <w:rPr>
            <w:rStyle w:val="Hyperlink"/>
            <w:rFonts w:cs="Arial"/>
            <w:bCs/>
            <w:sz w:val="18"/>
            <w:szCs w:val="18"/>
          </w:rPr>
          <w:t>https://www.abs.gov.au/statistics/labour/employment-and-unemployment/labour-force-australia/feb-2024</w:t>
        </w:r>
      </w:hyperlink>
    </w:p>
    <w:p w14:paraId="2C36351F" w14:textId="230AAD31" w:rsidR="00643172" w:rsidRPr="00FA77AB" w:rsidRDefault="00643172" w:rsidP="00B92B44">
      <w:pPr>
        <w:pStyle w:val="Heading1"/>
      </w:pPr>
      <w:r w:rsidRPr="0056697D">
        <w:t xml:space="preserve">Unemployment and </w:t>
      </w:r>
      <w:r w:rsidR="006B1D6B">
        <w:t>g</w:t>
      </w:r>
      <w:r w:rsidRPr="0056697D">
        <w:t>ender</w:t>
      </w:r>
    </w:p>
    <w:p w14:paraId="36A0BCA8" w14:textId="3270A73D" w:rsidR="00643172" w:rsidRPr="001A72C6" w:rsidRDefault="00643172" w:rsidP="004B5527">
      <w:pPr>
        <w:spacing w:line="240" w:lineRule="auto"/>
      </w:pPr>
      <w:r w:rsidRPr="00643172">
        <w:t xml:space="preserve">Figure B shows unemployment rates for migrants who have arrived in Australia less than ten years ago (recent migrants) and more than ten years ago (established migrants) by gender. Generally, female migrants had </w:t>
      </w:r>
      <w:r w:rsidRPr="001A72C6">
        <w:t xml:space="preserve">higher unemployment rates than male migrants for most states and territories, except for </w:t>
      </w:r>
      <w:r w:rsidR="00B83C3E">
        <w:t xml:space="preserve">the </w:t>
      </w:r>
      <w:r w:rsidR="001A72C6" w:rsidRPr="001A72C6">
        <w:t>ACT</w:t>
      </w:r>
      <w:r w:rsidRPr="001A72C6">
        <w:t>. Female unemployment rates were lower for established migrants than for recent migrants.</w:t>
      </w:r>
    </w:p>
    <w:p w14:paraId="4F723D11" w14:textId="1905944B" w:rsidR="00643172" w:rsidRPr="001A72C6" w:rsidRDefault="00643172" w:rsidP="004B5527">
      <w:pPr>
        <w:spacing w:line="240" w:lineRule="auto"/>
      </w:pPr>
      <w:r w:rsidRPr="001A72C6">
        <w:t xml:space="preserve">In </w:t>
      </w:r>
      <w:r w:rsidR="001A72C6" w:rsidRPr="001A72C6">
        <w:t>February 2024</w:t>
      </w:r>
      <w:r w:rsidRPr="001A72C6">
        <w:t xml:space="preserve">, recent female migrants had the highest unemployment rate in </w:t>
      </w:r>
      <w:r w:rsidR="001A72C6" w:rsidRPr="001A72C6">
        <w:t>seven</w:t>
      </w:r>
      <w:r w:rsidRPr="001A72C6">
        <w:t xml:space="preserve"> states and territories. The highest female recent migrant unemployment rate was in </w:t>
      </w:r>
      <w:r w:rsidR="001A72C6" w:rsidRPr="001A72C6">
        <w:t>Tasmania</w:t>
      </w:r>
      <w:r w:rsidRPr="001A72C6">
        <w:t xml:space="preserve"> at </w:t>
      </w:r>
      <w:r w:rsidR="001A72C6" w:rsidRPr="001A72C6">
        <w:t>8.9</w:t>
      </w:r>
      <w:r w:rsidRPr="001A72C6">
        <w:t xml:space="preserve">%. </w:t>
      </w:r>
      <w:r w:rsidR="001A72C6" w:rsidRPr="001A72C6">
        <w:t>WA</w:t>
      </w:r>
      <w:r w:rsidRPr="001A72C6">
        <w:t xml:space="preserve"> had the</w:t>
      </w:r>
      <w:r w:rsidR="001A72C6" w:rsidRPr="001A72C6">
        <w:t xml:space="preserve"> overall</w:t>
      </w:r>
      <w:r w:rsidRPr="001A72C6">
        <w:t xml:space="preserve"> lowest unemployment rates for all groups, with female unemployment at </w:t>
      </w:r>
      <w:r w:rsidR="001A72C6" w:rsidRPr="001A72C6">
        <w:t>5.1</w:t>
      </w:r>
      <w:r w:rsidRPr="001A72C6">
        <w:t xml:space="preserve">% for recent migrants and </w:t>
      </w:r>
      <w:r w:rsidR="001A72C6" w:rsidRPr="001A72C6">
        <w:t>2.9</w:t>
      </w:r>
      <w:r w:rsidRPr="001A72C6">
        <w:t>% for established migrants.</w:t>
      </w:r>
    </w:p>
    <w:p w14:paraId="2154A2FD" w14:textId="0A11D469" w:rsidR="00664757" w:rsidRDefault="00643172" w:rsidP="004B5527">
      <w:pPr>
        <w:spacing w:line="240" w:lineRule="auto"/>
      </w:pPr>
      <w:r w:rsidRPr="001A72C6">
        <w:t xml:space="preserve">In </w:t>
      </w:r>
      <w:r w:rsidR="00B83C3E">
        <w:t xml:space="preserve">the </w:t>
      </w:r>
      <w:r w:rsidR="001A72C6" w:rsidRPr="001A72C6">
        <w:t>ACT</w:t>
      </w:r>
      <w:r w:rsidRPr="001A72C6">
        <w:t xml:space="preserve">, male unemployment rates were higher than female unemployment rates, at </w:t>
      </w:r>
      <w:r w:rsidR="001A72C6" w:rsidRPr="001A72C6">
        <w:t>9.1</w:t>
      </w:r>
      <w:r w:rsidRPr="001A72C6">
        <w:t xml:space="preserve">% for recent migrants and </w:t>
      </w:r>
      <w:r w:rsidR="001A72C6" w:rsidRPr="001A72C6">
        <w:t>6.9</w:t>
      </w:r>
      <w:r w:rsidRPr="001A72C6">
        <w:t>% for established migrants.</w:t>
      </w:r>
    </w:p>
    <w:p w14:paraId="690E7617" w14:textId="77777777" w:rsidR="00664757" w:rsidRDefault="00664757">
      <w:r>
        <w:br w:type="page"/>
      </w:r>
    </w:p>
    <w:p w14:paraId="4F1600EB" w14:textId="18AB3B70" w:rsidR="001920C1" w:rsidRPr="001920C1" w:rsidRDefault="006F0C23" w:rsidP="00002C6B">
      <w:pPr>
        <w:pStyle w:val="Caption"/>
      </w:pPr>
      <w:r w:rsidRPr="006F0C23">
        <w:lastRenderedPageBreak/>
        <w:t xml:space="preserve">Figure B: Unemployment </w:t>
      </w:r>
      <w:r w:rsidR="0056697D">
        <w:t>r</w:t>
      </w:r>
      <w:r w:rsidRPr="006F0C23">
        <w:t xml:space="preserve">ates, </w:t>
      </w:r>
      <w:r w:rsidR="0056697D">
        <w:t>r</w:t>
      </w:r>
      <w:r w:rsidRPr="006F0C23">
        <w:t xml:space="preserve">ecent and </w:t>
      </w:r>
      <w:r w:rsidR="0056697D">
        <w:t>e</w:t>
      </w:r>
      <w:r w:rsidRPr="006F0C23">
        <w:t xml:space="preserve">stablished </w:t>
      </w:r>
      <w:r w:rsidR="0056697D">
        <w:t>m</w:t>
      </w:r>
      <w:r w:rsidRPr="006F0C23">
        <w:t xml:space="preserve">igrants by </w:t>
      </w:r>
      <w:r w:rsidR="006B1D6B">
        <w:t>s</w:t>
      </w:r>
      <w:r w:rsidRPr="006F0C23">
        <w:t xml:space="preserve">tate and </w:t>
      </w:r>
      <w:r w:rsidR="006B1D6B">
        <w:t>g</w:t>
      </w:r>
      <w:r w:rsidRPr="006F0C23">
        <w:t>ender</w:t>
      </w:r>
      <w:r w:rsidR="001A72C6">
        <w:t>, February 2024</w:t>
      </w:r>
      <w:r w:rsidRPr="006F0C23">
        <w:t xml:space="preserve"> (%)</w:t>
      </w:r>
    </w:p>
    <w:p w14:paraId="7223C1CE" w14:textId="51CDDB5A" w:rsidR="00BB3A39" w:rsidRPr="00876B04" w:rsidRDefault="001A72C6" w:rsidP="006A4F70">
      <w:pPr>
        <w:spacing w:line="276" w:lineRule="auto"/>
      </w:pPr>
      <w:r>
        <w:rPr>
          <w:noProof/>
        </w:rPr>
        <w:drawing>
          <wp:inline distT="0" distB="0" distL="0" distR="0" wp14:anchorId="6164FF62" wp14:editId="6C1D93F7">
            <wp:extent cx="5731510" cy="2736376"/>
            <wp:effectExtent l="0" t="0" r="2540" b="6985"/>
            <wp:docPr id="70177864" name="Chart 1" descr="Alt Text &#10;Figure B: Trend labour force participation rates by State/Territory at February 2023 and February 2024. State/territory/Country. Trend Labour Force Participation Rate. &#10;New South Wales: Male - Recent Migrants 3.9%, Female - Recent Migrants 6.4%,Male - Established Migrants 3.3%, Female - Established Migrants 4.2%. &#10;Victoria: Male - Recent Migrants 5%, Female - Recent Migrants 6.4%,Male - Established Migrants 3.5%, Female - Established Migrants 3.2%. &#10;Queensland: Male - Recent Migrants 4.6%, Female - Recent Migrants 5.4%,Male - Established Migrants 2.8%, Female - Established Migrants 4.5%. &#10;South Australia: Male - Recent Migrants 3.9%, Female - Recent Migrants 5.1%,Male - Established Migrants 3.2%, Female - Established Migrants 1.9%. &#10;Western Australia: Male - Recent Migrants 2.5%, Female - Recent Migrants 5.1%,Male - Established Migrants 1.9%, Female - Established Migrants 2.9%. &#10;Tasmania: Male - Recent Migrants 4.3%, Female - Recent Migrants 8.9%,Male - Established Migrants 2.6%, Female - Established Migrants 6.9%. &#10;Northern Territory: Male - Recent Migrants 5.1%, Female - Recent Migrants 8.5%,Male - Established Migrants 2.4%, Female - Established Migrants 2%. &#10;Australian Capital Territory: Male - Recent Migrants 9.1%, Female - Recent Migrants 1.6%,Male - Established Migrants 6.9%, Female - Established Migrants 6.1%. &#10;Australia: Male - Recent Migrants 4.3%, Female - Recent Migrants 6%,Male - Established Migrants 3.1%, Female - Established Migrants 3.7%. &#10;">
              <a:extLst xmlns:a="http://schemas.openxmlformats.org/drawingml/2006/main">
                <a:ext uri="{FF2B5EF4-FFF2-40B4-BE49-F238E27FC236}">
                  <a16:creationId xmlns:a16="http://schemas.microsoft.com/office/drawing/2014/main" id="{D65A043B-0986-38F5-3E5A-6504E9BD8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E578C95" w14:textId="3EECF078" w:rsidR="00BB3A39" w:rsidRDefault="005359C7" w:rsidP="006A4F70">
      <w:pPr>
        <w:spacing w:after="80" w:line="276" w:lineRule="auto"/>
        <w:rPr>
          <w:rFonts w:cs="Arial"/>
          <w:color w:val="000000"/>
          <w:sz w:val="16"/>
          <w:szCs w:val="16"/>
        </w:rPr>
      </w:pPr>
      <w:r w:rsidRPr="00B92B44">
        <w:rPr>
          <w:rStyle w:val="SourceChar"/>
        </w:rPr>
        <w:t xml:space="preserve">Source: ABS (2023). </w:t>
      </w:r>
      <w:r w:rsidR="001A72C6" w:rsidRPr="00B92B44">
        <w:rPr>
          <w:rStyle w:val="SourceChar"/>
        </w:rPr>
        <w:t>LM7</w:t>
      </w:r>
      <w:r w:rsidRPr="00B92B44">
        <w:rPr>
          <w:rStyle w:val="SourceChar"/>
        </w:rPr>
        <w:t xml:space="preserve"> Labour force status by elapsed years since arrival, major country group (subcontinent) of birth (SACC), sex, state and territory, January 1991 onwards (pivot table). Labour Force, Australia, Detailed. </w:t>
      </w:r>
      <w:r w:rsidR="001A72C6" w:rsidRPr="00B92B44">
        <w:rPr>
          <w:rStyle w:val="SourceChar"/>
        </w:rPr>
        <w:t>Retrieved 28 March 2024.</w:t>
      </w:r>
      <w:r w:rsidR="001A72C6" w:rsidRPr="001A72C6">
        <w:rPr>
          <w:rFonts w:cs="Arial"/>
          <w:color w:val="000000"/>
          <w:sz w:val="16"/>
          <w:szCs w:val="16"/>
        </w:rPr>
        <w:t xml:space="preserve"> </w:t>
      </w:r>
      <w:hyperlink r:id="rId31" w:anchor="all-data-downloads" w:history="1">
        <w:r w:rsidR="001A72C6" w:rsidRPr="00B92B44">
          <w:rPr>
            <w:rStyle w:val="Hyperlink"/>
            <w:rFonts w:cs="Arial"/>
            <w:sz w:val="18"/>
            <w:szCs w:val="18"/>
          </w:rPr>
          <w:t>https://www.abs.gov.au/statistics/labour/employment-and-unemployment/labour-force-australia-detailed/latest-release#all-data-downloads</w:t>
        </w:r>
      </w:hyperlink>
      <w:r w:rsidR="001A72C6">
        <w:rPr>
          <w:rFonts w:cs="Arial"/>
          <w:color w:val="000000"/>
          <w:sz w:val="16"/>
          <w:szCs w:val="16"/>
        </w:rPr>
        <w:t xml:space="preserve"> </w:t>
      </w:r>
    </w:p>
    <w:p w14:paraId="30CE9D3F" w14:textId="00A0DAE4" w:rsidR="008F79DC" w:rsidRPr="008F79DC" w:rsidRDefault="008F79DC" w:rsidP="00B92B44">
      <w:pPr>
        <w:pStyle w:val="Heading1"/>
      </w:pPr>
      <w:r w:rsidRPr="0056697D">
        <w:t xml:space="preserve">Industry by </w:t>
      </w:r>
      <w:r w:rsidR="006B1D6B">
        <w:t>s</w:t>
      </w:r>
      <w:r w:rsidRPr="0056697D">
        <w:t xml:space="preserve">tate and </w:t>
      </w:r>
      <w:r w:rsidR="006B1D6B">
        <w:t>t</w:t>
      </w:r>
      <w:r w:rsidRPr="0056697D">
        <w:t>erritory</w:t>
      </w:r>
    </w:p>
    <w:p w14:paraId="02D02F9C" w14:textId="08AB4150" w:rsidR="00B73980" w:rsidRDefault="008F79DC" w:rsidP="0054590F">
      <w:pPr>
        <w:spacing w:line="240" w:lineRule="auto"/>
        <w:rPr>
          <w:rFonts w:cs="Arial"/>
          <w:b/>
          <w:bCs/>
          <w:color w:val="auto"/>
          <w:sz w:val="18"/>
          <w:szCs w:val="18"/>
        </w:rPr>
      </w:pPr>
      <w:r>
        <w:t xml:space="preserve">Table B </w:t>
      </w:r>
      <w:r w:rsidRPr="0019239D">
        <w:t xml:space="preserve">shows the industry share of total employment for each state and territory (trend data). </w:t>
      </w:r>
      <w:r w:rsidR="00673DA1">
        <w:t xml:space="preserve">It shows WA has a </w:t>
      </w:r>
      <w:r w:rsidR="001F1D15">
        <w:t>considerable proportion</w:t>
      </w:r>
      <w:r w:rsidR="00673DA1">
        <w:t xml:space="preserve"> of employed persons in Mining (10.1%) compared to the ACT (0.0</w:t>
      </w:r>
      <w:r w:rsidR="00854F7C">
        <w:t>4</w:t>
      </w:r>
      <w:r w:rsidR="00673DA1">
        <w:t xml:space="preserve">%); and </w:t>
      </w:r>
      <w:r w:rsidR="00854F7C" w:rsidRPr="0019239D">
        <w:t>the ACT (29.</w:t>
      </w:r>
      <w:r w:rsidR="0056697D">
        <w:t>9</w:t>
      </w:r>
      <w:r w:rsidR="00854F7C" w:rsidRPr="0019239D">
        <w:t xml:space="preserve">%) has a </w:t>
      </w:r>
      <w:r w:rsidR="001F1D15" w:rsidRPr="0019239D">
        <w:t>considerable proportion</w:t>
      </w:r>
      <w:r w:rsidR="00854F7C" w:rsidRPr="0019239D">
        <w:t xml:space="preserve"> of employed persons in Public Administration and Safety</w:t>
      </w:r>
      <w:r w:rsidR="00854F7C">
        <w:t xml:space="preserve"> compared to Victoria (5.1%). </w:t>
      </w:r>
      <w:r>
        <w:t xml:space="preserve">The industries that employ the largest number of persons in Australia are Health Care and Social Assistance </w:t>
      </w:r>
      <w:r w:rsidRPr="00C46E6F">
        <w:t>(</w:t>
      </w:r>
      <w:r w:rsidR="00C46E6F" w:rsidRPr="00C46E6F">
        <w:t>15.</w:t>
      </w:r>
      <w:r w:rsidR="0056697D">
        <w:t>6</w:t>
      </w:r>
      <w:r w:rsidR="00A75A44" w:rsidRPr="00C46E6F">
        <w:t>%</w:t>
      </w:r>
      <w:r w:rsidRPr="00C46E6F">
        <w:t xml:space="preserve">) followed by </w:t>
      </w:r>
      <w:r w:rsidR="00C46E6F" w:rsidRPr="00C46E6F">
        <w:t>Construction</w:t>
      </w:r>
      <w:r w:rsidR="0056697D">
        <w:t xml:space="preserve"> </w:t>
      </w:r>
      <w:r w:rsidR="00C46E6F" w:rsidRPr="00C46E6F">
        <w:t>(</w:t>
      </w:r>
      <w:r w:rsidR="0056697D">
        <w:t>9.4</w:t>
      </w:r>
      <w:r w:rsidR="00C46E6F" w:rsidRPr="00C46E6F">
        <w:t>%)</w:t>
      </w:r>
      <w:r w:rsidR="0056697D">
        <w:t xml:space="preserve">, </w:t>
      </w:r>
      <w:r w:rsidR="0056697D" w:rsidRPr="00C46E6F">
        <w:t>Retail Trade (</w:t>
      </w:r>
      <w:r w:rsidR="0056697D">
        <w:t>9.4</w:t>
      </w:r>
      <w:r w:rsidR="0056697D" w:rsidRPr="00C46E6F">
        <w:t>%)</w:t>
      </w:r>
      <w:r w:rsidR="0056697D">
        <w:t xml:space="preserve"> a</w:t>
      </w:r>
      <w:r w:rsidR="00C46E6F" w:rsidRPr="00C46E6F">
        <w:t xml:space="preserve">nd </w:t>
      </w:r>
      <w:r w:rsidRPr="00C46E6F">
        <w:t xml:space="preserve">Professional, Scientific and Technical Services </w:t>
      </w:r>
      <w:r w:rsidR="0056697D">
        <w:t>(9.3%).</w:t>
      </w:r>
    </w:p>
    <w:p w14:paraId="52923BFB" w14:textId="1050B22D" w:rsidR="00D15803" w:rsidRPr="00002C6B" w:rsidRDefault="001920C1" w:rsidP="00002C6B">
      <w:pPr>
        <w:pStyle w:val="Caption"/>
      </w:pPr>
      <w:r w:rsidRPr="00002C6B">
        <w:t xml:space="preserve">Table B: Employment Distribution by Industry and </w:t>
      </w:r>
      <w:r w:rsidR="006B1D6B" w:rsidRPr="00002C6B">
        <w:t>s</w:t>
      </w:r>
      <w:r w:rsidRPr="00002C6B">
        <w:t>tate/</w:t>
      </w:r>
      <w:r w:rsidR="006B1D6B" w:rsidRPr="00002C6B">
        <w:t>t</w:t>
      </w:r>
      <w:r w:rsidRPr="00002C6B">
        <w:t xml:space="preserve">erritory at </w:t>
      </w:r>
      <w:r w:rsidR="00037495" w:rsidRPr="00002C6B">
        <w:t>February 2024</w:t>
      </w:r>
      <w:r w:rsidRPr="00002C6B">
        <w:t xml:space="preserve"> (% of persons)</w:t>
      </w:r>
    </w:p>
    <w:tbl>
      <w:tblPr>
        <w:tblStyle w:val="JSATable1"/>
        <w:tblpPr w:leftFromText="180" w:rightFromText="180" w:vertAnchor="text" w:horzAnchor="margin" w:tblpXSpec="center" w:tblpY="144"/>
        <w:tblW w:w="10193" w:type="dxa"/>
        <w:tblLayout w:type="fixed"/>
        <w:tblLook w:val="0020" w:firstRow="1" w:lastRow="0" w:firstColumn="0" w:lastColumn="0" w:noHBand="0" w:noVBand="0"/>
      </w:tblPr>
      <w:tblGrid>
        <w:gridCol w:w="1430"/>
        <w:gridCol w:w="850"/>
        <w:gridCol w:w="780"/>
        <w:gridCol w:w="1019"/>
        <w:gridCol w:w="1019"/>
        <w:gridCol w:w="1019"/>
        <w:gridCol w:w="1019"/>
        <w:gridCol w:w="1019"/>
        <w:gridCol w:w="1071"/>
        <w:gridCol w:w="967"/>
      </w:tblGrid>
      <w:tr w:rsidR="00E22F94" w:rsidRPr="0056697D" w14:paraId="6FD68F0D" w14:textId="77777777" w:rsidTr="00037495">
        <w:trPr>
          <w:cnfStyle w:val="100000000000" w:firstRow="1" w:lastRow="0" w:firstColumn="0" w:lastColumn="0" w:oddVBand="0" w:evenVBand="0" w:oddHBand="0" w:evenHBand="0" w:firstRowFirstColumn="0" w:firstRowLastColumn="0" w:lastRowFirstColumn="0" w:lastRowLastColumn="0"/>
        </w:trPr>
        <w:tc>
          <w:tcPr>
            <w:tcW w:w="1430" w:type="dxa"/>
            <w:vAlign w:val="center"/>
          </w:tcPr>
          <w:p w14:paraId="10779C3F" w14:textId="77777777" w:rsidR="00E22F94" w:rsidRPr="0056697D" w:rsidRDefault="00E22F94" w:rsidP="00037495">
            <w:pPr>
              <w:spacing w:after="100" w:line="276" w:lineRule="auto"/>
              <w:jc w:val="center"/>
              <w:rPr>
                <w:rFonts w:eastAsia="Arial Nova" w:cs="Times New Roman"/>
                <w:color w:val="FFFFFF" w:themeColor="background1"/>
                <w:sz w:val="17"/>
                <w:szCs w:val="17"/>
              </w:rPr>
            </w:pPr>
          </w:p>
        </w:tc>
        <w:tc>
          <w:tcPr>
            <w:tcW w:w="850" w:type="dxa"/>
            <w:vAlign w:val="center"/>
          </w:tcPr>
          <w:p w14:paraId="57B1D814" w14:textId="77777777" w:rsidR="00E22F94" w:rsidRPr="0056697D" w:rsidRDefault="00E22F94" w:rsidP="00037495">
            <w:pPr>
              <w:spacing w:after="100" w:line="276" w:lineRule="auto"/>
              <w:jc w:val="center"/>
              <w:rPr>
                <w:rFonts w:eastAsia="Arial Nova" w:cs="Times New Roman"/>
                <w:color w:val="FFFFFF" w:themeColor="background1"/>
                <w:sz w:val="17"/>
                <w:szCs w:val="17"/>
              </w:rPr>
            </w:pPr>
            <w:r w:rsidRPr="0056697D">
              <w:rPr>
                <w:rFonts w:cs="Arial"/>
                <w:color w:val="FFFFFF" w:themeColor="background1"/>
                <w:sz w:val="17"/>
                <w:szCs w:val="17"/>
              </w:rPr>
              <w:t>NSW</w:t>
            </w:r>
          </w:p>
        </w:tc>
        <w:tc>
          <w:tcPr>
            <w:tcW w:w="780" w:type="dxa"/>
            <w:vAlign w:val="center"/>
          </w:tcPr>
          <w:p w14:paraId="5CBB6423" w14:textId="77777777" w:rsidR="00E22F94" w:rsidRPr="0056697D" w:rsidRDefault="00E22F94" w:rsidP="00037495">
            <w:pPr>
              <w:spacing w:after="100" w:line="276" w:lineRule="auto"/>
              <w:jc w:val="center"/>
              <w:rPr>
                <w:rFonts w:eastAsia="Arial Nova" w:cs="Times New Roman"/>
                <w:color w:val="FFFFFF" w:themeColor="background1"/>
                <w:sz w:val="17"/>
                <w:szCs w:val="17"/>
              </w:rPr>
            </w:pPr>
            <w:r w:rsidRPr="0056697D">
              <w:rPr>
                <w:rFonts w:cs="Arial"/>
                <w:color w:val="FFFFFF" w:themeColor="background1"/>
                <w:sz w:val="17"/>
                <w:szCs w:val="17"/>
              </w:rPr>
              <w:t>VIC</w:t>
            </w:r>
          </w:p>
        </w:tc>
        <w:tc>
          <w:tcPr>
            <w:tcW w:w="1019" w:type="dxa"/>
            <w:vAlign w:val="center"/>
          </w:tcPr>
          <w:p w14:paraId="1BFD69A2" w14:textId="77777777" w:rsidR="00E22F94" w:rsidRPr="0056697D" w:rsidRDefault="00E22F94" w:rsidP="00037495">
            <w:pPr>
              <w:spacing w:after="100" w:line="276" w:lineRule="auto"/>
              <w:jc w:val="center"/>
              <w:rPr>
                <w:rFonts w:eastAsia="Arial Nova" w:cs="Times New Roman"/>
                <w:color w:val="FFFFFF" w:themeColor="background1"/>
                <w:sz w:val="17"/>
                <w:szCs w:val="17"/>
              </w:rPr>
            </w:pPr>
            <w:r w:rsidRPr="0056697D">
              <w:rPr>
                <w:rFonts w:cs="Arial"/>
                <w:color w:val="FFFFFF" w:themeColor="background1"/>
                <w:sz w:val="17"/>
                <w:szCs w:val="17"/>
              </w:rPr>
              <w:t>QLD</w:t>
            </w:r>
          </w:p>
        </w:tc>
        <w:tc>
          <w:tcPr>
            <w:tcW w:w="1019" w:type="dxa"/>
            <w:vAlign w:val="center"/>
          </w:tcPr>
          <w:p w14:paraId="63CA3A4D" w14:textId="77777777" w:rsidR="00E22F94" w:rsidRPr="0056697D" w:rsidRDefault="00E22F94" w:rsidP="00037495">
            <w:pPr>
              <w:spacing w:after="100" w:line="276" w:lineRule="auto"/>
              <w:jc w:val="center"/>
              <w:rPr>
                <w:rFonts w:eastAsia="Arial Nova" w:cs="Times New Roman"/>
                <w:color w:val="FFFFFF" w:themeColor="background1"/>
                <w:sz w:val="17"/>
                <w:szCs w:val="17"/>
              </w:rPr>
            </w:pPr>
            <w:r w:rsidRPr="0056697D">
              <w:rPr>
                <w:rFonts w:cs="Arial"/>
                <w:color w:val="FFFFFF" w:themeColor="background1"/>
                <w:sz w:val="17"/>
                <w:szCs w:val="17"/>
              </w:rPr>
              <w:t>SA</w:t>
            </w:r>
          </w:p>
        </w:tc>
        <w:tc>
          <w:tcPr>
            <w:tcW w:w="1019" w:type="dxa"/>
            <w:vAlign w:val="center"/>
          </w:tcPr>
          <w:p w14:paraId="602B7CA1" w14:textId="77777777" w:rsidR="00E22F94" w:rsidRPr="0056697D" w:rsidRDefault="00E22F94" w:rsidP="00037495">
            <w:pPr>
              <w:spacing w:after="100" w:line="276" w:lineRule="auto"/>
              <w:jc w:val="center"/>
              <w:rPr>
                <w:rFonts w:eastAsia="Arial Nova" w:cs="Times New Roman"/>
                <w:color w:val="FFFFFF" w:themeColor="background1"/>
                <w:sz w:val="17"/>
                <w:szCs w:val="17"/>
              </w:rPr>
            </w:pPr>
            <w:r w:rsidRPr="0056697D">
              <w:rPr>
                <w:rFonts w:cs="Arial"/>
                <w:color w:val="FFFFFF" w:themeColor="background1"/>
                <w:sz w:val="17"/>
                <w:szCs w:val="17"/>
              </w:rPr>
              <w:t>WA</w:t>
            </w:r>
          </w:p>
        </w:tc>
        <w:tc>
          <w:tcPr>
            <w:tcW w:w="1019" w:type="dxa"/>
            <w:vAlign w:val="center"/>
          </w:tcPr>
          <w:p w14:paraId="7F591276" w14:textId="77777777" w:rsidR="00E22F94" w:rsidRPr="0056697D" w:rsidRDefault="00E22F94" w:rsidP="00037495">
            <w:pPr>
              <w:spacing w:after="100" w:line="276" w:lineRule="auto"/>
              <w:jc w:val="center"/>
              <w:rPr>
                <w:rFonts w:eastAsia="Arial Nova" w:cs="Times New Roman"/>
                <w:color w:val="FFFFFF" w:themeColor="background1"/>
                <w:sz w:val="17"/>
                <w:szCs w:val="17"/>
              </w:rPr>
            </w:pPr>
            <w:r w:rsidRPr="0056697D">
              <w:rPr>
                <w:rFonts w:cs="Arial"/>
                <w:color w:val="FFFFFF" w:themeColor="background1"/>
                <w:sz w:val="17"/>
                <w:szCs w:val="17"/>
              </w:rPr>
              <w:t>TAS</w:t>
            </w:r>
          </w:p>
        </w:tc>
        <w:tc>
          <w:tcPr>
            <w:tcW w:w="1019" w:type="dxa"/>
            <w:vAlign w:val="center"/>
          </w:tcPr>
          <w:p w14:paraId="1726413D" w14:textId="77777777" w:rsidR="00E22F94" w:rsidRPr="0056697D" w:rsidRDefault="00E22F94" w:rsidP="00037495">
            <w:pPr>
              <w:spacing w:after="100" w:line="276" w:lineRule="auto"/>
              <w:jc w:val="center"/>
              <w:rPr>
                <w:rFonts w:eastAsia="Arial Nova" w:cs="Times New Roman"/>
                <w:color w:val="FFFFFF" w:themeColor="background1"/>
                <w:sz w:val="17"/>
                <w:szCs w:val="17"/>
              </w:rPr>
            </w:pPr>
            <w:r w:rsidRPr="0056697D">
              <w:rPr>
                <w:rFonts w:cs="Arial"/>
                <w:color w:val="FFFFFF" w:themeColor="background1"/>
                <w:sz w:val="17"/>
                <w:szCs w:val="17"/>
              </w:rPr>
              <w:t>NT</w:t>
            </w:r>
          </w:p>
        </w:tc>
        <w:tc>
          <w:tcPr>
            <w:tcW w:w="1071" w:type="dxa"/>
            <w:vAlign w:val="center"/>
          </w:tcPr>
          <w:p w14:paraId="31A18B1E" w14:textId="77777777" w:rsidR="00E22F94" w:rsidRPr="0056697D" w:rsidRDefault="00E22F94" w:rsidP="00037495">
            <w:pPr>
              <w:spacing w:after="100" w:line="276" w:lineRule="auto"/>
              <w:jc w:val="center"/>
              <w:rPr>
                <w:rFonts w:eastAsia="Arial Nova" w:cs="Times New Roman"/>
                <w:color w:val="FFFFFF" w:themeColor="background1"/>
                <w:sz w:val="17"/>
                <w:szCs w:val="17"/>
              </w:rPr>
            </w:pPr>
            <w:r w:rsidRPr="0056697D">
              <w:rPr>
                <w:rFonts w:cs="Arial"/>
                <w:color w:val="FFFFFF" w:themeColor="background1"/>
                <w:sz w:val="17"/>
                <w:szCs w:val="17"/>
              </w:rPr>
              <w:t>ACT</w:t>
            </w:r>
          </w:p>
        </w:tc>
        <w:tc>
          <w:tcPr>
            <w:tcW w:w="967" w:type="dxa"/>
            <w:vAlign w:val="center"/>
          </w:tcPr>
          <w:p w14:paraId="1D62BC17" w14:textId="1CE8F017" w:rsidR="00E22F94" w:rsidRPr="0056697D" w:rsidRDefault="00E22F94" w:rsidP="00037495">
            <w:pPr>
              <w:spacing w:after="100" w:line="276" w:lineRule="auto"/>
              <w:jc w:val="center"/>
              <w:rPr>
                <w:rFonts w:eastAsia="Arial Nova" w:cs="Times New Roman"/>
                <w:color w:val="FFFFFF" w:themeColor="background1"/>
                <w:sz w:val="17"/>
                <w:szCs w:val="17"/>
              </w:rPr>
            </w:pPr>
            <w:r w:rsidRPr="0056697D">
              <w:rPr>
                <w:rFonts w:cs="Arial"/>
                <w:color w:val="FFFFFF" w:themeColor="background1"/>
                <w:sz w:val="17"/>
                <w:szCs w:val="17"/>
              </w:rPr>
              <w:t>AUS</w:t>
            </w:r>
          </w:p>
        </w:tc>
      </w:tr>
      <w:tr w:rsidR="009F1E52" w:rsidRPr="0056697D" w14:paraId="2A7427F2" w14:textId="77777777" w:rsidTr="009F1E52">
        <w:tc>
          <w:tcPr>
            <w:tcW w:w="1430" w:type="dxa"/>
            <w:vAlign w:val="center"/>
          </w:tcPr>
          <w:p w14:paraId="153AD79E" w14:textId="77777777" w:rsidR="009F1E52" w:rsidRPr="0056697D" w:rsidRDefault="009F1E52" w:rsidP="009F1E52">
            <w:pPr>
              <w:spacing w:after="100" w:line="276" w:lineRule="auto"/>
              <w:jc w:val="center"/>
              <w:rPr>
                <w:rFonts w:eastAsia="Arial Nova" w:cs="Times New Roman"/>
                <w:color w:val="auto"/>
                <w:sz w:val="17"/>
                <w:szCs w:val="17"/>
              </w:rPr>
            </w:pPr>
            <w:r w:rsidRPr="0056697D">
              <w:rPr>
                <w:rFonts w:cs="Arial"/>
                <w:sz w:val="17"/>
                <w:szCs w:val="17"/>
              </w:rPr>
              <w:t>Agriculture, Forestry and Fishing</w:t>
            </w:r>
          </w:p>
        </w:tc>
        <w:tc>
          <w:tcPr>
            <w:tcW w:w="850" w:type="dxa"/>
            <w:vAlign w:val="center"/>
          </w:tcPr>
          <w:p w14:paraId="0D6E7F79"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1.7</w:t>
            </w:r>
          </w:p>
        </w:tc>
        <w:tc>
          <w:tcPr>
            <w:tcW w:w="780" w:type="dxa"/>
            <w:vAlign w:val="center"/>
          </w:tcPr>
          <w:p w14:paraId="631D0BD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2.1</w:t>
            </w:r>
          </w:p>
        </w:tc>
        <w:tc>
          <w:tcPr>
            <w:tcW w:w="1019" w:type="dxa"/>
            <w:vAlign w:val="center"/>
          </w:tcPr>
          <w:p w14:paraId="6C5C0A80"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2.4</w:t>
            </w:r>
          </w:p>
        </w:tc>
        <w:tc>
          <w:tcPr>
            <w:tcW w:w="1019" w:type="dxa"/>
            <w:vAlign w:val="center"/>
          </w:tcPr>
          <w:p w14:paraId="220BB0B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4.0</w:t>
            </w:r>
          </w:p>
        </w:tc>
        <w:tc>
          <w:tcPr>
            <w:tcW w:w="1019" w:type="dxa"/>
            <w:vAlign w:val="center"/>
          </w:tcPr>
          <w:p w14:paraId="3586F249"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2.0</w:t>
            </w:r>
          </w:p>
        </w:tc>
        <w:tc>
          <w:tcPr>
            <w:tcW w:w="1019" w:type="dxa"/>
            <w:vAlign w:val="center"/>
          </w:tcPr>
          <w:p w14:paraId="1509AEE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5.1</w:t>
            </w:r>
          </w:p>
        </w:tc>
        <w:tc>
          <w:tcPr>
            <w:tcW w:w="1019" w:type="dxa"/>
            <w:vAlign w:val="center"/>
          </w:tcPr>
          <w:p w14:paraId="2F872889"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2.4</w:t>
            </w:r>
          </w:p>
        </w:tc>
        <w:tc>
          <w:tcPr>
            <w:tcW w:w="1071" w:type="dxa"/>
            <w:vAlign w:val="center"/>
          </w:tcPr>
          <w:p w14:paraId="6F2AE316" w14:textId="7EB44D23"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0.3*</w:t>
            </w:r>
          </w:p>
        </w:tc>
        <w:tc>
          <w:tcPr>
            <w:tcW w:w="967" w:type="dxa"/>
            <w:vAlign w:val="center"/>
          </w:tcPr>
          <w:p w14:paraId="5B56C298" w14:textId="74D686B6"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2.2</w:t>
            </w:r>
          </w:p>
        </w:tc>
      </w:tr>
      <w:tr w:rsidR="009F1E52" w:rsidRPr="0056697D" w14:paraId="2DDF8C17" w14:textId="77777777" w:rsidTr="009F1E52">
        <w:trPr>
          <w:cnfStyle w:val="000000010000" w:firstRow="0" w:lastRow="0" w:firstColumn="0" w:lastColumn="0" w:oddVBand="0" w:evenVBand="0" w:oddHBand="0" w:evenHBand="1" w:firstRowFirstColumn="0" w:firstRowLastColumn="0" w:lastRowFirstColumn="0" w:lastRowLastColumn="0"/>
        </w:trPr>
        <w:tc>
          <w:tcPr>
            <w:tcW w:w="1430" w:type="dxa"/>
            <w:vAlign w:val="center"/>
          </w:tcPr>
          <w:p w14:paraId="452D49E1" w14:textId="77777777" w:rsidR="009F1E52" w:rsidRPr="0056697D" w:rsidRDefault="009F1E52" w:rsidP="009F1E52">
            <w:pPr>
              <w:spacing w:after="100" w:line="276" w:lineRule="auto"/>
              <w:jc w:val="center"/>
              <w:rPr>
                <w:rFonts w:eastAsia="Arial Nova" w:cs="Times New Roman"/>
                <w:color w:val="auto"/>
                <w:sz w:val="17"/>
                <w:szCs w:val="17"/>
              </w:rPr>
            </w:pPr>
            <w:r w:rsidRPr="0056697D">
              <w:rPr>
                <w:rFonts w:cs="Arial"/>
                <w:sz w:val="17"/>
                <w:szCs w:val="17"/>
              </w:rPr>
              <w:t>Mining</w:t>
            </w:r>
          </w:p>
        </w:tc>
        <w:tc>
          <w:tcPr>
            <w:tcW w:w="850" w:type="dxa"/>
            <w:vAlign w:val="center"/>
          </w:tcPr>
          <w:p w14:paraId="757803D8"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0.8</w:t>
            </w:r>
          </w:p>
        </w:tc>
        <w:tc>
          <w:tcPr>
            <w:tcW w:w="780" w:type="dxa"/>
            <w:vAlign w:val="center"/>
          </w:tcPr>
          <w:p w14:paraId="18385DC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0.3</w:t>
            </w:r>
          </w:p>
        </w:tc>
        <w:tc>
          <w:tcPr>
            <w:tcW w:w="1019" w:type="dxa"/>
            <w:vAlign w:val="center"/>
          </w:tcPr>
          <w:p w14:paraId="45722269"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2.8</w:t>
            </w:r>
          </w:p>
        </w:tc>
        <w:tc>
          <w:tcPr>
            <w:tcW w:w="1019" w:type="dxa"/>
            <w:vAlign w:val="center"/>
          </w:tcPr>
          <w:p w14:paraId="469EF9CD"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1.7</w:t>
            </w:r>
          </w:p>
        </w:tc>
        <w:tc>
          <w:tcPr>
            <w:tcW w:w="1019" w:type="dxa"/>
            <w:vAlign w:val="center"/>
          </w:tcPr>
          <w:p w14:paraId="5BE1F747"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10.1</w:t>
            </w:r>
          </w:p>
        </w:tc>
        <w:tc>
          <w:tcPr>
            <w:tcW w:w="1019" w:type="dxa"/>
            <w:vAlign w:val="center"/>
          </w:tcPr>
          <w:p w14:paraId="06D8356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1.4</w:t>
            </w:r>
          </w:p>
        </w:tc>
        <w:tc>
          <w:tcPr>
            <w:tcW w:w="1019" w:type="dxa"/>
            <w:vAlign w:val="center"/>
          </w:tcPr>
          <w:p w14:paraId="2F85D61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2.8</w:t>
            </w:r>
          </w:p>
        </w:tc>
        <w:tc>
          <w:tcPr>
            <w:tcW w:w="1071" w:type="dxa"/>
            <w:vAlign w:val="center"/>
          </w:tcPr>
          <w:p w14:paraId="3C72D4C5" w14:textId="1C14D072"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0.04*</w:t>
            </w:r>
          </w:p>
        </w:tc>
        <w:tc>
          <w:tcPr>
            <w:tcW w:w="967" w:type="dxa"/>
            <w:vAlign w:val="center"/>
          </w:tcPr>
          <w:p w14:paraId="1C596E0C" w14:textId="64FADD04"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2.2</w:t>
            </w:r>
          </w:p>
        </w:tc>
      </w:tr>
      <w:tr w:rsidR="009F1E52" w:rsidRPr="0056697D" w14:paraId="5FBBC01A" w14:textId="77777777" w:rsidTr="009F1E52">
        <w:tc>
          <w:tcPr>
            <w:tcW w:w="1430" w:type="dxa"/>
            <w:vAlign w:val="center"/>
          </w:tcPr>
          <w:p w14:paraId="740E1E00" w14:textId="77777777" w:rsidR="009F1E52" w:rsidRPr="0056697D" w:rsidRDefault="009F1E52" w:rsidP="009F1E52">
            <w:pPr>
              <w:spacing w:after="100" w:line="276" w:lineRule="auto"/>
              <w:jc w:val="center"/>
              <w:rPr>
                <w:rFonts w:eastAsia="Arial Nova" w:cs="Times New Roman"/>
                <w:color w:val="auto"/>
                <w:sz w:val="17"/>
                <w:szCs w:val="17"/>
              </w:rPr>
            </w:pPr>
            <w:r w:rsidRPr="0056697D">
              <w:rPr>
                <w:rFonts w:cs="Arial"/>
                <w:sz w:val="17"/>
                <w:szCs w:val="17"/>
              </w:rPr>
              <w:t>Manufacturing</w:t>
            </w:r>
          </w:p>
        </w:tc>
        <w:tc>
          <w:tcPr>
            <w:tcW w:w="850" w:type="dxa"/>
            <w:vAlign w:val="center"/>
          </w:tcPr>
          <w:p w14:paraId="5CA1E96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6.2</w:t>
            </w:r>
          </w:p>
        </w:tc>
        <w:tc>
          <w:tcPr>
            <w:tcW w:w="780" w:type="dxa"/>
            <w:vAlign w:val="center"/>
          </w:tcPr>
          <w:p w14:paraId="4A84C527"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7.4</w:t>
            </w:r>
          </w:p>
        </w:tc>
        <w:tc>
          <w:tcPr>
            <w:tcW w:w="1019" w:type="dxa"/>
            <w:vAlign w:val="center"/>
          </w:tcPr>
          <w:p w14:paraId="628C38BD"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6.2</w:t>
            </w:r>
          </w:p>
        </w:tc>
        <w:tc>
          <w:tcPr>
            <w:tcW w:w="1019" w:type="dxa"/>
            <w:vAlign w:val="center"/>
          </w:tcPr>
          <w:p w14:paraId="3869A71E"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7.3</w:t>
            </w:r>
          </w:p>
        </w:tc>
        <w:tc>
          <w:tcPr>
            <w:tcW w:w="1019" w:type="dxa"/>
            <w:vAlign w:val="center"/>
          </w:tcPr>
          <w:p w14:paraId="483CF86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5.2</w:t>
            </w:r>
          </w:p>
        </w:tc>
        <w:tc>
          <w:tcPr>
            <w:tcW w:w="1019" w:type="dxa"/>
            <w:vAlign w:val="center"/>
          </w:tcPr>
          <w:p w14:paraId="66132ED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7.0</w:t>
            </w:r>
          </w:p>
        </w:tc>
        <w:tc>
          <w:tcPr>
            <w:tcW w:w="1019" w:type="dxa"/>
            <w:vAlign w:val="center"/>
          </w:tcPr>
          <w:p w14:paraId="08F98FC8"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2.5</w:t>
            </w:r>
          </w:p>
        </w:tc>
        <w:tc>
          <w:tcPr>
            <w:tcW w:w="1071" w:type="dxa"/>
            <w:vAlign w:val="center"/>
          </w:tcPr>
          <w:p w14:paraId="690DA7A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1.8</w:t>
            </w:r>
          </w:p>
        </w:tc>
        <w:tc>
          <w:tcPr>
            <w:tcW w:w="967" w:type="dxa"/>
            <w:vAlign w:val="center"/>
          </w:tcPr>
          <w:p w14:paraId="4BE65E48" w14:textId="06FDC7AF"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6.4</w:t>
            </w:r>
          </w:p>
        </w:tc>
      </w:tr>
      <w:tr w:rsidR="009F1E52" w:rsidRPr="0056697D" w14:paraId="340C1454" w14:textId="77777777" w:rsidTr="009F1E52">
        <w:trPr>
          <w:cnfStyle w:val="000000010000" w:firstRow="0" w:lastRow="0" w:firstColumn="0" w:lastColumn="0" w:oddVBand="0" w:evenVBand="0" w:oddHBand="0" w:evenHBand="1" w:firstRowFirstColumn="0" w:firstRowLastColumn="0" w:lastRowFirstColumn="0" w:lastRowLastColumn="0"/>
        </w:trPr>
        <w:tc>
          <w:tcPr>
            <w:tcW w:w="1430" w:type="dxa"/>
            <w:vAlign w:val="center"/>
          </w:tcPr>
          <w:p w14:paraId="40C59E61" w14:textId="77777777" w:rsidR="009F1E52" w:rsidRPr="0056697D" w:rsidRDefault="009F1E52" w:rsidP="009F1E52">
            <w:pPr>
              <w:spacing w:after="100" w:line="276" w:lineRule="auto"/>
              <w:jc w:val="center"/>
              <w:rPr>
                <w:rFonts w:eastAsia="Arial Nova" w:cs="Times New Roman"/>
                <w:color w:val="auto"/>
                <w:sz w:val="17"/>
                <w:szCs w:val="17"/>
              </w:rPr>
            </w:pPr>
            <w:r w:rsidRPr="0056697D">
              <w:rPr>
                <w:rFonts w:cs="Arial"/>
                <w:sz w:val="17"/>
                <w:szCs w:val="17"/>
              </w:rPr>
              <w:t>Electricity, Gas, Water and Waste Services</w:t>
            </w:r>
          </w:p>
        </w:tc>
        <w:tc>
          <w:tcPr>
            <w:tcW w:w="850" w:type="dxa"/>
            <w:vAlign w:val="center"/>
          </w:tcPr>
          <w:p w14:paraId="7859CF8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1.0</w:t>
            </w:r>
          </w:p>
        </w:tc>
        <w:tc>
          <w:tcPr>
            <w:tcW w:w="780" w:type="dxa"/>
            <w:vAlign w:val="center"/>
          </w:tcPr>
          <w:p w14:paraId="287B0AD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1.2</w:t>
            </w:r>
          </w:p>
        </w:tc>
        <w:tc>
          <w:tcPr>
            <w:tcW w:w="1019" w:type="dxa"/>
            <w:vAlign w:val="center"/>
          </w:tcPr>
          <w:p w14:paraId="135AC42D"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1.2</w:t>
            </w:r>
          </w:p>
        </w:tc>
        <w:tc>
          <w:tcPr>
            <w:tcW w:w="1019" w:type="dxa"/>
            <w:vAlign w:val="center"/>
          </w:tcPr>
          <w:p w14:paraId="1C24BA6E"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1.5</w:t>
            </w:r>
          </w:p>
        </w:tc>
        <w:tc>
          <w:tcPr>
            <w:tcW w:w="1019" w:type="dxa"/>
            <w:vAlign w:val="center"/>
          </w:tcPr>
          <w:p w14:paraId="4810DDC2"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1.2</w:t>
            </w:r>
          </w:p>
        </w:tc>
        <w:tc>
          <w:tcPr>
            <w:tcW w:w="1019" w:type="dxa"/>
            <w:vAlign w:val="center"/>
          </w:tcPr>
          <w:p w14:paraId="4A184679"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1.9</w:t>
            </w:r>
          </w:p>
        </w:tc>
        <w:tc>
          <w:tcPr>
            <w:tcW w:w="1019" w:type="dxa"/>
            <w:vAlign w:val="center"/>
          </w:tcPr>
          <w:p w14:paraId="2054787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1.6</w:t>
            </w:r>
          </w:p>
        </w:tc>
        <w:tc>
          <w:tcPr>
            <w:tcW w:w="1071" w:type="dxa"/>
            <w:vAlign w:val="center"/>
          </w:tcPr>
          <w:p w14:paraId="639EEF6E"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0.8</w:t>
            </w:r>
          </w:p>
        </w:tc>
        <w:tc>
          <w:tcPr>
            <w:tcW w:w="967" w:type="dxa"/>
            <w:vAlign w:val="center"/>
          </w:tcPr>
          <w:p w14:paraId="63544C9D" w14:textId="50E24742"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1.2</w:t>
            </w:r>
          </w:p>
        </w:tc>
      </w:tr>
      <w:tr w:rsidR="009F1E52" w:rsidRPr="0056697D" w14:paraId="0129C2D9" w14:textId="77777777" w:rsidTr="009F1E52">
        <w:tc>
          <w:tcPr>
            <w:tcW w:w="1430" w:type="dxa"/>
            <w:vAlign w:val="center"/>
          </w:tcPr>
          <w:p w14:paraId="4E74A691" w14:textId="77777777" w:rsidR="009F1E52" w:rsidRPr="0056697D" w:rsidRDefault="009F1E52" w:rsidP="009F1E52">
            <w:pPr>
              <w:spacing w:after="100" w:line="276" w:lineRule="auto"/>
              <w:jc w:val="center"/>
              <w:rPr>
                <w:rFonts w:cs="Arial"/>
                <w:sz w:val="17"/>
                <w:szCs w:val="17"/>
              </w:rPr>
            </w:pPr>
            <w:r w:rsidRPr="0056697D">
              <w:rPr>
                <w:rFonts w:cs="Arial"/>
                <w:sz w:val="17"/>
                <w:szCs w:val="17"/>
              </w:rPr>
              <w:t>Construction</w:t>
            </w:r>
          </w:p>
        </w:tc>
        <w:tc>
          <w:tcPr>
            <w:tcW w:w="850" w:type="dxa"/>
            <w:vAlign w:val="center"/>
          </w:tcPr>
          <w:p w14:paraId="6C26F08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9.4</w:t>
            </w:r>
          </w:p>
        </w:tc>
        <w:tc>
          <w:tcPr>
            <w:tcW w:w="780" w:type="dxa"/>
            <w:vAlign w:val="center"/>
          </w:tcPr>
          <w:p w14:paraId="2CE63B7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9.7</w:t>
            </w:r>
          </w:p>
        </w:tc>
        <w:tc>
          <w:tcPr>
            <w:tcW w:w="1019" w:type="dxa"/>
            <w:vAlign w:val="center"/>
          </w:tcPr>
          <w:p w14:paraId="1783342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9.4</w:t>
            </w:r>
          </w:p>
        </w:tc>
        <w:tc>
          <w:tcPr>
            <w:tcW w:w="1019" w:type="dxa"/>
            <w:vAlign w:val="center"/>
          </w:tcPr>
          <w:p w14:paraId="1F743DF8"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8.4</w:t>
            </w:r>
          </w:p>
        </w:tc>
        <w:tc>
          <w:tcPr>
            <w:tcW w:w="1019" w:type="dxa"/>
            <w:vAlign w:val="center"/>
          </w:tcPr>
          <w:p w14:paraId="497A145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9.1</w:t>
            </w:r>
          </w:p>
        </w:tc>
        <w:tc>
          <w:tcPr>
            <w:tcW w:w="1019" w:type="dxa"/>
            <w:vAlign w:val="center"/>
          </w:tcPr>
          <w:p w14:paraId="6B6BC8E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8.6</w:t>
            </w:r>
          </w:p>
        </w:tc>
        <w:tc>
          <w:tcPr>
            <w:tcW w:w="1019" w:type="dxa"/>
            <w:vAlign w:val="center"/>
          </w:tcPr>
          <w:p w14:paraId="21079B6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7.3</w:t>
            </w:r>
          </w:p>
        </w:tc>
        <w:tc>
          <w:tcPr>
            <w:tcW w:w="1071" w:type="dxa"/>
            <w:vAlign w:val="center"/>
          </w:tcPr>
          <w:p w14:paraId="3BE111D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6.2</w:t>
            </w:r>
          </w:p>
        </w:tc>
        <w:tc>
          <w:tcPr>
            <w:tcW w:w="967" w:type="dxa"/>
            <w:vAlign w:val="center"/>
          </w:tcPr>
          <w:p w14:paraId="447615A9" w14:textId="13D4A225"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9.4</w:t>
            </w:r>
          </w:p>
        </w:tc>
      </w:tr>
      <w:tr w:rsidR="009F1E52" w:rsidRPr="0056697D" w14:paraId="0D3352ED" w14:textId="77777777" w:rsidTr="009F1E52">
        <w:trPr>
          <w:cnfStyle w:val="000000010000" w:firstRow="0" w:lastRow="0" w:firstColumn="0" w:lastColumn="0" w:oddVBand="0" w:evenVBand="0" w:oddHBand="0" w:evenHBand="1" w:firstRowFirstColumn="0" w:firstRowLastColumn="0" w:lastRowFirstColumn="0" w:lastRowLastColumn="0"/>
        </w:trPr>
        <w:tc>
          <w:tcPr>
            <w:tcW w:w="1430" w:type="dxa"/>
            <w:vAlign w:val="center"/>
          </w:tcPr>
          <w:p w14:paraId="3A24B920" w14:textId="77777777" w:rsidR="009F1E52" w:rsidRPr="0056697D" w:rsidRDefault="009F1E52" w:rsidP="009F1E52">
            <w:pPr>
              <w:spacing w:after="100" w:line="276" w:lineRule="auto"/>
              <w:jc w:val="center"/>
              <w:rPr>
                <w:rFonts w:cs="Arial"/>
                <w:sz w:val="17"/>
                <w:szCs w:val="17"/>
              </w:rPr>
            </w:pPr>
            <w:r w:rsidRPr="0056697D">
              <w:rPr>
                <w:rFonts w:cs="Arial"/>
                <w:sz w:val="17"/>
                <w:szCs w:val="17"/>
              </w:rPr>
              <w:t>Wholesale Trade</w:t>
            </w:r>
          </w:p>
        </w:tc>
        <w:tc>
          <w:tcPr>
            <w:tcW w:w="850" w:type="dxa"/>
            <w:vAlign w:val="center"/>
          </w:tcPr>
          <w:p w14:paraId="2DDEE69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2.7</w:t>
            </w:r>
          </w:p>
        </w:tc>
        <w:tc>
          <w:tcPr>
            <w:tcW w:w="780" w:type="dxa"/>
            <w:vAlign w:val="center"/>
          </w:tcPr>
          <w:p w14:paraId="5B418F6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2.9</w:t>
            </w:r>
          </w:p>
        </w:tc>
        <w:tc>
          <w:tcPr>
            <w:tcW w:w="1019" w:type="dxa"/>
            <w:vAlign w:val="center"/>
          </w:tcPr>
          <w:p w14:paraId="7D27BDCE"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2.4</w:t>
            </w:r>
          </w:p>
        </w:tc>
        <w:tc>
          <w:tcPr>
            <w:tcW w:w="1019" w:type="dxa"/>
            <w:vAlign w:val="center"/>
          </w:tcPr>
          <w:p w14:paraId="78A9820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2.9</w:t>
            </w:r>
          </w:p>
        </w:tc>
        <w:tc>
          <w:tcPr>
            <w:tcW w:w="1019" w:type="dxa"/>
            <w:vAlign w:val="center"/>
          </w:tcPr>
          <w:p w14:paraId="19EEC3B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2.6</w:t>
            </w:r>
          </w:p>
        </w:tc>
        <w:tc>
          <w:tcPr>
            <w:tcW w:w="1019" w:type="dxa"/>
            <w:vAlign w:val="center"/>
          </w:tcPr>
          <w:p w14:paraId="77D7876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1.9</w:t>
            </w:r>
          </w:p>
        </w:tc>
        <w:tc>
          <w:tcPr>
            <w:tcW w:w="1019" w:type="dxa"/>
            <w:vAlign w:val="center"/>
          </w:tcPr>
          <w:p w14:paraId="2272ED5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1.6</w:t>
            </w:r>
          </w:p>
        </w:tc>
        <w:tc>
          <w:tcPr>
            <w:tcW w:w="1071" w:type="dxa"/>
            <w:vAlign w:val="center"/>
          </w:tcPr>
          <w:p w14:paraId="2E07D19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0.9</w:t>
            </w:r>
          </w:p>
        </w:tc>
        <w:tc>
          <w:tcPr>
            <w:tcW w:w="967" w:type="dxa"/>
            <w:vAlign w:val="center"/>
          </w:tcPr>
          <w:p w14:paraId="7D003D0F" w14:textId="5F5D1FE2"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2.7</w:t>
            </w:r>
          </w:p>
        </w:tc>
      </w:tr>
      <w:tr w:rsidR="009F1E52" w:rsidRPr="0056697D" w14:paraId="4475A37C" w14:textId="77777777" w:rsidTr="009F1E52">
        <w:tc>
          <w:tcPr>
            <w:tcW w:w="1430" w:type="dxa"/>
            <w:vAlign w:val="center"/>
          </w:tcPr>
          <w:p w14:paraId="050105EC" w14:textId="77777777" w:rsidR="009F1E52" w:rsidRPr="0056697D" w:rsidRDefault="009F1E52" w:rsidP="009F1E52">
            <w:pPr>
              <w:spacing w:after="100" w:line="276" w:lineRule="auto"/>
              <w:jc w:val="center"/>
              <w:rPr>
                <w:rFonts w:cs="Arial"/>
                <w:sz w:val="17"/>
                <w:szCs w:val="17"/>
              </w:rPr>
            </w:pPr>
            <w:r w:rsidRPr="0056697D">
              <w:rPr>
                <w:rFonts w:cs="Arial"/>
                <w:sz w:val="17"/>
                <w:szCs w:val="17"/>
              </w:rPr>
              <w:t>Retail Trade</w:t>
            </w:r>
          </w:p>
        </w:tc>
        <w:tc>
          <w:tcPr>
            <w:tcW w:w="850" w:type="dxa"/>
            <w:vAlign w:val="center"/>
          </w:tcPr>
          <w:p w14:paraId="134CEE9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9.5</w:t>
            </w:r>
          </w:p>
        </w:tc>
        <w:tc>
          <w:tcPr>
            <w:tcW w:w="780" w:type="dxa"/>
            <w:vAlign w:val="center"/>
          </w:tcPr>
          <w:p w14:paraId="09694DF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9.8</w:t>
            </w:r>
          </w:p>
        </w:tc>
        <w:tc>
          <w:tcPr>
            <w:tcW w:w="1019" w:type="dxa"/>
            <w:vAlign w:val="center"/>
          </w:tcPr>
          <w:p w14:paraId="27E0473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9.6</w:t>
            </w:r>
          </w:p>
        </w:tc>
        <w:tc>
          <w:tcPr>
            <w:tcW w:w="1019" w:type="dxa"/>
            <w:vAlign w:val="center"/>
          </w:tcPr>
          <w:p w14:paraId="6219881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9.7</w:t>
            </w:r>
          </w:p>
        </w:tc>
        <w:tc>
          <w:tcPr>
            <w:tcW w:w="1019" w:type="dxa"/>
            <w:vAlign w:val="center"/>
          </w:tcPr>
          <w:p w14:paraId="088786A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8.5</w:t>
            </w:r>
          </w:p>
        </w:tc>
        <w:tc>
          <w:tcPr>
            <w:tcW w:w="1019" w:type="dxa"/>
            <w:vAlign w:val="center"/>
          </w:tcPr>
          <w:p w14:paraId="5246288F"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9.7</w:t>
            </w:r>
          </w:p>
        </w:tc>
        <w:tc>
          <w:tcPr>
            <w:tcW w:w="1019" w:type="dxa"/>
            <w:vAlign w:val="center"/>
          </w:tcPr>
          <w:p w14:paraId="688ED90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7.7</w:t>
            </w:r>
          </w:p>
        </w:tc>
        <w:tc>
          <w:tcPr>
            <w:tcW w:w="1071" w:type="dxa"/>
            <w:vAlign w:val="center"/>
          </w:tcPr>
          <w:p w14:paraId="4B27DA2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6.4</w:t>
            </w:r>
          </w:p>
        </w:tc>
        <w:tc>
          <w:tcPr>
            <w:tcW w:w="967" w:type="dxa"/>
            <w:vAlign w:val="center"/>
          </w:tcPr>
          <w:p w14:paraId="52E8B507" w14:textId="129D1505"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9.4</w:t>
            </w:r>
          </w:p>
        </w:tc>
      </w:tr>
      <w:tr w:rsidR="009F1E52" w:rsidRPr="0056697D" w14:paraId="6EF18BD0" w14:textId="77777777" w:rsidTr="009F1E52">
        <w:trPr>
          <w:cnfStyle w:val="000000010000" w:firstRow="0" w:lastRow="0" w:firstColumn="0" w:lastColumn="0" w:oddVBand="0" w:evenVBand="0" w:oddHBand="0" w:evenHBand="1" w:firstRowFirstColumn="0" w:firstRowLastColumn="0" w:lastRowFirstColumn="0" w:lastRowLastColumn="0"/>
        </w:trPr>
        <w:tc>
          <w:tcPr>
            <w:tcW w:w="1430" w:type="dxa"/>
            <w:vAlign w:val="center"/>
          </w:tcPr>
          <w:p w14:paraId="700DB2FF" w14:textId="77777777" w:rsidR="009F1E52" w:rsidRPr="0056697D" w:rsidRDefault="009F1E52" w:rsidP="009F1E52">
            <w:pPr>
              <w:spacing w:after="100" w:line="276" w:lineRule="auto"/>
              <w:jc w:val="center"/>
              <w:rPr>
                <w:rFonts w:cs="Arial"/>
                <w:sz w:val="17"/>
                <w:szCs w:val="17"/>
              </w:rPr>
            </w:pPr>
            <w:r w:rsidRPr="0056697D">
              <w:rPr>
                <w:rFonts w:cs="Arial"/>
                <w:sz w:val="17"/>
                <w:szCs w:val="17"/>
              </w:rPr>
              <w:t>Accommodation and Food Services</w:t>
            </w:r>
          </w:p>
        </w:tc>
        <w:tc>
          <w:tcPr>
            <w:tcW w:w="850" w:type="dxa"/>
            <w:vAlign w:val="center"/>
          </w:tcPr>
          <w:p w14:paraId="5898D08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6.6</w:t>
            </w:r>
          </w:p>
        </w:tc>
        <w:tc>
          <w:tcPr>
            <w:tcW w:w="780" w:type="dxa"/>
            <w:vAlign w:val="center"/>
          </w:tcPr>
          <w:p w14:paraId="7983C60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6.2</w:t>
            </w:r>
          </w:p>
        </w:tc>
        <w:tc>
          <w:tcPr>
            <w:tcW w:w="1019" w:type="dxa"/>
            <w:vAlign w:val="center"/>
          </w:tcPr>
          <w:p w14:paraId="4F518463"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6.8</w:t>
            </w:r>
          </w:p>
        </w:tc>
        <w:tc>
          <w:tcPr>
            <w:tcW w:w="1019" w:type="dxa"/>
            <w:vAlign w:val="center"/>
          </w:tcPr>
          <w:p w14:paraId="0550B57E"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6.3</w:t>
            </w:r>
          </w:p>
        </w:tc>
        <w:tc>
          <w:tcPr>
            <w:tcW w:w="1019" w:type="dxa"/>
            <w:vAlign w:val="center"/>
          </w:tcPr>
          <w:p w14:paraId="044F48FE"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6.1</w:t>
            </w:r>
          </w:p>
        </w:tc>
        <w:tc>
          <w:tcPr>
            <w:tcW w:w="1019" w:type="dxa"/>
            <w:vAlign w:val="center"/>
          </w:tcPr>
          <w:p w14:paraId="70AFDDCF"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7.3</w:t>
            </w:r>
          </w:p>
        </w:tc>
        <w:tc>
          <w:tcPr>
            <w:tcW w:w="1019" w:type="dxa"/>
            <w:vAlign w:val="center"/>
          </w:tcPr>
          <w:p w14:paraId="25DD4E7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7.1</w:t>
            </w:r>
          </w:p>
        </w:tc>
        <w:tc>
          <w:tcPr>
            <w:tcW w:w="1071" w:type="dxa"/>
            <w:vAlign w:val="center"/>
          </w:tcPr>
          <w:p w14:paraId="361876F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6.0</w:t>
            </w:r>
          </w:p>
        </w:tc>
        <w:tc>
          <w:tcPr>
            <w:tcW w:w="967" w:type="dxa"/>
            <w:vAlign w:val="center"/>
          </w:tcPr>
          <w:p w14:paraId="639890A2" w14:textId="2F3C1438"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6.4</w:t>
            </w:r>
          </w:p>
        </w:tc>
      </w:tr>
      <w:tr w:rsidR="009F1E52" w:rsidRPr="0056697D" w14:paraId="0A2B4CD0" w14:textId="77777777" w:rsidTr="009F1E52">
        <w:tc>
          <w:tcPr>
            <w:tcW w:w="1430" w:type="dxa"/>
            <w:vAlign w:val="center"/>
          </w:tcPr>
          <w:p w14:paraId="438D9928" w14:textId="77777777" w:rsidR="009F1E52" w:rsidRPr="0056697D" w:rsidRDefault="009F1E52" w:rsidP="009F1E52">
            <w:pPr>
              <w:spacing w:after="100" w:line="276" w:lineRule="auto"/>
              <w:jc w:val="center"/>
              <w:rPr>
                <w:rFonts w:cs="Arial"/>
                <w:sz w:val="17"/>
                <w:szCs w:val="17"/>
              </w:rPr>
            </w:pPr>
            <w:r w:rsidRPr="0056697D">
              <w:rPr>
                <w:rFonts w:cs="Arial"/>
                <w:sz w:val="17"/>
                <w:szCs w:val="17"/>
              </w:rPr>
              <w:lastRenderedPageBreak/>
              <w:t>Transport, Postal and Warehousing</w:t>
            </w:r>
          </w:p>
        </w:tc>
        <w:tc>
          <w:tcPr>
            <w:tcW w:w="850" w:type="dxa"/>
            <w:vAlign w:val="center"/>
          </w:tcPr>
          <w:p w14:paraId="2A39714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5.2</w:t>
            </w:r>
          </w:p>
        </w:tc>
        <w:tc>
          <w:tcPr>
            <w:tcW w:w="780" w:type="dxa"/>
            <w:vAlign w:val="center"/>
          </w:tcPr>
          <w:p w14:paraId="78BB207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4.9</w:t>
            </w:r>
          </w:p>
        </w:tc>
        <w:tc>
          <w:tcPr>
            <w:tcW w:w="1019" w:type="dxa"/>
            <w:vAlign w:val="center"/>
          </w:tcPr>
          <w:p w14:paraId="3DD911C7"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5.6</w:t>
            </w:r>
          </w:p>
        </w:tc>
        <w:tc>
          <w:tcPr>
            <w:tcW w:w="1019" w:type="dxa"/>
            <w:vAlign w:val="center"/>
          </w:tcPr>
          <w:p w14:paraId="4B8BE113"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4.3</w:t>
            </w:r>
          </w:p>
        </w:tc>
        <w:tc>
          <w:tcPr>
            <w:tcW w:w="1019" w:type="dxa"/>
            <w:vAlign w:val="center"/>
          </w:tcPr>
          <w:p w14:paraId="50467150"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5.1</w:t>
            </w:r>
          </w:p>
        </w:tc>
        <w:tc>
          <w:tcPr>
            <w:tcW w:w="1019" w:type="dxa"/>
            <w:vAlign w:val="center"/>
          </w:tcPr>
          <w:p w14:paraId="3975FAF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4.4</w:t>
            </w:r>
          </w:p>
        </w:tc>
        <w:tc>
          <w:tcPr>
            <w:tcW w:w="1019" w:type="dxa"/>
            <w:vAlign w:val="center"/>
          </w:tcPr>
          <w:p w14:paraId="7E2A3EC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4.3</w:t>
            </w:r>
          </w:p>
        </w:tc>
        <w:tc>
          <w:tcPr>
            <w:tcW w:w="1071" w:type="dxa"/>
            <w:vAlign w:val="center"/>
          </w:tcPr>
          <w:p w14:paraId="35B66E92"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2.1</w:t>
            </w:r>
          </w:p>
        </w:tc>
        <w:tc>
          <w:tcPr>
            <w:tcW w:w="967" w:type="dxa"/>
            <w:vAlign w:val="center"/>
          </w:tcPr>
          <w:p w14:paraId="32BCA5A4" w14:textId="2EE0730C"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5.1</w:t>
            </w:r>
          </w:p>
        </w:tc>
      </w:tr>
      <w:tr w:rsidR="009F1E52" w:rsidRPr="0056697D" w14:paraId="7AD2FACD" w14:textId="77777777" w:rsidTr="009F1E52">
        <w:trPr>
          <w:cnfStyle w:val="000000010000" w:firstRow="0" w:lastRow="0" w:firstColumn="0" w:lastColumn="0" w:oddVBand="0" w:evenVBand="0" w:oddHBand="0" w:evenHBand="1" w:firstRowFirstColumn="0" w:firstRowLastColumn="0" w:lastRowFirstColumn="0" w:lastRowLastColumn="0"/>
        </w:trPr>
        <w:tc>
          <w:tcPr>
            <w:tcW w:w="1430" w:type="dxa"/>
            <w:vAlign w:val="center"/>
          </w:tcPr>
          <w:p w14:paraId="3A2E7EEF" w14:textId="77777777" w:rsidR="009F1E52" w:rsidRPr="0056697D" w:rsidRDefault="009F1E52" w:rsidP="009F1E52">
            <w:pPr>
              <w:spacing w:after="100" w:line="276" w:lineRule="auto"/>
              <w:jc w:val="center"/>
              <w:rPr>
                <w:rFonts w:cs="Arial"/>
                <w:sz w:val="17"/>
                <w:szCs w:val="17"/>
              </w:rPr>
            </w:pPr>
            <w:r w:rsidRPr="0056697D">
              <w:rPr>
                <w:rFonts w:cs="Arial"/>
                <w:sz w:val="17"/>
                <w:szCs w:val="17"/>
              </w:rPr>
              <w:t>Information Media and Telecommunications</w:t>
            </w:r>
          </w:p>
        </w:tc>
        <w:tc>
          <w:tcPr>
            <w:tcW w:w="850" w:type="dxa"/>
            <w:vAlign w:val="center"/>
          </w:tcPr>
          <w:p w14:paraId="24C8799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1.5</w:t>
            </w:r>
          </w:p>
        </w:tc>
        <w:tc>
          <w:tcPr>
            <w:tcW w:w="780" w:type="dxa"/>
            <w:vAlign w:val="center"/>
          </w:tcPr>
          <w:p w14:paraId="39ED0C0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1.6</w:t>
            </w:r>
          </w:p>
        </w:tc>
        <w:tc>
          <w:tcPr>
            <w:tcW w:w="1019" w:type="dxa"/>
            <w:vAlign w:val="center"/>
          </w:tcPr>
          <w:p w14:paraId="55F3BD57"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1.0</w:t>
            </w:r>
          </w:p>
        </w:tc>
        <w:tc>
          <w:tcPr>
            <w:tcW w:w="1019" w:type="dxa"/>
            <w:vAlign w:val="center"/>
          </w:tcPr>
          <w:p w14:paraId="02B3870E"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1.0</w:t>
            </w:r>
          </w:p>
        </w:tc>
        <w:tc>
          <w:tcPr>
            <w:tcW w:w="1019" w:type="dxa"/>
            <w:vAlign w:val="center"/>
          </w:tcPr>
          <w:p w14:paraId="3C50CC6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0.8</w:t>
            </w:r>
          </w:p>
        </w:tc>
        <w:tc>
          <w:tcPr>
            <w:tcW w:w="1019" w:type="dxa"/>
            <w:vAlign w:val="center"/>
          </w:tcPr>
          <w:p w14:paraId="02BE3443"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1.0</w:t>
            </w:r>
          </w:p>
        </w:tc>
        <w:tc>
          <w:tcPr>
            <w:tcW w:w="1019" w:type="dxa"/>
            <w:vAlign w:val="center"/>
          </w:tcPr>
          <w:p w14:paraId="55E7923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0.9</w:t>
            </w:r>
          </w:p>
        </w:tc>
        <w:tc>
          <w:tcPr>
            <w:tcW w:w="1071" w:type="dxa"/>
            <w:vAlign w:val="center"/>
          </w:tcPr>
          <w:p w14:paraId="2FE1BB80"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1.4</w:t>
            </w:r>
          </w:p>
        </w:tc>
        <w:tc>
          <w:tcPr>
            <w:tcW w:w="967" w:type="dxa"/>
            <w:vAlign w:val="center"/>
          </w:tcPr>
          <w:p w14:paraId="01E2F4B8" w14:textId="73AA70DE"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1.3</w:t>
            </w:r>
          </w:p>
        </w:tc>
      </w:tr>
      <w:tr w:rsidR="009F1E52" w:rsidRPr="0056697D" w14:paraId="32DAF552" w14:textId="77777777" w:rsidTr="009F1E52">
        <w:tc>
          <w:tcPr>
            <w:tcW w:w="1430" w:type="dxa"/>
            <w:vAlign w:val="center"/>
          </w:tcPr>
          <w:p w14:paraId="0AEC8104" w14:textId="77777777" w:rsidR="009F1E52" w:rsidRPr="0056697D" w:rsidRDefault="009F1E52" w:rsidP="009F1E52">
            <w:pPr>
              <w:spacing w:after="100" w:line="276" w:lineRule="auto"/>
              <w:jc w:val="center"/>
              <w:rPr>
                <w:rFonts w:cs="Arial"/>
                <w:sz w:val="17"/>
                <w:szCs w:val="17"/>
              </w:rPr>
            </w:pPr>
            <w:r w:rsidRPr="0056697D">
              <w:rPr>
                <w:rFonts w:cs="Arial"/>
                <w:sz w:val="17"/>
                <w:szCs w:val="17"/>
              </w:rPr>
              <w:t>Financial and Insurance Services</w:t>
            </w:r>
          </w:p>
        </w:tc>
        <w:tc>
          <w:tcPr>
            <w:tcW w:w="850" w:type="dxa"/>
            <w:vAlign w:val="center"/>
          </w:tcPr>
          <w:p w14:paraId="2E1E2848"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5.5</w:t>
            </w:r>
          </w:p>
        </w:tc>
        <w:tc>
          <w:tcPr>
            <w:tcW w:w="780" w:type="dxa"/>
            <w:vAlign w:val="center"/>
          </w:tcPr>
          <w:p w14:paraId="55FC23F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4.4</w:t>
            </w:r>
          </w:p>
        </w:tc>
        <w:tc>
          <w:tcPr>
            <w:tcW w:w="1019" w:type="dxa"/>
            <w:vAlign w:val="center"/>
          </w:tcPr>
          <w:p w14:paraId="44FD152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2.7</w:t>
            </w:r>
          </w:p>
        </w:tc>
        <w:tc>
          <w:tcPr>
            <w:tcW w:w="1019" w:type="dxa"/>
            <w:vAlign w:val="center"/>
          </w:tcPr>
          <w:p w14:paraId="3C2118C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2.7</w:t>
            </w:r>
          </w:p>
        </w:tc>
        <w:tc>
          <w:tcPr>
            <w:tcW w:w="1019" w:type="dxa"/>
            <w:vAlign w:val="center"/>
          </w:tcPr>
          <w:p w14:paraId="5CC0C9E2"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2.1</w:t>
            </w:r>
          </w:p>
        </w:tc>
        <w:tc>
          <w:tcPr>
            <w:tcW w:w="1019" w:type="dxa"/>
            <w:vAlign w:val="center"/>
          </w:tcPr>
          <w:p w14:paraId="6B0DCE6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1.9</w:t>
            </w:r>
          </w:p>
        </w:tc>
        <w:tc>
          <w:tcPr>
            <w:tcW w:w="1019" w:type="dxa"/>
            <w:vAlign w:val="center"/>
          </w:tcPr>
          <w:p w14:paraId="0BB3FD18"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0.9</w:t>
            </w:r>
          </w:p>
        </w:tc>
        <w:tc>
          <w:tcPr>
            <w:tcW w:w="1071" w:type="dxa"/>
            <w:vAlign w:val="center"/>
          </w:tcPr>
          <w:p w14:paraId="130133B3"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1.7</w:t>
            </w:r>
          </w:p>
        </w:tc>
        <w:tc>
          <w:tcPr>
            <w:tcW w:w="967" w:type="dxa"/>
            <w:vAlign w:val="center"/>
          </w:tcPr>
          <w:p w14:paraId="3029136C" w14:textId="6CB8E8DC"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3.8</w:t>
            </w:r>
          </w:p>
        </w:tc>
      </w:tr>
      <w:tr w:rsidR="009F1E52" w:rsidRPr="0056697D" w14:paraId="4DBB7B4E" w14:textId="77777777" w:rsidTr="009F1E52">
        <w:trPr>
          <w:cnfStyle w:val="000000010000" w:firstRow="0" w:lastRow="0" w:firstColumn="0" w:lastColumn="0" w:oddVBand="0" w:evenVBand="0" w:oddHBand="0" w:evenHBand="1" w:firstRowFirstColumn="0" w:firstRowLastColumn="0" w:lastRowFirstColumn="0" w:lastRowLastColumn="0"/>
        </w:trPr>
        <w:tc>
          <w:tcPr>
            <w:tcW w:w="1430" w:type="dxa"/>
            <w:vAlign w:val="center"/>
          </w:tcPr>
          <w:p w14:paraId="15021186" w14:textId="77777777" w:rsidR="009F1E52" w:rsidRPr="0056697D" w:rsidRDefault="009F1E52" w:rsidP="009F1E52">
            <w:pPr>
              <w:spacing w:after="100" w:line="276" w:lineRule="auto"/>
              <w:jc w:val="center"/>
              <w:rPr>
                <w:rFonts w:cs="Arial"/>
                <w:sz w:val="17"/>
                <w:szCs w:val="17"/>
              </w:rPr>
            </w:pPr>
            <w:r w:rsidRPr="0056697D">
              <w:rPr>
                <w:rFonts w:cs="Arial"/>
                <w:sz w:val="17"/>
                <w:szCs w:val="17"/>
              </w:rPr>
              <w:t>Rental, Hiring and Real Estate Services</w:t>
            </w:r>
          </w:p>
        </w:tc>
        <w:tc>
          <w:tcPr>
            <w:tcW w:w="850" w:type="dxa"/>
            <w:vAlign w:val="center"/>
          </w:tcPr>
          <w:p w14:paraId="0B67072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1.8</w:t>
            </w:r>
          </w:p>
        </w:tc>
        <w:tc>
          <w:tcPr>
            <w:tcW w:w="780" w:type="dxa"/>
            <w:vAlign w:val="center"/>
          </w:tcPr>
          <w:p w14:paraId="0A89B22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1.5</w:t>
            </w:r>
          </w:p>
        </w:tc>
        <w:tc>
          <w:tcPr>
            <w:tcW w:w="1019" w:type="dxa"/>
            <w:vAlign w:val="center"/>
          </w:tcPr>
          <w:p w14:paraId="5F84D70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1.6</w:t>
            </w:r>
          </w:p>
        </w:tc>
        <w:tc>
          <w:tcPr>
            <w:tcW w:w="1019" w:type="dxa"/>
            <w:vAlign w:val="center"/>
          </w:tcPr>
          <w:p w14:paraId="063A760D"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1.2</w:t>
            </w:r>
          </w:p>
        </w:tc>
        <w:tc>
          <w:tcPr>
            <w:tcW w:w="1019" w:type="dxa"/>
            <w:vAlign w:val="center"/>
          </w:tcPr>
          <w:p w14:paraId="0BCF74E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1.4</w:t>
            </w:r>
          </w:p>
        </w:tc>
        <w:tc>
          <w:tcPr>
            <w:tcW w:w="1019" w:type="dxa"/>
            <w:vAlign w:val="center"/>
          </w:tcPr>
          <w:p w14:paraId="30C5049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1.3</w:t>
            </w:r>
          </w:p>
        </w:tc>
        <w:tc>
          <w:tcPr>
            <w:tcW w:w="1019" w:type="dxa"/>
            <w:vAlign w:val="center"/>
          </w:tcPr>
          <w:p w14:paraId="114D9E3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1.4</w:t>
            </w:r>
          </w:p>
        </w:tc>
        <w:tc>
          <w:tcPr>
            <w:tcW w:w="1071" w:type="dxa"/>
            <w:vAlign w:val="center"/>
          </w:tcPr>
          <w:p w14:paraId="69BBBF3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1.2</w:t>
            </w:r>
          </w:p>
        </w:tc>
        <w:tc>
          <w:tcPr>
            <w:tcW w:w="967" w:type="dxa"/>
            <w:vAlign w:val="center"/>
          </w:tcPr>
          <w:p w14:paraId="62A4220F" w14:textId="0CCA35A3"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1.5</w:t>
            </w:r>
          </w:p>
        </w:tc>
      </w:tr>
      <w:tr w:rsidR="009F1E52" w:rsidRPr="0056697D" w14:paraId="4088EBC6" w14:textId="77777777" w:rsidTr="009F1E52">
        <w:tc>
          <w:tcPr>
            <w:tcW w:w="1430" w:type="dxa"/>
            <w:vAlign w:val="center"/>
          </w:tcPr>
          <w:p w14:paraId="2C7641B8" w14:textId="77777777" w:rsidR="009F1E52" w:rsidRPr="0056697D" w:rsidRDefault="009F1E52" w:rsidP="009F1E52">
            <w:pPr>
              <w:spacing w:after="100" w:line="276" w:lineRule="auto"/>
              <w:jc w:val="center"/>
              <w:rPr>
                <w:rFonts w:cs="Arial"/>
                <w:sz w:val="17"/>
                <w:szCs w:val="17"/>
              </w:rPr>
            </w:pPr>
            <w:r w:rsidRPr="0056697D">
              <w:rPr>
                <w:rFonts w:cs="Arial"/>
                <w:sz w:val="17"/>
                <w:szCs w:val="17"/>
              </w:rPr>
              <w:t>Professional, Scientific and Technical Services</w:t>
            </w:r>
          </w:p>
        </w:tc>
        <w:tc>
          <w:tcPr>
            <w:tcW w:w="850" w:type="dxa"/>
            <w:vAlign w:val="center"/>
          </w:tcPr>
          <w:p w14:paraId="4FC3F647"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10.4</w:t>
            </w:r>
          </w:p>
        </w:tc>
        <w:tc>
          <w:tcPr>
            <w:tcW w:w="780" w:type="dxa"/>
            <w:vAlign w:val="center"/>
          </w:tcPr>
          <w:p w14:paraId="2BCBD1BE"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10.1</w:t>
            </w:r>
          </w:p>
        </w:tc>
        <w:tc>
          <w:tcPr>
            <w:tcW w:w="1019" w:type="dxa"/>
            <w:vAlign w:val="center"/>
          </w:tcPr>
          <w:p w14:paraId="453A3898"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8.2</w:t>
            </w:r>
          </w:p>
        </w:tc>
        <w:tc>
          <w:tcPr>
            <w:tcW w:w="1019" w:type="dxa"/>
            <w:vAlign w:val="center"/>
          </w:tcPr>
          <w:p w14:paraId="6599FF80"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7.6</w:t>
            </w:r>
          </w:p>
        </w:tc>
        <w:tc>
          <w:tcPr>
            <w:tcW w:w="1019" w:type="dxa"/>
            <w:vAlign w:val="center"/>
          </w:tcPr>
          <w:p w14:paraId="5FEBBAFF"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8.1</w:t>
            </w:r>
          </w:p>
        </w:tc>
        <w:tc>
          <w:tcPr>
            <w:tcW w:w="1019" w:type="dxa"/>
            <w:vAlign w:val="center"/>
          </w:tcPr>
          <w:p w14:paraId="7171BF3F"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6.4</w:t>
            </w:r>
          </w:p>
        </w:tc>
        <w:tc>
          <w:tcPr>
            <w:tcW w:w="1019" w:type="dxa"/>
            <w:vAlign w:val="center"/>
          </w:tcPr>
          <w:p w14:paraId="33C2C25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5.7</w:t>
            </w:r>
          </w:p>
        </w:tc>
        <w:tc>
          <w:tcPr>
            <w:tcW w:w="1071" w:type="dxa"/>
            <w:vAlign w:val="center"/>
          </w:tcPr>
          <w:p w14:paraId="51A606D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13.3</w:t>
            </w:r>
          </w:p>
        </w:tc>
        <w:tc>
          <w:tcPr>
            <w:tcW w:w="967" w:type="dxa"/>
            <w:vAlign w:val="center"/>
          </w:tcPr>
          <w:p w14:paraId="6960C596" w14:textId="44786F7A"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9.3</w:t>
            </w:r>
          </w:p>
        </w:tc>
      </w:tr>
      <w:tr w:rsidR="009F1E52" w:rsidRPr="0056697D" w14:paraId="7D69F07D" w14:textId="77777777" w:rsidTr="009F1E52">
        <w:trPr>
          <w:cnfStyle w:val="000000010000" w:firstRow="0" w:lastRow="0" w:firstColumn="0" w:lastColumn="0" w:oddVBand="0" w:evenVBand="0" w:oddHBand="0" w:evenHBand="1" w:firstRowFirstColumn="0" w:firstRowLastColumn="0" w:lastRowFirstColumn="0" w:lastRowLastColumn="0"/>
        </w:trPr>
        <w:tc>
          <w:tcPr>
            <w:tcW w:w="1430" w:type="dxa"/>
            <w:vAlign w:val="center"/>
          </w:tcPr>
          <w:p w14:paraId="5FC9F46D" w14:textId="77777777" w:rsidR="009F1E52" w:rsidRPr="0056697D" w:rsidRDefault="009F1E52" w:rsidP="009F1E52">
            <w:pPr>
              <w:spacing w:after="100" w:line="276" w:lineRule="auto"/>
              <w:jc w:val="center"/>
              <w:rPr>
                <w:rFonts w:cs="Arial"/>
                <w:sz w:val="17"/>
                <w:szCs w:val="17"/>
              </w:rPr>
            </w:pPr>
            <w:r w:rsidRPr="0056697D">
              <w:rPr>
                <w:rFonts w:cs="Arial"/>
                <w:sz w:val="17"/>
                <w:szCs w:val="17"/>
              </w:rPr>
              <w:t>Administrative and Support Services</w:t>
            </w:r>
          </w:p>
        </w:tc>
        <w:tc>
          <w:tcPr>
            <w:tcW w:w="850" w:type="dxa"/>
            <w:vAlign w:val="center"/>
          </w:tcPr>
          <w:p w14:paraId="61B2F03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2.9</w:t>
            </w:r>
          </w:p>
        </w:tc>
        <w:tc>
          <w:tcPr>
            <w:tcW w:w="780" w:type="dxa"/>
            <w:vAlign w:val="center"/>
          </w:tcPr>
          <w:p w14:paraId="28B60FB3"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2.8</w:t>
            </w:r>
          </w:p>
        </w:tc>
        <w:tc>
          <w:tcPr>
            <w:tcW w:w="1019" w:type="dxa"/>
            <w:vAlign w:val="center"/>
          </w:tcPr>
          <w:p w14:paraId="6B8515D3"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3.3</w:t>
            </w:r>
          </w:p>
        </w:tc>
        <w:tc>
          <w:tcPr>
            <w:tcW w:w="1019" w:type="dxa"/>
            <w:vAlign w:val="center"/>
          </w:tcPr>
          <w:p w14:paraId="6BA32AA6"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3.5</w:t>
            </w:r>
          </w:p>
        </w:tc>
        <w:tc>
          <w:tcPr>
            <w:tcW w:w="1019" w:type="dxa"/>
            <w:vAlign w:val="center"/>
          </w:tcPr>
          <w:p w14:paraId="6DA80AD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3.0</w:t>
            </w:r>
          </w:p>
        </w:tc>
        <w:tc>
          <w:tcPr>
            <w:tcW w:w="1019" w:type="dxa"/>
            <w:vAlign w:val="center"/>
          </w:tcPr>
          <w:p w14:paraId="62B44FD7"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2.7</w:t>
            </w:r>
          </w:p>
        </w:tc>
        <w:tc>
          <w:tcPr>
            <w:tcW w:w="1019" w:type="dxa"/>
            <w:vAlign w:val="center"/>
          </w:tcPr>
          <w:p w14:paraId="3A67C97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3.3</w:t>
            </w:r>
          </w:p>
        </w:tc>
        <w:tc>
          <w:tcPr>
            <w:tcW w:w="1071" w:type="dxa"/>
            <w:vAlign w:val="center"/>
          </w:tcPr>
          <w:p w14:paraId="3AA7C1D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2.7</w:t>
            </w:r>
          </w:p>
        </w:tc>
        <w:tc>
          <w:tcPr>
            <w:tcW w:w="967" w:type="dxa"/>
            <w:vAlign w:val="center"/>
          </w:tcPr>
          <w:p w14:paraId="50C3AA52" w14:textId="5B597D2D"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3.0</w:t>
            </w:r>
          </w:p>
        </w:tc>
      </w:tr>
      <w:tr w:rsidR="009F1E52" w:rsidRPr="0056697D" w14:paraId="6AC70219" w14:textId="77777777" w:rsidTr="009F1E52">
        <w:tc>
          <w:tcPr>
            <w:tcW w:w="1430" w:type="dxa"/>
            <w:vAlign w:val="center"/>
          </w:tcPr>
          <w:p w14:paraId="643BF068" w14:textId="77777777" w:rsidR="009F1E52" w:rsidRPr="0056697D" w:rsidRDefault="009F1E52" w:rsidP="009F1E52">
            <w:pPr>
              <w:spacing w:after="100" w:line="276" w:lineRule="auto"/>
              <w:jc w:val="center"/>
              <w:rPr>
                <w:rFonts w:cs="Arial"/>
                <w:sz w:val="17"/>
                <w:szCs w:val="17"/>
              </w:rPr>
            </w:pPr>
            <w:r w:rsidRPr="0056697D">
              <w:rPr>
                <w:rFonts w:cs="Arial"/>
                <w:sz w:val="17"/>
                <w:szCs w:val="17"/>
              </w:rPr>
              <w:t>Public Administration and Safety</w:t>
            </w:r>
          </w:p>
        </w:tc>
        <w:tc>
          <w:tcPr>
            <w:tcW w:w="850" w:type="dxa"/>
            <w:vAlign w:val="center"/>
          </w:tcPr>
          <w:p w14:paraId="6A82AF8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6.2</w:t>
            </w:r>
          </w:p>
        </w:tc>
        <w:tc>
          <w:tcPr>
            <w:tcW w:w="780" w:type="dxa"/>
            <w:vAlign w:val="center"/>
          </w:tcPr>
          <w:p w14:paraId="3293CD0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5.1</w:t>
            </w:r>
          </w:p>
        </w:tc>
        <w:tc>
          <w:tcPr>
            <w:tcW w:w="1019" w:type="dxa"/>
            <w:vAlign w:val="center"/>
          </w:tcPr>
          <w:p w14:paraId="6B2CF488"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6.6</w:t>
            </w:r>
          </w:p>
        </w:tc>
        <w:tc>
          <w:tcPr>
            <w:tcW w:w="1019" w:type="dxa"/>
            <w:vAlign w:val="center"/>
          </w:tcPr>
          <w:p w14:paraId="36ADFCB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6.8</w:t>
            </w:r>
          </w:p>
        </w:tc>
        <w:tc>
          <w:tcPr>
            <w:tcW w:w="1019" w:type="dxa"/>
            <w:vAlign w:val="center"/>
          </w:tcPr>
          <w:p w14:paraId="4BC3F2B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5.9</w:t>
            </w:r>
          </w:p>
        </w:tc>
        <w:tc>
          <w:tcPr>
            <w:tcW w:w="1019" w:type="dxa"/>
            <w:vAlign w:val="center"/>
          </w:tcPr>
          <w:p w14:paraId="3743E75F"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8.0</w:t>
            </w:r>
          </w:p>
        </w:tc>
        <w:tc>
          <w:tcPr>
            <w:tcW w:w="1019" w:type="dxa"/>
            <w:vAlign w:val="center"/>
          </w:tcPr>
          <w:p w14:paraId="430FEF8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15.9</w:t>
            </w:r>
          </w:p>
        </w:tc>
        <w:tc>
          <w:tcPr>
            <w:tcW w:w="1071" w:type="dxa"/>
            <w:vAlign w:val="center"/>
          </w:tcPr>
          <w:p w14:paraId="55648A25"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29.9</w:t>
            </w:r>
          </w:p>
        </w:tc>
        <w:tc>
          <w:tcPr>
            <w:tcW w:w="967" w:type="dxa"/>
            <w:vAlign w:val="center"/>
          </w:tcPr>
          <w:p w14:paraId="0D149C90" w14:textId="132409BB"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6.5</w:t>
            </w:r>
          </w:p>
        </w:tc>
      </w:tr>
      <w:tr w:rsidR="009F1E52" w:rsidRPr="0056697D" w14:paraId="47138B6B" w14:textId="77777777" w:rsidTr="009F1E52">
        <w:trPr>
          <w:cnfStyle w:val="000000010000" w:firstRow="0" w:lastRow="0" w:firstColumn="0" w:lastColumn="0" w:oddVBand="0" w:evenVBand="0" w:oddHBand="0" w:evenHBand="1" w:firstRowFirstColumn="0" w:firstRowLastColumn="0" w:lastRowFirstColumn="0" w:lastRowLastColumn="0"/>
        </w:trPr>
        <w:tc>
          <w:tcPr>
            <w:tcW w:w="1430" w:type="dxa"/>
            <w:vAlign w:val="center"/>
          </w:tcPr>
          <w:p w14:paraId="6FA8655A" w14:textId="77777777" w:rsidR="009F1E52" w:rsidRPr="0056697D" w:rsidRDefault="009F1E52" w:rsidP="009F1E52">
            <w:pPr>
              <w:spacing w:after="100" w:line="276" w:lineRule="auto"/>
              <w:jc w:val="center"/>
              <w:rPr>
                <w:rFonts w:cs="Arial"/>
                <w:sz w:val="17"/>
                <w:szCs w:val="17"/>
              </w:rPr>
            </w:pPr>
            <w:r w:rsidRPr="0056697D">
              <w:rPr>
                <w:rFonts w:cs="Arial"/>
                <w:sz w:val="17"/>
                <w:szCs w:val="17"/>
              </w:rPr>
              <w:t>Education and Training</w:t>
            </w:r>
          </w:p>
        </w:tc>
        <w:tc>
          <w:tcPr>
            <w:tcW w:w="850" w:type="dxa"/>
            <w:vAlign w:val="center"/>
          </w:tcPr>
          <w:p w14:paraId="2A4519A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8.3</w:t>
            </w:r>
          </w:p>
        </w:tc>
        <w:tc>
          <w:tcPr>
            <w:tcW w:w="780" w:type="dxa"/>
            <w:vAlign w:val="center"/>
          </w:tcPr>
          <w:p w14:paraId="37F68538"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8.6</w:t>
            </w:r>
          </w:p>
        </w:tc>
        <w:tc>
          <w:tcPr>
            <w:tcW w:w="1019" w:type="dxa"/>
            <w:vAlign w:val="center"/>
          </w:tcPr>
          <w:p w14:paraId="076195D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8.6</w:t>
            </w:r>
          </w:p>
        </w:tc>
        <w:tc>
          <w:tcPr>
            <w:tcW w:w="1019" w:type="dxa"/>
            <w:vAlign w:val="center"/>
          </w:tcPr>
          <w:p w14:paraId="45BEA43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7.8</w:t>
            </w:r>
          </w:p>
        </w:tc>
        <w:tc>
          <w:tcPr>
            <w:tcW w:w="1019" w:type="dxa"/>
            <w:vAlign w:val="center"/>
          </w:tcPr>
          <w:p w14:paraId="3DAF7C0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8.2</w:t>
            </w:r>
          </w:p>
        </w:tc>
        <w:tc>
          <w:tcPr>
            <w:tcW w:w="1019" w:type="dxa"/>
            <w:vAlign w:val="center"/>
          </w:tcPr>
          <w:p w14:paraId="1036A19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8.9</w:t>
            </w:r>
          </w:p>
        </w:tc>
        <w:tc>
          <w:tcPr>
            <w:tcW w:w="1019" w:type="dxa"/>
            <w:vAlign w:val="center"/>
          </w:tcPr>
          <w:p w14:paraId="1AE0FCE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9.4</w:t>
            </w:r>
          </w:p>
        </w:tc>
        <w:tc>
          <w:tcPr>
            <w:tcW w:w="1071" w:type="dxa"/>
            <w:vAlign w:val="center"/>
          </w:tcPr>
          <w:p w14:paraId="44534A3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8.6</w:t>
            </w:r>
          </w:p>
        </w:tc>
        <w:tc>
          <w:tcPr>
            <w:tcW w:w="967" w:type="dxa"/>
            <w:vAlign w:val="center"/>
          </w:tcPr>
          <w:p w14:paraId="4A520195" w14:textId="6896115D"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8.4</w:t>
            </w:r>
          </w:p>
        </w:tc>
      </w:tr>
      <w:tr w:rsidR="009F1E52" w:rsidRPr="0056697D" w14:paraId="1D90391A" w14:textId="77777777" w:rsidTr="009F1E52">
        <w:tc>
          <w:tcPr>
            <w:tcW w:w="1430" w:type="dxa"/>
            <w:vAlign w:val="center"/>
          </w:tcPr>
          <w:p w14:paraId="53D85CFD" w14:textId="77777777" w:rsidR="009F1E52" w:rsidRPr="0056697D" w:rsidRDefault="009F1E52" w:rsidP="009F1E52">
            <w:pPr>
              <w:spacing w:after="100" w:line="276" w:lineRule="auto"/>
              <w:jc w:val="center"/>
              <w:rPr>
                <w:rFonts w:cs="Arial"/>
                <w:sz w:val="17"/>
                <w:szCs w:val="17"/>
              </w:rPr>
            </w:pPr>
            <w:r w:rsidRPr="0056697D">
              <w:rPr>
                <w:rFonts w:cs="Arial"/>
                <w:sz w:val="17"/>
                <w:szCs w:val="17"/>
              </w:rPr>
              <w:t>Health Care and Social Assistance</w:t>
            </w:r>
          </w:p>
        </w:tc>
        <w:tc>
          <w:tcPr>
            <w:tcW w:w="850" w:type="dxa"/>
            <w:vAlign w:val="center"/>
          </w:tcPr>
          <w:p w14:paraId="2E743CF0"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15.0</w:t>
            </w:r>
          </w:p>
        </w:tc>
        <w:tc>
          <w:tcPr>
            <w:tcW w:w="780" w:type="dxa"/>
            <w:vAlign w:val="center"/>
          </w:tcPr>
          <w:p w14:paraId="3C5293A9"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15.8</w:t>
            </w:r>
          </w:p>
        </w:tc>
        <w:tc>
          <w:tcPr>
            <w:tcW w:w="1019" w:type="dxa"/>
            <w:vAlign w:val="center"/>
          </w:tcPr>
          <w:p w14:paraId="46F7976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16.1</w:t>
            </w:r>
          </w:p>
        </w:tc>
        <w:tc>
          <w:tcPr>
            <w:tcW w:w="1019" w:type="dxa"/>
            <w:vAlign w:val="center"/>
          </w:tcPr>
          <w:p w14:paraId="23774E0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17.9</w:t>
            </w:r>
          </w:p>
        </w:tc>
        <w:tc>
          <w:tcPr>
            <w:tcW w:w="1019" w:type="dxa"/>
            <w:vAlign w:val="center"/>
          </w:tcPr>
          <w:p w14:paraId="32F99B6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14.8</w:t>
            </w:r>
          </w:p>
        </w:tc>
        <w:tc>
          <w:tcPr>
            <w:tcW w:w="1019" w:type="dxa"/>
            <w:vAlign w:val="center"/>
          </w:tcPr>
          <w:p w14:paraId="2CCB294A"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17.3</w:t>
            </w:r>
          </w:p>
        </w:tc>
        <w:tc>
          <w:tcPr>
            <w:tcW w:w="1019" w:type="dxa"/>
            <w:vAlign w:val="center"/>
          </w:tcPr>
          <w:p w14:paraId="08FBCD2F"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17.2</w:t>
            </w:r>
          </w:p>
        </w:tc>
        <w:tc>
          <w:tcPr>
            <w:tcW w:w="1071" w:type="dxa"/>
            <w:vAlign w:val="center"/>
          </w:tcPr>
          <w:p w14:paraId="3EFB3A9F"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11.7</w:t>
            </w:r>
          </w:p>
        </w:tc>
        <w:tc>
          <w:tcPr>
            <w:tcW w:w="967" w:type="dxa"/>
            <w:vAlign w:val="center"/>
          </w:tcPr>
          <w:p w14:paraId="4704C898" w14:textId="60251318"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15.6</w:t>
            </w:r>
          </w:p>
        </w:tc>
      </w:tr>
      <w:tr w:rsidR="009F1E52" w:rsidRPr="0056697D" w14:paraId="7844A6F0" w14:textId="77777777" w:rsidTr="009F1E52">
        <w:trPr>
          <w:cnfStyle w:val="000000010000" w:firstRow="0" w:lastRow="0" w:firstColumn="0" w:lastColumn="0" w:oddVBand="0" w:evenVBand="0" w:oddHBand="0" w:evenHBand="1" w:firstRowFirstColumn="0" w:firstRowLastColumn="0" w:lastRowFirstColumn="0" w:lastRowLastColumn="0"/>
        </w:trPr>
        <w:tc>
          <w:tcPr>
            <w:tcW w:w="1430" w:type="dxa"/>
            <w:vAlign w:val="center"/>
          </w:tcPr>
          <w:p w14:paraId="40EB51AB" w14:textId="77777777" w:rsidR="009F1E52" w:rsidRPr="0056697D" w:rsidRDefault="009F1E52" w:rsidP="009F1E52">
            <w:pPr>
              <w:spacing w:after="100" w:line="276" w:lineRule="auto"/>
              <w:jc w:val="center"/>
              <w:rPr>
                <w:rFonts w:cs="Arial"/>
                <w:sz w:val="17"/>
                <w:szCs w:val="17"/>
              </w:rPr>
            </w:pPr>
            <w:r w:rsidRPr="0056697D">
              <w:rPr>
                <w:rFonts w:cs="Arial"/>
                <w:sz w:val="17"/>
                <w:szCs w:val="17"/>
              </w:rPr>
              <w:t>Arts and Recreation Services</w:t>
            </w:r>
          </w:p>
        </w:tc>
        <w:tc>
          <w:tcPr>
            <w:tcW w:w="850" w:type="dxa"/>
            <w:vAlign w:val="center"/>
          </w:tcPr>
          <w:p w14:paraId="1EA8E1F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1.7</w:t>
            </w:r>
          </w:p>
        </w:tc>
        <w:tc>
          <w:tcPr>
            <w:tcW w:w="780" w:type="dxa"/>
            <w:vAlign w:val="center"/>
          </w:tcPr>
          <w:p w14:paraId="4FF0A5B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2.1</w:t>
            </w:r>
          </w:p>
        </w:tc>
        <w:tc>
          <w:tcPr>
            <w:tcW w:w="1019" w:type="dxa"/>
            <w:vAlign w:val="center"/>
          </w:tcPr>
          <w:p w14:paraId="5E11CB59"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1.6</w:t>
            </w:r>
          </w:p>
        </w:tc>
        <w:tc>
          <w:tcPr>
            <w:tcW w:w="1019" w:type="dxa"/>
            <w:vAlign w:val="center"/>
          </w:tcPr>
          <w:p w14:paraId="6BB2F0D1"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1.4</w:t>
            </w:r>
          </w:p>
        </w:tc>
        <w:tc>
          <w:tcPr>
            <w:tcW w:w="1019" w:type="dxa"/>
            <w:vAlign w:val="center"/>
          </w:tcPr>
          <w:p w14:paraId="4ACD79D0"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1.9</w:t>
            </w:r>
          </w:p>
        </w:tc>
        <w:tc>
          <w:tcPr>
            <w:tcW w:w="1019" w:type="dxa"/>
            <w:vAlign w:val="center"/>
          </w:tcPr>
          <w:p w14:paraId="47C6EC0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1.5</w:t>
            </w:r>
          </w:p>
        </w:tc>
        <w:tc>
          <w:tcPr>
            <w:tcW w:w="1019" w:type="dxa"/>
            <w:vAlign w:val="center"/>
          </w:tcPr>
          <w:p w14:paraId="35592BE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3.5</w:t>
            </w:r>
          </w:p>
        </w:tc>
        <w:tc>
          <w:tcPr>
            <w:tcW w:w="1071" w:type="dxa"/>
            <w:vAlign w:val="center"/>
          </w:tcPr>
          <w:p w14:paraId="38F6C7BD"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2.1</w:t>
            </w:r>
          </w:p>
        </w:tc>
        <w:tc>
          <w:tcPr>
            <w:tcW w:w="967" w:type="dxa"/>
            <w:vAlign w:val="center"/>
          </w:tcPr>
          <w:p w14:paraId="6E5970AE" w14:textId="095A78A8"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1.8</w:t>
            </w:r>
          </w:p>
        </w:tc>
      </w:tr>
      <w:tr w:rsidR="009F1E52" w:rsidRPr="0056697D" w14:paraId="595CD56F" w14:textId="77777777" w:rsidTr="009F1E52">
        <w:trPr>
          <w:trHeight w:val="209"/>
        </w:trPr>
        <w:tc>
          <w:tcPr>
            <w:tcW w:w="1430" w:type="dxa"/>
            <w:vAlign w:val="center"/>
          </w:tcPr>
          <w:p w14:paraId="7CC53C65" w14:textId="77777777" w:rsidR="009F1E52" w:rsidRPr="0056697D" w:rsidRDefault="009F1E52" w:rsidP="009F1E52">
            <w:pPr>
              <w:spacing w:after="100" w:line="276" w:lineRule="auto"/>
              <w:jc w:val="center"/>
              <w:rPr>
                <w:rFonts w:cs="Arial"/>
                <w:sz w:val="17"/>
                <w:szCs w:val="17"/>
              </w:rPr>
            </w:pPr>
            <w:r w:rsidRPr="0056697D">
              <w:rPr>
                <w:rFonts w:cs="Arial"/>
                <w:sz w:val="17"/>
                <w:szCs w:val="17"/>
              </w:rPr>
              <w:t>Other Services</w:t>
            </w:r>
          </w:p>
        </w:tc>
        <w:tc>
          <w:tcPr>
            <w:tcW w:w="850" w:type="dxa"/>
            <w:vAlign w:val="center"/>
          </w:tcPr>
          <w:p w14:paraId="35AAEE98"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3.7</w:t>
            </w:r>
          </w:p>
        </w:tc>
        <w:tc>
          <w:tcPr>
            <w:tcW w:w="780" w:type="dxa"/>
            <w:vAlign w:val="center"/>
          </w:tcPr>
          <w:p w14:paraId="79901974"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3.4</w:t>
            </w:r>
          </w:p>
        </w:tc>
        <w:tc>
          <w:tcPr>
            <w:tcW w:w="1019" w:type="dxa"/>
            <w:vAlign w:val="center"/>
          </w:tcPr>
          <w:p w14:paraId="282D67F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4.0</w:t>
            </w:r>
          </w:p>
        </w:tc>
        <w:tc>
          <w:tcPr>
            <w:tcW w:w="1019" w:type="dxa"/>
            <w:vAlign w:val="center"/>
          </w:tcPr>
          <w:p w14:paraId="70FAF74D"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3.9</w:t>
            </w:r>
          </w:p>
        </w:tc>
        <w:tc>
          <w:tcPr>
            <w:tcW w:w="1019" w:type="dxa"/>
            <w:vAlign w:val="center"/>
          </w:tcPr>
          <w:p w14:paraId="66EE2D1F"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4.0</w:t>
            </w:r>
          </w:p>
        </w:tc>
        <w:tc>
          <w:tcPr>
            <w:tcW w:w="1019" w:type="dxa"/>
            <w:vAlign w:val="center"/>
          </w:tcPr>
          <w:p w14:paraId="5A45EAAF"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3.7</w:t>
            </w:r>
          </w:p>
        </w:tc>
        <w:tc>
          <w:tcPr>
            <w:tcW w:w="1019" w:type="dxa"/>
            <w:vAlign w:val="center"/>
          </w:tcPr>
          <w:p w14:paraId="47490F0B"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4.4</w:t>
            </w:r>
          </w:p>
        </w:tc>
        <w:tc>
          <w:tcPr>
            <w:tcW w:w="1071" w:type="dxa"/>
            <w:vAlign w:val="center"/>
          </w:tcPr>
          <w:p w14:paraId="58D3002C" w14:textId="77777777"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2.8</w:t>
            </w:r>
          </w:p>
        </w:tc>
        <w:tc>
          <w:tcPr>
            <w:tcW w:w="967" w:type="dxa"/>
            <w:vAlign w:val="center"/>
          </w:tcPr>
          <w:p w14:paraId="31BA7665" w14:textId="6ED37EF3" w:rsidR="009F1E52" w:rsidRPr="0056697D" w:rsidRDefault="009F1E52" w:rsidP="009F1E52">
            <w:pPr>
              <w:spacing w:after="100" w:line="276" w:lineRule="auto"/>
              <w:jc w:val="center"/>
              <w:rPr>
                <w:rFonts w:eastAsia="Arial Nova" w:cs="Times New Roman"/>
                <w:color w:val="auto"/>
                <w:sz w:val="17"/>
                <w:szCs w:val="17"/>
              </w:rPr>
            </w:pPr>
            <w:r w:rsidRPr="0056697D">
              <w:rPr>
                <w:sz w:val="17"/>
                <w:szCs w:val="17"/>
              </w:rPr>
              <w:t>3.7</w:t>
            </w:r>
          </w:p>
        </w:tc>
      </w:tr>
      <w:tr w:rsidR="00E22F94" w:rsidRPr="0056697D" w14:paraId="6674B144" w14:textId="77777777" w:rsidTr="00037495">
        <w:trPr>
          <w:cnfStyle w:val="000000010000" w:firstRow="0" w:lastRow="0" w:firstColumn="0" w:lastColumn="0" w:oddVBand="0" w:evenVBand="0" w:oddHBand="0" w:evenHBand="1" w:firstRowFirstColumn="0" w:firstRowLastColumn="0" w:lastRowFirstColumn="0" w:lastRowLastColumn="0"/>
          <w:trHeight w:val="427"/>
        </w:trPr>
        <w:tc>
          <w:tcPr>
            <w:tcW w:w="1430" w:type="dxa"/>
            <w:vAlign w:val="center"/>
          </w:tcPr>
          <w:p w14:paraId="5974EDDF" w14:textId="77777777" w:rsidR="00E22F94" w:rsidRPr="0056697D" w:rsidRDefault="00E22F94" w:rsidP="00037495">
            <w:pPr>
              <w:spacing w:after="100" w:line="276" w:lineRule="auto"/>
              <w:jc w:val="center"/>
              <w:rPr>
                <w:rFonts w:cs="Arial"/>
                <w:sz w:val="17"/>
                <w:szCs w:val="17"/>
              </w:rPr>
            </w:pPr>
            <w:r w:rsidRPr="0056697D">
              <w:rPr>
                <w:rFonts w:cs="Arial"/>
                <w:sz w:val="17"/>
                <w:szCs w:val="17"/>
              </w:rPr>
              <w:t>Total</w:t>
            </w:r>
          </w:p>
        </w:tc>
        <w:tc>
          <w:tcPr>
            <w:tcW w:w="850" w:type="dxa"/>
            <w:vAlign w:val="center"/>
          </w:tcPr>
          <w:p w14:paraId="75D66916" w14:textId="77777777" w:rsidR="00E22F94" w:rsidRPr="0056697D" w:rsidRDefault="00E22F94" w:rsidP="00037495">
            <w:pPr>
              <w:spacing w:after="100" w:line="276" w:lineRule="auto"/>
              <w:jc w:val="center"/>
              <w:rPr>
                <w:rFonts w:eastAsia="Arial Nova" w:cs="Times New Roman"/>
                <w:color w:val="auto"/>
                <w:sz w:val="17"/>
                <w:szCs w:val="17"/>
              </w:rPr>
            </w:pPr>
            <w:r w:rsidRPr="0056697D">
              <w:rPr>
                <w:rFonts w:cs="Arial"/>
                <w:sz w:val="17"/>
                <w:szCs w:val="17"/>
              </w:rPr>
              <w:t>100.0</w:t>
            </w:r>
          </w:p>
        </w:tc>
        <w:tc>
          <w:tcPr>
            <w:tcW w:w="780" w:type="dxa"/>
            <w:vAlign w:val="center"/>
          </w:tcPr>
          <w:p w14:paraId="3D8A7278" w14:textId="77777777" w:rsidR="00E22F94" w:rsidRPr="0056697D" w:rsidRDefault="00E22F94" w:rsidP="00037495">
            <w:pPr>
              <w:spacing w:after="100" w:line="276" w:lineRule="auto"/>
              <w:jc w:val="center"/>
              <w:rPr>
                <w:rFonts w:eastAsia="Arial Nova" w:cs="Times New Roman"/>
                <w:color w:val="auto"/>
                <w:sz w:val="17"/>
                <w:szCs w:val="17"/>
              </w:rPr>
            </w:pPr>
            <w:r w:rsidRPr="0056697D">
              <w:rPr>
                <w:rFonts w:cs="Arial"/>
                <w:sz w:val="17"/>
                <w:szCs w:val="17"/>
              </w:rPr>
              <w:t>100.0</w:t>
            </w:r>
          </w:p>
        </w:tc>
        <w:tc>
          <w:tcPr>
            <w:tcW w:w="1019" w:type="dxa"/>
            <w:vAlign w:val="center"/>
          </w:tcPr>
          <w:p w14:paraId="03563AA4" w14:textId="77777777" w:rsidR="00E22F94" w:rsidRPr="0056697D" w:rsidRDefault="00E22F94" w:rsidP="00037495">
            <w:pPr>
              <w:spacing w:after="100" w:line="276" w:lineRule="auto"/>
              <w:jc w:val="center"/>
              <w:rPr>
                <w:rFonts w:eastAsia="Arial Nova" w:cs="Times New Roman"/>
                <w:color w:val="auto"/>
                <w:sz w:val="17"/>
                <w:szCs w:val="17"/>
              </w:rPr>
            </w:pPr>
            <w:r w:rsidRPr="0056697D">
              <w:rPr>
                <w:rFonts w:cs="Arial"/>
                <w:sz w:val="17"/>
                <w:szCs w:val="17"/>
              </w:rPr>
              <w:t>100.0</w:t>
            </w:r>
          </w:p>
        </w:tc>
        <w:tc>
          <w:tcPr>
            <w:tcW w:w="1019" w:type="dxa"/>
            <w:vAlign w:val="center"/>
          </w:tcPr>
          <w:p w14:paraId="1E145F46" w14:textId="77777777" w:rsidR="00E22F94" w:rsidRPr="0056697D" w:rsidRDefault="00E22F94" w:rsidP="00037495">
            <w:pPr>
              <w:spacing w:after="100" w:line="276" w:lineRule="auto"/>
              <w:jc w:val="center"/>
              <w:rPr>
                <w:rFonts w:eastAsia="Arial Nova" w:cs="Times New Roman"/>
                <w:color w:val="auto"/>
                <w:sz w:val="17"/>
                <w:szCs w:val="17"/>
              </w:rPr>
            </w:pPr>
            <w:r w:rsidRPr="0056697D">
              <w:rPr>
                <w:rFonts w:cs="Arial"/>
                <w:sz w:val="17"/>
                <w:szCs w:val="17"/>
              </w:rPr>
              <w:t>100.0</w:t>
            </w:r>
          </w:p>
        </w:tc>
        <w:tc>
          <w:tcPr>
            <w:tcW w:w="1019" w:type="dxa"/>
            <w:vAlign w:val="center"/>
          </w:tcPr>
          <w:p w14:paraId="0E97D507" w14:textId="77777777" w:rsidR="00E22F94" w:rsidRPr="0056697D" w:rsidRDefault="00E22F94" w:rsidP="00037495">
            <w:pPr>
              <w:spacing w:after="100" w:line="276" w:lineRule="auto"/>
              <w:jc w:val="center"/>
              <w:rPr>
                <w:rFonts w:eastAsia="Arial Nova" w:cs="Times New Roman"/>
                <w:color w:val="auto"/>
                <w:sz w:val="17"/>
                <w:szCs w:val="17"/>
              </w:rPr>
            </w:pPr>
            <w:r w:rsidRPr="0056697D">
              <w:rPr>
                <w:rFonts w:cs="Arial"/>
                <w:sz w:val="17"/>
                <w:szCs w:val="17"/>
              </w:rPr>
              <w:t>100.0</w:t>
            </w:r>
          </w:p>
        </w:tc>
        <w:tc>
          <w:tcPr>
            <w:tcW w:w="1019" w:type="dxa"/>
            <w:vAlign w:val="center"/>
          </w:tcPr>
          <w:p w14:paraId="71D423CA" w14:textId="77777777" w:rsidR="00E22F94" w:rsidRPr="0056697D" w:rsidRDefault="00E22F94" w:rsidP="00037495">
            <w:pPr>
              <w:spacing w:after="100" w:line="276" w:lineRule="auto"/>
              <w:jc w:val="center"/>
              <w:rPr>
                <w:rFonts w:eastAsia="Arial Nova" w:cs="Times New Roman"/>
                <w:color w:val="auto"/>
                <w:sz w:val="17"/>
                <w:szCs w:val="17"/>
              </w:rPr>
            </w:pPr>
            <w:r w:rsidRPr="0056697D">
              <w:rPr>
                <w:rFonts w:cs="Arial"/>
                <w:sz w:val="17"/>
                <w:szCs w:val="17"/>
              </w:rPr>
              <w:t>100.0</w:t>
            </w:r>
          </w:p>
        </w:tc>
        <w:tc>
          <w:tcPr>
            <w:tcW w:w="1019" w:type="dxa"/>
            <w:vAlign w:val="center"/>
          </w:tcPr>
          <w:p w14:paraId="726DE9B3" w14:textId="77777777" w:rsidR="00E22F94" w:rsidRPr="0056697D" w:rsidRDefault="00E22F94" w:rsidP="00037495">
            <w:pPr>
              <w:spacing w:after="100" w:line="276" w:lineRule="auto"/>
              <w:jc w:val="center"/>
              <w:rPr>
                <w:rFonts w:eastAsia="Arial Nova" w:cs="Times New Roman"/>
                <w:color w:val="auto"/>
                <w:sz w:val="17"/>
                <w:szCs w:val="17"/>
              </w:rPr>
            </w:pPr>
            <w:r w:rsidRPr="0056697D">
              <w:rPr>
                <w:rFonts w:cs="Arial"/>
                <w:sz w:val="17"/>
                <w:szCs w:val="17"/>
              </w:rPr>
              <w:t>100.0</w:t>
            </w:r>
          </w:p>
        </w:tc>
        <w:tc>
          <w:tcPr>
            <w:tcW w:w="1071" w:type="dxa"/>
            <w:vAlign w:val="center"/>
          </w:tcPr>
          <w:p w14:paraId="7DAB78D3" w14:textId="77777777" w:rsidR="00E22F94" w:rsidRPr="0056697D" w:rsidRDefault="00E22F94" w:rsidP="00037495">
            <w:pPr>
              <w:spacing w:after="100" w:line="276" w:lineRule="auto"/>
              <w:jc w:val="center"/>
              <w:rPr>
                <w:rFonts w:eastAsia="Arial Nova" w:cs="Times New Roman"/>
                <w:color w:val="auto"/>
                <w:sz w:val="17"/>
                <w:szCs w:val="17"/>
              </w:rPr>
            </w:pPr>
            <w:r w:rsidRPr="0056697D">
              <w:rPr>
                <w:rFonts w:cs="Arial"/>
                <w:sz w:val="17"/>
                <w:szCs w:val="17"/>
              </w:rPr>
              <w:t>100.0</w:t>
            </w:r>
          </w:p>
        </w:tc>
        <w:tc>
          <w:tcPr>
            <w:tcW w:w="967" w:type="dxa"/>
            <w:vAlign w:val="center"/>
          </w:tcPr>
          <w:p w14:paraId="36474026" w14:textId="77777777" w:rsidR="00E22F94" w:rsidRPr="0056697D" w:rsidRDefault="00E22F94" w:rsidP="00037495">
            <w:pPr>
              <w:spacing w:after="100" w:line="276" w:lineRule="auto"/>
              <w:jc w:val="center"/>
              <w:rPr>
                <w:rFonts w:eastAsia="Arial Nova" w:cs="Times New Roman"/>
                <w:color w:val="auto"/>
                <w:sz w:val="17"/>
                <w:szCs w:val="17"/>
              </w:rPr>
            </w:pPr>
            <w:r w:rsidRPr="0056697D">
              <w:rPr>
                <w:rFonts w:cs="Arial"/>
                <w:sz w:val="17"/>
                <w:szCs w:val="17"/>
              </w:rPr>
              <w:t>100.0</w:t>
            </w:r>
          </w:p>
        </w:tc>
      </w:tr>
    </w:tbl>
    <w:p w14:paraId="6AE06335" w14:textId="260A4026" w:rsidR="001F4DC9" w:rsidRPr="00C7158B" w:rsidRDefault="001F4DC9" w:rsidP="00002C6B">
      <w:pPr>
        <w:pStyle w:val="Source"/>
      </w:pPr>
      <w:r w:rsidRPr="00B92B44">
        <w:t xml:space="preserve">Source: ABS (2023). EQ06 - Employed persons by Industry group of main job (ANZSIC), Sex, State and Territory. Labour Force, Australia, Detailed. Retrieved </w:t>
      </w:r>
      <w:r w:rsidR="00673DA1" w:rsidRPr="00B92B44">
        <w:t>16 April 2024</w:t>
      </w:r>
      <w:r w:rsidRPr="00B92B44">
        <w:t xml:space="preserve">, </w:t>
      </w:r>
      <w:hyperlink r:id="rId32" w:history="1">
        <w:r w:rsidRPr="00B92B44">
          <w:rPr>
            <w:rStyle w:val="Hyperlink"/>
            <w:szCs w:val="18"/>
          </w:rPr>
          <w:t>https://www.abs.gov.au/statistics/labour/employment-and-unemployment/labour-force-australia-detailed/latest-release</w:t>
        </w:r>
      </w:hyperlink>
      <w:r w:rsidRPr="00B92B44">
        <w:rPr>
          <w:color w:val="485CD6"/>
          <w:szCs w:val="18"/>
        </w:rPr>
        <w:t>.</w:t>
      </w:r>
      <w:r w:rsidRPr="00890A78">
        <w:t xml:space="preserve"> The </w:t>
      </w:r>
      <w:r w:rsidR="007C383D">
        <w:t>s</w:t>
      </w:r>
      <w:r w:rsidRPr="00890A78">
        <w:t>tate</w:t>
      </w:r>
      <w:r w:rsidR="007C383D">
        <w:t xml:space="preserve"> and national </w:t>
      </w:r>
      <w:r w:rsidRPr="00890A78">
        <w:t xml:space="preserve">level data </w:t>
      </w:r>
      <w:r w:rsidR="007C383D">
        <w:t>is</w:t>
      </w:r>
      <w:r w:rsidR="007C383D" w:rsidRPr="00890A78">
        <w:t xml:space="preserve"> </w:t>
      </w:r>
      <w:r w:rsidRPr="00890A78">
        <w:t>trended by Jobs and Skills Australia.</w:t>
      </w:r>
    </w:p>
    <w:p w14:paraId="3D4AD32E" w14:textId="77777777" w:rsidR="001F4DC9" w:rsidRDefault="001F4DC9" w:rsidP="00002C6B">
      <w:pPr>
        <w:pStyle w:val="Source"/>
      </w:pPr>
      <w:r w:rsidRPr="00C7158B">
        <w:t>* Note: Data for smaller industries in the ACT can be volatile and estimates should be interpreted with caution.</w:t>
      </w:r>
    </w:p>
    <w:p w14:paraId="20F29627" w14:textId="77777777" w:rsidR="00890A78" w:rsidRDefault="00890A78" w:rsidP="006A4F70">
      <w:pPr>
        <w:spacing w:after="0" w:line="276" w:lineRule="auto"/>
        <w:rPr>
          <w:rFonts w:cs="Arial"/>
          <w:sz w:val="16"/>
          <w:szCs w:val="16"/>
        </w:rPr>
      </w:pPr>
    </w:p>
    <w:p w14:paraId="42B361F9" w14:textId="77777777" w:rsidR="006A4F70" w:rsidRPr="007B2D98" w:rsidRDefault="006A4F70" w:rsidP="00B92B44">
      <w:pPr>
        <w:pStyle w:val="Heading1"/>
      </w:pPr>
      <w:r w:rsidRPr="007B2D98">
        <w:t>Further information</w:t>
      </w:r>
    </w:p>
    <w:p w14:paraId="0A86AFEE" w14:textId="2CF55D6D" w:rsidR="006A4F70" w:rsidRPr="006A4F70" w:rsidRDefault="006A4F70" w:rsidP="004B5527">
      <w:pPr>
        <w:spacing w:line="240" w:lineRule="auto"/>
      </w:pPr>
      <w:r w:rsidRPr="007B2D98">
        <w:t xml:space="preserve">Queries on the Australian Labour Market for Migrants publication, including requests for inclusion on the distribution list and copies of Hot Topics attached to previous editions, should be emailed to </w:t>
      </w:r>
      <w:hyperlink r:id="rId33" w:history="1">
        <w:r w:rsidRPr="007B2D98">
          <w:rPr>
            <w:color w:val="215E9E" w:themeColor="hyperlink"/>
            <w:u w:val="single"/>
          </w:rPr>
          <w:t>migration@jobsandskills.gov.au</w:t>
        </w:r>
      </w:hyperlink>
      <w:r w:rsidR="004B5527">
        <w:rPr>
          <w:color w:val="215E9E" w:themeColor="hyperlink"/>
          <w:u w:val="single"/>
        </w:rPr>
        <w:t>.</w:t>
      </w:r>
    </w:p>
    <w:sectPr w:rsidR="006A4F70" w:rsidRPr="006A4F70" w:rsidSect="0001559A">
      <w:footerReference w:type="default" r:id="rId34"/>
      <w:footerReference w:type="first" r:id="rId35"/>
      <w:pgSz w:w="11906" w:h="16838"/>
      <w:pgMar w:top="1418" w:right="1440" w:bottom="1440" w:left="1440"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D1AB" w14:textId="77777777" w:rsidR="0001559A" w:rsidRDefault="0001559A" w:rsidP="000D6745">
      <w:r>
        <w:separator/>
      </w:r>
    </w:p>
  </w:endnote>
  <w:endnote w:type="continuationSeparator" w:id="0">
    <w:p w14:paraId="41BBDB36" w14:textId="77777777" w:rsidR="0001559A" w:rsidRDefault="0001559A" w:rsidP="000D6745">
      <w:r>
        <w:continuationSeparator/>
      </w:r>
    </w:p>
  </w:endnote>
  <w:endnote w:type="continuationNotice" w:id="1">
    <w:p w14:paraId="4179C57C" w14:textId="77777777" w:rsidR="0001559A" w:rsidRDefault="00015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B0C4" w14:textId="00636FBC" w:rsidR="00772503" w:rsidRDefault="00632E84" w:rsidP="00B42354">
    <w:pPr>
      <w:pStyle w:val="Footer"/>
      <w:jc w:val="left"/>
    </w:pPr>
    <w:r>
      <w:t xml:space="preserve">Jobs and Skills Australia – Australian Labour Market for Migrants – </w:t>
    </w:r>
    <w:r w:rsidR="000E7CFE">
      <w:t>April</w:t>
    </w:r>
    <w:r>
      <w:t xml:space="preserve"> 2024                                             </w:t>
    </w:r>
    <w:r w:rsidR="00B42354">
      <w:t xml:space="preserve"> </w:t>
    </w:r>
    <w:r>
      <w:t xml:space="preserve"> </w:t>
    </w:r>
    <w:sdt>
      <w:sdtPr>
        <w:id w:val="2133134506"/>
        <w:docPartObj>
          <w:docPartGallery w:val="Page Numbers (Bottom of Page)"/>
          <w:docPartUnique/>
        </w:docPartObj>
      </w:sdtPr>
      <w:sdtEndPr>
        <w:rPr>
          <w:noProof/>
        </w:rPr>
      </w:sdtEndPr>
      <w:sdtContent>
        <w:r w:rsidR="00772503">
          <w:fldChar w:fldCharType="begin"/>
        </w:r>
        <w:r w:rsidR="00772503">
          <w:instrText xml:space="preserve"> PAGE   \* MERGEFORMAT </w:instrText>
        </w:r>
        <w:r w:rsidR="00772503">
          <w:fldChar w:fldCharType="separate"/>
        </w:r>
        <w:r w:rsidR="00772503">
          <w:rPr>
            <w:noProof/>
          </w:rPr>
          <w:t>2</w:t>
        </w:r>
        <w:r w:rsidR="0077250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514049"/>
      <w:docPartObj>
        <w:docPartGallery w:val="Page Numbers (Bottom of Page)"/>
        <w:docPartUnique/>
      </w:docPartObj>
    </w:sdtPr>
    <w:sdtEndPr>
      <w:rPr>
        <w:noProof/>
      </w:rPr>
    </w:sdtEndPr>
    <w:sdtContent>
      <w:p w14:paraId="22EEBE57" w14:textId="611D985F" w:rsidR="00605B59" w:rsidRDefault="00605B59">
        <w:pPr>
          <w:pStyle w:val="Footer"/>
        </w:pPr>
        <w:r>
          <w:fldChar w:fldCharType="begin"/>
        </w:r>
        <w:r>
          <w:instrText xml:space="preserve"> PAGE   \* MERGEFORMAT </w:instrText>
        </w:r>
        <w:r>
          <w:fldChar w:fldCharType="separate"/>
        </w:r>
        <w:r>
          <w:rPr>
            <w:noProof/>
          </w:rPr>
          <w:t>2</w:t>
        </w:r>
        <w:r>
          <w:rPr>
            <w:noProof/>
          </w:rPr>
          <w:fldChar w:fldCharType="end"/>
        </w:r>
      </w:p>
    </w:sdtContent>
  </w:sdt>
  <w:p w14:paraId="209D9BD0" w14:textId="47765D86" w:rsidR="00800C1F" w:rsidRDefault="00800C1F" w:rsidP="00800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3912" w14:textId="77777777" w:rsidR="0001559A" w:rsidRDefault="0001559A" w:rsidP="000D6745">
      <w:r>
        <w:separator/>
      </w:r>
    </w:p>
  </w:footnote>
  <w:footnote w:type="continuationSeparator" w:id="0">
    <w:p w14:paraId="047F0886" w14:textId="77777777" w:rsidR="0001559A" w:rsidRDefault="0001559A" w:rsidP="000D6745">
      <w:r>
        <w:continuationSeparator/>
      </w:r>
    </w:p>
  </w:footnote>
  <w:footnote w:type="continuationNotice" w:id="1">
    <w:p w14:paraId="1D7E92A0" w14:textId="77777777" w:rsidR="0001559A" w:rsidRDefault="0001559A">
      <w:pPr>
        <w:spacing w:after="0" w:line="240" w:lineRule="auto"/>
      </w:pPr>
    </w:p>
  </w:footnote>
  <w:footnote w:id="2">
    <w:p w14:paraId="20EA1FE0" w14:textId="1AF3010C" w:rsidR="00294839" w:rsidRPr="00F66F08" w:rsidRDefault="00294839" w:rsidP="00294839">
      <w:pPr>
        <w:pStyle w:val="FootnoteText"/>
        <w:rPr>
          <w:sz w:val="16"/>
          <w:szCs w:val="16"/>
        </w:rPr>
      </w:pPr>
      <w:r w:rsidRPr="00B85EF8">
        <w:rPr>
          <w:rStyle w:val="FootnoteReference"/>
          <w:sz w:val="16"/>
          <w:szCs w:val="16"/>
        </w:rPr>
        <w:footnoteRef/>
      </w:r>
      <w:r w:rsidRPr="00B85EF8">
        <w:rPr>
          <w:rStyle w:val="FootnoteReference"/>
        </w:rPr>
        <w:t xml:space="preserve"> </w:t>
      </w:r>
      <w:r w:rsidRPr="00F66F08">
        <w:rPr>
          <w:sz w:val="16"/>
          <w:szCs w:val="16"/>
        </w:rPr>
        <w:t xml:space="preserve">The first paragraph of the Employment section and the Unemployment section use data </w:t>
      </w:r>
      <w:r w:rsidR="00D01812">
        <w:rPr>
          <w:sz w:val="16"/>
          <w:szCs w:val="16"/>
        </w:rPr>
        <w:t xml:space="preserve">trended by Jobs and Skills Australia </w:t>
      </w:r>
      <w:r w:rsidRPr="00F66F08">
        <w:rPr>
          <w:sz w:val="16"/>
          <w:szCs w:val="16"/>
        </w:rPr>
        <w:t xml:space="preserve">for </w:t>
      </w:r>
      <w:r w:rsidR="001F0D48" w:rsidRPr="001F0D48">
        <w:rPr>
          <w:sz w:val="16"/>
          <w:szCs w:val="16"/>
        </w:rPr>
        <w:t xml:space="preserve">February </w:t>
      </w:r>
      <w:r w:rsidR="000E7CFE">
        <w:rPr>
          <w:sz w:val="16"/>
          <w:szCs w:val="16"/>
        </w:rPr>
        <w:t>2024</w:t>
      </w:r>
      <w:r w:rsidRPr="00F66F08">
        <w:rPr>
          <w:sz w:val="16"/>
          <w:szCs w:val="16"/>
        </w:rPr>
        <w:t xml:space="preserve"> from the ABS’ Labour Force, Australia</w:t>
      </w:r>
      <w:r w:rsidRPr="008354B8">
        <w:rPr>
          <w:sz w:val="16"/>
          <w:szCs w:val="16"/>
        </w:rPr>
        <w:t xml:space="preserve">, </w:t>
      </w:r>
      <w:r w:rsidR="00752098">
        <w:rPr>
          <w:sz w:val="16"/>
          <w:szCs w:val="16"/>
        </w:rPr>
        <w:t>March</w:t>
      </w:r>
      <w:r w:rsidR="00752098" w:rsidRPr="008354B8">
        <w:rPr>
          <w:sz w:val="16"/>
          <w:szCs w:val="16"/>
        </w:rPr>
        <w:t xml:space="preserve"> </w:t>
      </w:r>
      <w:r w:rsidRPr="008354B8">
        <w:rPr>
          <w:sz w:val="16"/>
          <w:szCs w:val="16"/>
        </w:rPr>
        <w:t>202</w:t>
      </w:r>
      <w:r w:rsidR="008354B8" w:rsidRPr="008354B8">
        <w:rPr>
          <w:sz w:val="16"/>
          <w:szCs w:val="16"/>
        </w:rPr>
        <w:t>4</w:t>
      </w:r>
      <w:r w:rsidR="00D01812" w:rsidRPr="008354B8">
        <w:rPr>
          <w:sz w:val="16"/>
          <w:szCs w:val="16"/>
        </w:rPr>
        <w:t xml:space="preserve"> release</w:t>
      </w:r>
      <w:r w:rsidRPr="00F66F08">
        <w:rPr>
          <w:sz w:val="16"/>
          <w:szCs w:val="16"/>
        </w:rPr>
        <w:t>. Previous editions of this publication used seasonally adjusted data due to a break in the trend time series.</w:t>
      </w:r>
    </w:p>
  </w:footnote>
  <w:footnote w:id="3">
    <w:p w14:paraId="211D585D" w14:textId="1102ADAF" w:rsidR="000E031E" w:rsidRDefault="000E031E">
      <w:pPr>
        <w:pStyle w:val="FootnoteText"/>
      </w:pPr>
      <w:r w:rsidRPr="00B85EF8">
        <w:rPr>
          <w:rStyle w:val="FootnoteReference"/>
          <w:sz w:val="16"/>
          <w:szCs w:val="16"/>
        </w:rPr>
        <w:footnoteRef/>
      </w:r>
      <w:r w:rsidRPr="00B85EF8">
        <w:rPr>
          <w:rStyle w:val="FootnoteReference"/>
          <w:sz w:val="16"/>
          <w:szCs w:val="16"/>
        </w:rPr>
        <w:t xml:space="preserve"> </w:t>
      </w:r>
      <w:r w:rsidRPr="00BE65CB">
        <w:rPr>
          <w:rFonts w:cs="Arial"/>
          <w:sz w:val="16"/>
          <w:szCs w:val="16"/>
        </w:rPr>
        <w:t>ABS</w:t>
      </w:r>
      <w:r w:rsidRPr="00BE65CB">
        <w:rPr>
          <w:sz w:val="16"/>
          <w:szCs w:val="16"/>
        </w:rPr>
        <w:t xml:space="preserve">, </w:t>
      </w:r>
      <w:r w:rsidRPr="008C3AEC">
        <w:rPr>
          <w:i/>
          <w:iCs/>
          <w:sz w:val="16"/>
          <w:szCs w:val="16"/>
        </w:rPr>
        <w:t>Detailed Labour Force Survey</w:t>
      </w:r>
      <w:r w:rsidRPr="00BE65CB">
        <w:rPr>
          <w:rFonts w:cs="Arial"/>
          <w:sz w:val="16"/>
          <w:szCs w:val="16"/>
        </w:rPr>
        <w:t xml:space="preserve">, </w:t>
      </w:r>
      <w:r w:rsidR="001F0D48" w:rsidRPr="001F0D48">
        <w:rPr>
          <w:sz w:val="16"/>
          <w:szCs w:val="16"/>
        </w:rPr>
        <w:t xml:space="preserve">February </w:t>
      </w:r>
      <w:r w:rsidRPr="0086294C">
        <w:rPr>
          <w:sz w:val="16"/>
          <w:szCs w:val="16"/>
        </w:rPr>
        <w:t>202</w:t>
      </w:r>
      <w:r w:rsidR="000E7CFE" w:rsidRPr="0086294C">
        <w:rPr>
          <w:sz w:val="16"/>
          <w:szCs w:val="16"/>
        </w:rPr>
        <w:t>4</w:t>
      </w:r>
      <w:r w:rsidRPr="0086294C">
        <w:rPr>
          <w:sz w:val="16"/>
          <w:szCs w:val="16"/>
        </w:rPr>
        <w:t xml:space="preserve"> (Table </w:t>
      </w:r>
      <w:r w:rsidR="00F70C27" w:rsidRPr="0086294C">
        <w:rPr>
          <w:sz w:val="16"/>
          <w:szCs w:val="16"/>
        </w:rPr>
        <w:t>04</w:t>
      </w:r>
      <w:r w:rsidRPr="0086294C">
        <w:rPr>
          <w:sz w:val="16"/>
          <w:szCs w:val="16"/>
        </w:rPr>
        <w:t>)</w:t>
      </w:r>
      <w:r w:rsidRPr="0086294C">
        <w:rPr>
          <w:rFonts w:cs="Arial"/>
          <w:sz w:val="16"/>
          <w:szCs w:val="16"/>
        </w:rPr>
        <w:t>.</w:t>
      </w:r>
      <w:r w:rsidRPr="0086294C">
        <w:rPr>
          <w:sz w:val="16"/>
          <w:szCs w:val="16"/>
        </w:rPr>
        <w:t xml:space="preserve"> Data</w:t>
      </w:r>
      <w:r w:rsidRPr="00BE65CB">
        <w:rPr>
          <w:sz w:val="16"/>
          <w:szCs w:val="16"/>
        </w:rPr>
        <w:t xml:space="preserve"> trended by Jobs and Skills Australia</w:t>
      </w:r>
      <w:r w:rsidRPr="00BE65CB">
        <w:rPr>
          <w:rFonts w:cs="Arial"/>
          <w:sz w:val="16"/>
          <w:szCs w:val="16"/>
        </w:rPr>
        <w:t>.</w:t>
      </w:r>
    </w:p>
  </w:footnote>
  <w:footnote w:id="4">
    <w:p w14:paraId="2CB61349" w14:textId="362326FC" w:rsidR="000D14B7" w:rsidRPr="00E010D9" w:rsidRDefault="000D14B7" w:rsidP="000D14B7">
      <w:pPr>
        <w:pStyle w:val="FootnoteText"/>
        <w:jc w:val="both"/>
        <w:rPr>
          <w:rStyle w:val="FootnoteReference"/>
          <w:rFonts w:cs="Arial"/>
          <w:sz w:val="16"/>
          <w:szCs w:val="16"/>
          <w:vertAlign w:val="baseline"/>
        </w:rPr>
      </w:pPr>
      <w:r w:rsidRPr="00B85EF8">
        <w:rPr>
          <w:rStyle w:val="FootnoteReference"/>
          <w:sz w:val="16"/>
          <w:szCs w:val="16"/>
        </w:rPr>
        <w:footnoteRef/>
      </w:r>
      <w:r w:rsidRPr="00B85EF8">
        <w:rPr>
          <w:rStyle w:val="FootnoteReference"/>
          <w:sz w:val="16"/>
          <w:szCs w:val="16"/>
        </w:rPr>
        <w:t xml:space="preserve"> </w:t>
      </w:r>
      <w:r w:rsidRPr="00BE65CB">
        <w:rPr>
          <w:rFonts w:cs="Arial"/>
          <w:sz w:val="16"/>
          <w:szCs w:val="16"/>
        </w:rPr>
        <w:t>ABS</w:t>
      </w:r>
      <w:r w:rsidRPr="00BE65CB">
        <w:rPr>
          <w:sz w:val="16"/>
          <w:szCs w:val="16"/>
        </w:rPr>
        <w:t>, Detailed Labour Force Survey</w:t>
      </w:r>
      <w:r w:rsidRPr="00BE65CB">
        <w:rPr>
          <w:rFonts w:cs="Arial"/>
          <w:sz w:val="16"/>
          <w:szCs w:val="16"/>
        </w:rPr>
        <w:t xml:space="preserve">, </w:t>
      </w:r>
      <w:r w:rsidR="001F0D48" w:rsidRPr="0086294C">
        <w:rPr>
          <w:sz w:val="16"/>
          <w:szCs w:val="16"/>
        </w:rPr>
        <w:t xml:space="preserve">February </w:t>
      </w:r>
      <w:r w:rsidR="00840CEB" w:rsidRPr="0086294C">
        <w:rPr>
          <w:sz w:val="16"/>
          <w:szCs w:val="16"/>
        </w:rPr>
        <w:t xml:space="preserve">2024 </w:t>
      </w:r>
      <w:r w:rsidRPr="0086294C">
        <w:rPr>
          <w:sz w:val="16"/>
          <w:szCs w:val="16"/>
        </w:rPr>
        <w:t>(Table EQ08)</w:t>
      </w:r>
      <w:r w:rsidRPr="0086294C">
        <w:rPr>
          <w:rFonts w:cs="Arial"/>
          <w:sz w:val="16"/>
          <w:szCs w:val="16"/>
        </w:rPr>
        <w:t>.</w:t>
      </w:r>
      <w:r w:rsidRPr="0086294C">
        <w:rPr>
          <w:sz w:val="16"/>
          <w:szCs w:val="16"/>
        </w:rPr>
        <w:t xml:space="preserve"> Data</w:t>
      </w:r>
      <w:r w:rsidRPr="00BE65CB">
        <w:rPr>
          <w:sz w:val="16"/>
          <w:szCs w:val="16"/>
        </w:rPr>
        <w:t xml:space="preserve"> trended by Jobs and Skills </w:t>
      </w:r>
      <w:r w:rsidRPr="00E010D9">
        <w:rPr>
          <w:sz w:val="16"/>
          <w:szCs w:val="16"/>
        </w:rPr>
        <w:t>Australia</w:t>
      </w:r>
      <w:r w:rsidRPr="00E010D9">
        <w:rPr>
          <w:rFonts w:cs="Arial"/>
          <w:sz w:val="16"/>
          <w:szCs w:val="16"/>
        </w:rPr>
        <w:t>.</w:t>
      </w:r>
    </w:p>
  </w:footnote>
  <w:footnote w:id="5">
    <w:p w14:paraId="600E95B5" w14:textId="20AC9738" w:rsidR="000D14B7" w:rsidRPr="00BE65CB" w:rsidRDefault="000D14B7" w:rsidP="000D14B7">
      <w:pPr>
        <w:pStyle w:val="FootnoteText"/>
        <w:jc w:val="both"/>
        <w:rPr>
          <w:rFonts w:cs="Arial"/>
          <w:sz w:val="16"/>
          <w:szCs w:val="16"/>
        </w:rPr>
      </w:pPr>
      <w:r w:rsidRPr="00B85EF8">
        <w:rPr>
          <w:rStyle w:val="FootnoteReference"/>
          <w:sz w:val="16"/>
          <w:szCs w:val="16"/>
        </w:rPr>
        <w:footnoteRef/>
      </w:r>
      <w:r w:rsidRPr="00B85EF8">
        <w:rPr>
          <w:rStyle w:val="FootnoteReference"/>
        </w:rPr>
        <w:t xml:space="preserve"> </w:t>
      </w:r>
      <w:r w:rsidRPr="00E010D9">
        <w:rPr>
          <w:rFonts w:cs="Arial"/>
          <w:sz w:val="16"/>
          <w:szCs w:val="16"/>
        </w:rPr>
        <w:t>“</w:t>
      </w:r>
      <w:r w:rsidRPr="00BE65CB">
        <w:rPr>
          <w:rFonts w:cs="Arial"/>
          <w:sz w:val="16"/>
          <w:szCs w:val="16"/>
        </w:rPr>
        <w:t xml:space="preserve">pp” </w:t>
      </w:r>
      <w:r w:rsidR="00184C90" w:rsidRPr="00BE65CB">
        <w:rPr>
          <w:rFonts w:cs="Arial"/>
          <w:sz w:val="16"/>
          <w:szCs w:val="16"/>
        </w:rPr>
        <w:t>means</w:t>
      </w:r>
      <w:r w:rsidRPr="00BE65CB">
        <w:rPr>
          <w:rFonts w:cs="Arial"/>
          <w:sz w:val="16"/>
          <w:szCs w:val="16"/>
        </w:rPr>
        <w:t xml:space="preserve"> percentage points.</w:t>
      </w:r>
    </w:p>
  </w:footnote>
  <w:footnote w:id="6">
    <w:p w14:paraId="2A9237D1" w14:textId="44922723" w:rsidR="000D14B7" w:rsidRPr="00BE65CB" w:rsidRDefault="000D14B7" w:rsidP="000D14B7">
      <w:pPr>
        <w:pStyle w:val="FootnoteText"/>
        <w:rPr>
          <w:sz w:val="16"/>
          <w:szCs w:val="16"/>
        </w:rPr>
      </w:pPr>
      <w:r w:rsidRPr="00B85EF8">
        <w:rPr>
          <w:rStyle w:val="FootnoteReference"/>
          <w:sz w:val="16"/>
          <w:szCs w:val="16"/>
        </w:rPr>
        <w:footnoteRef/>
      </w:r>
      <w:r w:rsidR="00F623EB" w:rsidRPr="00B85EF8">
        <w:rPr>
          <w:rStyle w:val="FootnoteReference"/>
        </w:rPr>
        <w:t xml:space="preserve"> </w:t>
      </w:r>
      <w:r w:rsidRPr="00BE65CB">
        <w:rPr>
          <w:rFonts w:cs="Arial"/>
          <w:sz w:val="16"/>
          <w:szCs w:val="16"/>
        </w:rPr>
        <w:t xml:space="preserve">Selected occupation groups include ANZSCO Major Groups 1 to 3 </w:t>
      </w:r>
      <w:r w:rsidR="00664757">
        <w:rPr>
          <w:rFonts w:cs="Arial"/>
          <w:sz w:val="16"/>
          <w:szCs w:val="16"/>
        </w:rPr>
        <w:t>(</w:t>
      </w:r>
      <w:r w:rsidRPr="00BE65CB">
        <w:rPr>
          <w:rFonts w:cs="Arial"/>
          <w:sz w:val="16"/>
          <w:szCs w:val="16"/>
        </w:rPr>
        <w:t>i.e. Managers, Professionals, Technicians and Trades Workers</w:t>
      </w:r>
      <w:r w:rsidR="00664757">
        <w:rPr>
          <w:rFonts w:cs="Arial"/>
          <w:sz w:val="16"/>
          <w:szCs w:val="16"/>
        </w:rPr>
        <w:t>)</w:t>
      </w:r>
      <w:r w:rsidRPr="00BE65CB">
        <w:rPr>
          <w:rFonts w:cs="Arial"/>
          <w:sz w:val="16"/>
          <w:szCs w:val="16"/>
        </w:rPr>
        <w:t>.</w:t>
      </w:r>
    </w:p>
  </w:footnote>
  <w:footnote w:id="7">
    <w:p w14:paraId="4911DF4F" w14:textId="0B1F2E5F" w:rsidR="00784422" w:rsidRPr="00BE65CB" w:rsidRDefault="00784422" w:rsidP="00045F7A">
      <w:pPr>
        <w:pStyle w:val="FootnoteText"/>
        <w:rPr>
          <w:sz w:val="16"/>
          <w:szCs w:val="16"/>
        </w:rPr>
      </w:pPr>
      <w:r w:rsidRPr="00B85EF8">
        <w:rPr>
          <w:rStyle w:val="FootnoteReference"/>
          <w:sz w:val="16"/>
          <w:szCs w:val="16"/>
        </w:rPr>
        <w:footnoteRef/>
      </w:r>
      <w:r w:rsidRPr="00E010D9">
        <w:rPr>
          <w:sz w:val="16"/>
          <w:szCs w:val="16"/>
        </w:rPr>
        <w:t xml:space="preserve"> </w:t>
      </w:r>
      <w:r w:rsidR="00045F7A" w:rsidRPr="00BE65CB">
        <w:rPr>
          <w:sz w:val="16"/>
          <w:szCs w:val="16"/>
        </w:rPr>
        <w:t>Main English-speaking Countries (MESC) are the United Kingdom, the Republic of Ireland, South Africa, Canada, the United States of America and New Zealand.</w:t>
      </w:r>
    </w:p>
  </w:footnote>
  <w:footnote w:id="8">
    <w:p w14:paraId="3A80FB04" w14:textId="1CEE9B5A" w:rsidR="00902FB8" w:rsidRPr="00022F34" w:rsidRDefault="00902FB8">
      <w:pPr>
        <w:pStyle w:val="FootnoteText"/>
        <w:rPr>
          <w:sz w:val="16"/>
          <w:szCs w:val="16"/>
        </w:rPr>
      </w:pPr>
      <w:r w:rsidRPr="00B85EF8">
        <w:rPr>
          <w:rStyle w:val="FootnoteReference"/>
          <w:sz w:val="16"/>
          <w:szCs w:val="16"/>
        </w:rPr>
        <w:footnoteRef/>
      </w:r>
      <w:r w:rsidRPr="00B85EF8">
        <w:rPr>
          <w:rStyle w:val="FootnoteReference"/>
        </w:rPr>
        <w:t xml:space="preserve"> </w:t>
      </w:r>
      <w:r w:rsidRPr="00326ABC">
        <w:rPr>
          <w:sz w:val="16"/>
          <w:szCs w:val="16"/>
        </w:rPr>
        <w:t>In Figure 6, ‘Australia (includes External Territories)’ is within ‘Oceania and Antarctica’.</w:t>
      </w:r>
    </w:p>
  </w:footnote>
  <w:footnote w:id="9">
    <w:p w14:paraId="639BABFF" w14:textId="53E17E00" w:rsidR="002E6BF7" w:rsidRPr="00E010D9" w:rsidRDefault="002E6BF7" w:rsidP="002E6BF7">
      <w:pPr>
        <w:pStyle w:val="FootnoteText"/>
        <w:rPr>
          <w:sz w:val="16"/>
          <w:szCs w:val="16"/>
        </w:rPr>
      </w:pPr>
      <w:r w:rsidRPr="00B85EF8">
        <w:rPr>
          <w:rStyle w:val="FootnoteReference"/>
          <w:sz w:val="16"/>
          <w:szCs w:val="16"/>
        </w:rPr>
        <w:footnoteRef/>
      </w:r>
      <w:r w:rsidRPr="00E010D9">
        <w:rPr>
          <w:sz w:val="16"/>
          <w:szCs w:val="16"/>
        </w:rPr>
        <w:t xml:space="preserve"> </w:t>
      </w:r>
      <w:r w:rsidR="002E16A0" w:rsidRPr="002E16A0">
        <w:rPr>
          <w:sz w:val="16"/>
          <w:szCs w:val="16"/>
        </w:rPr>
        <w:t xml:space="preserve">Source: ABS, Detailed Labour Force Survey (Table EQ08), February 2024. Data trended by Jobs and Skills Australia. Occupational Groups are based on the ABS Australian and New Zealand Standard Classification of Occupations (ANZSCO). </w:t>
      </w:r>
    </w:p>
  </w:footnote>
  <w:footnote w:id="10">
    <w:p w14:paraId="0D052ECD" w14:textId="3264FB62" w:rsidR="002E6BF7" w:rsidRPr="00E010D9" w:rsidRDefault="002E6BF7" w:rsidP="002E6BF7">
      <w:pPr>
        <w:pStyle w:val="FootnoteText"/>
        <w:rPr>
          <w:sz w:val="16"/>
          <w:szCs w:val="16"/>
        </w:rPr>
      </w:pPr>
      <w:r w:rsidRPr="00B85EF8">
        <w:rPr>
          <w:rStyle w:val="FootnoteReference"/>
          <w:sz w:val="16"/>
          <w:szCs w:val="16"/>
        </w:rPr>
        <w:footnoteRef/>
      </w:r>
      <w:r w:rsidRPr="00B85EF8">
        <w:rPr>
          <w:rStyle w:val="FootnoteReference"/>
        </w:rPr>
        <w:t xml:space="preserve"> </w:t>
      </w:r>
      <w:r w:rsidR="008B42B7">
        <w:rPr>
          <w:sz w:val="16"/>
          <w:szCs w:val="16"/>
        </w:rPr>
        <w:t>ibid</w:t>
      </w:r>
    </w:p>
  </w:footnote>
  <w:footnote w:id="11">
    <w:p w14:paraId="53F1A95D" w14:textId="0CABBB57" w:rsidR="00105334" w:rsidRPr="00326ABC" w:rsidRDefault="00105334" w:rsidP="00105334">
      <w:pPr>
        <w:pStyle w:val="FootnoteText"/>
        <w:rPr>
          <w:sz w:val="16"/>
          <w:szCs w:val="16"/>
        </w:rPr>
      </w:pPr>
      <w:r w:rsidRPr="00B85EF8">
        <w:rPr>
          <w:rStyle w:val="FootnoteReference"/>
          <w:sz w:val="16"/>
          <w:szCs w:val="16"/>
        </w:rPr>
        <w:footnoteRef/>
      </w:r>
      <w:r w:rsidRPr="00B85EF8">
        <w:rPr>
          <w:rStyle w:val="FootnoteReference"/>
        </w:rPr>
        <w:t xml:space="preserve"> </w:t>
      </w:r>
      <w:r w:rsidRPr="00E010D9">
        <w:rPr>
          <w:rFonts w:cs="Arial"/>
          <w:sz w:val="16"/>
          <w:szCs w:val="16"/>
        </w:rPr>
        <w:t xml:space="preserve">See </w:t>
      </w:r>
      <w:hyperlink r:id="rId1" w:history="1">
        <w:r w:rsidRPr="00E010D9">
          <w:rPr>
            <w:rStyle w:val="Hyperlink"/>
            <w:sz w:val="16"/>
            <w:szCs w:val="16"/>
          </w:rPr>
          <w:t>Internet Vacancy Index (IVI) | Jobs and Skills Australia</w:t>
        </w:r>
      </w:hyperlink>
      <w:r w:rsidRPr="00E010D9">
        <w:rPr>
          <w:rStyle w:val="Hyperlink"/>
          <w:color w:val="485CD6"/>
          <w:sz w:val="16"/>
          <w:szCs w:val="16"/>
        </w:rPr>
        <w:t xml:space="preserve"> </w:t>
      </w:r>
      <w:r w:rsidRPr="00E010D9">
        <w:rPr>
          <w:rFonts w:cs="Arial"/>
          <w:sz w:val="16"/>
          <w:szCs w:val="16"/>
        </w:rPr>
        <w:t>(</w:t>
      </w:r>
      <w:r w:rsidR="002928E3">
        <w:rPr>
          <w:rFonts w:cs="Arial"/>
          <w:sz w:val="16"/>
          <w:szCs w:val="16"/>
        </w:rPr>
        <w:t>March</w:t>
      </w:r>
      <w:r w:rsidR="001F0D48" w:rsidRPr="001F0D48">
        <w:rPr>
          <w:rFonts w:cs="Arial"/>
          <w:sz w:val="16"/>
          <w:szCs w:val="16"/>
        </w:rPr>
        <w:t xml:space="preserve"> </w:t>
      </w:r>
      <w:r w:rsidR="0030174C">
        <w:rPr>
          <w:rFonts w:cs="Arial"/>
          <w:sz w:val="16"/>
          <w:szCs w:val="16"/>
        </w:rPr>
        <w:t>2024</w:t>
      </w:r>
      <w:r w:rsidRPr="00E010D9">
        <w:rPr>
          <w:rFonts w:cs="Arial"/>
          <w:sz w:val="16"/>
          <w:szCs w:val="16"/>
        </w:rPr>
        <w:t>). The IVI is based on a count of online job advertisements newly lodged on SEEK, CareerOne and Workforce Australia during the month. Duplicate advertisements are removed before IVI vacancies are coded by Jobs and Skills Australia to occupations based on ANZSCO. The data are seasonally adjusted and trended, then indexed (January 2006=100).</w:t>
      </w:r>
    </w:p>
  </w:footnote>
  <w:footnote w:id="12">
    <w:p w14:paraId="3FDB601B" w14:textId="324BE271" w:rsidR="00660C51" w:rsidRPr="00915659" w:rsidRDefault="00660C51">
      <w:pPr>
        <w:pStyle w:val="FootnoteText"/>
        <w:rPr>
          <w:sz w:val="16"/>
          <w:szCs w:val="16"/>
        </w:rPr>
      </w:pPr>
      <w:r w:rsidRPr="00915659">
        <w:rPr>
          <w:rStyle w:val="FootnoteReference"/>
          <w:sz w:val="16"/>
          <w:szCs w:val="16"/>
        </w:rPr>
        <w:footnoteRef/>
      </w:r>
      <w:r w:rsidRPr="00915659">
        <w:rPr>
          <w:sz w:val="16"/>
          <w:szCs w:val="16"/>
        </w:rPr>
        <w:t xml:space="preserve"> </w:t>
      </w:r>
      <w:hyperlink r:id="rId2" w:anchor=":~:text=Insights%20from%20the%202023%20Population%20Statement&amp;text=Annual%20population%20growth%20is%20forecast,per%20cent%20by%202033%E2%80%9334." w:history="1">
        <w:r w:rsidR="00915659" w:rsidRPr="00915659">
          <w:rPr>
            <w:rStyle w:val="Hyperlink"/>
            <w:sz w:val="16"/>
            <w:szCs w:val="16"/>
          </w:rPr>
          <w:t>2023 Population Statement | Centre for Population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88C08CA"/>
    <w:multiLevelType w:val="hybridMultilevel"/>
    <w:tmpl w:val="DAD26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F7AA4"/>
    <w:multiLevelType w:val="hybridMultilevel"/>
    <w:tmpl w:val="8CDC6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585F53"/>
    <w:multiLevelType w:val="multilevel"/>
    <w:tmpl w:val="3DD44284"/>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0"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A725B37"/>
    <w:multiLevelType w:val="hybridMultilevel"/>
    <w:tmpl w:val="29121C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57880638">
    <w:abstractNumId w:val="16"/>
  </w:num>
  <w:num w:numId="2" w16cid:durableId="1122071026">
    <w:abstractNumId w:val="12"/>
  </w:num>
  <w:num w:numId="3" w16cid:durableId="1348172532">
    <w:abstractNumId w:val="7"/>
  </w:num>
  <w:num w:numId="4" w16cid:durableId="1654138035">
    <w:abstractNumId w:val="14"/>
  </w:num>
  <w:num w:numId="5" w16cid:durableId="1093160522">
    <w:abstractNumId w:val="15"/>
  </w:num>
  <w:num w:numId="6" w16cid:durableId="791823501">
    <w:abstractNumId w:val="11"/>
  </w:num>
  <w:num w:numId="7" w16cid:durableId="598754797">
    <w:abstractNumId w:val="9"/>
  </w:num>
  <w:num w:numId="8" w16cid:durableId="1979796221">
    <w:abstractNumId w:val="4"/>
  </w:num>
  <w:num w:numId="9" w16cid:durableId="1648700279">
    <w:abstractNumId w:val="5"/>
  </w:num>
  <w:num w:numId="10" w16cid:durableId="73623894">
    <w:abstractNumId w:val="3"/>
  </w:num>
  <w:num w:numId="11" w16cid:durableId="40255308">
    <w:abstractNumId w:val="2"/>
  </w:num>
  <w:num w:numId="12" w16cid:durableId="512299649">
    <w:abstractNumId w:val="1"/>
  </w:num>
  <w:num w:numId="13" w16cid:durableId="379673637">
    <w:abstractNumId w:val="0"/>
  </w:num>
  <w:num w:numId="14" w16cid:durableId="1629774143">
    <w:abstractNumId w:val="10"/>
  </w:num>
  <w:num w:numId="15" w16cid:durableId="1558009294">
    <w:abstractNumId w:val="6"/>
  </w:num>
  <w:num w:numId="16" w16cid:durableId="336035582">
    <w:abstractNumId w:val="8"/>
  </w:num>
  <w:num w:numId="17" w16cid:durableId="135077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2C6B"/>
    <w:rsid w:val="00007FA3"/>
    <w:rsid w:val="000130E4"/>
    <w:rsid w:val="0001559A"/>
    <w:rsid w:val="00022F34"/>
    <w:rsid w:val="00025236"/>
    <w:rsid w:val="0003689D"/>
    <w:rsid w:val="00037495"/>
    <w:rsid w:val="00037EB9"/>
    <w:rsid w:val="000404CE"/>
    <w:rsid w:val="00041230"/>
    <w:rsid w:val="00042403"/>
    <w:rsid w:val="00042611"/>
    <w:rsid w:val="00045890"/>
    <w:rsid w:val="00045F7A"/>
    <w:rsid w:val="00046C91"/>
    <w:rsid w:val="00051031"/>
    <w:rsid w:val="0006027B"/>
    <w:rsid w:val="000666D7"/>
    <w:rsid w:val="00066850"/>
    <w:rsid w:val="0007090C"/>
    <w:rsid w:val="00084D66"/>
    <w:rsid w:val="00086201"/>
    <w:rsid w:val="00090003"/>
    <w:rsid w:val="00094445"/>
    <w:rsid w:val="00095E11"/>
    <w:rsid w:val="000A145A"/>
    <w:rsid w:val="000A7F1E"/>
    <w:rsid w:val="000B0341"/>
    <w:rsid w:val="000B6324"/>
    <w:rsid w:val="000B681A"/>
    <w:rsid w:val="000B78D2"/>
    <w:rsid w:val="000C5DF9"/>
    <w:rsid w:val="000C65EA"/>
    <w:rsid w:val="000D14B7"/>
    <w:rsid w:val="000D257D"/>
    <w:rsid w:val="000D6188"/>
    <w:rsid w:val="000D6745"/>
    <w:rsid w:val="000D7704"/>
    <w:rsid w:val="000E031E"/>
    <w:rsid w:val="000E3446"/>
    <w:rsid w:val="000E38BA"/>
    <w:rsid w:val="000E7042"/>
    <w:rsid w:val="000E7CFE"/>
    <w:rsid w:val="000F05A6"/>
    <w:rsid w:val="000F2413"/>
    <w:rsid w:val="00105334"/>
    <w:rsid w:val="001114FE"/>
    <w:rsid w:val="00117435"/>
    <w:rsid w:val="001178AC"/>
    <w:rsid w:val="0012183B"/>
    <w:rsid w:val="00125C36"/>
    <w:rsid w:val="00127829"/>
    <w:rsid w:val="00127C77"/>
    <w:rsid w:val="00132ECB"/>
    <w:rsid w:val="001425C4"/>
    <w:rsid w:val="00143208"/>
    <w:rsid w:val="0014606D"/>
    <w:rsid w:val="0014761D"/>
    <w:rsid w:val="00154670"/>
    <w:rsid w:val="00160E2C"/>
    <w:rsid w:val="00161648"/>
    <w:rsid w:val="00184C90"/>
    <w:rsid w:val="001920C1"/>
    <w:rsid w:val="0019239D"/>
    <w:rsid w:val="001A2B0D"/>
    <w:rsid w:val="001A311D"/>
    <w:rsid w:val="001A72C6"/>
    <w:rsid w:val="001B0828"/>
    <w:rsid w:val="001B3730"/>
    <w:rsid w:val="001B39FD"/>
    <w:rsid w:val="001C0CB2"/>
    <w:rsid w:val="001C0D18"/>
    <w:rsid w:val="001C15B2"/>
    <w:rsid w:val="001C2768"/>
    <w:rsid w:val="001C6F82"/>
    <w:rsid w:val="001D3F13"/>
    <w:rsid w:val="001E4423"/>
    <w:rsid w:val="001E5558"/>
    <w:rsid w:val="001F0D48"/>
    <w:rsid w:val="001F1D15"/>
    <w:rsid w:val="001F37E7"/>
    <w:rsid w:val="001F4DC9"/>
    <w:rsid w:val="001F59D3"/>
    <w:rsid w:val="001F7999"/>
    <w:rsid w:val="00206249"/>
    <w:rsid w:val="00207C90"/>
    <w:rsid w:val="00237D42"/>
    <w:rsid w:val="00241EB9"/>
    <w:rsid w:val="0024392D"/>
    <w:rsid w:val="00244319"/>
    <w:rsid w:val="002455ED"/>
    <w:rsid w:val="00256470"/>
    <w:rsid w:val="002618DF"/>
    <w:rsid w:val="00261D00"/>
    <w:rsid w:val="002633D9"/>
    <w:rsid w:val="002675F9"/>
    <w:rsid w:val="00270A67"/>
    <w:rsid w:val="00271A29"/>
    <w:rsid w:val="002725E6"/>
    <w:rsid w:val="00280AC6"/>
    <w:rsid w:val="00281073"/>
    <w:rsid w:val="002822F3"/>
    <w:rsid w:val="002824C3"/>
    <w:rsid w:val="00285278"/>
    <w:rsid w:val="00286E10"/>
    <w:rsid w:val="002928E3"/>
    <w:rsid w:val="00294839"/>
    <w:rsid w:val="002950ED"/>
    <w:rsid w:val="002A2132"/>
    <w:rsid w:val="002A4B17"/>
    <w:rsid w:val="002A4BE2"/>
    <w:rsid w:val="002A4EBA"/>
    <w:rsid w:val="002A7B2D"/>
    <w:rsid w:val="002C30E8"/>
    <w:rsid w:val="002D00CA"/>
    <w:rsid w:val="002E16A0"/>
    <w:rsid w:val="002E1B1C"/>
    <w:rsid w:val="002E6BF7"/>
    <w:rsid w:val="002E6E2F"/>
    <w:rsid w:val="002F3EB5"/>
    <w:rsid w:val="002F5690"/>
    <w:rsid w:val="0030174C"/>
    <w:rsid w:val="00301A8D"/>
    <w:rsid w:val="003060CC"/>
    <w:rsid w:val="00310CA1"/>
    <w:rsid w:val="00313B29"/>
    <w:rsid w:val="00314E27"/>
    <w:rsid w:val="003171EE"/>
    <w:rsid w:val="00320FDC"/>
    <w:rsid w:val="00325D50"/>
    <w:rsid w:val="00326ABC"/>
    <w:rsid w:val="00327AB4"/>
    <w:rsid w:val="003457C4"/>
    <w:rsid w:val="00345A54"/>
    <w:rsid w:val="0035131B"/>
    <w:rsid w:val="00351CF8"/>
    <w:rsid w:val="00352B94"/>
    <w:rsid w:val="00354671"/>
    <w:rsid w:val="00361596"/>
    <w:rsid w:val="00366923"/>
    <w:rsid w:val="0036730B"/>
    <w:rsid w:val="003708C1"/>
    <w:rsid w:val="003757AE"/>
    <w:rsid w:val="00377A3E"/>
    <w:rsid w:val="0039115D"/>
    <w:rsid w:val="00393DC8"/>
    <w:rsid w:val="003A2337"/>
    <w:rsid w:val="003A267B"/>
    <w:rsid w:val="003B121F"/>
    <w:rsid w:val="003B29C7"/>
    <w:rsid w:val="003B474F"/>
    <w:rsid w:val="003D440B"/>
    <w:rsid w:val="003D4648"/>
    <w:rsid w:val="003E0471"/>
    <w:rsid w:val="003E3395"/>
    <w:rsid w:val="00402E52"/>
    <w:rsid w:val="004056DA"/>
    <w:rsid w:val="004100B7"/>
    <w:rsid w:val="00411F2F"/>
    <w:rsid w:val="004147A3"/>
    <w:rsid w:val="00414A4A"/>
    <w:rsid w:val="00415AB1"/>
    <w:rsid w:val="004175EF"/>
    <w:rsid w:val="00422AD4"/>
    <w:rsid w:val="00423199"/>
    <w:rsid w:val="0042388B"/>
    <w:rsid w:val="0042567C"/>
    <w:rsid w:val="00425B2A"/>
    <w:rsid w:val="00431BFC"/>
    <w:rsid w:val="00434F57"/>
    <w:rsid w:val="00435967"/>
    <w:rsid w:val="004374E0"/>
    <w:rsid w:val="00440837"/>
    <w:rsid w:val="00440C82"/>
    <w:rsid w:val="00442A25"/>
    <w:rsid w:val="004440ED"/>
    <w:rsid w:val="00444D9E"/>
    <w:rsid w:val="004642BE"/>
    <w:rsid w:val="00465736"/>
    <w:rsid w:val="004676AF"/>
    <w:rsid w:val="00467D47"/>
    <w:rsid w:val="00470A28"/>
    <w:rsid w:val="004773D3"/>
    <w:rsid w:val="00477DF8"/>
    <w:rsid w:val="00490F6C"/>
    <w:rsid w:val="004B338D"/>
    <w:rsid w:val="004B5527"/>
    <w:rsid w:val="004C0FFC"/>
    <w:rsid w:val="004C4E29"/>
    <w:rsid w:val="004C5CCE"/>
    <w:rsid w:val="004C705B"/>
    <w:rsid w:val="004C70FB"/>
    <w:rsid w:val="004D00C4"/>
    <w:rsid w:val="004D1F45"/>
    <w:rsid w:val="004D22A5"/>
    <w:rsid w:val="004D2BC4"/>
    <w:rsid w:val="004D3224"/>
    <w:rsid w:val="004D3A08"/>
    <w:rsid w:val="004F3D1B"/>
    <w:rsid w:val="004F3D9B"/>
    <w:rsid w:val="005011E3"/>
    <w:rsid w:val="0050173D"/>
    <w:rsid w:val="005109B7"/>
    <w:rsid w:val="00510DD3"/>
    <w:rsid w:val="00513C8F"/>
    <w:rsid w:val="00515B40"/>
    <w:rsid w:val="00516607"/>
    <w:rsid w:val="00521965"/>
    <w:rsid w:val="00525212"/>
    <w:rsid w:val="005309B8"/>
    <w:rsid w:val="005343FB"/>
    <w:rsid w:val="005359C7"/>
    <w:rsid w:val="00537542"/>
    <w:rsid w:val="00543D06"/>
    <w:rsid w:val="005452B5"/>
    <w:rsid w:val="0054590F"/>
    <w:rsid w:val="00550B5D"/>
    <w:rsid w:val="005540C5"/>
    <w:rsid w:val="00561A5D"/>
    <w:rsid w:val="0056697D"/>
    <w:rsid w:val="00570ABE"/>
    <w:rsid w:val="0057143D"/>
    <w:rsid w:val="00572133"/>
    <w:rsid w:val="00576704"/>
    <w:rsid w:val="0058026A"/>
    <w:rsid w:val="00581331"/>
    <w:rsid w:val="00584D17"/>
    <w:rsid w:val="00585DCA"/>
    <w:rsid w:val="00594084"/>
    <w:rsid w:val="00597EF7"/>
    <w:rsid w:val="005A2862"/>
    <w:rsid w:val="005B2318"/>
    <w:rsid w:val="005B2DEE"/>
    <w:rsid w:val="005B60AC"/>
    <w:rsid w:val="005C5EC3"/>
    <w:rsid w:val="005C6471"/>
    <w:rsid w:val="005D06F7"/>
    <w:rsid w:val="005D467D"/>
    <w:rsid w:val="005E3E1F"/>
    <w:rsid w:val="005E7850"/>
    <w:rsid w:val="005F1E8D"/>
    <w:rsid w:val="005F2B44"/>
    <w:rsid w:val="006029D6"/>
    <w:rsid w:val="00602A70"/>
    <w:rsid w:val="0060428A"/>
    <w:rsid w:val="00605B59"/>
    <w:rsid w:val="00605E30"/>
    <w:rsid w:val="006066C4"/>
    <w:rsid w:val="00611D3E"/>
    <w:rsid w:val="00623F61"/>
    <w:rsid w:val="0062756C"/>
    <w:rsid w:val="00631C53"/>
    <w:rsid w:val="00632E84"/>
    <w:rsid w:val="00633C42"/>
    <w:rsid w:val="00635701"/>
    <w:rsid w:val="00637E54"/>
    <w:rsid w:val="0064002D"/>
    <w:rsid w:val="00641C25"/>
    <w:rsid w:val="00642876"/>
    <w:rsid w:val="00643172"/>
    <w:rsid w:val="006445C3"/>
    <w:rsid w:val="00644A04"/>
    <w:rsid w:val="0065299E"/>
    <w:rsid w:val="00654818"/>
    <w:rsid w:val="0065511A"/>
    <w:rsid w:val="006555CD"/>
    <w:rsid w:val="00657E83"/>
    <w:rsid w:val="006606E0"/>
    <w:rsid w:val="00660C51"/>
    <w:rsid w:val="00664757"/>
    <w:rsid w:val="006670A4"/>
    <w:rsid w:val="00667906"/>
    <w:rsid w:val="00667D99"/>
    <w:rsid w:val="006737A7"/>
    <w:rsid w:val="00673DA1"/>
    <w:rsid w:val="00677034"/>
    <w:rsid w:val="006809FA"/>
    <w:rsid w:val="00680BF1"/>
    <w:rsid w:val="00687497"/>
    <w:rsid w:val="00690DEF"/>
    <w:rsid w:val="00693E00"/>
    <w:rsid w:val="006A15CF"/>
    <w:rsid w:val="006A4F70"/>
    <w:rsid w:val="006B1D6B"/>
    <w:rsid w:val="006B62B7"/>
    <w:rsid w:val="006D3281"/>
    <w:rsid w:val="006D4A8F"/>
    <w:rsid w:val="006E1136"/>
    <w:rsid w:val="006F0C23"/>
    <w:rsid w:val="006F4802"/>
    <w:rsid w:val="006F7520"/>
    <w:rsid w:val="00700AE4"/>
    <w:rsid w:val="00700E18"/>
    <w:rsid w:val="00703260"/>
    <w:rsid w:val="00705A26"/>
    <w:rsid w:val="007138F6"/>
    <w:rsid w:val="007177A7"/>
    <w:rsid w:val="0072045B"/>
    <w:rsid w:val="0072616C"/>
    <w:rsid w:val="0073513A"/>
    <w:rsid w:val="007371B3"/>
    <w:rsid w:val="00751E27"/>
    <w:rsid w:val="00752098"/>
    <w:rsid w:val="00754AB9"/>
    <w:rsid w:val="00755618"/>
    <w:rsid w:val="00761423"/>
    <w:rsid w:val="00767C3A"/>
    <w:rsid w:val="00772503"/>
    <w:rsid w:val="00773CD8"/>
    <w:rsid w:val="007760EC"/>
    <w:rsid w:val="0078112A"/>
    <w:rsid w:val="00782490"/>
    <w:rsid w:val="00784422"/>
    <w:rsid w:val="0078456E"/>
    <w:rsid w:val="007A3F61"/>
    <w:rsid w:val="007A4FB0"/>
    <w:rsid w:val="007A706A"/>
    <w:rsid w:val="007B100A"/>
    <w:rsid w:val="007B1D10"/>
    <w:rsid w:val="007B2AD6"/>
    <w:rsid w:val="007B2D98"/>
    <w:rsid w:val="007B3938"/>
    <w:rsid w:val="007B6991"/>
    <w:rsid w:val="007C383D"/>
    <w:rsid w:val="007D799D"/>
    <w:rsid w:val="007E4287"/>
    <w:rsid w:val="007F7DBD"/>
    <w:rsid w:val="00800C1F"/>
    <w:rsid w:val="00802F0D"/>
    <w:rsid w:val="00807453"/>
    <w:rsid w:val="0081136A"/>
    <w:rsid w:val="00811B37"/>
    <w:rsid w:val="0081214A"/>
    <w:rsid w:val="00812159"/>
    <w:rsid w:val="008354B8"/>
    <w:rsid w:val="00836311"/>
    <w:rsid w:val="00840CEB"/>
    <w:rsid w:val="00840DAA"/>
    <w:rsid w:val="00841C4F"/>
    <w:rsid w:val="0084726D"/>
    <w:rsid w:val="00852640"/>
    <w:rsid w:val="00854F7C"/>
    <w:rsid w:val="00856EAC"/>
    <w:rsid w:val="00857878"/>
    <w:rsid w:val="00857E1B"/>
    <w:rsid w:val="0086294C"/>
    <w:rsid w:val="008634C2"/>
    <w:rsid w:val="00865E4F"/>
    <w:rsid w:val="00866663"/>
    <w:rsid w:val="00873BE7"/>
    <w:rsid w:val="00876B04"/>
    <w:rsid w:val="0087706C"/>
    <w:rsid w:val="00883752"/>
    <w:rsid w:val="00890A78"/>
    <w:rsid w:val="0089631D"/>
    <w:rsid w:val="008A6964"/>
    <w:rsid w:val="008B13EA"/>
    <w:rsid w:val="008B3E79"/>
    <w:rsid w:val="008B42B7"/>
    <w:rsid w:val="008C21E1"/>
    <w:rsid w:val="008C30BC"/>
    <w:rsid w:val="008C69B0"/>
    <w:rsid w:val="008D76F6"/>
    <w:rsid w:val="008F21E1"/>
    <w:rsid w:val="008F323E"/>
    <w:rsid w:val="008F4703"/>
    <w:rsid w:val="008F79DC"/>
    <w:rsid w:val="00901BD9"/>
    <w:rsid w:val="00902FB8"/>
    <w:rsid w:val="00903925"/>
    <w:rsid w:val="009062AE"/>
    <w:rsid w:val="00912057"/>
    <w:rsid w:val="00915659"/>
    <w:rsid w:val="00933F37"/>
    <w:rsid w:val="009360D3"/>
    <w:rsid w:val="009411F9"/>
    <w:rsid w:val="00942118"/>
    <w:rsid w:val="00950D40"/>
    <w:rsid w:val="00951700"/>
    <w:rsid w:val="00952DCA"/>
    <w:rsid w:val="0095405D"/>
    <w:rsid w:val="00960E8F"/>
    <w:rsid w:val="00963F49"/>
    <w:rsid w:val="00975804"/>
    <w:rsid w:val="00977D59"/>
    <w:rsid w:val="0099492E"/>
    <w:rsid w:val="009A0E76"/>
    <w:rsid w:val="009A5BC4"/>
    <w:rsid w:val="009A64F1"/>
    <w:rsid w:val="009C3CB0"/>
    <w:rsid w:val="009C58EA"/>
    <w:rsid w:val="009D25EA"/>
    <w:rsid w:val="009D5285"/>
    <w:rsid w:val="009D5A36"/>
    <w:rsid w:val="009D6903"/>
    <w:rsid w:val="009E0BE5"/>
    <w:rsid w:val="009E2941"/>
    <w:rsid w:val="009F1E52"/>
    <w:rsid w:val="009F7A5A"/>
    <w:rsid w:val="00A13691"/>
    <w:rsid w:val="00A27389"/>
    <w:rsid w:val="00A3043E"/>
    <w:rsid w:val="00A32F04"/>
    <w:rsid w:val="00A379EE"/>
    <w:rsid w:val="00A43021"/>
    <w:rsid w:val="00A4461A"/>
    <w:rsid w:val="00A45035"/>
    <w:rsid w:val="00A459DE"/>
    <w:rsid w:val="00A5508E"/>
    <w:rsid w:val="00A55F30"/>
    <w:rsid w:val="00A62216"/>
    <w:rsid w:val="00A70A4D"/>
    <w:rsid w:val="00A72B0A"/>
    <w:rsid w:val="00A72E04"/>
    <w:rsid w:val="00A744A9"/>
    <w:rsid w:val="00A7518A"/>
    <w:rsid w:val="00A75A44"/>
    <w:rsid w:val="00A80E09"/>
    <w:rsid w:val="00A821D4"/>
    <w:rsid w:val="00A9012A"/>
    <w:rsid w:val="00AA36EC"/>
    <w:rsid w:val="00AA5E20"/>
    <w:rsid w:val="00AB26B9"/>
    <w:rsid w:val="00AB423E"/>
    <w:rsid w:val="00AC08D2"/>
    <w:rsid w:val="00AC1BEE"/>
    <w:rsid w:val="00AC4BDA"/>
    <w:rsid w:val="00AC4DB2"/>
    <w:rsid w:val="00AC557F"/>
    <w:rsid w:val="00AD0C81"/>
    <w:rsid w:val="00AD50CC"/>
    <w:rsid w:val="00AE1EED"/>
    <w:rsid w:val="00AE7C29"/>
    <w:rsid w:val="00AF4600"/>
    <w:rsid w:val="00AF583D"/>
    <w:rsid w:val="00B02838"/>
    <w:rsid w:val="00B028A4"/>
    <w:rsid w:val="00B04E3B"/>
    <w:rsid w:val="00B06343"/>
    <w:rsid w:val="00B07B7B"/>
    <w:rsid w:val="00B10974"/>
    <w:rsid w:val="00B12498"/>
    <w:rsid w:val="00B15807"/>
    <w:rsid w:val="00B17DED"/>
    <w:rsid w:val="00B20839"/>
    <w:rsid w:val="00B259EE"/>
    <w:rsid w:val="00B25CDF"/>
    <w:rsid w:val="00B275AC"/>
    <w:rsid w:val="00B27734"/>
    <w:rsid w:val="00B32DF1"/>
    <w:rsid w:val="00B37667"/>
    <w:rsid w:val="00B40702"/>
    <w:rsid w:val="00B41072"/>
    <w:rsid w:val="00B42354"/>
    <w:rsid w:val="00B42ABC"/>
    <w:rsid w:val="00B44BFF"/>
    <w:rsid w:val="00B46300"/>
    <w:rsid w:val="00B532DB"/>
    <w:rsid w:val="00B545CC"/>
    <w:rsid w:val="00B54794"/>
    <w:rsid w:val="00B54CCF"/>
    <w:rsid w:val="00B6648C"/>
    <w:rsid w:val="00B70F76"/>
    <w:rsid w:val="00B72A6C"/>
    <w:rsid w:val="00B72B74"/>
    <w:rsid w:val="00B73980"/>
    <w:rsid w:val="00B83C3E"/>
    <w:rsid w:val="00B848F5"/>
    <w:rsid w:val="00B84E8B"/>
    <w:rsid w:val="00B8516D"/>
    <w:rsid w:val="00B85EF8"/>
    <w:rsid w:val="00B8633E"/>
    <w:rsid w:val="00B9083B"/>
    <w:rsid w:val="00B92B44"/>
    <w:rsid w:val="00B94111"/>
    <w:rsid w:val="00B95FED"/>
    <w:rsid w:val="00BA1298"/>
    <w:rsid w:val="00BA18F6"/>
    <w:rsid w:val="00BB15E3"/>
    <w:rsid w:val="00BB3A39"/>
    <w:rsid w:val="00BC5BFF"/>
    <w:rsid w:val="00BC72FE"/>
    <w:rsid w:val="00BC7C3B"/>
    <w:rsid w:val="00BD027B"/>
    <w:rsid w:val="00BD6F37"/>
    <w:rsid w:val="00BE0FFD"/>
    <w:rsid w:val="00BE4587"/>
    <w:rsid w:val="00BE5400"/>
    <w:rsid w:val="00BE65CB"/>
    <w:rsid w:val="00BE68F3"/>
    <w:rsid w:val="00BF42AE"/>
    <w:rsid w:val="00C1276B"/>
    <w:rsid w:val="00C138EF"/>
    <w:rsid w:val="00C17DF5"/>
    <w:rsid w:val="00C234B4"/>
    <w:rsid w:val="00C23B35"/>
    <w:rsid w:val="00C27FFB"/>
    <w:rsid w:val="00C3103A"/>
    <w:rsid w:val="00C361CD"/>
    <w:rsid w:val="00C37850"/>
    <w:rsid w:val="00C40E20"/>
    <w:rsid w:val="00C4264F"/>
    <w:rsid w:val="00C43471"/>
    <w:rsid w:val="00C46E6F"/>
    <w:rsid w:val="00C50C59"/>
    <w:rsid w:val="00C54273"/>
    <w:rsid w:val="00C552B0"/>
    <w:rsid w:val="00C56B20"/>
    <w:rsid w:val="00C57060"/>
    <w:rsid w:val="00C64BBA"/>
    <w:rsid w:val="00C65875"/>
    <w:rsid w:val="00C75CBC"/>
    <w:rsid w:val="00C83737"/>
    <w:rsid w:val="00C84B60"/>
    <w:rsid w:val="00C85776"/>
    <w:rsid w:val="00C91F4E"/>
    <w:rsid w:val="00C95025"/>
    <w:rsid w:val="00C95DF1"/>
    <w:rsid w:val="00CC0EE3"/>
    <w:rsid w:val="00CC3957"/>
    <w:rsid w:val="00CC56C0"/>
    <w:rsid w:val="00CC6433"/>
    <w:rsid w:val="00CD0493"/>
    <w:rsid w:val="00CE1816"/>
    <w:rsid w:val="00CE1FA2"/>
    <w:rsid w:val="00CE71A4"/>
    <w:rsid w:val="00CF064E"/>
    <w:rsid w:val="00CF609A"/>
    <w:rsid w:val="00D01812"/>
    <w:rsid w:val="00D03812"/>
    <w:rsid w:val="00D05054"/>
    <w:rsid w:val="00D125F6"/>
    <w:rsid w:val="00D12811"/>
    <w:rsid w:val="00D15803"/>
    <w:rsid w:val="00D31218"/>
    <w:rsid w:val="00D4302A"/>
    <w:rsid w:val="00D56072"/>
    <w:rsid w:val="00D56958"/>
    <w:rsid w:val="00D658D0"/>
    <w:rsid w:val="00D6625D"/>
    <w:rsid w:val="00D707E6"/>
    <w:rsid w:val="00D72054"/>
    <w:rsid w:val="00D72AE3"/>
    <w:rsid w:val="00D750A1"/>
    <w:rsid w:val="00D82891"/>
    <w:rsid w:val="00D92118"/>
    <w:rsid w:val="00D92E89"/>
    <w:rsid w:val="00D93A9F"/>
    <w:rsid w:val="00D94852"/>
    <w:rsid w:val="00D96C15"/>
    <w:rsid w:val="00D973DB"/>
    <w:rsid w:val="00DA0DA4"/>
    <w:rsid w:val="00DB1D2D"/>
    <w:rsid w:val="00DB639E"/>
    <w:rsid w:val="00DC316B"/>
    <w:rsid w:val="00DC3CF8"/>
    <w:rsid w:val="00DC4A52"/>
    <w:rsid w:val="00DC646D"/>
    <w:rsid w:val="00DC6800"/>
    <w:rsid w:val="00DC69D9"/>
    <w:rsid w:val="00DC6D02"/>
    <w:rsid w:val="00DD32CF"/>
    <w:rsid w:val="00DD4A34"/>
    <w:rsid w:val="00DD5BA9"/>
    <w:rsid w:val="00DE251A"/>
    <w:rsid w:val="00DE2A2E"/>
    <w:rsid w:val="00DE4605"/>
    <w:rsid w:val="00DF2594"/>
    <w:rsid w:val="00DF29F1"/>
    <w:rsid w:val="00DF3E42"/>
    <w:rsid w:val="00DF6967"/>
    <w:rsid w:val="00E00432"/>
    <w:rsid w:val="00E010D9"/>
    <w:rsid w:val="00E06892"/>
    <w:rsid w:val="00E148F7"/>
    <w:rsid w:val="00E21900"/>
    <w:rsid w:val="00E21A5F"/>
    <w:rsid w:val="00E22F94"/>
    <w:rsid w:val="00E255B8"/>
    <w:rsid w:val="00E32512"/>
    <w:rsid w:val="00E570C0"/>
    <w:rsid w:val="00E57E44"/>
    <w:rsid w:val="00E61856"/>
    <w:rsid w:val="00E80980"/>
    <w:rsid w:val="00E82EEB"/>
    <w:rsid w:val="00E8392F"/>
    <w:rsid w:val="00E85035"/>
    <w:rsid w:val="00E85606"/>
    <w:rsid w:val="00E85E63"/>
    <w:rsid w:val="00E868CC"/>
    <w:rsid w:val="00E86C5C"/>
    <w:rsid w:val="00EA1485"/>
    <w:rsid w:val="00EA618D"/>
    <w:rsid w:val="00EB7330"/>
    <w:rsid w:val="00ED2051"/>
    <w:rsid w:val="00ED2297"/>
    <w:rsid w:val="00ED45EF"/>
    <w:rsid w:val="00ED4FBA"/>
    <w:rsid w:val="00ED538C"/>
    <w:rsid w:val="00EE0DDA"/>
    <w:rsid w:val="00EF0506"/>
    <w:rsid w:val="00EF1F6A"/>
    <w:rsid w:val="00EF2BE7"/>
    <w:rsid w:val="00EF4FE8"/>
    <w:rsid w:val="00F00258"/>
    <w:rsid w:val="00F058D2"/>
    <w:rsid w:val="00F064B4"/>
    <w:rsid w:val="00F06BC4"/>
    <w:rsid w:val="00F078C2"/>
    <w:rsid w:val="00F11DE4"/>
    <w:rsid w:val="00F154E4"/>
    <w:rsid w:val="00F225AB"/>
    <w:rsid w:val="00F2332D"/>
    <w:rsid w:val="00F2586E"/>
    <w:rsid w:val="00F32D7A"/>
    <w:rsid w:val="00F34424"/>
    <w:rsid w:val="00F40DA7"/>
    <w:rsid w:val="00F43668"/>
    <w:rsid w:val="00F4374D"/>
    <w:rsid w:val="00F509BC"/>
    <w:rsid w:val="00F53695"/>
    <w:rsid w:val="00F623EB"/>
    <w:rsid w:val="00F627D7"/>
    <w:rsid w:val="00F63A24"/>
    <w:rsid w:val="00F675B4"/>
    <w:rsid w:val="00F6784A"/>
    <w:rsid w:val="00F70C27"/>
    <w:rsid w:val="00F7463B"/>
    <w:rsid w:val="00F867F3"/>
    <w:rsid w:val="00F9580E"/>
    <w:rsid w:val="00FA5B70"/>
    <w:rsid w:val="00FA77AB"/>
    <w:rsid w:val="00FB3A75"/>
    <w:rsid w:val="00FC7A57"/>
    <w:rsid w:val="00FD1FBC"/>
    <w:rsid w:val="00FD2C6B"/>
    <w:rsid w:val="00FD742F"/>
    <w:rsid w:val="00FF0AAE"/>
    <w:rsid w:val="00FF5B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EDFB58E9-CD75-443F-A558-686A75D9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45"/>
    <w:rPr>
      <w:rFonts w:ascii="Arial" w:hAnsi="Arial"/>
      <w:color w:val="000000" w:themeColor="text1"/>
    </w:rPr>
  </w:style>
  <w:style w:type="paragraph" w:styleId="Heading1">
    <w:name w:val="heading 1"/>
    <w:basedOn w:val="Normal"/>
    <w:next w:val="Normal"/>
    <w:link w:val="Heading1Char"/>
    <w:uiPriority w:val="9"/>
    <w:qFormat/>
    <w:rsid w:val="006B62B7"/>
    <w:pPr>
      <w:keepNext/>
      <w:keepLines/>
      <w:spacing w:after="240"/>
      <w:outlineLvl w:val="0"/>
    </w:pPr>
    <w:rPr>
      <w:rFonts w:eastAsiaTheme="majorEastAsia" w:cstheme="majorBidi"/>
      <w:b/>
      <w:color w:val="441170" w:themeColor="text2"/>
      <w:sz w:val="32"/>
      <w:szCs w:val="32"/>
    </w:rPr>
  </w:style>
  <w:style w:type="paragraph" w:styleId="Heading2">
    <w:name w:val="heading 2"/>
    <w:basedOn w:val="Normal"/>
    <w:next w:val="Normal"/>
    <w:link w:val="Heading2Char"/>
    <w:uiPriority w:val="9"/>
    <w:unhideWhenUsed/>
    <w:qFormat/>
    <w:rsid w:val="00951700"/>
    <w:pPr>
      <w:keepNext/>
      <w:keepLines/>
      <w:spacing w:before="240" w:after="240" w:line="400" w:lineRule="exact"/>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127C77"/>
    <w:pPr>
      <w:keepNext/>
      <w:keepLines/>
      <w:spacing w:before="120" w:after="280"/>
      <w:outlineLvl w:val="2"/>
    </w:pPr>
    <w:rPr>
      <w:rFonts w:eastAsiaTheme="majorEastAsia" w:cstheme="majorBidi"/>
      <w:b/>
      <w:color w:val="441170" w:themeColor="text2"/>
      <w:sz w:val="24"/>
      <w:szCs w:val="24"/>
    </w:rPr>
  </w:style>
  <w:style w:type="paragraph" w:styleId="Heading4">
    <w:name w:val="heading 4"/>
    <w:basedOn w:val="Normal"/>
    <w:next w:val="Normal"/>
    <w:link w:val="Heading4Char"/>
    <w:uiPriority w:val="9"/>
    <w:unhideWhenUsed/>
    <w:qFormat/>
    <w:rsid w:val="00EA618D"/>
    <w:pPr>
      <w:outlineLvl w:val="3"/>
    </w:pPr>
    <w:rPr>
      <w:rFonts w:cs="Arial"/>
      <w:bCs/>
      <w:color w:val="005D5D" w:themeColor="accent2"/>
    </w:rPr>
  </w:style>
  <w:style w:type="paragraph" w:styleId="Heading5">
    <w:name w:val="heading 5"/>
    <w:basedOn w:val="Normal"/>
    <w:next w:val="Normal"/>
    <w:link w:val="Heading5Char"/>
    <w:uiPriority w:val="9"/>
    <w:unhideWhenUsed/>
    <w:qFormat/>
    <w:rsid w:val="0006027B"/>
    <w:pPr>
      <w:spacing w:before="120"/>
      <w:outlineLvl w:val="4"/>
    </w:pPr>
    <w:rPr>
      <w:rFonts w:cs="Arial"/>
      <w:b/>
      <w:bCs/>
    </w:rPr>
  </w:style>
  <w:style w:type="paragraph" w:styleId="Heading6">
    <w:name w:val="heading 6"/>
    <w:basedOn w:val="Normal"/>
    <w:next w:val="Normal"/>
    <w:link w:val="Heading6Char"/>
    <w:uiPriority w:val="9"/>
    <w:unhideWhenUsed/>
    <w:qFormat/>
    <w:rsid w:val="00207C90"/>
    <w:pPr>
      <w:keepNext/>
      <w:keepLines/>
      <w:spacing w:before="280" w:after="240"/>
      <w:outlineLvl w:val="5"/>
    </w:pPr>
    <w:rPr>
      <w:rFonts w:asciiTheme="majorHAnsi" w:eastAsiaTheme="majorEastAsia" w:hAnsiTheme="majorHAnsi" w:cstheme="majorBidi"/>
      <w:color w:val="341461" w:themeColor="accent1" w:themeShade="7F"/>
      <w:sz w:val="20"/>
    </w:rPr>
  </w:style>
  <w:style w:type="paragraph" w:styleId="Heading7">
    <w:name w:val="heading 7"/>
    <w:basedOn w:val="Normal"/>
    <w:next w:val="Normal"/>
    <w:link w:val="Heading7Char"/>
    <w:uiPriority w:val="9"/>
    <w:unhideWhenUsed/>
    <w:rsid w:val="00BA18F6"/>
    <w:pPr>
      <w:keepNext/>
      <w:keepLines/>
      <w:spacing w:before="40" w:after="0"/>
      <w:outlineLvl w:val="6"/>
    </w:pPr>
    <w:rPr>
      <w:rFonts w:asciiTheme="majorHAnsi" w:eastAsiaTheme="majorEastAsia" w:hAnsiTheme="majorHAnsi" w:cstheme="majorBidi"/>
      <w:i/>
      <w:iCs/>
      <w:color w:val="34146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andTablelabel">
    <w:name w:val="Chart and Table label"/>
    <w:basedOn w:val="Normal"/>
    <w:qFormat/>
    <w:rsid w:val="000404CE"/>
    <w:rPr>
      <w:b/>
      <w:sz w:val="20"/>
      <w:lang w:val="en-US"/>
    </w:rPr>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C40E20"/>
    <w:pPr>
      <w:tabs>
        <w:tab w:val="left"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C40E20"/>
    <w:rPr>
      <w:rFonts w:ascii="Arial" w:hAnsi="Arial"/>
      <w:color w:val="000000" w:themeColor="text1"/>
      <w:sz w:val="18"/>
    </w:rPr>
  </w:style>
  <w:style w:type="paragraph" w:styleId="Title">
    <w:name w:val="Title"/>
    <w:basedOn w:val="Normal"/>
    <w:next w:val="Normal"/>
    <w:link w:val="TitleChar"/>
    <w:uiPriority w:val="1"/>
    <w:qFormat/>
    <w:rsid w:val="00A55F30"/>
    <w:pPr>
      <w:spacing w:before="840" w:after="0" w:line="276" w:lineRule="auto"/>
    </w:pPr>
    <w:rPr>
      <w:rFonts w:eastAsiaTheme="majorEastAsia" w:cstheme="majorBidi"/>
      <w:b/>
      <w:color w:val="441170" w:themeColor="text2"/>
      <w:spacing w:val="-10"/>
      <w:kern w:val="28"/>
      <w:sz w:val="60"/>
      <w:szCs w:val="56"/>
    </w:rPr>
  </w:style>
  <w:style w:type="character" w:customStyle="1" w:styleId="TitleChar">
    <w:name w:val="Title Char"/>
    <w:basedOn w:val="DefaultParagraphFont"/>
    <w:link w:val="Title"/>
    <w:uiPriority w:val="1"/>
    <w:rsid w:val="00A55F30"/>
    <w:rPr>
      <w:rFonts w:ascii="Arial" w:eastAsiaTheme="majorEastAsia" w:hAnsi="Arial" w:cstheme="majorBidi"/>
      <w:b/>
      <w:color w:val="441170" w:themeColor="text2"/>
      <w:spacing w:val="-10"/>
      <w:kern w:val="28"/>
      <w:sz w:val="60"/>
      <w:szCs w:val="56"/>
    </w:rPr>
  </w:style>
  <w:style w:type="character" w:customStyle="1" w:styleId="Heading1Char">
    <w:name w:val="Heading 1 Char"/>
    <w:basedOn w:val="DefaultParagraphFont"/>
    <w:link w:val="Heading1"/>
    <w:uiPriority w:val="9"/>
    <w:rsid w:val="006B62B7"/>
    <w:rPr>
      <w:rFonts w:ascii="Arial" w:eastAsiaTheme="majorEastAsia" w:hAnsi="Arial" w:cstheme="majorBidi"/>
      <w:b/>
      <w:color w:val="441170" w:themeColor="text2"/>
      <w:sz w:val="32"/>
      <w:szCs w:val="32"/>
    </w:rPr>
  </w:style>
  <w:style w:type="paragraph" w:styleId="TOCHeading">
    <w:name w:val="TOC Heading"/>
    <w:basedOn w:val="Heading1"/>
    <w:next w:val="Normal"/>
    <w:uiPriority w:val="39"/>
    <w:unhideWhenUsed/>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rsid w:val="00A62216"/>
    <w:pPr>
      <w:spacing w:after="0" w:line="240" w:lineRule="auto"/>
    </w:pPr>
  </w:style>
  <w:style w:type="paragraph" w:customStyle="1" w:styleId="Bodycopy">
    <w:name w:val="Body copy"/>
    <w:basedOn w:val="Normal"/>
    <w:link w:val="BodycopyChar"/>
    <w:qFormat/>
    <w:rsid w:val="0003689D"/>
    <w:pPr>
      <w:spacing w:before="120" w:after="280"/>
    </w:p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BE68F3"/>
    <w:pPr>
      <w:numPr>
        <w:numId w:val="7"/>
      </w:numPr>
      <w:spacing w:line="240" w:lineRule="atLeast"/>
    </w:pPr>
    <w:rPr>
      <w:rFonts w:eastAsia="SimSun" w:cs="Times New Roman"/>
      <w:spacing w:val="-1"/>
      <w:szCs w:val="20"/>
      <w:lang w:val="en-GB" w:eastAsia="en-GB"/>
    </w:rPr>
  </w:style>
  <w:style w:type="paragraph" w:customStyle="1" w:styleId="Tableheader">
    <w:name w:val="Table header"/>
    <w:basedOn w:val="Normal"/>
    <w:qFormat/>
    <w:rsid w:val="006066C4"/>
    <w:pPr>
      <w:spacing w:before="120" w:after="120" w:line="240" w:lineRule="auto"/>
    </w:pPr>
    <w:rPr>
      <w:b/>
      <w:color w:val="FFFFFF" w:themeColor="background1"/>
      <w:lang w:val="en-US"/>
    </w:rPr>
  </w:style>
  <w:style w:type="paragraph" w:customStyle="1" w:styleId="Tablebodycopy">
    <w:name w:val="Table body copy"/>
    <w:basedOn w:val="Normal"/>
    <w:qFormat/>
    <w:rsid w:val="009A5BC4"/>
    <w:pPr>
      <w:spacing w:before="120" w:after="120" w:line="240" w:lineRule="auto"/>
    </w:pPr>
    <w:rPr>
      <w:lang w:val="en-US"/>
    </w:rPr>
  </w:style>
  <w:style w:type="character" w:customStyle="1" w:styleId="Heading2Char">
    <w:name w:val="Heading 2 Char"/>
    <w:basedOn w:val="DefaultParagraphFont"/>
    <w:link w:val="Heading2"/>
    <w:uiPriority w:val="9"/>
    <w:rsid w:val="00951700"/>
    <w:rPr>
      <w:rFonts w:ascii="Arial" w:eastAsiaTheme="majorEastAsia" w:hAnsi="Arial" w:cstheme="majorBidi"/>
      <w:color w:val="000000" w:themeColor="text1"/>
      <w:sz w:val="28"/>
      <w:szCs w:val="26"/>
    </w:rPr>
  </w:style>
  <w:style w:type="paragraph" w:styleId="TOC1">
    <w:name w:val="toc 1"/>
    <w:basedOn w:val="Normal"/>
    <w:next w:val="Normal"/>
    <w:autoRedefine/>
    <w:uiPriority w:val="39"/>
    <w:unhideWhenUsed/>
    <w:rsid w:val="00A3043E"/>
    <w:pPr>
      <w:spacing w:after="100"/>
    </w:pPr>
    <w:rPr>
      <w:b/>
      <w:color w:val="441170" w:themeColor="text2"/>
    </w:rPr>
  </w:style>
  <w:style w:type="character" w:customStyle="1" w:styleId="Heading3Char">
    <w:name w:val="Heading 3 Char"/>
    <w:basedOn w:val="DefaultParagraphFont"/>
    <w:link w:val="Heading3"/>
    <w:uiPriority w:val="9"/>
    <w:rsid w:val="00127C77"/>
    <w:rPr>
      <w:rFonts w:ascii="Arial" w:eastAsiaTheme="majorEastAsia" w:hAnsi="Arial" w:cstheme="majorBidi"/>
      <w:b/>
      <w:color w:val="441170" w:themeColor="text2"/>
      <w:sz w:val="24"/>
      <w:szCs w:val="24"/>
    </w:rPr>
  </w:style>
  <w:style w:type="paragraph" w:styleId="TOC2">
    <w:name w:val="toc 2"/>
    <w:basedOn w:val="Normal"/>
    <w:next w:val="Normal"/>
    <w:autoRedefine/>
    <w:uiPriority w:val="39"/>
    <w:unhideWhenUsed/>
    <w:rsid w:val="00782490"/>
    <w:pPr>
      <w:spacing w:after="100"/>
      <w:ind w:left="220"/>
    </w:pPr>
  </w:style>
  <w:style w:type="paragraph" w:styleId="TOC4">
    <w:name w:val="toc 4"/>
    <w:basedOn w:val="Normal"/>
    <w:next w:val="Normal"/>
    <w:autoRedefine/>
    <w:uiPriority w:val="39"/>
    <w:unhideWhenUsed/>
    <w:rsid w:val="007B2AD6"/>
    <w:pPr>
      <w:tabs>
        <w:tab w:val="right" w:leader="dot" w:pos="9016"/>
      </w:tabs>
      <w:spacing w:after="100"/>
      <w:ind w:left="220"/>
    </w:pPr>
  </w:style>
  <w:style w:type="paragraph" w:styleId="TOC3">
    <w:name w:val="toc 3"/>
    <w:basedOn w:val="Normal"/>
    <w:next w:val="Normal"/>
    <w:autoRedefine/>
    <w:uiPriority w:val="39"/>
    <w:unhideWhenUsed/>
    <w:rsid w:val="007B2AD6"/>
    <w:pPr>
      <w:tabs>
        <w:tab w:val="right" w:leader="dot" w:pos="9016"/>
      </w:tabs>
      <w:spacing w:after="100"/>
      <w:ind w:left="220"/>
    </w:pPr>
  </w:style>
  <w:style w:type="paragraph" w:styleId="TOC5">
    <w:name w:val="toc 5"/>
    <w:basedOn w:val="Normal"/>
    <w:next w:val="Normal"/>
    <w:autoRedefine/>
    <w:uiPriority w:val="39"/>
    <w:unhideWhenUsed/>
    <w:rsid w:val="007B2AD6"/>
    <w:pPr>
      <w:tabs>
        <w:tab w:val="right" w:leader="dot" w:pos="9016"/>
      </w:tabs>
      <w:spacing w:after="100"/>
      <w:ind w:left="220"/>
    </w:pPr>
  </w:style>
  <w:style w:type="character" w:styleId="Hyperlink">
    <w:name w:val="Hyperlink"/>
    <w:basedOn w:val="DefaultParagraphFont"/>
    <w:uiPriority w:val="99"/>
    <w:unhideWhenUsed/>
    <w:rsid w:val="00782490"/>
    <w:rPr>
      <w:color w:val="215E9E" w:themeColor="hyperlink"/>
      <w:u w:val="single"/>
    </w:rPr>
  </w:style>
  <w:style w:type="paragraph" w:customStyle="1" w:styleId="Dateoncover">
    <w:name w:val="Date on cover"/>
    <w:basedOn w:val="Normal"/>
    <w:rsid w:val="00BA18F6"/>
    <w:rPr>
      <w:rFonts w:cs="Arial"/>
      <w:b/>
      <w:bCs/>
      <w:sz w:val="28"/>
      <w:szCs w:val="28"/>
    </w:rPr>
  </w:style>
  <w:style w:type="paragraph" w:styleId="ListBullet2">
    <w:name w:val="List Bullet 2"/>
    <w:basedOn w:val="Normal"/>
    <w:qFormat/>
    <w:rsid w:val="00BE68F3"/>
    <w:pPr>
      <w:numPr>
        <w:ilvl w:val="1"/>
        <w:numId w:val="7"/>
      </w:numPr>
      <w:spacing w:line="240" w:lineRule="atLeast"/>
    </w:pPr>
    <w:rPr>
      <w:rFonts w:eastAsia="SimSun" w:cs="Times New Roman"/>
      <w:spacing w:val="-1"/>
      <w:szCs w:val="20"/>
      <w:lang w:val="en-GB" w:eastAsia="en-GB"/>
    </w:rPr>
  </w:style>
  <w:style w:type="paragraph" w:styleId="ListBullet3">
    <w:name w:val="List Bullet 3"/>
    <w:basedOn w:val="Normal"/>
    <w:qFormat/>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EA618D"/>
    <w:rPr>
      <w:rFonts w:ascii="Arial" w:hAnsi="Arial" w:cs="Arial"/>
      <w:bCs/>
      <w:color w:val="005D5D" w:themeColor="accent2"/>
    </w:rPr>
  </w:style>
  <w:style w:type="character" w:customStyle="1" w:styleId="Heading5Char">
    <w:name w:val="Heading 5 Char"/>
    <w:basedOn w:val="DefaultParagraphFont"/>
    <w:link w:val="Heading5"/>
    <w:uiPriority w:val="9"/>
    <w:rsid w:val="0006027B"/>
    <w:rPr>
      <w:rFonts w:ascii="Arial" w:hAnsi="Arial" w:cs="Arial"/>
      <w:b/>
      <w:bCs/>
      <w:color w:val="000000" w:themeColor="text1"/>
    </w:rPr>
  </w:style>
  <w:style w:type="character" w:customStyle="1" w:styleId="Heading6Char">
    <w:name w:val="Heading 6 Char"/>
    <w:basedOn w:val="DefaultParagraphFont"/>
    <w:link w:val="Heading6"/>
    <w:uiPriority w:val="9"/>
    <w:rsid w:val="00207C90"/>
    <w:rPr>
      <w:rFonts w:asciiTheme="majorHAnsi" w:eastAsiaTheme="majorEastAsia" w:hAnsiTheme="majorHAnsi" w:cstheme="majorBidi"/>
      <w:color w:val="341461" w:themeColor="accent1" w:themeShade="7F"/>
      <w:sz w:val="20"/>
    </w:rPr>
  </w:style>
  <w:style w:type="character" w:customStyle="1" w:styleId="Heading7Char">
    <w:name w:val="Heading 7 Char"/>
    <w:basedOn w:val="DefaultParagraphFont"/>
    <w:link w:val="Heading7"/>
    <w:uiPriority w:val="9"/>
    <w:rsid w:val="00BA18F6"/>
    <w:rPr>
      <w:rFonts w:asciiTheme="majorHAnsi" w:eastAsiaTheme="majorEastAsia" w:hAnsiTheme="majorHAnsi" w:cstheme="majorBidi"/>
      <w:i/>
      <w:iCs/>
      <w:color w:val="341461" w:themeColor="accent1" w:themeShade="7F"/>
    </w:rPr>
  </w:style>
  <w:style w:type="paragraph" w:customStyle="1" w:styleId="Title-Subtitle">
    <w:name w:val="Title - Subtitle"/>
    <w:basedOn w:val="Bodycopy"/>
    <w:qFormat/>
    <w:rsid w:val="00A55F30"/>
    <w:pPr>
      <w:spacing w:after="400"/>
    </w:pPr>
    <w:rPr>
      <w:b/>
      <w:sz w:val="36"/>
      <w:szCs w:val="40"/>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Quote">
    <w:name w:val="Quote"/>
    <w:basedOn w:val="Normal"/>
    <w:next w:val="Normal"/>
    <w:link w:val="QuoteChar"/>
    <w:uiPriority w:val="29"/>
    <w:qFormat/>
    <w:rsid w:val="00960E8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60E8F"/>
    <w:rPr>
      <w:rFonts w:ascii="Arial" w:hAnsi="Arial"/>
      <w:i/>
      <w:iCs/>
      <w:color w:val="404040" w:themeColor="text1" w:themeTint="BF"/>
    </w:rPr>
  </w:style>
  <w:style w:type="character" w:styleId="Strong">
    <w:name w:val="Strong"/>
    <w:basedOn w:val="DefaultParagraphFont"/>
    <w:uiPriority w:val="22"/>
    <w:qFormat/>
    <w:rsid w:val="00637E54"/>
    <w:rPr>
      <w:b/>
      <w:bCs/>
    </w:rPr>
  </w:style>
  <w:style w:type="character" w:styleId="Emphasis">
    <w:name w:val="Emphasis"/>
    <w:basedOn w:val="DefaultParagraphFont"/>
    <w:uiPriority w:val="20"/>
    <w:qFormat/>
    <w:rsid w:val="00C56B20"/>
    <w:rPr>
      <w:i/>
      <w:iCs/>
    </w:rPr>
  </w:style>
  <w:style w:type="paragraph" w:customStyle="1" w:styleId="Hyperlinks">
    <w:name w:val="Hyperlinks"/>
    <w:basedOn w:val="Bodycopy"/>
    <w:link w:val="HyperlinksChar"/>
    <w:qFormat/>
    <w:rsid w:val="00352B94"/>
    <w:rPr>
      <w:color w:val="6929C4" w:themeColor="accent1"/>
      <w:u w:val="single"/>
    </w:rPr>
  </w:style>
  <w:style w:type="character" w:customStyle="1" w:styleId="BodycopyChar">
    <w:name w:val="Body copy Char"/>
    <w:basedOn w:val="DefaultParagraphFont"/>
    <w:link w:val="Bodycopy"/>
    <w:rsid w:val="00AC557F"/>
    <w:rPr>
      <w:rFonts w:ascii="Arial" w:hAnsi="Arial"/>
      <w:color w:val="000000" w:themeColor="text1"/>
    </w:rPr>
  </w:style>
  <w:style w:type="character" w:customStyle="1" w:styleId="HyperlinksChar">
    <w:name w:val="Hyperlinks Char"/>
    <w:basedOn w:val="BodycopyChar"/>
    <w:link w:val="Hyperlinks"/>
    <w:rsid w:val="00352B94"/>
    <w:rPr>
      <w:rFonts w:ascii="Arial" w:hAnsi="Arial"/>
      <w:color w:val="6929C4" w:themeColor="accent1"/>
      <w:u w:val="single"/>
    </w:rPr>
  </w:style>
  <w:style w:type="paragraph" w:styleId="Caption">
    <w:name w:val="caption"/>
    <w:basedOn w:val="Normal"/>
    <w:next w:val="Normal"/>
    <w:uiPriority w:val="35"/>
    <w:unhideWhenUsed/>
    <w:qFormat/>
    <w:rsid w:val="00852640"/>
    <w:pPr>
      <w:keepNext/>
      <w:spacing w:before="320" w:after="200" w:line="240" w:lineRule="auto"/>
    </w:pPr>
    <w:rPr>
      <w:b/>
      <w:bCs/>
      <w:color w:val="auto"/>
      <w:sz w:val="18"/>
      <w:szCs w:val="18"/>
    </w:rPr>
  </w:style>
  <w:style w:type="paragraph" w:styleId="FootnoteText">
    <w:name w:val="footnote text"/>
    <w:basedOn w:val="Normal"/>
    <w:link w:val="FootnoteTextChar"/>
    <w:uiPriority w:val="99"/>
    <w:unhideWhenUsed/>
    <w:rsid w:val="00784422"/>
    <w:pPr>
      <w:spacing w:after="0" w:line="240" w:lineRule="auto"/>
    </w:pPr>
    <w:rPr>
      <w:sz w:val="20"/>
      <w:szCs w:val="20"/>
    </w:rPr>
  </w:style>
  <w:style w:type="character" w:customStyle="1" w:styleId="FootnoteTextChar">
    <w:name w:val="Footnote Text Char"/>
    <w:basedOn w:val="DefaultParagraphFont"/>
    <w:link w:val="FootnoteText"/>
    <w:uiPriority w:val="99"/>
    <w:rsid w:val="00784422"/>
    <w:rPr>
      <w:rFonts w:ascii="Arial" w:hAnsi="Arial"/>
      <w:color w:val="000000" w:themeColor="text1"/>
      <w:sz w:val="20"/>
      <w:szCs w:val="20"/>
    </w:rPr>
  </w:style>
  <w:style w:type="character" w:styleId="FootnoteReference">
    <w:name w:val="footnote reference"/>
    <w:basedOn w:val="DefaultParagraphFont"/>
    <w:uiPriority w:val="99"/>
    <w:unhideWhenUsed/>
    <w:rsid w:val="00784422"/>
    <w:rPr>
      <w:vertAlign w:val="superscript"/>
    </w:rPr>
  </w:style>
  <w:style w:type="character" w:styleId="FollowedHyperlink">
    <w:name w:val="FollowedHyperlink"/>
    <w:basedOn w:val="DefaultParagraphFont"/>
    <w:uiPriority w:val="99"/>
    <w:semiHidden/>
    <w:unhideWhenUsed/>
    <w:rsid w:val="0095405D"/>
    <w:rPr>
      <w:color w:val="00B4FF" w:themeColor="followedHyperlink"/>
      <w:u w:val="single"/>
    </w:rPr>
  </w:style>
  <w:style w:type="character" w:customStyle="1" w:styleId="StrongandEmphasis">
    <w:name w:val="Strong and Emphasis"/>
    <w:basedOn w:val="DefaultParagraphFont"/>
    <w:uiPriority w:val="1"/>
    <w:qFormat/>
    <w:rsid w:val="00294839"/>
    <w:rPr>
      <w:rFonts w:ascii="Arial" w:hAnsi="Arial"/>
      <w:b/>
      <w:i/>
      <w:sz w:val="22"/>
    </w:rPr>
  </w:style>
  <w:style w:type="table" w:customStyle="1" w:styleId="JSATable1">
    <w:name w:val="JSA Table 1"/>
    <w:basedOn w:val="TableNormal"/>
    <w:uiPriority w:val="99"/>
    <w:rsid w:val="002E6BF7"/>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paragraph" w:styleId="Revision">
    <w:name w:val="Revision"/>
    <w:hidden/>
    <w:uiPriority w:val="99"/>
    <w:semiHidden/>
    <w:rsid w:val="00581331"/>
    <w:pPr>
      <w:spacing w:after="0" w:line="240" w:lineRule="auto"/>
    </w:pPr>
    <w:rPr>
      <w:rFonts w:ascii="Arial" w:hAnsi="Arial"/>
      <w:color w:val="000000" w:themeColor="text1"/>
    </w:rPr>
  </w:style>
  <w:style w:type="table" w:customStyle="1" w:styleId="DESE">
    <w:name w:val="DESE"/>
    <w:basedOn w:val="TableNormal"/>
    <w:uiPriority w:val="99"/>
    <w:rsid w:val="001F4DC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171572"/>
      </w:tcPr>
    </w:tblStylePr>
    <w:tblStylePr w:type="firstCol">
      <w:rPr>
        <w:b w:val="0"/>
      </w:rPr>
    </w:tblStylePr>
    <w:tblStylePr w:type="nwCell">
      <w:rPr>
        <w:b w:val="0"/>
      </w:rPr>
    </w:tblStylePr>
  </w:style>
  <w:style w:type="paragraph" w:customStyle="1" w:styleId="Source">
    <w:name w:val="Source"/>
    <w:basedOn w:val="Normal"/>
    <w:next w:val="Normal"/>
    <w:link w:val="SourceChar"/>
    <w:qFormat/>
    <w:rsid w:val="001D3F13"/>
    <w:pPr>
      <w:spacing w:before="120" w:after="120" w:line="276" w:lineRule="auto"/>
    </w:pPr>
    <w:rPr>
      <w:rFonts w:cs="Arial"/>
      <w:bCs/>
      <w:sz w:val="18"/>
      <w:szCs w:val="16"/>
    </w:rPr>
  </w:style>
  <w:style w:type="character" w:customStyle="1" w:styleId="SourceChar">
    <w:name w:val="Source Char"/>
    <w:basedOn w:val="BodycopyChar"/>
    <w:link w:val="Source"/>
    <w:rsid w:val="001D3F13"/>
    <w:rPr>
      <w:rFonts w:ascii="Arial" w:hAnsi="Arial" w:cs="Arial"/>
      <w:bCs/>
      <w:color w:val="000000" w:themeColor="text1"/>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bsandskills.gov.au/" TargetMode="External"/><Relationship Id="rId18" Type="http://schemas.openxmlformats.org/officeDocument/2006/relationships/chart" Target="charts/chart4.xml"/><Relationship Id="rId26" Type="http://schemas.openxmlformats.org/officeDocument/2006/relationships/chart" Target="charts/chart8.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abs.gov.au/statistics/labour/employment-and-unemployment/labour-force-australia/feb-2024" TargetMode="External"/><Relationship Id="rId25" Type="http://schemas.openxmlformats.org/officeDocument/2006/relationships/hyperlink" Target="https://www.jobsandskills.gov.au/work/internet-vacancy-index" TargetMode="External"/><Relationship Id="rId33" Type="http://schemas.openxmlformats.org/officeDocument/2006/relationships/hyperlink" Target="mailto:migration@jobsandskills.gov.au"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5.xml"/><Relationship Id="rId29" Type="http://schemas.openxmlformats.org/officeDocument/2006/relationships/hyperlink" Target="https://www.abs.gov.au/statistics/labour/employment-and-unemployment/labour-force-australia/feb-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bs.gov.au/statistics/labour/employment-and-unemployment/labour-force-australia-detailed/feb-2024" TargetMode="External"/><Relationship Id="rId32" Type="http://schemas.openxmlformats.org/officeDocument/2006/relationships/hyperlink" Target="https://www.abs.gov.au/statistics/labour/employment-and-unemployment/labour-force-australia-detailed/latest-releas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7.xml"/><Relationship Id="rId28" Type="http://schemas.openxmlformats.org/officeDocument/2006/relationships/chart" Target="charts/chart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bs.gov.au/statistics/labour/employment-and-unemployment/labour-force-australia-detailed/feb-2024" TargetMode="External"/><Relationship Id="rId31" Type="http://schemas.openxmlformats.org/officeDocument/2006/relationships/hyperlink" Target="https://www.abs.gov.au/statistics/labour/employment-and-unemployment/labour-force-australia-detailed/latest-rele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s://www.abs.gov.au/statistics/labour/employment-and-unemployment/labour-force-australia-detailed/feb-2024" TargetMode="External"/><Relationship Id="rId27" Type="http://schemas.openxmlformats.org/officeDocument/2006/relationships/hyperlink" Target="https://www.abs.gov.au/statistics/people/population/overseas-migration/2022-23-financial-year" TargetMode="Externa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population.gov.au/publications/statements/2023-population-statement" TargetMode="External"/><Relationship Id="rId1" Type="http://schemas.openxmlformats.org/officeDocument/2006/relationships/hyperlink" Target="https://www.jobsandskills.gov.au/work/internet-vacancy-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April\ALMM\ALMM_APR2024_GVB%20Checking.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April\Hot%20Topic\State-Territory_Hot-Topic_APR2024_Template.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April\ALMM\ALMM_APR2024_GVB%20Check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April\ALMM\ALMM%20Template_APR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April\ALMM\ALMM_APR2024_GVB%20Checkin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April\ALMM\ALMM_APR2024_GVB%20Checkin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April\ALMM\ALMM_APR2024_GVB%20Checkin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April\ALMM\ALMM%20APR2024%20AC%20Draf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April\ALMM\ALMM%20APR2024%20AC%20Draf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April\Hot%20Topic\State-Territory_Hot-Topic_APR2024_Templat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'Employment (fig 1)'!$B$52</c:f>
              <c:strCache>
                <c:ptCount val="1"/>
              </c:strCache>
            </c:strRef>
          </c:tx>
          <c:spPr>
            <a:solidFill>
              <a:srgbClr val="6929C4"/>
            </a:solidFill>
            <a:ln>
              <a:noFill/>
            </a:ln>
            <a:effectLst/>
          </c:spPr>
          <c:invertIfNegative val="0"/>
          <c:cat>
            <c:strRef>
              <c:f>'Employment (fig 1)'!$A$56:$A$74</c:f>
              <c:strCache>
                <c:ptCount val="19"/>
                <c:pt idx="0">
                  <c:v>Health Care and Social Assistance</c:v>
                </c:pt>
                <c:pt idx="1">
                  <c:v>Education and Training</c:v>
                </c:pt>
                <c:pt idx="2">
                  <c:v>Construction</c:v>
                </c:pt>
                <c:pt idx="3">
                  <c:v>Professional, Scientific and Technical Services</c:v>
                </c:pt>
                <c:pt idx="4">
                  <c:v>Manufacturing</c:v>
                </c:pt>
                <c:pt idx="5">
                  <c:v>Public Administration and Safety</c:v>
                </c:pt>
                <c:pt idx="6">
                  <c:v>Transport, Postal and Warehousing</c:v>
                </c:pt>
                <c:pt idx="7">
                  <c:v>Wholesale Trade</c:v>
                </c:pt>
                <c:pt idx="8">
                  <c:v>Arts and Recreation Services</c:v>
                </c:pt>
                <c:pt idx="9">
                  <c:v>Mining</c:v>
                </c:pt>
                <c:pt idx="10">
                  <c:v>Retail Trade</c:v>
                </c:pt>
                <c:pt idx="11">
                  <c:v>Other Services</c:v>
                </c:pt>
                <c:pt idx="12">
                  <c:v>Electricity, Gas, Water and Waste Services</c:v>
                </c:pt>
                <c:pt idx="13">
                  <c:v>Rental, Hiring and Real Estate Services</c:v>
                </c:pt>
                <c:pt idx="14">
                  <c:v>Agriculture, Forestry and Fishing</c:v>
                </c:pt>
                <c:pt idx="15">
                  <c:v>Information Media and Telecommunications</c:v>
                </c:pt>
                <c:pt idx="16">
                  <c:v>Administrative and Support Services</c:v>
                </c:pt>
                <c:pt idx="17">
                  <c:v>Financial and Insurance Services</c:v>
                </c:pt>
                <c:pt idx="18">
                  <c:v>Accommodation and Food Services</c:v>
                </c:pt>
              </c:strCache>
            </c:strRef>
          </c:cat>
          <c:val>
            <c:numRef>
              <c:f>'Employment (fig 1)'!$B$56:$B$74</c:f>
              <c:numCache>
                <c:formatCode>0.000</c:formatCode>
                <c:ptCount val="19"/>
                <c:pt idx="0">
                  <c:v>108.0023525522929</c:v>
                </c:pt>
                <c:pt idx="1">
                  <c:v>51.926259101830965</c:v>
                </c:pt>
                <c:pt idx="2">
                  <c:v>36.306690373069841</c:v>
                </c:pt>
                <c:pt idx="3">
                  <c:v>35.287979920423368</c:v>
                </c:pt>
                <c:pt idx="4">
                  <c:v>32.874782455452419</c:v>
                </c:pt>
                <c:pt idx="5">
                  <c:v>31.869669671149495</c:v>
                </c:pt>
                <c:pt idx="6">
                  <c:v>19.347243391485449</c:v>
                </c:pt>
                <c:pt idx="7">
                  <c:v>11.302836524815746</c:v>
                </c:pt>
                <c:pt idx="8">
                  <c:v>10.011800013626299</c:v>
                </c:pt>
                <c:pt idx="9">
                  <c:v>6.495503855298125</c:v>
                </c:pt>
                <c:pt idx="10">
                  <c:v>5.604582934244263</c:v>
                </c:pt>
                <c:pt idx="11">
                  <c:v>4.7021780445812738</c:v>
                </c:pt>
                <c:pt idx="12">
                  <c:v>4.2422502210027062</c:v>
                </c:pt>
                <c:pt idx="13">
                  <c:v>0.3973431914727712</c:v>
                </c:pt>
                <c:pt idx="14">
                  <c:v>-0.18033202055084985</c:v>
                </c:pt>
                <c:pt idx="15">
                  <c:v>-2.1925201931642562</c:v>
                </c:pt>
                <c:pt idx="16">
                  <c:v>-2.3974440032690723</c:v>
                </c:pt>
                <c:pt idx="17">
                  <c:v>-6.6289626465670608</c:v>
                </c:pt>
                <c:pt idx="18">
                  <c:v>-18.041888956092748</c:v>
                </c:pt>
              </c:numCache>
            </c:numRef>
          </c:val>
          <c:extLst>
            <c:ext xmlns:c16="http://schemas.microsoft.com/office/drawing/2014/chart" uri="{C3380CC4-5D6E-409C-BE32-E72D297353CC}">
              <c16:uniqueId val="{00000000-C122-4483-8874-FF86BAF21FA7}"/>
            </c:ext>
          </c:extLst>
        </c:ser>
        <c:dLbls>
          <c:showLegendKey val="0"/>
          <c:showVal val="0"/>
          <c:showCatName val="0"/>
          <c:showSerName val="0"/>
          <c:showPercent val="0"/>
          <c:showBubbleSize val="0"/>
        </c:dLbls>
        <c:gapWidth val="182"/>
        <c:axId val="1032988976"/>
        <c:axId val="1032984176"/>
      </c:barChart>
      <c:catAx>
        <c:axId val="103298897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032984176"/>
        <c:crosses val="autoZero"/>
        <c:auto val="1"/>
        <c:lblAlgn val="ctr"/>
        <c:lblOffset val="100"/>
        <c:noMultiLvlLbl val="0"/>
      </c:catAx>
      <c:valAx>
        <c:axId val="1032984176"/>
        <c:scaling>
          <c:orientation val="minMax"/>
          <c:max val="120"/>
          <c:min val="-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a:t>Change</a:t>
                </a:r>
                <a:r>
                  <a:rPr lang="en-AU" sz="900" baseline="0"/>
                  <a:t> in Persons Employed ('000s)</a:t>
                </a:r>
                <a:endParaRPr lang="en-AU" sz="900"/>
              </a:p>
            </c:rich>
          </c:tx>
          <c:layout>
            <c:manualLayout>
              <c:xMode val="edge"/>
              <c:yMode val="edge"/>
              <c:x val="0.48221756352431955"/>
              <c:y val="0.931452023685718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88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654727986167693E-2"/>
          <c:y val="4.1889252123827991E-2"/>
          <c:w val="0.92189213662717151"/>
          <c:h val="0.77641596146501624"/>
        </c:manualLayout>
      </c:layout>
      <c:barChart>
        <c:barDir val="col"/>
        <c:grouping val="clustered"/>
        <c:varyColors val="0"/>
        <c:ser>
          <c:idx val="0"/>
          <c:order val="0"/>
          <c:tx>
            <c:strRef>
              <c:f>'Figure B - Unemployment&amp;Gender'!$C$28</c:f>
              <c:strCache>
                <c:ptCount val="1"/>
                <c:pt idx="0">
                  <c:v>Male - Recent Migrants</c:v>
                </c:pt>
              </c:strCache>
            </c:strRef>
          </c:tx>
          <c:spPr>
            <a:solidFill>
              <a:srgbClr val="692DC4"/>
            </a:solidFill>
            <a:ln>
              <a:noFill/>
            </a:ln>
            <a:effectLst/>
          </c:spPr>
          <c:invertIfNegative val="0"/>
          <c:cat>
            <c:strRef>
              <c:f>'Figure B - Unemployment&amp;Gender'!$B$29:$B$37</c:f>
              <c:strCache>
                <c:ptCount val="9"/>
                <c:pt idx="0">
                  <c:v>NSW</c:v>
                </c:pt>
                <c:pt idx="1">
                  <c:v>VIC</c:v>
                </c:pt>
                <c:pt idx="2">
                  <c:v>QLD</c:v>
                </c:pt>
                <c:pt idx="3">
                  <c:v>SA</c:v>
                </c:pt>
                <c:pt idx="4">
                  <c:v>WA</c:v>
                </c:pt>
                <c:pt idx="5">
                  <c:v>TAS</c:v>
                </c:pt>
                <c:pt idx="6">
                  <c:v>NT</c:v>
                </c:pt>
                <c:pt idx="7">
                  <c:v>ACT</c:v>
                </c:pt>
                <c:pt idx="8">
                  <c:v>AUS</c:v>
                </c:pt>
              </c:strCache>
            </c:strRef>
          </c:cat>
          <c:val>
            <c:numRef>
              <c:f>'Figure B - Unemployment&amp;Gender'!$C$29:$C$37</c:f>
              <c:numCache>
                <c:formatCode>General</c:formatCode>
                <c:ptCount val="9"/>
                <c:pt idx="0">
                  <c:v>3.867299720756638</c:v>
                </c:pt>
                <c:pt idx="1">
                  <c:v>4.9578123866635933</c:v>
                </c:pt>
                <c:pt idx="2">
                  <c:v>4.5796241708171381</c:v>
                </c:pt>
                <c:pt idx="3">
                  <c:v>3.9346151520228427</c:v>
                </c:pt>
                <c:pt idx="4">
                  <c:v>2.5091340521283043</c:v>
                </c:pt>
                <c:pt idx="5">
                  <c:v>4.2685774365348639</c:v>
                </c:pt>
                <c:pt idx="6">
                  <c:v>5.0631867248600102</c:v>
                </c:pt>
                <c:pt idx="7">
                  <c:v>9.1147501150068102</c:v>
                </c:pt>
                <c:pt idx="8">
                  <c:v>4.2778286152921794</c:v>
                </c:pt>
              </c:numCache>
            </c:numRef>
          </c:val>
          <c:extLst>
            <c:ext xmlns:c16="http://schemas.microsoft.com/office/drawing/2014/chart" uri="{C3380CC4-5D6E-409C-BE32-E72D297353CC}">
              <c16:uniqueId val="{00000000-73B3-4444-A1F7-9326EDF7F9A0}"/>
            </c:ext>
          </c:extLst>
        </c:ser>
        <c:ser>
          <c:idx val="1"/>
          <c:order val="1"/>
          <c:tx>
            <c:strRef>
              <c:f>'Figure B - Unemployment&amp;Gender'!$D$28</c:f>
              <c:strCache>
                <c:ptCount val="1"/>
                <c:pt idx="0">
                  <c:v>Female - Recent Migrants</c:v>
                </c:pt>
              </c:strCache>
            </c:strRef>
          </c:tx>
          <c:spPr>
            <a:solidFill>
              <a:srgbClr val="009D9A"/>
            </a:solidFill>
            <a:ln>
              <a:noFill/>
            </a:ln>
            <a:effectLst/>
          </c:spPr>
          <c:invertIfNegative val="0"/>
          <c:cat>
            <c:strRef>
              <c:f>'Figure B - Unemployment&amp;Gender'!$B$29:$B$37</c:f>
              <c:strCache>
                <c:ptCount val="9"/>
                <c:pt idx="0">
                  <c:v>NSW</c:v>
                </c:pt>
                <c:pt idx="1">
                  <c:v>VIC</c:v>
                </c:pt>
                <c:pt idx="2">
                  <c:v>QLD</c:v>
                </c:pt>
                <c:pt idx="3">
                  <c:v>SA</c:v>
                </c:pt>
                <c:pt idx="4">
                  <c:v>WA</c:v>
                </c:pt>
                <c:pt idx="5">
                  <c:v>TAS</c:v>
                </c:pt>
                <c:pt idx="6">
                  <c:v>NT</c:v>
                </c:pt>
                <c:pt idx="7">
                  <c:v>ACT</c:v>
                </c:pt>
                <c:pt idx="8">
                  <c:v>AUS</c:v>
                </c:pt>
              </c:strCache>
            </c:strRef>
          </c:cat>
          <c:val>
            <c:numRef>
              <c:f>'Figure B - Unemployment&amp;Gender'!$D$29:$D$37</c:f>
              <c:numCache>
                <c:formatCode>General</c:formatCode>
                <c:ptCount val="9"/>
                <c:pt idx="0">
                  <c:v>6.3635810254773828</c:v>
                </c:pt>
                <c:pt idx="1">
                  <c:v>6.3716928564003199</c:v>
                </c:pt>
                <c:pt idx="2">
                  <c:v>5.4424280731948533</c:v>
                </c:pt>
                <c:pt idx="3">
                  <c:v>5.1004110143532708</c:v>
                </c:pt>
                <c:pt idx="4">
                  <c:v>5.0766371004617978</c:v>
                </c:pt>
                <c:pt idx="5">
                  <c:v>8.9422232313650021</c:v>
                </c:pt>
                <c:pt idx="6">
                  <c:v>8.4690992430184373</c:v>
                </c:pt>
                <c:pt idx="7">
                  <c:v>1.583362558078619</c:v>
                </c:pt>
                <c:pt idx="8">
                  <c:v>5.9592340965207979</c:v>
                </c:pt>
              </c:numCache>
            </c:numRef>
          </c:val>
          <c:extLst>
            <c:ext xmlns:c16="http://schemas.microsoft.com/office/drawing/2014/chart" uri="{C3380CC4-5D6E-409C-BE32-E72D297353CC}">
              <c16:uniqueId val="{00000001-73B3-4444-A1F7-9326EDF7F9A0}"/>
            </c:ext>
          </c:extLst>
        </c:ser>
        <c:ser>
          <c:idx val="2"/>
          <c:order val="2"/>
          <c:tx>
            <c:strRef>
              <c:f>'Figure B - Unemployment&amp;Gender'!$E$28</c:f>
              <c:strCache>
                <c:ptCount val="1"/>
                <c:pt idx="0">
                  <c:v>Male - Established Migrants</c:v>
                </c:pt>
              </c:strCache>
            </c:strRef>
          </c:tx>
          <c:spPr>
            <a:solidFill>
              <a:srgbClr val="012749"/>
            </a:solidFill>
            <a:ln>
              <a:noFill/>
            </a:ln>
            <a:effectLst/>
          </c:spPr>
          <c:invertIfNegative val="0"/>
          <c:cat>
            <c:strRef>
              <c:f>'Figure B - Unemployment&amp;Gender'!$B$29:$B$37</c:f>
              <c:strCache>
                <c:ptCount val="9"/>
                <c:pt idx="0">
                  <c:v>NSW</c:v>
                </c:pt>
                <c:pt idx="1">
                  <c:v>VIC</c:v>
                </c:pt>
                <c:pt idx="2">
                  <c:v>QLD</c:v>
                </c:pt>
                <c:pt idx="3">
                  <c:v>SA</c:v>
                </c:pt>
                <c:pt idx="4">
                  <c:v>WA</c:v>
                </c:pt>
                <c:pt idx="5">
                  <c:v>TAS</c:v>
                </c:pt>
                <c:pt idx="6">
                  <c:v>NT</c:v>
                </c:pt>
                <c:pt idx="7">
                  <c:v>ACT</c:v>
                </c:pt>
                <c:pt idx="8">
                  <c:v>AUS</c:v>
                </c:pt>
              </c:strCache>
            </c:strRef>
          </c:cat>
          <c:val>
            <c:numRef>
              <c:f>'Figure B - Unemployment&amp;Gender'!$E$29:$E$37</c:f>
              <c:numCache>
                <c:formatCode>General</c:formatCode>
                <c:ptCount val="9"/>
                <c:pt idx="0">
                  <c:v>3.2642643113603222</c:v>
                </c:pt>
                <c:pt idx="1">
                  <c:v>3.4528547071537572</c:v>
                </c:pt>
                <c:pt idx="2">
                  <c:v>2.7543390827543486</c:v>
                </c:pt>
                <c:pt idx="3">
                  <c:v>3.1543425176619615</c:v>
                </c:pt>
                <c:pt idx="4">
                  <c:v>1.9101884702978849</c:v>
                </c:pt>
                <c:pt idx="5">
                  <c:v>2.5716181472184245</c:v>
                </c:pt>
                <c:pt idx="6">
                  <c:v>2.3552378571667618</c:v>
                </c:pt>
                <c:pt idx="7">
                  <c:v>6.9261908601385951</c:v>
                </c:pt>
                <c:pt idx="8">
                  <c:v>3.072360861424432</c:v>
                </c:pt>
              </c:numCache>
            </c:numRef>
          </c:val>
          <c:extLst>
            <c:ext xmlns:c16="http://schemas.microsoft.com/office/drawing/2014/chart" uri="{C3380CC4-5D6E-409C-BE32-E72D297353CC}">
              <c16:uniqueId val="{00000002-73B3-4444-A1F7-9326EDF7F9A0}"/>
            </c:ext>
          </c:extLst>
        </c:ser>
        <c:ser>
          <c:idx val="3"/>
          <c:order val="3"/>
          <c:tx>
            <c:strRef>
              <c:f>'Figure B - Unemployment&amp;Gender'!$F$28</c:f>
              <c:strCache>
                <c:ptCount val="1"/>
                <c:pt idx="0">
                  <c:v>Female - Established Migrants</c:v>
                </c:pt>
              </c:strCache>
            </c:strRef>
          </c:tx>
          <c:spPr>
            <a:solidFill>
              <a:srgbClr val="EE538B"/>
            </a:solidFill>
            <a:ln>
              <a:noFill/>
            </a:ln>
            <a:effectLst/>
          </c:spPr>
          <c:invertIfNegative val="0"/>
          <c:cat>
            <c:strRef>
              <c:f>'Figure B - Unemployment&amp;Gender'!$B$29:$B$37</c:f>
              <c:strCache>
                <c:ptCount val="9"/>
                <c:pt idx="0">
                  <c:v>NSW</c:v>
                </c:pt>
                <c:pt idx="1">
                  <c:v>VIC</c:v>
                </c:pt>
                <c:pt idx="2">
                  <c:v>QLD</c:v>
                </c:pt>
                <c:pt idx="3">
                  <c:v>SA</c:v>
                </c:pt>
                <c:pt idx="4">
                  <c:v>WA</c:v>
                </c:pt>
                <c:pt idx="5">
                  <c:v>TAS</c:v>
                </c:pt>
                <c:pt idx="6">
                  <c:v>NT</c:v>
                </c:pt>
                <c:pt idx="7">
                  <c:v>ACT</c:v>
                </c:pt>
                <c:pt idx="8">
                  <c:v>AUS</c:v>
                </c:pt>
              </c:strCache>
            </c:strRef>
          </c:cat>
          <c:val>
            <c:numRef>
              <c:f>'Figure B - Unemployment&amp;Gender'!$F$29:$F$37</c:f>
              <c:numCache>
                <c:formatCode>General</c:formatCode>
                <c:ptCount val="9"/>
                <c:pt idx="0">
                  <c:v>4.1508297920823853</c:v>
                </c:pt>
                <c:pt idx="1">
                  <c:v>3.1546612126266034</c:v>
                </c:pt>
                <c:pt idx="2">
                  <c:v>4.4568836400945431</c:v>
                </c:pt>
                <c:pt idx="3">
                  <c:v>1.880465772445608</c:v>
                </c:pt>
                <c:pt idx="4">
                  <c:v>2.9420851462227526</c:v>
                </c:pt>
                <c:pt idx="5">
                  <c:v>6.8749744246259681</c:v>
                </c:pt>
                <c:pt idx="6">
                  <c:v>2.0109059017960136</c:v>
                </c:pt>
                <c:pt idx="7">
                  <c:v>6.0818497959534419</c:v>
                </c:pt>
                <c:pt idx="8">
                  <c:v>3.7114029234447043</c:v>
                </c:pt>
              </c:numCache>
            </c:numRef>
          </c:val>
          <c:extLst>
            <c:ext xmlns:c16="http://schemas.microsoft.com/office/drawing/2014/chart" uri="{C3380CC4-5D6E-409C-BE32-E72D297353CC}">
              <c16:uniqueId val="{00000003-73B3-4444-A1F7-9326EDF7F9A0}"/>
            </c:ext>
          </c:extLst>
        </c:ser>
        <c:dLbls>
          <c:showLegendKey val="0"/>
          <c:showVal val="0"/>
          <c:showCatName val="0"/>
          <c:showSerName val="0"/>
          <c:showPercent val="0"/>
          <c:showBubbleSize val="0"/>
        </c:dLbls>
        <c:gapWidth val="219"/>
        <c:axId val="952142207"/>
        <c:axId val="1092697759"/>
      </c:barChart>
      <c:catAx>
        <c:axId val="952142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697759"/>
        <c:crosses val="autoZero"/>
        <c:auto val="1"/>
        <c:lblAlgn val="ctr"/>
        <c:lblOffset val="100"/>
        <c:noMultiLvlLbl val="0"/>
      </c:catAx>
      <c:valAx>
        <c:axId val="1092697759"/>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142207"/>
        <c:crosses val="autoZero"/>
        <c:crossBetween val="between"/>
      </c:valAx>
      <c:spPr>
        <a:noFill/>
        <a:ln>
          <a:noFill/>
        </a:ln>
        <a:effectLst/>
      </c:spPr>
    </c:plotArea>
    <c:legend>
      <c:legendPos val="b"/>
      <c:layout>
        <c:manualLayout>
          <c:xMode val="edge"/>
          <c:yMode val="edge"/>
          <c:x val="2.6241077831147465E-2"/>
          <c:y val="0.89113026571376885"/>
          <c:w val="0.94533567226230819"/>
          <c:h val="8.842506893646881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20525179813E-2"/>
          <c:y val="8.9548191071817149E-2"/>
          <c:w val="0.85397014272469673"/>
          <c:h val="0.7139825360668185"/>
        </c:manualLayout>
      </c:layout>
      <c:barChart>
        <c:barDir val="col"/>
        <c:grouping val="clustered"/>
        <c:varyColors val="0"/>
        <c:ser>
          <c:idx val="0"/>
          <c:order val="0"/>
          <c:tx>
            <c:strRef>
              <c:f>'Employment (fig 2)'!$V$20</c:f>
              <c:strCache>
                <c:ptCount val="1"/>
                <c:pt idx="0">
                  <c:v>February 2023</c:v>
                </c:pt>
              </c:strCache>
            </c:strRef>
          </c:tx>
          <c:spPr>
            <a:solidFill>
              <a:srgbClr val="6929C4"/>
            </a:solidFill>
            <a:ln>
              <a:noFill/>
            </a:ln>
            <a:effectLst/>
          </c:spPr>
          <c:invertIfNegative val="0"/>
          <c:cat>
            <c:strRef>
              <c:f>'Employment (fig 2)'!$Q$22:$Q$29</c:f>
              <c:strCache>
                <c:ptCount val="8"/>
                <c:pt idx="0">
                  <c:v>NSW</c:v>
                </c:pt>
                <c:pt idx="1">
                  <c:v>VIC</c:v>
                </c:pt>
                <c:pt idx="2">
                  <c:v>QLD</c:v>
                </c:pt>
                <c:pt idx="3">
                  <c:v>SA</c:v>
                </c:pt>
                <c:pt idx="4">
                  <c:v>WA</c:v>
                </c:pt>
                <c:pt idx="5">
                  <c:v>TAS</c:v>
                </c:pt>
                <c:pt idx="6">
                  <c:v>NT</c:v>
                </c:pt>
                <c:pt idx="7">
                  <c:v>ACT</c:v>
                </c:pt>
              </c:strCache>
            </c:strRef>
          </c:cat>
          <c:val>
            <c:numRef>
              <c:f>'Employment (fig 2)'!$V$22:$V$29</c:f>
              <c:numCache>
                <c:formatCode>0.0</c:formatCode>
                <c:ptCount val="8"/>
                <c:pt idx="0">
                  <c:v>54.047201822646137</c:v>
                </c:pt>
                <c:pt idx="1">
                  <c:v>54.673038354569314</c:v>
                </c:pt>
                <c:pt idx="2">
                  <c:v>50.256362813065614</c:v>
                </c:pt>
                <c:pt idx="3">
                  <c:v>49.674737360005608</c:v>
                </c:pt>
                <c:pt idx="4">
                  <c:v>51.023053932517016</c:v>
                </c:pt>
                <c:pt idx="5">
                  <c:v>49.849244747940254</c:v>
                </c:pt>
                <c:pt idx="6">
                  <c:v>50.625302551115134</c:v>
                </c:pt>
                <c:pt idx="7">
                  <c:v>59.849101741711564</c:v>
                </c:pt>
              </c:numCache>
            </c:numRef>
          </c:val>
          <c:extLst>
            <c:ext xmlns:c16="http://schemas.microsoft.com/office/drawing/2014/chart" uri="{C3380CC4-5D6E-409C-BE32-E72D297353CC}">
              <c16:uniqueId val="{00000000-A4F2-49A1-8E78-60BDC17F1D6A}"/>
            </c:ext>
          </c:extLst>
        </c:ser>
        <c:ser>
          <c:idx val="1"/>
          <c:order val="1"/>
          <c:tx>
            <c:strRef>
              <c:f>'Employment (fig 2)'!$W$20</c:f>
              <c:strCache>
                <c:ptCount val="1"/>
                <c:pt idx="0">
                  <c:v>February 2024</c:v>
                </c:pt>
              </c:strCache>
            </c:strRef>
          </c:tx>
          <c:spPr>
            <a:solidFill>
              <a:srgbClr val="1192E8"/>
            </a:solidFill>
            <a:ln>
              <a:noFill/>
            </a:ln>
            <a:effectLst/>
          </c:spPr>
          <c:invertIfNegative val="0"/>
          <c:cat>
            <c:strRef>
              <c:f>'Employment (fig 2)'!$Q$22:$Q$29</c:f>
              <c:strCache>
                <c:ptCount val="8"/>
                <c:pt idx="0">
                  <c:v>NSW</c:v>
                </c:pt>
                <c:pt idx="1">
                  <c:v>VIC</c:v>
                </c:pt>
                <c:pt idx="2">
                  <c:v>QLD</c:v>
                </c:pt>
                <c:pt idx="3">
                  <c:v>SA</c:v>
                </c:pt>
                <c:pt idx="4">
                  <c:v>WA</c:v>
                </c:pt>
                <c:pt idx="5">
                  <c:v>TAS</c:v>
                </c:pt>
                <c:pt idx="6">
                  <c:v>NT</c:v>
                </c:pt>
                <c:pt idx="7">
                  <c:v>ACT</c:v>
                </c:pt>
              </c:strCache>
            </c:strRef>
          </c:cat>
          <c:val>
            <c:numRef>
              <c:f>'Employment (fig 2)'!$W$22:$W$29</c:f>
              <c:numCache>
                <c:formatCode>0.0</c:formatCode>
                <c:ptCount val="8"/>
                <c:pt idx="0">
                  <c:v>53.737378053347626</c:v>
                </c:pt>
                <c:pt idx="1">
                  <c:v>54.845094910815007</c:v>
                </c:pt>
                <c:pt idx="2">
                  <c:v>50.41602510720751</c:v>
                </c:pt>
                <c:pt idx="3">
                  <c:v>49.949067709603931</c:v>
                </c:pt>
                <c:pt idx="4">
                  <c:v>51.221822970015971</c:v>
                </c:pt>
                <c:pt idx="5">
                  <c:v>50.381215664585056</c:v>
                </c:pt>
                <c:pt idx="6">
                  <c:v>51.093543037528477</c:v>
                </c:pt>
                <c:pt idx="7">
                  <c:v>60.806703047327829</c:v>
                </c:pt>
              </c:numCache>
            </c:numRef>
          </c:val>
          <c:extLst>
            <c:ext xmlns:c16="http://schemas.microsoft.com/office/drawing/2014/chart" uri="{C3380CC4-5D6E-409C-BE32-E72D297353CC}">
              <c16:uniqueId val="{00000001-A4F2-49A1-8E78-60BDC17F1D6A}"/>
            </c:ext>
          </c:extLst>
        </c:ser>
        <c:dLbls>
          <c:showLegendKey val="0"/>
          <c:showVal val="0"/>
          <c:showCatName val="0"/>
          <c:showSerName val="0"/>
          <c:showPercent val="0"/>
          <c:showBubbleSize val="0"/>
        </c:dLbls>
        <c:gapWidth val="219"/>
        <c:overlap val="-27"/>
        <c:axId val="1577393887"/>
        <c:axId val="1577394847"/>
      </c:barChart>
      <c:catAx>
        <c:axId val="1577393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4847"/>
        <c:crosses val="autoZero"/>
        <c:auto val="1"/>
        <c:lblAlgn val="ctr"/>
        <c:lblOffset val="100"/>
        <c:noMultiLvlLbl val="0"/>
      </c:catAx>
      <c:valAx>
        <c:axId val="1577394847"/>
        <c:scaling>
          <c:orientation val="minMax"/>
          <c:max val="7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a:t>% of employed persons</a:t>
                </a:r>
              </a:p>
            </c:rich>
          </c:tx>
          <c:layout>
            <c:manualLayout>
              <c:xMode val="edge"/>
              <c:yMode val="edge"/>
              <c:x val="6.6231799311483792E-4"/>
              <c:y val="0.1580980665543726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3887"/>
        <c:crosses val="autoZero"/>
        <c:crossBetween val="between"/>
        <c:majorUnit val="10"/>
      </c:valAx>
      <c:spPr>
        <a:noFill/>
        <a:ln>
          <a:noFill/>
        </a:ln>
        <a:effectLst/>
      </c:spPr>
    </c:plotArea>
    <c:legend>
      <c:legendPos val="b"/>
      <c:layout>
        <c:manualLayout>
          <c:xMode val="edge"/>
          <c:yMode val="edge"/>
          <c:x val="0.32365877609867644"/>
          <c:y val="0.91837498690350505"/>
          <c:w val="0.35268244780264707"/>
          <c:h val="8.16250130964949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61112206986538"/>
          <c:y val="9.272360437773973E-2"/>
          <c:w val="0.8710333231293621"/>
          <c:h val="0.78974861067060131"/>
        </c:manualLayout>
      </c:layout>
      <c:barChart>
        <c:barDir val="col"/>
        <c:grouping val="clustered"/>
        <c:varyColors val="0"/>
        <c:ser>
          <c:idx val="0"/>
          <c:order val="0"/>
          <c:tx>
            <c:strRef>
              <c:f>'Unemployment (fig 3)'!$A$24</c:f>
              <c:strCache>
                <c:ptCount val="1"/>
                <c:pt idx="0">
                  <c:v>Unemployment Rate (Trend) by State/Territory</c:v>
                </c:pt>
              </c:strCache>
            </c:strRef>
          </c:tx>
          <c:spPr>
            <a:solidFill>
              <a:srgbClr val="6929C4"/>
            </a:solidFill>
            <a:ln>
              <a:noFill/>
            </a:ln>
            <a:effectLst/>
          </c:spPr>
          <c:invertIfNegative val="0"/>
          <c:cat>
            <c:strRef>
              <c:f>'Unemployment (fig 3)'!$B$26:$B$34</c:f>
              <c:strCache>
                <c:ptCount val="9"/>
                <c:pt idx="0">
                  <c:v>NSW</c:v>
                </c:pt>
                <c:pt idx="1">
                  <c:v>VIC</c:v>
                </c:pt>
                <c:pt idx="2">
                  <c:v>QLD</c:v>
                </c:pt>
                <c:pt idx="3">
                  <c:v>SA</c:v>
                </c:pt>
                <c:pt idx="4">
                  <c:v>WA</c:v>
                </c:pt>
                <c:pt idx="5">
                  <c:v>TAS</c:v>
                </c:pt>
                <c:pt idx="6">
                  <c:v>NT</c:v>
                </c:pt>
                <c:pt idx="7">
                  <c:v>ACT</c:v>
                </c:pt>
                <c:pt idx="8">
                  <c:v>AUS</c:v>
                </c:pt>
              </c:strCache>
            </c:strRef>
          </c:cat>
          <c:val>
            <c:numRef>
              <c:f>'Unemployment (fig 3)'!$D$26:$D$34</c:f>
              <c:numCache>
                <c:formatCode>0.0;\-0.0;0.0;@</c:formatCode>
                <c:ptCount val="9"/>
                <c:pt idx="0">
                  <c:v>3.6311708</c:v>
                </c:pt>
                <c:pt idx="1">
                  <c:v>3.9206905000000001</c:v>
                </c:pt>
                <c:pt idx="2">
                  <c:v>4.0283823999999999</c:v>
                </c:pt>
                <c:pt idx="3">
                  <c:v>3.7541038000000002</c:v>
                </c:pt>
                <c:pt idx="4">
                  <c:v>3.8351687999999999</c:v>
                </c:pt>
                <c:pt idx="5">
                  <c:v>4.2786305000000002</c:v>
                </c:pt>
                <c:pt idx="6">
                  <c:v>4.4708592999999999</c:v>
                </c:pt>
                <c:pt idx="7">
                  <c:v>4.1666106000000003</c:v>
                </c:pt>
                <c:pt idx="8">
                  <c:v>3.8000465999999999</c:v>
                </c:pt>
              </c:numCache>
            </c:numRef>
          </c:val>
          <c:extLst>
            <c:ext xmlns:c16="http://schemas.microsoft.com/office/drawing/2014/chart" uri="{C3380CC4-5D6E-409C-BE32-E72D297353CC}">
              <c16:uniqueId val="{00000000-E6B6-41F9-A0F7-37B923DF2E6C}"/>
            </c:ext>
          </c:extLst>
        </c:ser>
        <c:dLbls>
          <c:showLegendKey val="0"/>
          <c:showVal val="0"/>
          <c:showCatName val="0"/>
          <c:showSerName val="0"/>
          <c:showPercent val="0"/>
          <c:showBubbleSize val="0"/>
        </c:dLbls>
        <c:gapWidth val="219"/>
        <c:overlap val="-27"/>
        <c:axId val="1282870704"/>
        <c:axId val="693162159"/>
      </c:barChart>
      <c:catAx>
        <c:axId val="128287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162159"/>
        <c:crosses val="autoZero"/>
        <c:auto val="1"/>
        <c:lblAlgn val="ctr"/>
        <c:lblOffset val="100"/>
        <c:noMultiLvlLbl val="0"/>
      </c:catAx>
      <c:valAx>
        <c:axId val="69316215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a:t>
                </a:r>
                <a:r>
                  <a:rPr lang="en-AU" baseline="0"/>
                  <a:t> Rate (%)</a:t>
                </a:r>
                <a:endParaRPr lang="en-AU"/>
              </a:p>
            </c:rich>
          </c:tx>
          <c:layout>
            <c:manualLayout>
              <c:xMode val="edge"/>
              <c:yMode val="edge"/>
              <c:x val="1.2709470133210067E-2"/>
              <c:y val="0.136466622024153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0;@" sourceLinked="1"/>
        <c:majorTickMark val="none"/>
        <c:minorTickMark val="none"/>
        <c:tickLblPos val="nextTo"/>
        <c:spPr>
          <a:noFill/>
          <a:ln>
            <a:solidFill>
              <a:schemeClr val="bg1">
                <a:alpha val="96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870704"/>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5384287910167"/>
          <c:y val="5.5631777342512137E-2"/>
          <c:w val="0.86450330734897218"/>
          <c:h val="0.75227121000118891"/>
        </c:manualLayout>
      </c:layout>
      <c:barChart>
        <c:barDir val="col"/>
        <c:grouping val="clustered"/>
        <c:varyColors val="0"/>
        <c:ser>
          <c:idx val="0"/>
          <c:order val="0"/>
          <c:tx>
            <c:strRef>
              <c:f>'Migrant Employment (fig 4)'!$G$28</c:f>
              <c:strCache>
                <c:ptCount val="1"/>
                <c:pt idx="0">
                  <c:v>MESC-born persons</c:v>
                </c:pt>
              </c:strCache>
            </c:strRef>
          </c:tx>
          <c:spPr>
            <a:solidFill>
              <a:srgbClr val="6929C4"/>
            </a:solidFill>
            <a:ln>
              <a:noFill/>
            </a:ln>
            <a:effectLst/>
          </c:spPr>
          <c:invertIfNegative val="0"/>
          <c:cat>
            <c:strRef>
              <c:f>'Migrant Employment (fig 4)'!$B$30:$B$37</c:f>
              <c:strCache>
                <c:ptCount val="8"/>
                <c:pt idx="0">
                  <c:v>NSW</c:v>
                </c:pt>
                <c:pt idx="1">
                  <c:v>VIC</c:v>
                </c:pt>
                <c:pt idx="2">
                  <c:v>QLD</c:v>
                </c:pt>
                <c:pt idx="3">
                  <c:v>SA</c:v>
                </c:pt>
                <c:pt idx="4">
                  <c:v>WA</c:v>
                </c:pt>
                <c:pt idx="5">
                  <c:v>TAS</c:v>
                </c:pt>
                <c:pt idx="6">
                  <c:v>NT</c:v>
                </c:pt>
                <c:pt idx="7">
                  <c:v>ACT</c:v>
                </c:pt>
              </c:strCache>
            </c:strRef>
          </c:cat>
          <c:val>
            <c:numRef>
              <c:f>'Migrant Employment (fig 4)'!$G$30:$G$37</c:f>
              <c:numCache>
                <c:formatCode>0.0</c:formatCode>
                <c:ptCount val="8"/>
                <c:pt idx="0">
                  <c:v>7.6</c:v>
                </c:pt>
                <c:pt idx="1">
                  <c:v>6.8</c:v>
                </c:pt>
                <c:pt idx="2">
                  <c:v>13</c:v>
                </c:pt>
                <c:pt idx="3">
                  <c:v>7.1</c:v>
                </c:pt>
                <c:pt idx="4">
                  <c:v>17.8</c:v>
                </c:pt>
                <c:pt idx="5">
                  <c:v>4.7</c:v>
                </c:pt>
                <c:pt idx="6">
                  <c:v>7.4</c:v>
                </c:pt>
                <c:pt idx="7">
                  <c:v>3.8</c:v>
                </c:pt>
              </c:numCache>
            </c:numRef>
          </c:val>
          <c:extLst>
            <c:ext xmlns:c16="http://schemas.microsoft.com/office/drawing/2014/chart" uri="{C3380CC4-5D6E-409C-BE32-E72D297353CC}">
              <c16:uniqueId val="{00000000-825B-4B9C-8857-CEFD01343C7F}"/>
            </c:ext>
          </c:extLst>
        </c:ser>
        <c:ser>
          <c:idx val="1"/>
          <c:order val="1"/>
          <c:tx>
            <c:strRef>
              <c:f>'Migrant Employment (fig 4)'!$H$28</c:f>
              <c:strCache>
                <c:ptCount val="1"/>
                <c:pt idx="0">
                  <c:v>OTMESC-born persons</c:v>
                </c:pt>
              </c:strCache>
            </c:strRef>
          </c:tx>
          <c:spPr>
            <a:solidFill>
              <a:srgbClr val="1192E8"/>
            </a:solidFill>
            <a:ln>
              <a:noFill/>
            </a:ln>
            <a:effectLst/>
          </c:spPr>
          <c:invertIfNegative val="0"/>
          <c:cat>
            <c:strRef>
              <c:f>'Migrant Employment (fig 4)'!$B$30:$B$37</c:f>
              <c:strCache>
                <c:ptCount val="8"/>
                <c:pt idx="0">
                  <c:v>NSW</c:v>
                </c:pt>
                <c:pt idx="1">
                  <c:v>VIC</c:v>
                </c:pt>
                <c:pt idx="2">
                  <c:v>QLD</c:v>
                </c:pt>
                <c:pt idx="3">
                  <c:v>SA</c:v>
                </c:pt>
                <c:pt idx="4">
                  <c:v>WA</c:v>
                </c:pt>
                <c:pt idx="5">
                  <c:v>TAS</c:v>
                </c:pt>
                <c:pt idx="6">
                  <c:v>NT</c:v>
                </c:pt>
                <c:pt idx="7">
                  <c:v>ACT</c:v>
                </c:pt>
              </c:strCache>
            </c:strRef>
          </c:cat>
          <c:val>
            <c:numRef>
              <c:f>'Migrant Employment (fig 4)'!$H$30:$H$37</c:f>
              <c:numCache>
                <c:formatCode>0.0</c:formatCode>
                <c:ptCount val="8"/>
                <c:pt idx="0">
                  <c:v>28.4</c:v>
                </c:pt>
                <c:pt idx="1">
                  <c:v>29.8</c:v>
                </c:pt>
                <c:pt idx="2">
                  <c:v>16.899999999999999</c:v>
                </c:pt>
                <c:pt idx="3">
                  <c:v>19</c:v>
                </c:pt>
                <c:pt idx="4">
                  <c:v>23.5</c:v>
                </c:pt>
                <c:pt idx="5">
                  <c:v>10.9</c:v>
                </c:pt>
                <c:pt idx="6">
                  <c:v>26.6</c:v>
                </c:pt>
                <c:pt idx="7">
                  <c:v>27.4</c:v>
                </c:pt>
              </c:numCache>
            </c:numRef>
          </c:val>
          <c:extLst>
            <c:ext xmlns:c16="http://schemas.microsoft.com/office/drawing/2014/chart" uri="{C3380CC4-5D6E-409C-BE32-E72D297353CC}">
              <c16:uniqueId val="{00000001-825B-4B9C-8857-CEFD01343C7F}"/>
            </c:ext>
          </c:extLst>
        </c:ser>
        <c:ser>
          <c:idx val="2"/>
          <c:order val="2"/>
          <c:tx>
            <c:strRef>
              <c:f>'Migrant Employment (fig 4)'!$I$28</c:f>
              <c:strCache>
                <c:ptCount val="1"/>
                <c:pt idx="0">
                  <c:v>Australia-born persons</c:v>
                </c:pt>
              </c:strCache>
            </c:strRef>
          </c:tx>
          <c:spPr>
            <a:solidFill>
              <a:srgbClr val="005D5D"/>
            </a:solidFill>
            <a:ln>
              <a:noFill/>
            </a:ln>
            <a:effectLst/>
          </c:spPr>
          <c:invertIfNegative val="0"/>
          <c:cat>
            <c:strRef>
              <c:f>'Migrant Employment (fig 4)'!$B$30:$B$37</c:f>
              <c:strCache>
                <c:ptCount val="8"/>
                <c:pt idx="0">
                  <c:v>NSW</c:v>
                </c:pt>
                <c:pt idx="1">
                  <c:v>VIC</c:v>
                </c:pt>
                <c:pt idx="2">
                  <c:v>QLD</c:v>
                </c:pt>
                <c:pt idx="3">
                  <c:v>SA</c:v>
                </c:pt>
                <c:pt idx="4">
                  <c:v>WA</c:v>
                </c:pt>
                <c:pt idx="5">
                  <c:v>TAS</c:v>
                </c:pt>
                <c:pt idx="6">
                  <c:v>NT</c:v>
                </c:pt>
                <c:pt idx="7">
                  <c:v>ACT</c:v>
                </c:pt>
              </c:strCache>
            </c:strRef>
          </c:cat>
          <c:val>
            <c:numRef>
              <c:f>'Migrant Employment (fig 4)'!$I$30:$I$37</c:f>
              <c:numCache>
                <c:formatCode>0.0</c:formatCode>
                <c:ptCount val="8"/>
                <c:pt idx="0">
                  <c:v>64.099999999999994</c:v>
                </c:pt>
                <c:pt idx="1">
                  <c:v>63.4</c:v>
                </c:pt>
                <c:pt idx="2">
                  <c:v>70.2</c:v>
                </c:pt>
                <c:pt idx="3">
                  <c:v>73.900000000000006</c:v>
                </c:pt>
                <c:pt idx="4">
                  <c:v>58.6</c:v>
                </c:pt>
                <c:pt idx="5">
                  <c:v>84.4</c:v>
                </c:pt>
                <c:pt idx="6">
                  <c:v>65.900000000000006</c:v>
                </c:pt>
                <c:pt idx="7">
                  <c:v>68.7</c:v>
                </c:pt>
              </c:numCache>
            </c:numRef>
          </c:val>
          <c:extLst>
            <c:ext xmlns:c16="http://schemas.microsoft.com/office/drawing/2014/chart" uri="{C3380CC4-5D6E-409C-BE32-E72D297353CC}">
              <c16:uniqueId val="{00000002-825B-4B9C-8857-CEFD01343C7F}"/>
            </c:ext>
          </c:extLst>
        </c:ser>
        <c:dLbls>
          <c:showLegendKey val="0"/>
          <c:showVal val="0"/>
          <c:showCatName val="0"/>
          <c:showSerName val="0"/>
          <c:showPercent val="0"/>
          <c:showBubbleSize val="0"/>
        </c:dLbls>
        <c:gapWidth val="219"/>
        <c:overlap val="-27"/>
        <c:axId val="884119568"/>
        <c:axId val="884121008"/>
      </c:barChart>
      <c:catAx>
        <c:axId val="88411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21008"/>
        <c:crosses val="autoZero"/>
        <c:auto val="1"/>
        <c:lblAlgn val="ctr"/>
        <c:lblOffset val="100"/>
        <c:noMultiLvlLbl val="0"/>
      </c:catAx>
      <c:valAx>
        <c:axId val="8841210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of Employment Persons</a:t>
                </a:r>
                <a:endParaRPr lang="en-AU"/>
              </a:p>
            </c:rich>
          </c:tx>
          <c:layout>
            <c:manualLayout>
              <c:xMode val="edge"/>
              <c:yMode val="edge"/>
              <c:x val="1.7352787169825344E-3"/>
              <c:y val="0.255870211345533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1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a:t>Labour</a:t>
            </a:r>
            <a:r>
              <a:rPr lang="en-AU" sz="1200" baseline="0"/>
              <a:t> Force Participation Rate (%)</a:t>
            </a:r>
          </a:p>
        </c:rich>
      </c:tx>
      <c:layout>
        <c:manualLayout>
          <c:xMode val="edge"/>
          <c:yMode val="edge"/>
          <c:x val="0.28134191513231244"/>
          <c:y val="3.719340408025188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'Migrant Unemployment (fig5)'!$Q$32</c:f>
              <c:strCache>
                <c:ptCount val="1"/>
                <c:pt idx="0">
                  <c:v>Australia-born persons</c:v>
                </c:pt>
              </c:strCache>
            </c:strRef>
          </c:tx>
          <c:spPr>
            <a:solidFill>
              <a:srgbClr val="005D5D"/>
            </a:solidFill>
            <a:ln>
              <a:noFill/>
            </a:ln>
            <a:effectLst/>
          </c:spPr>
          <c:invertIfNegative val="0"/>
          <c:cat>
            <c:strRef>
              <c:f>'Migrant Unemployment (fig5)'!$P$33:$P$38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(fig5)'!$Q$33:$Q$38</c:f>
              <c:numCache>
                <c:formatCode>General</c:formatCode>
                <c:ptCount val="6"/>
                <c:pt idx="5" formatCode="0.0">
                  <c:v>67.694072089418341</c:v>
                </c:pt>
              </c:numCache>
            </c:numRef>
          </c:val>
          <c:extLst>
            <c:ext xmlns:c16="http://schemas.microsoft.com/office/drawing/2014/chart" uri="{C3380CC4-5D6E-409C-BE32-E72D297353CC}">
              <c16:uniqueId val="{00000000-C38A-4126-B986-65F698973B71}"/>
            </c:ext>
          </c:extLst>
        </c:ser>
        <c:ser>
          <c:idx val="1"/>
          <c:order val="1"/>
          <c:tx>
            <c:strRef>
              <c:f>'Migrant Unemployment (fig5)'!$R$32</c:f>
              <c:strCache>
                <c:ptCount val="1"/>
                <c:pt idx="0">
                  <c:v>MESC-born persons</c:v>
                </c:pt>
              </c:strCache>
            </c:strRef>
          </c:tx>
          <c:spPr>
            <a:solidFill>
              <a:srgbClr val="6929C4"/>
            </a:solidFill>
            <a:ln>
              <a:noFill/>
            </a:ln>
            <a:effectLst/>
          </c:spPr>
          <c:invertIfNegative val="0"/>
          <c:cat>
            <c:strRef>
              <c:f>'Migrant Unemployment (fig5)'!$P$33:$P$38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(fig5)'!$R$33:$R$38</c:f>
              <c:numCache>
                <c:formatCode>0.0</c:formatCode>
                <c:ptCount val="6"/>
                <c:pt idx="0">
                  <c:v>84.822733911959119</c:v>
                </c:pt>
                <c:pt idx="1">
                  <c:v>84.703312013991834</c:v>
                </c:pt>
                <c:pt idx="2">
                  <c:v>83.854556946965047</c:v>
                </c:pt>
                <c:pt idx="3">
                  <c:v>82.584777628293821</c:v>
                </c:pt>
                <c:pt idx="4">
                  <c:v>53.247920614812571</c:v>
                </c:pt>
              </c:numCache>
            </c:numRef>
          </c:val>
          <c:extLst>
            <c:ext xmlns:c16="http://schemas.microsoft.com/office/drawing/2014/chart" uri="{C3380CC4-5D6E-409C-BE32-E72D297353CC}">
              <c16:uniqueId val="{00000001-C38A-4126-B986-65F698973B71}"/>
            </c:ext>
          </c:extLst>
        </c:ser>
        <c:ser>
          <c:idx val="2"/>
          <c:order val="2"/>
          <c:tx>
            <c:strRef>
              <c:f>'Migrant Unemployment (fig5)'!$S$32</c:f>
              <c:strCache>
                <c:ptCount val="1"/>
                <c:pt idx="0">
                  <c:v>OTMESC-born persons</c:v>
                </c:pt>
              </c:strCache>
            </c:strRef>
          </c:tx>
          <c:spPr>
            <a:solidFill>
              <a:srgbClr val="1192E8"/>
            </a:solidFill>
            <a:ln>
              <a:noFill/>
            </a:ln>
            <a:effectLst/>
          </c:spPr>
          <c:invertIfNegative val="0"/>
          <c:cat>
            <c:strRef>
              <c:f>'Migrant Unemployment (fig5)'!$P$33:$P$38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(fig5)'!$S$33:$S$38</c:f>
              <c:numCache>
                <c:formatCode>0.0</c:formatCode>
                <c:ptCount val="6"/>
                <c:pt idx="0">
                  <c:v>70.163160823326038</c:v>
                </c:pt>
                <c:pt idx="1">
                  <c:v>78.689953195251235</c:v>
                </c:pt>
                <c:pt idx="2">
                  <c:v>78.20605550687651</c:v>
                </c:pt>
                <c:pt idx="3">
                  <c:v>81.66770067941988</c:v>
                </c:pt>
                <c:pt idx="4">
                  <c:v>52.564438736679499</c:v>
                </c:pt>
              </c:numCache>
            </c:numRef>
          </c:val>
          <c:extLst>
            <c:ext xmlns:c16="http://schemas.microsoft.com/office/drawing/2014/chart" uri="{C3380CC4-5D6E-409C-BE32-E72D297353CC}">
              <c16:uniqueId val="{00000002-C38A-4126-B986-65F698973B71}"/>
            </c:ext>
          </c:extLst>
        </c:ser>
        <c:dLbls>
          <c:showLegendKey val="0"/>
          <c:showVal val="0"/>
          <c:showCatName val="0"/>
          <c:showSerName val="0"/>
          <c:showPercent val="0"/>
          <c:showBubbleSize val="0"/>
        </c:dLbls>
        <c:gapWidth val="219"/>
        <c:overlap val="-27"/>
        <c:axId val="620327792"/>
        <c:axId val="620326352"/>
      </c:barChart>
      <c:catAx>
        <c:axId val="62032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6352"/>
        <c:crosses val="autoZero"/>
        <c:auto val="1"/>
        <c:lblAlgn val="ctr"/>
        <c:lblOffset val="100"/>
        <c:noMultiLvlLbl val="0"/>
      </c:catAx>
      <c:valAx>
        <c:axId val="620326352"/>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a:t>Unemployment Rate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9273385198664923E-2"/>
          <c:y val="0.10727823059972391"/>
          <c:w val="0.91635258422300581"/>
          <c:h val="0.74704751022841376"/>
        </c:manualLayout>
      </c:layout>
      <c:barChart>
        <c:barDir val="col"/>
        <c:grouping val="clustered"/>
        <c:varyColors val="0"/>
        <c:ser>
          <c:idx val="0"/>
          <c:order val="0"/>
          <c:tx>
            <c:strRef>
              <c:f>'Migrant Unemployment (fig5)'!$Q$40</c:f>
              <c:strCache>
                <c:ptCount val="1"/>
                <c:pt idx="0">
                  <c:v>Australia-born persons</c:v>
                </c:pt>
              </c:strCache>
            </c:strRef>
          </c:tx>
          <c:spPr>
            <a:solidFill>
              <a:srgbClr val="005D5D"/>
            </a:solidFill>
            <a:ln>
              <a:noFill/>
            </a:ln>
            <a:effectLst/>
          </c:spPr>
          <c:invertIfNegative val="0"/>
          <c:cat>
            <c:strRef>
              <c:f>'Migrant Unemployment (fig5)'!$P$41:$P$46</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(fig5)'!$Q$41:$Q$46</c:f>
              <c:numCache>
                <c:formatCode>General</c:formatCode>
                <c:ptCount val="6"/>
                <c:pt idx="5" formatCode="0.0">
                  <c:v>3.7915067853174915</c:v>
                </c:pt>
              </c:numCache>
            </c:numRef>
          </c:val>
          <c:extLst>
            <c:ext xmlns:c16="http://schemas.microsoft.com/office/drawing/2014/chart" uri="{C3380CC4-5D6E-409C-BE32-E72D297353CC}">
              <c16:uniqueId val="{00000000-A4CC-4E02-A76F-9B4DDAA1FB5D}"/>
            </c:ext>
          </c:extLst>
        </c:ser>
        <c:ser>
          <c:idx val="1"/>
          <c:order val="1"/>
          <c:tx>
            <c:strRef>
              <c:f>'Migrant Unemployment (fig5)'!$R$40</c:f>
              <c:strCache>
                <c:ptCount val="1"/>
                <c:pt idx="0">
                  <c:v>MESC-born persons</c:v>
                </c:pt>
              </c:strCache>
            </c:strRef>
          </c:tx>
          <c:spPr>
            <a:solidFill>
              <a:srgbClr val="6929C4"/>
            </a:solidFill>
            <a:ln>
              <a:noFill/>
            </a:ln>
            <a:effectLst/>
          </c:spPr>
          <c:invertIfNegative val="0"/>
          <c:cat>
            <c:strRef>
              <c:f>'Migrant Unemployment (fig5)'!$P$41:$P$46</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(fig5)'!$R$41:$R$46</c:f>
              <c:numCache>
                <c:formatCode>0.0</c:formatCode>
                <c:ptCount val="6"/>
                <c:pt idx="0">
                  <c:v>4.6388653811097003</c:v>
                </c:pt>
                <c:pt idx="1">
                  <c:v>3.2159991940105748</c:v>
                </c:pt>
                <c:pt idx="2">
                  <c:v>2.4532351323237442</c:v>
                </c:pt>
                <c:pt idx="3">
                  <c:v>2.7456067078491424</c:v>
                </c:pt>
                <c:pt idx="4">
                  <c:v>2.6201201535264853</c:v>
                </c:pt>
              </c:numCache>
            </c:numRef>
          </c:val>
          <c:extLst>
            <c:ext xmlns:c16="http://schemas.microsoft.com/office/drawing/2014/chart" uri="{C3380CC4-5D6E-409C-BE32-E72D297353CC}">
              <c16:uniqueId val="{00000001-A4CC-4E02-A76F-9B4DDAA1FB5D}"/>
            </c:ext>
          </c:extLst>
        </c:ser>
        <c:ser>
          <c:idx val="2"/>
          <c:order val="2"/>
          <c:tx>
            <c:strRef>
              <c:f>'Migrant Unemployment (fig5)'!$S$40</c:f>
              <c:strCache>
                <c:ptCount val="1"/>
                <c:pt idx="0">
                  <c:v>OTMESC-born persons</c:v>
                </c:pt>
              </c:strCache>
            </c:strRef>
          </c:tx>
          <c:spPr>
            <a:solidFill>
              <a:srgbClr val="1192E8"/>
            </a:solidFill>
            <a:ln>
              <a:noFill/>
            </a:ln>
            <a:effectLst/>
          </c:spPr>
          <c:invertIfNegative val="0"/>
          <c:cat>
            <c:strRef>
              <c:f>'Migrant Unemployment (fig5)'!$P$41:$P$46</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(fig5)'!$S$41:$S$46</c:f>
              <c:numCache>
                <c:formatCode>0.0</c:formatCode>
                <c:ptCount val="6"/>
                <c:pt idx="0">
                  <c:v>6.1458474999405963</c:v>
                </c:pt>
                <c:pt idx="1">
                  <c:v>3.700149891421046</c:v>
                </c:pt>
                <c:pt idx="2">
                  <c:v>4.2710840917358386</c:v>
                </c:pt>
                <c:pt idx="3">
                  <c:v>3.4016281292971704</c:v>
                </c:pt>
                <c:pt idx="4">
                  <c:v>3.0413596061359431</c:v>
                </c:pt>
              </c:numCache>
            </c:numRef>
          </c:val>
          <c:extLst>
            <c:ext xmlns:c16="http://schemas.microsoft.com/office/drawing/2014/chart" uri="{C3380CC4-5D6E-409C-BE32-E72D297353CC}">
              <c16:uniqueId val="{00000002-A4CC-4E02-A76F-9B4DDAA1FB5D}"/>
            </c:ext>
          </c:extLst>
        </c:ser>
        <c:dLbls>
          <c:showLegendKey val="0"/>
          <c:showVal val="0"/>
          <c:showCatName val="0"/>
          <c:showSerName val="0"/>
          <c:showPercent val="0"/>
          <c:showBubbleSize val="0"/>
        </c:dLbls>
        <c:gapWidth val="219"/>
        <c:overlap val="-27"/>
        <c:axId val="791952736"/>
        <c:axId val="791953216"/>
      </c:barChart>
      <c:catAx>
        <c:axId val="79195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3216"/>
        <c:crosses val="autoZero"/>
        <c:auto val="1"/>
        <c:lblAlgn val="ctr"/>
        <c:lblOffset val="100"/>
        <c:noMultiLvlLbl val="0"/>
      </c:catAx>
      <c:valAx>
        <c:axId val="791953216"/>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2736"/>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036300089738124E-2"/>
          <c:y val="4.2230546741990407E-2"/>
          <c:w val="0.90111194326930211"/>
          <c:h val="0.46979986892508901"/>
        </c:manualLayout>
      </c:layout>
      <c:barChart>
        <c:barDir val="col"/>
        <c:grouping val="clustered"/>
        <c:varyColors val="0"/>
        <c:ser>
          <c:idx val="0"/>
          <c:order val="0"/>
          <c:tx>
            <c:strRef>
              <c:f>'Migrant Unemployment (fig6)'!$P$40</c:f>
              <c:strCache>
                <c:ptCount val="1"/>
                <c:pt idx="0">
                  <c:v>Unemployment Rate (%) at February 2024 (average of the last 12 months to February 2024)</c:v>
                </c:pt>
              </c:strCache>
            </c:strRef>
          </c:tx>
          <c:spPr>
            <a:solidFill>
              <a:srgbClr val="6929C4"/>
            </a:solidFill>
            <a:ln>
              <a:noFill/>
            </a:ln>
            <a:effectLst/>
          </c:spPr>
          <c:invertIfNegative val="0"/>
          <c:cat>
            <c:strRef>
              <c:f>'Migrant Unemployment (fig6)'!$O$41:$O$52</c:f>
              <c:strCache>
                <c:ptCount val="12"/>
                <c:pt idx="0">
                  <c:v>North-West Europe</c:v>
                </c:pt>
                <c:pt idx="1">
                  <c:v>Southern and Eastern Europe</c:v>
                </c:pt>
                <c:pt idx="2">
                  <c:v>South-East Asia</c:v>
                </c:pt>
                <c:pt idx="3">
                  <c:v>North-East Asia</c:v>
                </c:pt>
                <c:pt idx="4">
                  <c:v>Americas</c:v>
                </c:pt>
                <c:pt idx="5">
                  <c:v>Australia (includes External Territories)</c:v>
                </c:pt>
                <c:pt idx="6">
                  <c:v>Oceania and Antarctica</c:v>
                </c:pt>
                <c:pt idx="7">
                  <c:v>Southern and Central Asia</c:v>
                </c:pt>
                <c:pt idx="8">
                  <c:v>Sub-Saharan Africa</c:v>
                </c:pt>
                <c:pt idx="9">
                  <c:v>North Africa and the Middle East</c:v>
                </c:pt>
                <c:pt idx="10">
                  <c:v>MESC</c:v>
                </c:pt>
                <c:pt idx="11">
                  <c:v>OTMESC</c:v>
                </c:pt>
              </c:strCache>
            </c:strRef>
          </c:cat>
          <c:val>
            <c:numRef>
              <c:f>'Migrant Unemployment (fig6)'!$P$41:$P$52</c:f>
              <c:numCache>
                <c:formatCode>0.0</c:formatCode>
                <c:ptCount val="12"/>
                <c:pt idx="0">
                  <c:v>2.4610566600460979</c:v>
                </c:pt>
                <c:pt idx="1">
                  <c:v>2.945323335375801</c:v>
                </c:pt>
                <c:pt idx="2">
                  <c:v>3.3199022353237981</c:v>
                </c:pt>
                <c:pt idx="3">
                  <c:v>3.4686990631349897</c:v>
                </c:pt>
                <c:pt idx="4">
                  <c:v>3.6108913353582324</c:v>
                </c:pt>
                <c:pt idx="5">
                  <c:v>3.7915067852141404</c:v>
                </c:pt>
                <c:pt idx="6">
                  <c:v>3.8488001746026193</c:v>
                </c:pt>
                <c:pt idx="7">
                  <c:v>3.8666572104808159</c:v>
                </c:pt>
                <c:pt idx="8">
                  <c:v>4.2096590985753624</c:v>
                </c:pt>
                <c:pt idx="9">
                  <c:v>7.7067903454692788</c:v>
                </c:pt>
                <c:pt idx="10">
                  <c:v>2.8496439922943795</c:v>
                </c:pt>
                <c:pt idx="11">
                  <c:v>3.9340641112968893</c:v>
                </c:pt>
              </c:numCache>
            </c:numRef>
          </c:val>
          <c:extLst>
            <c:ext xmlns:c16="http://schemas.microsoft.com/office/drawing/2014/chart" uri="{C3380CC4-5D6E-409C-BE32-E72D297353CC}">
              <c16:uniqueId val="{00000000-F491-4FDD-AA7B-85F697CC5D44}"/>
            </c:ext>
          </c:extLst>
        </c:ser>
        <c:dLbls>
          <c:showLegendKey val="0"/>
          <c:showVal val="0"/>
          <c:showCatName val="0"/>
          <c:showSerName val="0"/>
          <c:showPercent val="0"/>
          <c:showBubbleSize val="0"/>
        </c:dLbls>
        <c:gapWidth val="219"/>
        <c:overlap val="-27"/>
        <c:axId val="1660642320"/>
        <c:axId val="1660661520"/>
      </c:barChart>
      <c:catAx>
        <c:axId val="166064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61520"/>
        <c:crosses val="autoZero"/>
        <c:auto val="1"/>
        <c:lblAlgn val="ctr"/>
        <c:lblOffset val="100"/>
        <c:noMultiLvlLbl val="0"/>
      </c:catAx>
      <c:valAx>
        <c:axId val="1660661520"/>
        <c:scaling>
          <c:orientation val="minMax"/>
          <c:max val="8"/>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a:t>
                </a:r>
                <a:r>
                  <a:rPr lang="en-AU" baseline="0"/>
                  <a:t> Rate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42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682622503512364E-2"/>
          <c:y val="6.7925596256989615E-2"/>
          <c:w val="0.92400764878572628"/>
          <c:h val="0.66564296854197558"/>
        </c:manualLayout>
      </c:layout>
      <c:lineChart>
        <c:grouping val="standard"/>
        <c:varyColors val="0"/>
        <c:ser>
          <c:idx val="0"/>
          <c:order val="0"/>
          <c:tx>
            <c:strRef>
              <c:f>'IVI (fig7)'!$B$30</c:f>
              <c:strCache>
                <c:ptCount val="1"/>
                <c:pt idx="0">
                  <c:v>Australian Total</c:v>
                </c:pt>
              </c:strCache>
            </c:strRef>
          </c:tx>
          <c:spPr>
            <a:ln w="28575" cap="rnd">
              <a:solidFill>
                <a:srgbClr val="6929C4"/>
              </a:solidFill>
              <a:round/>
            </a:ln>
            <a:effectLst/>
          </c:spPr>
          <c:marker>
            <c:symbol val="none"/>
          </c:marker>
          <c:cat>
            <c:numRef>
              <c:f>'IVI (fig7)'!$A$31:$A$249</c:f>
              <c:numCache>
                <c:formatCode>mmm\-yy</c:formatCode>
                <c:ptCount val="219"/>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numCache>
            </c:numRef>
          </c:cat>
          <c:val>
            <c:numRef>
              <c:f>'IVI (fig7)'!$B$31:$B$249</c:f>
              <c:numCache>
                <c:formatCode>General</c:formatCode>
                <c:ptCount val="219"/>
                <c:pt idx="0">
                  <c:v>100</c:v>
                </c:pt>
                <c:pt idx="1">
                  <c:v>101.2</c:v>
                </c:pt>
                <c:pt idx="2">
                  <c:v>102.3</c:v>
                </c:pt>
                <c:pt idx="3">
                  <c:v>102.9</c:v>
                </c:pt>
                <c:pt idx="4">
                  <c:v>103</c:v>
                </c:pt>
                <c:pt idx="5">
                  <c:v>103</c:v>
                </c:pt>
                <c:pt idx="6">
                  <c:v>103.8</c:v>
                </c:pt>
                <c:pt idx="7">
                  <c:v>105.6</c:v>
                </c:pt>
                <c:pt idx="8">
                  <c:v>107.8</c:v>
                </c:pt>
                <c:pt idx="9">
                  <c:v>110</c:v>
                </c:pt>
                <c:pt idx="10">
                  <c:v>111.9</c:v>
                </c:pt>
                <c:pt idx="11">
                  <c:v>114</c:v>
                </c:pt>
                <c:pt idx="12">
                  <c:v>116.8</c:v>
                </c:pt>
                <c:pt idx="13">
                  <c:v>120.1</c:v>
                </c:pt>
                <c:pt idx="14">
                  <c:v>123</c:v>
                </c:pt>
                <c:pt idx="15">
                  <c:v>125</c:v>
                </c:pt>
                <c:pt idx="16">
                  <c:v>126.5</c:v>
                </c:pt>
                <c:pt idx="17">
                  <c:v>128.19999999999999</c:v>
                </c:pt>
                <c:pt idx="18">
                  <c:v>129.80000000000001</c:v>
                </c:pt>
                <c:pt idx="19">
                  <c:v>131.4</c:v>
                </c:pt>
                <c:pt idx="20">
                  <c:v>132.80000000000001</c:v>
                </c:pt>
                <c:pt idx="21">
                  <c:v>134.69999999999999</c:v>
                </c:pt>
                <c:pt idx="22">
                  <c:v>137.19999999999999</c:v>
                </c:pt>
                <c:pt idx="23">
                  <c:v>140</c:v>
                </c:pt>
                <c:pt idx="24">
                  <c:v>142</c:v>
                </c:pt>
                <c:pt idx="25">
                  <c:v>142.69999999999999</c:v>
                </c:pt>
                <c:pt idx="26">
                  <c:v>142.6</c:v>
                </c:pt>
                <c:pt idx="27">
                  <c:v>142.30000000000001</c:v>
                </c:pt>
                <c:pt idx="28">
                  <c:v>141.4</c:v>
                </c:pt>
                <c:pt idx="29">
                  <c:v>138.9</c:v>
                </c:pt>
                <c:pt idx="30">
                  <c:v>134.5</c:v>
                </c:pt>
                <c:pt idx="31">
                  <c:v>128.80000000000001</c:v>
                </c:pt>
                <c:pt idx="32">
                  <c:v>122.7</c:v>
                </c:pt>
                <c:pt idx="33">
                  <c:v>116.1</c:v>
                </c:pt>
                <c:pt idx="34">
                  <c:v>108.9</c:v>
                </c:pt>
                <c:pt idx="35">
                  <c:v>100.8</c:v>
                </c:pt>
                <c:pt idx="36">
                  <c:v>92.7</c:v>
                </c:pt>
                <c:pt idx="37">
                  <c:v>85.6</c:v>
                </c:pt>
                <c:pt idx="38">
                  <c:v>80.3</c:v>
                </c:pt>
                <c:pt idx="39">
                  <c:v>76.900000000000006</c:v>
                </c:pt>
                <c:pt idx="40">
                  <c:v>75</c:v>
                </c:pt>
                <c:pt idx="41">
                  <c:v>74.5</c:v>
                </c:pt>
                <c:pt idx="42">
                  <c:v>75.099999999999994</c:v>
                </c:pt>
                <c:pt idx="43">
                  <c:v>76.2</c:v>
                </c:pt>
                <c:pt idx="44">
                  <c:v>77.2</c:v>
                </c:pt>
                <c:pt idx="45">
                  <c:v>78.2</c:v>
                </c:pt>
                <c:pt idx="46">
                  <c:v>79.2</c:v>
                </c:pt>
                <c:pt idx="47">
                  <c:v>80.400000000000006</c:v>
                </c:pt>
                <c:pt idx="48">
                  <c:v>81.5</c:v>
                </c:pt>
                <c:pt idx="49">
                  <c:v>82.7</c:v>
                </c:pt>
                <c:pt idx="50">
                  <c:v>83.8</c:v>
                </c:pt>
                <c:pt idx="51">
                  <c:v>85</c:v>
                </c:pt>
                <c:pt idx="52">
                  <c:v>86.1</c:v>
                </c:pt>
                <c:pt idx="53">
                  <c:v>87.3</c:v>
                </c:pt>
                <c:pt idx="54">
                  <c:v>88.9</c:v>
                </c:pt>
                <c:pt idx="55">
                  <c:v>90.7</c:v>
                </c:pt>
                <c:pt idx="56">
                  <c:v>93</c:v>
                </c:pt>
                <c:pt idx="57">
                  <c:v>95.2</c:v>
                </c:pt>
                <c:pt idx="58">
                  <c:v>96.9</c:v>
                </c:pt>
                <c:pt idx="59">
                  <c:v>98.3</c:v>
                </c:pt>
                <c:pt idx="60">
                  <c:v>99.3</c:v>
                </c:pt>
                <c:pt idx="61">
                  <c:v>100.1</c:v>
                </c:pt>
                <c:pt idx="62">
                  <c:v>100.1</c:v>
                </c:pt>
                <c:pt idx="63">
                  <c:v>99.4</c:v>
                </c:pt>
                <c:pt idx="64">
                  <c:v>98.4</c:v>
                </c:pt>
                <c:pt idx="65">
                  <c:v>97.2</c:v>
                </c:pt>
                <c:pt idx="66">
                  <c:v>95.8</c:v>
                </c:pt>
                <c:pt idx="67">
                  <c:v>94.2</c:v>
                </c:pt>
                <c:pt idx="68">
                  <c:v>92.9</c:v>
                </c:pt>
                <c:pt idx="69">
                  <c:v>91.9</c:v>
                </c:pt>
                <c:pt idx="70">
                  <c:v>91.3</c:v>
                </c:pt>
                <c:pt idx="71">
                  <c:v>91</c:v>
                </c:pt>
                <c:pt idx="72">
                  <c:v>90.7</c:v>
                </c:pt>
                <c:pt idx="73">
                  <c:v>90.1</c:v>
                </c:pt>
                <c:pt idx="74">
                  <c:v>89.2</c:v>
                </c:pt>
                <c:pt idx="75">
                  <c:v>87.6</c:v>
                </c:pt>
                <c:pt idx="76">
                  <c:v>85.1</c:v>
                </c:pt>
                <c:pt idx="77">
                  <c:v>82.5</c:v>
                </c:pt>
                <c:pt idx="78">
                  <c:v>80.400000000000006</c:v>
                </c:pt>
                <c:pt idx="79">
                  <c:v>78.7</c:v>
                </c:pt>
                <c:pt idx="80">
                  <c:v>77</c:v>
                </c:pt>
                <c:pt idx="81">
                  <c:v>75</c:v>
                </c:pt>
                <c:pt idx="82">
                  <c:v>72.8</c:v>
                </c:pt>
                <c:pt idx="83">
                  <c:v>70.8</c:v>
                </c:pt>
                <c:pt idx="84">
                  <c:v>69.2</c:v>
                </c:pt>
                <c:pt idx="85">
                  <c:v>67.8</c:v>
                </c:pt>
                <c:pt idx="86">
                  <c:v>66.7</c:v>
                </c:pt>
                <c:pt idx="87">
                  <c:v>66</c:v>
                </c:pt>
                <c:pt idx="88">
                  <c:v>65.8</c:v>
                </c:pt>
                <c:pt idx="89">
                  <c:v>65.8</c:v>
                </c:pt>
                <c:pt idx="90">
                  <c:v>65.7</c:v>
                </c:pt>
                <c:pt idx="91">
                  <c:v>65.5</c:v>
                </c:pt>
                <c:pt idx="92">
                  <c:v>65.3</c:v>
                </c:pt>
                <c:pt idx="93">
                  <c:v>65.2</c:v>
                </c:pt>
                <c:pt idx="94">
                  <c:v>65.5</c:v>
                </c:pt>
                <c:pt idx="95">
                  <c:v>66.3</c:v>
                </c:pt>
                <c:pt idx="96">
                  <c:v>67</c:v>
                </c:pt>
                <c:pt idx="97">
                  <c:v>67.599999999999994</c:v>
                </c:pt>
                <c:pt idx="98">
                  <c:v>68.400000000000006</c:v>
                </c:pt>
                <c:pt idx="99">
                  <c:v>69.3</c:v>
                </c:pt>
                <c:pt idx="100">
                  <c:v>70.400000000000006</c:v>
                </c:pt>
                <c:pt idx="101">
                  <c:v>71.5</c:v>
                </c:pt>
                <c:pt idx="102">
                  <c:v>72.3</c:v>
                </c:pt>
                <c:pt idx="103">
                  <c:v>72.599999999999994</c:v>
                </c:pt>
                <c:pt idx="104">
                  <c:v>72.400000000000006</c:v>
                </c:pt>
                <c:pt idx="105">
                  <c:v>72.2</c:v>
                </c:pt>
                <c:pt idx="106">
                  <c:v>71.900000000000006</c:v>
                </c:pt>
                <c:pt idx="107">
                  <c:v>71.8</c:v>
                </c:pt>
                <c:pt idx="108">
                  <c:v>72.400000000000006</c:v>
                </c:pt>
                <c:pt idx="109">
                  <c:v>73</c:v>
                </c:pt>
                <c:pt idx="110">
                  <c:v>73.2</c:v>
                </c:pt>
                <c:pt idx="111">
                  <c:v>72.7</c:v>
                </c:pt>
                <c:pt idx="112">
                  <c:v>71.900000000000006</c:v>
                </c:pt>
                <c:pt idx="113">
                  <c:v>71.7</c:v>
                </c:pt>
                <c:pt idx="114">
                  <c:v>72.2</c:v>
                </c:pt>
                <c:pt idx="115">
                  <c:v>73.400000000000006</c:v>
                </c:pt>
                <c:pt idx="116">
                  <c:v>74.7</c:v>
                </c:pt>
                <c:pt idx="117">
                  <c:v>75.8</c:v>
                </c:pt>
                <c:pt idx="118">
                  <c:v>76.400000000000006</c:v>
                </c:pt>
                <c:pt idx="119">
                  <c:v>76.5</c:v>
                </c:pt>
                <c:pt idx="120">
                  <c:v>76.2</c:v>
                </c:pt>
                <c:pt idx="121">
                  <c:v>76.099999999999994</c:v>
                </c:pt>
                <c:pt idx="122">
                  <c:v>76.3</c:v>
                </c:pt>
                <c:pt idx="123">
                  <c:v>76.8</c:v>
                </c:pt>
                <c:pt idx="124">
                  <c:v>77.3</c:v>
                </c:pt>
                <c:pt idx="125">
                  <c:v>77.400000000000006</c:v>
                </c:pt>
                <c:pt idx="126">
                  <c:v>77.2</c:v>
                </c:pt>
                <c:pt idx="127">
                  <c:v>76.8</c:v>
                </c:pt>
                <c:pt idx="128">
                  <c:v>76.400000000000006</c:v>
                </c:pt>
                <c:pt idx="129">
                  <c:v>76.099999999999994</c:v>
                </c:pt>
                <c:pt idx="130">
                  <c:v>75.900000000000006</c:v>
                </c:pt>
                <c:pt idx="131">
                  <c:v>76</c:v>
                </c:pt>
                <c:pt idx="132">
                  <c:v>76.3</c:v>
                </c:pt>
                <c:pt idx="133">
                  <c:v>76.900000000000006</c:v>
                </c:pt>
                <c:pt idx="134">
                  <c:v>78</c:v>
                </c:pt>
                <c:pt idx="135">
                  <c:v>79.599999999999994</c:v>
                </c:pt>
                <c:pt idx="136">
                  <c:v>81.099999999999994</c:v>
                </c:pt>
                <c:pt idx="137">
                  <c:v>82.1</c:v>
                </c:pt>
                <c:pt idx="138">
                  <c:v>82.4</c:v>
                </c:pt>
                <c:pt idx="139">
                  <c:v>82.4</c:v>
                </c:pt>
                <c:pt idx="140">
                  <c:v>82.4</c:v>
                </c:pt>
                <c:pt idx="141">
                  <c:v>82.4</c:v>
                </c:pt>
                <c:pt idx="142">
                  <c:v>82.3</c:v>
                </c:pt>
                <c:pt idx="143">
                  <c:v>82.6</c:v>
                </c:pt>
                <c:pt idx="144">
                  <c:v>83.7</c:v>
                </c:pt>
                <c:pt idx="145">
                  <c:v>85.4</c:v>
                </c:pt>
                <c:pt idx="146">
                  <c:v>86.9</c:v>
                </c:pt>
                <c:pt idx="147">
                  <c:v>87.5</c:v>
                </c:pt>
                <c:pt idx="148">
                  <c:v>87.3</c:v>
                </c:pt>
                <c:pt idx="149">
                  <c:v>86.7</c:v>
                </c:pt>
                <c:pt idx="150">
                  <c:v>86</c:v>
                </c:pt>
                <c:pt idx="151">
                  <c:v>85.3</c:v>
                </c:pt>
                <c:pt idx="152">
                  <c:v>84.2</c:v>
                </c:pt>
                <c:pt idx="153">
                  <c:v>83.3</c:v>
                </c:pt>
                <c:pt idx="154">
                  <c:v>83.4</c:v>
                </c:pt>
                <c:pt idx="155">
                  <c:v>84.1</c:v>
                </c:pt>
                <c:pt idx="156">
                  <c:v>84.5</c:v>
                </c:pt>
                <c:pt idx="157">
                  <c:v>84</c:v>
                </c:pt>
                <c:pt idx="158">
                  <c:v>83</c:v>
                </c:pt>
                <c:pt idx="159">
                  <c:v>82.1</c:v>
                </c:pt>
                <c:pt idx="160">
                  <c:v>81.599999999999994</c:v>
                </c:pt>
                <c:pt idx="161">
                  <c:v>81.3</c:v>
                </c:pt>
                <c:pt idx="162">
                  <c:v>80.8</c:v>
                </c:pt>
                <c:pt idx="163">
                  <c:v>79.5</c:v>
                </c:pt>
                <c:pt idx="164">
                  <c:v>78.099999999999994</c:v>
                </c:pt>
                <c:pt idx="165">
                  <c:v>76.5</c:v>
                </c:pt>
                <c:pt idx="166">
                  <c:v>74.400000000000006</c:v>
                </c:pt>
                <c:pt idx="167">
                  <c:v>71.400000000000006</c:v>
                </c:pt>
                <c:pt idx="168">
                  <c:v>67</c:v>
                </c:pt>
                <c:pt idx="169">
                  <c:v>61.4</c:v>
                </c:pt>
                <c:pt idx="170">
                  <c:v>56</c:v>
                </c:pt>
                <c:pt idx="171">
                  <c:v>52.8</c:v>
                </c:pt>
                <c:pt idx="172">
                  <c:v>52.7</c:v>
                </c:pt>
                <c:pt idx="173">
                  <c:v>55.1</c:v>
                </c:pt>
                <c:pt idx="174">
                  <c:v>59.3</c:v>
                </c:pt>
                <c:pt idx="175">
                  <c:v>64.3</c:v>
                </c:pt>
                <c:pt idx="176">
                  <c:v>70</c:v>
                </c:pt>
                <c:pt idx="177">
                  <c:v>75.7</c:v>
                </c:pt>
                <c:pt idx="178">
                  <c:v>80.8</c:v>
                </c:pt>
                <c:pt idx="179">
                  <c:v>85.6</c:v>
                </c:pt>
                <c:pt idx="180">
                  <c:v>90.9</c:v>
                </c:pt>
                <c:pt idx="181">
                  <c:v>97.2</c:v>
                </c:pt>
                <c:pt idx="182">
                  <c:v>103.4</c:v>
                </c:pt>
                <c:pt idx="183">
                  <c:v>107.7</c:v>
                </c:pt>
                <c:pt idx="184">
                  <c:v>109.2</c:v>
                </c:pt>
                <c:pt idx="185">
                  <c:v>108.5</c:v>
                </c:pt>
                <c:pt idx="186">
                  <c:v>108</c:v>
                </c:pt>
                <c:pt idx="187">
                  <c:v>109.5</c:v>
                </c:pt>
                <c:pt idx="188">
                  <c:v>112.8</c:v>
                </c:pt>
                <c:pt idx="189">
                  <c:v>116.7</c:v>
                </c:pt>
                <c:pt idx="190">
                  <c:v>120.2</c:v>
                </c:pt>
                <c:pt idx="191">
                  <c:v>123.3</c:v>
                </c:pt>
                <c:pt idx="192">
                  <c:v>126.2</c:v>
                </c:pt>
                <c:pt idx="193">
                  <c:v>129.4</c:v>
                </c:pt>
                <c:pt idx="194">
                  <c:v>133.1</c:v>
                </c:pt>
                <c:pt idx="195">
                  <c:v>136.30000000000001</c:v>
                </c:pt>
                <c:pt idx="196">
                  <c:v>138.5</c:v>
                </c:pt>
                <c:pt idx="197">
                  <c:v>139.1</c:v>
                </c:pt>
                <c:pt idx="198">
                  <c:v>138.30000000000001</c:v>
                </c:pt>
                <c:pt idx="199">
                  <c:v>136.30000000000001</c:v>
                </c:pt>
                <c:pt idx="200">
                  <c:v>133.80000000000001</c:v>
                </c:pt>
                <c:pt idx="201">
                  <c:v>131.6</c:v>
                </c:pt>
                <c:pt idx="202">
                  <c:v>130.4</c:v>
                </c:pt>
                <c:pt idx="203">
                  <c:v>130.1</c:v>
                </c:pt>
                <c:pt idx="204">
                  <c:v>131.1</c:v>
                </c:pt>
                <c:pt idx="205">
                  <c:v>132.69999999999999</c:v>
                </c:pt>
                <c:pt idx="206">
                  <c:v>133.9</c:v>
                </c:pt>
                <c:pt idx="207">
                  <c:v>133.69999999999999</c:v>
                </c:pt>
                <c:pt idx="208">
                  <c:v>132.6</c:v>
                </c:pt>
                <c:pt idx="209">
                  <c:v>131.30000000000001</c:v>
                </c:pt>
                <c:pt idx="210">
                  <c:v>129.69999999999999</c:v>
                </c:pt>
                <c:pt idx="211">
                  <c:v>127.6</c:v>
                </c:pt>
                <c:pt idx="212">
                  <c:v>125.3</c:v>
                </c:pt>
                <c:pt idx="213">
                  <c:v>122.9</c:v>
                </c:pt>
                <c:pt idx="214">
                  <c:v>121</c:v>
                </c:pt>
                <c:pt idx="215">
                  <c:v>119.8</c:v>
                </c:pt>
                <c:pt idx="216">
                  <c:v>118.5</c:v>
                </c:pt>
                <c:pt idx="217">
                  <c:v>116.9</c:v>
                </c:pt>
              </c:numCache>
            </c:numRef>
          </c:val>
          <c:smooth val="0"/>
          <c:extLst>
            <c:ext xmlns:c16="http://schemas.microsoft.com/office/drawing/2014/chart" uri="{C3380CC4-5D6E-409C-BE32-E72D297353CC}">
              <c16:uniqueId val="{00000000-2BD1-406A-BF13-B446A95CB979}"/>
            </c:ext>
          </c:extLst>
        </c:ser>
        <c:ser>
          <c:idx val="1"/>
          <c:order val="1"/>
          <c:tx>
            <c:strRef>
              <c:f>'IVI (fig7)'!$C$30</c:f>
              <c:strCache>
                <c:ptCount val="1"/>
                <c:pt idx="0">
                  <c:v>Professionals</c:v>
                </c:pt>
              </c:strCache>
            </c:strRef>
          </c:tx>
          <c:spPr>
            <a:ln w="28575" cap="rnd">
              <a:solidFill>
                <a:srgbClr val="1192E8"/>
              </a:solidFill>
              <a:prstDash val="sysDot"/>
              <a:round/>
            </a:ln>
            <a:effectLst/>
          </c:spPr>
          <c:marker>
            <c:symbol val="none"/>
          </c:marker>
          <c:cat>
            <c:numRef>
              <c:f>'IVI (fig7)'!$A$31:$A$249</c:f>
              <c:numCache>
                <c:formatCode>mmm\-yy</c:formatCode>
                <c:ptCount val="219"/>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numCache>
            </c:numRef>
          </c:cat>
          <c:val>
            <c:numRef>
              <c:f>'IVI (fig7)'!$C$31:$C$249</c:f>
              <c:numCache>
                <c:formatCode>General</c:formatCode>
                <c:ptCount val="219"/>
                <c:pt idx="0">
                  <c:v>100</c:v>
                </c:pt>
                <c:pt idx="1">
                  <c:v>102.6</c:v>
                </c:pt>
                <c:pt idx="2">
                  <c:v>104.9</c:v>
                </c:pt>
                <c:pt idx="3">
                  <c:v>107.1</c:v>
                </c:pt>
                <c:pt idx="4">
                  <c:v>108.8</c:v>
                </c:pt>
                <c:pt idx="5">
                  <c:v>110.3</c:v>
                </c:pt>
                <c:pt idx="6">
                  <c:v>111.5</c:v>
                </c:pt>
                <c:pt idx="7">
                  <c:v>112.8</c:v>
                </c:pt>
                <c:pt idx="8">
                  <c:v>114.3</c:v>
                </c:pt>
                <c:pt idx="9">
                  <c:v>116.4</c:v>
                </c:pt>
                <c:pt idx="10">
                  <c:v>119.1</c:v>
                </c:pt>
                <c:pt idx="11">
                  <c:v>122.7</c:v>
                </c:pt>
                <c:pt idx="12">
                  <c:v>126.7</c:v>
                </c:pt>
                <c:pt idx="13">
                  <c:v>130.9</c:v>
                </c:pt>
                <c:pt idx="14">
                  <c:v>134.69999999999999</c:v>
                </c:pt>
                <c:pt idx="15">
                  <c:v>137.80000000000001</c:v>
                </c:pt>
                <c:pt idx="16">
                  <c:v>139.9</c:v>
                </c:pt>
                <c:pt idx="17">
                  <c:v>141.30000000000001</c:v>
                </c:pt>
                <c:pt idx="18">
                  <c:v>142.5</c:v>
                </c:pt>
                <c:pt idx="19">
                  <c:v>144.19999999999999</c:v>
                </c:pt>
                <c:pt idx="20">
                  <c:v>147</c:v>
                </c:pt>
                <c:pt idx="21">
                  <c:v>150.69999999999999</c:v>
                </c:pt>
                <c:pt idx="22">
                  <c:v>154.80000000000001</c:v>
                </c:pt>
                <c:pt idx="23">
                  <c:v>158.69999999999999</c:v>
                </c:pt>
                <c:pt idx="24">
                  <c:v>162.19999999999999</c:v>
                </c:pt>
                <c:pt idx="25">
                  <c:v>164.8</c:v>
                </c:pt>
                <c:pt idx="26">
                  <c:v>166.4</c:v>
                </c:pt>
                <c:pt idx="27">
                  <c:v>166.8</c:v>
                </c:pt>
                <c:pt idx="28">
                  <c:v>166.1</c:v>
                </c:pt>
                <c:pt idx="29">
                  <c:v>164.4</c:v>
                </c:pt>
                <c:pt idx="30">
                  <c:v>161.69999999999999</c:v>
                </c:pt>
                <c:pt idx="31">
                  <c:v>157.80000000000001</c:v>
                </c:pt>
                <c:pt idx="32">
                  <c:v>152.4</c:v>
                </c:pt>
                <c:pt idx="33">
                  <c:v>145.30000000000001</c:v>
                </c:pt>
                <c:pt idx="34">
                  <c:v>136.6</c:v>
                </c:pt>
                <c:pt idx="35">
                  <c:v>126.7</c:v>
                </c:pt>
                <c:pt idx="36">
                  <c:v>116.3</c:v>
                </c:pt>
                <c:pt idx="37">
                  <c:v>106.6</c:v>
                </c:pt>
                <c:pt idx="38">
                  <c:v>98.8</c:v>
                </c:pt>
                <c:pt idx="39">
                  <c:v>93.8</c:v>
                </c:pt>
                <c:pt idx="40">
                  <c:v>91.3</c:v>
                </c:pt>
                <c:pt idx="41">
                  <c:v>90.7</c:v>
                </c:pt>
                <c:pt idx="42">
                  <c:v>90.8</c:v>
                </c:pt>
                <c:pt idx="43">
                  <c:v>90.9</c:v>
                </c:pt>
                <c:pt idx="44">
                  <c:v>91</c:v>
                </c:pt>
                <c:pt idx="45">
                  <c:v>91.1</c:v>
                </c:pt>
                <c:pt idx="46">
                  <c:v>91.4</c:v>
                </c:pt>
                <c:pt idx="47">
                  <c:v>92.5</c:v>
                </c:pt>
                <c:pt idx="48">
                  <c:v>94.2</c:v>
                </c:pt>
                <c:pt idx="49">
                  <c:v>96.4</c:v>
                </c:pt>
                <c:pt idx="50">
                  <c:v>98.7</c:v>
                </c:pt>
                <c:pt idx="51">
                  <c:v>100.7</c:v>
                </c:pt>
                <c:pt idx="52">
                  <c:v>102.5</c:v>
                </c:pt>
                <c:pt idx="53">
                  <c:v>104.4</c:v>
                </c:pt>
                <c:pt idx="54">
                  <c:v>106.6</c:v>
                </c:pt>
                <c:pt idx="55">
                  <c:v>109.2</c:v>
                </c:pt>
                <c:pt idx="56">
                  <c:v>112.1</c:v>
                </c:pt>
                <c:pt idx="57">
                  <c:v>115</c:v>
                </c:pt>
                <c:pt idx="58">
                  <c:v>117.7</c:v>
                </c:pt>
                <c:pt idx="59">
                  <c:v>119.9</c:v>
                </c:pt>
                <c:pt idx="60">
                  <c:v>121.4</c:v>
                </c:pt>
                <c:pt idx="61">
                  <c:v>122.2</c:v>
                </c:pt>
                <c:pt idx="62">
                  <c:v>122.1</c:v>
                </c:pt>
                <c:pt idx="63">
                  <c:v>121.2</c:v>
                </c:pt>
                <c:pt idx="64">
                  <c:v>119.6</c:v>
                </c:pt>
                <c:pt idx="65">
                  <c:v>117.5</c:v>
                </c:pt>
                <c:pt idx="66">
                  <c:v>115.3</c:v>
                </c:pt>
                <c:pt idx="67">
                  <c:v>113.6</c:v>
                </c:pt>
                <c:pt idx="68">
                  <c:v>112.4</c:v>
                </c:pt>
                <c:pt idx="69">
                  <c:v>111.7</c:v>
                </c:pt>
                <c:pt idx="70">
                  <c:v>111.4</c:v>
                </c:pt>
                <c:pt idx="71">
                  <c:v>111.1</c:v>
                </c:pt>
                <c:pt idx="72">
                  <c:v>110.6</c:v>
                </c:pt>
                <c:pt idx="73">
                  <c:v>109.7</c:v>
                </c:pt>
                <c:pt idx="74">
                  <c:v>108.2</c:v>
                </c:pt>
                <c:pt idx="75">
                  <c:v>106.2</c:v>
                </c:pt>
                <c:pt idx="76">
                  <c:v>104</c:v>
                </c:pt>
                <c:pt idx="77">
                  <c:v>101.5</c:v>
                </c:pt>
                <c:pt idx="78">
                  <c:v>98.9</c:v>
                </c:pt>
                <c:pt idx="79">
                  <c:v>96.2</c:v>
                </c:pt>
                <c:pt idx="80">
                  <c:v>93.3</c:v>
                </c:pt>
                <c:pt idx="81">
                  <c:v>90.4</c:v>
                </c:pt>
                <c:pt idx="82">
                  <c:v>87.4</c:v>
                </c:pt>
                <c:pt idx="83">
                  <c:v>84.8</c:v>
                </c:pt>
                <c:pt idx="84">
                  <c:v>82.6</c:v>
                </c:pt>
                <c:pt idx="85">
                  <c:v>80.7</c:v>
                </c:pt>
                <c:pt idx="86">
                  <c:v>79.3</c:v>
                </c:pt>
                <c:pt idx="87">
                  <c:v>78.099999999999994</c:v>
                </c:pt>
                <c:pt idx="88">
                  <c:v>77</c:v>
                </c:pt>
                <c:pt idx="89">
                  <c:v>75.900000000000006</c:v>
                </c:pt>
                <c:pt idx="90">
                  <c:v>75</c:v>
                </c:pt>
                <c:pt idx="91">
                  <c:v>74.5</c:v>
                </c:pt>
                <c:pt idx="92">
                  <c:v>74.3</c:v>
                </c:pt>
                <c:pt idx="93">
                  <c:v>74.599999999999994</c:v>
                </c:pt>
                <c:pt idx="94">
                  <c:v>75</c:v>
                </c:pt>
                <c:pt idx="95">
                  <c:v>75.400000000000006</c:v>
                </c:pt>
                <c:pt idx="96">
                  <c:v>75.900000000000006</c:v>
                </c:pt>
                <c:pt idx="97">
                  <c:v>76.5</c:v>
                </c:pt>
                <c:pt idx="98">
                  <c:v>77.3</c:v>
                </c:pt>
                <c:pt idx="99">
                  <c:v>78.3</c:v>
                </c:pt>
                <c:pt idx="100">
                  <c:v>79.599999999999994</c:v>
                </c:pt>
                <c:pt idx="101">
                  <c:v>80.900000000000006</c:v>
                </c:pt>
                <c:pt idx="102">
                  <c:v>81.900000000000006</c:v>
                </c:pt>
                <c:pt idx="103">
                  <c:v>82.4</c:v>
                </c:pt>
                <c:pt idx="104">
                  <c:v>82.3</c:v>
                </c:pt>
                <c:pt idx="105">
                  <c:v>82</c:v>
                </c:pt>
                <c:pt idx="106">
                  <c:v>81.8</c:v>
                </c:pt>
                <c:pt idx="107">
                  <c:v>82.1</c:v>
                </c:pt>
                <c:pt idx="108">
                  <c:v>82.7</c:v>
                </c:pt>
                <c:pt idx="109">
                  <c:v>83.5</c:v>
                </c:pt>
                <c:pt idx="110">
                  <c:v>84.3</c:v>
                </c:pt>
                <c:pt idx="111">
                  <c:v>85.2</c:v>
                </c:pt>
                <c:pt idx="112">
                  <c:v>86</c:v>
                </c:pt>
                <c:pt idx="113">
                  <c:v>86.8</c:v>
                </c:pt>
                <c:pt idx="114">
                  <c:v>87.8</c:v>
                </c:pt>
                <c:pt idx="115">
                  <c:v>88.9</c:v>
                </c:pt>
                <c:pt idx="116">
                  <c:v>90.1</c:v>
                </c:pt>
                <c:pt idx="117">
                  <c:v>91.1</c:v>
                </c:pt>
                <c:pt idx="118">
                  <c:v>91.8</c:v>
                </c:pt>
                <c:pt idx="119">
                  <c:v>92.1</c:v>
                </c:pt>
                <c:pt idx="120">
                  <c:v>92.3</c:v>
                </c:pt>
                <c:pt idx="121">
                  <c:v>92.5</c:v>
                </c:pt>
                <c:pt idx="122">
                  <c:v>92.6</c:v>
                </c:pt>
                <c:pt idx="123">
                  <c:v>92.7</c:v>
                </c:pt>
                <c:pt idx="124">
                  <c:v>92.7</c:v>
                </c:pt>
                <c:pt idx="125">
                  <c:v>92.7</c:v>
                </c:pt>
                <c:pt idx="126">
                  <c:v>92.5</c:v>
                </c:pt>
                <c:pt idx="127">
                  <c:v>92.3</c:v>
                </c:pt>
                <c:pt idx="128">
                  <c:v>92</c:v>
                </c:pt>
                <c:pt idx="129">
                  <c:v>91.8</c:v>
                </c:pt>
                <c:pt idx="130">
                  <c:v>91.7</c:v>
                </c:pt>
                <c:pt idx="131">
                  <c:v>91.8</c:v>
                </c:pt>
                <c:pt idx="132">
                  <c:v>92.1</c:v>
                </c:pt>
                <c:pt idx="133">
                  <c:v>92.8</c:v>
                </c:pt>
                <c:pt idx="134">
                  <c:v>93.9</c:v>
                </c:pt>
                <c:pt idx="135">
                  <c:v>95.2</c:v>
                </c:pt>
                <c:pt idx="136">
                  <c:v>96.5</c:v>
                </c:pt>
                <c:pt idx="137">
                  <c:v>97.9</c:v>
                </c:pt>
                <c:pt idx="138">
                  <c:v>99.1</c:v>
                </c:pt>
                <c:pt idx="139">
                  <c:v>100</c:v>
                </c:pt>
                <c:pt idx="140">
                  <c:v>100.6</c:v>
                </c:pt>
                <c:pt idx="141">
                  <c:v>101</c:v>
                </c:pt>
                <c:pt idx="142">
                  <c:v>101.5</c:v>
                </c:pt>
                <c:pt idx="143">
                  <c:v>102.4</c:v>
                </c:pt>
                <c:pt idx="144">
                  <c:v>103.7</c:v>
                </c:pt>
                <c:pt idx="145">
                  <c:v>105.3</c:v>
                </c:pt>
                <c:pt idx="146">
                  <c:v>106.9</c:v>
                </c:pt>
                <c:pt idx="147">
                  <c:v>108.3</c:v>
                </c:pt>
                <c:pt idx="148">
                  <c:v>108.9</c:v>
                </c:pt>
                <c:pt idx="149">
                  <c:v>108.8</c:v>
                </c:pt>
                <c:pt idx="150">
                  <c:v>108.2</c:v>
                </c:pt>
                <c:pt idx="151">
                  <c:v>107.6</c:v>
                </c:pt>
                <c:pt idx="152">
                  <c:v>107.6</c:v>
                </c:pt>
                <c:pt idx="153">
                  <c:v>108.1</c:v>
                </c:pt>
                <c:pt idx="154">
                  <c:v>108.8</c:v>
                </c:pt>
                <c:pt idx="155">
                  <c:v>109.7</c:v>
                </c:pt>
                <c:pt idx="156">
                  <c:v>110.3</c:v>
                </c:pt>
                <c:pt idx="157">
                  <c:v>110.7</c:v>
                </c:pt>
                <c:pt idx="158">
                  <c:v>110.6</c:v>
                </c:pt>
                <c:pt idx="159">
                  <c:v>110.1</c:v>
                </c:pt>
                <c:pt idx="160">
                  <c:v>109.5</c:v>
                </c:pt>
                <c:pt idx="161">
                  <c:v>108.6</c:v>
                </c:pt>
                <c:pt idx="162">
                  <c:v>107.5</c:v>
                </c:pt>
                <c:pt idx="163">
                  <c:v>106.3</c:v>
                </c:pt>
                <c:pt idx="164">
                  <c:v>104.8</c:v>
                </c:pt>
                <c:pt idx="165">
                  <c:v>103</c:v>
                </c:pt>
                <c:pt idx="166">
                  <c:v>100.7</c:v>
                </c:pt>
                <c:pt idx="167">
                  <c:v>97.1</c:v>
                </c:pt>
                <c:pt idx="168">
                  <c:v>92.1</c:v>
                </c:pt>
                <c:pt idx="169">
                  <c:v>86.2</c:v>
                </c:pt>
                <c:pt idx="170">
                  <c:v>80.5</c:v>
                </c:pt>
                <c:pt idx="171">
                  <c:v>76.400000000000006</c:v>
                </c:pt>
                <c:pt idx="172">
                  <c:v>74.900000000000006</c:v>
                </c:pt>
                <c:pt idx="173">
                  <c:v>76.3</c:v>
                </c:pt>
                <c:pt idx="174">
                  <c:v>80.400000000000006</c:v>
                </c:pt>
                <c:pt idx="175">
                  <c:v>85.9</c:v>
                </c:pt>
                <c:pt idx="176">
                  <c:v>91.6</c:v>
                </c:pt>
                <c:pt idx="177">
                  <c:v>97.2</c:v>
                </c:pt>
                <c:pt idx="178">
                  <c:v>102.8</c:v>
                </c:pt>
                <c:pt idx="179">
                  <c:v>108.8</c:v>
                </c:pt>
                <c:pt idx="180">
                  <c:v>115.3</c:v>
                </c:pt>
                <c:pt idx="181">
                  <c:v>122.1</c:v>
                </c:pt>
                <c:pt idx="182">
                  <c:v>128.4</c:v>
                </c:pt>
                <c:pt idx="183">
                  <c:v>133.4</c:v>
                </c:pt>
                <c:pt idx="184">
                  <c:v>136.69999999999999</c:v>
                </c:pt>
                <c:pt idx="185">
                  <c:v>138.80000000000001</c:v>
                </c:pt>
                <c:pt idx="186">
                  <c:v>140.1</c:v>
                </c:pt>
                <c:pt idx="187">
                  <c:v>141.19999999999999</c:v>
                </c:pt>
                <c:pt idx="188">
                  <c:v>142.69999999999999</c:v>
                </c:pt>
                <c:pt idx="189">
                  <c:v>144.80000000000001</c:v>
                </c:pt>
                <c:pt idx="190">
                  <c:v>147.1</c:v>
                </c:pt>
                <c:pt idx="191">
                  <c:v>149.5</c:v>
                </c:pt>
                <c:pt idx="192">
                  <c:v>152.30000000000001</c:v>
                </c:pt>
                <c:pt idx="193">
                  <c:v>155.4</c:v>
                </c:pt>
                <c:pt idx="194">
                  <c:v>158.6</c:v>
                </c:pt>
                <c:pt idx="195">
                  <c:v>161.5</c:v>
                </c:pt>
                <c:pt idx="196">
                  <c:v>163.30000000000001</c:v>
                </c:pt>
                <c:pt idx="197">
                  <c:v>163.9</c:v>
                </c:pt>
                <c:pt idx="198">
                  <c:v>163.5</c:v>
                </c:pt>
                <c:pt idx="199">
                  <c:v>162.80000000000001</c:v>
                </c:pt>
                <c:pt idx="200">
                  <c:v>162</c:v>
                </c:pt>
                <c:pt idx="201">
                  <c:v>161.69999999999999</c:v>
                </c:pt>
                <c:pt idx="202">
                  <c:v>162.30000000000001</c:v>
                </c:pt>
                <c:pt idx="203">
                  <c:v>164.1</c:v>
                </c:pt>
                <c:pt idx="204">
                  <c:v>166.5</c:v>
                </c:pt>
                <c:pt idx="205">
                  <c:v>169.2</c:v>
                </c:pt>
                <c:pt idx="206">
                  <c:v>171.5</c:v>
                </c:pt>
                <c:pt idx="207">
                  <c:v>173.1</c:v>
                </c:pt>
                <c:pt idx="208">
                  <c:v>173.8</c:v>
                </c:pt>
                <c:pt idx="209">
                  <c:v>173.2</c:v>
                </c:pt>
                <c:pt idx="210">
                  <c:v>171.5</c:v>
                </c:pt>
                <c:pt idx="211">
                  <c:v>169.1</c:v>
                </c:pt>
                <c:pt idx="212">
                  <c:v>166.5</c:v>
                </c:pt>
                <c:pt idx="213">
                  <c:v>163.69999999999999</c:v>
                </c:pt>
                <c:pt idx="214">
                  <c:v>160.69999999999999</c:v>
                </c:pt>
                <c:pt idx="215">
                  <c:v>157.30000000000001</c:v>
                </c:pt>
                <c:pt idx="216">
                  <c:v>153.80000000000001</c:v>
                </c:pt>
                <c:pt idx="217">
                  <c:v>150.80000000000001</c:v>
                </c:pt>
              </c:numCache>
            </c:numRef>
          </c:val>
          <c:smooth val="0"/>
          <c:extLst>
            <c:ext xmlns:c16="http://schemas.microsoft.com/office/drawing/2014/chart" uri="{C3380CC4-5D6E-409C-BE32-E72D297353CC}">
              <c16:uniqueId val="{00000001-2BD1-406A-BF13-B446A95CB979}"/>
            </c:ext>
          </c:extLst>
        </c:ser>
        <c:ser>
          <c:idx val="2"/>
          <c:order val="2"/>
          <c:tx>
            <c:strRef>
              <c:f>'IVI (fig7)'!$D$30</c:f>
              <c:strCache>
                <c:ptCount val="1"/>
                <c:pt idx="0">
                  <c:v>Technicians and Trades Workers</c:v>
                </c:pt>
              </c:strCache>
            </c:strRef>
          </c:tx>
          <c:spPr>
            <a:ln w="28575" cap="rnd">
              <a:solidFill>
                <a:srgbClr val="005D5D"/>
              </a:solidFill>
              <a:prstDash val="sysDash"/>
              <a:round/>
            </a:ln>
            <a:effectLst/>
          </c:spPr>
          <c:marker>
            <c:symbol val="none"/>
          </c:marker>
          <c:cat>
            <c:numRef>
              <c:f>'IVI (fig7)'!$A$31:$A$249</c:f>
              <c:numCache>
                <c:formatCode>mmm\-yy</c:formatCode>
                <c:ptCount val="219"/>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numCache>
            </c:numRef>
          </c:cat>
          <c:val>
            <c:numRef>
              <c:f>'IVI (fig7)'!$D$31:$D$249</c:f>
              <c:numCache>
                <c:formatCode>General</c:formatCode>
                <c:ptCount val="219"/>
                <c:pt idx="0">
                  <c:v>100</c:v>
                </c:pt>
                <c:pt idx="1">
                  <c:v>100.3</c:v>
                </c:pt>
                <c:pt idx="2">
                  <c:v>100.2</c:v>
                </c:pt>
                <c:pt idx="3">
                  <c:v>99.5</c:v>
                </c:pt>
                <c:pt idx="4">
                  <c:v>98.6</c:v>
                </c:pt>
                <c:pt idx="5">
                  <c:v>97.8</c:v>
                </c:pt>
                <c:pt idx="6">
                  <c:v>97.8</c:v>
                </c:pt>
                <c:pt idx="7">
                  <c:v>98.5</c:v>
                </c:pt>
                <c:pt idx="8">
                  <c:v>99.6</c:v>
                </c:pt>
                <c:pt idx="9">
                  <c:v>101.4</c:v>
                </c:pt>
                <c:pt idx="10">
                  <c:v>103.6</c:v>
                </c:pt>
                <c:pt idx="11">
                  <c:v>106.1</c:v>
                </c:pt>
                <c:pt idx="12">
                  <c:v>109.2</c:v>
                </c:pt>
                <c:pt idx="13">
                  <c:v>112.8</c:v>
                </c:pt>
                <c:pt idx="14">
                  <c:v>116.4</c:v>
                </c:pt>
                <c:pt idx="15">
                  <c:v>119.1</c:v>
                </c:pt>
                <c:pt idx="16">
                  <c:v>121</c:v>
                </c:pt>
                <c:pt idx="17">
                  <c:v>122.6</c:v>
                </c:pt>
                <c:pt idx="18">
                  <c:v>124</c:v>
                </c:pt>
                <c:pt idx="19">
                  <c:v>125.7</c:v>
                </c:pt>
                <c:pt idx="20">
                  <c:v>127.8</c:v>
                </c:pt>
                <c:pt idx="21">
                  <c:v>130.4</c:v>
                </c:pt>
                <c:pt idx="22">
                  <c:v>133.80000000000001</c:v>
                </c:pt>
                <c:pt idx="23">
                  <c:v>137.19999999999999</c:v>
                </c:pt>
                <c:pt idx="24">
                  <c:v>140.1</c:v>
                </c:pt>
                <c:pt idx="25">
                  <c:v>142.19999999999999</c:v>
                </c:pt>
                <c:pt idx="26">
                  <c:v>144.1</c:v>
                </c:pt>
                <c:pt idx="27">
                  <c:v>145.9</c:v>
                </c:pt>
                <c:pt idx="28">
                  <c:v>146.19999999999999</c:v>
                </c:pt>
                <c:pt idx="29">
                  <c:v>144</c:v>
                </c:pt>
                <c:pt idx="30">
                  <c:v>139.69999999999999</c:v>
                </c:pt>
                <c:pt idx="31">
                  <c:v>134.19999999999999</c:v>
                </c:pt>
                <c:pt idx="32">
                  <c:v>128.4</c:v>
                </c:pt>
                <c:pt idx="33">
                  <c:v>121.7</c:v>
                </c:pt>
                <c:pt idx="34">
                  <c:v>113.6</c:v>
                </c:pt>
                <c:pt idx="35">
                  <c:v>104.2</c:v>
                </c:pt>
                <c:pt idx="36">
                  <c:v>94.8</c:v>
                </c:pt>
                <c:pt idx="37">
                  <c:v>86.6</c:v>
                </c:pt>
                <c:pt idx="38">
                  <c:v>80.400000000000006</c:v>
                </c:pt>
                <c:pt idx="39">
                  <c:v>76.400000000000006</c:v>
                </c:pt>
                <c:pt idx="40">
                  <c:v>74.7</c:v>
                </c:pt>
                <c:pt idx="41">
                  <c:v>74.8</c:v>
                </c:pt>
                <c:pt idx="42">
                  <c:v>76.099999999999994</c:v>
                </c:pt>
                <c:pt idx="43">
                  <c:v>77.8</c:v>
                </c:pt>
                <c:pt idx="44">
                  <c:v>79.400000000000006</c:v>
                </c:pt>
                <c:pt idx="45">
                  <c:v>81.400000000000006</c:v>
                </c:pt>
                <c:pt idx="46">
                  <c:v>84.1</c:v>
                </c:pt>
                <c:pt idx="47">
                  <c:v>87</c:v>
                </c:pt>
                <c:pt idx="48">
                  <c:v>89.4</c:v>
                </c:pt>
                <c:pt idx="49">
                  <c:v>90.9</c:v>
                </c:pt>
                <c:pt idx="50">
                  <c:v>91.5</c:v>
                </c:pt>
                <c:pt idx="51">
                  <c:v>92</c:v>
                </c:pt>
                <c:pt idx="52">
                  <c:v>92.9</c:v>
                </c:pt>
                <c:pt idx="53">
                  <c:v>94.7</c:v>
                </c:pt>
                <c:pt idx="54">
                  <c:v>97.4</c:v>
                </c:pt>
                <c:pt idx="55">
                  <c:v>100.6</c:v>
                </c:pt>
                <c:pt idx="56">
                  <c:v>103.7</c:v>
                </c:pt>
                <c:pt idx="57">
                  <c:v>105.7</c:v>
                </c:pt>
                <c:pt idx="58">
                  <c:v>106.6</c:v>
                </c:pt>
                <c:pt idx="59">
                  <c:v>107.2</c:v>
                </c:pt>
                <c:pt idx="60">
                  <c:v>108</c:v>
                </c:pt>
                <c:pt idx="61">
                  <c:v>109.3</c:v>
                </c:pt>
                <c:pt idx="62">
                  <c:v>110.2</c:v>
                </c:pt>
                <c:pt idx="63">
                  <c:v>110.6</c:v>
                </c:pt>
                <c:pt idx="64">
                  <c:v>110.7</c:v>
                </c:pt>
                <c:pt idx="65">
                  <c:v>110.3</c:v>
                </c:pt>
                <c:pt idx="66">
                  <c:v>109.3</c:v>
                </c:pt>
                <c:pt idx="67">
                  <c:v>107.4</c:v>
                </c:pt>
                <c:pt idx="68">
                  <c:v>105.7</c:v>
                </c:pt>
                <c:pt idx="69">
                  <c:v>104.5</c:v>
                </c:pt>
                <c:pt idx="70">
                  <c:v>104.1</c:v>
                </c:pt>
                <c:pt idx="71">
                  <c:v>104.2</c:v>
                </c:pt>
                <c:pt idx="72">
                  <c:v>104.2</c:v>
                </c:pt>
                <c:pt idx="73">
                  <c:v>103.9</c:v>
                </c:pt>
                <c:pt idx="74">
                  <c:v>103.1</c:v>
                </c:pt>
                <c:pt idx="75">
                  <c:v>101.2</c:v>
                </c:pt>
                <c:pt idx="76">
                  <c:v>97.8</c:v>
                </c:pt>
                <c:pt idx="77">
                  <c:v>93.8</c:v>
                </c:pt>
                <c:pt idx="78">
                  <c:v>90.2</c:v>
                </c:pt>
                <c:pt idx="79">
                  <c:v>87.4</c:v>
                </c:pt>
                <c:pt idx="80">
                  <c:v>85.1</c:v>
                </c:pt>
                <c:pt idx="81">
                  <c:v>82.8</c:v>
                </c:pt>
                <c:pt idx="82">
                  <c:v>80</c:v>
                </c:pt>
                <c:pt idx="83">
                  <c:v>77.2</c:v>
                </c:pt>
                <c:pt idx="84">
                  <c:v>74.8</c:v>
                </c:pt>
                <c:pt idx="85">
                  <c:v>73</c:v>
                </c:pt>
                <c:pt idx="86">
                  <c:v>71.7</c:v>
                </c:pt>
                <c:pt idx="87">
                  <c:v>70.8</c:v>
                </c:pt>
                <c:pt idx="88">
                  <c:v>70.099999999999994</c:v>
                </c:pt>
                <c:pt idx="89">
                  <c:v>69.599999999999994</c:v>
                </c:pt>
                <c:pt idx="90">
                  <c:v>69.5</c:v>
                </c:pt>
                <c:pt idx="91">
                  <c:v>69.7</c:v>
                </c:pt>
                <c:pt idx="92">
                  <c:v>70.2</c:v>
                </c:pt>
                <c:pt idx="93">
                  <c:v>71.2</c:v>
                </c:pt>
                <c:pt idx="94">
                  <c:v>72.400000000000006</c:v>
                </c:pt>
                <c:pt idx="95">
                  <c:v>74</c:v>
                </c:pt>
                <c:pt idx="96">
                  <c:v>75.400000000000006</c:v>
                </c:pt>
                <c:pt idx="97">
                  <c:v>76.2</c:v>
                </c:pt>
                <c:pt idx="98">
                  <c:v>76.8</c:v>
                </c:pt>
                <c:pt idx="99">
                  <c:v>77.3</c:v>
                </c:pt>
                <c:pt idx="100">
                  <c:v>78.3</c:v>
                </c:pt>
                <c:pt idx="101">
                  <c:v>79.599999999999994</c:v>
                </c:pt>
                <c:pt idx="102">
                  <c:v>80.8</c:v>
                </c:pt>
                <c:pt idx="103">
                  <c:v>81.599999999999994</c:v>
                </c:pt>
                <c:pt idx="104">
                  <c:v>81.5</c:v>
                </c:pt>
                <c:pt idx="105">
                  <c:v>80.8</c:v>
                </c:pt>
                <c:pt idx="106">
                  <c:v>80</c:v>
                </c:pt>
                <c:pt idx="107">
                  <c:v>79.5</c:v>
                </c:pt>
                <c:pt idx="108">
                  <c:v>79.7</c:v>
                </c:pt>
                <c:pt idx="109">
                  <c:v>80.099999999999994</c:v>
                </c:pt>
                <c:pt idx="110">
                  <c:v>80.3</c:v>
                </c:pt>
                <c:pt idx="111">
                  <c:v>80</c:v>
                </c:pt>
                <c:pt idx="112">
                  <c:v>79.5</c:v>
                </c:pt>
                <c:pt idx="113">
                  <c:v>79.3</c:v>
                </c:pt>
                <c:pt idx="114">
                  <c:v>79.599999999999994</c:v>
                </c:pt>
                <c:pt idx="115">
                  <c:v>80.7</c:v>
                </c:pt>
                <c:pt idx="116">
                  <c:v>81.900000000000006</c:v>
                </c:pt>
                <c:pt idx="117">
                  <c:v>82.7</c:v>
                </c:pt>
                <c:pt idx="118">
                  <c:v>82.9</c:v>
                </c:pt>
                <c:pt idx="119">
                  <c:v>82.9</c:v>
                </c:pt>
                <c:pt idx="120">
                  <c:v>83</c:v>
                </c:pt>
                <c:pt idx="121">
                  <c:v>83.6</c:v>
                </c:pt>
                <c:pt idx="122">
                  <c:v>84.4</c:v>
                </c:pt>
                <c:pt idx="123">
                  <c:v>85.1</c:v>
                </c:pt>
                <c:pt idx="124">
                  <c:v>85.7</c:v>
                </c:pt>
                <c:pt idx="125">
                  <c:v>85.9</c:v>
                </c:pt>
                <c:pt idx="126">
                  <c:v>85.7</c:v>
                </c:pt>
                <c:pt idx="127">
                  <c:v>85</c:v>
                </c:pt>
                <c:pt idx="128">
                  <c:v>84.2</c:v>
                </c:pt>
                <c:pt idx="129">
                  <c:v>83.8</c:v>
                </c:pt>
                <c:pt idx="130">
                  <c:v>84.1</c:v>
                </c:pt>
                <c:pt idx="131">
                  <c:v>85</c:v>
                </c:pt>
                <c:pt idx="132">
                  <c:v>86.4</c:v>
                </c:pt>
                <c:pt idx="133">
                  <c:v>88</c:v>
                </c:pt>
                <c:pt idx="134">
                  <c:v>89.9</c:v>
                </c:pt>
                <c:pt idx="135">
                  <c:v>92</c:v>
                </c:pt>
                <c:pt idx="136">
                  <c:v>94</c:v>
                </c:pt>
                <c:pt idx="137">
                  <c:v>95.6</c:v>
                </c:pt>
                <c:pt idx="138">
                  <c:v>96.4</c:v>
                </c:pt>
                <c:pt idx="139">
                  <c:v>96.6</c:v>
                </c:pt>
                <c:pt idx="140">
                  <c:v>96.9</c:v>
                </c:pt>
                <c:pt idx="141">
                  <c:v>97.2</c:v>
                </c:pt>
                <c:pt idx="142">
                  <c:v>97.6</c:v>
                </c:pt>
                <c:pt idx="143">
                  <c:v>98.3</c:v>
                </c:pt>
                <c:pt idx="144">
                  <c:v>99.8</c:v>
                </c:pt>
                <c:pt idx="145">
                  <c:v>102.1</c:v>
                </c:pt>
                <c:pt idx="146">
                  <c:v>104.2</c:v>
                </c:pt>
                <c:pt idx="147">
                  <c:v>105.1</c:v>
                </c:pt>
                <c:pt idx="148">
                  <c:v>104.8</c:v>
                </c:pt>
                <c:pt idx="149">
                  <c:v>104.2</c:v>
                </c:pt>
                <c:pt idx="150">
                  <c:v>103.7</c:v>
                </c:pt>
                <c:pt idx="151">
                  <c:v>102.9</c:v>
                </c:pt>
                <c:pt idx="152">
                  <c:v>101.2</c:v>
                </c:pt>
                <c:pt idx="153">
                  <c:v>99.3</c:v>
                </c:pt>
                <c:pt idx="154">
                  <c:v>98.3</c:v>
                </c:pt>
                <c:pt idx="155">
                  <c:v>98.3</c:v>
                </c:pt>
                <c:pt idx="156">
                  <c:v>98.4</c:v>
                </c:pt>
                <c:pt idx="157">
                  <c:v>97.6</c:v>
                </c:pt>
                <c:pt idx="158">
                  <c:v>96.2</c:v>
                </c:pt>
                <c:pt idx="159">
                  <c:v>94.6</c:v>
                </c:pt>
                <c:pt idx="160">
                  <c:v>93.5</c:v>
                </c:pt>
                <c:pt idx="161">
                  <c:v>93.1</c:v>
                </c:pt>
                <c:pt idx="162">
                  <c:v>93</c:v>
                </c:pt>
                <c:pt idx="163">
                  <c:v>92.5</c:v>
                </c:pt>
                <c:pt idx="164">
                  <c:v>91.5</c:v>
                </c:pt>
                <c:pt idx="165">
                  <c:v>89.9</c:v>
                </c:pt>
                <c:pt idx="166">
                  <c:v>87.2</c:v>
                </c:pt>
                <c:pt idx="167">
                  <c:v>82.8</c:v>
                </c:pt>
                <c:pt idx="168">
                  <c:v>76.3</c:v>
                </c:pt>
                <c:pt idx="169">
                  <c:v>68.7</c:v>
                </c:pt>
                <c:pt idx="170">
                  <c:v>62.3</c:v>
                </c:pt>
                <c:pt idx="171">
                  <c:v>60</c:v>
                </c:pt>
                <c:pt idx="172">
                  <c:v>62.1</c:v>
                </c:pt>
                <c:pt idx="173">
                  <c:v>67</c:v>
                </c:pt>
                <c:pt idx="174">
                  <c:v>73.2</c:v>
                </c:pt>
                <c:pt idx="175">
                  <c:v>80.2</c:v>
                </c:pt>
                <c:pt idx="176">
                  <c:v>88.1</c:v>
                </c:pt>
                <c:pt idx="177">
                  <c:v>96.3</c:v>
                </c:pt>
                <c:pt idx="178">
                  <c:v>103.4</c:v>
                </c:pt>
                <c:pt idx="179">
                  <c:v>109.6</c:v>
                </c:pt>
                <c:pt idx="180">
                  <c:v>116</c:v>
                </c:pt>
                <c:pt idx="181">
                  <c:v>123.5</c:v>
                </c:pt>
                <c:pt idx="182">
                  <c:v>130.69999999999999</c:v>
                </c:pt>
                <c:pt idx="183">
                  <c:v>134.6</c:v>
                </c:pt>
                <c:pt idx="184">
                  <c:v>134.1</c:v>
                </c:pt>
                <c:pt idx="185">
                  <c:v>130.4</c:v>
                </c:pt>
                <c:pt idx="186">
                  <c:v>127.2</c:v>
                </c:pt>
                <c:pt idx="187">
                  <c:v>127.5</c:v>
                </c:pt>
                <c:pt idx="188">
                  <c:v>130.9</c:v>
                </c:pt>
                <c:pt idx="189">
                  <c:v>135.80000000000001</c:v>
                </c:pt>
                <c:pt idx="190">
                  <c:v>140.6</c:v>
                </c:pt>
                <c:pt idx="191">
                  <c:v>144.9</c:v>
                </c:pt>
                <c:pt idx="192">
                  <c:v>149.30000000000001</c:v>
                </c:pt>
                <c:pt idx="193">
                  <c:v>153.5</c:v>
                </c:pt>
                <c:pt idx="194">
                  <c:v>157.9</c:v>
                </c:pt>
                <c:pt idx="195">
                  <c:v>160.80000000000001</c:v>
                </c:pt>
                <c:pt idx="196">
                  <c:v>162.19999999999999</c:v>
                </c:pt>
                <c:pt idx="197">
                  <c:v>162.19999999999999</c:v>
                </c:pt>
                <c:pt idx="198">
                  <c:v>160.69999999999999</c:v>
                </c:pt>
                <c:pt idx="199">
                  <c:v>157.5</c:v>
                </c:pt>
                <c:pt idx="200">
                  <c:v>153.4</c:v>
                </c:pt>
                <c:pt idx="201">
                  <c:v>150.1</c:v>
                </c:pt>
                <c:pt idx="202">
                  <c:v>149.1</c:v>
                </c:pt>
                <c:pt idx="203">
                  <c:v>150.1</c:v>
                </c:pt>
                <c:pt idx="204">
                  <c:v>152.80000000000001</c:v>
                </c:pt>
                <c:pt idx="205">
                  <c:v>155.9</c:v>
                </c:pt>
                <c:pt idx="206">
                  <c:v>157.80000000000001</c:v>
                </c:pt>
                <c:pt idx="207">
                  <c:v>157.9</c:v>
                </c:pt>
                <c:pt idx="208">
                  <c:v>157</c:v>
                </c:pt>
                <c:pt idx="209">
                  <c:v>155.9</c:v>
                </c:pt>
                <c:pt idx="210">
                  <c:v>154.4</c:v>
                </c:pt>
                <c:pt idx="211">
                  <c:v>152.30000000000001</c:v>
                </c:pt>
                <c:pt idx="212">
                  <c:v>150</c:v>
                </c:pt>
                <c:pt idx="213">
                  <c:v>147.6</c:v>
                </c:pt>
                <c:pt idx="214">
                  <c:v>145.5</c:v>
                </c:pt>
                <c:pt idx="215">
                  <c:v>144.1</c:v>
                </c:pt>
                <c:pt idx="216">
                  <c:v>142</c:v>
                </c:pt>
                <c:pt idx="217">
                  <c:v>139.1</c:v>
                </c:pt>
              </c:numCache>
            </c:numRef>
          </c:val>
          <c:smooth val="0"/>
          <c:extLst>
            <c:ext xmlns:c16="http://schemas.microsoft.com/office/drawing/2014/chart" uri="{C3380CC4-5D6E-409C-BE32-E72D297353CC}">
              <c16:uniqueId val="{00000002-2BD1-406A-BF13-B446A95CB979}"/>
            </c:ext>
          </c:extLst>
        </c:ser>
        <c:dLbls>
          <c:showLegendKey val="0"/>
          <c:showVal val="0"/>
          <c:showCatName val="0"/>
          <c:showSerName val="0"/>
          <c:showPercent val="0"/>
          <c:showBubbleSize val="0"/>
        </c:dLbls>
        <c:smooth val="0"/>
        <c:axId val="185578096"/>
        <c:axId val="185580976"/>
      </c:lineChart>
      <c:dateAx>
        <c:axId val="18557809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80976"/>
        <c:crosses val="autoZero"/>
        <c:auto val="1"/>
        <c:lblOffset val="100"/>
        <c:baseTimeUnit val="months"/>
        <c:majorUnit val="12"/>
      </c:dateAx>
      <c:valAx>
        <c:axId val="185580976"/>
        <c:scaling>
          <c:orientation val="minMax"/>
          <c:max val="180"/>
        </c:scaling>
        <c:delete val="0"/>
        <c:axPos val="l"/>
        <c:majorGridlines>
          <c:spPr>
            <a:ln w="9525" cap="flat" cmpd="sng" algn="ctr">
              <a:no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7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A - Participation'!$C$24</c:f>
              <c:strCache>
                <c:ptCount val="1"/>
                <c:pt idx="0">
                  <c:v>February 2023</c:v>
                </c:pt>
              </c:strCache>
            </c:strRef>
          </c:tx>
          <c:spPr>
            <a:solidFill>
              <a:srgbClr val="692DC4"/>
            </a:solidFill>
            <a:ln>
              <a:noFill/>
            </a:ln>
            <a:effectLst/>
          </c:spPr>
          <c:invertIfNegative val="0"/>
          <c:cat>
            <c:strRef>
              <c:f>'Figure A - Participation'!$B$25:$B$33</c:f>
              <c:strCache>
                <c:ptCount val="9"/>
                <c:pt idx="0">
                  <c:v>NSW</c:v>
                </c:pt>
                <c:pt idx="1">
                  <c:v>VIC</c:v>
                </c:pt>
                <c:pt idx="2">
                  <c:v>QLD</c:v>
                </c:pt>
                <c:pt idx="3">
                  <c:v>SA</c:v>
                </c:pt>
                <c:pt idx="4">
                  <c:v>WA</c:v>
                </c:pt>
                <c:pt idx="5">
                  <c:v>TAS</c:v>
                </c:pt>
                <c:pt idx="6">
                  <c:v>NT</c:v>
                </c:pt>
                <c:pt idx="7">
                  <c:v>ACT</c:v>
                </c:pt>
                <c:pt idx="8">
                  <c:v>AUS</c:v>
                </c:pt>
              </c:strCache>
            </c:strRef>
          </c:cat>
          <c:val>
            <c:numRef>
              <c:f>'Figure A - Participation'!$C$25:$C$33</c:f>
              <c:numCache>
                <c:formatCode>0.0;\-0.0;0.0;@</c:formatCode>
                <c:ptCount val="9"/>
                <c:pt idx="0">
                  <c:v>65.960501899999997</c:v>
                </c:pt>
                <c:pt idx="1">
                  <c:v>67.013097500000001</c:v>
                </c:pt>
                <c:pt idx="2">
                  <c:v>66.279656099999997</c:v>
                </c:pt>
                <c:pt idx="3">
                  <c:v>63.800277700000002</c:v>
                </c:pt>
                <c:pt idx="4">
                  <c:v>68.781744099999997</c:v>
                </c:pt>
                <c:pt idx="5">
                  <c:v>62.545642700000002</c:v>
                </c:pt>
                <c:pt idx="6">
                  <c:v>72.832154700000004</c:v>
                </c:pt>
                <c:pt idx="7">
                  <c:v>72.305540500000006</c:v>
                </c:pt>
                <c:pt idx="8">
                  <c:v>66.508786700000002</c:v>
                </c:pt>
              </c:numCache>
            </c:numRef>
          </c:val>
          <c:extLst>
            <c:ext xmlns:c16="http://schemas.microsoft.com/office/drawing/2014/chart" uri="{C3380CC4-5D6E-409C-BE32-E72D297353CC}">
              <c16:uniqueId val="{00000000-B357-4D4E-AED7-9E8A1E6DB972}"/>
            </c:ext>
          </c:extLst>
        </c:ser>
        <c:ser>
          <c:idx val="1"/>
          <c:order val="1"/>
          <c:tx>
            <c:strRef>
              <c:f>'Figure A - Participation'!$D$24</c:f>
              <c:strCache>
                <c:ptCount val="1"/>
                <c:pt idx="0">
                  <c:v>February 2024</c:v>
                </c:pt>
              </c:strCache>
            </c:strRef>
          </c:tx>
          <c:spPr>
            <a:solidFill>
              <a:srgbClr val="009D9A"/>
            </a:solidFill>
            <a:ln>
              <a:noFill/>
            </a:ln>
            <a:effectLst/>
          </c:spPr>
          <c:invertIfNegative val="0"/>
          <c:cat>
            <c:strRef>
              <c:f>'Figure A - Participation'!$B$25:$B$33</c:f>
              <c:strCache>
                <c:ptCount val="9"/>
                <c:pt idx="0">
                  <c:v>NSW</c:v>
                </c:pt>
                <c:pt idx="1">
                  <c:v>VIC</c:v>
                </c:pt>
                <c:pt idx="2">
                  <c:v>QLD</c:v>
                </c:pt>
                <c:pt idx="3">
                  <c:v>SA</c:v>
                </c:pt>
                <c:pt idx="4">
                  <c:v>WA</c:v>
                </c:pt>
                <c:pt idx="5">
                  <c:v>TAS</c:v>
                </c:pt>
                <c:pt idx="6">
                  <c:v>NT</c:v>
                </c:pt>
                <c:pt idx="7">
                  <c:v>ACT</c:v>
                </c:pt>
                <c:pt idx="8">
                  <c:v>AUS</c:v>
                </c:pt>
              </c:strCache>
            </c:strRef>
          </c:cat>
          <c:val>
            <c:numRef>
              <c:f>'Figure A - Participation'!$D$25:$D$33</c:f>
              <c:numCache>
                <c:formatCode>0.0;\-0.0;0.0;@</c:formatCode>
                <c:ptCount val="9"/>
                <c:pt idx="0">
                  <c:v>65.991696599999997</c:v>
                </c:pt>
                <c:pt idx="1">
                  <c:v>67.1983441</c:v>
                </c:pt>
                <c:pt idx="2">
                  <c:v>66.848389600000004</c:v>
                </c:pt>
                <c:pt idx="3">
                  <c:v>63.203375600000001</c:v>
                </c:pt>
                <c:pt idx="4">
                  <c:v>69.039903100000004</c:v>
                </c:pt>
                <c:pt idx="5">
                  <c:v>61.181254199999998</c:v>
                </c:pt>
                <c:pt idx="6">
                  <c:v>73.820826199999999</c:v>
                </c:pt>
                <c:pt idx="7">
                  <c:v>71.872153699999998</c:v>
                </c:pt>
                <c:pt idx="8">
                  <c:v>66.623275599999999</c:v>
                </c:pt>
              </c:numCache>
            </c:numRef>
          </c:val>
          <c:extLst>
            <c:ext xmlns:c16="http://schemas.microsoft.com/office/drawing/2014/chart" uri="{C3380CC4-5D6E-409C-BE32-E72D297353CC}">
              <c16:uniqueId val="{00000001-B357-4D4E-AED7-9E8A1E6DB972}"/>
            </c:ext>
          </c:extLst>
        </c:ser>
        <c:dLbls>
          <c:showLegendKey val="0"/>
          <c:showVal val="0"/>
          <c:showCatName val="0"/>
          <c:showSerName val="0"/>
          <c:showPercent val="0"/>
          <c:showBubbleSize val="0"/>
        </c:dLbls>
        <c:gapWidth val="150"/>
        <c:axId val="936832400"/>
        <c:axId val="858436831"/>
      </c:barChart>
      <c:catAx>
        <c:axId val="93683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436831"/>
        <c:crosses val="autoZero"/>
        <c:auto val="1"/>
        <c:lblAlgn val="ctr"/>
        <c:lblOffset val="100"/>
        <c:noMultiLvlLbl val="0"/>
      </c:catAx>
      <c:valAx>
        <c:axId val="858436831"/>
        <c:scaling>
          <c:orientation val="minMax"/>
        </c:scaling>
        <c:delete val="0"/>
        <c:axPos val="l"/>
        <c:majorGridlines>
          <c:spPr>
            <a:ln w="9525" cap="flat" cmpd="sng" algn="ctr">
              <a:noFill/>
              <a:round/>
            </a:ln>
            <a:effectLst/>
          </c:spPr>
        </c:majorGridlines>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683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JSA 100">
      <a:dk1>
        <a:srgbClr val="000000"/>
      </a:dk1>
      <a:lt1>
        <a:srgbClr val="FFFFFF"/>
      </a:lt1>
      <a:dk2>
        <a:srgbClr val="441170"/>
      </a:dk2>
      <a:lt2>
        <a:srgbClr val="D2DE5A"/>
      </a:lt2>
      <a:accent1>
        <a:srgbClr val="6929C4"/>
      </a:accent1>
      <a:accent2>
        <a:srgbClr val="005D5D"/>
      </a:accent2>
      <a:accent3>
        <a:srgbClr val="1192E8"/>
      </a:accent3>
      <a:accent4>
        <a:srgbClr val="9F1853"/>
      </a:accent4>
      <a:accent5>
        <a:srgbClr val="FA4D56"/>
      </a:accent5>
      <a:accent6>
        <a:srgbClr val="570408"/>
      </a:accent6>
      <a:hlink>
        <a:srgbClr val="215E9E"/>
      </a:hlink>
      <a:folHlink>
        <a:srgbClr val="00B4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6" ma:contentTypeDescription="Create a new document." ma:contentTypeScope="" ma:versionID="d7537b1b3c99095a74a2695e4a9d3855">
  <xsd:schema xmlns:xsd="http://www.w3.org/2001/XMLSchema" xmlns:xs="http://www.w3.org/2001/XMLSchema" xmlns:p="http://schemas.microsoft.com/office/2006/metadata/properties" xmlns:ns2="afd363e9-35fc-44f3-a206-b83cf12c84c7" xmlns:ns3="a3870de7-628d-4f96-ad09-9338c4ed9354" targetNamespace="http://schemas.microsoft.com/office/2006/metadata/properties" ma:root="true" ma:fieldsID="449a2b709aced474a4cc33a0c4a497fa" ns2:_="" ns3:_="">
    <xsd:import namespace="afd363e9-35fc-44f3-a206-b83cf12c84c7"/>
    <xsd:import namespace="a3870de7-628d-4f96-ad09-9338c4ed93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aa144a-9290-4d15-a1d0-928f0964c235}"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E241F-1C74-40B1-8809-662035E36706}">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2.xml><?xml version="1.0" encoding="utf-8"?>
<ds:datastoreItem xmlns:ds="http://schemas.openxmlformats.org/officeDocument/2006/customXml" ds:itemID="{BD588588-18B9-414A-BBAB-D4E1DF54F04D}">
  <ds:schemaRefs>
    <ds:schemaRef ds:uri="http://schemas.microsoft.com/sharepoint/v3/contenttype/forms"/>
  </ds:schemaRefs>
</ds:datastoreItem>
</file>

<file path=customXml/itemProps3.xml><?xml version="1.0" encoding="utf-8"?>
<ds:datastoreItem xmlns:ds="http://schemas.openxmlformats.org/officeDocument/2006/customXml" ds:itemID="{3C3B1A74-65E1-4839-BBB1-E9183EC4A9C0}">
  <ds:schemaRefs>
    <ds:schemaRef ds:uri="http://schemas.openxmlformats.org/officeDocument/2006/bibliography"/>
  </ds:schemaRefs>
</ds:datastoreItem>
</file>

<file path=customXml/itemProps4.xml><?xml version="1.0" encoding="utf-8"?>
<ds:datastoreItem xmlns:ds="http://schemas.openxmlformats.org/officeDocument/2006/customXml" ds:itemID="{A4FFACB0-700D-4DD9-BB56-FD4A66F7C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363e9-35fc-44f3-a206-b83cf12c84c7"/>
    <ds:schemaRef ds:uri="a3870de7-628d-4f96-ad09-9338c4ed9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CLARK,Evelyn</dc:creator>
  <cp:keywords/>
  <dc:description/>
  <cp:lastModifiedBy>VENTURA,Linda</cp:lastModifiedBy>
  <cp:revision>8</cp:revision>
  <cp:lastPrinted>2024-04-29T02:51:00Z</cp:lastPrinted>
  <dcterms:created xsi:type="dcterms:W3CDTF">2024-04-29T02:40:00Z</dcterms:created>
  <dcterms:modified xsi:type="dcterms:W3CDTF">2024-04-29T02:51:00Z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